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99BD" w14:textId="77777777" w:rsidR="008E6831" w:rsidRPr="008F3500" w:rsidRDefault="008E6831" w:rsidP="008E6831">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5F5EC352" wp14:editId="5178178D">
            <wp:simplePos x="0" y="0"/>
            <wp:positionH relativeFrom="page">
              <wp:posOffset>0</wp:posOffset>
            </wp:positionH>
            <wp:positionV relativeFrom="page">
              <wp:posOffset>0</wp:posOffset>
            </wp:positionV>
            <wp:extent cx="3370580" cy="758190"/>
            <wp:effectExtent l="0" t="0" r="0" b="0"/>
            <wp:wrapSquare wrapText="bothSides"/>
            <wp:docPr id="5"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058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ab/>
      </w:r>
    </w:p>
    <w:p w14:paraId="478FA9D2" w14:textId="77777777" w:rsidR="008E6831" w:rsidRPr="003D1E7C" w:rsidRDefault="008E6831" w:rsidP="008E683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T:</w:t>
      </w:r>
      <w:r>
        <w:rPr>
          <w:rFonts w:ascii="Arial" w:hAnsi="Arial" w:cs="Arial"/>
          <w:color w:val="808080"/>
          <w:sz w:val="16"/>
          <w:szCs w:val="16"/>
        </w:rPr>
        <w:t xml:space="preserve"> 01 369 63 00</w:t>
      </w:r>
    </w:p>
    <w:p w14:paraId="6D72C60A" w14:textId="77777777" w:rsidR="008E6831" w:rsidRPr="003D1E7C" w:rsidRDefault="008E6831" w:rsidP="008E683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67245BED" w14:textId="77777777" w:rsidR="008E6831" w:rsidRPr="00B645E1" w:rsidRDefault="008E6831" w:rsidP="008E6831">
      <w:pPr>
        <w:pStyle w:val="Odstavekseznama1"/>
        <w:spacing w:line="260" w:lineRule="exact"/>
        <w:ind w:left="0"/>
        <w:rPr>
          <w:rFonts w:ascii="Arial" w:hAnsi="Arial" w:cs="Arial"/>
          <w:color w:val="808080"/>
          <w:sz w:val="16"/>
          <w:szCs w:val="16"/>
        </w:rPr>
      </w:pPr>
      <w:r>
        <w:rPr>
          <w:rFonts w:ascii="Arial" w:hAnsi="Arial" w:cs="Arial"/>
          <w:sz w:val="16"/>
          <w:szCs w:val="16"/>
        </w:rPr>
        <w:t xml:space="preserve">      </w:t>
      </w:r>
      <w:r w:rsidRPr="00B645E1">
        <w:rPr>
          <w:rFonts w:ascii="Arial" w:hAnsi="Arial" w:cs="Arial"/>
          <w:color w:val="808080"/>
          <w:sz w:val="16"/>
          <w:szCs w:val="16"/>
        </w:rPr>
        <w:t>Župančičeva 3, p.p.644a,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78E77B52" w14:textId="77777777" w:rsidR="008E6831" w:rsidRPr="00B645E1" w:rsidRDefault="008E6831" w:rsidP="008E683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6372EC07" w14:textId="77777777" w:rsidR="008E6831" w:rsidRDefault="008E6831" w:rsidP="008E6831">
      <w:pPr>
        <w:pStyle w:val="Odstavekseznama1"/>
        <w:spacing w:line="260" w:lineRule="exact"/>
        <w:ind w:left="0"/>
        <w:rPr>
          <w:rFonts w:ascii="Arial" w:hAnsi="Arial" w:cs="Arial"/>
          <w:b/>
          <w:sz w:val="20"/>
          <w:szCs w:val="20"/>
        </w:rPr>
      </w:pPr>
    </w:p>
    <w:p w14:paraId="4AD5B078" w14:textId="77777777" w:rsidR="008E6831" w:rsidRDefault="008E6831" w:rsidP="008E6831">
      <w:pPr>
        <w:pStyle w:val="Odstavekseznama1"/>
        <w:spacing w:line="260" w:lineRule="exact"/>
        <w:ind w:left="0"/>
        <w:rPr>
          <w:rFonts w:ascii="Arial" w:hAnsi="Arial" w:cs="Arial"/>
          <w:b/>
          <w:sz w:val="20"/>
          <w:szCs w:val="20"/>
        </w:rPr>
      </w:pPr>
    </w:p>
    <w:p w14:paraId="02DFC2F7" w14:textId="77777777" w:rsidR="008E6831" w:rsidRDefault="008E6831" w:rsidP="008E6831">
      <w:pPr>
        <w:pStyle w:val="Odstavekseznama1"/>
        <w:spacing w:line="260" w:lineRule="exact"/>
        <w:ind w:left="0"/>
        <w:rPr>
          <w:rFonts w:ascii="Arial" w:hAnsi="Arial" w:cs="Arial"/>
          <w:b/>
          <w:sz w:val="20"/>
          <w:szCs w:val="20"/>
        </w:rPr>
      </w:pPr>
    </w:p>
    <w:p w14:paraId="5D472943" w14:textId="77777777" w:rsidR="008E6831" w:rsidRDefault="008E6831" w:rsidP="008E6831">
      <w:pPr>
        <w:pStyle w:val="Odstavekseznama1"/>
        <w:spacing w:line="260" w:lineRule="exact"/>
        <w:ind w:left="0"/>
        <w:rPr>
          <w:rFonts w:ascii="Arial" w:hAnsi="Arial" w:cs="Arial"/>
          <w:b/>
          <w:sz w:val="20"/>
          <w:szCs w:val="20"/>
        </w:rPr>
      </w:pPr>
      <w:r w:rsidRPr="005B4049">
        <w:rPr>
          <w:rFonts w:ascii="Arial" w:hAnsi="Arial" w:cs="Arial"/>
          <w:b/>
          <w:sz w:val="20"/>
          <w:szCs w:val="20"/>
        </w:rPr>
        <w:t>PRILOGA 1</w:t>
      </w:r>
      <w:r>
        <w:rPr>
          <w:rFonts w:ascii="Arial" w:hAnsi="Arial" w:cs="Arial"/>
          <w:b/>
          <w:sz w:val="20"/>
          <w:szCs w:val="20"/>
        </w:rPr>
        <w:t xml:space="preserve"> (spremni dopis – 1. del):</w:t>
      </w:r>
    </w:p>
    <w:p w14:paraId="0E06DDA4" w14:textId="77777777" w:rsidR="008E6831" w:rsidRPr="005B4049" w:rsidRDefault="008E6831" w:rsidP="008E6831">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6831" w:rsidRPr="008D1759" w14:paraId="778ADC70" w14:textId="77777777" w:rsidTr="00B501AB">
        <w:trPr>
          <w:gridAfter w:val="2"/>
          <w:wAfter w:w="3067" w:type="dxa"/>
        </w:trPr>
        <w:tc>
          <w:tcPr>
            <w:tcW w:w="6096" w:type="dxa"/>
            <w:gridSpan w:val="2"/>
            <w:tcBorders>
              <w:top w:val="nil"/>
              <w:left w:val="nil"/>
              <w:bottom w:val="single" w:sz="4" w:space="0" w:color="auto"/>
              <w:right w:val="nil"/>
            </w:tcBorders>
          </w:tcPr>
          <w:p w14:paraId="38718F15" w14:textId="77777777" w:rsidR="008E6831" w:rsidRPr="008D1759" w:rsidRDefault="008E6831" w:rsidP="00B501AB">
            <w:pPr>
              <w:pStyle w:val="Neotevilenodstavek"/>
              <w:spacing w:before="0" w:after="0" w:line="260" w:lineRule="exact"/>
              <w:jc w:val="left"/>
              <w:rPr>
                <w:sz w:val="20"/>
                <w:szCs w:val="20"/>
              </w:rPr>
            </w:pPr>
          </w:p>
        </w:tc>
      </w:tr>
      <w:tr w:rsidR="008E6831" w:rsidRPr="008D1759" w14:paraId="6199E93C" w14:textId="77777777" w:rsidTr="00B501AB">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25379D4A" w14:textId="5FC6912E" w:rsidR="008E6831" w:rsidRPr="00087025" w:rsidRDefault="008E6831" w:rsidP="00B501AB">
            <w:pPr>
              <w:pStyle w:val="Neotevilenodstavek"/>
              <w:spacing w:before="0" w:after="0" w:line="260" w:lineRule="exact"/>
              <w:jc w:val="left"/>
              <w:rPr>
                <w:sz w:val="20"/>
                <w:szCs w:val="20"/>
              </w:rPr>
            </w:pPr>
            <w:r w:rsidRPr="00087025">
              <w:rPr>
                <w:sz w:val="20"/>
                <w:szCs w:val="20"/>
              </w:rPr>
              <w:t>Številka</w:t>
            </w:r>
            <w:r w:rsidRPr="007C7DEA">
              <w:rPr>
                <w:sz w:val="20"/>
                <w:szCs w:val="20"/>
              </w:rPr>
              <w:t xml:space="preserve">: </w:t>
            </w:r>
            <w:r>
              <w:rPr>
                <w:sz w:val="20"/>
                <w:szCs w:val="20"/>
              </w:rPr>
              <w:t>429</w:t>
            </w:r>
            <w:r w:rsidR="00B841D4">
              <w:rPr>
                <w:sz w:val="20"/>
                <w:szCs w:val="20"/>
              </w:rPr>
              <w:t>-</w:t>
            </w:r>
            <w:r>
              <w:rPr>
                <w:sz w:val="20"/>
                <w:szCs w:val="20"/>
              </w:rPr>
              <w:t>85/2025/</w:t>
            </w:r>
            <w:r w:rsidR="00E220D6">
              <w:rPr>
                <w:sz w:val="20"/>
                <w:szCs w:val="20"/>
              </w:rPr>
              <w:t>5</w:t>
            </w:r>
          </w:p>
        </w:tc>
      </w:tr>
      <w:tr w:rsidR="008E6831" w:rsidRPr="008D1759" w14:paraId="4E9B342E" w14:textId="77777777" w:rsidTr="00B501AB">
        <w:trPr>
          <w:gridAfter w:val="2"/>
          <w:wAfter w:w="3067" w:type="dxa"/>
        </w:trPr>
        <w:tc>
          <w:tcPr>
            <w:tcW w:w="6096" w:type="dxa"/>
            <w:gridSpan w:val="2"/>
            <w:tcBorders>
              <w:top w:val="single" w:sz="4" w:space="0" w:color="auto"/>
            </w:tcBorders>
          </w:tcPr>
          <w:p w14:paraId="68959C54" w14:textId="27D5574D" w:rsidR="008E6831" w:rsidRPr="008D1759" w:rsidRDefault="008E6831" w:rsidP="00B501AB">
            <w:pPr>
              <w:pStyle w:val="Neotevilenodstavek"/>
              <w:spacing w:before="0" w:after="0" w:line="260" w:lineRule="exact"/>
              <w:jc w:val="left"/>
              <w:rPr>
                <w:sz w:val="20"/>
                <w:szCs w:val="20"/>
              </w:rPr>
            </w:pPr>
            <w:r>
              <w:rPr>
                <w:sz w:val="20"/>
                <w:szCs w:val="20"/>
              </w:rPr>
              <w:t xml:space="preserve">Ljubljana, </w:t>
            </w:r>
            <w:r w:rsidR="007D728C">
              <w:rPr>
                <w:sz w:val="20"/>
                <w:szCs w:val="20"/>
              </w:rPr>
              <w:t>24. 9. 2025</w:t>
            </w:r>
          </w:p>
        </w:tc>
      </w:tr>
      <w:tr w:rsidR="008E6831" w:rsidRPr="008D1759" w14:paraId="7BE9888D" w14:textId="77777777" w:rsidTr="00B501AB">
        <w:trPr>
          <w:gridAfter w:val="2"/>
          <w:wAfter w:w="3067" w:type="dxa"/>
        </w:trPr>
        <w:tc>
          <w:tcPr>
            <w:tcW w:w="6096" w:type="dxa"/>
            <w:gridSpan w:val="2"/>
          </w:tcPr>
          <w:p w14:paraId="332DB79B" w14:textId="77777777" w:rsidR="008E6831" w:rsidRPr="00594B90" w:rsidRDefault="008E6831" w:rsidP="00B501AB">
            <w:pPr>
              <w:pStyle w:val="Neotevilenodstavek"/>
              <w:spacing w:before="0" w:after="0" w:line="260" w:lineRule="exact"/>
              <w:jc w:val="left"/>
              <w:rPr>
                <w:sz w:val="20"/>
                <w:szCs w:val="20"/>
              </w:rPr>
            </w:pPr>
            <w:r>
              <w:rPr>
                <w:sz w:val="20"/>
                <w:szCs w:val="20"/>
              </w:rPr>
              <w:t>/</w:t>
            </w:r>
          </w:p>
        </w:tc>
      </w:tr>
      <w:tr w:rsidR="008E6831" w:rsidRPr="008D1759" w14:paraId="2EFB03D3" w14:textId="77777777" w:rsidTr="00B501AB">
        <w:trPr>
          <w:gridAfter w:val="2"/>
          <w:wAfter w:w="3067" w:type="dxa"/>
        </w:trPr>
        <w:tc>
          <w:tcPr>
            <w:tcW w:w="6096" w:type="dxa"/>
            <w:gridSpan w:val="2"/>
          </w:tcPr>
          <w:p w14:paraId="492881DB" w14:textId="77777777" w:rsidR="008E6831" w:rsidRPr="008D1759" w:rsidRDefault="008E6831" w:rsidP="00B501AB">
            <w:pPr>
              <w:rPr>
                <w:rFonts w:cs="Arial"/>
                <w:szCs w:val="20"/>
              </w:rPr>
            </w:pPr>
          </w:p>
          <w:p w14:paraId="320A997C" w14:textId="77777777" w:rsidR="008E6831" w:rsidRPr="008267D5" w:rsidRDefault="008E6831" w:rsidP="00B501AB">
            <w:pPr>
              <w:rPr>
                <w:rFonts w:ascii="Arial" w:hAnsi="Arial" w:cs="Arial"/>
                <w:sz w:val="20"/>
                <w:szCs w:val="20"/>
              </w:rPr>
            </w:pPr>
            <w:r w:rsidRPr="008267D5">
              <w:rPr>
                <w:rFonts w:ascii="Arial" w:hAnsi="Arial" w:cs="Arial"/>
                <w:sz w:val="20"/>
                <w:szCs w:val="20"/>
              </w:rPr>
              <w:t>GENERALNI SEKRETARIAT VLADE REPUBLIKE SLOVENIJE</w:t>
            </w:r>
          </w:p>
          <w:p w14:paraId="5BAEE53D" w14:textId="77777777" w:rsidR="008E6831" w:rsidRPr="008267D5" w:rsidRDefault="008E6831" w:rsidP="00B501AB">
            <w:pPr>
              <w:rPr>
                <w:rFonts w:ascii="Arial" w:hAnsi="Arial" w:cs="Arial"/>
                <w:sz w:val="20"/>
                <w:szCs w:val="20"/>
              </w:rPr>
            </w:pPr>
            <w:hyperlink r:id="rId13" w:history="1">
              <w:r w:rsidRPr="008267D5">
                <w:rPr>
                  <w:rStyle w:val="Hiperpovezava"/>
                  <w:rFonts w:ascii="Arial" w:hAnsi="Arial" w:cs="Arial"/>
                  <w:sz w:val="20"/>
                  <w:szCs w:val="20"/>
                </w:rPr>
                <w:t>Gp.gs@gov.si</w:t>
              </w:r>
            </w:hyperlink>
          </w:p>
          <w:p w14:paraId="5F9D4208" w14:textId="77777777" w:rsidR="008E6831" w:rsidRPr="008D1759" w:rsidRDefault="008E6831" w:rsidP="00B501AB">
            <w:pPr>
              <w:rPr>
                <w:rFonts w:cs="Arial"/>
                <w:szCs w:val="20"/>
              </w:rPr>
            </w:pPr>
          </w:p>
        </w:tc>
      </w:tr>
      <w:tr w:rsidR="008E6831" w:rsidRPr="008D1759" w14:paraId="03AEBA1B" w14:textId="77777777" w:rsidTr="00B501AB">
        <w:tc>
          <w:tcPr>
            <w:tcW w:w="9163" w:type="dxa"/>
            <w:gridSpan w:val="4"/>
          </w:tcPr>
          <w:p w14:paraId="6ECE841A" w14:textId="6DA8913A" w:rsidR="008E6831" w:rsidRPr="008D1759" w:rsidRDefault="008E6831" w:rsidP="00B501AB">
            <w:pPr>
              <w:pStyle w:val="Naslovpredpisa"/>
              <w:spacing w:before="0" w:after="0" w:line="260" w:lineRule="exact"/>
              <w:jc w:val="left"/>
              <w:rPr>
                <w:sz w:val="20"/>
                <w:szCs w:val="20"/>
              </w:rPr>
            </w:pPr>
            <w:r>
              <w:rPr>
                <w:sz w:val="20"/>
                <w:szCs w:val="20"/>
              </w:rPr>
              <w:t xml:space="preserve">ZADEVA: </w:t>
            </w:r>
            <w:r w:rsidRPr="005E5247">
              <w:rPr>
                <w:sz w:val="20"/>
                <w:szCs w:val="20"/>
              </w:rPr>
              <w:t>Poročilo o stanju in gibanju davčnega dolga na dan 3</w:t>
            </w:r>
            <w:r>
              <w:rPr>
                <w:sz w:val="20"/>
                <w:szCs w:val="20"/>
              </w:rPr>
              <w:t>1</w:t>
            </w:r>
            <w:r w:rsidRPr="005E5247">
              <w:rPr>
                <w:sz w:val="20"/>
                <w:szCs w:val="20"/>
              </w:rPr>
              <w:t>.</w:t>
            </w:r>
            <w:r>
              <w:rPr>
                <w:sz w:val="20"/>
                <w:szCs w:val="20"/>
              </w:rPr>
              <w:t xml:space="preserve"> december</w:t>
            </w:r>
            <w:r w:rsidRPr="005E5247">
              <w:rPr>
                <w:sz w:val="20"/>
                <w:szCs w:val="20"/>
              </w:rPr>
              <w:t xml:space="preserve"> 20</w:t>
            </w:r>
            <w:r>
              <w:rPr>
                <w:sz w:val="20"/>
                <w:szCs w:val="20"/>
              </w:rPr>
              <w:t>24</w:t>
            </w:r>
            <w:r w:rsidRPr="005E5247">
              <w:rPr>
                <w:sz w:val="20"/>
                <w:szCs w:val="20"/>
              </w:rPr>
              <w:t xml:space="preserve"> – predlog za obravnavo na Vladi RS</w:t>
            </w:r>
          </w:p>
        </w:tc>
      </w:tr>
      <w:tr w:rsidR="008E6831" w:rsidRPr="008D1759" w14:paraId="17E099FC" w14:textId="77777777" w:rsidTr="00B501AB">
        <w:tc>
          <w:tcPr>
            <w:tcW w:w="9163" w:type="dxa"/>
            <w:gridSpan w:val="4"/>
          </w:tcPr>
          <w:p w14:paraId="61265D92" w14:textId="77777777" w:rsidR="008E6831" w:rsidRPr="008D1759" w:rsidRDefault="008E6831" w:rsidP="00B501AB">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8E6831" w:rsidRPr="008D1759" w14:paraId="245EB26B" w14:textId="77777777" w:rsidTr="00B501AB">
        <w:tc>
          <w:tcPr>
            <w:tcW w:w="9163" w:type="dxa"/>
            <w:gridSpan w:val="4"/>
          </w:tcPr>
          <w:p w14:paraId="63A00C74" w14:textId="14AF1103" w:rsidR="007D14FD" w:rsidRDefault="008E6831" w:rsidP="00B501AB">
            <w:pPr>
              <w:pStyle w:val="Neotevilenodstavek"/>
              <w:spacing w:after="0" w:line="260" w:lineRule="exact"/>
              <w:rPr>
                <w:iCs/>
                <w:sz w:val="20"/>
                <w:szCs w:val="20"/>
              </w:rPr>
            </w:pPr>
            <w:r w:rsidRPr="00E26330">
              <w:rPr>
                <w:iCs/>
                <w:sz w:val="20"/>
                <w:szCs w:val="20"/>
              </w:rPr>
              <w:t xml:space="preserve">Na podlagi prvega odstavka 64.a člena Zakona o javnih financah (Uradni list RS, št. 11/11 – uradno prečiščeno besedilo, 14/13 – </w:t>
            </w:r>
            <w:proofErr w:type="spellStart"/>
            <w:r w:rsidRPr="00E26330">
              <w:rPr>
                <w:iCs/>
                <w:sz w:val="20"/>
                <w:szCs w:val="20"/>
              </w:rPr>
              <w:t>popr</w:t>
            </w:r>
            <w:proofErr w:type="spellEnd"/>
            <w:r w:rsidRPr="00E26330">
              <w:rPr>
                <w:iCs/>
                <w:sz w:val="20"/>
                <w:szCs w:val="20"/>
              </w:rPr>
              <w:t xml:space="preserve">., 101/13, 55/15 – </w:t>
            </w:r>
            <w:proofErr w:type="spellStart"/>
            <w:r w:rsidRPr="00E26330">
              <w:rPr>
                <w:iCs/>
                <w:sz w:val="20"/>
                <w:szCs w:val="20"/>
              </w:rPr>
              <w:t>ZFisP</w:t>
            </w:r>
            <w:proofErr w:type="spellEnd"/>
            <w:r w:rsidR="00AE0A78">
              <w:rPr>
                <w:iCs/>
                <w:sz w:val="20"/>
                <w:szCs w:val="20"/>
              </w:rPr>
              <w:t>,</w:t>
            </w:r>
            <w:r w:rsidRPr="00E26330">
              <w:rPr>
                <w:iCs/>
                <w:sz w:val="20"/>
                <w:szCs w:val="20"/>
              </w:rPr>
              <w:t xml:space="preserve"> 96/15 – ZIPRS1617, 13/18, 195/20 – </w:t>
            </w:r>
            <w:proofErr w:type="spellStart"/>
            <w:r w:rsidRPr="00E26330">
              <w:rPr>
                <w:iCs/>
                <w:sz w:val="20"/>
                <w:szCs w:val="20"/>
              </w:rPr>
              <w:t>odl</w:t>
            </w:r>
            <w:proofErr w:type="spellEnd"/>
            <w:r w:rsidRPr="00E26330">
              <w:rPr>
                <w:iCs/>
                <w:sz w:val="20"/>
                <w:szCs w:val="20"/>
              </w:rPr>
              <w:t>. US</w:t>
            </w:r>
            <w:r>
              <w:rPr>
                <w:iCs/>
                <w:sz w:val="20"/>
                <w:szCs w:val="20"/>
              </w:rPr>
              <w:t xml:space="preserve">, </w:t>
            </w:r>
            <w:r w:rsidRPr="00E26330">
              <w:rPr>
                <w:iCs/>
                <w:sz w:val="20"/>
                <w:szCs w:val="20"/>
              </w:rPr>
              <w:t>18/23 – ZDU-1O</w:t>
            </w:r>
            <w:r>
              <w:rPr>
                <w:iCs/>
                <w:sz w:val="20"/>
                <w:szCs w:val="20"/>
              </w:rPr>
              <w:t>, 76/23</w:t>
            </w:r>
            <w:r w:rsidR="00AE0A78">
              <w:rPr>
                <w:iCs/>
                <w:sz w:val="20"/>
                <w:szCs w:val="20"/>
              </w:rPr>
              <w:t>,</w:t>
            </w:r>
            <w:r>
              <w:rPr>
                <w:iCs/>
                <w:sz w:val="20"/>
                <w:szCs w:val="20"/>
              </w:rPr>
              <w:t xml:space="preserve"> </w:t>
            </w:r>
            <w:hyperlink r:id="rId14" w:tgtFrame="_blank" w:tooltip="Zakon o fiskalnem pravilu (ZFisP-1)" w:history="1">
              <w:r w:rsidRPr="00944039">
                <w:rPr>
                  <w:rFonts w:eastAsia="Calibri"/>
                  <w:sz w:val="20"/>
                  <w:szCs w:val="20"/>
                  <w:shd w:val="clear" w:color="auto" w:fill="FFFFFF"/>
                  <w:lang w:eastAsia="en-US"/>
                </w:rPr>
                <w:t>24/25</w:t>
              </w:r>
            </w:hyperlink>
            <w:r w:rsidRPr="00B841D4">
              <w:rPr>
                <w:rFonts w:eastAsia="Calibri"/>
                <w:sz w:val="20"/>
                <w:szCs w:val="20"/>
                <w:shd w:val="clear" w:color="auto" w:fill="FFFFFF"/>
                <w:lang w:eastAsia="en-US"/>
              </w:rPr>
              <w:t> – ZFisP-1</w:t>
            </w:r>
            <w:r w:rsidR="00AE0A78">
              <w:rPr>
                <w:rFonts w:eastAsia="Calibri"/>
                <w:sz w:val="20"/>
                <w:szCs w:val="20"/>
                <w:shd w:val="clear" w:color="auto" w:fill="FFFFFF"/>
                <w:lang w:eastAsia="en-US"/>
              </w:rPr>
              <w:t xml:space="preserve"> in 39/25</w:t>
            </w:r>
            <w:r w:rsidRPr="00067027">
              <w:rPr>
                <w:iCs/>
                <w:sz w:val="20"/>
                <w:szCs w:val="20"/>
              </w:rPr>
              <w:t>)</w:t>
            </w:r>
            <w:r w:rsidRPr="00E26330">
              <w:rPr>
                <w:iCs/>
                <w:sz w:val="20"/>
                <w:szCs w:val="20"/>
              </w:rPr>
              <w:t xml:space="preserve"> je Vlada Republike Slovenije na ... redni seji dne ... sprejela naslednji </w:t>
            </w:r>
          </w:p>
          <w:p w14:paraId="1E801A43" w14:textId="3697F19C" w:rsidR="008E6831" w:rsidRPr="007D14FD" w:rsidRDefault="007D14FD" w:rsidP="0073616B">
            <w:pPr>
              <w:pStyle w:val="Neotevilenodstavek"/>
              <w:spacing w:after="0" w:line="260" w:lineRule="exact"/>
              <w:jc w:val="center"/>
              <w:rPr>
                <w:iCs/>
                <w:sz w:val="20"/>
                <w:szCs w:val="20"/>
              </w:rPr>
            </w:pPr>
            <w:r w:rsidRPr="007D14FD">
              <w:rPr>
                <w:iCs/>
                <w:sz w:val="20"/>
                <w:szCs w:val="20"/>
              </w:rPr>
              <w:t>S</w:t>
            </w:r>
            <w:r>
              <w:rPr>
                <w:iCs/>
                <w:sz w:val="20"/>
                <w:szCs w:val="20"/>
              </w:rPr>
              <w:t xml:space="preserve"> </w:t>
            </w:r>
            <w:r w:rsidRPr="007D14FD">
              <w:rPr>
                <w:iCs/>
                <w:sz w:val="20"/>
                <w:szCs w:val="20"/>
              </w:rPr>
              <w:t>K</w:t>
            </w:r>
            <w:r>
              <w:rPr>
                <w:iCs/>
                <w:sz w:val="20"/>
                <w:szCs w:val="20"/>
              </w:rPr>
              <w:t xml:space="preserve"> </w:t>
            </w:r>
            <w:r w:rsidRPr="007D14FD">
              <w:rPr>
                <w:iCs/>
                <w:sz w:val="20"/>
                <w:szCs w:val="20"/>
              </w:rPr>
              <w:t>L</w:t>
            </w:r>
            <w:r>
              <w:rPr>
                <w:iCs/>
                <w:sz w:val="20"/>
                <w:szCs w:val="20"/>
              </w:rPr>
              <w:t xml:space="preserve"> </w:t>
            </w:r>
            <w:r w:rsidRPr="007D14FD">
              <w:rPr>
                <w:iCs/>
                <w:sz w:val="20"/>
                <w:szCs w:val="20"/>
              </w:rPr>
              <w:t>E</w:t>
            </w:r>
            <w:r>
              <w:rPr>
                <w:iCs/>
                <w:sz w:val="20"/>
                <w:szCs w:val="20"/>
              </w:rPr>
              <w:t xml:space="preserve"> </w:t>
            </w:r>
            <w:r w:rsidRPr="007D14FD">
              <w:rPr>
                <w:iCs/>
                <w:sz w:val="20"/>
                <w:szCs w:val="20"/>
              </w:rPr>
              <w:t>P:</w:t>
            </w:r>
          </w:p>
          <w:p w14:paraId="337C3B48" w14:textId="77777777" w:rsidR="008E6831" w:rsidRDefault="008E6831" w:rsidP="00B501AB">
            <w:pPr>
              <w:pStyle w:val="Neotevilenodstavek"/>
              <w:spacing w:after="0" w:line="260" w:lineRule="exact"/>
              <w:rPr>
                <w:iCs/>
                <w:sz w:val="20"/>
                <w:szCs w:val="20"/>
              </w:rPr>
            </w:pPr>
          </w:p>
          <w:p w14:paraId="3FFB02D0" w14:textId="0E7E1AB9" w:rsidR="008E6831" w:rsidRDefault="008E6831" w:rsidP="00B501AB">
            <w:pPr>
              <w:pStyle w:val="Neotevilenodstavek"/>
              <w:spacing w:after="0" w:line="260" w:lineRule="exact"/>
              <w:rPr>
                <w:iCs/>
                <w:sz w:val="20"/>
                <w:szCs w:val="20"/>
              </w:rPr>
            </w:pPr>
            <w:r w:rsidRPr="00A70E34">
              <w:rPr>
                <w:iCs/>
                <w:sz w:val="20"/>
                <w:szCs w:val="20"/>
              </w:rPr>
              <w:t xml:space="preserve">Vlada Republike Slovenije se </w:t>
            </w:r>
            <w:r>
              <w:rPr>
                <w:iCs/>
                <w:sz w:val="20"/>
                <w:szCs w:val="20"/>
              </w:rPr>
              <w:t xml:space="preserve">je </w:t>
            </w:r>
            <w:r w:rsidRPr="00A70E34">
              <w:rPr>
                <w:iCs/>
                <w:sz w:val="20"/>
                <w:szCs w:val="20"/>
              </w:rPr>
              <w:t>seznani</w:t>
            </w:r>
            <w:r>
              <w:rPr>
                <w:iCs/>
                <w:sz w:val="20"/>
                <w:szCs w:val="20"/>
              </w:rPr>
              <w:t>la</w:t>
            </w:r>
            <w:r w:rsidRPr="00A70E34">
              <w:rPr>
                <w:iCs/>
                <w:sz w:val="20"/>
                <w:szCs w:val="20"/>
              </w:rPr>
              <w:t xml:space="preserve"> s </w:t>
            </w:r>
            <w:r>
              <w:rPr>
                <w:iCs/>
                <w:sz w:val="20"/>
                <w:szCs w:val="20"/>
              </w:rPr>
              <w:t xml:space="preserve">Poročilom Finančne uprave Republike Slovenije o </w:t>
            </w:r>
            <w:r w:rsidRPr="00080063">
              <w:rPr>
                <w:iCs/>
                <w:sz w:val="20"/>
                <w:szCs w:val="20"/>
              </w:rPr>
              <w:t>stanj</w:t>
            </w:r>
            <w:r>
              <w:rPr>
                <w:iCs/>
                <w:sz w:val="20"/>
                <w:szCs w:val="20"/>
              </w:rPr>
              <w:t>u</w:t>
            </w:r>
            <w:r w:rsidRPr="00080063">
              <w:rPr>
                <w:iCs/>
                <w:sz w:val="20"/>
                <w:szCs w:val="20"/>
              </w:rPr>
              <w:t xml:space="preserve"> in gibanj</w:t>
            </w:r>
            <w:r>
              <w:rPr>
                <w:iCs/>
                <w:sz w:val="20"/>
                <w:szCs w:val="20"/>
              </w:rPr>
              <w:t>u</w:t>
            </w:r>
            <w:r w:rsidRPr="00080063">
              <w:rPr>
                <w:iCs/>
                <w:sz w:val="20"/>
                <w:szCs w:val="20"/>
              </w:rPr>
              <w:t xml:space="preserve"> davčnega dolga</w:t>
            </w:r>
            <w:r w:rsidRPr="00A70E34" w:rsidDel="00067027">
              <w:rPr>
                <w:iCs/>
                <w:sz w:val="20"/>
                <w:szCs w:val="20"/>
              </w:rPr>
              <w:t xml:space="preserve"> </w:t>
            </w:r>
            <w:r w:rsidRPr="00A70E34">
              <w:rPr>
                <w:iCs/>
                <w:sz w:val="20"/>
                <w:szCs w:val="20"/>
              </w:rPr>
              <w:t>na dan 31. december 20</w:t>
            </w:r>
            <w:r>
              <w:rPr>
                <w:iCs/>
                <w:sz w:val="20"/>
                <w:szCs w:val="20"/>
              </w:rPr>
              <w:t>24</w:t>
            </w:r>
            <w:r w:rsidRPr="00A70E34">
              <w:rPr>
                <w:iCs/>
                <w:sz w:val="20"/>
                <w:szCs w:val="20"/>
              </w:rPr>
              <w:t xml:space="preserve"> in ga </w:t>
            </w:r>
            <w:r>
              <w:rPr>
                <w:iCs/>
                <w:sz w:val="20"/>
                <w:szCs w:val="20"/>
              </w:rPr>
              <w:t>pošlje</w:t>
            </w:r>
            <w:r w:rsidRPr="00A70E34">
              <w:rPr>
                <w:iCs/>
                <w:sz w:val="20"/>
                <w:szCs w:val="20"/>
              </w:rPr>
              <w:t xml:space="preserve"> Državnemu zboru</w:t>
            </w:r>
            <w:r w:rsidR="00AE0A78">
              <w:rPr>
                <w:iCs/>
                <w:sz w:val="20"/>
                <w:szCs w:val="20"/>
              </w:rPr>
              <w:t>.</w:t>
            </w:r>
          </w:p>
          <w:p w14:paraId="1BA7AE3F" w14:textId="77777777" w:rsidR="008E6831" w:rsidRPr="00267378" w:rsidRDefault="008E6831" w:rsidP="00B501AB">
            <w:pPr>
              <w:pStyle w:val="Neotevilenodstavek"/>
              <w:spacing w:after="0" w:line="260" w:lineRule="exact"/>
              <w:rPr>
                <w:iCs/>
                <w:sz w:val="20"/>
                <w:szCs w:val="20"/>
              </w:rPr>
            </w:pPr>
          </w:p>
          <w:p w14:paraId="0AD461B6" w14:textId="77777777" w:rsidR="008E6831" w:rsidRPr="007D14FD" w:rsidRDefault="008E6831" w:rsidP="00B501AB">
            <w:pPr>
              <w:pStyle w:val="Naslov3"/>
              <w:spacing w:before="0" w:after="0"/>
              <w:ind w:left="5664"/>
              <w:textAlignment w:val="baseline"/>
              <w:rPr>
                <w:rFonts w:ascii="Arial" w:hAnsi="Arial" w:cs="Arial"/>
                <w:b/>
                <w:bCs/>
                <w:iCs/>
                <w:color w:val="auto"/>
                <w:sz w:val="20"/>
                <w:szCs w:val="20"/>
                <w:lang w:eastAsia="sl-SI"/>
              </w:rPr>
            </w:pPr>
            <w:r w:rsidRPr="007D14FD">
              <w:rPr>
                <w:rFonts w:ascii="Arial" w:hAnsi="Arial" w:cs="Arial"/>
                <w:iCs/>
                <w:color w:val="auto"/>
                <w:sz w:val="20"/>
                <w:szCs w:val="20"/>
                <w:lang w:eastAsia="sl-SI"/>
              </w:rPr>
              <w:t xml:space="preserve">Barbara Kolenko </w:t>
            </w:r>
            <w:proofErr w:type="spellStart"/>
            <w:r w:rsidRPr="007D14FD">
              <w:rPr>
                <w:rFonts w:ascii="Arial" w:hAnsi="Arial" w:cs="Arial"/>
                <w:iCs/>
                <w:color w:val="auto"/>
                <w:sz w:val="20"/>
                <w:szCs w:val="20"/>
                <w:lang w:eastAsia="sl-SI"/>
              </w:rPr>
              <w:t>Helbl</w:t>
            </w:r>
            <w:proofErr w:type="spellEnd"/>
          </w:p>
          <w:p w14:paraId="10B526C9" w14:textId="77777777" w:rsidR="008E6831" w:rsidRPr="00267378" w:rsidRDefault="008E6831" w:rsidP="00B501AB">
            <w:pPr>
              <w:pStyle w:val="Navadensplet"/>
              <w:spacing w:before="0" w:beforeAutospacing="0" w:after="0" w:afterAutospacing="0"/>
              <w:ind w:left="5664"/>
              <w:textAlignment w:val="baseline"/>
              <w:rPr>
                <w:rFonts w:ascii="Arial" w:hAnsi="Arial" w:cs="Arial"/>
                <w:iCs/>
                <w:sz w:val="20"/>
                <w:szCs w:val="20"/>
              </w:rPr>
            </w:pPr>
            <w:r w:rsidRPr="00267378">
              <w:rPr>
                <w:rFonts w:ascii="Arial" w:hAnsi="Arial" w:cs="Arial"/>
                <w:iCs/>
                <w:sz w:val="20"/>
                <w:szCs w:val="20"/>
              </w:rPr>
              <w:t xml:space="preserve"> generalna sekretarka</w:t>
            </w:r>
          </w:p>
          <w:p w14:paraId="109DB22E" w14:textId="77777777" w:rsidR="008E6831" w:rsidRPr="00931274" w:rsidRDefault="008E6831" w:rsidP="00B501AB">
            <w:pPr>
              <w:pStyle w:val="Neotevilenodstavek"/>
              <w:spacing w:after="0" w:line="260" w:lineRule="exact"/>
              <w:rPr>
                <w:iCs/>
                <w:sz w:val="20"/>
                <w:szCs w:val="20"/>
              </w:rPr>
            </w:pPr>
            <w:r w:rsidRPr="00931274">
              <w:rPr>
                <w:iCs/>
                <w:sz w:val="20"/>
                <w:szCs w:val="20"/>
              </w:rPr>
              <w:t xml:space="preserve">                                                    </w:t>
            </w:r>
          </w:p>
          <w:p w14:paraId="0CC95B4B" w14:textId="77777777" w:rsidR="008E6831" w:rsidRPr="00A70E34" w:rsidRDefault="008E6831" w:rsidP="00B501AB">
            <w:pPr>
              <w:pStyle w:val="Neotevilenodstavek"/>
              <w:spacing w:after="0" w:line="260" w:lineRule="exact"/>
              <w:rPr>
                <w:iCs/>
                <w:sz w:val="20"/>
                <w:szCs w:val="20"/>
              </w:rPr>
            </w:pPr>
            <w:r w:rsidRPr="00A70E34">
              <w:rPr>
                <w:iCs/>
                <w:sz w:val="20"/>
                <w:szCs w:val="20"/>
              </w:rPr>
              <w:t>Priloga:</w:t>
            </w:r>
          </w:p>
          <w:p w14:paraId="23BFF1CA" w14:textId="77777777" w:rsidR="008E6831" w:rsidRPr="00A70E34" w:rsidRDefault="008E6831" w:rsidP="008E6831">
            <w:pPr>
              <w:pStyle w:val="Neotevilenodstavek"/>
              <w:numPr>
                <w:ilvl w:val="0"/>
                <w:numId w:val="8"/>
              </w:numPr>
              <w:spacing w:after="0" w:line="260" w:lineRule="exact"/>
              <w:rPr>
                <w:iCs/>
                <w:sz w:val="20"/>
                <w:szCs w:val="20"/>
              </w:rPr>
            </w:pPr>
            <w:r w:rsidRPr="00A70E34">
              <w:rPr>
                <w:iCs/>
                <w:sz w:val="20"/>
                <w:szCs w:val="20"/>
              </w:rPr>
              <w:t xml:space="preserve">Poročilo </w:t>
            </w:r>
            <w:r>
              <w:rPr>
                <w:iCs/>
                <w:sz w:val="20"/>
                <w:szCs w:val="20"/>
              </w:rPr>
              <w:t>Finančne uprave Republike Slovenije</w:t>
            </w:r>
            <w:r w:rsidRPr="00080063">
              <w:rPr>
                <w:iCs/>
                <w:sz w:val="20"/>
                <w:szCs w:val="20"/>
              </w:rPr>
              <w:t xml:space="preserve"> o stanju in gibanju davčnega dolga </w:t>
            </w:r>
            <w:r w:rsidRPr="00A70E34">
              <w:rPr>
                <w:iCs/>
                <w:sz w:val="20"/>
                <w:szCs w:val="20"/>
              </w:rPr>
              <w:t>na dan 31. december 20</w:t>
            </w:r>
            <w:r>
              <w:rPr>
                <w:iCs/>
                <w:sz w:val="20"/>
                <w:szCs w:val="20"/>
              </w:rPr>
              <w:t>24.</w:t>
            </w:r>
          </w:p>
          <w:p w14:paraId="15AB85F0" w14:textId="77777777" w:rsidR="008E6831" w:rsidRPr="00A70E34" w:rsidRDefault="008E6831" w:rsidP="00B501AB">
            <w:pPr>
              <w:pStyle w:val="Neotevilenodstavek"/>
              <w:spacing w:after="0" w:line="260" w:lineRule="exact"/>
              <w:rPr>
                <w:iCs/>
                <w:sz w:val="20"/>
                <w:szCs w:val="20"/>
              </w:rPr>
            </w:pPr>
            <w:r w:rsidRPr="00A70E34">
              <w:rPr>
                <w:iCs/>
                <w:sz w:val="20"/>
                <w:szCs w:val="20"/>
              </w:rPr>
              <w:t>Prejmejo:</w:t>
            </w:r>
          </w:p>
          <w:p w14:paraId="703DFA76" w14:textId="77777777" w:rsidR="008E6831" w:rsidRPr="00A70E34" w:rsidRDefault="008E6831" w:rsidP="008E6831">
            <w:pPr>
              <w:pStyle w:val="Neotevilenodstavek"/>
              <w:numPr>
                <w:ilvl w:val="0"/>
                <w:numId w:val="9"/>
              </w:numPr>
              <w:spacing w:after="0" w:line="260" w:lineRule="exact"/>
              <w:ind w:left="675" w:hanging="357"/>
              <w:rPr>
                <w:iCs/>
                <w:sz w:val="20"/>
                <w:szCs w:val="20"/>
              </w:rPr>
            </w:pPr>
            <w:r w:rsidRPr="00A70E34">
              <w:rPr>
                <w:iCs/>
                <w:sz w:val="20"/>
                <w:szCs w:val="20"/>
              </w:rPr>
              <w:tab/>
              <w:t>Generalni sekretariat Vlade Republike Slovenije,</w:t>
            </w:r>
          </w:p>
          <w:p w14:paraId="14BE7C80" w14:textId="77777777" w:rsidR="008E6831" w:rsidRPr="00A70E34" w:rsidRDefault="008E6831" w:rsidP="008E6831">
            <w:pPr>
              <w:pStyle w:val="Neotevilenodstavek"/>
              <w:numPr>
                <w:ilvl w:val="0"/>
                <w:numId w:val="9"/>
              </w:numPr>
              <w:spacing w:after="0" w:line="260" w:lineRule="exact"/>
              <w:ind w:left="675" w:hanging="357"/>
              <w:rPr>
                <w:iCs/>
                <w:sz w:val="20"/>
                <w:szCs w:val="20"/>
              </w:rPr>
            </w:pPr>
            <w:r w:rsidRPr="00A70E34">
              <w:rPr>
                <w:iCs/>
                <w:sz w:val="20"/>
                <w:szCs w:val="20"/>
              </w:rPr>
              <w:tab/>
              <w:t>Ministrstvo za finance,</w:t>
            </w:r>
          </w:p>
          <w:p w14:paraId="6ABB093F" w14:textId="77777777" w:rsidR="008E6831" w:rsidRPr="008D1759" w:rsidRDefault="008E6831" w:rsidP="008E6831">
            <w:pPr>
              <w:pStyle w:val="Neotevilenodstavek"/>
              <w:numPr>
                <w:ilvl w:val="0"/>
                <w:numId w:val="9"/>
              </w:numPr>
              <w:spacing w:before="0" w:after="0" w:line="260" w:lineRule="exact"/>
              <w:ind w:left="675" w:hanging="357"/>
              <w:rPr>
                <w:iCs/>
                <w:sz w:val="20"/>
                <w:szCs w:val="20"/>
              </w:rPr>
            </w:pPr>
            <w:r w:rsidRPr="00A70E34">
              <w:rPr>
                <w:iCs/>
                <w:sz w:val="20"/>
                <w:szCs w:val="20"/>
              </w:rPr>
              <w:tab/>
              <w:t>Služba Vlade za zakonodajo.</w:t>
            </w:r>
          </w:p>
        </w:tc>
      </w:tr>
      <w:tr w:rsidR="008E6831" w:rsidRPr="008D1759" w14:paraId="034F3B4B" w14:textId="77777777" w:rsidTr="00B501AB">
        <w:tc>
          <w:tcPr>
            <w:tcW w:w="9163" w:type="dxa"/>
            <w:gridSpan w:val="4"/>
          </w:tcPr>
          <w:p w14:paraId="5FEF885D" w14:textId="77777777" w:rsidR="008E6831" w:rsidRPr="00D43F59" w:rsidRDefault="008E6831" w:rsidP="00B501AB">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8E6831" w:rsidRPr="008D1759" w14:paraId="1E80FF66" w14:textId="77777777" w:rsidTr="00B501AB">
        <w:tc>
          <w:tcPr>
            <w:tcW w:w="9163" w:type="dxa"/>
            <w:gridSpan w:val="4"/>
          </w:tcPr>
          <w:p w14:paraId="11A2681E" w14:textId="77777777" w:rsidR="008E6831" w:rsidRPr="00441D47" w:rsidRDefault="008E6831" w:rsidP="00B501AB">
            <w:pPr>
              <w:pStyle w:val="Neotevilenodstavek"/>
              <w:spacing w:before="0" w:after="0" w:line="260" w:lineRule="exact"/>
              <w:rPr>
                <w:iCs/>
                <w:color w:val="A6A6A6"/>
                <w:sz w:val="20"/>
                <w:szCs w:val="20"/>
              </w:rPr>
            </w:pPr>
            <w:r w:rsidRPr="00441D47">
              <w:rPr>
                <w:iCs/>
                <w:color w:val="A6A6A6"/>
                <w:sz w:val="20"/>
                <w:szCs w:val="20"/>
              </w:rPr>
              <w:t>(Navedite razloge, razen za predlog zakona o ratifikaciji mednarodne pogodbe, ki se obravnava po nujnem postopku – 169. člen Poslovnika državnega zbora.)</w:t>
            </w:r>
          </w:p>
        </w:tc>
      </w:tr>
      <w:tr w:rsidR="008E6831" w:rsidRPr="008D1759" w14:paraId="0F723139" w14:textId="77777777" w:rsidTr="00B501AB">
        <w:tc>
          <w:tcPr>
            <w:tcW w:w="9163" w:type="dxa"/>
            <w:gridSpan w:val="4"/>
          </w:tcPr>
          <w:p w14:paraId="55D2B4E2" w14:textId="77777777" w:rsidR="008E6831" w:rsidRPr="00D43F59" w:rsidRDefault="008E6831" w:rsidP="00B501AB">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8E6831" w:rsidRPr="008D1759" w14:paraId="18F9E30C" w14:textId="77777777" w:rsidTr="00B501AB">
        <w:tc>
          <w:tcPr>
            <w:tcW w:w="9163" w:type="dxa"/>
            <w:gridSpan w:val="4"/>
          </w:tcPr>
          <w:p w14:paraId="2AD7197F" w14:textId="77777777" w:rsidR="008E6831" w:rsidRPr="00931274" w:rsidRDefault="008E6831" w:rsidP="00B501AB">
            <w:pPr>
              <w:pStyle w:val="Neotevilenodstavek"/>
              <w:spacing w:before="0" w:after="0" w:line="260" w:lineRule="exact"/>
              <w:rPr>
                <w:iCs/>
                <w:sz w:val="20"/>
                <w:szCs w:val="20"/>
              </w:rPr>
            </w:pPr>
            <w:r w:rsidRPr="00E26330">
              <w:rPr>
                <w:iCs/>
                <w:sz w:val="20"/>
                <w:szCs w:val="20"/>
              </w:rPr>
              <w:t>Peter Grum, generalni direktor Finančne uprave Republike Slovenije</w:t>
            </w:r>
          </w:p>
        </w:tc>
      </w:tr>
      <w:tr w:rsidR="008E6831" w:rsidRPr="008D1759" w14:paraId="0ECA0240" w14:textId="77777777" w:rsidTr="00B501AB">
        <w:tc>
          <w:tcPr>
            <w:tcW w:w="9163" w:type="dxa"/>
            <w:gridSpan w:val="4"/>
          </w:tcPr>
          <w:p w14:paraId="458808E5" w14:textId="77777777" w:rsidR="008E6831" w:rsidRPr="00931274" w:rsidRDefault="008E6831" w:rsidP="00B501AB">
            <w:pPr>
              <w:pStyle w:val="Neotevilenodstavek"/>
              <w:spacing w:before="0" w:after="0" w:line="260" w:lineRule="exact"/>
              <w:rPr>
                <w:b/>
                <w:iCs/>
                <w:sz w:val="20"/>
                <w:szCs w:val="20"/>
              </w:rPr>
            </w:pPr>
            <w:r w:rsidRPr="00931274">
              <w:rPr>
                <w:b/>
                <w:iCs/>
                <w:sz w:val="20"/>
                <w:szCs w:val="20"/>
              </w:rPr>
              <w:t xml:space="preserve">3.b Zunanji strokovnjaki, ki so </w:t>
            </w:r>
            <w:r w:rsidRPr="00931274">
              <w:rPr>
                <w:b/>
                <w:sz w:val="20"/>
                <w:szCs w:val="20"/>
              </w:rPr>
              <w:t>sodelovali pri pripravi dela ali celotnega gradiva:</w:t>
            </w:r>
          </w:p>
        </w:tc>
      </w:tr>
      <w:tr w:rsidR="008E6831" w:rsidRPr="008D1759" w14:paraId="7FE5BEA5" w14:textId="77777777" w:rsidTr="00B501AB">
        <w:tc>
          <w:tcPr>
            <w:tcW w:w="9163" w:type="dxa"/>
            <w:gridSpan w:val="4"/>
          </w:tcPr>
          <w:p w14:paraId="76C5088B" w14:textId="77777777" w:rsidR="008E6831" w:rsidRPr="00441D47" w:rsidRDefault="008E6831" w:rsidP="00B501AB">
            <w:pPr>
              <w:pStyle w:val="Neotevilenodstavek"/>
              <w:spacing w:before="0" w:after="0" w:line="260" w:lineRule="exact"/>
              <w:rPr>
                <w:iCs/>
                <w:color w:val="A6A6A6"/>
                <w:sz w:val="20"/>
                <w:szCs w:val="20"/>
              </w:rPr>
            </w:pPr>
          </w:p>
        </w:tc>
      </w:tr>
      <w:tr w:rsidR="008E6831" w:rsidRPr="008D1759" w14:paraId="593C7D85" w14:textId="77777777" w:rsidTr="00B501AB">
        <w:tc>
          <w:tcPr>
            <w:tcW w:w="9163" w:type="dxa"/>
            <w:gridSpan w:val="4"/>
          </w:tcPr>
          <w:p w14:paraId="2BCFAD6A" w14:textId="77777777" w:rsidR="008E6831" w:rsidRPr="00D43F59" w:rsidRDefault="008E6831" w:rsidP="00B501AB">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8E6831" w:rsidRPr="008D1759" w14:paraId="320916A4" w14:textId="77777777" w:rsidTr="00B501AB">
        <w:tc>
          <w:tcPr>
            <w:tcW w:w="9163" w:type="dxa"/>
            <w:gridSpan w:val="4"/>
          </w:tcPr>
          <w:p w14:paraId="00A83222" w14:textId="77777777" w:rsidR="008E6831" w:rsidRPr="00E26330" w:rsidRDefault="008E6831" w:rsidP="008E6831">
            <w:pPr>
              <w:pStyle w:val="Neotevilenodstavek"/>
              <w:numPr>
                <w:ilvl w:val="0"/>
                <w:numId w:val="7"/>
              </w:numPr>
              <w:spacing w:before="0" w:after="0" w:line="260" w:lineRule="exact"/>
              <w:rPr>
                <w:iCs/>
                <w:sz w:val="20"/>
                <w:szCs w:val="20"/>
              </w:rPr>
            </w:pPr>
            <w:r w:rsidRPr="00E26330">
              <w:rPr>
                <w:iCs/>
                <w:sz w:val="20"/>
                <w:szCs w:val="20"/>
              </w:rPr>
              <w:t>Klemen Boštjančič, minister za finance</w:t>
            </w:r>
          </w:p>
          <w:p w14:paraId="4F97FB85" w14:textId="77777777" w:rsidR="008E6831" w:rsidRDefault="008E6831" w:rsidP="008E6831">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80063">
              <w:rPr>
                <w:rFonts w:ascii="Arial" w:eastAsia="Times New Roman" w:hAnsi="Arial" w:cs="Arial"/>
                <w:iCs/>
                <w:sz w:val="20"/>
                <w:szCs w:val="20"/>
                <w:lang w:eastAsia="sl-SI"/>
              </w:rPr>
              <w:t xml:space="preserve">mag Katja Božič, državna sekretarka </w:t>
            </w:r>
          </w:p>
          <w:p w14:paraId="4EB58F7B" w14:textId="77777777" w:rsidR="008E6831" w:rsidRPr="00B841D4" w:rsidRDefault="008E6831" w:rsidP="008E6831">
            <w:pPr>
              <w:pStyle w:val="Naslov3"/>
              <w:keepLines w:val="0"/>
              <w:numPr>
                <w:ilvl w:val="0"/>
                <w:numId w:val="7"/>
              </w:numPr>
              <w:spacing w:before="0" w:after="0"/>
              <w:textAlignment w:val="baseline"/>
              <w:rPr>
                <w:rFonts w:ascii="Cambria" w:hAnsi="Cambria" w:cs="Times New Roman"/>
                <w:b/>
                <w:bCs/>
                <w:color w:val="auto"/>
                <w:sz w:val="26"/>
                <w:szCs w:val="26"/>
                <w:lang w:eastAsia="sl-SI"/>
              </w:rPr>
            </w:pPr>
            <w:r w:rsidRPr="00B841D4">
              <w:rPr>
                <w:rFonts w:ascii="Arial" w:hAnsi="Arial" w:cs="Arial"/>
                <w:iCs/>
                <w:color w:val="auto"/>
                <w:sz w:val="20"/>
                <w:szCs w:val="20"/>
                <w:lang w:eastAsia="sl-SI"/>
              </w:rPr>
              <w:t>mag. Saša Jazbec, državna sekretarka</w:t>
            </w:r>
          </w:p>
          <w:p w14:paraId="3DA391C6" w14:textId="77777777" w:rsidR="0073616B" w:rsidRPr="00080063" w:rsidRDefault="0073616B" w:rsidP="0073616B">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Gordana Pipan, državna sekretarka</w:t>
            </w:r>
          </w:p>
          <w:p w14:paraId="23A18618" w14:textId="77777777" w:rsidR="008E6831" w:rsidRPr="00B841D4" w:rsidRDefault="008E6831" w:rsidP="008E6831">
            <w:pPr>
              <w:pStyle w:val="Naslov3"/>
              <w:keepLines w:val="0"/>
              <w:numPr>
                <w:ilvl w:val="0"/>
                <w:numId w:val="7"/>
              </w:numPr>
              <w:spacing w:before="0" w:after="0"/>
              <w:textAlignment w:val="baseline"/>
              <w:rPr>
                <w:rFonts w:ascii="Arial" w:hAnsi="Arial" w:cs="Arial"/>
                <w:b/>
                <w:bCs/>
                <w:iCs/>
                <w:color w:val="auto"/>
                <w:sz w:val="20"/>
                <w:szCs w:val="20"/>
                <w:lang w:eastAsia="sl-SI"/>
              </w:rPr>
            </w:pPr>
            <w:proofErr w:type="spellStart"/>
            <w:r w:rsidRPr="00B841D4">
              <w:rPr>
                <w:rFonts w:ascii="Arial" w:hAnsi="Arial" w:cs="Arial"/>
                <w:iCs/>
                <w:color w:val="auto"/>
                <w:sz w:val="20"/>
                <w:szCs w:val="20"/>
                <w:lang w:eastAsia="sl-SI"/>
              </w:rPr>
              <w:t>Nikolina</w:t>
            </w:r>
            <w:proofErr w:type="spellEnd"/>
            <w:r w:rsidRPr="00B841D4">
              <w:rPr>
                <w:rFonts w:ascii="Arial" w:hAnsi="Arial" w:cs="Arial"/>
                <w:iCs/>
                <w:color w:val="auto"/>
                <w:sz w:val="20"/>
                <w:szCs w:val="20"/>
                <w:lang w:eastAsia="sl-SI"/>
              </w:rPr>
              <w:t xml:space="preserve"> Prah, državna sekretarka</w:t>
            </w:r>
          </w:p>
          <w:p w14:paraId="06A20630" w14:textId="77777777" w:rsidR="008E6831" w:rsidRPr="00E26330" w:rsidRDefault="008E6831" w:rsidP="008E6831">
            <w:pPr>
              <w:pStyle w:val="Neotevilenodstavek"/>
              <w:numPr>
                <w:ilvl w:val="0"/>
                <w:numId w:val="7"/>
              </w:numPr>
              <w:spacing w:before="0" w:after="0" w:line="260" w:lineRule="exact"/>
              <w:rPr>
                <w:iCs/>
                <w:sz w:val="20"/>
                <w:szCs w:val="20"/>
              </w:rPr>
            </w:pPr>
            <w:r w:rsidRPr="00E26330">
              <w:rPr>
                <w:iCs/>
                <w:sz w:val="20"/>
                <w:szCs w:val="20"/>
              </w:rPr>
              <w:t>Peter Grum, generalni direktor FURS</w:t>
            </w:r>
          </w:p>
          <w:p w14:paraId="10D40D26" w14:textId="77777777" w:rsidR="008E6831" w:rsidRPr="00441D47" w:rsidRDefault="008E6831" w:rsidP="008E6831">
            <w:pPr>
              <w:pStyle w:val="Neotevilenodstavek"/>
              <w:numPr>
                <w:ilvl w:val="0"/>
                <w:numId w:val="7"/>
              </w:numPr>
              <w:spacing w:before="0" w:after="0" w:line="260" w:lineRule="exact"/>
              <w:rPr>
                <w:b/>
                <w:color w:val="A6A6A6"/>
                <w:sz w:val="20"/>
                <w:szCs w:val="20"/>
              </w:rPr>
            </w:pPr>
            <w:r w:rsidRPr="00E26330">
              <w:rPr>
                <w:iCs/>
                <w:sz w:val="20"/>
                <w:szCs w:val="20"/>
              </w:rPr>
              <w:t>Marta Mihelin, direktorica Uprave za prihodke FURS GFU</w:t>
            </w:r>
          </w:p>
        </w:tc>
      </w:tr>
      <w:tr w:rsidR="008E6831" w:rsidRPr="008D1759" w14:paraId="6A024A8E" w14:textId="77777777" w:rsidTr="00B501AB">
        <w:tc>
          <w:tcPr>
            <w:tcW w:w="9163" w:type="dxa"/>
            <w:gridSpan w:val="4"/>
          </w:tcPr>
          <w:p w14:paraId="21B64F06" w14:textId="77777777" w:rsidR="008E6831" w:rsidRPr="000E220B" w:rsidRDefault="008E6831" w:rsidP="00B501AB">
            <w:pPr>
              <w:pStyle w:val="Oddelek"/>
              <w:numPr>
                <w:ilvl w:val="0"/>
                <w:numId w:val="0"/>
              </w:numPr>
              <w:spacing w:before="0" w:after="0" w:line="260" w:lineRule="exact"/>
              <w:jc w:val="left"/>
              <w:rPr>
                <w:sz w:val="20"/>
                <w:szCs w:val="20"/>
              </w:rPr>
            </w:pPr>
            <w:r w:rsidRPr="000E220B">
              <w:rPr>
                <w:sz w:val="20"/>
                <w:szCs w:val="20"/>
              </w:rPr>
              <w:t>5. Kratek povzetek gradiva:</w:t>
            </w:r>
          </w:p>
        </w:tc>
      </w:tr>
      <w:tr w:rsidR="008E6831" w:rsidRPr="008D1759" w14:paraId="12E88F4A" w14:textId="77777777" w:rsidTr="00B501AB">
        <w:trPr>
          <w:trHeight w:val="551"/>
        </w:trPr>
        <w:tc>
          <w:tcPr>
            <w:tcW w:w="9163" w:type="dxa"/>
            <w:gridSpan w:val="4"/>
          </w:tcPr>
          <w:p w14:paraId="74F31E52" w14:textId="2C748E6E" w:rsidR="008E6831" w:rsidRPr="000E220B" w:rsidRDefault="008E6831" w:rsidP="00B501AB">
            <w:pPr>
              <w:jc w:val="both"/>
              <w:rPr>
                <w:rFonts w:ascii="Arial" w:eastAsia="Times New Roman" w:hAnsi="Arial" w:cs="Arial"/>
                <w:iCs/>
                <w:sz w:val="20"/>
                <w:szCs w:val="20"/>
                <w:lang w:eastAsia="sl-SI"/>
              </w:rPr>
            </w:pPr>
            <w:r w:rsidRPr="000E220B">
              <w:rPr>
                <w:rFonts w:ascii="Arial" w:eastAsia="Times New Roman" w:hAnsi="Arial" w:cs="Arial"/>
                <w:iCs/>
                <w:sz w:val="20"/>
                <w:szCs w:val="20"/>
                <w:lang w:eastAsia="sl-SI"/>
              </w:rPr>
              <w:t>Prvi odstavek 64.a člena Zakona o javnih financah</w:t>
            </w:r>
            <w:r>
              <w:rPr>
                <w:rFonts w:ascii="Arial" w:eastAsia="Times New Roman" w:hAnsi="Arial" w:cs="Arial"/>
                <w:iCs/>
                <w:sz w:val="20"/>
                <w:szCs w:val="20"/>
                <w:lang w:eastAsia="sl-SI"/>
              </w:rPr>
              <w:t xml:space="preserve"> </w:t>
            </w:r>
            <w:r w:rsidRPr="00080063">
              <w:rPr>
                <w:rFonts w:ascii="Arial" w:eastAsia="Times New Roman" w:hAnsi="Arial" w:cs="Arial"/>
                <w:iCs/>
                <w:sz w:val="20"/>
                <w:szCs w:val="20"/>
                <w:lang w:eastAsia="sl-SI"/>
              </w:rPr>
              <w:t xml:space="preserve">(Uradni list RS, št. 11/11 – uradno prečiščeno besedilo, 14/13 – </w:t>
            </w:r>
            <w:proofErr w:type="spellStart"/>
            <w:r w:rsidRPr="00080063">
              <w:rPr>
                <w:rFonts w:ascii="Arial" w:eastAsia="Times New Roman" w:hAnsi="Arial" w:cs="Arial"/>
                <w:iCs/>
                <w:sz w:val="20"/>
                <w:szCs w:val="20"/>
                <w:lang w:eastAsia="sl-SI"/>
              </w:rPr>
              <w:t>popr</w:t>
            </w:r>
            <w:proofErr w:type="spellEnd"/>
            <w:r w:rsidRPr="00080063">
              <w:rPr>
                <w:rFonts w:ascii="Arial" w:eastAsia="Times New Roman" w:hAnsi="Arial" w:cs="Arial"/>
                <w:iCs/>
                <w:sz w:val="20"/>
                <w:szCs w:val="20"/>
                <w:lang w:eastAsia="sl-SI"/>
              </w:rPr>
              <w:t xml:space="preserve">., 101/13, 55/15 – </w:t>
            </w:r>
            <w:proofErr w:type="spellStart"/>
            <w:r w:rsidRPr="00080063">
              <w:rPr>
                <w:rFonts w:ascii="Arial" w:eastAsia="Times New Roman" w:hAnsi="Arial" w:cs="Arial"/>
                <w:iCs/>
                <w:sz w:val="20"/>
                <w:szCs w:val="20"/>
                <w:lang w:eastAsia="sl-SI"/>
              </w:rPr>
              <w:t>ZFisP</w:t>
            </w:r>
            <w:proofErr w:type="spellEnd"/>
            <w:r w:rsidRPr="00080063">
              <w:rPr>
                <w:rFonts w:ascii="Arial" w:eastAsia="Times New Roman" w:hAnsi="Arial" w:cs="Arial"/>
                <w:iCs/>
                <w:sz w:val="20"/>
                <w:szCs w:val="20"/>
                <w:lang w:eastAsia="sl-SI"/>
              </w:rPr>
              <w:t xml:space="preserve"> in 96/15 – ZIPRS1617, 13/18, 195/20 – </w:t>
            </w:r>
            <w:proofErr w:type="spellStart"/>
            <w:r w:rsidRPr="00080063">
              <w:rPr>
                <w:rFonts w:ascii="Arial" w:eastAsia="Times New Roman" w:hAnsi="Arial" w:cs="Arial"/>
                <w:iCs/>
                <w:sz w:val="20"/>
                <w:szCs w:val="20"/>
                <w:lang w:eastAsia="sl-SI"/>
              </w:rPr>
              <w:t>odl</w:t>
            </w:r>
            <w:proofErr w:type="spellEnd"/>
            <w:r w:rsidRPr="00080063">
              <w:rPr>
                <w:rFonts w:ascii="Arial" w:eastAsia="Times New Roman" w:hAnsi="Arial" w:cs="Arial"/>
                <w:iCs/>
                <w:sz w:val="20"/>
                <w:szCs w:val="20"/>
                <w:lang w:eastAsia="sl-SI"/>
              </w:rPr>
              <w:t>. US, 18/23 – ZDU-1O</w:t>
            </w:r>
            <w:r>
              <w:rPr>
                <w:rFonts w:ascii="Arial" w:eastAsia="Times New Roman" w:hAnsi="Arial" w:cs="Arial"/>
                <w:iCs/>
                <w:sz w:val="20"/>
                <w:szCs w:val="20"/>
                <w:lang w:eastAsia="sl-SI"/>
              </w:rPr>
              <w:t>,</w:t>
            </w:r>
            <w:r w:rsidRPr="00080063">
              <w:rPr>
                <w:rFonts w:ascii="Arial" w:eastAsia="Times New Roman" w:hAnsi="Arial" w:cs="Arial"/>
                <w:iCs/>
                <w:sz w:val="20"/>
                <w:szCs w:val="20"/>
                <w:lang w:eastAsia="sl-SI"/>
              </w:rPr>
              <w:t xml:space="preserve"> 76/</w:t>
            </w:r>
            <w:r w:rsidRPr="00944039">
              <w:rPr>
                <w:rFonts w:ascii="Arial" w:eastAsia="Times New Roman" w:hAnsi="Arial" w:cs="Arial"/>
                <w:iCs/>
                <w:sz w:val="20"/>
                <w:szCs w:val="20"/>
                <w:lang w:eastAsia="sl-SI"/>
              </w:rPr>
              <w:t>23</w:t>
            </w:r>
            <w:r w:rsidRPr="00944039">
              <w:rPr>
                <w:rFonts w:ascii="Arial" w:hAnsi="Arial" w:cs="Arial"/>
                <w:iCs/>
                <w:sz w:val="20"/>
                <w:szCs w:val="20"/>
              </w:rPr>
              <w:t xml:space="preserve"> in </w:t>
            </w:r>
            <w:hyperlink r:id="rId15" w:tgtFrame="_blank" w:tooltip="Zakon o fiskalnem pravilu (ZFisP-1)" w:history="1">
              <w:r w:rsidR="00944039" w:rsidRPr="00944039">
                <w:rPr>
                  <w:rFonts w:ascii="Arial" w:hAnsi="Arial" w:cs="Arial"/>
                  <w:sz w:val="20"/>
                  <w:szCs w:val="20"/>
                  <w:shd w:val="clear" w:color="auto" w:fill="FFFFFF"/>
                </w:rPr>
                <w:t>24/25</w:t>
              </w:r>
            </w:hyperlink>
            <w:r w:rsidR="00944039" w:rsidRPr="00944039">
              <w:rPr>
                <w:rFonts w:ascii="Arial" w:hAnsi="Arial" w:cs="Arial"/>
                <w:sz w:val="20"/>
                <w:szCs w:val="20"/>
                <w:shd w:val="clear" w:color="auto" w:fill="FFFFFF"/>
              </w:rPr>
              <w:t> – ZFisP-1 in 39/25</w:t>
            </w:r>
            <w:r w:rsidRPr="00080063">
              <w:rPr>
                <w:rFonts w:ascii="Arial" w:eastAsia="Times New Roman" w:hAnsi="Arial" w:cs="Arial"/>
                <w:iCs/>
                <w:sz w:val="20"/>
                <w:szCs w:val="20"/>
                <w:lang w:eastAsia="sl-SI"/>
              </w:rPr>
              <w:t>)</w:t>
            </w:r>
            <w:r w:rsidRPr="000E220B">
              <w:rPr>
                <w:rFonts w:ascii="Arial" w:eastAsia="Times New Roman" w:hAnsi="Arial" w:cs="Arial"/>
                <w:iCs/>
                <w:sz w:val="20"/>
                <w:szCs w:val="20"/>
                <w:lang w:eastAsia="sl-SI"/>
              </w:rPr>
              <w:t xml:space="preserve"> določa obveznost </w:t>
            </w:r>
            <w:r>
              <w:rPr>
                <w:rFonts w:ascii="Arial" w:eastAsia="Times New Roman" w:hAnsi="Arial" w:cs="Arial"/>
                <w:iCs/>
                <w:sz w:val="20"/>
                <w:szCs w:val="20"/>
                <w:lang w:eastAsia="sl-SI"/>
              </w:rPr>
              <w:t>v</w:t>
            </w:r>
            <w:r w:rsidRPr="000E220B">
              <w:rPr>
                <w:rFonts w:ascii="Arial" w:eastAsia="Times New Roman" w:hAnsi="Arial" w:cs="Arial"/>
                <w:iCs/>
                <w:sz w:val="20"/>
                <w:szCs w:val="20"/>
                <w:lang w:eastAsia="sl-SI"/>
              </w:rPr>
              <w:t>lade</w:t>
            </w:r>
            <w:r w:rsidR="00B841D4">
              <w:rPr>
                <w:rFonts w:ascii="Arial" w:eastAsia="Times New Roman" w:hAnsi="Arial" w:cs="Arial"/>
                <w:iCs/>
                <w:sz w:val="20"/>
                <w:szCs w:val="20"/>
                <w:lang w:eastAsia="sl-SI"/>
              </w:rPr>
              <w:t>,</w:t>
            </w:r>
            <w:r w:rsidRPr="000E220B">
              <w:rPr>
                <w:rFonts w:ascii="Arial" w:eastAsia="Times New Roman" w:hAnsi="Arial" w:cs="Arial"/>
                <w:iCs/>
                <w:sz w:val="20"/>
                <w:szCs w:val="20"/>
                <w:lang w:eastAsia="sl-SI"/>
              </w:rPr>
              <w:t xml:space="preserve"> da </w:t>
            </w:r>
            <w:r>
              <w:rPr>
                <w:rFonts w:ascii="Arial" w:eastAsia="Times New Roman" w:hAnsi="Arial" w:cs="Arial"/>
                <w:iCs/>
                <w:sz w:val="20"/>
                <w:szCs w:val="20"/>
                <w:lang w:eastAsia="sl-SI"/>
              </w:rPr>
              <w:t>d</w:t>
            </w:r>
            <w:r w:rsidRPr="000E220B">
              <w:rPr>
                <w:rFonts w:ascii="Arial" w:eastAsia="Times New Roman" w:hAnsi="Arial" w:cs="Arial"/>
                <w:iCs/>
                <w:sz w:val="20"/>
                <w:szCs w:val="20"/>
                <w:lang w:eastAsia="sl-SI"/>
              </w:rPr>
              <w:t>ržavnemu zboru hkrati z zaključnim računom državnega proračuna za posamezno leto predloži podatke o stanju in gibanju davčnega dolga v preteklem letu.</w:t>
            </w:r>
          </w:p>
          <w:p w14:paraId="2DDF2FD8" w14:textId="59610C5E" w:rsidR="008E6831" w:rsidRPr="000E220B" w:rsidRDefault="008E6831" w:rsidP="00B501AB">
            <w:pPr>
              <w:pStyle w:val="Pripombabesedilo"/>
              <w:spacing w:line="276" w:lineRule="auto"/>
              <w:rPr>
                <w:rFonts w:ascii="Arial" w:hAnsi="Arial" w:cs="Arial"/>
              </w:rPr>
            </w:pPr>
            <w:r w:rsidRPr="000E220B">
              <w:rPr>
                <w:rFonts w:ascii="Arial" w:hAnsi="Arial" w:cs="Arial"/>
              </w:rPr>
              <w:t xml:space="preserve">Čeprav je to poročilo predloženo hkrati z zaključnim računom državnega proračuna, se poročilo o prihodkih in davčnem dolgu nanaša na vse štiri </w:t>
            </w:r>
            <w:r>
              <w:rPr>
                <w:rFonts w:ascii="Arial" w:hAnsi="Arial" w:cs="Arial"/>
              </w:rPr>
              <w:t xml:space="preserve">javnofinančne </w:t>
            </w:r>
            <w:r w:rsidRPr="00080063">
              <w:rPr>
                <w:rFonts w:ascii="Arial" w:hAnsi="Arial" w:cs="Arial"/>
              </w:rPr>
              <w:t>blagajne</w:t>
            </w:r>
            <w:r>
              <w:rPr>
                <w:rFonts w:ascii="Arial" w:hAnsi="Arial" w:cs="Arial"/>
              </w:rPr>
              <w:t>,</w:t>
            </w:r>
            <w:r w:rsidRPr="000E220B" w:rsidDel="00074386">
              <w:rPr>
                <w:rFonts w:ascii="Arial" w:hAnsi="Arial" w:cs="Arial"/>
              </w:rPr>
              <w:t xml:space="preserve"> </w:t>
            </w:r>
            <w:r w:rsidRPr="000E220B">
              <w:rPr>
                <w:rFonts w:ascii="Arial" w:hAnsi="Arial" w:cs="Arial"/>
              </w:rPr>
              <w:t xml:space="preserve">za katere </w:t>
            </w:r>
            <w:r w:rsidRPr="00080063">
              <w:rPr>
                <w:rFonts w:ascii="Arial" w:hAnsi="Arial" w:cs="Arial"/>
              </w:rPr>
              <w:t>F</w:t>
            </w:r>
            <w:r>
              <w:rPr>
                <w:rFonts w:ascii="Arial" w:hAnsi="Arial" w:cs="Arial"/>
              </w:rPr>
              <w:t>inančna uprava Republike Slovenije (v nadaljnjem besedilu: F</w:t>
            </w:r>
            <w:r w:rsidRPr="00080063">
              <w:rPr>
                <w:rFonts w:ascii="Arial" w:hAnsi="Arial" w:cs="Arial"/>
              </w:rPr>
              <w:t>URS</w:t>
            </w:r>
            <w:r>
              <w:rPr>
                <w:rFonts w:ascii="Arial" w:hAnsi="Arial" w:cs="Arial"/>
              </w:rPr>
              <w:t>)</w:t>
            </w:r>
            <w:r w:rsidRPr="000E220B">
              <w:rPr>
                <w:rFonts w:ascii="Arial" w:hAnsi="Arial" w:cs="Arial"/>
              </w:rPr>
              <w:t xml:space="preserve"> pobira dajatve: proračun države, </w:t>
            </w:r>
            <w:r w:rsidRPr="00080063">
              <w:rPr>
                <w:rFonts w:ascii="Arial" w:hAnsi="Arial" w:cs="Arial"/>
              </w:rPr>
              <w:t>Zavod za pokojninsko in invalidsko zavarovanje</w:t>
            </w:r>
            <w:r>
              <w:rPr>
                <w:rFonts w:ascii="Arial" w:hAnsi="Arial" w:cs="Arial"/>
              </w:rPr>
              <w:t xml:space="preserve"> Slovenije </w:t>
            </w:r>
            <w:r w:rsidRPr="00337757">
              <w:rPr>
                <w:rFonts w:ascii="Arial" w:hAnsi="Arial" w:cs="Arial"/>
              </w:rPr>
              <w:t>(v nadaljnjem besedilu: ZPIZ)</w:t>
            </w:r>
            <w:r w:rsidRPr="00080063">
              <w:rPr>
                <w:rFonts w:ascii="Arial" w:hAnsi="Arial" w:cs="Arial"/>
              </w:rPr>
              <w:t>, Zavod za zdravstveno zavarovanje</w:t>
            </w:r>
            <w:r>
              <w:rPr>
                <w:rFonts w:ascii="Arial" w:hAnsi="Arial" w:cs="Arial"/>
              </w:rPr>
              <w:t xml:space="preserve"> Slovenije </w:t>
            </w:r>
            <w:r w:rsidRPr="00337757">
              <w:rPr>
                <w:rFonts w:ascii="Arial" w:hAnsi="Arial" w:cs="Arial"/>
              </w:rPr>
              <w:t>(v nadaljnjem besedilu: ZZZS)</w:t>
            </w:r>
            <w:r w:rsidR="00B841D4">
              <w:rPr>
                <w:rFonts w:ascii="Arial" w:hAnsi="Arial" w:cs="Arial"/>
              </w:rPr>
              <w:t xml:space="preserve"> </w:t>
            </w:r>
            <w:r w:rsidR="00A4100A">
              <w:rPr>
                <w:rFonts w:ascii="Arial" w:hAnsi="Arial" w:cs="Arial"/>
              </w:rPr>
              <w:t>ter</w:t>
            </w:r>
            <w:r w:rsidRPr="000E220B">
              <w:rPr>
                <w:rFonts w:ascii="Arial" w:hAnsi="Arial" w:cs="Arial"/>
              </w:rPr>
              <w:t xml:space="preserve"> proračune občin. </w:t>
            </w:r>
          </w:p>
          <w:p w14:paraId="663B3547" w14:textId="77777777" w:rsidR="008E6831" w:rsidRPr="000E220B" w:rsidRDefault="008E6831" w:rsidP="00B501AB">
            <w:pPr>
              <w:pStyle w:val="Pripombabesedilo"/>
              <w:spacing w:line="276" w:lineRule="auto"/>
              <w:rPr>
                <w:rFonts w:ascii="Arial" w:hAnsi="Arial" w:cs="Arial"/>
              </w:rPr>
            </w:pPr>
          </w:p>
          <w:p w14:paraId="0877CD66" w14:textId="78060010" w:rsidR="008E6831" w:rsidRDefault="008E6831" w:rsidP="00B501AB">
            <w:pPr>
              <w:jc w:val="both"/>
              <w:rPr>
                <w:rFonts w:ascii="Arial" w:hAnsi="Arial" w:cs="Arial"/>
                <w:sz w:val="20"/>
                <w:szCs w:val="20"/>
              </w:rPr>
            </w:pPr>
            <w:r w:rsidRPr="009F2DC5">
              <w:rPr>
                <w:rFonts w:ascii="Arial" w:hAnsi="Arial" w:cs="Arial"/>
                <w:sz w:val="20"/>
                <w:szCs w:val="20"/>
              </w:rPr>
              <w:t>V letu 202</w:t>
            </w:r>
            <w:r>
              <w:rPr>
                <w:rFonts w:ascii="Arial" w:hAnsi="Arial" w:cs="Arial"/>
                <w:sz w:val="20"/>
                <w:szCs w:val="20"/>
              </w:rPr>
              <w:t>4</w:t>
            </w:r>
            <w:r w:rsidRPr="009F2DC5">
              <w:rPr>
                <w:rFonts w:ascii="Arial" w:hAnsi="Arial" w:cs="Arial"/>
                <w:sz w:val="20"/>
                <w:szCs w:val="20"/>
              </w:rPr>
              <w:t xml:space="preserve"> je FURS pobral </w:t>
            </w:r>
            <w:r w:rsidRPr="0034717D">
              <w:rPr>
                <w:rFonts w:ascii="Arial" w:hAnsi="Arial" w:cs="Arial"/>
                <w:sz w:val="20"/>
                <w:szCs w:val="20"/>
              </w:rPr>
              <w:t xml:space="preserve">neto </w:t>
            </w:r>
            <w:r>
              <w:rPr>
                <w:rFonts w:ascii="Arial" w:hAnsi="Arial" w:cs="Arial"/>
                <w:sz w:val="20"/>
                <w:szCs w:val="20"/>
              </w:rPr>
              <w:t>25.111.008.787</w:t>
            </w:r>
            <w:r w:rsidRPr="0034717D">
              <w:rPr>
                <w:rFonts w:ascii="Arial" w:hAnsi="Arial" w:cs="Arial"/>
                <w:sz w:val="20"/>
                <w:szCs w:val="20"/>
              </w:rPr>
              <w:t xml:space="preserve"> EUR </w:t>
            </w:r>
            <w:r w:rsidRPr="009F2DC5">
              <w:rPr>
                <w:rFonts w:ascii="Arial" w:hAnsi="Arial" w:cs="Arial"/>
                <w:sz w:val="20"/>
                <w:szCs w:val="20"/>
              </w:rPr>
              <w:t xml:space="preserve">prihodkov za vse štiri </w:t>
            </w:r>
            <w:r w:rsidRPr="00E769B7">
              <w:rPr>
                <w:rFonts w:ascii="Arial" w:hAnsi="Arial" w:cs="Arial"/>
                <w:sz w:val="20"/>
                <w:szCs w:val="20"/>
              </w:rPr>
              <w:t xml:space="preserve">blagajne javnega financiranja, kar je za </w:t>
            </w:r>
            <w:r>
              <w:rPr>
                <w:rFonts w:ascii="Arial" w:hAnsi="Arial" w:cs="Arial"/>
                <w:sz w:val="20"/>
                <w:szCs w:val="20"/>
              </w:rPr>
              <w:t>2.605.835.459</w:t>
            </w:r>
            <w:r w:rsidRPr="00891513" w:rsidDel="00891513">
              <w:rPr>
                <w:rFonts w:ascii="Arial" w:hAnsi="Arial" w:cs="Arial"/>
                <w:sz w:val="20"/>
                <w:szCs w:val="20"/>
              </w:rPr>
              <w:t xml:space="preserve"> </w:t>
            </w:r>
            <w:r w:rsidRPr="00E769B7">
              <w:rPr>
                <w:rFonts w:ascii="Arial" w:hAnsi="Arial" w:cs="Arial"/>
                <w:sz w:val="20"/>
                <w:szCs w:val="20"/>
              </w:rPr>
              <w:t xml:space="preserve">EUR </w:t>
            </w:r>
            <w:r w:rsidR="00A4100A">
              <w:rPr>
                <w:rFonts w:ascii="Arial" w:hAnsi="Arial" w:cs="Arial"/>
                <w:sz w:val="20"/>
                <w:szCs w:val="20"/>
              </w:rPr>
              <w:t>ali</w:t>
            </w:r>
            <w:r w:rsidRPr="00E769B7">
              <w:rPr>
                <w:rFonts w:ascii="Arial" w:hAnsi="Arial" w:cs="Arial"/>
                <w:sz w:val="20"/>
                <w:szCs w:val="20"/>
              </w:rPr>
              <w:t xml:space="preserve"> </w:t>
            </w:r>
            <w:r>
              <w:rPr>
                <w:rFonts w:ascii="Arial" w:hAnsi="Arial" w:cs="Arial"/>
                <w:sz w:val="20"/>
                <w:szCs w:val="20"/>
              </w:rPr>
              <w:t>11,6</w:t>
            </w:r>
            <w:r w:rsidRPr="00E769B7">
              <w:rPr>
                <w:rFonts w:ascii="Arial" w:hAnsi="Arial" w:cs="Arial"/>
                <w:sz w:val="20"/>
                <w:szCs w:val="20"/>
              </w:rPr>
              <w:t xml:space="preserve"> odstotk</w:t>
            </w:r>
            <w:r>
              <w:rPr>
                <w:rFonts w:ascii="Arial" w:hAnsi="Arial" w:cs="Arial"/>
                <w:sz w:val="20"/>
                <w:szCs w:val="20"/>
              </w:rPr>
              <w:t>a</w:t>
            </w:r>
            <w:r w:rsidRPr="00E769B7">
              <w:rPr>
                <w:rFonts w:ascii="Arial" w:hAnsi="Arial" w:cs="Arial"/>
                <w:sz w:val="20"/>
                <w:szCs w:val="20"/>
              </w:rPr>
              <w:t xml:space="preserve"> več k</w:t>
            </w:r>
            <w:r w:rsidR="00A4100A">
              <w:rPr>
                <w:rFonts w:ascii="Arial" w:hAnsi="Arial" w:cs="Arial"/>
                <w:sz w:val="20"/>
                <w:szCs w:val="20"/>
              </w:rPr>
              <w:t>akor</w:t>
            </w:r>
            <w:r w:rsidRPr="00E769B7">
              <w:rPr>
                <w:rFonts w:ascii="Arial" w:hAnsi="Arial" w:cs="Arial"/>
                <w:sz w:val="20"/>
                <w:szCs w:val="20"/>
              </w:rPr>
              <w:t xml:space="preserve"> v letu </w:t>
            </w:r>
            <w:r w:rsidR="00A4100A">
              <w:rPr>
                <w:rFonts w:ascii="Arial" w:hAnsi="Arial" w:cs="Arial"/>
                <w:sz w:val="20"/>
                <w:szCs w:val="20"/>
              </w:rPr>
              <w:t>pred tem</w:t>
            </w:r>
            <w:r w:rsidRPr="00E769B7">
              <w:rPr>
                <w:rFonts w:ascii="Arial" w:hAnsi="Arial" w:cs="Arial"/>
                <w:sz w:val="20"/>
                <w:szCs w:val="20"/>
              </w:rPr>
              <w:t>.</w:t>
            </w:r>
          </w:p>
          <w:p w14:paraId="770F650B" w14:textId="66750279" w:rsidR="008E6831" w:rsidRPr="00D32ACA" w:rsidRDefault="008E6831" w:rsidP="00B501AB">
            <w:pPr>
              <w:jc w:val="both"/>
              <w:rPr>
                <w:rFonts w:ascii="Arial" w:hAnsi="Arial" w:cs="Arial"/>
                <w:sz w:val="20"/>
                <w:szCs w:val="20"/>
              </w:rPr>
            </w:pPr>
            <w:r>
              <w:rPr>
                <w:rFonts w:ascii="Arial" w:hAnsi="Arial" w:cs="Arial"/>
                <w:sz w:val="20"/>
                <w:szCs w:val="20"/>
              </w:rPr>
              <w:t>N</w:t>
            </w:r>
            <w:r w:rsidRPr="000130D8">
              <w:rPr>
                <w:rFonts w:ascii="Arial" w:hAnsi="Arial" w:cs="Arial"/>
                <w:sz w:val="20"/>
                <w:szCs w:val="20"/>
              </w:rPr>
              <w:t xml:space="preserve">a dan 31. </w:t>
            </w:r>
            <w:r>
              <w:rPr>
                <w:rFonts w:ascii="Arial" w:hAnsi="Arial" w:cs="Arial"/>
                <w:sz w:val="20"/>
                <w:szCs w:val="20"/>
              </w:rPr>
              <w:t>december</w:t>
            </w:r>
            <w:r w:rsidRPr="000130D8">
              <w:rPr>
                <w:rFonts w:ascii="Arial" w:hAnsi="Arial" w:cs="Arial"/>
                <w:sz w:val="20"/>
                <w:szCs w:val="20"/>
              </w:rPr>
              <w:t xml:space="preserve"> 2024 </w:t>
            </w:r>
            <w:r w:rsidRPr="00773D0C">
              <w:rPr>
                <w:rFonts w:ascii="Arial" w:hAnsi="Arial" w:cs="Arial"/>
                <w:sz w:val="20"/>
                <w:szCs w:val="20"/>
              </w:rPr>
              <w:t xml:space="preserve">je </w:t>
            </w:r>
            <w:r w:rsidR="00A008EC">
              <w:rPr>
                <w:rFonts w:ascii="Arial" w:hAnsi="Arial" w:cs="Arial"/>
                <w:sz w:val="20"/>
                <w:szCs w:val="20"/>
              </w:rPr>
              <w:t>bil</w:t>
            </w:r>
            <w:r w:rsidRPr="00773D0C">
              <w:rPr>
                <w:rFonts w:ascii="Arial" w:hAnsi="Arial" w:cs="Arial"/>
                <w:sz w:val="20"/>
                <w:szCs w:val="20"/>
              </w:rPr>
              <w:t xml:space="preserve"> davčni dolg </w:t>
            </w:r>
            <w:r w:rsidRPr="006374C2">
              <w:rPr>
                <w:rFonts w:ascii="Arial" w:hAnsi="Arial" w:cs="Arial"/>
                <w:sz w:val="20"/>
                <w:szCs w:val="20"/>
              </w:rPr>
              <w:t xml:space="preserve">za vse blagajne javnega financiranja </w:t>
            </w:r>
            <w:r>
              <w:rPr>
                <w:rFonts w:ascii="Arial" w:hAnsi="Arial" w:cs="Arial"/>
                <w:sz w:val="20"/>
                <w:szCs w:val="20"/>
              </w:rPr>
              <w:t>901.937.257</w:t>
            </w:r>
            <w:r w:rsidRPr="00685B8F">
              <w:rPr>
                <w:rFonts w:ascii="Arial" w:hAnsi="Arial" w:cs="Arial"/>
                <w:sz w:val="20"/>
                <w:szCs w:val="20"/>
              </w:rPr>
              <w:t xml:space="preserve"> </w:t>
            </w:r>
            <w:r w:rsidRPr="00773D0C">
              <w:rPr>
                <w:rFonts w:ascii="Arial" w:hAnsi="Arial" w:cs="Arial"/>
                <w:sz w:val="20"/>
                <w:szCs w:val="20"/>
              </w:rPr>
              <w:t>EUR</w:t>
            </w:r>
            <w:r w:rsidRPr="00AE0745">
              <w:rPr>
                <w:rFonts w:ascii="Arial" w:hAnsi="Arial" w:cs="Arial"/>
                <w:sz w:val="20"/>
                <w:szCs w:val="20"/>
              </w:rPr>
              <w:t xml:space="preserve">. </w:t>
            </w:r>
            <w:r w:rsidRPr="000130D8">
              <w:rPr>
                <w:rFonts w:ascii="Arial" w:hAnsi="Arial" w:cs="Arial"/>
                <w:sz w:val="20"/>
                <w:szCs w:val="20"/>
              </w:rPr>
              <w:t xml:space="preserve">V letu 2024 se je davčni dolg </w:t>
            </w:r>
            <w:r w:rsidR="00A008EC">
              <w:rPr>
                <w:rFonts w:ascii="Arial" w:hAnsi="Arial" w:cs="Arial"/>
                <w:sz w:val="20"/>
                <w:szCs w:val="20"/>
              </w:rPr>
              <w:t>povečal</w:t>
            </w:r>
            <w:r w:rsidRPr="000130D8">
              <w:rPr>
                <w:rFonts w:ascii="Arial" w:hAnsi="Arial" w:cs="Arial"/>
                <w:sz w:val="20"/>
                <w:szCs w:val="20"/>
              </w:rPr>
              <w:t xml:space="preserve"> za 60.128.463 EUR a</w:t>
            </w:r>
            <w:r w:rsidR="00A008EC">
              <w:rPr>
                <w:rFonts w:ascii="Arial" w:hAnsi="Arial" w:cs="Arial"/>
                <w:sz w:val="20"/>
                <w:szCs w:val="20"/>
              </w:rPr>
              <w:t>li</w:t>
            </w:r>
            <w:r w:rsidRPr="000130D8">
              <w:rPr>
                <w:rFonts w:ascii="Arial" w:hAnsi="Arial" w:cs="Arial"/>
                <w:sz w:val="20"/>
                <w:szCs w:val="20"/>
              </w:rPr>
              <w:t xml:space="preserve"> 7,1 odstotk</w:t>
            </w:r>
            <w:r>
              <w:rPr>
                <w:rFonts w:ascii="Arial" w:hAnsi="Arial" w:cs="Arial"/>
                <w:sz w:val="20"/>
                <w:szCs w:val="20"/>
              </w:rPr>
              <w:t>a</w:t>
            </w:r>
            <w:r w:rsidRPr="000130D8">
              <w:rPr>
                <w:rFonts w:ascii="Arial" w:hAnsi="Arial" w:cs="Arial"/>
                <w:sz w:val="20"/>
                <w:szCs w:val="20"/>
              </w:rPr>
              <w:t xml:space="preserve"> </w:t>
            </w:r>
            <w:r w:rsidRPr="00D32ACA">
              <w:rPr>
                <w:rFonts w:ascii="Arial" w:hAnsi="Arial" w:cs="Arial"/>
                <w:sz w:val="20"/>
                <w:szCs w:val="20"/>
              </w:rPr>
              <w:t xml:space="preserve">v primerjavi z letom </w:t>
            </w:r>
            <w:r w:rsidR="00A008EC">
              <w:rPr>
                <w:rFonts w:ascii="Arial" w:hAnsi="Arial" w:cs="Arial"/>
                <w:sz w:val="20"/>
                <w:szCs w:val="20"/>
              </w:rPr>
              <w:t>prej</w:t>
            </w:r>
            <w:r>
              <w:rPr>
                <w:rFonts w:ascii="Arial" w:hAnsi="Arial" w:cs="Arial"/>
                <w:sz w:val="20"/>
                <w:szCs w:val="20"/>
              </w:rPr>
              <w:t xml:space="preserve">. </w:t>
            </w:r>
            <w:r w:rsidRPr="00D32ACA">
              <w:rPr>
                <w:rFonts w:ascii="Arial" w:hAnsi="Arial" w:cs="Arial"/>
                <w:sz w:val="20"/>
                <w:szCs w:val="20"/>
              </w:rPr>
              <w:t xml:space="preserve">Eden od  razlogov za višje stanje dolga konec leta 2024 je bila sprememba terjatve po obračunu v </w:t>
            </w:r>
            <w:r w:rsidR="00A008EC">
              <w:rPr>
                <w:rFonts w:ascii="Arial" w:hAnsi="Arial" w:cs="Arial"/>
                <w:sz w:val="20"/>
                <w:szCs w:val="20"/>
              </w:rPr>
              <w:t>znesku</w:t>
            </w:r>
            <w:r w:rsidRPr="00D32ACA">
              <w:rPr>
                <w:rFonts w:ascii="Arial" w:hAnsi="Arial" w:cs="Arial"/>
                <w:sz w:val="20"/>
                <w:szCs w:val="20"/>
              </w:rPr>
              <w:t xml:space="preserve"> 23,1 mi</w:t>
            </w:r>
            <w:r>
              <w:rPr>
                <w:rFonts w:ascii="Arial" w:hAnsi="Arial" w:cs="Arial"/>
                <w:sz w:val="20"/>
                <w:szCs w:val="20"/>
              </w:rPr>
              <w:t>l</w:t>
            </w:r>
            <w:r w:rsidR="002E4B69">
              <w:rPr>
                <w:rFonts w:ascii="Arial" w:hAnsi="Arial" w:cs="Arial"/>
                <w:sz w:val="20"/>
                <w:szCs w:val="20"/>
              </w:rPr>
              <w:t>i</w:t>
            </w:r>
            <w:r>
              <w:rPr>
                <w:rFonts w:ascii="Arial" w:hAnsi="Arial" w:cs="Arial"/>
                <w:sz w:val="20"/>
                <w:szCs w:val="20"/>
              </w:rPr>
              <w:t>j</w:t>
            </w:r>
            <w:r w:rsidRPr="00D32ACA">
              <w:rPr>
                <w:rFonts w:ascii="Arial" w:hAnsi="Arial" w:cs="Arial"/>
                <w:sz w:val="20"/>
                <w:szCs w:val="20"/>
              </w:rPr>
              <w:t>o</w:t>
            </w:r>
            <w:r>
              <w:rPr>
                <w:rFonts w:ascii="Arial" w:hAnsi="Arial" w:cs="Arial"/>
                <w:sz w:val="20"/>
                <w:szCs w:val="20"/>
              </w:rPr>
              <w:t>n</w:t>
            </w:r>
            <w:r w:rsidR="00A008EC">
              <w:rPr>
                <w:rFonts w:ascii="Arial" w:hAnsi="Arial" w:cs="Arial"/>
                <w:sz w:val="20"/>
                <w:szCs w:val="20"/>
              </w:rPr>
              <w:t>a</w:t>
            </w:r>
            <w:r w:rsidRPr="00D32ACA">
              <w:rPr>
                <w:rFonts w:ascii="Arial" w:hAnsi="Arial" w:cs="Arial"/>
                <w:sz w:val="20"/>
                <w:szCs w:val="20"/>
              </w:rPr>
              <w:t xml:space="preserve"> EUR, </w:t>
            </w:r>
            <w:r w:rsidR="00BE437C">
              <w:rPr>
                <w:rFonts w:ascii="Arial" w:hAnsi="Arial" w:cs="Arial"/>
                <w:sz w:val="20"/>
                <w:szCs w:val="20"/>
              </w:rPr>
              <w:t>izvedena</w:t>
            </w:r>
            <w:r w:rsidR="00BE437C" w:rsidRPr="00721DA2">
              <w:rPr>
                <w:rFonts w:ascii="Arial" w:hAnsi="Arial" w:cs="Arial"/>
                <w:sz w:val="20"/>
                <w:szCs w:val="20"/>
              </w:rPr>
              <w:t xml:space="preserve"> v </w:t>
            </w:r>
            <w:r w:rsidR="00BE437C">
              <w:rPr>
                <w:rFonts w:ascii="Arial" w:hAnsi="Arial" w:cs="Arial"/>
                <w:sz w:val="20"/>
                <w:szCs w:val="20"/>
              </w:rPr>
              <w:t>obdobju</w:t>
            </w:r>
            <w:r w:rsidR="00BE437C" w:rsidRPr="00721DA2">
              <w:rPr>
                <w:rFonts w:ascii="Arial" w:hAnsi="Arial" w:cs="Arial"/>
                <w:sz w:val="20"/>
                <w:szCs w:val="20"/>
              </w:rPr>
              <w:t xml:space="preserve"> izpisa odprtih postavk (v nadaljnjem besedilu: IOP)</w:t>
            </w:r>
            <w:r w:rsidR="00BE437C">
              <w:rPr>
                <w:rFonts w:ascii="Arial" w:hAnsi="Arial" w:cs="Arial"/>
                <w:sz w:val="20"/>
                <w:szCs w:val="20"/>
              </w:rPr>
              <w:t xml:space="preserve"> </w:t>
            </w:r>
            <w:r w:rsidR="00BE437C" w:rsidRPr="00721DA2">
              <w:rPr>
                <w:rFonts w:ascii="Arial" w:hAnsi="Arial" w:cs="Arial"/>
                <w:sz w:val="20"/>
                <w:szCs w:val="20"/>
              </w:rPr>
              <w:t>za zaključni račun</w:t>
            </w:r>
            <w:r w:rsidR="00BE437C">
              <w:rPr>
                <w:rFonts w:ascii="Arial" w:hAnsi="Arial" w:cs="Arial"/>
                <w:sz w:val="20"/>
                <w:szCs w:val="20"/>
              </w:rPr>
              <w:t>. Njenega</w:t>
            </w:r>
            <w:r w:rsidR="00BE437C" w:rsidRPr="00721DA2">
              <w:rPr>
                <w:rFonts w:ascii="Arial" w:hAnsi="Arial" w:cs="Arial"/>
                <w:sz w:val="20"/>
                <w:szCs w:val="20"/>
              </w:rPr>
              <w:t xml:space="preserve"> </w:t>
            </w:r>
            <w:r w:rsidR="00BE437C" w:rsidRPr="0013459E">
              <w:rPr>
                <w:rFonts w:ascii="Arial" w:hAnsi="Arial" w:cs="Arial"/>
                <w:sz w:val="20"/>
                <w:szCs w:val="20"/>
              </w:rPr>
              <w:t>popravka</w:t>
            </w:r>
            <w:r w:rsidR="00BE437C" w:rsidRPr="00721DA2">
              <w:rPr>
                <w:rFonts w:ascii="Arial" w:hAnsi="Arial" w:cs="Arial"/>
                <w:sz w:val="20"/>
                <w:szCs w:val="20"/>
              </w:rPr>
              <w:t xml:space="preserve"> ni bilo več mogoče vključiti v leto 2024</w:t>
            </w:r>
            <w:r w:rsidR="00BE437C">
              <w:rPr>
                <w:rFonts w:ascii="Arial" w:hAnsi="Arial" w:cs="Arial"/>
                <w:sz w:val="20"/>
                <w:szCs w:val="20"/>
              </w:rPr>
              <w:t>,</w:t>
            </w:r>
            <w:r w:rsidR="00BE437C" w:rsidRPr="00721DA2">
              <w:rPr>
                <w:rFonts w:ascii="Arial" w:hAnsi="Arial" w:cs="Arial"/>
                <w:sz w:val="20"/>
                <w:szCs w:val="20"/>
              </w:rPr>
              <w:t xml:space="preserve"> </w:t>
            </w:r>
            <w:r w:rsidR="00BE437C">
              <w:rPr>
                <w:rFonts w:ascii="Arial" w:hAnsi="Arial" w:cs="Arial"/>
                <w:sz w:val="20"/>
                <w:szCs w:val="20"/>
              </w:rPr>
              <w:t>zato se p</w:t>
            </w:r>
            <w:r w:rsidR="00BE437C" w:rsidRPr="00721DA2">
              <w:rPr>
                <w:rFonts w:ascii="Arial" w:hAnsi="Arial" w:cs="Arial"/>
                <w:sz w:val="20"/>
                <w:szCs w:val="20"/>
              </w:rPr>
              <w:t>ostavka</w:t>
            </w:r>
            <w:r w:rsidR="00BE437C" w:rsidRPr="00721DA2">
              <w:rPr>
                <w:rStyle w:val="Sprotnaopomba-sklic"/>
                <w:rFonts w:ascii="Arial" w:hAnsi="Arial" w:cs="Arial"/>
                <w:sz w:val="20"/>
                <w:szCs w:val="20"/>
              </w:rPr>
              <w:footnoteReference w:id="1"/>
            </w:r>
            <w:r w:rsidR="00BE437C" w:rsidRPr="00721DA2">
              <w:rPr>
                <w:rFonts w:ascii="Arial" w:hAnsi="Arial" w:cs="Arial"/>
                <w:sz w:val="20"/>
                <w:szCs w:val="20"/>
              </w:rPr>
              <w:t xml:space="preserve"> izkazuje v aktivnem davčnem dolgu </w:t>
            </w:r>
            <w:r w:rsidR="00BE437C">
              <w:rPr>
                <w:rFonts w:ascii="Arial" w:hAnsi="Arial" w:cs="Arial"/>
                <w:sz w:val="20"/>
                <w:szCs w:val="20"/>
              </w:rPr>
              <w:t>pri</w:t>
            </w:r>
            <w:r w:rsidR="00BE437C" w:rsidRPr="00BE344A">
              <w:rPr>
                <w:rFonts w:ascii="Arial" w:hAnsi="Arial" w:cs="Arial"/>
                <w:sz w:val="20"/>
                <w:szCs w:val="20"/>
              </w:rPr>
              <w:t xml:space="preserve"> </w:t>
            </w:r>
            <w:r w:rsidR="00BE437C" w:rsidRPr="00721DA2">
              <w:rPr>
                <w:rFonts w:ascii="Arial" w:hAnsi="Arial" w:cs="Arial"/>
                <w:sz w:val="20"/>
                <w:szCs w:val="20"/>
              </w:rPr>
              <w:t>trošarin</w:t>
            </w:r>
            <w:r w:rsidR="00BE437C">
              <w:rPr>
                <w:rFonts w:ascii="Arial" w:hAnsi="Arial" w:cs="Arial"/>
                <w:sz w:val="20"/>
                <w:szCs w:val="20"/>
              </w:rPr>
              <w:t>i</w:t>
            </w:r>
            <w:r w:rsidR="00BE437C" w:rsidRPr="00721DA2">
              <w:rPr>
                <w:rFonts w:ascii="Arial" w:hAnsi="Arial" w:cs="Arial"/>
                <w:sz w:val="20"/>
                <w:szCs w:val="20"/>
              </w:rPr>
              <w:t xml:space="preserve"> po obračunu za november v </w:t>
            </w:r>
            <w:r w:rsidR="00BE437C">
              <w:rPr>
                <w:rFonts w:ascii="Arial" w:hAnsi="Arial" w:cs="Arial"/>
                <w:sz w:val="20"/>
                <w:szCs w:val="20"/>
              </w:rPr>
              <w:t xml:space="preserve">navedenem </w:t>
            </w:r>
            <w:r w:rsidR="00BE437C" w:rsidRPr="00721DA2">
              <w:rPr>
                <w:rFonts w:ascii="Arial" w:hAnsi="Arial" w:cs="Arial"/>
                <w:sz w:val="20"/>
                <w:szCs w:val="20"/>
              </w:rPr>
              <w:t xml:space="preserve">znesku, čeprav je bilo plačilo prejeto 30. </w:t>
            </w:r>
            <w:r w:rsidR="00BE437C">
              <w:rPr>
                <w:rFonts w:ascii="Arial" w:hAnsi="Arial" w:cs="Arial"/>
                <w:sz w:val="20"/>
                <w:szCs w:val="20"/>
              </w:rPr>
              <w:t>decembra</w:t>
            </w:r>
            <w:r w:rsidR="00BE437C" w:rsidRPr="00721DA2">
              <w:rPr>
                <w:rFonts w:ascii="Arial" w:hAnsi="Arial" w:cs="Arial"/>
                <w:sz w:val="20"/>
                <w:szCs w:val="20"/>
              </w:rPr>
              <w:t xml:space="preserve"> 2024. </w:t>
            </w:r>
            <w:r w:rsidRPr="00D32ACA">
              <w:rPr>
                <w:rFonts w:ascii="Arial" w:hAnsi="Arial" w:cs="Arial"/>
                <w:sz w:val="20"/>
                <w:szCs w:val="20"/>
              </w:rPr>
              <w:t xml:space="preserve">   </w:t>
            </w:r>
          </w:p>
          <w:p w14:paraId="24A45088" w14:textId="2E330A75" w:rsidR="008E6831" w:rsidRPr="000E64F3" w:rsidRDefault="008E6831" w:rsidP="00B501AB">
            <w:pPr>
              <w:jc w:val="both"/>
              <w:rPr>
                <w:rFonts w:ascii="Arial" w:hAnsi="Arial" w:cs="Arial"/>
                <w:sz w:val="20"/>
                <w:szCs w:val="20"/>
              </w:rPr>
            </w:pPr>
            <w:r w:rsidRPr="000E64F3">
              <w:rPr>
                <w:rFonts w:ascii="Arial" w:hAnsi="Arial" w:cs="Arial"/>
                <w:sz w:val="20"/>
                <w:szCs w:val="20"/>
              </w:rPr>
              <w:t xml:space="preserve">Pri spremljanju gibanja davčnega dolga je treba upoštevati tudi gibanje deleža dolga glede na letno pobrane javnofinančne prihodke FURS. </w:t>
            </w:r>
            <w:r w:rsidR="00BE437C" w:rsidRPr="000E64F3">
              <w:rPr>
                <w:rFonts w:ascii="Arial" w:hAnsi="Arial" w:cs="Arial"/>
                <w:sz w:val="20"/>
                <w:szCs w:val="20"/>
              </w:rPr>
              <w:t>Delež davčnega dolga za vse</w:t>
            </w:r>
            <w:r w:rsidR="00BE437C">
              <w:rPr>
                <w:rFonts w:ascii="Arial" w:hAnsi="Arial" w:cs="Arial"/>
                <w:sz w:val="20"/>
                <w:szCs w:val="20"/>
              </w:rPr>
              <w:t xml:space="preserve"> javnofinančne</w:t>
            </w:r>
            <w:r w:rsidR="00BE437C" w:rsidRPr="000E64F3">
              <w:rPr>
                <w:rFonts w:ascii="Arial" w:hAnsi="Arial" w:cs="Arial"/>
                <w:sz w:val="20"/>
                <w:szCs w:val="20"/>
              </w:rPr>
              <w:t xml:space="preserve"> blagajne v vseh letno pobranih javnofinančnih prihodkih FURS </w:t>
            </w:r>
            <w:r w:rsidR="00BE437C">
              <w:rPr>
                <w:rFonts w:ascii="Arial" w:hAnsi="Arial" w:cs="Arial"/>
                <w:sz w:val="20"/>
                <w:szCs w:val="20"/>
              </w:rPr>
              <w:t xml:space="preserve">se </w:t>
            </w:r>
            <w:r w:rsidR="00BE437C" w:rsidRPr="000E64F3">
              <w:rPr>
                <w:rFonts w:ascii="Arial" w:hAnsi="Arial" w:cs="Arial"/>
                <w:sz w:val="20"/>
                <w:szCs w:val="20"/>
              </w:rPr>
              <w:t xml:space="preserve">je v letu 2024 </w:t>
            </w:r>
            <w:r w:rsidR="00BE437C">
              <w:rPr>
                <w:rFonts w:ascii="Arial" w:hAnsi="Arial" w:cs="Arial"/>
                <w:sz w:val="20"/>
                <w:szCs w:val="20"/>
              </w:rPr>
              <w:t>zmanjšal</w:t>
            </w:r>
            <w:r w:rsidR="00BE437C" w:rsidRPr="000E64F3">
              <w:rPr>
                <w:rFonts w:ascii="Arial" w:hAnsi="Arial" w:cs="Arial"/>
                <w:sz w:val="20"/>
                <w:szCs w:val="20"/>
              </w:rPr>
              <w:t xml:space="preserve"> na 3,6 </w:t>
            </w:r>
            <w:r w:rsidR="00BE437C" w:rsidRPr="009D5F8E">
              <w:rPr>
                <w:rFonts w:ascii="Arial" w:hAnsi="Arial" w:cs="Arial"/>
                <w:sz w:val="20"/>
                <w:szCs w:val="20"/>
              </w:rPr>
              <w:t xml:space="preserve">odstotka, </w:t>
            </w:r>
            <w:r w:rsidR="00BE437C">
              <w:rPr>
                <w:rFonts w:ascii="Arial" w:hAnsi="Arial" w:cs="Arial"/>
                <w:sz w:val="20"/>
                <w:szCs w:val="20"/>
              </w:rPr>
              <w:t xml:space="preserve">medtem ko je </w:t>
            </w:r>
            <w:r w:rsidR="00BE437C" w:rsidRPr="009D5F8E">
              <w:rPr>
                <w:rFonts w:ascii="Arial" w:hAnsi="Arial" w:cs="Arial"/>
                <w:sz w:val="20"/>
                <w:szCs w:val="20"/>
              </w:rPr>
              <w:t>v letu ustanov</w:t>
            </w:r>
            <w:r w:rsidR="00BE437C">
              <w:rPr>
                <w:rFonts w:ascii="Arial" w:hAnsi="Arial" w:cs="Arial"/>
                <w:sz w:val="20"/>
                <w:szCs w:val="20"/>
              </w:rPr>
              <w:t>itve FURS, tj. letu</w:t>
            </w:r>
            <w:r w:rsidR="00BE437C" w:rsidRPr="009D5F8E">
              <w:rPr>
                <w:rFonts w:ascii="Arial" w:hAnsi="Arial" w:cs="Arial"/>
                <w:sz w:val="20"/>
                <w:szCs w:val="20"/>
              </w:rPr>
              <w:t xml:space="preserve"> 2014, obsegal 10,4 odstotka.</w:t>
            </w:r>
          </w:p>
          <w:p w14:paraId="4EB23CDC" w14:textId="6720FBE8" w:rsidR="008E6831" w:rsidRPr="00873548" w:rsidRDefault="00C252F5" w:rsidP="00B501AB">
            <w:pPr>
              <w:jc w:val="both"/>
              <w:rPr>
                <w:rFonts w:ascii="Arial" w:hAnsi="Arial" w:cs="Arial"/>
                <w:sz w:val="20"/>
                <w:szCs w:val="20"/>
              </w:rPr>
            </w:pPr>
            <w:r w:rsidRPr="000D05CA">
              <w:rPr>
                <w:rFonts w:ascii="Arial" w:hAnsi="Arial" w:cs="Arial"/>
                <w:sz w:val="20"/>
                <w:szCs w:val="20"/>
              </w:rPr>
              <w:t xml:space="preserve">Če </w:t>
            </w:r>
            <w:r>
              <w:rPr>
                <w:rFonts w:ascii="Arial" w:hAnsi="Arial" w:cs="Arial"/>
                <w:sz w:val="20"/>
                <w:szCs w:val="20"/>
              </w:rPr>
              <w:t>pri</w:t>
            </w:r>
            <w:r w:rsidRPr="000D05CA">
              <w:rPr>
                <w:rFonts w:ascii="Arial" w:hAnsi="Arial" w:cs="Arial"/>
                <w:sz w:val="20"/>
                <w:szCs w:val="20"/>
              </w:rPr>
              <w:t xml:space="preserve"> obravnav</w:t>
            </w:r>
            <w:r>
              <w:rPr>
                <w:rFonts w:ascii="Arial" w:hAnsi="Arial" w:cs="Arial"/>
                <w:sz w:val="20"/>
                <w:szCs w:val="20"/>
              </w:rPr>
              <w:t>i</w:t>
            </w:r>
            <w:r w:rsidRPr="000D05CA">
              <w:rPr>
                <w:rFonts w:ascii="Arial" w:hAnsi="Arial" w:cs="Arial"/>
                <w:sz w:val="20"/>
                <w:szCs w:val="20"/>
              </w:rPr>
              <w:t xml:space="preserve"> zaključnega računa </w:t>
            </w:r>
            <w:r>
              <w:rPr>
                <w:rFonts w:ascii="Arial" w:hAnsi="Arial" w:cs="Arial"/>
                <w:sz w:val="20"/>
                <w:szCs w:val="20"/>
              </w:rPr>
              <w:t>pozornost namenimo</w:t>
            </w:r>
            <w:r w:rsidRPr="000D05CA">
              <w:rPr>
                <w:rFonts w:ascii="Arial" w:hAnsi="Arial" w:cs="Arial"/>
                <w:sz w:val="20"/>
                <w:szCs w:val="20"/>
              </w:rPr>
              <w:t xml:space="preserve"> samo dolg</w:t>
            </w:r>
            <w:r>
              <w:rPr>
                <w:rFonts w:ascii="Arial" w:hAnsi="Arial" w:cs="Arial"/>
                <w:sz w:val="20"/>
                <w:szCs w:val="20"/>
              </w:rPr>
              <w:t>u,</w:t>
            </w:r>
            <w:r w:rsidRPr="000D05CA">
              <w:rPr>
                <w:rFonts w:ascii="Arial" w:hAnsi="Arial" w:cs="Arial"/>
                <w:sz w:val="20"/>
                <w:szCs w:val="20"/>
              </w:rPr>
              <w:t xml:space="preserve"> nastal</w:t>
            </w:r>
            <w:r>
              <w:rPr>
                <w:rFonts w:ascii="Arial" w:hAnsi="Arial" w:cs="Arial"/>
                <w:sz w:val="20"/>
                <w:szCs w:val="20"/>
              </w:rPr>
              <w:t>emu</w:t>
            </w:r>
            <w:r w:rsidRPr="000D05CA">
              <w:rPr>
                <w:rFonts w:ascii="Arial" w:hAnsi="Arial" w:cs="Arial"/>
                <w:sz w:val="20"/>
                <w:szCs w:val="20"/>
              </w:rPr>
              <w:t xml:space="preserve"> in zapadl</w:t>
            </w:r>
            <w:r>
              <w:rPr>
                <w:rFonts w:ascii="Arial" w:hAnsi="Arial" w:cs="Arial"/>
                <w:sz w:val="20"/>
                <w:szCs w:val="20"/>
              </w:rPr>
              <w:t>emu</w:t>
            </w:r>
            <w:r w:rsidRPr="000D05CA">
              <w:rPr>
                <w:rFonts w:ascii="Arial" w:hAnsi="Arial" w:cs="Arial"/>
                <w:sz w:val="20"/>
                <w:szCs w:val="20"/>
              </w:rPr>
              <w:t xml:space="preserve"> v letu 2024, je po stanju na dan 31</w:t>
            </w:r>
            <w:r w:rsidRPr="00036AEE">
              <w:rPr>
                <w:rFonts w:ascii="Arial" w:hAnsi="Arial" w:cs="Arial"/>
                <w:sz w:val="20"/>
                <w:szCs w:val="20"/>
              </w:rPr>
              <w:t>. december</w:t>
            </w:r>
            <w:r w:rsidRPr="000D05CA">
              <w:rPr>
                <w:rFonts w:ascii="Arial" w:hAnsi="Arial" w:cs="Arial"/>
                <w:sz w:val="20"/>
                <w:szCs w:val="20"/>
              </w:rPr>
              <w:t xml:space="preserve"> 2024 </w:t>
            </w:r>
            <w:r>
              <w:rPr>
                <w:rFonts w:ascii="Arial" w:hAnsi="Arial" w:cs="Arial"/>
                <w:sz w:val="20"/>
                <w:szCs w:val="20"/>
              </w:rPr>
              <w:t>obsegal</w:t>
            </w:r>
            <w:r w:rsidRPr="000D05CA">
              <w:rPr>
                <w:rFonts w:ascii="Arial" w:hAnsi="Arial" w:cs="Arial"/>
                <w:sz w:val="20"/>
                <w:szCs w:val="20"/>
              </w:rPr>
              <w:t xml:space="preserve"> za vse</w:t>
            </w:r>
            <w:r>
              <w:rPr>
                <w:rFonts w:ascii="Arial" w:hAnsi="Arial" w:cs="Arial"/>
                <w:sz w:val="20"/>
                <w:szCs w:val="20"/>
              </w:rPr>
              <w:t xml:space="preserve"> javnofinančne</w:t>
            </w:r>
            <w:r w:rsidRPr="000D05CA">
              <w:rPr>
                <w:rFonts w:ascii="Arial" w:hAnsi="Arial" w:cs="Arial"/>
                <w:sz w:val="20"/>
                <w:szCs w:val="20"/>
              </w:rPr>
              <w:t xml:space="preserve"> blagajne 297.124.913 EUR. Ob sestavi tega poročila se je po stanju na dan </w:t>
            </w:r>
            <w:r w:rsidRPr="00163964">
              <w:rPr>
                <w:rFonts w:ascii="Arial" w:hAnsi="Arial" w:cs="Arial"/>
                <w:sz w:val="20"/>
                <w:szCs w:val="20"/>
              </w:rPr>
              <w:t xml:space="preserve">31. </w:t>
            </w:r>
            <w:r w:rsidRPr="00036AEE">
              <w:rPr>
                <w:rFonts w:ascii="Arial" w:hAnsi="Arial" w:cs="Arial"/>
                <w:sz w:val="20"/>
                <w:szCs w:val="20"/>
              </w:rPr>
              <w:t>marec</w:t>
            </w:r>
            <w:r w:rsidRPr="00163964">
              <w:rPr>
                <w:rFonts w:ascii="Arial" w:hAnsi="Arial" w:cs="Arial"/>
                <w:sz w:val="20"/>
                <w:szCs w:val="20"/>
              </w:rPr>
              <w:t xml:space="preserve"> 2025</w:t>
            </w:r>
            <w:r w:rsidRPr="004F0050">
              <w:rPr>
                <w:rFonts w:ascii="Arial" w:hAnsi="Arial" w:cs="Arial"/>
                <w:sz w:val="20"/>
                <w:szCs w:val="20"/>
              </w:rPr>
              <w:t xml:space="preserve"> </w:t>
            </w:r>
            <w:r w:rsidRPr="00163964">
              <w:rPr>
                <w:rFonts w:ascii="Arial" w:hAnsi="Arial" w:cs="Arial"/>
                <w:sz w:val="20"/>
                <w:szCs w:val="20"/>
              </w:rPr>
              <w:t xml:space="preserve">dolg, </w:t>
            </w:r>
            <w:r w:rsidRPr="00DA0DDE">
              <w:rPr>
                <w:rFonts w:ascii="Arial" w:hAnsi="Arial" w:cs="Arial"/>
                <w:sz w:val="20"/>
                <w:szCs w:val="20"/>
              </w:rPr>
              <w:t>nastal</w:t>
            </w:r>
            <w:r w:rsidRPr="006373FA">
              <w:rPr>
                <w:rFonts w:ascii="Arial" w:hAnsi="Arial" w:cs="Arial"/>
                <w:sz w:val="20"/>
                <w:szCs w:val="20"/>
              </w:rPr>
              <w:t>i v letu</w:t>
            </w:r>
            <w:r w:rsidRPr="00163964">
              <w:rPr>
                <w:rFonts w:ascii="Arial" w:hAnsi="Arial" w:cs="Arial"/>
                <w:sz w:val="20"/>
                <w:szCs w:val="20"/>
              </w:rPr>
              <w:t xml:space="preserve"> 2024, že z</w:t>
            </w:r>
            <w:r>
              <w:rPr>
                <w:rFonts w:ascii="Arial" w:hAnsi="Arial" w:cs="Arial"/>
                <w:sz w:val="20"/>
                <w:szCs w:val="20"/>
              </w:rPr>
              <w:t>ma</w:t>
            </w:r>
            <w:r w:rsidRPr="00163964">
              <w:rPr>
                <w:rFonts w:ascii="Arial" w:hAnsi="Arial" w:cs="Arial"/>
                <w:sz w:val="20"/>
                <w:szCs w:val="20"/>
              </w:rPr>
              <w:t>n</w:t>
            </w:r>
            <w:r>
              <w:rPr>
                <w:rFonts w:ascii="Arial" w:hAnsi="Arial" w:cs="Arial"/>
                <w:sz w:val="20"/>
                <w:szCs w:val="20"/>
              </w:rPr>
              <w:t>jš</w:t>
            </w:r>
            <w:r w:rsidRPr="00163964">
              <w:rPr>
                <w:rFonts w:ascii="Arial" w:hAnsi="Arial" w:cs="Arial"/>
                <w:sz w:val="20"/>
                <w:szCs w:val="20"/>
              </w:rPr>
              <w:t xml:space="preserve">al na 151.147.823 EUR. </w:t>
            </w:r>
            <w:r w:rsidRPr="000D05CA">
              <w:rPr>
                <w:rFonts w:ascii="Arial" w:hAnsi="Arial" w:cs="Arial"/>
                <w:sz w:val="20"/>
                <w:szCs w:val="20"/>
              </w:rPr>
              <w:t>Obseg dajatev, plačanih po zapadlosti z do enomesečno zamudo, je od 60 do 80 mi</w:t>
            </w:r>
            <w:r>
              <w:rPr>
                <w:rFonts w:ascii="Arial" w:hAnsi="Arial" w:cs="Arial"/>
                <w:sz w:val="20"/>
                <w:szCs w:val="20"/>
              </w:rPr>
              <w:t>lijonov</w:t>
            </w:r>
            <w:r w:rsidRPr="000D05CA">
              <w:rPr>
                <w:rFonts w:ascii="Arial" w:hAnsi="Arial" w:cs="Arial"/>
                <w:sz w:val="20"/>
                <w:szCs w:val="20"/>
              </w:rPr>
              <w:t xml:space="preserve"> EUR mesečno, hkrati pa so že bili </w:t>
            </w:r>
            <w:r>
              <w:rPr>
                <w:rFonts w:ascii="Arial" w:hAnsi="Arial" w:cs="Arial"/>
                <w:sz w:val="20"/>
                <w:szCs w:val="20"/>
              </w:rPr>
              <w:t>izvedeni</w:t>
            </w:r>
            <w:r w:rsidRPr="000D05CA">
              <w:rPr>
                <w:rFonts w:ascii="Arial" w:hAnsi="Arial" w:cs="Arial"/>
                <w:sz w:val="20"/>
                <w:szCs w:val="20"/>
              </w:rPr>
              <w:t xml:space="preserve"> dodatni ukrepi izterjave.</w:t>
            </w:r>
            <w:r w:rsidR="008E6831" w:rsidRPr="00873548">
              <w:rPr>
                <w:rFonts w:ascii="Arial" w:hAnsi="Arial" w:cs="Arial"/>
                <w:sz w:val="20"/>
                <w:szCs w:val="20"/>
              </w:rPr>
              <w:t xml:space="preserve"> </w:t>
            </w:r>
          </w:p>
          <w:p w14:paraId="26D59A64" w14:textId="234E5699" w:rsidR="008E6831" w:rsidRPr="00873548" w:rsidRDefault="008E6831" w:rsidP="00B501AB">
            <w:pPr>
              <w:jc w:val="both"/>
              <w:rPr>
                <w:rFonts w:ascii="Arial" w:hAnsi="Arial" w:cs="Arial"/>
                <w:sz w:val="20"/>
                <w:szCs w:val="20"/>
              </w:rPr>
            </w:pPr>
            <w:r w:rsidRPr="00873548">
              <w:rPr>
                <w:rFonts w:ascii="Arial" w:hAnsi="Arial" w:cs="Arial"/>
                <w:sz w:val="20"/>
                <w:szCs w:val="20"/>
              </w:rPr>
              <w:t>S ciljem obvladovanja davčnega dolga je FURS izvajal številne ukrepe za spodbujanje prostovoljnega plačevanja in izterjave</w:t>
            </w:r>
            <w:r w:rsidR="00C252F5">
              <w:rPr>
                <w:rFonts w:ascii="Arial" w:hAnsi="Arial" w:cs="Arial"/>
                <w:sz w:val="20"/>
                <w:szCs w:val="20"/>
              </w:rPr>
              <w:t>, na primer</w:t>
            </w:r>
            <w:r w:rsidRPr="00873548">
              <w:rPr>
                <w:rFonts w:ascii="Arial" w:hAnsi="Arial" w:cs="Arial"/>
                <w:sz w:val="20"/>
                <w:szCs w:val="20"/>
              </w:rPr>
              <w:t>: opominjanje, pobote obveznosti z zapadlimi terjatvami, unovčitve predloženih zavarovanj, davčno izvršbo</w:t>
            </w:r>
            <w:r w:rsidR="00C252F5">
              <w:rPr>
                <w:rFonts w:ascii="Arial" w:hAnsi="Arial" w:cs="Arial"/>
                <w:sz w:val="20"/>
                <w:szCs w:val="20"/>
              </w:rPr>
              <w:t xml:space="preserve"> in</w:t>
            </w:r>
            <w:r w:rsidRPr="00873548">
              <w:rPr>
                <w:rFonts w:ascii="Arial" w:hAnsi="Arial" w:cs="Arial"/>
                <w:sz w:val="20"/>
                <w:szCs w:val="20"/>
              </w:rPr>
              <w:t xml:space="preserve"> druge zahtevnejše ukrepe uveljavljanja davčnega dolga in predlagal stečaje ali izbrise. </w:t>
            </w:r>
          </w:p>
          <w:p w14:paraId="6B90B954" w14:textId="2FD62D04" w:rsidR="008E6831" w:rsidRDefault="00C252F5" w:rsidP="00B501AB">
            <w:pPr>
              <w:jc w:val="both"/>
              <w:rPr>
                <w:rFonts w:ascii="Arial" w:hAnsi="Arial" w:cs="Arial"/>
                <w:sz w:val="20"/>
                <w:szCs w:val="20"/>
              </w:rPr>
            </w:pPr>
            <w:bookmarkStart w:id="0" w:name="_Hlk38114437"/>
            <w:r w:rsidRPr="006244B3">
              <w:rPr>
                <w:rFonts w:ascii="Arial" w:hAnsi="Arial" w:cs="Arial"/>
                <w:sz w:val="20"/>
                <w:szCs w:val="20"/>
              </w:rPr>
              <w:t xml:space="preserve">Davčni dolg po stanju 31. </w:t>
            </w:r>
            <w:r w:rsidRPr="00036AEE">
              <w:rPr>
                <w:rFonts w:ascii="Arial" w:hAnsi="Arial" w:cs="Arial"/>
                <w:sz w:val="20"/>
                <w:szCs w:val="20"/>
              </w:rPr>
              <w:t>decembra</w:t>
            </w:r>
            <w:r w:rsidRPr="006244B3">
              <w:rPr>
                <w:rFonts w:ascii="Arial" w:hAnsi="Arial" w:cs="Arial"/>
                <w:sz w:val="20"/>
                <w:szCs w:val="20"/>
              </w:rPr>
              <w:t xml:space="preserve"> 2024 je </w:t>
            </w:r>
            <w:r>
              <w:rPr>
                <w:rFonts w:ascii="Arial" w:hAnsi="Arial" w:cs="Arial"/>
                <w:sz w:val="20"/>
                <w:szCs w:val="20"/>
              </w:rPr>
              <w:t>po</w:t>
            </w:r>
            <w:r w:rsidRPr="006244B3">
              <w:rPr>
                <w:rFonts w:ascii="Arial" w:hAnsi="Arial" w:cs="Arial"/>
                <w:sz w:val="20"/>
                <w:szCs w:val="20"/>
              </w:rPr>
              <w:t xml:space="preserve"> možnosti</w:t>
            </w:r>
            <w:r>
              <w:rPr>
                <w:rFonts w:ascii="Arial" w:hAnsi="Arial" w:cs="Arial"/>
                <w:sz w:val="20"/>
                <w:szCs w:val="20"/>
              </w:rPr>
              <w:t>h</w:t>
            </w:r>
            <w:r w:rsidRPr="006244B3">
              <w:rPr>
                <w:rFonts w:ascii="Arial" w:hAnsi="Arial" w:cs="Arial"/>
                <w:sz w:val="20"/>
                <w:szCs w:val="20"/>
              </w:rPr>
              <w:t xml:space="preserve"> izterjave razdeljen na aktivni dolg v </w:t>
            </w:r>
            <w:r>
              <w:rPr>
                <w:rFonts w:ascii="Arial" w:hAnsi="Arial" w:cs="Arial"/>
                <w:sz w:val="20"/>
                <w:szCs w:val="20"/>
              </w:rPr>
              <w:t>vrednosti</w:t>
            </w:r>
            <w:r w:rsidRPr="006244B3">
              <w:rPr>
                <w:rFonts w:ascii="Arial" w:hAnsi="Arial" w:cs="Arial"/>
                <w:sz w:val="20"/>
                <w:szCs w:val="20"/>
              </w:rPr>
              <w:t xml:space="preserve"> </w:t>
            </w:r>
            <w:r w:rsidRPr="006244B3">
              <w:rPr>
                <w:rFonts w:ascii="Arial" w:hAnsi="Arial" w:cs="Arial"/>
                <w:bCs/>
                <w:sz w:val="20"/>
                <w:szCs w:val="20"/>
              </w:rPr>
              <w:t xml:space="preserve">481.817.858 </w:t>
            </w:r>
            <w:r w:rsidRPr="006244B3">
              <w:rPr>
                <w:rFonts w:ascii="Arial" w:hAnsi="Arial" w:cs="Arial"/>
                <w:sz w:val="20"/>
                <w:szCs w:val="20"/>
              </w:rPr>
              <w:t xml:space="preserve">EUR (53,4 odstotka) in pogojno izterljivi dolg v </w:t>
            </w:r>
            <w:r>
              <w:rPr>
                <w:rFonts w:ascii="Arial" w:hAnsi="Arial" w:cs="Arial"/>
                <w:sz w:val="20"/>
                <w:szCs w:val="20"/>
              </w:rPr>
              <w:t>znesku</w:t>
            </w:r>
            <w:r w:rsidRPr="006244B3">
              <w:rPr>
                <w:rFonts w:ascii="Arial" w:hAnsi="Arial" w:cs="Arial"/>
                <w:sz w:val="20"/>
                <w:szCs w:val="20"/>
              </w:rPr>
              <w:t xml:space="preserve"> </w:t>
            </w:r>
            <w:r w:rsidRPr="006244B3">
              <w:rPr>
                <w:rFonts w:ascii="Arial" w:hAnsi="Arial" w:cs="Arial"/>
                <w:bCs/>
                <w:sz w:val="20"/>
                <w:szCs w:val="20"/>
              </w:rPr>
              <w:t xml:space="preserve">420.119.399 </w:t>
            </w:r>
            <w:r w:rsidRPr="006244B3">
              <w:rPr>
                <w:rFonts w:ascii="Arial" w:hAnsi="Arial" w:cs="Arial"/>
                <w:sz w:val="20"/>
                <w:szCs w:val="20"/>
              </w:rPr>
              <w:t xml:space="preserve">EUR (46,6 odstotka). </w:t>
            </w:r>
            <w:bookmarkEnd w:id="0"/>
            <w:r w:rsidRPr="006244B3">
              <w:rPr>
                <w:rFonts w:ascii="Arial" w:hAnsi="Arial" w:cs="Arial"/>
                <w:bCs/>
                <w:sz w:val="20"/>
                <w:szCs w:val="20"/>
              </w:rPr>
              <w:t xml:space="preserve">FURS je pri izterjavi </w:t>
            </w:r>
            <w:r>
              <w:rPr>
                <w:rFonts w:ascii="Arial" w:hAnsi="Arial" w:cs="Arial"/>
                <w:bCs/>
                <w:sz w:val="20"/>
                <w:szCs w:val="20"/>
              </w:rPr>
              <w:t>precejšnjega</w:t>
            </w:r>
            <w:r w:rsidRPr="006244B3">
              <w:rPr>
                <w:rFonts w:ascii="Arial" w:hAnsi="Arial" w:cs="Arial"/>
                <w:bCs/>
                <w:sz w:val="20"/>
                <w:szCs w:val="20"/>
              </w:rPr>
              <w:t xml:space="preserve"> dela davčnega dolga zelo omejen. Če sodišče odloči, da </w:t>
            </w:r>
            <w:r w:rsidRPr="006244B3">
              <w:rPr>
                <w:rFonts w:ascii="Arial" w:hAnsi="Arial" w:cs="Arial"/>
                <w:bCs/>
                <w:sz w:val="20"/>
                <w:szCs w:val="20"/>
              </w:rPr>
              <w:lastRenderedPageBreak/>
              <w:t>se zoper dolžnika začne postopek zaradi insolventnosti, se za dolg ne sme voditi postop</w:t>
            </w:r>
            <w:r>
              <w:rPr>
                <w:rFonts w:ascii="Arial" w:hAnsi="Arial" w:cs="Arial"/>
                <w:bCs/>
                <w:sz w:val="20"/>
                <w:szCs w:val="20"/>
              </w:rPr>
              <w:t>e</w:t>
            </w:r>
            <w:r w:rsidRPr="006244B3">
              <w:rPr>
                <w:rFonts w:ascii="Arial" w:hAnsi="Arial" w:cs="Arial"/>
                <w:bCs/>
                <w:sz w:val="20"/>
                <w:szCs w:val="20"/>
              </w:rPr>
              <w:t>k izvršbe niti zavarovan</w:t>
            </w:r>
            <w:r w:rsidRPr="00155761">
              <w:rPr>
                <w:rFonts w:ascii="Arial" w:hAnsi="Arial" w:cs="Arial"/>
                <w:bCs/>
                <w:sz w:val="20"/>
                <w:szCs w:val="20"/>
              </w:rPr>
              <w:t>ja</w:t>
            </w:r>
            <w:r w:rsidRPr="006244B3">
              <w:rPr>
                <w:rFonts w:ascii="Arial" w:hAnsi="Arial" w:cs="Arial"/>
                <w:bCs/>
                <w:sz w:val="20"/>
                <w:szCs w:val="20"/>
              </w:rPr>
              <w:t xml:space="preserve">. Po stanju 31. </w:t>
            </w:r>
            <w:r>
              <w:rPr>
                <w:rFonts w:ascii="Arial" w:hAnsi="Arial" w:cs="Arial"/>
                <w:bCs/>
                <w:sz w:val="20"/>
                <w:szCs w:val="20"/>
              </w:rPr>
              <w:t>dece</w:t>
            </w:r>
            <w:r w:rsidRPr="007D3DE6">
              <w:rPr>
                <w:rFonts w:ascii="Arial" w:hAnsi="Arial" w:cs="Arial"/>
                <w:bCs/>
                <w:sz w:val="20"/>
                <w:szCs w:val="20"/>
              </w:rPr>
              <w:t>mbr</w:t>
            </w:r>
            <w:r w:rsidRPr="004E07AD">
              <w:rPr>
                <w:rFonts w:ascii="Arial" w:hAnsi="Arial" w:cs="Arial"/>
                <w:bCs/>
                <w:sz w:val="20"/>
                <w:szCs w:val="20"/>
              </w:rPr>
              <w:t>a</w:t>
            </w:r>
            <w:r w:rsidRPr="006244B3">
              <w:rPr>
                <w:rFonts w:ascii="Arial" w:hAnsi="Arial" w:cs="Arial"/>
                <w:bCs/>
                <w:sz w:val="20"/>
                <w:szCs w:val="20"/>
              </w:rPr>
              <w:t xml:space="preserve"> 2024 je bil obseg pogojno izterljivega dolga</w:t>
            </w:r>
            <w:r>
              <w:rPr>
                <w:rFonts w:ascii="Arial" w:hAnsi="Arial" w:cs="Arial"/>
                <w:bCs/>
                <w:sz w:val="20"/>
                <w:szCs w:val="20"/>
              </w:rPr>
              <w:t>,</w:t>
            </w:r>
            <w:r w:rsidRPr="006244B3">
              <w:rPr>
                <w:rFonts w:ascii="Arial" w:hAnsi="Arial" w:cs="Arial"/>
                <w:bCs/>
                <w:sz w:val="20"/>
                <w:szCs w:val="20"/>
              </w:rPr>
              <w:t xml:space="preserve"> prijavljenega v </w:t>
            </w:r>
            <w:proofErr w:type="spellStart"/>
            <w:r w:rsidRPr="006244B3">
              <w:rPr>
                <w:rFonts w:ascii="Arial" w:hAnsi="Arial" w:cs="Arial"/>
                <w:bCs/>
                <w:sz w:val="20"/>
                <w:szCs w:val="20"/>
              </w:rPr>
              <w:t>insolvenčne</w:t>
            </w:r>
            <w:proofErr w:type="spellEnd"/>
            <w:r w:rsidRPr="006244B3">
              <w:rPr>
                <w:rFonts w:ascii="Arial" w:hAnsi="Arial" w:cs="Arial"/>
                <w:bCs/>
                <w:sz w:val="20"/>
                <w:szCs w:val="20"/>
              </w:rPr>
              <w:t xml:space="preserve"> postopke</w:t>
            </w:r>
            <w:r>
              <w:rPr>
                <w:rFonts w:ascii="Arial" w:hAnsi="Arial" w:cs="Arial"/>
                <w:bCs/>
                <w:sz w:val="20"/>
                <w:szCs w:val="20"/>
              </w:rPr>
              <w:t>,</w:t>
            </w:r>
            <w:r w:rsidRPr="006244B3">
              <w:rPr>
                <w:rFonts w:ascii="Arial" w:hAnsi="Arial" w:cs="Arial"/>
                <w:bCs/>
                <w:sz w:val="20"/>
                <w:szCs w:val="20"/>
              </w:rPr>
              <w:t xml:space="preserve"> 253 milijonov EUR, kar </w:t>
            </w:r>
            <w:r>
              <w:rPr>
                <w:rFonts w:ascii="Arial" w:hAnsi="Arial" w:cs="Arial"/>
                <w:bCs/>
                <w:sz w:val="20"/>
                <w:szCs w:val="20"/>
              </w:rPr>
              <w:t>pomeni</w:t>
            </w:r>
            <w:r w:rsidRPr="006244B3">
              <w:rPr>
                <w:rFonts w:ascii="Arial" w:hAnsi="Arial" w:cs="Arial"/>
                <w:bCs/>
                <w:sz w:val="20"/>
                <w:szCs w:val="20"/>
              </w:rPr>
              <w:t xml:space="preserve"> 28,1 odstotk</w:t>
            </w:r>
            <w:r>
              <w:rPr>
                <w:rFonts w:ascii="Arial" w:hAnsi="Arial" w:cs="Arial"/>
                <w:bCs/>
                <w:sz w:val="20"/>
                <w:szCs w:val="20"/>
              </w:rPr>
              <w:t>a</w:t>
            </w:r>
            <w:r w:rsidRPr="006244B3">
              <w:rPr>
                <w:rFonts w:ascii="Arial" w:hAnsi="Arial" w:cs="Arial"/>
                <w:bCs/>
                <w:sz w:val="20"/>
                <w:szCs w:val="20"/>
              </w:rPr>
              <w:t xml:space="preserve"> davčnega dolga.</w:t>
            </w:r>
          </w:p>
          <w:p w14:paraId="2A22C4E7" w14:textId="59E1A0B7" w:rsidR="008E6831" w:rsidRPr="000E220B" w:rsidRDefault="00C252F5" w:rsidP="00C252F5">
            <w:pPr>
              <w:jc w:val="both"/>
              <w:rPr>
                <w:rFonts w:ascii="Arial" w:hAnsi="Arial" w:cs="Arial"/>
                <w:color w:val="FF0000"/>
                <w:sz w:val="20"/>
                <w:szCs w:val="20"/>
              </w:rPr>
            </w:pPr>
            <w:r w:rsidRPr="00A20AC8">
              <w:rPr>
                <w:rFonts w:ascii="Arial" w:hAnsi="Arial" w:cs="Arial"/>
                <w:sz w:val="20"/>
                <w:szCs w:val="20"/>
              </w:rPr>
              <w:t xml:space="preserve">V letu 2024 je FURS poslal dolžnikom 977.559 opominov in 43.369 pozivov </w:t>
            </w:r>
            <w:r>
              <w:rPr>
                <w:rFonts w:ascii="Arial" w:hAnsi="Arial" w:cs="Arial"/>
                <w:sz w:val="20"/>
                <w:szCs w:val="20"/>
              </w:rPr>
              <w:t>k</w:t>
            </w:r>
            <w:r w:rsidRPr="00A20AC8">
              <w:rPr>
                <w:rFonts w:ascii="Arial" w:hAnsi="Arial" w:cs="Arial"/>
                <w:sz w:val="20"/>
                <w:szCs w:val="20"/>
              </w:rPr>
              <w:t xml:space="preserve"> plačil</w:t>
            </w:r>
            <w:r>
              <w:rPr>
                <w:rFonts w:ascii="Arial" w:hAnsi="Arial" w:cs="Arial"/>
                <w:sz w:val="20"/>
                <w:szCs w:val="20"/>
              </w:rPr>
              <w:t>u</w:t>
            </w:r>
            <w:r w:rsidRPr="00A20AC8">
              <w:rPr>
                <w:rFonts w:ascii="Arial" w:hAnsi="Arial" w:cs="Arial"/>
                <w:sz w:val="20"/>
                <w:szCs w:val="20"/>
              </w:rPr>
              <w:t xml:space="preserve"> in predložitv</w:t>
            </w:r>
            <w:r>
              <w:rPr>
                <w:rFonts w:ascii="Arial" w:hAnsi="Arial" w:cs="Arial"/>
                <w:sz w:val="20"/>
                <w:szCs w:val="20"/>
              </w:rPr>
              <w:t>i</w:t>
            </w:r>
            <w:r w:rsidRPr="00A20AC8">
              <w:rPr>
                <w:rFonts w:ascii="Arial" w:hAnsi="Arial" w:cs="Arial"/>
                <w:sz w:val="20"/>
                <w:szCs w:val="20"/>
              </w:rPr>
              <w:t xml:space="preserve"> seznama premoženja ter izdal 326.333 sklepov o davčni izvršbi za novonastale davčne in nedavčne obveznosti ali kot nov ukrep izterjave v skupnem znesku 1.712.679.540 EUR. Z izvedenimi ukrepi je bilo izterja</w:t>
            </w:r>
            <w:r w:rsidRPr="005B432B">
              <w:rPr>
                <w:rFonts w:ascii="Arial" w:hAnsi="Arial" w:cs="Arial"/>
                <w:sz w:val="20"/>
                <w:szCs w:val="20"/>
              </w:rPr>
              <w:t>n</w:t>
            </w:r>
            <w:r w:rsidRPr="00012E54">
              <w:rPr>
                <w:rFonts w:ascii="Arial" w:hAnsi="Arial" w:cs="Arial"/>
                <w:sz w:val="20"/>
                <w:szCs w:val="20"/>
              </w:rPr>
              <w:t>ega</w:t>
            </w:r>
            <w:r w:rsidRPr="00A20AC8">
              <w:rPr>
                <w:rFonts w:ascii="Arial" w:hAnsi="Arial" w:cs="Arial"/>
                <w:sz w:val="20"/>
                <w:szCs w:val="20"/>
              </w:rPr>
              <w:t xml:space="preserve"> 749</w:t>
            </w:r>
            <w:r w:rsidRPr="00A20AC8">
              <w:rPr>
                <w:rFonts w:ascii="Arial" w:hAnsi="Arial" w:cs="Arial"/>
                <w:bCs/>
                <w:sz w:val="20"/>
                <w:szCs w:val="20"/>
              </w:rPr>
              <w:t xml:space="preserve">.590.056 </w:t>
            </w:r>
            <w:r w:rsidRPr="00A20AC8">
              <w:rPr>
                <w:rFonts w:ascii="Arial" w:hAnsi="Arial" w:cs="Arial"/>
                <w:sz w:val="20"/>
                <w:szCs w:val="20"/>
              </w:rPr>
              <w:t>EUR dolga.</w:t>
            </w:r>
            <w:r>
              <w:rPr>
                <w:rFonts w:ascii="Arial" w:hAnsi="Arial" w:cs="Arial"/>
                <w:sz w:val="20"/>
                <w:szCs w:val="20"/>
              </w:rPr>
              <w:t xml:space="preserve"> V</w:t>
            </w:r>
            <w:r w:rsidRPr="00594AB0">
              <w:rPr>
                <w:rFonts w:ascii="Arial" w:hAnsi="Arial" w:cs="Arial"/>
                <w:bCs/>
                <w:sz w:val="20"/>
                <w:szCs w:val="20"/>
              </w:rPr>
              <w:t xml:space="preserve"> letu 2024 </w:t>
            </w:r>
            <w:r>
              <w:rPr>
                <w:rFonts w:ascii="Arial" w:hAnsi="Arial" w:cs="Arial"/>
                <w:bCs/>
                <w:sz w:val="20"/>
                <w:szCs w:val="20"/>
              </w:rPr>
              <w:t xml:space="preserve">je bilo v primerjavi z letom prej </w:t>
            </w:r>
            <w:r w:rsidRPr="00594AB0">
              <w:rPr>
                <w:rFonts w:ascii="Arial" w:hAnsi="Arial" w:cs="Arial"/>
                <w:bCs/>
                <w:sz w:val="20"/>
                <w:szCs w:val="20"/>
              </w:rPr>
              <w:t xml:space="preserve">terjanega za 233.986.873 </w:t>
            </w:r>
            <w:r>
              <w:rPr>
                <w:rFonts w:ascii="Arial" w:hAnsi="Arial" w:cs="Arial"/>
                <w:bCs/>
                <w:sz w:val="20"/>
                <w:szCs w:val="20"/>
              </w:rPr>
              <w:t>EUR</w:t>
            </w:r>
            <w:r w:rsidRPr="00594AB0">
              <w:rPr>
                <w:rFonts w:ascii="Arial" w:hAnsi="Arial" w:cs="Arial"/>
                <w:bCs/>
                <w:sz w:val="20"/>
                <w:szCs w:val="20"/>
              </w:rPr>
              <w:t xml:space="preserve"> (15,8 </w:t>
            </w:r>
            <w:r>
              <w:rPr>
                <w:rFonts w:ascii="Arial" w:hAnsi="Arial" w:cs="Arial"/>
                <w:bCs/>
                <w:sz w:val="20"/>
                <w:szCs w:val="20"/>
              </w:rPr>
              <w:t>odstotka</w:t>
            </w:r>
            <w:r w:rsidRPr="00594AB0">
              <w:rPr>
                <w:rFonts w:ascii="Arial" w:hAnsi="Arial" w:cs="Arial"/>
                <w:bCs/>
                <w:sz w:val="20"/>
                <w:szCs w:val="20"/>
              </w:rPr>
              <w:t xml:space="preserve">) več dolga </w:t>
            </w:r>
            <w:r>
              <w:rPr>
                <w:rFonts w:ascii="Arial" w:hAnsi="Arial" w:cs="Arial"/>
                <w:bCs/>
                <w:sz w:val="20"/>
                <w:szCs w:val="20"/>
              </w:rPr>
              <w:t>in</w:t>
            </w:r>
            <w:r w:rsidRPr="00594AB0">
              <w:rPr>
                <w:rFonts w:ascii="Arial" w:hAnsi="Arial" w:cs="Arial"/>
                <w:bCs/>
                <w:sz w:val="20"/>
                <w:szCs w:val="20"/>
              </w:rPr>
              <w:t xml:space="preserve"> </w:t>
            </w:r>
            <w:r>
              <w:rPr>
                <w:rFonts w:ascii="Arial" w:hAnsi="Arial" w:cs="Arial"/>
                <w:bCs/>
                <w:sz w:val="20"/>
                <w:szCs w:val="20"/>
              </w:rPr>
              <w:t xml:space="preserve">s tem </w:t>
            </w:r>
            <w:r w:rsidRPr="00594AB0">
              <w:rPr>
                <w:rFonts w:ascii="Arial" w:hAnsi="Arial" w:cs="Arial"/>
                <w:bCs/>
                <w:sz w:val="20"/>
                <w:szCs w:val="20"/>
              </w:rPr>
              <w:t>izterjan</w:t>
            </w:r>
            <w:r>
              <w:rPr>
                <w:rFonts w:ascii="Arial" w:hAnsi="Arial" w:cs="Arial"/>
                <w:bCs/>
                <w:sz w:val="20"/>
                <w:szCs w:val="20"/>
              </w:rPr>
              <w:t>ega</w:t>
            </w:r>
            <w:r w:rsidRPr="00594AB0">
              <w:rPr>
                <w:rFonts w:ascii="Arial" w:hAnsi="Arial" w:cs="Arial"/>
                <w:bCs/>
                <w:sz w:val="20"/>
                <w:szCs w:val="20"/>
              </w:rPr>
              <w:t xml:space="preserve"> za 91.051.124 </w:t>
            </w:r>
            <w:r>
              <w:rPr>
                <w:rFonts w:ascii="Arial" w:hAnsi="Arial" w:cs="Arial"/>
                <w:bCs/>
                <w:sz w:val="20"/>
                <w:szCs w:val="20"/>
              </w:rPr>
              <w:t>EUR</w:t>
            </w:r>
            <w:r w:rsidRPr="00594AB0">
              <w:rPr>
                <w:rFonts w:ascii="Arial" w:hAnsi="Arial" w:cs="Arial"/>
                <w:bCs/>
                <w:sz w:val="20"/>
                <w:szCs w:val="20"/>
              </w:rPr>
              <w:t xml:space="preserve"> (13,8 </w:t>
            </w:r>
            <w:r>
              <w:rPr>
                <w:rFonts w:ascii="Arial" w:hAnsi="Arial" w:cs="Arial"/>
                <w:bCs/>
                <w:sz w:val="20"/>
                <w:szCs w:val="20"/>
              </w:rPr>
              <w:t>odstotka</w:t>
            </w:r>
            <w:r w:rsidRPr="00594AB0">
              <w:rPr>
                <w:rFonts w:ascii="Arial" w:hAnsi="Arial" w:cs="Arial"/>
                <w:bCs/>
                <w:sz w:val="20"/>
                <w:szCs w:val="20"/>
              </w:rPr>
              <w:t>) več dolga.</w:t>
            </w:r>
          </w:p>
        </w:tc>
      </w:tr>
      <w:tr w:rsidR="008E6831" w:rsidRPr="008D1759" w14:paraId="348A73BE" w14:textId="77777777" w:rsidTr="00B501AB">
        <w:tc>
          <w:tcPr>
            <w:tcW w:w="9163" w:type="dxa"/>
            <w:gridSpan w:val="4"/>
          </w:tcPr>
          <w:p w14:paraId="7ECDB44A" w14:textId="77777777" w:rsidR="008E6831" w:rsidRPr="008D1759" w:rsidRDefault="008E6831" w:rsidP="00B501AB">
            <w:pPr>
              <w:pStyle w:val="Oddelek"/>
              <w:numPr>
                <w:ilvl w:val="0"/>
                <w:numId w:val="0"/>
              </w:numPr>
              <w:spacing w:before="0" w:after="0" w:line="260" w:lineRule="exact"/>
              <w:jc w:val="left"/>
              <w:rPr>
                <w:sz w:val="20"/>
                <w:szCs w:val="20"/>
              </w:rPr>
            </w:pPr>
            <w:r>
              <w:rPr>
                <w:sz w:val="20"/>
                <w:szCs w:val="20"/>
              </w:rPr>
              <w:lastRenderedPageBreak/>
              <w:t>6</w:t>
            </w:r>
            <w:r w:rsidRPr="008D1759">
              <w:rPr>
                <w:sz w:val="20"/>
                <w:szCs w:val="20"/>
              </w:rPr>
              <w:t>. Presoja posledic</w:t>
            </w:r>
            <w:r>
              <w:rPr>
                <w:sz w:val="20"/>
                <w:szCs w:val="20"/>
              </w:rPr>
              <w:t xml:space="preserve"> za:</w:t>
            </w:r>
          </w:p>
        </w:tc>
      </w:tr>
      <w:tr w:rsidR="008E6831" w:rsidRPr="008D1759" w14:paraId="346283B3" w14:textId="77777777" w:rsidTr="00B501AB">
        <w:tc>
          <w:tcPr>
            <w:tcW w:w="1448" w:type="dxa"/>
          </w:tcPr>
          <w:p w14:paraId="3E87196A"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5FE6C5BB" w14:textId="77777777" w:rsidR="008E6831" w:rsidRPr="008D1759" w:rsidRDefault="008E6831" w:rsidP="00B501A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333C890D"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46518E">
              <w:rPr>
                <w:b/>
                <w:sz w:val="20"/>
                <w:szCs w:val="20"/>
              </w:rPr>
              <w:t>NE</w:t>
            </w:r>
          </w:p>
        </w:tc>
      </w:tr>
      <w:tr w:rsidR="008E6831" w:rsidRPr="008D1759" w14:paraId="3D227212" w14:textId="77777777" w:rsidTr="00B501AB">
        <w:tc>
          <w:tcPr>
            <w:tcW w:w="1448" w:type="dxa"/>
          </w:tcPr>
          <w:p w14:paraId="42634AE9"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763DA129" w14:textId="77777777" w:rsidR="008E6831" w:rsidRPr="008D1759" w:rsidRDefault="008E6831" w:rsidP="00B501A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355C9DE7"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46518E">
              <w:rPr>
                <w:b/>
                <w:sz w:val="20"/>
                <w:szCs w:val="20"/>
              </w:rPr>
              <w:t>NE</w:t>
            </w:r>
          </w:p>
        </w:tc>
      </w:tr>
      <w:tr w:rsidR="008E6831" w:rsidRPr="008D1759" w14:paraId="016B76A2" w14:textId="77777777" w:rsidTr="00B501AB">
        <w:tc>
          <w:tcPr>
            <w:tcW w:w="1448" w:type="dxa"/>
          </w:tcPr>
          <w:p w14:paraId="6D7EFD7E"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3BCFCCA0" w14:textId="77777777" w:rsidR="008E6831" w:rsidRPr="008D1759" w:rsidRDefault="008E6831" w:rsidP="00B501A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2DE9E7B9" w14:textId="77777777" w:rsidR="008E6831" w:rsidRPr="00A24E98" w:rsidRDefault="008E6831" w:rsidP="00B501AB">
            <w:pPr>
              <w:pStyle w:val="Neotevilenodstavek"/>
              <w:spacing w:before="0" w:after="0" w:line="260" w:lineRule="exact"/>
              <w:jc w:val="center"/>
              <w:rPr>
                <w:sz w:val="20"/>
                <w:szCs w:val="20"/>
              </w:rPr>
            </w:pPr>
            <w:r>
              <w:rPr>
                <w:sz w:val="20"/>
                <w:szCs w:val="20"/>
              </w:rPr>
              <w:t>DA</w:t>
            </w:r>
            <w:r w:rsidRPr="0046518E">
              <w:rPr>
                <w:b/>
                <w:sz w:val="20"/>
                <w:szCs w:val="20"/>
              </w:rPr>
              <w:t>/NE</w:t>
            </w:r>
          </w:p>
        </w:tc>
      </w:tr>
      <w:tr w:rsidR="008E6831" w:rsidRPr="008D1759" w14:paraId="61D2FD39" w14:textId="77777777" w:rsidTr="00B501AB">
        <w:tc>
          <w:tcPr>
            <w:tcW w:w="1448" w:type="dxa"/>
          </w:tcPr>
          <w:p w14:paraId="12B2D0D6"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71026D1E" w14:textId="77777777" w:rsidR="008E6831" w:rsidRPr="008D1759" w:rsidRDefault="008E6831" w:rsidP="00B501A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05211944"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8D1759">
              <w:rPr>
                <w:sz w:val="20"/>
                <w:szCs w:val="20"/>
              </w:rPr>
              <w:t>/</w:t>
            </w:r>
            <w:r w:rsidRPr="0046518E">
              <w:rPr>
                <w:b/>
                <w:sz w:val="20"/>
                <w:szCs w:val="20"/>
              </w:rPr>
              <w:t>NE</w:t>
            </w:r>
          </w:p>
        </w:tc>
      </w:tr>
      <w:tr w:rsidR="008E6831" w:rsidRPr="008D1759" w14:paraId="52838D20" w14:textId="77777777" w:rsidTr="00B501AB">
        <w:tc>
          <w:tcPr>
            <w:tcW w:w="1448" w:type="dxa"/>
          </w:tcPr>
          <w:p w14:paraId="76496465"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789D7E15" w14:textId="77777777" w:rsidR="008E6831" w:rsidRPr="008D1759" w:rsidRDefault="008E6831" w:rsidP="00B501A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4CFAF486"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8D1759">
              <w:rPr>
                <w:sz w:val="20"/>
                <w:szCs w:val="20"/>
              </w:rPr>
              <w:t>/</w:t>
            </w:r>
            <w:r w:rsidRPr="0046518E">
              <w:rPr>
                <w:b/>
                <w:sz w:val="20"/>
                <w:szCs w:val="20"/>
              </w:rPr>
              <w:t>NE</w:t>
            </w:r>
          </w:p>
        </w:tc>
      </w:tr>
      <w:tr w:rsidR="008E6831" w:rsidRPr="008D1759" w14:paraId="1B95DDB7" w14:textId="77777777" w:rsidTr="00B501AB">
        <w:tc>
          <w:tcPr>
            <w:tcW w:w="1448" w:type="dxa"/>
          </w:tcPr>
          <w:p w14:paraId="1BC9D34D"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28BC002C" w14:textId="77777777" w:rsidR="008E6831" w:rsidRPr="008D1759" w:rsidRDefault="008E6831" w:rsidP="00B501A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4F5F7199"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46518E">
              <w:rPr>
                <w:b/>
                <w:sz w:val="20"/>
                <w:szCs w:val="20"/>
              </w:rPr>
              <w:t>NE</w:t>
            </w:r>
          </w:p>
        </w:tc>
      </w:tr>
      <w:tr w:rsidR="008E6831" w:rsidRPr="008D1759" w14:paraId="375FB0BB" w14:textId="77777777" w:rsidTr="00B501AB">
        <w:tc>
          <w:tcPr>
            <w:tcW w:w="1448" w:type="dxa"/>
            <w:tcBorders>
              <w:bottom w:val="single" w:sz="4" w:space="0" w:color="auto"/>
            </w:tcBorders>
          </w:tcPr>
          <w:p w14:paraId="5F6774DE" w14:textId="77777777" w:rsidR="008E6831" w:rsidRPr="008D1759" w:rsidRDefault="008E6831" w:rsidP="00B501AB">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1EFB5C1E" w14:textId="77777777" w:rsidR="008E6831" w:rsidRPr="008D1759" w:rsidRDefault="008E6831" w:rsidP="00B501A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2C099ADB" w14:textId="77777777" w:rsidR="008E6831" w:rsidRPr="008D1759" w:rsidRDefault="008E6831" w:rsidP="008E6831">
            <w:pPr>
              <w:pStyle w:val="Neotevilenodstavek"/>
              <w:numPr>
                <w:ilvl w:val="0"/>
                <w:numId w:val="3"/>
              </w:numPr>
              <w:spacing w:before="0" w:after="0" w:line="260" w:lineRule="exact"/>
              <w:rPr>
                <w:bCs/>
                <w:sz w:val="20"/>
                <w:szCs w:val="20"/>
              </w:rPr>
            </w:pPr>
            <w:r w:rsidRPr="008D1759">
              <w:rPr>
                <w:bCs/>
                <w:sz w:val="20"/>
                <w:szCs w:val="20"/>
              </w:rPr>
              <w:t>nacionalne d</w:t>
            </w:r>
            <w:r>
              <w:rPr>
                <w:bCs/>
                <w:sz w:val="20"/>
                <w:szCs w:val="20"/>
              </w:rPr>
              <w:t>okumente razvojnega načrtovanja</w:t>
            </w:r>
          </w:p>
          <w:p w14:paraId="078680A1" w14:textId="77777777" w:rsidR="008E6831" w:rsidRPr="008D1759" w:rsidRDefault="008E6831" w:rsidP="008E6831">
            <w:pPr>
              <w:pStyle w:val="Neotevilenodstavek"/>
              <w:numPr>
                <w:ilvl w:val="0"/>
                <w:numId w:val="3"/>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4E015563" w14:textId="77777777" w:rsidR="008E6831" w:rsidRPr="008D1759" w:rsidRDefault="008E6831" w:rsidP="008E6831">
            <w:pPr>
              <w:pStyle w:val="Neotevilenodstavek"/>
              <w:numPr>
                <w:ilvl w:val="0"/>
                <w:numId w:val="3"/>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243599F2" w14:textId="77777777" w:rsidR="008E6831" w:rsidRPr="008D1759" w:rsidRDefault="008E6831" w:rsidP="00B501AB">
            <w:pPr>
              <w:pStyle w:val="Neotevilenodstavek"/>
              <w:spacing w:before="0" w:after="0" w:line="260" w:lineRule="exact"/>
              <w:jc w:val="center"/>
              <w:rPr>
                <w:iCs/>
                <w:sz w:val="20"/>
                <w:szCs w:val="20"/>
              </w:rPr>
            </w:pPr>
            <w:r>
              <w:rPr>
                <w:sz w:val="20"/>
                <w:szCs w:val="20"/>
              </w:rPr>
              <w:t>DA</w:t>
            </w:r>
            <w:r w:rsidRPr="008D1759">
              <w:rPr>
                <w:sz w:val="20"/>
                <w:szCs w:val="20"/>
              </w:rPr>
              <w:t>/</w:t>
            </w:r>
            <w:r w:rsidRPr="0046518E">
              <w:rPr>
                <w:b/>
                <w:sz w:val="20"/>
                <w:szCs w:val="20"/>
              </w:rPr>
              <w:t>NE</w:t>
            </w:r>
          </w:p>
        </w:tc>
      </w:tr>
      <w:tr w:rsidR="008E6831" w:rsidRPr="008D1759" w14:paraId="36B90C0C" w14:textId="77777777" w:rsidTr="00B501AB">
        <w:tc>
          <w:tcPr>
            <w:tcW w:w="9163" w:type="dxa"/>
            <w:gridSpan w:val="4"/>
            <w:tcBorders>
              <w:top w:val="single" w:sz="4" w:space="0" w:color="auto"/>
              <w:left w:val="single" w:sz="4" w:space="0" w:color="auto"/>
              <w:bottom w:val="single" w:sz="4" w:space="0" w:color="auto"/>
              <w:right w:val="single" w:sz="4" w:space="0" w:color="auto"/>
            </w:tcBorders>
          </w:tcPr>
          <w:p w14:paraId="6D0BCB46" w14:textId="77777777" w:rsidR="008E6831" w:rsidRPr="008D1759" w:rsidRDefault="008E6831" w:rsidP="00B501AB">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7882385C" w14:textId="77777777" w:rsidR="008E6831" w:rsidRPr="00441D47" w:rsidRDefault="008E6831" w:rsidP="00B501AB">
            <w:pPr>
              <w:pStyle w:val="Oddelek"/>
              <w:widowControl w:val="0"/>
              <w:numPr>
                <w:ilvl w:val="0"/>
                <w:numId w:val="0"/>
              </w:numPr>
              <w:spacing w:before="0" w:after="0" w:line="260" w:lineRule="exact"/>
              <w:jc w:val="left"/>
              <w:rPr>
                <w:b w:val="0"/>
                <w:color w:val="A6A6A6"/>
                <w:sz w:val="20"/>
                <w:szCs w:val="20"/>
              </w:rPr>
            </w:pPr>
            <w:r w:rsidRPr="00441D47">
              <w:rPr>
                <w:b w:val="0"/>
                <w:color w:val="A6A6A6"/>
                <w:sz w:val="20"/>
                <w:szCs w:val="20"/>
              </w:rPr>
              <w:t>(Samo če izberete DA pod točko 6.a.)</w:t>
            </w:r>
          </w:p>
        </w:tc>
      </w:tr>
    </w:tbl>
    <w:p w14:paraId="740FEE1D" w14:textId="77777777" w:rsidR="008E6831" w:rsidRPr="008D1759" w:rsidRDefault="008E6831" w:rsidP="008E6831">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8E6831" w:rsidRPr="008D1759" w14:paraId="795C135E" w14:textId="77777777" w:rsidTr="00B501A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2ED2DC" w14:textId="77777777" w:rsidR="008E6831" w:rsidRPr="001F7D8D" w:rsidRDefault="008E6831" w:rsidP="00B501AB">
            <w:pPr>
              <w:pStyle w:val="Naslov1"/>
              <w:keepNext w:val="0"/>
              <w:pageBreakBefore/>
              <w:widowControl w:val="0"/>
              <w:tabs>
                <w:tab w:val="left" w:pos="2340"/>
              </w:tabs>
              <w:spacing w:before="0" w:after="0"/>
              <w:ind w:left="142" w:hanging="142"/>
              <w:rPr>
                <w:rFonts w:ascii="Arial" w:hAnsi="Arial" w:cs="Arial"/>
                <w:b/>
                <w:bCs/>
                <w:color w:val="auto"/>
                <w:sz w:val="20"/>
                <w:szCs w:val="20"/>
              </w:rPr>
            </w:pPr>
            <w:r w:rsidRPr="001F7D8D">
              <w:rPr>
                <w:rFonts w:ascii="Arial" w:hAnsi="Arial" w:cs="Arial"/>
                <w:b/>
                <w:bCs/>
                <w:color w:val="auto"/>
                <w:sz w:val="20"/>
                <w:szCs w:val="20"/>
              </w:rPr>
              <w:lastRenderedPageBreak/>
              <w:t>I. Ocena finančnih posledic, ki niso načrtovane v sprejetem proračunu</w:t>
            </w:r>
          </w:p>
        </w:tc>
      </w:tr>
      <w:tr w:rsidR="008E6831" w:rsidRPr="002274DC" w14:paraId="60DCCBBA" w14:textId="77777777" w:rsidTr="00B501A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5FE7FF" w14:textId="77777777" w:rsidR="008E6831" w:rsidRPr="002274DC" w:rsidRDefault="008E6831" w:rsidP="00B501AB">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53FC5F"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F05C771"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C10859"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76A376B"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t + 3</w:t>
            </w:r>
          </w:p>
        </w:tc>
      </w:tr>
      <w:tr w:rsidR="008E6831" w:rsidRPr="002274DC" w14:paraId="69A549E5" w14:textId="77777777" w:rsidTr="00B501A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807FD5" w14:textId="77777777" w:rsidR="008E6831" w:rsidRPr="002274DC" w:rsidRDefault="008E6831" w:rsidP="00B501AB">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B4B904"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52A8F7D"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CFA1B9"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7C2507"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r>
      <w:tr w:rsidR="008E6831" w:rsidRPr="002274DC" w14:paraId="474B1503" w14:textId="77777777" w:rsidTr="00B501A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10B38E" w14:textId="77777777" w:rsidR="008E6831" w:rsidRPr="002274DC" w:rsidRDefault="008E6831" w:rsidP="00B501AB">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C50E7F"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ECA1C04"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A1A54A"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4EC792"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r>
      <w:tr w:rsidR="008E6831" w:rsidRPr="002274DC" w14:paraId="45DEB737" w14:textId="77777777" w:rsidTr="00B501A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72005D" w14:textId="77777777" w:rsidR="008E6831" w:rsidRPr="002274DC" w:rsidRDefault="008E6831" w:rsidP="00B501AB">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84B551" w14:textId="77777777" w:rsidR="008E6831" w:rsidRPr="002274DC" w:rsidRDefault="008E6831" w:rsidP="00B501A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42CD3D8" w14:textId="77777777" w:rsidR="008E6831" w:rsidRPr="002274DC" w:rsidRDefault="008E6831" w:rsidP="00B501AB">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C7E335" w14:textId="77777777" w:rsidR="008E6831" w:rsidRPr="002274DC" w:rsidRDefault="008E6831" w:rsidP="00B501AB">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D6424A6" w14:textId="77777777" w:rsidR="008E6831" w:rsidRPr="002274DC" w:rsidRDefault="008E6831" w:rsidP="00B501AB">
            <w:pPr>
              <w:widowControl w:val="0"/>
              <w:jc w:val="center"/>
              <w:rPr>
                <w:rFonts w:ascii="Arial" w:hAnsi="Arial" w:cs="Arial"/>
                <w:sz w:val="20"/>
                <w:szCs w:val="20"/>
              </w:rPr>
            </w:pPr>
          </w:p>
        </w:tc>
      </w:tr>
      <w:tr w:rsidR="008E6831" w:rsidRPr="002274DC" w14:paraId="7C816A76" w14:textId="77777777" w:rsidTr="00B501A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279AB1" w14:textId="77777777" w:rsidR="008E6831" w:rsidRPr="002274DC" w:rsidRDefault="008E6831" w:rsidP="00B501AB">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662661" w14:textId="77777777" w:rsidR="008E6831" w:rsidRPr="002274DC" w:rsidRDefault="008E6831" w:rsidP="00B501A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DB4C46" w14:textId="77777777" w:rsidR="008E6831" w:rsidRPr="002274DC" w:rsidRDefault="008E6831" w:rsidP="00B501AB">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0A0EFE" w14:textId="77777777" w:rsidR="008E6831" w:rsidRPr="002274DC" w:rsidRDefault="008E6831" w:rsidP="00B501AB">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EDFFF7" w14:textId="77777777" w:rsidR="008E6831" w:rsidRPr="002274DC" w:rsidRDefault="008E6831" w:rsidP="00B501AB">
            <w:pPr>
              <w:widowControl w:val="0"/>
              <w:jc w:val="center"/>
              <w:rPr>
                <w:rFonts w:ascii="Arial" w:hAnsi="Arial" w:cs="Arial"/>
                <w:sz w:val="20"/>
                <w:szCs w:val="20"/>
              </w:rPr>
            </w:pPr>
          </w:p>
        </w:tc>
      </w:tr>
      <w:tr w:rsidR="008E6831" w:rsidRPr="002274DC" w14:paraId="6283802D" w14:textId="77777777" w:rsidTr="00B501A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DE38DE" w14:textId="77777777" w:rsidR="008E6831" w:rsidRPr="002274DC" w:rsidRDefault="008E6831" w:rsidP="00B501AB">
            <w:pPr>
              <w:widowControl w:val="0"/>
              <w:rPr>
                <w:rFonts w:ascii="Arial" w:hAnsi="Arial" w:cs="Arial"/>
                <w:bCs/>
                <w:sz w:val="20"/>
                <w:szCs w:val="20"/>
              </w:rPr>
            </w:pPr>
            <w:r w:rsidRPr="002274DC">
              <w:rPr>
                <w:rFonts w:ascii="Arial" w:hAnsi="Arial" w:cs="Arial"/>
                <w:bCs/>
                <w:sz w:val="20"/>
                <w:szCs w:val="20"/>
              </w:rPr>
              <w:t>Predvideno povečanje (+) ali zmanjšanje (</w:t>
            </w:r>
            <w:r w:rsidRPr="002274DC">
              <w:rPr>
                <w:rFonts w:ascii="Arial" w:hAnsi="Arial" w:cs="Arial"/>
                <w:b/>
                <w:sz w:val="20"/>
                <w:szCs w:val="20"/>
              </w:rPr>
              <w:t>–</w:t>
            </w:r>
            <w:r w:rsidRPr="002274DC">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3843D5"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48F4281" w14:textId="77777777" w:rsidR="008E6831" w:rsidRPr="002274DC" w:rsidRDefault="008E6831" w:rsidP="00B501AB">
            <w:pPr>
              <w:pStyle w:val="Naslov1"/>
              <w:keepNext w:val="0"/>
              <w:widowControl w:val="0"/>
              <w:tabs>
                <w:tab w:val="left" w:pos="360"/>
              </w:tabs>
              <w:spacing w:before="0" w:after="0"/>
              <w:jc w:val="center"/>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F73FEE"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5C6B0C" w14:textId="77777777" w:rsidR="008E6831" w:rsidRPr="002274DC" w:rsidRDefault="008E6831" w:rsidP="00B501AB">
            <w:pPr>
              <w:pStyle w:val="Naslov1"/>
              <w:keepNext w:val="0"/>
              <w:widowControl w:val="0"/>
              <w:tabs>
                <w:tab w:val="left" w:pos="360"/>
              </w:tabs>
              <w:spacing w:before="0" w:after="0"/>
              <w:jc w:val="center"/>
              <w:rPr>
                <w:rFonts w:cs="Arial"/>
                <w:b/>
                <w:sz w:val="20"/>
                <w:szCs w:val="20"/>
              </w:rPr>
            </w:pPr>
          </w:p>
        </w:tc>
      </w:tr>
      <w:tr w:rsidR="008E6831" w:rsidRPr="008D1759" w14:paraId="4C0E123E" w14:textId="77777777" w:rsidTr="00B501A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D92FDD" w14:textId="77777777" w:rsidR="008E6831" w:rsidRPr="001F7D8D" w:rsidRDefault="008E6831" w:rsidP="00B501AB">
            <w:pPr>
              <w:pStyle w:val="Naslov1"/>
              <w:keepNext w:val="0"/>
              <w:widowControl w:val="0"/>
              <w:tabs>
                <w:tab w:val="left" w:pos="2340"/>
              </w:tabs>
              <w:spacing w:before="0" w:after="0"/>
              <w:ind w:left="142" w:hanging="142"/>
              <w:rPr>
                <w:rFonts w:ascii="Arial" w:hAnsi="Arial" w:cs="Arial"/>
                <w:b/>
                <w:bCs/>
                <w:color w:val="auto"/>
                <w:sz w:val="20"/>
                <w:szCs w:val="20"/>
              </w:rPr>
            </w:pPr>
            <w:r w:rsidRPr="001F7D8D">
              <w:rPr>
                <w:rFonts w:ascii="Arial" w:hAnsi="Arial" w:cs="Arial"/>
                <w:b/>
                <w:bCs/>
                <w:color w:val="auto"/>
                <w:sz w:val="20"/>
                <w:szCs w:val="20"/>
              </w:rPr>
              <w:t>II. Finančne posledice za državni proračun</w:t>
            </w:r>
          </w:p>
        </w:tc>
      </w:tr>
      <w:tr w:rsidR="008E6831" w:rsidRPr="008D1759" w14:paraId="4413349D" w14:textId="77777777" w:rsidTr="00B501A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DEB003" w14:textId="77777777" w:rsidR="008E6831" w:rsidRPr="001F7D8D" w:rsidRDefault="008E6831" w:rsidP="00B501AB">
            <w:pPr>
              <w:pStyle w:val="Naslov1"/>
              <w:keepNext w:val="0"/>
              <w:widowControl w:val="0"/>
              <w:tabs>
                <w:tab w:val="left" w:pos="2340"/>
              </w:tabs>
              <w:spacing w:before="0" w:after="0"/>
              <w:ind w:left="142" w:hanging="142"/>
              <w:rPr>
                <w:rFonts w:ascii="Arial" w:hAnsi="Arial" w:cs="Arial"/>
                <w:b/>
                <w:bCs/>
                <w:color w:val="auto"/>
                <w:sz w:val="20"/>
                <w:szCs w:val="20"/>
              </w:rPr>
            </w:pPr>
            <w:proofErr w:type="spellStart"/>
            <w:r w:rsidRPr="001F7D8D">
              <w:rPr>
                <w:rFonts w:ascii="Arial" w:hAnsi="Arial" w:cs="Arial"/>
                <w:b/>
                <w:bCs/>
                <w:color w:val="auto"/>
                <w:sz w:val="20"/>
                <w:szCs w:val="20"/>
              </w:rPr>
              <w:t>II.a</w:t>
            </w:r>
            <w:proofErr w:type="spellEnd"/>
            <w:r w:rsidRPr="001F7D8D">
              <w:rPr>
                <w:rFonts w:ascii="Arial" w:hAnsi="Arial" w:cs="Arial"/>
                <w:b/>
                <w:bCs/>
                <w:color w:val="auto"/>
                <w:sz w:val="20"/>
                <w:szCs w:val="20"/>
              </w:rPr>
              <w:t xml:space="preserve"> Pravice porabe za izvedbo predlaganih rešitev so zagotovljene:</w:t>
            </w:r>
          </w:p>
        </w:tc>
      </w:tr>
      <w:tr w:rsidR="008E6831" w:rsidRPr="002274DC" w14:paraId="64DC0A6B" w14:textId="77777777" w:rsidTr="00B501A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FD6367D"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F52FE1"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A95BE"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8F6D0A"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75722B9"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Znesek za t + 1</w:t>
            </w:r>
          </w:p>
        </w:tc>
      </w:tr>
      <w:tr w:rsidR="008E6831" w:rsidRPr="008D1759" w14:paraId="2D4F6DDF" w14:textId="77777777" w:rsidTr="00B501A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8888469"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4C8C4E"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AF7637"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56C258"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C6A83CF"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0BD9DE77" w14:textId="77777777" w:rsidTr="00B501A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B36DD66"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D886A4"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B233B2"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5FFA3"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DD1777"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70FA24A3" w14:textId="77777777" w:rsidTr="00B501A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38317B" w14:textId="77777777" w:rsidR="008E6831" w:rsidRPr="001F7D8D" w:rsidRDefault="008E6831" w:rsidP="00B501AB">
            <w:pPr>
              <w:pStyle w:val="Naslov1"/>
              <w:keepNext w:val="0"/>
              <w:widowControl w:val="0"/>
              <w:tabs>
                <w:tab w:val="left" w:pos="360"/>
              </w:tabs>
              <w:spacing w:before="0" w:after="0"/>
              <w:rPr>
                <w:rFonts w:ascii="Arial" w:hAnsi="Arial" w:cs="Arial"/>
                <w:b/>
                <w:bCs/>
                <w:color w:val="auto"/>
                <w:sz w:val="20"/>
                <w:szCs w:val="20"/>
              </w:rPr>
            </w:pPr>
            <w:r w:rsidRPr="001F7D8D">
              <w:rPr>
                <w:rFonts w:ascii="Arial" w:hAnsi="Arial" w:cs="Arial"/>
                <w:b/>
                <w:bCs/>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CF02A4" w14:textId="77777777" w:rsidR="008E6831" w:rsidRPr="001F7D8D" w:rsidRDefault="008E6831" w:rsidP="00B501A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A527F2" w14:textId="77777777" w:rsidR="008E6831" w:rsidRPr="001F7D8D" w:rsidRDefault="008E6831" w:rsidP="00B501AB">
            <w:pPr>
              <w:pStyle w:val="Naslov1"/>
              <w:keepNext w:val="0"/>
              <w:widowControl w:val="0"/>
              <w:tabs>
                <w:tab w:val="left" w:pos="360"/>
              </w:tabs>
              <w:spacing w:before="0" w:after="0"/>
              <w:rPr>
                <w:rFonts w:cs="Arial"/>
                <w:color w:val="auto"/>
                <w:sz w:val="20"/>
                <w:szCs w:val="20"/>
              </w:rPr>
            </w:pPr>
          </w:p>
        </w:tc>
      </w:tr>
      <w:tr w:rsidR="008E6831" w:rsidRPr="008D1759" w14:paraId="3E79CA1C" w14:textId="77777777" w:rsidTr="00B501A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5C641F" w14:textId="77777777" w:rsidR="008E6831" w:rsidRPr="001F7D8D" w:rsidRDefault="008E6831" w:rsidP="00B501AB">
            <w:pPr>
              <w:pStyle w:val="Naslov1"/>
              <w:keepNext w:val="0"/>
              <w:widowControl w:val="0"/>
              <w:tabs>
                <w:tab w:val="left" w:pos="2340"/>
              </w:tabs>
              <w:spacing w:before="0" w:after="0"/>
              <w:rPr>
                <w:rFonts w:ascii="Arial" w:hAnsi="Arial" w:cs="Arial"/>
                <w:b/>
                <w:bCs/>
                <w:color w:val="auto"/>
                <w:sz w:val="20"/>
                <w:szCs w:val="20"/>
              </w:rPr>
            </w:pPr>
            <w:proofErr w:type="spellStart"/>
            <w:r w:rsidRPr="001F7D8D">
              <w:rPr>
                <w:rFonts w:ascii="Arial" w:hAnsi="Arial" w:cs="Arial"/>
                <w:b/>
                <w:bCs/>
                <w:color w:val="auto"/>
                <w:sz w:val="20"/>
                <w:szCs w:val="20"/>
              </w:rPr>
              <w:t>II.b</w:t>
            </w:r>
            <w:proofErr w:type="spellEnd"/>
            <w:r w:rsidRPr="001F7D8D">
              <w:rPr>
                <w:rFonts w:ascii="Arial" w:hAnsi="Arial" w:cs="Arial"/>
                <w:b/>
                <w:bCs/>
                <w:color w:val="auto"/>
                <w:sz w:val="20"/>
                <w:szCs w:val="20"/>
              </w:rPr>
              <w:t xml:space="preserve"> Manjkajoče pravice porabe bodo zagotovljene s prerazporeditvijo:</w:t>
            </w:r>
          </w:p>
        </w:tc>
      </w:tr>
      <w:tr w:rsidR="008E6831" w:rsidRPr="008D1759" w14:paraId="7405B33F" w14:textId="77777777" w:rsidTr="00B501A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4B6DA2"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B9DB69"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2312C6"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9428A5"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E81F4D" w14:textId="77777777" w:rsidR="008E6831" w:rsidRPr="002274DC" w:rsidRDefault="008E6831" w:rsidP="00B501AB">
            <w:pPr>
              <w:widowControl w:val="0"/>
              <w:jc w:val="center"/>
              <w:rPr>
                <w:rFonts w:ascii="Arial" w:hAnsi="Arial" w:cs="Arial"/>
                <w:sz w:val="20"/>
                <w:szCs w:val="20"/>
              </w:rPr>
            </w:pPr>
            <w:r w:rsidRPr="002274DC">
              <w:rPr>
                <w:rFonts w:ascii="Arial" w:hAnsi="Arial" w:cs="Arial"/>
                <w:sz w:val="20"/>
                <w:szCs w:val="20"/>
              </w:rPr>
              <w:t xml:space="preserve">Znesek za t + 1 </w:t>
            </w:r>
          </w:p>
        </w:tc>
      </w:tr>
      <w:tr w:rsidR="008E6831" w:rsidRPr="008D1759" w14:paraId="516DEC32" w14:textId="77777777" w:rsidTr="00B501A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BA75C5"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44C00A"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87FF52"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5AD5C4"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C7860A"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71385917" w14:textId="77777777" w:rsidTr="00B501A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0B2DB5"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E52FAE"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762DF29"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17E8AB"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45D63A"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278605B8" w14:textId="77777777" w:rsidTr="00B501A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BEC876" w14:textId="77777777" w:rsidR="008E6831" w:rsidRPr="001F7D8D" w:rsidRDefault="008E6831" w:rsidP="00B501AB">
            <w:pPr>
              <w:pStyle w:val="Naslov1"/>
              <w:keepNext w:val="0"/>
              <w:widowControl w:val="0"/>
              <w:tabs>
                <w:tab w:val="left" w:pos="360"/>
              </w:tabs>
              <w:spacing w:before="0" w:after="0"/>
              <w:rPr>
                <w:rFonts w:ascii="Arial" w:hAnsi="Arial" w:cs="Arial"/>
                <w:b/>
                <w:bCs/>
                <w:color w:val="auto"/>
                <w:sz w:val="20"/>
                <w:szCs w:val="20"/>
              </w:rPr>
            </w:pPr>
            <w:r w:rsidRPr="001F7D8D">
              <w:rPr>
                <w:rFonts w:ascii="Arial" w:hAnsi="Arial" w:cs="Arial"/>
                <w:b/>
                <w:bCs/>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1D0925" w14:textId="77777777" w:rsidR="008E6831" w:rsidRPr="001F7D8D" w:rsidRDefault="008E6831" w:rsidP="00B501AB">
            <w:pPr>
              <w:pStyle w:val="Naslov1"/>
              <w:keepNext w:val="0"/>
              <w:widowControl w:val="0"/>
              <w:tabs>
                <w:tab w:val="left" w:pos="360"/>
              </w:tabs>
              <w:spacing w:before="0" w:after="0"/>
              <w:rPr>
                <w:rFonts w:cs="Arial"/>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F4A5B6" w14:textId="77777777" w:rsidR="008E6831" w:rsidRPr="001F7D8D" w:rsidRDefault="008E6831" w:rsidP="00B501AB">
            <w:pPr>
              <w:pStyle w:val="Naslov1"/>
              <w:keepNext w:val="0"/>
              <w:widowControl w:val="0"/>
              <w:tabs>
                <w:tab w:val="left" w:pos="360"/>
              </w:tabs>
              <w:spacing w:before="0" w:after="0"/>
              <w:rPr>
                <w:rFonts w:cs="Arial"/>
                <w:color w:val="auto"/>
                <w:sz w:val="20"/>
                <w:szCs w:val="20"/>
              </w:rPr>
            </w:pPr>
          </w:p>
        </w:tc>
      </w:tr>
      <w:tr w:rsidR="008E6831" w:rsidRPr="008D1759" w14:paraId="2B25B2A4" w14:textId="77777777" w:rsidTr="00B501A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B962C13" w14:textId="77777777" w:rsidR="008E6831" w:rsidRPr="001F7D8D" w:rsidRDefault="008E6831" w:rsidP="00B501AB">
            <w:pPr>
              <w:pStyle w:val="Naslov1"/>
              <w:keepNext w:val="0"/>
              <w:widowControl w:val="0"/>
              <w:tabs>
                <w:tab w:val="left" w:pos="2340"/>
              </w:tabs>
              <w:spacing w:before="0" w:after="0"/>
              <w:rPr>
                <w:rFonts w:ascii="Arial" w:hAnsi="Arial" w:cs="Arial"/>
                <w:b/>
                <w:bCs/>
                <w:color w:val="auto"/>
                <w:sz w:val="20"/>
                <w:szCs w:val="20"/>
              </w:rPr>
            </w:pPr>
            <w:proofErr w:type="spellStart"/>
            <w:r w:rsidRPr="001F7D8D">
              <w:rPr>
                <w:rFonts w:ascii="Arial" w:hAnsi="Arial" w:cs="Arial"/>
                <w:b/>
                <w:bCs/>
                <w:color w:val="auto"/>
                <w:sz w:val="20"/>
                <w:szCs w:val="20"/>
              </w:rPr>
              <w:t>II.c</w:t>
            </w:r>
            <w:proofErr w:type="spellEnd"/>
            <w:r w:rsidRPr="001F7D8D">
              <w:rPr>
                <w:rFonts w:ascii="Arial" w:hAnsi="Arial" w:cs="Arial"/>
                <w:b/>
                <w:bCs/>
                <w:color w:val="auto"/>
                <w:sz w:val="20"/>
                <w:szCs w:val="20"/>
              </w:rPr>
              <w:t xml:space="preserve"> Načrtovana nadomestitev zmanjšanih prihodkov in povečanih odhodkov proračuna:</w:t>
            </w:r>
          </w:p>
        </w:tc>
      </w:tr>
      <w:tr w:rsidR="008E6831" w:rsidRPr="002274DC" w14:paraId="62D22900" w14:textId="77777777" w:rsidTr="00B501A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2F9F8" w14:textId="77777777" w:rsidR="008E6831" w:rsidRPr="002274DC" w:rsidRDefault="008E6831" w:rsidP="00B501AB">
            <w:pPr>
              <w:widowControl w:val="0"/>
              <w:ind w:left="-122" w:right="-112"/>
              <w:jc w:val="center"/>
              <w:rPr>
                <w:rFonts w:ascii="Arial" w:hAnsi="Arial" w:cs="Arial"/>
                <w:sz w:val="20"/>
                <w:szCs w:val="20"/>
              </w:rPr>
            </w:pPr>
            <w:r w:rsidRPr="002274DC">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7C885F" w14:textId="77777777" w:rsidR="008E6831" w:rsidRPr="002274DC" w:rsidRDefault="008E6831" w:rsidP="00B501AB">
            <w:pPr>
              <w:widowControl w:val="0"/>
              <w:ind w:left="-122" w:right="-112"/>
              <w:jc w:val="center"/>
              <w:rPr>
                <w:rFonts w:ascii="Arial" w:hAnsi="Arial" w:cs="Arial"/>
                <w:sz w:val="20"/>
                <w:szCs w:val="20"/>
              </w:rPr>
            </w:pPr>
            <w:r w:rsidRPr="002274DC">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885FDB" w14:textId="77777777" w:rsidR="008E6831" w:rsidRPr="002274DC" w:rsidRDefault="008E6831" w:rsidP="00B501AB">
            <w:pPr>
              <w:widowControl w:val="0"/>
              <w:ind w:left="-122" w:right="-112"/>
              <w:jc w:val="center"/>
              <w:rPr>
                <w:rFonts w:ascii="Arial" w:hAnsi="Arial" w:cs="Arial"/>
                <w:sz w:val="20"/>
                <w:szCs w:val="20"/>
              </w:rPr>
            </w:pPr>
            <w:r w:rsidRPr="002274DC">
              <w:rPr>
                <w:rFonts w:ascii="Arial" w:hAnsi="Arial" w:cs="Arial"/>
                <w:sz w:val="20"/>
                <w:szCs w:val="20"/>
              </w:rPr>
              <w:t>Znesek za t + 1</w:t>
            </w:r>
          </w:p>
        </w:tc>
      </w:tr>
      <w:tr w:rsidR="008E6831" w:rsidRPr="008D1759" w14:paraId="111AA768" w14:textId="77777777" w:rsidTr="00B501A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7BDA0A"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6880D5"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2344FF"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0CB56122" w14:textId="77777777" w:rsidTr="00B501A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95002C"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346516"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16D34F"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6D44FB97" w14:textId="77777777" w:rsidTr="00B501A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5C0A41"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021C3B"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01DB41" w14:textId="77777777" w:rsidR="008E6831" w:rsidRPr="008D1759" w:rsidRDefault="008E6831" w:rsidP="00B501AB">
            <w:pPr>
              <w:pStyle w:val="Naslov1"/>
              <w:keepNext w:val="0"/>
              <w:widowControl w:val="0"/>
              <w:tabs>
                <w:tab w:val="left" w:pos="360"/>
              </w:tabs>
              <w:spacing w:before="0" w:after="0"/>
              <w:rPr>
                <w:rFonts w:cs="Arial"/>
                <w:b/>
                <w:bCs/>
                <w:sz w:val="20"/>
                <w:szCs w:val="20"/>
              </w:rPr>
            </w:pPr>
          </w:p>
        </w:tc>
      </w:tr>
      <w:tr w:rsidR="008E6831" w:rsidRPr="008D1759" w14:paraId="1DECFC1F" w14:textId="77777777" w:rsidTr="00B501A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74CBCA" w14:textId="77777777" w:rsidR="008E6831" w:rsidRPr="001F7D8D" w:rsidRDefault="008E6831" w:rsidP="00B501AB">
            <w:pPr>
              <w:pStyle w:val="Naslov1"/>
              <w:keepNext w:val="0"/>
              <w:widowControl w:val="0"/>
              <w:tabs>
                <w:tab w:val="left" w:pos="360"/>
              </w:tabs>
              <w:spacing w:before="0" w:after="0"/>
              <w:rPr>
                <w:rFonts w:ascii="Arial" w:hAnsi="Arial" w:cs="Arial"/>
                <w:b/>
                <w:bCs/>
                <w:sz w:val="20"/>
                <w:szCs w:val="20"/>
              </w:rPr>
            </w:pPr>
            <w:r w:rsidRPr="001F7D8D">
              <w:rPr>
                <w:rFonts w:ascii="Arial" w:hAnsi="Arial" w:cs="Arial"/>
                <w:b/>
                <w:bCs/>
                <w:color w:val="auto"/>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BAC8A5" w14:textId="77777777" w:rsidR="008E6831" w:rsidRPr="008D1759" w:rsidRDefault="008E6831" w:rsidP="00B501AB">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B027A0" w14:textId="77777777" w:rsidR="008E6831" w:rsidRPr="008D1759" w:rsidRDefault="008E6831" w:rsidP="00B501AB">
            <w:pPr>
              <w:pStyle w:val="Naslov1"/>
              <w:keepNext w:val="0"/>
              <w:widowControl w:val="0"/>
              <w:tabs>
                <w:tab w:val="left" w:pos="360"/>
              </w:tabs>
              <w:spacing w:before="0" w:after="0"/>
              <w:rPr>
                <w:rFonts w:cs="Arial"/>
                <w:sz w:val="20"/>
                <w:szCs w:val="20"/>
              </w:rPr>
            </w:pPr>
          </w:p>
        </w:tc>
      </w:tr>
      <w:tr w:rsidR="008E6831" w:rsidRPr="008D1759" w14:paraId="101AEBF8"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790E052" w14:textId="77777777" w:rsidR="008E6831" w:rsidRPr="002274DC" w:rsidRDefault="008E6831" w:rsidP="00B501AB">
            <w:pPr>
              <w:widowControl w:val="0"/>
              <w:rPr>
                <w:rFonts w:ascii="Arial" w:hAnsi="Arial" w:cs="Arial"/>
                <w:b/>
                <w:sz w:val="20"/>
                <w:szCs w:val="20"/>
              </w:rPr>
            </w:pPr>
            <w:r w:rsidRPr="002274DC">
              <w:rPr>
                <w:rFonts w:ascii="Arial" w:hAnsi="Arial" w:cs="Arial"/>
                <w:b/>
                <w:sz w:val="20"/>
                <w:szCs w:val="20"/>
              </w:rPr>
              <w:lastRenderedPageBreak/>
              <w:t>OBRAZLOŽITEV:</w:t>
            </w:r>
          </w:p>
          <w:p w14:paraId="7BFA5FF5" w14:textId="77777777" w:rsidR="008E6831" w:rsidRDefault="008E6831" w:rsidP="008E6831">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2274DC">
              <w:rPr>
                <w:rFonts w:ascii="Arial" w:hAnsi="Arial" w:cs="Arial"/>
                <w:b/>
                <w:sz w:val="20"/>
                <w:szCs w:val="20"/>
                <w:lang w:eastAsia="sl-SI"/>
              </w:rPr>
              <w:t>Ocena finančnih posledic, ki niso načrtovane v sprejetem proračunu</w:t>
            </w:r>
          </w:p>
          <w:p w14:paraId="4F4046B8" w14:textId="77777777" w:rsidR="008E6831" w:rsidRPr="002274DC" w:rsidRDefault="008E6831" w:rsidP="00B501AB">
            <w:pPr>
              <w:widowControl w:val="0"/>
              <w:suppressAutoHyphens/>
              <w:spacing w:after="0" w:line="260" w:lineRule="exact"/>
              <w:ind w:left="284"/>
              <w:jc w:val="both"/>
              <w:rPr>
                <w:rFonts w:ascii="Arial" w:hAnsi="Arial" w:cs="Arial"/>
                <w:b/>
                <w:sz w:val="20"/>
                <w:szCs w:val="20"/>
                <w:lang w:eastAsia="sl-SI"/>
              </w:rPr>
            </w:pPr>
          </w:p>
          <w:p w14:paraId="6FE5DF7A" w14:textId="77777777" w:rsidR="008E6831" w:rsidRPr="002274DC" w:rsidRDefault="008E6831" w:rsidP="008E6831">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2274DC">
              <w:rPr>
                <w:rFonts w:ascii="Arial" w:hAnsi="Arial" w:cs="Arial"/>
                <w:b/>
                <w:sz w:val="20"/>
                <w:szCs w:val="20"/>
                <w:lang w:eastAsia="sl-SI"/>
              </w:rPr>
              <w:t>Finančne posledice za državni proračun</w:t>
            </w:r>
          </w:p>
          <w:p w14:paraId="60BB34F8" w14:textId="77777777" w:rsidR="008E6831" w:rsidRDefault="008E6831" w:rsidP="00B501AB">
            <w:pPr>
              <w:widowControl w:val="0"/>
              <w:suppressAutoHyphens/>
              <w:ind w:left="720"/>
              <w:jc w:val="both"/>
              <w:rPr>
                <w:rFonts w:ascii="Arial" w:hAnsi="Arial" w:cs="Arial"/>
                <w:b/>
                <w:sz w:val="20"/>
                <w:szCs w:val="20"/>
                <w:lang w:eastAsia="sl-SI"/>
              </w:rPr>
            </w:pPr>
            <w:proofErr w:type="spellStart"/>
            <w:r w:rsidRPr="002274DC">
              <w:rPr>
                <w:rFonts w:ascii="Arial" w:hAnsi="Arial" w:cs="Arial"/>
                <w:b/>
                <w:sz w:val="20"/>
                <w:szCs w:val="20"/>
                <w:lang w:eastAsia="sl-SI"/>
              </w:rPr>
              <w:t>II.a</w:t>
            </w:r>
            <w:proofErr w:type="spellEnd"/>
            <w:r w:rsidRPr="002274DC">
              <w:rPr>
                <w:rFonts w:ascii="Arial" w:hAnsi="Arial" w:cs="Arial"/>
                <w:b/>
                <w:sz w:val="20"/>
                <w:szCs w:val="20"/>
                <w:lang w:eastAsia="sl-SI"/>
              </w:rPr>
              <w:t xml:space="preserve"> Pravice porabe za izvedbo predlaganih rešitev so zagotovljene:</w:t>
            </w:r>
          </w:p>
          <w:p w14:paraId="08EBEC6F" w14:textId="77777777" w:rsidR="008E6831" w:rsidRPr="002274DC" w:rsidRDefault="008E6831" w:rsidP="00B501AB">
            <w:pPr>
              <w:widowControl w:val="0"/>
              <w:suppressAutoHyphens/>
              <w:ind w:left="720"/>
              <w:jc w:val="both"/>
              <w:rPr>
                <w:rFonts w:ascii="Arial" w:hAnsi="Arial" w:cs="Arial"/>
                <w:b/>
                <w:sz w:val="20"/>
                <w:szCs w:val="20"/>
                <w:lang w:eastAsia="sl-SI"/>
              </w:rPr>
            </w:pPr>
            <w:proofErr w:type="spellStart"/>
            <w:r w:rsidRPr="002274DC">
              <w:rPr>
                <w:rFonts w:ascii="Arial" w:hAnsi="Arial" w:cs="Arial"/>
                <w:b/>
                <w:sz w:val="20"/>
                <w:szCs w:val="20"/>
                <w:lang w:eastAsia="sl-SI"/>
              </w:rPr>
              <w:t>II.b</w:t>
            </w:r>
            <w:proofErr w:type="spellEnd"/>
            <w:r w:rsidRPr="002274DC">
              <w:rPr>
                <w:rFonts w:ascii="Arial" w:hAnsi="Arial" w:cs="Arial"/>
                <w:b/>
                <w:sz w:val="20"/>
                <w:szCs w:val="20"/>
                <w:lang w:eastAsia="sl-SI"/>
              </w:rPr>
              <w:t xml:space="preserve"> Manjkajoče pravice porabe bodo zagotovljene s prerazporeditvijo:</w:t>
            </w:r>
          </w:p>
          <w:p w14:paraId="5DDA05BC" w14:textId="77777777" w:rsidR="008E6831" w:rsidRPr="002274DC" w:rsidRDefault="008E6831" w:rsidP="00B501AB">
            <w:pPr>
              <w:widowControl w:val="0"/>
              <w:suppressAutoHyphens/>
              <w:ind w:left="714"/>
              <w:jc w:val="both"/>
              <w:rPr>
                <w:sz w:val="20"/>
                <w:szCs w:val="20"/>
              </w:rPr>
            </w:pPr>
            <w:proofErr w:type="spellStart"/>
            <w:r w:rsidRPr="002274DC">
              <w:rPr>
                <w:rFonts w:ascii="Arial" w:hAnsi="Arial" w:cs="Arial"/>
                <w:b/>
                <w:sz w:val="20"/>
                <w:szCs w:val="20"/>
                <w:lang w:eastAsia="sl-SI"/>
              </w:rPr>
              <w:t>II.c</w:t>
            </w:r>
            <w:proofErr w:type="spellEnd"/>
            <w:r w:rsidRPr="002274DC">
              <w:rPr>
                <w:rFonts w:ascii="Arial" w:hAnsi="Arial" w:cs="Arial"/>
                <w:b/>
                <w:sz w:val="20"/>
                <w:szCs w:val="20"/>
                <w:lang w:eastAsia="sl-SI"/>
              </w:rPr>
              <w:t xml:space="preserve"> Načrtovana nadomestitev zmanjšanih prihodkov in povečanih odhodkov proračuna:</w:t>
            </w:r>
          </w:p>
        </w:tc>
      </w:tr>
      <w:tr w:rsidR="008E6831" w:rsidRPr="002274DC" w14:paraId="297EDFBB"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3DB476E" w14:textId="77777777" w:rsidR="008E6831" w:rsidRDefault="008E6831" w:rsidP="00B501AB">
            <w:pPr>
              <w:rPr>
                <w:rFonts w:ascii="Arial" w:hAnsi="Arial" w:cs="Arial"/>
                <w:b/>
                <w:sz w:val="20"/>
                <w:szCs w:val="20"/>
              </w:rPr>
            </w:pPr>
            <w:r w:rsidRPr="002274DC">
              <w:rPr>
                <w:rFonts w:ascii="Arial" w:hAnsi="Arial" w:cs="Arial"/>
                <w:b/>
                <w:sz w:val="20"/>
                <w:szCs w:val="20"/>
              </w:rPr>
              <w:t>7.b Predstavitev ocene fin</w:t>
            </w:r>
            <w:r>
              <w:rPr>
                <w:rFonts w:ascii="Arial" w:hAnsi="Arial" w:cs="Arial"/>
                <w:b/>
                <w:sz w:val="20"/>
                <w:szCs w:val="20"/>
              </w:rPr>
              <w:t>ančnih posledic pod 40.000 EUR:</w:t>
            </w:r>
          </w:p>
          <w:p w14:paraId="3E504BF6" w14:textId="77777777" w:rsidR="008E6831" w:rsidRPr="002274DC" w:rsidRDefault="008E6831" w:rsidP="00B501AB">
            <w:pPr>
              <w:rPr>
                <w:rFonts w:ascii="Arial" w:hAnsi="Arial" w:cs="Arial"/>
                <w:b/>
                <w:sz w:val="20"/>
                <w:szCs w:val="20"/>
              </w:rPr>
            </w:pPr>
            <w:r w:rsidRPr="002274DC">
              <w:rPr>
                <w:rFonts w:ascii="Arial" w:hAnsi="Arial" w:cs="Arial"/>
                <w:b/>
                <w:sz w:val="20"/>
                <w:szCs w:val="20"/>
              </w:rPr>
              <w:t>Kratka obrazložitev</w:t>
            </w:r>
          </w:p>
        </w:tc>
      </w:tr>
      <w:tr w:rsidR="008E6831" w:rsidRPr="00D063BD" w14:paraId="264FE64A"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359C7BA" w14:textId="77777777" w:rsidR="008E6831" w:rsidRPr="00171E3B" w:rsidRDefault="008E6831" w:rsidP="00B501AB">
            <w:pPr>
              <w:rPr>
                <w:rFonts w:cs="Arial"/>
                <w:b/>
                <w:szCs w:val="20"/>
              </w:rPr>
            </w:pPr>
            <w:r w:rsidRPr="00171E3B">
              <w:rPr>
                <w:rFonts w:cs="Arial"/>
                <w:b/>
                <w:szCs w:val="20"/>
              </w:rPr>
              <w:t>8. Predstavitev sodelovanja z združenji občin:</w:t>
            </w:r>
          </w:p>
        </w:tc>
      </w:tr>
      <w:tr w:rsidR="008E6831" w:rsidRPr="00D063BD" w14:paraId="4505CFD2"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24275CE" w14:textId="77777777" w:rsidR="008E6831" w:rsidRPr="00171E3B" w:rsidRDefault="008E6831" w:rsidP="00B501AB">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2AAE4045" w14:textId="77777777" w:rsidR="008E6831" w:rsidRDefault="008E6831" w:rsidP="008E6831">
            <w:pPr>
              <w:pStyle w:val="Neotevilenodstavek"/>
              <w:widowControl w:val="0"/>
              <w:numPr>
                <w:ilvl w:val="1"/>
                <w:numId w:val="4"/>
              </w:numPr>
              <w:spacing w:before="0" w:after="0" w:line="260" w:lineRule="exact"/>
              <w:rPr>
                <w:iCs/>
                <w:sz w:val="20"/>
                <w:szCs w:val="20"/>
              </w:rPr>
            </w:pPr>
            <w:r w:rsidRPr="00171E3B">
              <w:rPr>
                <w:iCs/>
                <w:sz w:val="20"/>
                <w:szCs w:val="20"/>
              </w:rPr>
              <w:t>pristojnosti občin,</w:t>
            </w:r>
          </w:p>
          <w:p w14:paraId="79E46823" w14:textId="77777777" w:rsidR="008E6831" w:rsidRPr="00171E3B" w:rsidRDefault="008E6831" w:rsidP="008E6831">
            <w:pPr>
              <w:pStyle w:val="Neotevilenodstavek"/>
              <w:widowControl w:val="0"/>
              <w:numPr>
                <w:ilvl w:val="1"/>
                <w:numId w:val="4"/>
              </w:numPr>
              <w:spacing w:before="0" w:after="0" w:line="260" w:lineRule="exact"/>
              <w:rPr>
                <w:iCs/>
                <w:sz w:val="20"/>
                <w:szCs w:val="20"/>
              </w:rPr>
            </w:pPr>
            <w:r>
              <w:rPr>
                <w:iCs/>
                <w:sz w:val="20"/>
                <w:szCs w:val="20"/>
              </w:rPr>
              <w:t>delovanje občin,</w:t>
            </w:r>
          </w:p>
          <w:p w14:paraId="4A7BF515" w14:textId="77777777" w:rsidR="008E6831" w:rsidRPr="00171E3B" w:rsidRDefault="008E6831" w:rsidP="008E6831">
            <w:pPr>
              <w:pStyle w:val="Neotevilenodstavek"/>
              <w:widowControl w:val="0"/>
              <w:numPr>
                <w:ilvl w:val="1"/>
                <w:numId w:val="4"/>
              </w:numPr>
              <w:spacing w:before="0" w:after="0" w:line="260" w:lineRule="exact"/>
              <w:rPr>
                <w:iCs/>
                <w:sz w:val="20"/>
                <w:szCs w:val="20"/>
              </w:rPr>
            </w:pPr>
            <w:r>
              <w:rPr>
                <w:iCs/>
                <w:sz w:val="20"/>
                <w:szCs w:val="20"/>
              </w:rPr>
              <w:t>financiranje občin.</w:t>
            </w:r>
          </w:p>
          <w:p w14:paraId="107615E7" w14:textId="77777777" w:rsidR="008E6831" w:rsidRPr="00171E3B" w:rsidRDefault="008E6831" w:rsidP="00B501AB">
            <w:pPr>
              <w:pStyle w:val="Neotevilenodstavek"/>
              <w:widowControl w:val="0"/>
              <w:spacing w:before="0" w:after="0" w:line="260" w:lineRule="exact"/>
              <w:ind w:left="1440"/>
              <w:rPr>
                <w:iCs/>
                <w:sz w:val="20"/>
                <w:szCs w:val="20"/>
              </w:rPr>
            </w:pPr>
          </w:p>
        </w:tc>
        <w:tc>
          <w:tcPr>
            <w:tcW w:w="2431" w:type="dxa"/>
            <w:gridSpan w:val="2"/>
          </w:tcPr>
          <w:p w14:paraId="1D32E848" w14:textId="77777777" w:rsidR="008E6831" w:rsidRPr="00171E3B" w:rsidRDefault="008E6831" w:rsidP="00B501AB">
            <w:pPr>
              <w:pStyle w:val="Neotevilenodstavek"/>
              <w:widowControl w:val="0"/>
              <w:spacing w:before="0" w:after="0" w:line="260" w:lineRule="exact"/>
              <w:jc w:val="center"/>
              <w:rPr>
                <w:sz w:val="20"/>
                <w:szCs w:val="20"/>
              </w:rPr>
            </w:pPr>
            <w:r w:rsidRPr="00171E3B">
              <w:rPr>
                <w:sz w:val="20"/>
                <w:szCs w:val="20"/>
              </w:rPr>
              <w:t>DA/</w:t>
            </w:r>
            <w:r w:rsidRPr="00E94C38">
              <w:rPr>
                <w:b/>
                <w:sz w:val="20"/>
                <w:szCs w:val="20"/>
              </w:rPr>
              <w:t>NE</w:t>
            </w:r>
          </w:p>
        </w:tc>
      </w:tr>
      <w:tr w:rsidR="008E6831" w:rsidRPr="00D063BD" w14:paraId="6524F8C7"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B0297F0" w14:textId="77777777" w:rsidR="008E6831" w:rsidRPr="00171E3B" w:rsidRDefault="008E6831" w:rsidP="00B501AB">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7D8B9432" w14:textId="77777777" w:rsidR="008E6831" w:rsidRPr="00171E3B" w:rsidRDefault="008E6831" w:rsidP="008E6831">
            <w:pPr>
              <w:pStyle w:val="Neotevilenodstavek"/>
              <w:widowControl w:val="0"/>
              <w:numPr>
                <w:ilvl w:val="0"/>
                <w:numId w:val="5"/>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DA/NE</w:t>
            </w:r>
          </w:p>
          <w:p w14:paraId="6EC14357" w14:textId="77777777" w:rsidR="008E6831" w:rsidRPr="00171E3B" w:rsidRDefault="008E6831" w:rsidP="008E6831">
            <w:pPr>
              <w:pStyle w:val="Neotevilenodstavek"/>
              <w:widowControl w:val="0"/>
              <w:numPr>
                <w:ilvl w:val="0"/>
                <w:numId w:val="5"/>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DA/NE</w:t>
            </w:r>
          </w:p>
          <w:p w14:paraId="07414025" w14:textId="77777777" w:rsidR="008E6831" w:rsidRPr="00171E3B" w:rsidRDefault="008E6831" w:rsidP="008E6831">
            <w:pPr>
              <w:pStyle w:val="Neotevilenodstavek"/>
              <w:widowControl w:val="0"/>
              <w:numPr>
                <w:ilvl w:val="0"/>
                <w:numId w:val="5"/>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DA/NE</w:t>
            </w:r>
          </w:p>
          <w:p w14:paraId="6D466F54" w14:textId="77777777" w:rsidR="008E6831" w:rsidRPr="00171E3B" w:rsidRDefault="008E6831" w:rsidP="00B501AB">
            <w:pPr>
              <w:pStyle w:val="Neotevilenodstavek"/>
              <w:widowControl w:val="0"/>
              <w:spacing w:before="0" w:after="0" w:line="260" w:lineRule="exact"/>
              <w:rPr>
                <w:iCs/>
                <w:sz w:val="20"/>
                <w:szCs w:val="20"/>
              </w:rPr>
            </w:pPr>
          </w:p>
          <w:p w14:paraId="4229E9F1" w14:textId="77777777" w:rsidR="008E6831" w:rsidRPr="00171E3B" w:rsidRDefault="008E6831" w:rsidP="00B501AB">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5D00A947"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v celoti,</w:t>
            </w:r>
          </w:p>
          <w:p w14:paraId="7D6AE3C1"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večinoma,</w:t>
            </w:r>
          </w:p>
          <w:p w14:paraId="08B05096"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delno,</w:t>
            </w:r>
          </w:p>
          <w:p w14:paraId="6F104C80"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niso bili upoštevani.</w:t>
            </w:r>
          </w:p>
          <w:p w14:paraId="5F53CBAD" w14:textId="77777777" w:rsidR="008E6831" w:rsidRDefault="008E6831" w:rsidP="00B501AB">
            <w:pPr>
              <w:pStyle w:val="Neotevilenodstavek"/>
              <w:widowControl w:val="0"/>
              <w:spacing w:before="0" w:after="0" w:line="260" w:lineRule="exact"/>
              <w:ind w:left="360"/>
              <w:rPr>
                <w:iCs/>
                <w:sz w:val="20"/>
                <w:szCs w:val="20"/>
              </w:rPr>
            </w:pPr>
          </w:p>
          <w:p w14:paraId="2CB98B62" w14:textId="77777777" w:rsidR="008E6831" w:rsidRPr="00171E3B" w:rsidRDefault="008E6831" w:rsidP="00B501AB">
            <w:pPr>
              <w:pStyle w:val="Neotevilenodstavek"/>
              <w:widowControl w:val="0"/>
              <w:spacing w:before="0" w:after="0" w:line="260" w:lineRule="exact"/>
              <w:rPr>
                <w:iCs/>
                <w:sz w:val="20"/>
                <w:szCs w:val="20"/>
              </w:rPr>
            </w:pPr>
            <w:r w:rsidRPr="00441D47">
              <w:rPr>
                <w:iCs/>
                <w:color w:val="A6A6A6"/>
                <w:sz w:val="20"/>
                <w:szCs w:val="20"/>
              </w:rPr>
              <w:t>Bistveni predlogi in pripombe, ki niso bili upoštevani.</w:t>
            </w:r>
          </w:p>
        </w:tc>
      </w:tr>
      <w:tr w:rsidR="008E6831" w:rsidRPr="00D063BD" w14:paraId="10F62773"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668E3C0" w14:textId="77777777" w:rsidR="008E6831" w:rsidRPr="00D063BD" w:rsidRDefault="008E6831" w:rsidP="00B501A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8E6831" w:rsidRPr="00D063BD" w14:paraId="0529222D"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E54336E" w14:textId="77777777" w:rsidR="008E6831" w:rsidRPr="00D063BD" w:rsidRDefault="008E6831" w:rsidP="00B501A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0F45D5D6" w14:textId="77777777" w:rsidR="008E6831" w:rsidRPr="00D063BD" w:rsidRDefault="008E6831" w:rsidP="00B501AB">
            <w:pPr>
              <w:pStyle w:val="Neotevilenodstavek"/>
              <w:widowControl w:val="0"/>
              <w:spacing w:before="0" w:after="0" w:line="260" w:lineRule="exact"/>
              <w:jc w:val="center"/>
              <w:rPr>
                <w:iCs/>
                <w:sz w:val="20"/>
                <w:szCs w:val="20"/>
              </w:rPr>
            </w:pPr>
            <w:r w:rsidRPr="00D063BD">
              <w:rPr>
                <w:sz w:val="20"/>
                <w:szCs w:val="20"/>
              </w:rPr>
              <w:t>DA/</w:t>
            </w:r>
            <w:r w:rsidRPr="00317BB4">
              <w:rPr>
                <w:b/>
                <w:sz w:val="20"/>
                <w:szCs w:val="20"/>
              </w:rPr>
              <w:t>NE</w:t>
            </w:r>
          </w:p>
        </w:tc>
      </w:tr>
      <w:tr w:rsidR="008E6831" w:rsidRPr="00D063BD" w14:paraId="1D4890C0"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10CB01" w14:textId="42541EE0" w:rsidR="008E6831" w:rsidRPr="00441D47" w:rsidRDefault="008E6831" w:rsidP="00B501AB">
            <w:pPr>
              <w:pStyle w:val="Neotevilenodstavek"/>
              <w:widowControl w:val="0"/>
              <w:spacing w:before="0" w:after="0" w:line="260" w:lineRule="exact"/>
              <w:rPr>
                <w:iCs/>
                <w:color w:val="A6A6A6"/>
                <w:sz w:val="20"/>
                <w:szCs w:val="20"/>
              </w:rPr>
            </w:pPr>
            <w:r w:rsidRPr="008615DD">
              <w:rPr>
                <w:i/>
                <w:iCs/>
                <w:sz w:val="20"/>
                <w:szCs w:val="20"/>
              </w:rPr>
              <w:t>Če je odgovor NE, navedite, zakaj ni bilo objavljeno</w:t>
            </w:r>
            <w:r>
              <w:rPr>
                <w:i/>
                <w:iCs/>
                <w:sz w:val="20"/>
                <w:szCs w:val="20"/>
              </w:rPr>
              <w:t>:</w:t>
            </w:r>
            <w:r w:rsidRPr="00E90DBF">
              <w:rPr>
                <w:iCs/>
                <w:sz w:val="20"/>
              </w:rPr>
              <w:t xml:space="preserve"> Gre za poročilo Vlade RS o stanju in gibanju davčnega dolga, ki ga mora le-ta posredovati Državnemu zboru</w:t>
            </w:r>
            <w:r w:rsidR="00944039">
              <w:rPr>
                <w:iCs/>
                <w:sz w:val="20"/>
              </w:rPr>
              <w:t xml:space="preserve"> RS</w:t>
            </w:r>
            <w:r w:rsidRPr="00E90DBF">
              <w:rPr>
                <w:iCs/>
                <w:sz w:val="20"/>
              </w:rPr>
              <w:t>, in ne za predlog predpisa Vlade RS, zato sodelovanje javnosti ni potrebno.</w:t>
            </w:r>
          </w:p>
        </w:tc>
      </w:tr>
      <w:tr w:rsidR="008E6831" w:rsidRPr="00D063BD" w14:paraId="6E6272E4"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3E5CFC0" w14:textId="77777777" w:rsidR="008E6831" w:rsidRPr="00441D47" w:rsidRDefault="008E6831" w:rsidP="00B501AB">
            <w:pPr>
              <w:pStyle w:val="Neotevilenodstavek"/>
              <w:widowControl w:val="0"/>
              <w:spacing w:before="0" w:after="0" w:line="260" w:lineRule="exact"/>
              <w:rPr>
                <w:iCs/>
                <w:color w:val="A6A6A6"/>
                <w:sz w:val="20"/>
                <w:szCs w:val="20"/>
              </w:rPr>
            </w:pPr>
            <w:r w:rsidRPr="00441D47">
              <w:rPr>
                <w:iCs/>
                <w:color w:val="A6A6A6"/>
                <w:sz w:val="20"/>
                <w:szCs w:val="20"/>
              </w:rPr>
              <w:t>(Če je odgovor DA, navedite:</w:t>
            </w:r>
          </w:p>
          <w:p w14:paraId="225F9C7E"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Datum objave: ………</w:t>
            </w:r>
          </w:p>
          <w:p w14:paraId="490359E6"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209CBB60" w14:textId="77777777" w:rsidR="008E6831" w:rsidRPr="00441D47" w:rsidRDefault="008E6831" w:rsidP="008E6831">
            <w:pPr>
              <w:pStyle w:val="Neotevilenodstavek"/>
              <w:widowControl w:val="0"/>
              <w:numPr>
                <w:ilvl w:val="0"/>
                <w:numId w:val="5"/>
              </w:numPr>
              <w:spacing w:before="0" w:after="0" w:line="260" w:lineRule="exact"/>
              <w:rPr>
                <w:iCs/>
                <w:color w:val="A6A6A6"/>
                <w:sz w:val="20"/>
                <w:szCs w:val="20"/>
              </w:rPr>
            </w:pPr>
            <w:r w:rsidRPr="00441D47">
              <w:rPr>
                <w:iCs/>
                <w:color w:val="A6A6A6"/>
                <w:sz w:val="20"/>
                <w:szCs w:val="20"/>
              </w:rPr>
              <w:t xml:space="preserve">nevladne organizacije, </w:t>
            </w:r>
          </w:p>
          <w:p w14:paraId="37CD1E27" w14:textId="77777777" w:rsidR="008E6831" w:rsidRPr="00441D47" w:rsidRDefault="008E6831" w:rsidP="008E6831">
            <w:pPr>
              <w:pStyle w:val="Neotevilenodstavek"/>
              <w:widowControl w:val="0"/>
              <w:numPr>
                <w:ilvl w:val="0"/>
                <w:numId w:val="5"/>
              </w:numPr>
              <w:spacing w:before="0" w:after="0" w:line="260" w:lineRule="exact"/>
              <w:rPr>
                <w:iCs/>
                <w:color w:val="A6A6A6"/>
                <w:sz w:val="20"/>
                <w:szCs w:val="20"/>
              </w:rPr>
            </w:pPr>
            <w:r w:rsidRPr="00441D47">
              <w:rPr>
                <w:iCs/>
                <w:color w:val="A6A6A6"/>
                <w:sz w:val="20"/>
                <w:szCs w:val="20"/>
              </w:rPr>
              <w:t>predstavniki zainteresirane javnosti,</w:t>
            </w:r>
          </w:p>
          <w:p w14:paraId="530A948F" w14:textId="77777777" w:rsidR="008E6831" w:rsidRPr="00441D47" w:rsidRDefault="008E6831" w:rsidP="008E6831">
            <w:pPr>
              <w:pStyle w:val="Neotevilenodstavek"/>
              <w:widowControl w:val="0"/>
              <w:numPr>
                <w:ilvl w:val="0"/>
                <w:numId w:val="5"/>
              </w:numPr>
              <w:spacing w:before="0" w:after="0" w:line="260" w:lineRule="exact"/>
              <w:rPr>
                <w:iCs/>
                <w:color w:val="A6A6A6"/>
                <w:sz w:val="20"/>
                <w:szCs w:val="20"/>
              </w:rPr>
            </w:pPr>
            <w:r w:rsidRPr="00441D47">
              <w:rPr>
                <w:iCs/>
                <w:color w:val="A6A6A6"/>
                <w:sz w:val="20"/>
                <w:szCs w:val="20"/>
              </w:rPr>
              <w:t>predstavniki strokovne javnosti.</w:t>
            </w:r>
          </w:p>
          <w:p w14:paraId="57F21C59" w14:textId="77777777" w:rsidR="008E6831" w:rsidRDefault="008E6831" w:rsidP="00B501AB">
            <w:pPr>
              <w:pStyle w:val="Neotevilenodstavek"/>
              <w:widowControl w:val="0"/>
              <w:spacing w:before="0" w:after="0" w:line="260" w:lineRule="exact"/>
              <w:rPr>
                <w:iCs/>
                <w:sz w:val="20"/>
                <w:szCs w:val="20"/>
              </w:rPr>
            </w:pPr>
          </w:p>
          <w:p w14:paraId="7E365978" w14:textId="77777777" w:rsidR="008E6831" w:rsidRPr="00441D47" w:rsidRDefault="008E6831" w:rsidP="00B501AB">
            <w:pPr>
              <w:pStyle w:val="Neotevilenodstavek"/>
              <w:widowControl w:val="0"/>
              <w:spacing w:before="0" w:after="0" w:line="260" w:lineRule="exact"/>
              <w:rPr>
                <w:iCs/>
                <w:color w:val="A6A6A6"/>
                <w:sz w:val="20"/>
                <w:szCs w:val="20"/>
              </w:rPr>
            </w:pPr>
            <w:r w:rsidRPr="00D063BD">
              <w:rPr>
                <w:iCs/>
                <w:sz w:val="20"/>
                <w:szCs w:val="20"/>
              </w:rPr>
              <w:t xml:space="preserve">Mnenja, predlogi in pripombe z navedbo predlagateljev </w:t>
            </w:r>
            <w:r w:rsidRPr="00D063BD">
              <w:rPr>
                <w:color w:val="000000"/>
                <w:sz w:val="20"/>
                <w:szCs w:val="20"/>
              </w:rPr>
              <w:t>(</w:t>
            </w:r>
            <w:r w:rsidRPr="00441D47">
              <w:rPr>
                <w:color w:val="A6A6A6"/>
                <w:sz w:val="20"/>
                <w:szCs w:val="20"/>
              </w:rPr>
              <w:t>imen in priimkov fizičnih oseb, ki niso poslovni subjekti, ne navajajte</w:t>
            </w:r>
            <w:r w:rsidRPr="00441D47">
              <w:rPr>
                <w:iCs/>
                <w:color w:val="A6A6A6"/>
                <w:sz w:val="20"/>
                <w:szCs w:val="20"/>
              </w:rPr>
              <w:t>):</w:t>
            </w:r>
          </w:p>
          <w:p w14:paraId="06135A51" w14:textId="77777777" w:rsidR="008E6831" w:rsidRPr="00D063BD" w:rsidRDefault="008E6831" w:rsidP="00B501AB">
            <w:pPr>
              <w:pStyle w:val="Neotevilenodstavek"/>
              <w:widowControl w:val="0"/>
              <w:spacing w:before="0" w:after="0" w:line="260" w:lineRule="exact"/>
              <w:rPr>
                <w:iCs/>
                <w:sz w:val="20"/>
                <w:szCs w:val="20"/>
              </w:rPr>
            </w:pPr>
          </w:p>
          <w:p w14:paraId="2F7C8382"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Upoštevani so bili:</w:t>
            </w:r>
          </w:p>
          <w:p w14:paraId="56CDE0E6"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v celoti,</w:t>
            </w:r>
          </w:p>
          <w:p w14:paraId="3339CD1E"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večinoma,</w:t>
            </w:r>
          </w:p>
          <w:p w14:paraId="4B7ED183"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t>delno,</w:t>
            </w:r>
          </w:p>
          <w:p w14:paraId="5B3871B8" w14:textId="77777777" w:rsidR="008E6831" w:rsidRPr="00441D47" w:rsidRDefault="008E6831" w:rsidP="008E6831">
            <w:pPr>
              <w:pStyle w:val="Neotevilenodstavek"/>
              <w:widowControl w:val="0"/>
              <w:numPr>
                <w:ilvl w:val="0"/>
                <w:numId w:val="6"/>
              </w:numPr>
              <w:spacing w:before="0" w:after="0" w:line="260" w:lineRule="exact"/>
              <w:rPr>
                <w:iCs/>
                <w:color w:val="A6A6A6"/>
                <w:sz w:val="20"/>
                <w:szCs w:val="20"/>
              </w:rPr>
            </w:pPr>
            <w:r w:rsidRPr="00441D47">
              <w:rPr>
                <w:iCs/>
                <w:color w:val="A6A6A6"/>
                <w:sz w:val="20"/>
                <w:szCs w:val="20"/>
              </w:rPr>
              <w:lastRenderedPageBreak/>
              <w:t>niso bili upoštevani.</w:t>
            </w:r>
          </w:p>
          <w:p w14:paraId="1F6F8599" w14:textId="77777777" w:rsidR="008E6831" w:rsidRPr="00D063BD" w:rsidRDefault="008E6831" w:rsidP="00B501AB">
            <w:pPr>
              <w:pStyle w:val="Neotevilenodstavek"/>
              <w:widowControl w:val="0"/>
              <w:spacing w:before="0" w:after="0" w:line="260" w:lineRule="exact"/>
              <w:rPr>
                <w:iCs/>
                <w:sz w:val="20"/>
                <w:szCs w:val="20"/>
              </w:rPr>
            </w:pPr>
          </w:p>
          <w:p w14:paraId="14650BB0"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14:paraId="037E0EE5" w14:textId="77777777" w:rsidR="008E6831" w:rsidRPr="00D063BD" w:rsidRDefault="008E6831" w:rsidP="00B501AB">
            <w:pPr>
              <w:pStyle w:val="Neotevilenodstavek"/>
              <w:widowControl w:val="0"/>
              <w:spacing w:before="0" w:after="0" w:line="260" w:lineRule="exact"/>
              <w:rPr>
                <w:iCs/>
                <w:sz w:val="20"/>
                <w:szCs w:val="20"/>
              </w:rPr>
            </w:pPr>
          </w:p>
          <w:p w14:paraId="160E2443"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Poročilo je bilo dano ……………..</w:t>
            </w:r>
          </w:p>
          <w:p w14:paraId="3791D33D" w14:textId="77777777" w:rsidR="008E6831" w:rsidRPr="00D063BD" w:rsidRDefault="008E6831" w:rsidP="00B501AB">
            <w:pPr>
              <w:pStyle w:val="Neotevilenodstavek"/>
              <w:widowControl w:val="0"/>
              <w:spacing w:before="0" w:after="0" w:line="260" w:lineRule="exact"/>
              <w:rPr>
                <w:iCs/>
                <w:sz w:val="20"/>
                <w:szCs w:val="20"/>
              </w:rPr>
            </w:pPr>
          </w:p>
          <w:p w14:paraId="7061AE23" w14:textId="77777777" w:rsidR="008E6831" w:rsidRPr="00D063BD" w:rsidRDefault="008E6831" w:rsidP="00B501AB">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w:t>
            </w:r>
            <w:r>
              <w:rPr>
                <w:iCs/>
                <w:sz w:val="20"/>
                <w:szCs w:val="20"/>
              </w:rPr>
              <w:t>e navedeno v predlogu predpisa.</w:t>
            </w:r>
          </w:p>
        </w:tc>
      </w:tr>
      <w:tr w:rsidR="008E6831" w:rsidRPr="00D063BD" w14:paraId="72188695"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1DE9089" w14:textId="77777777" w:rsidR="008E6831" w:rsidRPr="00D063BD" w:rsidRDefault="008E6831" w:rsidP="00B501AB">
            <w:pPr>
              <w:pStyle w:val="Neotevilenodstavek"/>
              <w:widowControl w:val="0"/>
              <w:spacing w:before="0" w:after="0" w:line="260" w:lineRule="exact"/>
              <w:jc w:val="left"/>
              <w:rPr>
                <w:sz w:val="20"/>
                <w:szCs w:val="20"/>
              </w:rPr>
            </w:pPr>
            <w:r w:rsidRPr="00D063BD">
              <w:rPr>
                <w:b/>
                <w:sz w:val="20"/>
                <w:szCs w:val="20"/>
              </w:rPr>
              <w:lastRenderedPageBreak/>
              <w:t>10. Pri pripravi gradiva so bile upoštevane zahteve iz Resolucije o normativni dejavnosti:</w:t>
            </w:r>
          </w:p>
        </w:tc>
        <w:tc>
          <w:tcPr>
            <w:tcW w:w="2431" w:type="dxa"/>
            <w:gridSpan w:val="2"/>
            <w:vAlign w:val="center"/>
          </w:tcPr>
          <w:p w14:paraId="625BAD69" w14:textId="77777777" w:rsidR="008E6831" w:rsidRPr="00D063BD" w:rsidRDefault="008E6831" w:rsidP="00B501AB">
            <w:pPr>
              <w:pStyle w:val="Neotevilenodstavek"/>
              <w:widowControl w:val="0"/>
              <w:spacing w:before="0" w:after="0" w:line="260" w:lineRule="exact"/>
              <w:jc w:val="center"/>
              <w:rPr>
                <w:iCs/>
                <w:sz w:val="20"/>
                <w:szCs w:val="20"/>
              </w:rPr>
            </w:pPr>
            <w:r w:rsidRPr="00D063BD">
              <w:rPr>
                <w:sz w:val="20"/>
                <w:szCs w:val="20"/>
              </w:rPr>
              <w:t>DA</w:t>
            </w:r>
            <w:r w:rsidRPr="00317BB4">
              <w:rPr>
                <w:b/>
                <w:sz w:val="20"/>
                <w:szCs w:val="20"/>
              </w:rPr>
              <w:t>/NE</w:t>
            </w:r>
          </w:p>
        </w:tc>
      </w:tr>
      <w:tr w:rsidR="008E6831" w:rsidRPr="00D063BD" w14:paraId="7FF9D643"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1F0027B" w14:textId="77777777" w:rsidR="008E6831" w:rsidRPr="00D063BD" w:rsidRDefault="008E6831" w:rsidP="00B501A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5F9C085E" w14:textId="77777777" w:rsidR="008E6831" w:rsidRPr="00D063BD" w:rsidRDefault="008E6831" w:rsidP="00B501AB">
            <w:pPr>
              <w:pStyle w:val="Neotevilenodstavek"/>
              <w:widowControl w:val="0"/>
              <w:spacing w:before="0" w:after="0" w:line="260" w:lineRule="exact"/>
              <w:jc w:val="center"/>
              <w:rPr>
                <w:sz w:val="20"/>
                <w:szCs w:val="20"/>
              </w:rPr>
            </w:pPr>
            <w:r w:rsidRPr="00D063BD">
              <w:rPr>
                <w:sz w:val="20"/>
                <w:szCs w:val="20"/>
              </w:rPr>
              <w:t>DA/</w:t>
            </w:r>
            <w:r w:rsidRPr="00317BB4">
              <w:rPr>
                <w:b/>
                <w:sz w:val="20"/>
                <w:szCs w:val="20"/>
              </w:rPr>
              <w:t>NE</w:t>
            </w:r>
          </w:p>
        </w:tc>
      </w:tr>
      <w:tr w:rsidR="008E6831" w:rsidRPr="00D063BD" w14:paraId="2D277FCE" w14:textId="77777777" w:rsidTr="00B50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E9DB98F" w14:textId="77777777" w:rsidR="008E6831" w:rsidRPr="00253444" w:rsidRDefault="008E6831" w:rsidP="00B501AB">
            <w:pPr>
              <w:keepNext/>
              <w:spacing w:after="0"/>
              <w:ind w:left="5664"/>
              <w:textAlignment w:val="baseline"/>
              <w:outlineLvl w:val="2"/>
              <w:rPr>
                <w:rFonts w:ascii="Arial" w:eastAsia="Times New Roman" w:hAnsi="Arial" w:cs="Arial"/>
                <w:iCs/>
                <w:sz w:val="20"/>
                <w:szCs w:val="20"/>
                <w:lang w:eastAsia="sl-SI"/>
              </w:rPr>
            </w:pPr>
            <w:r w:rsidRPr="00BA62B5">
              <w:rPr>
                <w:iCs/>
                <w:color w:val="FF0000"/>
                <w:sz w:val="20"/>
                <w:szCs w:val="20"/>
              </w:rPr>
              <w:t xml:space="preserve">                                                                                        </w:t>
            </w:r>
            <w:r w:rsidRPr="00253444">
              <w:rPr>
                <w:rFonts w:ascii="Arial" w:eastAsia="Times New Roman" w:hAnsi="Arial" w:cs="Arial"/>
                <w:iCs/>
                <w:sz w:val="20"/>
                <w:szCs w:val="20"/>
                <w:lang w:eastAsia="sl-SI"/>
              </w:rPr>
              <w:t>Klemen Boštjančič</w:t>
            </w:r>
          </w:p>
          <w:p w14:paraId="73E4681B" w14:textId="77777777" w:rsidR="008E6831" w:rsidRPr="00253444" w:rsidRDefault="008E6831" w:rsidP="00B501AB">
            <w:pPr>
              <w:spacing w:after="0" w:line="240" w:lineRule="auto"/>
              <w:ind w:left="5664"/>
              <w:textAlignment w:val="baseline"/>
              <w:rPr>
                <w:rFonts w:ascii="Arial" w:eastAsia="Times New Roman" w:hAnsi="Arial" w:cs="Arial"/>
                <w:iCs/>
                <w:sz w:val="20"/>
                <w:szCs w:val="20"/>
                <w:lang w:eastAsia="sl-SI"/>
              </w:rPr>
            </w:pPr>
            <w:r w:rsidRPr="00253444">
              <w:rPr>
                <w:rFonts w:ascii="Arial" w:eastAsia="Times New Roman" w:hAnsi="Arial" w:cs="Arial"/>
                <w:iCs/>
                <w:sz w:val="20"/>
                <w:szCs w:val="20"/>
                <w:lang w:eastAsia="sl-SI"/>
              </w:rPr>
              <w:t xml:space="preserve"> minister</w:t>
            </w:r>
          </w:p>
          <w:p w14:paraId="1C7AC6C0" w14:textId="77777777" w:rsidR="008E6831" w:rsidRPr="009B6EDA" w:rsidRDefault="008E6831" w:rsidP="00B501AB">
            <w:pPr>
              <w:pStyle w:val="Neotevilenodstavek"/>
              <w:spacing w:after="0" w:line="260" w:lineRule="exact"/>
              <w:ind w:left="720"/>
              <w:jc w:val="center"/>
              <w:rPr>
                <w:iCs/>
                <w:sz w:val="20"/>
                <w:szCs w:val="20"/>
              </w:rPr>
            </w:pPr>
          </w:p>
        </w:tc>
      </w:tr>
    </w:tbl>
    <w:p w14:paraId="40317076" w14:textId="77777777" w:rsidR="006A143D" w:rsidRDefault="006A143D"/>
    <w:p w14:paraId="04B739E4" w14:textId="77777777" w:rsidR="00A155A2" w:rsidRDefault="00A155A2"/>
    <w:p w14:paraId="7187F78C" w14:textId="77777777" w:rsidR="00A155A2" w:rsidRDefault="00A155A2"/>
    <w:p w14:paraId="4CD1577F" w14:textId="77777777" w:rsidR="00A155A2" w:rsidRDefault="00A155A2"/>
    <w:p w14:paraId="7926E495" w14:textId="77777777" w:rsidR="00A155A2" w:rsidRDefault="00A155A2"/>
    <w:p w14:paraId="25F9856D" w14:textId="77777777" w:rsidR="00A155A2" w:rsidRDefault="00A155A2"/>
    <w:p w14:paraId="090365F2" w14:textId="77777777" w:rsidR="00A155A2" w:rsidRDefault="00A155A2"/>
    <w:p w14:paraId="31E48954" w14:textId="77777777" w:rsidR="00A155A2" w:rsidRDefault="00A155A2"/>
    <w:p w14:paraId="5373596C" w14:textId="77777777" w:rsidR="00A155A2" w:rsidRDefault="00A155A2"/>
    <w:p w14:paraId="5CE0E66A" w14:textId="77777777" w:rsidR="00A155A2" w:rsidRDefault="00A155A2"/>
    <w:p w14:paraId="48A70C13" w14:textId="77777777" w:rsidR="00A155A2" w:rsidRDefault="00A155A2"/>
    <w:p w14:paraId="159E3419" w14:textId="77777777" w:rsidR="00A155A2" w:rsidRDefault="00A155A2"/>
    <w:p w14:paraId="7337F6E5" w14:textId="77777777" w:rsidR="00A155A2" w:rsidRDefault="00A155A2"/>
    <w:p w14:paraId="4F76AEC1" w14:textId="77777777" w:rsidR="00A155A2" w:rsidRDefault="00A155A2"/>
    <w:p w14:paraId="0040BCD4" w14:textId="77777777" w:rsidR="00A155A2" w:rsidRDefault="00A155A2"/>
    <w:p w14:paraId="531EE552" w14:textId="77777777" w:rsidR="00A155A2" w:rsidRDefault="00A155A2"/>
    <w:p w14:paraId="1CD10A65" w14:textId="77777777" w:rsidR="00A155A2" w:rsidRDefault="00A155A2"/>
    <w:p w14:paraId="01B02D33" w14:textId="77777777" w:rsidR="00A155A2" w:rsidRDefault="00A155A2"/>
    <w:p w14:paraId="6FA8528B" w14:textId="77777777" w:rsidR="00A155A2" w:rsidRDefault="00A155A2"/>
    <w:p w14:paraId="1529BDFD" w14:textId="77777777" w:rsidR="00A155A2" w:rsidRDefault="00A155A2"/>
    <w:p w14:paraId="4E660919" w14:textId="77777777" w:rsidR="00A155A2" w:rsidRPr="008D1759" w:rsidRDefault="00A155A2" w:rsidP="00A155A2">
      <w:pPr>
        <w:pStyle w:val="Naslovpredpisa"/>
        <w:spacing w:before="0" w:after="0" w:line="260" w:lineRule="exact"/>
        <w:jc w:val="both"/>
        <w:rPr>
          <w:sz w:val="20"/>
          <w:szCs w:val="20"/>
        </w:rPr>
      </w:pPr>
      <w:r>
        <w:rPr>
          <w:sz w:val="20"/>
          <w:szCs w:val="20"/>
        </w:rPr>
        <w:lastRenderedPageBreak/>
        <w:t>P</w:t>
      </w:r>
      <w:r w:rsidRPr="008D1759">
        <w:rPr>
          <w:sz w:val="20"/>
          <w:szCs w:val="20"/>
        </w:rPr>
        <w:t>RILOGA 3</w:t>
      </w:r>
      <w:r>
        <w:rPr>
          <w:sz w:val="20"/>
          <w:szCs w:val="20"/>
        </w:rPr>
        <w:t xml:space="preserve"> </w:t>
      </w:r>
      <w:r w:rsidRPr="00441D47">
        <w:rPr>
          <w:color w:val="A6A6A6"/>
          <w:sz w:val="20"/>
          <w:szCs w:val="20"/>
        </w:rPr>
        <w:t>(jedro gradiva):</w:t>
      </w:r>
    </w:p>
    <w:tbl>
      <w:tblPr>
        <w:tblW w:w="0" w:type="auto"/>
        <w:tblLook w:val="04A0" w:firstRow="1" w:lastRow="0" w:firstColumn="1" w:lastColumn="0" w:noHBand="0" w:noVBand="1"/>
      </w:tblPr>
      <w:tblGrid>
        <w:gridCol w:w="9072"/>
      </w:tblGrid>
      <w:tr w:rsidR="00A155A2" w:rsidRPr="00C5675A" w14:paraId="257690DD" w14:textId="77777777" w:rsidTr="001C77D2">
        <w:tc>
          <w:tcPr>
            <w:tcW w:w="9213" w:type="dxa"/>
          </w:tcPr>
          <w:p w14:paraId="3B77EF88" w14:textId="77777777" w:rsidR="00A155A2" w:rsidRPr="00C5675A" w:rsidRDefault="00A155A2" w:rsidP="001C77D2">
            <w:pPr>
              <w:pStyle w:val="Alineazaodstavkom"/>
              <w:numPr>
                <w:ilvl w:val="0"/>
                <w:numId w:val="0"/>
              </w:numPr>
              <w:spacing w:line="260" w:lineRule="exact"/>
              <w:ind w:left="709"/>
              <w:jc w:val="center"/>
              <w:rPr>
                <w:b/>
                <w:sz w:val="20"/>
                <w:szCs w:val="20"/>
              </w:rPr>
            </w:pPr>
          </w:p>
          <w:p w14:paraId="032CFA05" w14:textId="77777777" w:rsidR="00A155A2" w:rsidRDefault="00A155A2" w:rsidP="001C77D2">
            <w:pPr>
              <w:pStyle w:val="Alineazaodstavkom"/>
              <w:numPr>
                <w:ilvl w:val="0"/>
                <w:numId w:val="0"/>
              </w:numPr>
              <w:spacing w:line="260" w:lineRule="exact"/>
              <w:ind w:left="709"/>
              <w:jc w:val="center"/>
              <w:rPr>
                <w:b/>
                <w:sz w:val="20"/>
                <w:szCs w:val="20"/>
              </w:rPr>
            </w:pPr>
            <w:r w:rsidRPr="003D3FBE">
              <w:rPr>
                <w:b/>
                <w:sz w:val="20"/>
                <w:szCs w:val="20"/>
              </w:rPr>
              <w:t xml:space="preserve">POROČILO FINANČNE UPRAVE REPUBLIKE SLOVENIJE O STANJU IN GIBANJU DAVČNEGA </w:t>
            </w:r>
            <w:r w:rsidRPr="00377A0D">
              <w:rPr>
                <w:b/>
                <w:sz w:val="20"/>
                <w:szCs w:val="20"/>
              </w:rPr>
              <w:t>DOLGA NA DAN 3</w:t>
            </w:r>
            <w:r w:rsidRPr="001D5729">
              <w:rPr>
                <w:b/>
                <w:sz w:val="20"/>
                <w:szCs w:val="20"/>
              </w:rPr>
              <w:t>1. DECEMBER</w:t>
            </w:r>
            <w:r w:rsidRPr="003D3FBE">
              <w:rPr>
                <w:b/>
                <w:sz w:val="20"/>
                <w:szCs w:val="20"/>
              </w:rPr>
              <w:t xml:space="preserve"> 202</w:t>
            </w:r>
            <w:r>
              <w:rPr>
                <w:b/>
                <w:sz w:val="20"/>
                <w:szCs w:val="20"/>
              </w:rPr>
              <w:t>4</w:t>
            </w:r>
          </w:p>
          <w:p w14:paraId="6F803B79" w14:textId="77777777" w:rsidR="00A155A2" w:rsidRPr="00C5675A" w:rsidRDefault="00A155A2" w:rsidP="001C77D2">
            <w:pPr>
              <w:pStyle w:val="Alineazaodstavkom"/>
              <w:numPr>
                <w:ilvl w:val="0"/>
                <w:numId w:val="0"/>
              </w:numPr>
              <w:spacing w:line="260" w:lineRule="exact"/>
              <w:ind w:left="709"/>
              <w:jc w:val="center"/>
              <w:rPr>
                <w:b/>
                <w:sz w:val="20"/>
                <w:szCs w:val="20"/>
              </w:rPr>
            </w:pPr>
          </w:p>
        </w:tc>
      </w:tr>
    </w:tbl>
    <w:p w14:paraId="50A03B16" w14:textId="77777777" w:rsidR="00A155A2" w:rsidRPr="00800D56" w:rsidRDefault="00A155A2" w:rsidP="00A155A2">
      <w:pPr>
        <w:jc w:val="center"/>
        <w:rPr>
          <w:rFonts w:ascii="Arial" w:hAnsi="Arial" w:cs="Arial"/>
          <w:b/>
          <w:sz w:val="20"/>
          <w:szCs w:val="20"/>
        </w:rPr>
      </w:pPr>
      <w:r w:rsidRPr="00E1671E">
        <w:rPr>
          <w:rFonts w:ascii="Arial" w:hAnsi="Arial" w:cs="Arial"/>
          <w:b/>
          <w:sz w:val="20"/>
          <w:szCs w:val="20"/>
        </w:rPr>
        <w:t>Povzetek poročila</w:t>
      </w:r>
    </w:p>
    <w:p w14:paraId="2E079BCD" w14:textId="77777777" w:rsidR="00A155A2" w:rsidRDefault="00A155A2" w:rsidP="00A155A2">
      <w:pPr>
        <w:pStyle w:val="Pripombabesedilo"/>
        <w:spacing w:line="276" w:lineRule="auto"/>
        <w:rPr>
          <w:rFonts w:ascii="Arial" w:hAnsi="Arial" w:cs="Arial"/>
        </w:rPr>
      </w:pPr>
      <w:bookmarkStart w:id="1" w:name="_Hlk129329134"/>
      <w:r w:rsidRPr="00913AAB">
        <w:rPr>
          <w:rFonts w:ascii="Arial" w:hAnsi="Arial" w:cs="Arial"/>
        </w:rPr>
        <w:t>Finančna uprava Republike Slovenije (</w:t>
      </w:r>
      <w:r w:rsidRPr="00AF4446">
        <w:rPr>
          <w:rFonts w:ascii="Arial" w:hAnsi="Arial" w:cs="Arial"/>
        </w:rPr>
        <w:t>v nadaljnjem besedilu:</w:t>
      </w:r>
      <w:r>
        <w:t xml:space="preserve"> </w:t>
      </w:r>
      <w:r w:rsidRPr="00913AAB">
        <w:rPr>
          <w:rFonts w:ascii="Arial" w:hAnsi="Arial" w:cs="Arial"/>
        </w:rPr>
        <w:t>FURS)</w:t>
      </w:r>
      <w:r>
        <w:rPr>
          <w:rFonts w:ascii="Arial" w:hAnsi="Arial" w:cs="Arial"/>
        </w:rPr>
        <w:t xml:space="preserve"> je pripravila P</w:t>
      </w:r>
      <w:r w:rsidRPr="00913AAB">
        <w:rPr>
          <w:rFonts w:ascii="Arial" w:hAnsi="Arial" w:cs="Arial"/>
        </w:rPr>
        <w:t xml:space="preserve">oročilo o stanju in gibanju davčnega </w:t>
      </w:r>
      <w:r w:rsidRPr="00036AEE">
        <w:rPr>
          <w:rFonts w:ascii="Arial" w:hAnsi="Arial" w:cs="Arial"/>
        </w:rPr>
        <w:t xml:space="preserve">dolga na dan 31. </w:t>
      </w:r>
      <w:r w:rsidRPr="001D5729">
        <w:rPr>
          <w:rFonts w:ascii="Arial" w:hAnsi="Arial" w:cs="Arial"/>
        </w:rPr>
        <w:t>december</w:t>
      </w:r>
      <w:r w:rsidRPr="00036AEE">
        <w:rPr>
          <w:rFonts w:ascii="Arial" w:hAnsi="Arial" w:cs="Arial"/>
        </w:rPr>
        <w:t xml:space="preserve"> 2024</w:t>
      </w:r>
      <w:r>
        <w:rPr>
          <w:rFonts w:ascii="Arial" w:hAnsi="Arial" w:cs="Arial"/>
        </w:rPr>
        <w:t xml:space="preserve"> za predložitev državnemu zboru hkrati z zaključnim računom državnega proračuna za leto 2024</w:t>
      </w:r>
      <w:r w:rsidRPr="00913AAB">
        <w:rPr>
          <w:rFonts w:ascii="Arial" w:hAnsi="Arial" w:cs="Arial"/>
        </w:rPr>
        <w:t>.</w:t>
      </w:r>
      <w:r>
        <w:rPr>
          <w:rFonts w:ascii="Arial" w:hAnsi="Arial" w:cs="Arial"/>
        </w:rPr>
        <w:t xml:space="preserve"> </w:t>
      </w:r>
    </w:p>
    <w:p w14:paraId="74F0D505" w14:textId="77777777" w:rsidR="00A155A2" w:rsidRDefault="00A155A2" w:rsidP="00A155A2">
      <w:pPr>
        <w:pStyle w:val="Pripombabesedilo"/>
        <w:spacing w:line="276" w:lineRule="auto"/>
        <w:rPr>
          <w:rFonts w:ascii="Arial" w:hAnsi="Arial" w:cs="Arial"/>
        </w:rPr>
      </w:pPr>
    </w:p>
    <w:p w14:paraId="562920F1" w14:textId="77777777" w:rsidR="00A155A2" w:rsidRDefault="00A155A2" w:rsidP="00A155A2">
      <w:pPr>
        <w:pStyle w:val="Pripombabesedilo"/>
        <w:spacing w:line="276" w:lineRule="auto"/>
        <w:rPr>
          <w:rFonts w:ascii="Arial" w:hAnsi="Arial" w:cs="Arial"/>
        </w:rPr>
      </w:pPr>
      <w:r>
        <w:rPr>
          <w:rFonts w:ascii="Arial" w:hAnsi="Arial" w:cs="Arial"/>
        </w:rPr>
        <w:t xml:space="preserve">Čeprav je to poročilo predloženo hkrati z zaključnim računom državnega proračuna, se poročilo o prihodkih in davčnem dolgu nanaša na vse štiri </w:t>
      </w:r>
      <w:bookmarkStart w:id="2" w:name="_Hlk163548979"/>
      <w:r>
        <w:rPr>
          <w:rFonts w:ascii="Arial" w:hAnsi="Arial" w:cs="Arial"/>
        </w:rPr>
        <w:t>javnofinančne</w:t>
      </w:r>
      <w:bookmarkEnd w:id="2"/>
      <w:r>
        <w:rPr>
          <w:rFonts w:ascii="Arial" w:hAnsi="Arial" w:cs="Arial"/>
        </w:rPr>
        <w:t xml:space="preserve"> blagajne, za katere FURS pobira dajatve: </w:t>
      </w:r>
      <w:r w:rsidRPr="00913AAB">
        <w:rPr>
          <w:rFonts w:ascii="Arial" w:hAnsi="Arial" w:cs="Arial"/>
        </w:rPr>
        <w:t>proračun</w:t>
      </w:r>
      <w:r>
        <w:rPr>
          <w:rFonts w:ascii="Arial" w:hAnsi="Arial" w:cs="Arial"/>
        </w:rPr>
        <w:t xml:space="preserve"> države, Zavod </w:t>
      </w:r>
      <w:r w:rsidRPr="00913AAB">
        <w:rPr>
          <w:rFonts w:ascii="Arial" w:hAnsi="Arial" w:cs="Arial"/>
        </w:rPr>
        <w:t>za pokojninsko i</w:t>
      </w:r>
      <w:r>
        <w:rPr>
          <w:rFonts w:ascii="Arial" w:hAnsi="Arial" w:cs="Arial"/>
        </w:rPr>
        <w:t xml:space="preserve">n invalidsko zavarovanje Slovenije </w:t>
      </w:r>
      <w:r w:rsidRPr="00337757">
        <w:rPr>
          <w:rFonts w:ascii="Arial" w:hAnsi="Arial" w:cs="Arial"/>
        </w:rPr>
        <w:t>(v nadaljnjem besedilu: ZPIZ)</w:t>
      </w:r>
      <w:r>
        <w:rPr>
          <w:rFonts w:ascii="Arial" w:hAnsi="Arial" w:cs="Arial"/>
        </w:rPr>
        <w:t>, Zavod</w:t>
      </w:r>
      <w:r w:rsidRPr="00913AAB">
        <w:rPr>
          <w:rFonts w:ascii="Arial" w:hAnsi="Arial" w:cs="Arial"/>
        </w:rPr>
        <w:t xml:space="preserve"> za zdravstven</w:t>
      </w:r>
      <w:r>
        <w:rPr>
          <w:rFonts w:ascii="Arial" w:hAnsi="Arial" w:cs="Arial"/>
        </w:rPr>
        <w:t xml:space="preserve">o zavarovanje Slovenije </w:t>
      </w:r>
      <w:r w:rsidRPr="00337757">
        <w:rPr>
          <w:rFonts w:ascii="Arial" w:hAnsi="Arial" w:cs="Arial"/>
        </w:rPr>
        <w:t>(v nadaljnjem besedilu: ZZZS)</w:t>
      </w:r>
      <w:r>
        <w:rPr>
          <w:rFonts w:ascii="Arial" w:hAnsi="Arial" w:cs="Arial"/>
        </w:rPr>
        <w:t xml:space="preserve"> ter proračune</w:t>
      </w:r>
      <w:r w:rsidRPr="00913AAB">
        <w:rPr>
          <w:rFonts w:ascii="Arial" w:hAnsi="Arial" w:cs="Arial"/>
        </w:rPr>
        <w:t xml:space="preserve"> občin. </w:t>
      </w:r>
    </w:p>
    <w:p w14:paraId="02E1AEC5" w14:textId="77777777" w:rsidR="00A155A2" w:rsidRDefault="00A155A2" w:rsidP="00A155A2">
      <w:pPr>
        <w:pStyle w:val="Pripombabesedilo"/>
        <w:spacing w:line="276" w:lineRule="auto"/>
        <w:rPr>
          <w:rFonts w:ascii="Arial" w:hAnsi="Arial" w:cs="Arial"/>
        </w:rPr>
      </w:pPr>
    </w:p>
    <w:p w14:paraId="26FA80A7" w14:textId="77777777" w:rsidR="00A155A2" w:rsidRDefault="00A155A2" w:rsidP="00A155A2">
      <w:pPr>
        <w:jc w:val="both"/>
        <w:rPr>
          <w:rFonts w:ascii="Arial" w:hAnsi="Arial" w:cs="Arial"/>
          <w:sz w:val="20"/>
          <w:szCs w:val="20"/>
        </w:rPr>
      </w:pPr>
      <w:r w:rsidRPr="009F2DC5">
        <w:rPr>
          <w:rFonts w:ascii="Arial" w:hAnsi="Arial" w:cs="Arial"/>
          <w:sz w:val="20"/>
          <w:szCs w:val="20"/>
        </w:rPr>
        <w:t>V letu 202</w:t>
      </w:r>
      <w:r>
        <w:rPr>
          <w:rFonts w:ascii="Arial" w:hAnsi="Arial" w:cs="Arial"/>
          <w:sz w:val="20"/>
          <w:szCs w:val="20"/>
        </w:rPr>
        <w:t>4</w:t>
      </w:r>
      <w:r w:rsidRPr="009F2DC5">
        <w:rPr>
          <w:rFonts w:ascii="Arial" w:hAnsi="Arial" w:cs="Arial"/>
          <w:sz w:val="20"/>
          <w:szCs w:val="20"/>
        </w:rPr>
        <w:t xml:space="preserve"> je FURS pobral </w:t>
      </w:r>
      <w:r w:rsidRPr="0034717D">
        <w:rPr>
          <w:rFonts w:ascii="Arial" w:hAnsi="Arial" w:cs="Arial"/>
          <w:sz w:val="20"/>
          <w:szCs w:val="20"/>
        </w:rPr>
        <w:t xml:space="preserve">neto </w:t>
      </w:r>
      <w:r>
        <w:rPr>
          <w:rFonts w:ascii="Arial" w:hAnsi="Arial" w:cs="Arial"/>
          <w:sz w:val="20"/>
          <w:szCs w:val="20"/>
        </w:rPr>
        <w:t>25.111.008.787</w:t>
      </w:r>
      <w:r w:rsidRPr="0034717D">
        <w:rPr>
          <w:rFonts w:ascii="Arial" w:hAnsi="Arial" w:cs="Arial"/>
          <w:sz w:val="20"/>
          <w:szCs w:val="20"/>
        </w:rPr>
        <w:t xml:space="preserve"> EUR </w:t>
      </w:r>
      <w:r w:rsidRPr="009F2DC5">
        <w:rPr>
          <w:rFonts w:ascii="Arial" w:hAnsi="Arial" w:cs="Arial"/>
          <w:sz w:val="20"/>
          <w:szCs w:val="20"/>
        </w:rPr>
        <w:t xml:space="preserve">prihodkov za vse štiri </w:t>
      </w:r>
      <w:r w:rsidRPr="00E769B7">
        <w:rPr>
          <w:rFonts w:ascii="Arial" w:hAnsi="Arial" w:cs="Arial"/>
          <w:sz w:val="20"/>
          <w:szCs w:val="20"/>
        </w:rPr>
        <w:t xml:space="preserve">blagajne javnega financiranja, kar je za </w:t>
      </w:r>
      <w:r>
        <w:rPr>
          <w:rFonts w:ascii="Arial" w:hAnsi="Arial" w:cs="Arial"/>
          <w:sz w:val="20"/>
          <w:szCs w:val="20"/>
        </w:rPr>
        <w:t>2.605.835.459</w:t>
      </w:r>
      <w:r w:rsidRPr="00891513" w:rsidDel="00891513">
        <w:rPr>
          <w:rFonts w:ascii="Arial" w:hAnsi="Arial" w:cs="Arial"/>
          <w:sz w:val="20"/>
          <w:szCs w:val="20"/>
        </w:rPr>
        <w:t xml:space="preserve"> </w:t>
      </w:r>
      <w:r w:rsidRPr="00A80813">
        <w:rPr>
          <w:rFonts w:ascii="Arial" w:hAnsi="Arial" w:cs="Arial"/>
          <w:sz w:val="20"/>
          <w:szCs w:val="20"/>
        </w:rPr>
        <w:t xml:space="preserve">EUR </w:t>
      </w:r>
      <w:r w:rsidRPr="00C70243">
        <w:rPr>
          <w:rFonts w:ascii="Arial" w:hAnsi="Arial" w:cs="Arial"/>
          <w:sz w:val="20"/>
          <w:szCs w:val="20"/>
        </w:rPr>
        <w:t>ali 11,6 odstotka</w:t>
      </w:r>
      <w:r w:rsidRPr="00E769B7">
        <w:rPr>
          <w:rFonts w:ascii="Arial" w:hAnsi="Arial" w:cs="Arial"/>
          <w:sz w:val="20"/>
          <w:szCs w:val="20"/>
        </w:rPr>
        <w:t xml:space="preserve"> več k</w:t>
      </w:r>
      <w:r>
        <w:rPr>
          <w:rFonts w:ascii="Arial" w:hAnsi="Arial" w:cs="Arial"/>
          <w:sz w:val="20"/>
          <w:szCs w:val="20"/>
        </w:rPr>
        <w:t>ak</w:t>
      </w:r>
      <w:r w:rsidRPr="00E769B7">
        <w:rPr>
          <w:rFonts w:ascii="Arial" w:hAnsi="Arial" w:cs="Arial"/>
          <w:sz w:val="20"/>
          <w:szCs w:val="20"/>
        </w:rPr>
        <w:t>o</w:t>
      </w:r>
      <w:r>
        <w:rPr>
          <w:rFonts w:ascii="Arial" w:hAnsi="Arial" w:cs="Arial"/>
          <w:sz w:val="20"/>
          <w:szCs w:val="20"/>
        </w:rPr>
        <w:t>r</w:t>
      </w:r>
      <w:r w:rsidRPr="00E769B7">
        <w:rPr>
          <w:rFonts w:ascii="Arial" w:hAnsi="Arial" w:cs="Arial"/>
          <w:sz w:val="20"/>
          <w:szCs w:val="20"/>
        </w:rPr>
        <w:t xml:space="preserve"> v letu </w:t>
      </w:r>
      <w:r>
        <w:rPr>
          <w:rFonts w:ascii="Arial" w:hAnsi="Arial" w:cs="Arial"/>
          <w:sz w:val="20"/>
          <w:szCs w:val="20"/>
        </w:rPr>
        <w:t>pred tem</w:t>
      </w:r>
      <w:r w:rsidRPr="00E769B7">
        <w:rPr>
          <w:rFonts w:ascii="Arial" w:hAnsi="Arial" w:cs="Arial"/>
          <w:sz w:val="20"/>
          <w:szCs w:val="20"/>
        </w:rPr>
        <w:t xml:space="preserve">. </w:t>
      </w:r>
      <w:r>
        <w:rPr>
          <w:rFonts w:ascii="Arial" w:hAnsi="Arial" w:cs="Arial"/>
          <w:sz w:val="20"/>
          <w:szCs w:val="20"/>
        </w:rPr>
        <w:t>Povečevanje</w:t>
      </w:r>
      <w:r w:rsidRPr="00E769B7">
        <w:rPr>
          <w:rFonts w:ascii="Arial" w:hAnsi="Arial" w:cs="Arial"/>
          <w:sz w:val="20"/>
          <w:szCs w:val="20"/>
        </w:rPr>
        <w:t xml:space="preserve"> pobranih prihodkov </w:t>
      </w:r>
      <w:r w:rsidRPr="002D3D3B">
        <w:rPr>
          <w:rFonts w:ascii="Arial" w:hAnsi="Arial" w:cs="Arial"/>
          <w:sz w:val="20"/>
          <w:szCs w:val="20"/>
        </w:rPr>
        <w:t>se razen</w:t>
      </w:r>
      <w:r>
        <w:rPr>
          <w:rFonts w:ascii="Arial" w:hAnsi="Arial" w:cs="Arial"/>
          <w:sz w:val="20"/>
          <w:szCs w:val="20"/>
        </w:rPr>
        <w:t xml:space="preserve"> v</w:t>
      </w:r>
      <w:r w:rsidRPr="007C7E2D">
        <w:rPr>
          <w:rFonts w:ascii="Arial" w:hAnsi="Arial" w:cs="Arial"/>
          <w:sz w:val="20"/>
          <w:szCs w:val="20"/>
        </w:rPr>
        <w:t xml:space="preserve"> </w:t>
      </w:r>
      <w:r w:rsidRPr="00E769B7">
        <w:rPr>
          <w:rFonts w:ascii="Arial" w:hAnsi="Arial" w:cs="Arial"/>
          <w:sz w:val="20"/>
          <w:szCs w:val="20"/>
        </w:rPr>
        <w:t>let</w:t>
      </w:r>
      <w:r>
        <w:rPr>
          <w:rFonts w:ascii="Arial" w:hAnsi="Arial" w:cs="Arial"/>
          <w:sz w:val="20"/>
          <w:szCs w:val="20"/>
        </w:rPr>
        <w:t>u</w:t>
      </w:r>
      <w:r w:rsidRPr="00E769B7">
        <w:rPr>
          <w:rFonts w:ascii="Arial" w:hAnsi="Arial" w:cs="Arial"/>
          <w:sz w:val="20"/>
          <w:szCs w:val="20"/>
        </w:rPr>
        <w:t xml:space="preserve"> 2020</w:t>
      </w:r>
      <w:r>
        <w:rPr>
          <w:rFonts w:ascii="Arial" w:hAnsi="Arial" w:cs="Arial"/>
          <w:sz w:val="20"/>
          <w:szCs w:val="20"/>
        </w:rPr>
        <w:t xml:space="preserve">, ki ga je zaznamovala epidemija covida-19, nadaljuje vse </w:t>
      </w:r>
      <w:r w:rsidRPr="00E769B7">
        <w:rPr>
          <w:rFonts w:ascii="Arial" w:hAnsi="Arial" w:cs="Arial"/>
          <w:sz w:val="20"/>
          <w:szCs w:val="20"/>
        </w:rPr>
        <w:t xml:space="preserve">od ustanovitve </w:t>
      </w:r>
      <w:r w:rsidRPr="002D3D3B">
        <w:rPr>
          <w:rFonts w:ascii="Arial" w:hAnsi="Arial" w:cs="Arial"/>
          <w:sz w:val="20"/>
          <w:szCs w:val="20"/>
        </w:rPr>
        <w:t>FUR</w:t>
      </w:r>
      <w:r w:rsidRPr="007C7E2D">
        <w:rPr>
          <w:rFonts w:ascii="Arial" w:hAnsi="Arial" w:cs="Arial"/>
          <w:sz w:val="20"/>
          <w:szCs w:val="20"/>
        </w:rPr>
        <w:t>S v</w:t>
      </w:r>
      <w:r w:rsidRPr="00E769B7">
        <w:rPr>
          <w:rFonts w:ascii="Arial" w:hAnsi="Arial" w:cs="Arial"/>
          <w:sz w:val="20"/>
          <w:szCs w:val="20"/>
        </w:rPr>
        <w:t xml:space="preserve"> letu 2014</w:t>
      </w:r>
      <w:r>
        <w:rPr>
          <w:rFonts w:ascii="Arial" w:hAnsi="Arial" w:cs="Arial"/>
          <w:sz w:val="20"/>
          <w:szCs w:val="20"/>
        </w:rPr>
        <w:t>, s</w:t>
      </w:r>
      <w:r w:rsidRPr="00E769B7">
        <w:rPr>
          <w:rFonts w:ascii="Arial" w:hAnsi="Arial" w:cs="Arial"/>
          <w:sz w:val="20"/>
          <w:szCs w:val="20"/>
        </w:rPr>
        <w:t xml:space="preserve">kupni prirast prihodkov </w:t>
      </w:r>
      <w:r>
        <w:rPr>
          <w:rFonts w:ascii="Arial" w:hAnsi="Arial" w:cs="Arial"/>
          <w:sz w:val="20"/>
          <w:szCs w:val="20"/>
        </w:rPr>
        <w:t>tako obsega 11.509.370.494</w:t>
      </w:r>
      <w:r w:rsidRPr="00B45EBA" w:rsidDel="00B45EBA">
        <w:rPr>
          <w:rFonts w:ascii="Arial" w:hAnsi="Arial" w:cs="Arial"/>
          <w:sz w:val="20"/>
          <w:szCs w:val="20"/>
        </w:rPr>
        <w:t xml:space="preserve"> </w:t>
      </w:r>
      <w:r w:rsidRPr="00E769B7">
        <w:rPr>
          <w:rFonts w:ascii="Arial" w:hAnsi="Arial" w:cs="Arial"/>
          <w:sz w:val="20"/>
          <w:szCs w:val="20"/>
        </w:rPr>
        <w:t xml:space="preserve">EUR </w:t>
      </w:r>
      <w:r>
        <w:rPr>
          <w:rFonts w:ascii="Arial" w:hAnsi="Arial" w:cs="Arial"/>
          <w:sz w:val="20"/>
          <w:szCs w:val="20"/>
        </w:rPr>
        <w:t>ali</w:t>
      </w:r>
      <w:r w:rsidRPr="00E769B7">
        <w:rPr>
          <w:rFonts w:ascii="Arial" w:hAnsi="Arial" w:cs="Arial"/>
          <w:sz w:val="20"/>
          <w:szCs w:val="20"/>
        </w:rPr>
        <w:t xml:space="preserve"> </w:t>
      </w:r>
      <w:r>
        <w:rPr>
          <w:rFonts w:ascii="Arial" w:hAnsi="Arial" w:cs="Arial"/>
          <w:sz w:val="20"/>
          <w:szCs w:val="20"/>
        </w:rPr>
        <w:t>84,6</w:t>
      </w:r>
      <w:r w:rsidRPr="00E769B7">
        <w:rPr>
          <w:rFonts w:ascii="Arial" w:hAnsi="Arial" w:cs="Arial"/>
          <w:sz w:val="20"/>
          <w:szCs w:val="20"/>
        </w:rPr>
        <w:t xml:space="preserve"> odstotka.</w:t>
      </w:r>
    </w:p>
    <w:p w14:paraId="73264C47" w14:textId="77777777" w:rsidR="00A155A2" w:rsidRPr="00D32ACA" w:rsidRDefault="00A155A2" w:rsidP="00A155A2">
      <w:pPr>
        <w:jc w:val="both"/>
        <w:rPr>
          <w:rFonts w:ascii="Arial" w:hAnsi="Arial" w:cs="Arial"/>
          <w:sz w:val="20"/>
          <w:szCs w:val="20"/>
        </w:rPr>
      </w:pPr>
      <w:r>
        <w:rPr>
          <w:rFonts w:ascii="Arial" w:hAnsi="Arial" w:cs="Arial"/>
          <w:sz w:val="20"/>
          <w:szCs w:val="20"/>
        </w:rPr>
        <w:t>N</w:t>
      </w:r>
      <w:r w:rsidRPr="000130D8">
        <w:rPr>
          <w:rFonts w:ascii="Arial" w:hAnsi="Arial" w:cs="Arial"/>
          <w:sz w:val="20"/>
          <w:szCs w:val="20"/>
        </w:rPr>
        <w:t xml:space="preserve">a dan 31. </w:t>
      </w:r>
      <w:r>
        <w:rPr>
          <w:rFonts w:ascii="Arial" w:hAnsi="Arial" w:cs="Arial"/>
          <w:sz w:val="20"/>
          <w:szCs w:val="20"/>
        </w:rPr>
        <w:t>decem</w:t>
      </w:r>
      <w:r w:rsidRPr="00036AEE">
        <w:rPr>
          <w:rFonts w:ascii="Arial" w:hAnsi="Arial" w:cs="Arial"/>
          <w:sz w:val="20"/>
          <w:szCs w:val="20"/>
        </w:rPr>
        <w:t>ber</w:t>
      </w:r>
      <w:r w:rsidRPr="000130D8">
        <w:rPr>
          <w:rFonts w:ascii="Arial" w:hAnsi="Arial" w:cs="Arial"/>
          <w:sz w:val="20"/>
          <w:szCs w:val="20"/>
        </w:rPr>
        <w:t xml:space="preserve"> 2024 </w:t>
      </w:r>
      <w:r w:rsidRPr="00773D0C">
        <w:rPr>
          <w:rFonts w:ascii="Arial" w:hAnsi="Arial" w:cs="Arial"/>
          <w:sz w:val="20"/>
          <w:szCs w:val="20"/>
        </w:rPr>
        <w:t xml:space="preserve">je </w:t>
      </w:r>
      <w:r>
        <w:rPr>
          <w:rFonts w:ascii="Arial" w:hAnsi="Arial" w:cs="Arial"/>
          <w:sz w:val="20"/>
          <w:szCs w:val="20"/>
        </w:rPr>
        <w:t>bil</w:t>
      </w:r>
      <w:r w:rsidRPr="00773D0C">
        <w:rPr>
          <w:rFonts w:ascii="Arial" w:hAnsi="Arial" w:cs="Arial"/>
          <w:sz w:val="20"/>
          <w:szCs w:val="20"/>
        </w:rPr>
        <w:t xml:space="preserve"> davčni dolg </w:t>
      </w:r>
      <w:r w:rsidRPr="006374C2">
        <w:rPr>
          <w:rFonts w:ascii="Arial" w:hAnsi="Arial" w:cs="Arial"/>
          <w:sz w:val="20"/>
          <w:szCs w:val="20"/>
        </w:rPr>
        <w:t xml:space="preserve">za vse blagajne javnega financiranja </w:t>
      </w:r>
      <w:r>
        <w:rPr>
          <w:rFonts w:ascii="Arial" w:hAnsi="Arial" w:cs="Arial"/>
          <w:sz w:val="20"/>
          <w:szCs w:val="20"/>
        </w:rPr>
        <w:t>901.937.257</w:t>
      </w:r>
      <w:r w:rsidRPr="00685B8F">
        <w:rPr>
          <w:rFonts w:ascii="Arial" w:hAnsi="Arial" w:cs="Arial"/>
          <w:sz w:val="20"/>
          <w:szCs w:val="20"/>
        </w:rPr>
        <w:t xml:space="preserve"> </w:t>
      </w:r>
      <w:r w:rsidRPr="00773D0C">
        <w:rPr>
          <w:rFonts w:ascii="Arial" w:hAnsi="Arial" w:cs="Arial"/>
          <w:sz w:val="20"/>
          <w:szCs w:val="20"/>
        </w:rPr>
        <w:t>EUR</w:t>
      </w:r>
      <w:r w:rsidRPr="00AE0745">
        <w:rPr>
          <w:rFonts w:ascii="Arial" w:hAnsi="Arial" w:cs="Arial"/>
          <w:sz w:val="20"/>
          <w:szCs w:val="20"/>
        </w:rPr>
        <w:t>.</w:t>
      </w:r>
      <w:r w:rsidRPr="00AE0745">
        <w:rPr>
          <w:rStyle w:val="Sprotnaopomba-sklic"/>
          <w:rFonts w:ascii="Arial" w:hAnsi="Arial" w:cs="Arial"/>
          <w:sz w:val="20"/>
          <w:szCs w:val="20"/>
        </w:rPr>
        <w:footnoteReference w:id="2"/>
      </w:r>
      <w:r w:rsidRPr="00AE0745">
        <w:rPr>
          <w:rFonts w:ascii="Arial" w:hAnsi="Arial" w:cs="Arial"/>
          <w:sz w:val="20"/>
          <w:szCs w:val="20"/>
        </w:rPr>
        <w:t xml:space="preserve"> </w:t>
      </w:r>
      <w:r w:rsidRPr="000130D8">
        <w:rPr>
          <w:rFonts w:ascii="Arial" w:hAnsi="Arial" w:cs="Arial"/>
          <w:sz w:val="20"/>
          <w:szCs w:val="20"/>
        </w:rPr>
        <w:t xml:space="preserve">V letu 2024 se je davčni dolg </w:t>
      </w:r>
      <w:r>
        <w:rPr>
          <w:rFonts w:ascii="Arial" w:hAnsi="Arial" w:cs="Arial"/>
          <w:sz w:val="20"/>
          <w:szCs w:val="20"/>
        </w:rPr>
        <w:t>povečal</w:t>
      </w:r>
      <w:r w:rsidRPr="000130D8">
        <w:rPr>
          <w:rFonts w:ascii="Arial" w:hAnsi="Arial" w:cs="Arial"/>
          <w:sz w:val="20"/>
          <w:szCs w:val="20"/>
        </w:rPr>
        <w:t xml:space="preserve"> za 60.128.463 EUR </w:t>
      </w:r>
      <w:r>
        <w:rPr>
          <w:rFonts w:ascii="Arial" w:hAnsi="Arial" w:cs="Arial"/>
          <w:sz w:val="20"/>
          <w:szCs w:val="20"/>
        </w:rPr>
        <w:t>ali</w:t>
      </w:r>
      <w:r w:rsidRPr="000130D8">
        <w:rPr>
          <w:rFonts w:ascii="Arial" w:hAnsi="Arial" w:cs="Arial"/>
          <w:sz w:val="20"/>
          <w:szCs w:val="20"/>
        </w:rPr>
        <w:t xml:space="preserve"> 7,1 odstotk</w:t>
      </w:r>
      <w:r>
        <w:rPr>
          <w:rFonts w:ascii="Arial" w:hAnsi="Arial" w:cs="Arial"/>
          <w:sz w:val="20"/>
          <w:szCs w:val="20"/>
        </w:rPr>
        <w:t>a</w:t>
      </w:r>
      <w:r w:rsidRPr="000130D8">
        <w:rPr>
          <w:rFonts w:ascii="Arial" w:hAnsi="Arial" w:cs="Arial"/>
          <w:sz w:val="20"/>
          <w:szCs w:val="20"/>
        </w:rPr>
        <w:t xml:space="preserve"> </w:t>
      </w:r>
      <w:r w:rsidRPr="00D32ACA">
        <w:rPr>
          <w:rFonts w:ascii="Arial" w:hAnsi="Arial" w:cs="Arial"/>
          <w:sz w:val="20"/>
          <w:szCs w:val="20"/>
        </w:rPr>
        <w:t xml:space="preserve">v primerjavi z letom </w:t>
      </w:r>
      <w:r>
        <w:rPr>
          <w:rFonts w:ascii="Arial" w:hAnsi="Arial" w:cs="Arial"/>
          <w:sz w:val="20"/>
          <w:szCs w:val="20"/>
        </w:rPr>
        <w:t>prej</w:t>
      </w:r>
      <w:r w:rsidRPr="00721DA2">
        <w:rPr>
          <w:rFonts w:ascii="Arial" w:hAnsi="Arial" w:cs="Arial"/>
          <w:sz w:val="20"/>
          <w:szCs w:val="20"/>
        </w:rPr>
        <w:t xml:space="preserve">. Eden od </w:t>
      </w:r>
      <w:r w:rsidRPr="00335330">
        <w:rPr>
          <w:rFonts w:ascii="Arial" w:hAnsi="Arial" w:cs="Arial"/>
          <w:sz w:val="20"/>
          <w:szCs w:val="20"/>
        </w:rPr>
        <w:t>razlogov za višje stanje dolga konec</w:t>
      </w:r>
      <w:r w:rsidRPr="00721DA2">
        <w:rPr>
          <w:rFonts w:ascii="Arial" w:hAnsi="Arial" w:cs="Arial"/>
          <w:sz w:val="20"/>
          <w:szCs w:val="20"/>
        </w:rPr>
        <w:t xml:space="preserve"> leta 2024 je bila sprememba terjatve po obračunu v </w:t>
      </w:r>
      <w:r>
        <w:rPr>
          <w:rFonts w:ascii="Arial" w:hAnsi="Arial" w:cs="Arial"/>
          <w:sz w:val="20"/>
          <w:szCs w:val="20"/>
        </w:rPr>
        <w:t>znesku</w:t>
      </w:r>
      <w:r w:rsidRPr="00721DA2">
        <w:rPr>
          <w:rFonts w:ascii="Arial" w:hAnsi="Arial" w:cs="Arial"/>
          <w:sz w:val="20"/>
          <w:szCs w:val="20"/>
        </w:rPr>
        <w:t xml:space="preserve"> 23,1 milijona EUR, </w:t>
      </w:r>
      <w:r>
        <w:rPr>
          <w:rFonts w:ascii="Arial" w:hAnsi="Arial" w:cs="Arial"/>
          <w:sz w:val="20"/>
          <w:szCs w:val="20"/>
        </w:rPr>
        <w:t>izvedena</w:t>
      </w:r>
      <w:r w:rsidRPr="00721DA2">
        <w:rPr>
          <w:rFonts w:ascii="Arial" w:hAnsi="Arial" w:cs="Arial"/>
          <w:sz w:val="20"/>
          <w:szCs w:val="20"/>
        </w:rPr>
        <w:t xml:space="preserve"> v </w:t>
      </w:r>
      <w:r>
        <w:rPr>
          <w:rFonts w:ascii="Arial" w:hAnsi="Arial" w:cs="Arial"/>
          <w:sz w:val="20"/>
          <w:szCs w:val="20"/>
        </w:rPr>
        <w:t>obdobju</w:t>
      </w:r>
      <w:r w:rsidRPr="00721DA2">
        <w:rPr>
          <w:rFonts w:ascii="Arial" w:hAnsi="Arial" w:cs="Arial"/>
          <w:sz w:val="20"/>
          <w:szCs w:val="20"/>
        </w:rPr>
        <w:t xml:space="preserve"> izpisa odprtih postavk (v nadaljnjem besedilu: IOP)</w:t>
      </w:r>
      <w:r>
        <w:rPr>
          <w:rFonts w:ascii="Arial" w:hAnsi="Arial" w:cs="Arial"/>
          <w:sz w:val="20"/>
          <w:szCs w:val="20"/>
        </w:rPr>
        <w:t xml:space="preserve"> </w:t>
      </w:r>
      <w:r w:rsidRPr="00721DA2">
        <w:rPr>
          <w:rFonts w:ascii="Arial" w:hAnsi="Arial" w:cs="Arial"/>
          <w:sz w:val="20"/>
          <w:szCs w:val="20"/>
        </w:rPr>
        <w:t>za zaključni račun</w:t>
      </w:r>
      <w:r>
        <w:rPr>
          <w:rFonts w:ascii="Arial" w:hAnsi="Arial" w:cs="Arial"/>
          <w:sz w:val="20"/>
          <w:szCs w:val="20"/>
        </w:rPr>
        <w:t>. Njenega</w:t>
      </w:r>
      <w:r w:rsidRPr="00721DA2">
        <w:rPr>
          <w:rFonts w:ascii="Arial" w:hAnsi="Arial" w:cs="Arial"/>
          <w:sz w:val="20"/>
          <w:szCs w:val="20"/>
        </w:rPr>
        <w:t xml:space="preserve"> </w:t>
      </w:r>
      <w:r w:rsidRPr="0013459E">
        <w:rPr>
          <w:rFonts w:ascii="Arial" w:hAnsi="Arial" w:cs="Arial"/>
          <w:sz w:val="20"/>
          <w:szCs w:val="20"/>
        </w:rPr>
        <w:t>popravka</w:t>
      </w:r>
      <w:r w:rsidRPr="00721DA2">
        <w:rPr>
          <w:rFonts w:ascii="Arial" w:hAnsi="Arial" w:cs="Arial"/>
          <w:sz w:val="20"/>
          <w:szCs w:val="20"/>
        </w:rPr>
        <w:t xml:space="preserve"> ni bilo več mogoče vključiti v leto 2024</w:t>
      </w:r>
      <w:r>
        <w:rPr>
          <w:rFonts w:ascii="Arial" w:hAnsi="Arial" w:cs="Arial"/>
          <w:sz w:val="20"/>
          <w:szCs w:val="20"/>
        </w:rPr>
        <w:t>,</w:t>
      </w:r>
      <w:r w:rsidRPr="00721DA2">
        <w:rPr>
          <w:rFonts w:ascii="Arial" w:hAnsi="Arial" w:cs="Arial"/>
          <w:sz w:val="20"/>
          <w:szCs w:val="20"/>
        </w:rPr>
        <w:t xml:space="preserve"> </w:t>
      </w:r>
      <w:r>
        <w:rPr>
          <w:rFonts w:ascii="Arial" w:hAnsi="Arial" w:cs="Arial"/>
          <w:sz w:val="20"/>
          <w:szCs w:val="20"/>
        </w:rPr>
        <w:t>zato se p</w:t>
      </w:r>
      <w:r w:rsidRPr="00721DA2">
        <w:rPr>
          <w:rFonts w:ascii="Arial" w:hAnsi="Arial" w:cs="Arial"/>
          <w:sz w:val="20"/>
          <w:szCs w:val="20"/>
        </w:rPr>
        <w:t>ostavka</w:t>
      </w:r>
      <w:r w:rsidRPr="00721DA2">
        <w:rPr>
          <w:rStyle w:val="Sprotnaopomba-sklic"/>
          <w:rFonts w:ascii="Arial" w:hAnsi="Arial" w:cs="Arial"/>
          <w:sz w:val="20"/>
          <w:szCs w:val="20"/>
        </w:rPr>
        <w:footnoteReference w:id="3"/>
      </w:r>
      <w:r w:rsidRPr="00721DA2">
        <w:rPr>
          <w:rFonts w:ascii="Arial" w:hAnsi="Arial" w:cs="Arial"/>
          <w:sz w:val="20"/>
          <w:szCs w:val="20"/>
        </w:rPr>
        <w:t xml:space="preserve"> izkazuje v aktivnem davčnem dolgu </w:t>
      </w:r>
      <w:r>
        <w:rPr>
          <w:rFonts w:ascii="Arial" w:hAnsi="Arial" w:cs="Arial"/>
          <w:sz w:val="20"/>
          <w:szCs w:val="20"/>
        </w:rPr>
        <w:t>pri</w:t>
      </w:r>
      <w:r w:rsidRPr="00BE344A">
        <w:rPr>
          <w:rFonts w:ascii="Arial" w:hAnsi="Arial" w:cs="Arial"/>
          <w:sz w:val="20"/>
          <w:szCs w:val="20"/>
        </w:rPr>
        <w:t xml:space="preserve"> </w:t>
      </w:r>
      <w:r w:rsidRPr="00721DA2">
        <w:rPr>
          <w:rFonts w:ascii="Arial" w:hAnsi="Arial" w:cs="Arial"/>
          <w:sz w:val="20"/>
          <w:szCs w:val="20"/>
        </w:rPr>
        <w:t>trošarin</w:t>
      </w:r>
      <w:r>
        <w:rPr>
          <w:rFonts w:ascii="Arial" w:hAnsi="Arial" w:cs="Arial"/>
          <w:sz w:val="20"/>
          <w:szCs w:val="20"/>
        </w:rPr>
        <w:t>i</w:t>
      </w:r>
      <w:r w:rsidRPr="00721DA2">
        <w:rPr>
          <w:rFonts w:ascii="Arial" w:hAnsi="Arial" w:cs="Arial"/>
          <w:sz w:val="20"/>
          <w:szCs w:val="20"/>
        </w:rPr>
        <w:t xml:space="preserve"> po obračunu za november v </w:t>
      </w:r>
      <w:r>
        <w:rPr>
          <w:rFonts w:ascii="Arial" w:hAnsi="Arial" w:cs="Arial"/>
          <w:sz w:val="20"/>
          <w:szCs w:val="20"/>
        </w:rPr>
        <w:t xml:space="preserve">navedenem </w:t>
      </w:r>
      <w:r w:rsidRPr="00721DA2">
        <w:rPr>
          <w:rFonts w:ascii="Arial" w:hAnsi="Arial" w:cs="Arial"/>
          <w:sz w:val="20"/>
          <w:szCs w:val="20"/>
        </w:rPr>
        <w:t xml:space="preserve">znesku, čeprav je bilo plačilo prejeto 30. </w:t>
      </w:r>
      <w:r>
        <w:rPr>
          <w:rFonts w:ascii="Arial" w:hAnsi="Arial" w:cs="Arial"/>
          <w:sz w:val="20"/>
          <w:szCs w:val="20"/>
        </w:rPr>
        <w:t>decembra</w:t>
      </w:r>
      <w:r w:rsidRPr="00721DA2">
        <w:rPr>
          <w:rFonts w:ascii="Arial" w:hAnsi="Arial" w:cs="Arial"/>
          <w:sz w:val="20"/>
          <w:szCs w:val="20"/>
        </w:rPr>
        <w:t xml:space="preserve"> 2024. </w:t>
      </w:r>
    </w:p>
    <w:bookmarkEnd w:id="1"/>
    <w:p w14:paraId="1F4926D2" w14:textId="77777777" w:rsidR="00A155A2" w:rsidRPr="000E64F3" w:rsidRDefault="00A155A2" w:rsidP="00A155A2">
      <w:pPr>
        <w:jc w:val="both"/>
        <w:rPr>
          <w:rFonts w:ascii="Arial" w:hAnsi="Arial" w:cs="Arial"/>
          <w:sz w:val="20"/>
          <w:szCs w:val="20"/>
        </w:rPr>
      </w:pPr>
      <w:r w:rsidRPr="000E64F3">
        <w:rPr>
          <w:rFonts w:ascii="Arial" w:hAnsi="Arial" w:cs="Arial"/>
          <w:sz w:val="20"/>
          <w:szCs w:val="20"/>
        </w:rPr>
        <w:t>Pri spremljanju gibanja davčnega dolga je treba upoštevati tudi gibanje deleža dolga glede na letno pobrane javnofinančne prihodke FURS. Delež davčnega dolga za vse</w:t>
      </w:r>
      <w:r>
        <w:rPr>
          <w:rFonts w:ascii="Arial" w:hAnsi="Arial" w:cs="Arial"/>
          <w:sz w:val="20"/>
          <w:szCs w:val="20"/>
        </w:rPr>
        <w:t xml:space="preserve"> javnofinančne</w:t>
      </w:r>
      <w:r w:rsidRPr="000E64F3">
        <w:rPr>
          <w:rFonts w:ascii="Arial" w:hAnsi="Arial" w:cs="Arial"/>
          <w:sz w:val="20"/>
          <w:szCs w:val="20"/>
        </w:rPr>
        <w:t xml:space="preserve"> blagajne v vseh letno pobranih javnofinančnih prihodkih FURS </w:t>
      </w:r>
      <w:r>
        <w:rPr>
          <w:rFonts w:ascii="Arial" w:hAnsi="Arial" w:cs="Arial"/>
          <w:sz w:val="20"/>
          <w:szCs w:val="20"/>
        </w:rPr>
        <w:t xml:space="preserve">se </w:t>
      </w:r>
      <w:r w:rsidRPr="000E64F3">
        <w:rPr>
          <w:rFonts w:ascii="Arial" w:hAnsi="Arial" w:cs="Arial"/>
          <w:sz w:val="20"/>
          <w:szCs w:val="20"/>
        </w:rPr>
        <w:t xml:space="preserve">je v letu 2024 </w:t>
      </w:r>
      <w:r>
        <w:rPr>
          <w:rFonts w:ascii="Arial" w:hAnsi="Arial" w:cs="Arial"/>
          <w:sz w:val="20"/>
          <w:szCs w:val="20"/>
        </w:rPr>
        <w:t>zmanjšal</w:t>
      </w:r>
      <w:r w:rsidRPr="000E64F3">
        <w:rPr>
          <w:rFonts w:ascii="Arial" w:hAnsi="Arial" w:cs="Arial"/>
          <w:sz w:val="20"/>
          <w:szCs w:val="20"/>
        </w:rPr>
        <w:t xml:space="preserve"> na 3,6 </w:t>
      </w:r>
      <w:r w:rsidRPr="009D5F8E">
        <w:rPr>
          <w:rFonts w:ascii="Arial" w:hAnsi="Arial" w:cs="Arial"/>
          <w:sz w:val="20"/>
          <w:szCs w:val="20"/>
        </w:rPr>
        <w:t xml:space="preserve">odstotka, </w:t>
      </w:r>
      <w:r>
        <w:rPr>
          <w:rFonts w:ascii="Arial" w:hAnsi="Arial" w:cs="Arial"/>
          <w:sz w:val="20"/>
          <w:szCs w:val="20"/>
        </w:rPr>
        <w:t xml:space="preserve">medtem ko je </w:t>
      </w:r>
      <w:r w:rsidRPr="009D5F8E">
        <w:rPr>
          <w:rFonts w:ascii="Arial" w:hAnsi="Arial" w:cs="Arial"/>
          <w:sz w:val="20"/>
          <w:szCs w:val="20"/>
        </w:rPr>
        <w:t>v letu ustanov</w:t>
      </w:r>
      <w:r>
        <w:rPr>
          <w:rFonts w:ascii="Arial" w:hAnsi="Arial" w:cs="Arial"/>
          <w:sz w:val="20"/>
          <w:szCs w:val="20"/>
        </w:rPr>
        <w:t>itve FURS, tj. letu</w:t>
      </w:r>
      <w:r w:rsidRPr="009D5F8E">
        <w:rPr>
          <w:rFonts w:ascii="Arial" w:hAnsi="Arial" w:cs="Arial"/>
          <w:sz w:val="20"/>
          <w:szCs w:val="20"/>
        </w:rPr>
        <w:t xml:space="preserve"> 2014, obsegal 10,4 odstotka.</w:t>
      </w:r>
      <w:r w:rsidRPr="000E64F3">
        <w:rPr>
          <w:rFonts w:ascii="Arial" w:hAnsi="Arial" w:cs="Arial"/>
          <w:sz w:val="20"/>
          <w:szCs w:val="20"/>
        </w:rPr>
        <w:t xml:space="preserve"> </w:t>
      </w:r>
    </w:p>
    <w:p w14:paraId="546316D6" w14:textId="77777777" w:rsidR="00A155A2" w:rsidRDefault="00A155A2" w:rsidP="00A155A2">
      <w:pPr>
        <w:jc w:val="both"/>
        <w:rPr>
          <w:rFonts w:ascii="Arial" w:hAnsi="Arial" w:cs="Arial"/>
          <w:sz w:val="20"/>
          <w:szCs w:val="20"/>
        </w:rPr>
      </w:pPr>
      <w:bookmarkStart w:id="3" w:name="_Hlk129329172"/>
      <w:r w:rsidRPr="001715DF">
        <w:rPr>
          <w:rFonts w:ascii="Arial" w:hAnsi="Arial" w:cs="Arial"/>
          <w:sz w:val="20"/>
          <w:szCs w:val="20"/>
        </w:rPr>
        <w:t>Slika</w:t>
      </w:r>
      <w:r>
        <w:rPr>
          <w:rFonts w:ascii="Arial" w:hAnsi="Arial" w:cs="Arial"/>
          <w:sz w:val="20"/>
          <w:szCs w:val="20"/>
        </w:rPr>
        <w:t xml:space="preserve"> </w:t>
      </w:r>
      <w:r w:rsidRPr="00FD082B">
        <w:rPr>
          <w:rFonts w:ascii="Arial" w:hAnsi="Arial" w:cs="Arial"/>
          <w:sz w:val="20"/>
          <w:szCs w:val="20"/>
        </w:rPr>
        <w:t>1:</w:t>
      </w:r>
      <w:r w:rsidRPr="001D099E">
        <w:rPr>
          <w:rFonts w:ascii="Arial" w:hAnsi="Arial" w:cs="Arial"/>
          <w:sz w:val="20"/>
          <w:szCs w:val="20"/>
        </w:rPr>
        <w:t xml:space="preserve"> Gibanje javnofinančnih prihodkov in </w:t>
      </w:r>
      <w:r w:rsidRPr="0084480C">
        <w:rPr>
          <w:rFonts w:ascii="Arial" w:hAnsi="Arial" w:cs="Arial"/>
          <w:sz w:val="20"/>
          <w:szCs w:val="20"/>
        </w:rPr>
        <w:t>davčnega dolga od leta 2016 do leta 2024</w:t>
      </w:r>
    </w:p>
    <w:p w14:paraId="786FF3B2" w14:textId="77777777" w:rsidR="00A155A2" w:rsidRDefault="00A155A2" w:rsidP="00A155A2">
      <w:pPr>
        <w:jc w:val="both"/>
        <w:rPr>
          <w:rFonts w:ascii="Arial" w:hAnsi="Arial" w:cs="Arial"/>
          <w:sz w:val="20"/>
          <w:szCs w:val="20"/>
        </w:rPr>
      </w:pPr>
      <w:r>
        <w:rPr>
          <w:noProof/>
          <w:lang w:eastAsia="sl-SI"/>
        </w:rPr>
        <w:drawing>
          <wp:inline distT="0" distB="0" distL="0" distR="0" wp14:anchorId="0E193EC7" wp14:editId="798A149B">
            <wp:extent cx="4533900" cy="1710211"/>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568"/>
                    <a:stretch/>
                  </pic:blipFill>
                  <pic:spPr>
                    <a:xfrm>
                      <a:off x="0" y="0"/>
                      <a:ext cx="4740841" cy="1788270"/>
                    </a:xfrm>
                    <a:prstGeom prst="rect">
                      <a:avLst/>
                    </a:prstGeom>
                  </pic:spPr>
                </pic:pic>
              </a:graphicData>
            </a:graphic>
          </wp:inline>
        </w:drawing>
      </w:r>
    </w:p>
    <w:p w14:paraId="79E4D957" w14:textId="77777777" w:rsidR="00A155A2" w:rsidRPr="003B3C02" w:rsidRDefault="00A155A2" w:rsidP="00A155A2">
      <w:pPr>
        <w:rPr>
          <w:rFonts w:ascii="Arial" w:hAnsi="Arial" w:cs="Arial"/>
          <w:i/>
          <w:sz w:val="20"/>
          <w:szCs w:val="20"/>
        </w:rPr>
      </w:pPr>
      <w:r w:rsidRPr="003B3C02">
        <w:rPr>
          <w:rFonts w:ascii="Arial" w:hAnsi="Arial" w:cs="Arial"/>
          <w:i/>
          <w:sz w:val="20"/>
          <w:szCs w:val="20"/>
        </w:rPr>
        <w:t>Vir: FURS</w:t>
      </w:r>
    </w:p>
    <w:p w14:paraId="5B72CB2D" w14:textId="77777777" w:rsidR="00A155A2" w:rsidRPr="000D05CA" w:rsidRDefault="00A155A2" w:rsidP="00A155A2">
      <w:pPr>
        <w:jc w:val="both"/>
        <w:rPr>
          <w:rFonts w:ascii="Arial" w:hAnsi="Arial" w:cs="Arial"/>
          <w:sz w:val="20"/>
          <w:szCs w:val="20"/>
        </w:rPr>
      </w:pPr>
      <w:bookmarkStart w:id="4" w:name="_Hlk129329502"/>
      <w:bookmarkEnd w:id="3"/>
      <w:r w:rsidRPr="000D05CA">
        <w:rPr>
          <w:rFonts w:ascii="Arial" w:hAnsi="Arial" w:cs="Arial"/>
          <w:sz w:val="20"/>
          <w:szCs w:val="20"/>
        </w:rPr>
        <w:lastRenderedPageBreak/>
        <w:t xml:space="preserve">Če </w:t>
      </w:r>
      <w:r>
        <w:rPr>
          <w:rFonts w:ascii="Arial" w:hAnsi="Arial" w:cs="Arial"/>
          <w:sz w:val="20"/>
          <w:szCs w:val="20"/>
        </w:rPr>
        <w:t>pri</w:t>
      </w:r>
      <w:r w:rsidRPr="000D05CA">
        <w:rPr>
          <w:rFonts w:ascii="Arial" w:hAnsi="Arial" w:cs="Arial"/>
          <w:sz w:val="20"/>
          <w:szCs w:val="20"/>
        </w:rPr>
        <w:t xml:space="preserve"> obravnav</w:t>
      </w:r>
      <w:r>
        <w:rPr>
          <w:rFonts w:ascii="Arial" w:hAnsi="Arial" w:cs="Arial"/>
          <w:sz w:val="20"/>
          <w:szCs w:val="20"/>
        </w:rPr>
        <w:t>i</w:t>
      </w:r>
      <w:r w:rsidRPr="000D05CA">
        <w:rPr>
          <w:rFonts w:ascii="Arial" w:hAnsi="Arial" w:cs="Arial"/>
          <w:sz w:val="20"/>
          <w:szCs w:val="20"/>
        </w:rPr>
        <w:t xml:space="preserve"> zaključnega računa </w:t>
      </w:r>
      <w:r>
        <w:rPr>
          <w:rFonts w:ascii="Arial" w:hAnsi="Arial" w:cs="Arial"/>
          <w:sz w:val="20"/>
          <w:szCs w:val="20"/>
        </w:rPr>
        <w:t>pozornost namenimo</w:t>
      </w:r>
      <w:r w:rsidRPr="000D05CA">
        <w:rPr>
          <w:rFonts w:ascii="Arial" w:hAnsi="Arial" w:cs="Arial"/>
          <w:sz w:val="20"/>
          <w:szCs w:val="20"/>
        </w:rPr>
        <w:t xml:space="preserve"> samo dolg</w:t>
      </w:r>
      <w:r>
        <w:rPr>
          <w:rFonts w:ascii="Arial" w:hAnsi="Arial" w:cs="Arial"/>
          <w:sz w:val="20"/>
          <w:szCs w:val="20"/>
        </w:rPr>
        <w:t>u,</w:t>
      </w:r>
      <w:r w:rsidRPr="000D05CA">
        <w:rPr>
          <w:rFonts w:ascii="Arial" w:hAnsi="Arial" w:cs="Arial"/>
          <w:sz w:val="20"/>
          <w:szCs w:val="20"/>
        </w:rPr>
        <w:t xml:space="preserve"> nastal</w:t>
      </w:r>
      <w:r>
        <w:rPr>
          <w:rFonts w:ascii="Arial" w:hAnsi="Arial" w:cs="Arial"/>
          <w:sz w:val="20"/>
          <w:szCs w:val="20"/>
        </w:rPr>
        <w:t>emu</w:t>
      </w:r>
      <w:r w:rsidRPr="000D05CA">
        <w:rPr>
          <w:rFonts w:ascii="Arial" w:hAnsi="Arial" w:cs="Arial"/>
          <w:sz w:val="20"/>
          <w:szCs w:val="20"/>
        </w:rPr>
        <w:t xml:space="preserve"> in zapadl</w:t>
      </w:r>
      <w:r>
        <w:rPr>
          <w:rFonts w:ascii="Arial" w:hAnsi="Arial" w:cs="Arial"/>
          <w:sz w:val="20"/>
          <w:szCs w:val="20"/>
        </w:rPr>
        <w:t>emu</w:t>
      </w:r>
      <w:r w:rsidRPr="000D05CA">
        <w:rPr>
          <w:rFonts w:ascii="Arial" w:hAnsi="Arial" w:cs="Arial"/>
          <w:sz w:val="20"/>
          <w:szCs w:val="20"/>
        </w:rPr>
        <w:t xml:space="preserve"> v letu 2024, je po stanju na dan 31</w:t>
      </w:r>
      <w:r w:rsidRPr="00036AEE">
        <w:rPr>
          <w:rFonts w:ascii="Arial" w:hAnsi="Arial" w:cs="Arial"/>
          <w:sz w:val="20"/>
          <w:szCs w:val="20"/>
        </w:rPr>
        <w:t>. december</w:t>
      </w:r>
      <w:r w:rsidRPr="000D05CA">
        <w:rPr>
          <w:rFonts w:ascii="Arial" w:hAnsi="Arial" w:cs="Arial"/>
          <w:sz w:val="20"/>
          <w:szCs w:val="20"/>
        </w:rPr>
        <w:t xml:space="preserve"> 2024 </w:t>
      </w:r>
      <w:r>
        <w:rPr>
          <w:rFonts w:ascii="Arial" w:hAnsi="Arial" w:cs="Arial"/>
          <w:sz w:val="20"/>
          <w:szCs w:val="20"/>
        </w:rPr>
        <w:t>obsegal</w:t>
      </w:r>
      <w:r w:rsidRPr="000D05CA">
        <w:rPr>
          <w:rFonts w:ascii="Arial" w:hAnsi="Arial" w:cs="Arial"/>
          <w:sz w:val="20"/>
          <w:szCs w:val="20"/>
        </w:rPr>
        <w:t xml:space="preserve"> za vse</w:t>
      </w:r>
      <w:r>
        <w:rPr>
          <w:rFonts w:ascii="Arial" w:hAnsi="Arial" w:cs="Arial"/>
          <w:sz w:val="20"/>
          <w:szCs w:val="20"/>
        </w:rPr>
        <w:t xml:space="preserve"> javnofinančne</w:t>
      </w:r>
      <w:r w:rsidRPr="000D05CA">
        <w:rPr>
          <w:rFonts w:ascii="Arial" w:hAnsi="Arial" w:cs="Arial"/>
          <w:sz w:val="20"/>
          <w:szCs w:val="20"/>
        </w:rPr>
        <w:t xml:space="preserve"> blagajne 297.124.913 EUR. Ob sestavi tega poročila se je po stanju na dan </w:t>
      </w:r>
      <w:r w:rsidRPr="00163964">
        <w:rPr>
          <w:rFonts w:ascii="Arial" w:hAnsi="Arial" w:cs="Arial"/>
          <w:sz w:val="20"/>
          <w:szCs w:val="20"/>
        </w:rPr>
        <w:t xml:space="preserve">31. </w:t>
      </w:r>
      <w:r w:rsidRPr="00036AEE">
        <w:rPr>
          <w:rFonts w:ascii="Arial" w:hAnsi="Arial" w:cs="Arial"/>
          <w:sz w:val="20"/>
          <w:szCs w:val="20"/>
        </w:rPr>
        <w:t>marec</w:t>
      </w:r>
      <w:r w:rsidRPr="00163964">
        <w:rPr>
          <w:rFonts w:ascii="Arial" w:hAnsi="Arial" w:cs="Arial"/>
          <w:sz w:val="20"/>
          <w:szCs w:val="20"/>
        </w:rPr>
        <w:t xml:space="preserve"> 2025</w:t>
      </w:r>
      <w:r w:rsidRPr="004F0050">
        <w:rPr>
          <w:rFonts w:ascii="Arial" w:hAnsi="Arial" w:cs="Arial"/>
          <w:sz w:val="20"/>
          <w:szCs w:val="20"/>
        </w:rPr>
        <w:t xml:space="preserve"> </w:t>
      </w:r>
      <w:r w:rsidRPr="00163964">
        <w:rPr>
          <w:rFonts w:ascii="Arial" w:hAnsi="Arial" w:cs="Arial"/>
          <w:sz w:val="20"/>
          <w:szCs w:val="20"/>
        </w:rPr>
        <w:t xml:space="preserve">dolg, </w:t>
      </w:r>
      <w:r w:rsidRPr="00DA0DDE">
        <w:rPr>
          <w:rFonts w:ascii="Arial" w:hAnsi="Arial" w:cs="Arial"/>
          <w:sz w:val="20"/>
          <w:szCs w:val="20"/>
        </w:rPr>
        <w:t>nastal</w:t>
      </w:r>
      <w:r w:rsidRPr="006373FA">
        <w:rPr>
          <w:rFonts w:ascii="Arial" w:hAnsi="Arial" w:cs="Arial"/>
          <w:sz w:val="20"/>
          <w:szCs w:val="20"/>
        </w:rPr>
        <w:t>i v letu</w:t>
      </w:r>
      <w:r w:rsidRPr="00163964">
        <w:rPr>
          <w:rFonts w:ascii="Arial" w:hAnsi="Arial" w:cs="Arial"/>
          <w:sz w:val="20"/>
          <w:szCs w:val="20"/>
        </w:rPr>
        <w:t xml:space="preserve"> 2024, že z</w:t>
      </w:r>
      <w:r>
        <w:rPr>
          <w:rFonts w:ascii="Arial" w:hAnsi="Arial" w:cs="Arial"/>
          <w:sz w:val="20"/>
          <w:szCs w:val="20"/>
        </w:rPr>
        <w:t>ma</w:t>
      </w:r>
      <w:r w:rsidRPr="00163964">
        <w:rPr>
          <w:rFonts w:ascii="Arial" w:hAnsi="Arial" w:cs="Arial"/>
          <w:sz w:val="20"/>
          <w:szCs w:val="20"/>
        </w:rPr>
        <w:t>n</w:t>
      </w:r>
      <w:r>
        <w:rPr>
          <w:rFonts w:ascii="Arial" w:hAnsi="Arial" w:cs="Arial"/>
          <w:sz w:val="20"/>
          <w:szCs w:val="20"/>
        </w:rPr>
        <w:t>jš</w:t>
      </w:r>
      <w:r w:rsidRPr="00163964">
        <w:rPr>
          <w:rFonts w:ascii="Arial" w:hAnsi="Arial" w:cs="Arial"/>
          <w:sz w:val="20"/>
          <w:szCs w:val="20"/>
        </w:rPr>
        <w:t xml:space="preserve">al na 151.147.823 EUR. </w:t>
      </w:r>
      <w:r w:rsidRPr="000D05CA">
        <w:rPr>
          <w:rFonts w:ascii="Arial" w:hAnsi="Arial" w:cs="Arial"/>
          <w:sz w:val="20"/>
          <w:szCs w:val="20"/>
        </w:rPr>
        <w:t>Obseg dajatev, plačanih po zapadlosti z do enomesečno zamudo, je od 60 do 80 mi</w:t>
      </w:r>
      <w:r>
        <w:rPr>
          <w:rFonts w:ascii="Arial" w:hAnsi="Arial" w:cs="Arial"/>
          <w:sz w:val="20"/>
          <w:szCs w:val="20"/>
        </w:rPr>
        <w:t>lijonov</w:t>
      </w:r>
      <w:r w:rsidRPr="000D05CA">
        <w:rPr>
          <w:rFonts w:ascii="Arial" w:hAnsi="Arial" w:cs="Arial"/>
          <w:sz w:val="20"/>
          <w:szCs w:val="20"/>
        </w:rPr>
        <w:t xml:space="preserve"> EUR mesečno, hkrati pa so že bili </w:t>
      </w:r>
      <w:r>
        <w:rPr>
          <w:rFonts w:ascii="Arial" w:hAnsi="Arial" w:cs="Arial"/>
          <w:sz w:val="20"/>
          <w:szCs w:val="20"/>
        </w:rPr>
        <w:t>izvedeni</w:t>
      </w:r>
      <w:r w:rsidRPr="000D05CA">
        <w:rPr>
          <w:rFonts w:ascii="Arial" w:hAnsi="Arial" w:cs="Arial"/>
          <w:sz w:val="20"/>
          <w:szCs w:val="20"/>
        </w:rPr>
        <w:t xml:space="preserve"> dodatni ukrepi izterjave. </w:t>
      </w:r>
    </w:p>
    <w:bookmarkEnd w:id="4"/>
    <w:p w14:paraId="5DE95ED4" w14:textId="77777777" w:rsidR="00A155A2" w:rsidRPr="006244B3" w:rsidRDefault="00A155A2" w:rsidP="00A155A2">
      <w:pPr>
        <w:jc w:val="both"/>
        <w:rPr>
          <w:rFonts w:ascii="Arial" w:hAnsi="Arial" w:cs="Arial"/>
          <w:strike/>
          <w:sz w:val="20"/>
          <w:szCs w:val="20"/>
        </w:rPr>
      </w:pPr>
      <w:r w:rsidRPr="00E41A0A">
        <w:rPr>
          <w:rFonts w:ascii="Arial" w:hAnsi="Arial" w:cs="Arial"/>
          <w:sz w:val="20"/>
          <w:szCs w:val="20"/>
        </w:rPr>
        <w:t xml:space="preserve">S ciljem obvladovanja davčnega dolga je FURS izvajal številne ukrepe za spodbujanje prostovoljnega plačevanja in </w:t>
      </w:r>
      <w:r w:rsidRPr="00A80769">
        <w:rPr>
          <w:rFonts w:ascii="Arial" w:hAnsi="Arial" w:cs="Arial"/>
          <w:sz w:val="20"/>
          <w:szCs w:val="20"/>
        </w:rPr>
        <w:t>izterjave</w:t>
      </w:r>
      <w:r>
        <w:rPr>
          <w:rFonts w:ascii="Arial" w:hAnsi="Arial" w:cs="Arial"/>
          <w:sz w:val="20"/>
          <w:szCs w:val="20"/>
        </w:rPr>
        <w:t>, na primer</w:t>
      </w:r>
      <w:r w:rsidRPr="00A80769">
        <w:rPr>
          <w:rFonts w:ascii="Arial" w:hAnsi="Arial" w:cs="Arial"/>
          <w:sz w:val="20"/>
          <w:szCs w:val="20"/>
        </w:rPr>
        <w:t xml:space="preserve"> opominjanje</w:t>
      </w:r>
      <w:r w:rsidRPr="00E41A0A">
        <w:rPr>
          <w:rFonts w:ascii="Arial" w:hAnsi="Arial" w:cs="Arial"/>
          <w:sz w:val="20"/>
          <w:szCs w:val="20"/>
        </w:rPr>
        <w:t>, pobote obveznosti z zapadlimi terjatvami, unovčitve predloženih zavarovanj, davčno izvršbo</w:t>
      </w:r>
      <w:r>
        <w:rPr>
          <w:rFonts w:ascii="Arial" w:hAnsi="Arial" w:cs="Arial"/>
          <w:sz w:val="20"/>
          <w:szCs w:val="20"/>
        </w:rPr>
        <w:t xml:space="preserve"> in</w:t>
      </w:r>
      <w:r w:rsidRPr="00E41A0A">
        <w:rPr>
          <w:rFonts w:ascii="Arial" w:hAnsi="Arial" w:cs="Arial"/>
          <w:sz w:val="20"/>
          <w:szCs w:val="20"/>
        </w:rPr>
        <w:t xml:space="preserve"> druge zahtevnejše ukrepe uveljavljanja davčnega </w:t>
      </w:r>
      <w:r w:rsidRPr="00A80769">
        <w:rPr>
          <w:rFonts w:ascii="Arial" w:hAnsi="Arial" w:cs="Arial"/>
          <w:sz w:val="20"/>
          <w:szCs w:val="20"/>
        </w:rPr>
        <w:t>dolga</w:t>
      </w:r>
      <w:r>
        <w:rPr>
          <w:rFonts w:ascii="Arial" w:hAnsi="Arial" w:cs="Arial"/>
          <w:sz w:val="20"/>
          <w:szCs w:val="20"/>
        </w:rPr>
        <w:t>,</w:t>
      </w:r>
      <w:r w:rsidRPr="00A80769">
        <w:rPr>
          <w:rFonts w:ascii="Arial" w:hAnsi="Arial" w:cs="Arial"/>
          <w:sz w:val="20"/>
          <w:szCs w:val="20"/>
        </w:rPr>
        <w:t xml:space="preserve"> ter</w:t>
      </w:r>
      <w:r w:rsidRPr="00E41A0A">
        <w:rPr>
          <w:rFonts w:ascii="Arial" w:hAnsi="Arial" w:cs="Arial"/>
          <w:sz w:val="20"/>
          <w:szCs w:val="20"/>
        </w:rPr>
        <w:t xml:space="preserve"> predlagal stečaje </w:t>
      </w:r>
      <w:r w:rsidRPr="006244B3">
        <w:rPr>
          <w:rFonts w:ascii="Arial" w:hAnsi="Arial" w:cs="Arial"/>
          <w:sz w:val="20"/>
          <w:szCs w:val="20"/>
        </w:rPr>
        <w:t xml:space="preserve">ali izbrise. </w:t>
      </w:r>
    </w:p>
    <w:p w14:paraId="5CE7D0EB" w14:textId="77777777" w:rsidR="00A155A2" w:rsidRPr="006244B3" w:rsidRDefault="00A155A2" w:rsidP="00A155A2">
      <w:pPr>
        <w:jc w:val="both"/>
        <w:rPr>
          <w:rFonts w:ascii="Arial" w:hAnsi="Arial" w:cs="Arial"/>
          <w:bCs/>
          <w:sz w:val="20"/>
          <w:szCs w:val="20"/>
        </w:rPr>
      </w:pPr>
      <w:bookmarkStart w:id="5" w:name="_Hlk129330550"/>
      <w:r w:rsidRPr="006244B3">
        <w:rPr>
          <w:rFonts w:ascii="Arial" w:hAnsi="Arial" w:cs="Arial"/>
          <w:sz w:val="20"/>
          <w:szCs w:val="20"/>
        </w:rPr>
        <w:t xml:space="preserve">Davčni dolg po stanju 31. </w:t>
      </w:r>
      <w:r w:rsidRPr="00036AEE">
        <w:rPr>
          <w:rFonts w:ascii="Arial" w:hAnsi="Arial" w:cs="Arial"/>
          <w:sz w:val="20"/>
          <w:szCs w:val="20"/>
        </w:rPr>
        <w:t>decembra</w:t>
      </w:r>
      <w:r w:rsidRPr="006244B3">
        <w:rPr>
          <w:rFonts w:ascii="Arial" w:hAnsi="Arial" w:cs="Arial"/>
          <w:sz w:val="20"/>
          <w:szCs w:val="20"/>
        </w:rPr>
        <w:t xml:space="preserve"> 2024 je </w:t>
      </w:r>
      <w:r>
        <w:rPr>
          <w:rFonts w:ascii="Arial" w:hAnsi="Arial" w:cs="Arial"/>
          <w:sz w:val="20"/>
          <w:szCs w:val="20"/>
        </w:rPr>
        <w:t>po</w:t>
      </w:r>
      <w:r w:rsidRPr="006244B3">
        <w:rPr>
          <w:rFonts w:ascii="Arial" w:hAnsi="Arial" w:cs="Arial"/>
          <w:sz w:val="20"/>
          <w:szCs w:val="20"/>
        </w:rPr>
        <w:t xml:space="preserve"> možnosti</w:t>
      </w:r>
      <w:r>
        <w:rPr>
          <w:rFonts w:ascii="Arial" w:hAnsi="Arial" w:cs="Arial"/>
          <w:sz w:val="20"/>
          <w:szCs w:val="20"/>
        </w:rPr>
        <w:t>h</w:t>
      </w:r>
      <w:r w:rsidRPr="006244B3">
        <w:rPr>
          <w:rFonts w:ascii="Arial" w:hAnsi="Arial" w:cs="Arial"/>
          <w:sz w:val="20"/>
          <w:szCs w:val="20"/>
        </w:rPr>
        <w:t xml:space="preserve"> izterjave razdeljen na aktivni dolg v </w:t>
      </w:r>
      <w:r>
        <w:rPr>
          <w:rFonts w:ascii="Arial" w:hAnsi="Arial" w:cs="Arial"/>
          <w:sz w:val="20"/>
          <w:szCs w:val="20"/>
        </w:rPr>
        <w:t>vrednosti</w:t>
      </w:r>
      <w:r w:rsidRPr="006244B3">
        <w:rPr>
          <w:rFonts w:ascii="Arial" w:hAnsi="Arial" w:cs="Arial"/>
          <w:sz w:val="20"/>
          <w:szCs w:val="20"/>
        </w:rPr>
        <w:t xml:space="preserve"> </w:t>
      </w:r>
      <w:r w:rsidRPr="006244B3">
        <w:rPr>
          <w:rFonts w:ascii="Arial" w:hAnsi="Arial" w:cs="Arial"/>
          <w:bCs/>
          <w:sz w:val="20"/>
          <w:szCs w:val="20"/>
        </w:rPr>
        <w:t xml:space="preserve">481.817.858 </w:t>
      </w:r>
      <w:r w:rsidRPr="006244B3">
        <w:rPr>
          <w:rFonts w:ascii="Arial" w:hAnsi="Arial" w:cs="Arial"/>
          <w:sz w:val="20"/>
          <w:szCs w:val="20"/>
        </w:rPr>
        <w:t xml:space="preserve">EUR (53,4 odstotka) in pogojno izterljivi dolg v </w:t>
      </w:r>
      <w:r>
        <w:rPr>
          <w:rFonts w:ascii="Arial" w:hAnsi="Arial" w:cs="Arial"/>
          <w:sz w:val="20"/>
          <w:szCs w:val="20"/>
        </w:rPr>
        <w:t>znesku</w:t>
      </w:r>
      <w:r w:rsidRPr="006244B3">
        <w:rPr>
          <w:rFonts w:ascii="Arial" w:hAnsi="Arial" w:cs="Arial"/>
          <w:sz w:val="20"/>
          <w:szCs w:val="20"/>
        </w:rPr>
        <w:t xml:space="preserve"> </w:t>
      </w:r>
      <w:r w:rsidRPr="006244B3">
        <w:rPr>
          <w:rFonts w:ascii="Arial" w:hAnsi="Arial" w:cs="Arial"/>
          <w:bCs/>
          <w:sz w:val="20"/>
          <w:szCs w:val="20"/>
        </w:rPr>
        <w:t xml:space="preserve">420.119.399 </w:t>
      </w:r>
      <w:r w:rsidRPr="006244B3">
        <w:rPr>
          <w:rFonts w:ascii="Arial" w:hAnsi="Arial" w:cs="Arial"/>
          <w:sz w:val="20"/>
          <w:szCs w:val="20"/>
        </w:rPr>
        <w:t xml:space="preserve">EUR (46,6 odstotka). </w:t>
      </w:r>
      <w:r w:rsidRPr="006244B3">
        <w:rPr>
          <w:rFonts w:ascii="Arial" w:hAnsi="Arial" w:cs="Arial"/>
          <w:bCs/>
          <w:sz w:val="20"/>
          <w:szCs w:val="20"/>
        </w:rPr>
        <w:t xml:space="preserve">FURS je pri izterjavi </w:t>
      </w:r>
      <w:r>
        <w:rPr>
          <w:rFonts w:ascii="Arial" w:hAnsi="Arial" w:cs="Arial"/>
          <w:bCs/>
          <w:sz w:val="20"/>
          <w:szCs w:val="20"/>
        </w:rPr>
        <w:t>precejšnjega</w:t>
      </w:r>
      <w:r w:rsidRPr="006244B3">
        <w:rPr>
          <w:rFonts w:ascii="Arial" w:hAnsi="Arial" w:cs="Arial"/>
          <w:bCs/>
          <w:sz w:val="20"/>
          <w:szCs w:val="20"/>
        </w:rPr>
        <w:t xml:space="preserve"> dela davčnega dolga zelo omejen. Če sodišče odloči, da se zoper dolžnika začne postopek zaradi insolventnosti, se za dolg ne sme voditi postop</w:t>
      </w:r>
      <w:r>
        <w:rPr>
          <w:rFonts w:ascii="Arial" w:hAnsi="Arial" w:cs="Arial"/>
          <w:bCs/>
          <w:sz w:val="20"/>
          <w:szCs w:val="20"/>
        </w:rPr>
        <w:t>e</w:t>
      </w:r>
      <w:r w:rsidRPr="006244B3">
        <w:rPr>
          <w:rFonts w:ascii="Arial" w:hAnsi="Arial" w:cs="Arial"/>
          <w:bCs/>
          <w:sz w:val="20"/>
          <w:szCs w:val="20"/>
        </w:rPr>
        <w:t>k izvršbe niti zavarovan</w:t>
      </w:r>
      <w:r w:rsidRPr="00155761">
        <w:rPr>
          <w:rFonts w:ascii="Arial" w:hAnsi="Arial" w:cs="Arial"/>
          <w:bCs/>
          <w:sz w:val="20"/>
          <w:szCs w:val="20"/>
        </w:rPr>
        <w:t>ja</w:t>
      </w:r>
      <w:r w:rsidRPr="006244B3">
        <w:rPr>
          <w:rFonts w:ascii="Arial" w:hAnsi="Arial" w:cs="Arial"/>
          <w:bCs/>
          <w:sz w:val="20"/>
          <w:szCs w:val="20"/>
        </w:rPr>
        <w:t xml:space="preserve">. Po stanju 31. </w:t>
      </w:r>
      <w:r>
        <w:rPr>
          <w:rFonts w:ascii="Arial" w:hAnsi="Arial" w:cs="Arial"/>
          <w:bCs/>
          <w:sz w:val="20"/>
          <w:szCs w:val="20"/>
        </w:rPr>
        <w:t>dece</w:t>
      </w:r>
      <w:r w:rsidRPr="007D3DE6">
        <w:rPr>
          <w:rFonts w:ascii="Arial" w:hAnsi="Arial" w:cs="Arial"/>
          <w:bCs/>
          <w:sz w:val="20"/>
          <w:szCs w:val="20"/>
        </w:rPr>
        <w:t>mbr</w:t>
      </w:r>
      <w:r w:rsidRPr="004E07AD">
        <w:rPr>
          <w:rFonts w:ascii="Arial" w:hAnsi="Arial" w:cs="Arial"/>
          <w:bCs/>
          <w:sz w:val="20"/>
          <w:szCs w:val="20"/>
        </w:rPr>
        <w:t>a</w:t>
      </w:r>
      <w:r w:rsidRPr="006244B3">
        <w:rPr>
          <w:rFonts w:ascii="Arial" w:hAnsi="Arial" w:cs="Arial"/>
          <w:bCs/>
          <w:sz w:val="20"/>
          <w:szCs w:val="20"/>
        </w:rPr>
        <w:t xml:space="preserve"> 2024 je bil obseg pogojno izterljivega dolga</w:t>
      </w:r>
      <w:r>
        <w:rPr>
          <w:rFonts w:ascii="Arial" w:hAnsi="Arial" w:cs="Arial"/>
          <w:bCs/>
          <w:sz w:val="20"/>
          <w:szCs w:val="20"/>
        </w:rPr>
        <w:t>,</w:t>
      </w:r>
      <w:r w:rsidRPr="006244B3">
        <w:rPr>
          <w:rFonts w:ascii="Arial" w:hAnsi="Arial" w:cs="Arial"/>
          <w:bCs/>
          <w:sz w:val="20"/>
          <w:szCs w:val="20"/>
        </w:rPr>
        <w:t xml:space="preserve"> prijavljenega v </w:t>
      </w:r>
      <w:proofErr w:type="spellStart"/>
      <w:r w:rsidRPr="006244B3">
        <w:rPr>
          <w:rFonts w:ascii="Arial" w:hAnsi="Arial" w:cs="Arial"/>
          <w:bCs/>
          <w:sz w:val="20"/>
          <w:szCs w:val="20"/>
        </w:rPr>
        <w:t>insolvenčne</w:t>
      </w:r>
      <w:proofErr w:type="spellEnd"/>
      <w:r w:rsidRPr="006244B3">
        <w:rPr>
          <w:rFonts w:ascii="Arial" w:hAnsi="Arial" w:cs="Arial"/>
          <w:bCs/>
          <w:sz w:val="20"/>
          <w:szCs w:val="20"/>
        </w:rPr>
        <w:t xml:space="preserve"> postopke</w:t>
      </w:r>
      <w:r>
        <w:rPr>
          <w:rFonts w:ascii="Arial" w:hAnsi="Arial" w:cs="Arial"/>
          <w:bCs/>
          <w:sz w:val="20"/>
          <w:szCs w:val="20"/>
        </w:rPr>
        <w:t>,</w:t>
      </w:r>
      <w:r w:rsidRPr="006244B3">
        <w:rPr>
          <w:rFonts w:ascii="Arial" w:hAnsi="Arial" w:cs="Arial"/>
          <w:bCs/>
          <w:sz w:val="20"/>
          <w:szCs w:val="20"/>
        </w:rPr>
        <w:t xml:space="preserve"> 253 milijonov EUR, kar </w:t>
      </w:r>
      <w:r>
        <w:rPr>
          <w:rFonts w:ascii="Arial" w:hAnsi="Arial" w:cs="Arial"/>
          <w:bCs/>
          <w:sz w:val="20"/>
          <w:szCs w:val="20"/>
        </w:rPr>
        <w:t>pomeni</w:t>
      </w:r>
      <w:r w:rsidRPr="006244B3">
        <w:rPr>
          <w:rFonts w:ascii="Arial" w:hAnsi="Arial" w:cs="Arial"/>
          <w:bCs/>
          <w:sz w:val="20"/>
          <w:szCs w:val="20"/>
        </w:rPr>
        <w:t xml:space="preserve"> 28,1 odstotk</w:t>
      </w:r>
      <w:r>
        <w:rPr>
          <w:rFonts w:ascii="Arial" w:hAnsi="Arial" w:cs="Arial"/>
          <w:bCs/>
          <w:sz w:val="20"/>
          <w:szCs w:val="20"/>
        </w:rPr>
        <w:t>a</w:t>
      </w:r>
      <w:r w:rsidRPr="006244B3">
        <w:rPr>
          <w:rFonts w:ascii="Arial" w:hAnsi="Arial" w:cs="Arial"/>
          <w:bCs/>
          <w:sz w:val="20"/>
          <w:szCs w:val="20"/>
        </w:rPr>
        <w:t xml:space="preserve"> davčnega dolga. </w:t>
      </w:r>
    </w:p>
    <w:p w14:paraId="4446A269" w14:textId="77777777" w:rsidR="00A155A2" w:rsidRPr="009A0FBE"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0"/>
          <w:szCs w:val="20"/>
        </w:rPr>
      </w:pPr>
      <w:bookmarkStart w:id="6" w:name="_Hlk38114480"/>
      <w:r w:rsidRPr="006244B3">
        <w:rPr>
          <w:rFonts w:ascii="Arial" w:hAnsi="Arial" w:cs="Arial"/>
          <w:bCs/>
          <w:sz w:val="20"/>
          <w:szCs w:val="20"/>
        </w:rPr>
        <w:t>P</w:t>
      </w:r>
      <w:r w:rsidRPr="006244B3">
        <w:rPr>
          <w:rFonts w:ascii="Arial" w:hAnsi="Arial" w:cs="Arial"/>
          <w:sz w:val="20"/>
          <w:szCs w:val="20"/>
        </w:rPr>
        <w:t>odobno k</w:t>
      </w:r>
      <w:r>
        <w:rPr>
          <w:rFonts w:ascii="Arial" w:hAnsi="Arial" w:cs="Arial"/>
          <w:sz w:val="20"/>
          <w:szCs w:val="20"/>
        </w:rPr>
        <w:t>ak</w:t>
      </w:r>
      <w:r w:rsidRPr="006244B3">
        <w:rPr>
          <w:rFonts w:ascii="Arial" w:hAnsi="Arial" w:cs="Arial"/>
          <w:sz w:val="20"/>
          <w:szCs w:val="20"/>
        </w:rPr>
        <w:t>o</w:t>
      </w:r>
      <w:r>
        <w:rPr>
          <w:rFonts w:ascii="Arial" w:hAnsi="Arial" w:cs="Arial"/>
          <w:sz w:val="20"/>
          <w:szCs w:val="20"/>
        </w:rPr>
        <w:t>r</w:t>
      </w:r>
      <w:r w:rsidRPr="006244B3">
        <w:rPr>
          <w:rFonts w:ascii="Arial" w:hAnsi="Arial" w:cs="Arial"/>
          <w:sz w:val="20"/>
          <w:szCs w:val="20"/>
        </w:rPr>
        <w:t xml:space="preserve"> za </w:t>
      </w:r>
      <w:proofErr w:type="spellStart"/>
      <w:r w:rsidRPr="006244B3">
        <w:rPr>
          <w:rFonts w:ascii="Arial" w:hAnsi="Arial" w:cs="Arial"/>
          <w:sz w:val="20"/>
          <w:szCs w:val="20"/>
        </w:rPr>
        <w:t>insolvenčne</w:t>
      </w:r>
      <w:proofErr w:type="spellEnd"/>
      <w:r w:rsidRPr="006244B3">
        <w:rPr>
          <w:rFonts w:ascii="Arial" w:hAnsi="Arial" w:cs="Arial"/>
          <w:sz w:val="20"/>
          <w:szCs w:val="20"/>
        </w:rPr>
        <w:t xml:space="preserve"> postopke velja tudi za davčni dolg</w:t>
      </w:r>
      <w:r>
        <w:rPr>
          <w:rFonts w:ascii="Arial" w:hAnsi="Arial" w:cs="Arial"/>
          <w:sz w:val="20"/>
          <w:szCs w:val="20"/>
        </w:rPr>
        <w:t>,</w:t>
      </w:r>
      <w:r w:rsidRPr="006244B3">
        <w:rPr>
          <w:rFonts w:ascii="Arial" w:hAnsi="Arial" w:cs="Arial"/>
          <w:sz w:val="20"/>
          <w:szCs w:val="20"/>
        </w:rPr>
        <w:t xml:space="preserve"> zavarovan z zastavno pravico na nepremičninah. </w:t>
      </w:r>
      <w:r w:rsidRPr="00155761">
        <w:rPr>
          <w:rFonts w:ascii="Arial" w:hAnsi="Arial" w:cs="Arial"/>
          <w:sz w:val="20"/>
          <w:szCs w:val="20"/>
        </w:rPr>
        <w:t>Postopek prodaje</w:t>
      </w:r>
      <w:r w:rsidRPr="006244B3">
        <w:rPr>
          <w:rFonts w:ascii="Arial" w:hAnsi="Arial" w:cs="Arial"/>
          <w:sz w:val="20"/>
          <w:szCs w:val="20"/>
        </w:rPr>
        <w:t xml:space="preserve"> nepremičnine in poplačilo upnikov vodi izvršilno sodišče, zato davčni organ </w:t>
      </w:r>
      <w:r w:rsidRPr="006244B3">
        <w:rPr>
          <w:rFonts w:ascii="Arial" w:eastAsia="Times New Roman" w:hAnsi="Arial" w:cs="Arial"/>
          <w:iCs/>
          <w:sz w:val="20"/>
          <w:szCs w:val="20"/>
        </w:rPr>
        <w:t xml:space="preserve">po </w:t>
      </w:r>
      <w:r>
        <w:rPr>
          <w:rFonts w:ascii="Arial" w:eastAsia="Times New Roman" w:hAnsi="Arial" w:cs="Arial"/>
          <w:iCs/>
          <w:sz w:val="20"/>
          <w:szCs w:val="20"/>
        </w:rPr>
        <w:t>vloženih</w:t>
      </w:r>
      <w:r w:rsidRPr="006244B3">
        <w:rPr>
          <w:rFonts w:ascii="Arial" w:eastAsia="Times New Roman" w:hAnsi="Arial" w:cs="Arial"/>
          <w:iCs/>
          <w:sz w:val="20"/>
          <w:szCs w:val="20"/>
        </w:rPr>
        <w:t xml:space="preserve"> predlogih </w:t>
      </w:r>
      <w:r>
        <w:rPr>
          <w:rFonts w:ascii="Arial" w:eastAsia="Times New Roman" w:hAnsi="Arial" w:cs="Arial"/>
          <w:iCs/>
          <w:sz w:val="20"/>
          <w:szCs w:val="20"/>
        </w:rPr>
        <w:t xml:space="preserve">pri </w:t>
      </w:r>
      <w:r w:rsidRPr="006244B3">
        <w:rPr>
          <w:rFonts w:ascii="Arial" w:eastAsia="Times New Roman" w:hAnsi="Arial" w:cs="Arial"/>
          <w:iCs/>
          <w:sz w:val="20"/>
          <w:szCs w:val="20"/>
        </w:rPr>
        <w:t>sodišč</w:t>
      </w:r>
      <w:r>
        <w:rPr>
          <w:rFonts w:ascii="Arial" w:eastAsia="Times New Roman" w:hAnsi="Arial" w:cs="Arial"/>
          <w:iCs/>
          <w:sz w:val="20"/>
          <w:szCs w:val="20"/>
        </w:rPr>
        <w:t>ih</w:t>
      </w:r>
      <w:r w:rsidRPr="006244B3">
        <w:rPr>
          <w:rFonts w:ascii="Arial" w:eastAsia="Times New Roman" w:hAnsi="Arial" w:cs="Arial"/>
          <w:iCs/>
          <w:sz w:val="20"/>
          <w:szCs w:val="20"/>
        </w:rPr>
        <w:t xml:space="preserve"> v </w:t>
      </w:r>
      <w:r>
        <w:rPr>
          <w:rFonts w:ascii="Arial" w:eastAsia="Times New Roman" w:hAnsi="Arial" w:cs="Arial"/>
          <w:iCs/>
          <w:sz w:val="20"/>
          <w:szCs w:val="20"/>
        </w:rPr>
        <w:t>vrednosti</w:t>
      </w:r>
      <w:r w:rsidRPr="006244B3">
        <w:rPr>
          <w:rFonts w:ascii="Arial" w:eastAsia="Times New Roman" w:hAnsi="Arial" w:cs="Arial"/>
          <w:iCs/>
          <w:sz w:val="20"/>
          <w:szCs w:val="20"/>
        </w:rPr>
        <w:t xml:space="preserve"> 34.729.257 EUR </w:t>
      </w:r>
      <w:r w:rsidRPr="006244B3">
        <w:rPr>
          <w:rFonts w:ascii="Arial" w:hAnsi="Arial" w:cs="Arial"/>
          <w:sz w:val="20"/>
          <w:szCs w:val="20"/>
        </w:rPr>
        <w:t xml:space="preserve">na hitrost in višino poplačila dolga </w:t>
      </w:r>
      <w:r w:rsidRPr="006244B3">
        <w:rPr>
          <w:rFonts w:ascii="Arial" w:eastAsia="Times New Roman" w:hAnsi="Arial" w:cs="Arial"/>
          <w:iCs/>
          <w:sz w:val="20"/>
          <w:szCs w:val="20"/>
        </w:rPr>
        <w:t>nima vpliva.</w:t>
      </w:r>
      <w:r w:rsidRPr="009A0FBE">
        <w:rPr>
          <w:rFonts w:ascii="Arial" w:eastAsia="Times New Roman" w:hAnsi="Arial" w:cs="Arial"/>
          <w:iCs/>
          <w:sz w:val="20"/>
          <w:szCs w:val="20"/>
        </w:rPr>
        <w:t xml:space="preserve"> </w:t>
      </w:r>
    </w:p>
    <w:bookmarkEnd w:id="5"/>
    <w:bookmarkEnd w:id="6"/>
    <w:p w14:paraId="64D16438" w14:textId="77777777" w:rsidR="00A155A2" w:rsidRPr="00A20AC8" w:rsidRDefault="00A155A2" w:rsidP="00A155A2">
      <w:pPr>
        <w:jc w:val="both"/>
        <w:rPr>
          <w:rFonts w:ascii="Arial" w:hAnsi="Arial" w:cs="Arial"/>
          <w:sz w:val="20"/>
          <w:szCs w:val="20"/>
        </w:rPr>
      </w:pPr>
      <w:r w:rsidRPr="00A20AC8">
        <w:rPr>
          <w:rFonts w:ascii="Arial" w:hAnsi="Arial" w:cs="Arial"/>
          <w:sz w:val="20"/>
          <w:szCs w:val="20"/>
        </w:rPr>
        <w:t xml:space="preserve">V letu 2024 je FURS poslal dolžnikom 977.559 opominov in 43.369 pozivov </w:t>
      </w:r>
      <w:r>
        <w:rPr>
          <w:rFonts w:ascii="Arial" w:hAnsi="Arial" w:cs="Arial"/>
          <w:sz w:val="20"/>
          <w:szCs w:val="20"/>
        </w:rPr>
        <w:t>k</w:t>
      </w:r>
      <w:r w:rsidRPr="00A20AC8">
        <w:rPr>
          <w:rFonts w:ascii="Arial" w:hAnsi="Arial" w:cs="Arial"/>
          <w:sz w:val="20"/>
          <w:szCs w:val="20"/>
        </w:rPr>
        <w:t xml:space="preserve"> plačil</w:t>
      </w:r>
      <w:r>
        <w:rPr>
          <w:rFonts w:ascii="Arial" w:hAnsi="Arial" w:cs="Arial"/>
          <w:sz w:val="20"/>
          <w:szCs w:val="20"/>
        </w:rPr>
        <w:t>u</w:t>
      </w:r>
      <w:r w:rsidRPr="00A20AC8">
        <w:rPr>
          <w:rFonts w:ascii="Arial" w:hAnsi="Arial" w:cs="Arial"/>
          <w:sz w:val="20"/>
          <w:szCs w:val="20"/>
        </w:rPr>
        <w:t xml:space="preserve"> in predložitv</w:t>
      </w:r>
      <w:r>
        <w:rPr>
          <w:rFonts w:ascii="Arial" w:hAnsi="Arial" w:cs="Arial"/>
          <w:sz w:val="20"/>
          <w:szCs w:val="20"/>
        </w:rPr>
        <w:t>i</w:t>
      </w:r>
      <w:r w:rsidRPr="00A20AC8">
        <w:rPr>
          <w:rFonts w:ascii="Arial" w:hAnsi="Arial" w:cs="Arial"/>
          <w:sz w:val="20"/>
          <w:szCs w:val="20"/>
        </w:rPr>
        <w:t xml:space="preserve"> seznama premoženja ter izdal 326.333 sklepov o davčni izvršbi za novonastale davčne in nedavčne obveznosti ali kot nov ukrep izterjave v skupnem znesku 1.712.679.540 EUR. Z izvedenimi ukrepi je bilo izterja</w:t>
      </w:r>
      <w:r w:rsidRPr="005B432B">
        <w:rPr>
          <w:rFonts w:ascii="Arial" w:hAnsi="Arial" w:cs="Arial"/>
          <w:sz w:val="20"/>
          <w:szCs w:val="20"/>
        </w:rPr>
        <w:t>n</w:t>
      </w:r>
      <w:r w:rsidRPr="00012E54">
        <w:rPr>
          <w:rFonts w:ascii="Arial" w:hAnsi="Arial" w:cs="Arial"/>
          <w:sz w:val="20"/>
          <w:szCs w:val="20"/>
        </w:rPr>
        <w:t>ega</w:t>
      </w:r>
      <w:r w:rsidRPr="00A20AC8">
        <w:rPr>
          <w:rFonts w:ascii="Arial" w:hAnsi="Arial" w:cs="Arial"/>
          <w:sz w:val="20"/>
          <w:szCs w:val="20"/>
        </w:rPr>
        <w:t xml:space="preserve"> 749</w:t>
      </w:r>
      <w:r w:rsidRPr="00A20AC8">
        <w:rPr>
          <w:rFonts w:ascii="Arial" w:hAnsi="Arial" w:cs="Arial"/>
          <w:bCs/>
          <w:sz w:val="20"/>
          <w:szCs w:val="20"/>
        </w:rPr>
        <w:t xml:space="preserve">.590.056 </w:t>
      </w:r>
      <w:r w:rsidRPr="00A20AC8">
        <w:rPr>
          <w:rFonts w:ascii="Arial" w:hAnsi="Arial" w:cs="Arial"/>
          <w:sz w:val="20"/>
          <w:szCs w:val="20"/>
        </w:rPr>
        <w:t>EUR dolga.</w:t>
      </w:r>
    </w:p>
    <w:p w14:paraId="4FFE9C86" w14:textId="77777777" w:rsidR="00A155A2" w:rsidRPr="00721D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Pr>
          <w:rFonts w:ascii="Arial" w:hAnsi="Arial" w:cs="Arial"/>
          <w:sz w:val="20"/>
          <w:szCs w:val="20"/>
        </w:rPr>
        <w:t>V</w:t>
      </w:r>
      <w:r w:rsidRPr="00594AB0">
        <w:rPr>
          <w:rFonts w:ascii="Arial" w:hAnsi="Arial" w:cs="Arial"/>
          <w:bCs/>
          <w:sz w:val="20"/>
          <w:szCs w:val="20"/>
        </w:rPr>
        <w:t xml:space="preserve"> letu 2024 </w:t>
      </w:r>
      <w:r>
        <w:rPr>
          <w:rFonts w:ascii="Arial" w:hAnsi="Arial" w:cs="Arial"/>
          <w:bCs/>
          <w:sz w:val="20"/>
          <w:szCs w:val="20"/>
        </w:rPr>
        <w:t xml:space="preserve">je bilo v primerjavi z letom prej </w:t>
      </w:r>
      <w:r w:rsidRPr="00594AB0">
        <w:rPr>
          <w:rFonts w:ascii="Arial" w:hAnsi="Arial" w:cs="Arial"/>
          <w:bCs/>
          <w:sz w:val="20"/>
          <w:szCs w:val="20"/>
        </w:rPr>
        <w:t xml:space="preserve">terjanega za 233.986.873 </w:t>
      </w:r>
      <w:r>
        <w:rPr>
          <w:rFonts w:ascii="Arial" w:hAnsi="Arial" w:cs="Arial"/>
          <w:bCs/>
          <w:sz w:val="20"/>
          <w:szCs w:val="20"/>
        </w:rPr>
        <w:t>EUR</w:t>
      </w:r>
      <w:r w:rsidRPr="00594AB0">
        <w:rPr>
          <w:rFonts w:ascii="Arial" w:hAnsi="Arial" w:cs="Arial"/>
          <w:bCs/>
          <w:sz w:val="20"/>
          <w:szCs w:val="20"/>
        </w:rPr>
        <w:t xml:space="preserve"> (15,8 </w:t>
      </w:r>
      <w:r>
        <w:rPr>
          <w:rFonts w:ascii="Arial" w:hAnsi="Arial" w:cs="Arial"/>
          <w:bCs/>
          <w:sz w:val="20"/>
          <w:szCs w:val="20"/>
        </w:rPr>
        <w:t>odstotka</w:t>
      </w:r>
      <w:r w:rsidRPr="00594AB0">
        <w:rPr>
          <w:rFonts w:ascii="Arial" w:hAnsi="Arial" w:cs="Arial"/>
          <w:bCs/>
          <w:sz w:val="20"/>
          <w:szCs w:val="20"/>
        </w:rPr>
        <w:t xml:space="preserve">) več dolga </w:t>
      </w:r>
      <w:r>
        <w:rPr>
          <w:rFonts w:ascii="Arial" w:hAnsi="Arial" w:cs="Arial"/>
          <w:bCs/>
          <w:sz w:val="20"/>
          <w:szCs w:val="20"/>
        </w:rPr>
        <w:t>in</w:t>
      </w:r>
      <w:r w:rsidRPr="00594AB0">
        <w:rPr>
          <w:rFonts w:ascii="Arial" w:hAnsi="Arial" w:cs="Arial"/>
          <w:bCs/>
          <w:sz w:val="20"/>
          <w:szCs w:val="20"/>
        </w:rPr>
        <w:t xml:space="preserve"> </w:t>
      </w:r>
      <w:r>
        <w:rPr>
          <w:rFonts w:ascii="Arial" w:hAnsi="Arial" w:cs="Arial"/>
          <w:bCs/>
          <w:sz w:val="20"/>
          <w:szCs w:val="20"/>
        </w:rPr>
        <w:t xml:space="preserve">s tem </w:t>
      </w:r>
      <w:r w:rsidRPr="00594AB0">
        <w:rPr>
          <w:rFonts w:ascii="Arial" w:hAnsi="Arial" w:cs="Arial"/>
          <w:bCs/>
          <w:sz w:val="20"/>
          <w:szCs w:val="20"/>
        </w:rPr>
        <w:t>izterjan</w:t>
      </w:r>
      <w:r>
        <w:rPr>
          <w:rFonts w:ascii="Arial" w:hAnsi="Arial" w:cs="Arial"/>
          <w:bCs/>
          <w:sz w:val="20"/>
          <w:szCs w:val="20"/>
        </w:rPr>
        <w:t>ega</w:t>
      </w:r>
      <w:r w:rsidRPr="00594AB0">
        <w:rPr>
          <w:rFonts w:ascii="Arial" w:hAnsi="Arial" w:cs="Arial"/>
          <w:bCs/>
          <w:sz w:val="20"/>
          <w:szCs w:val="20"/>
        </w:rPr>
        <w:t xml:space="preserve"> za 91.051.124 </w:t>
      </w:r>
      <w:r>
        <w:rPr>
          <w:rFonts w:ascii="Arial" w:hAnsi="Arial" w:cs="Arial"/>
          <w:bCs/>
          <w:sz w:val="20"/>
          <w:szCs w:val="20"/>
        </w:rPr>
        <w:t>EUR</w:t>
      </w:r>
      <w:r w:rsidRPr="00594AB0">
        <w:rPr>
          <w:rFonts w:ascii="Arial" w:hAnsi="Arial" w:cs="Arial"/>
          <w:bCs/>
          <w:sz w:val="20"/>
          <w:szCs w:val="20"/>
        </w:rPr>
        <w:t xml:space="preserve"> (13,8 </w:t>
      </w:r>
      <w:r>
        <w:rPr>
          <w:rFonts w:ascii="Arial" w:hAnsi="Arial" w:cs="Arial"/>
          <w:bCs/>
          <w:sz w:val="20"/>
          <w:szCs w:val="20"/>
        </w:rPr>
        <w:t>odstotka</w:t>
      </w:r>
      <w:r w:rsidRPr="00594AB0">
        <w:rPr>
          <w:rFonts w:ascii="Arial" w:hAnsi="Arial" w:cs="Arial"/>
          <w:bCs/>
          <w:sz w:val="20"/>
          <w:szCs w:val="20"/>
        </w:rPr>
        <w:t xml:space="preserve">) več dolga. Po izdanih opominih in pozivih je bilo </w:t>
      </w:r>
      <w:r>
        <w:rPr>
          <w:rFonts w:ascii="Arial" w:hAnsi="Arial" w:cs="Arial"/>
          <w:bCs/>
          <w:sz w:val="20"/>
          <w:szCs w:val="20"/>
        </w:rPr>
        <w:t xml:space="preserve">na letni ravni </w:t>
      </w:r>
      <w:r w:rsidRPr="00594AB0">
        <w:rPr>
          <w:rFonts w:ascii="Arial" w:hAnsi="Arial" w:cs="Arial"/>
          <w:bCs/>
          <w:sz w:val="20"/>
          <w:szCs w:val="20"/>
        </w:rPr>
        <w:t xml:space="preserve">poplačanega za 69.642.908 </w:t>
      </w:r>
      <w:r>
        <w:rPr>
          <w:rFonts w:ascii="Arial" w:hAnsi="Arial" w:cs="Arial"/>
          <w:bCs/>
          <w:sz w:val="20"/>
          <w:szCs w:val="20"/>
        </w:rPr>
        <w:t>EUR</w:t>
      </w:r>
      <w:r w:rsidRPr="00594AB0">
        <w:rPr>
          <w:rFonts w:ascii="Arial" w:hAnsi="Arial" w:cs="Arial"/>
          <w:bCs/>
          <w:sz w:val="20"/>
          <w:szCs w:val="20"/>
        </w:rPr>
        <w:t xml:space="preserve"> (15,1 </w:t>
      </w:r>
      <w:r>
        <w:rPr>
          <w:rFonts w:ascii="Arial" w:hAnsi="Arial" w:cs="Arial"/>
          <w:bCs/>
          <w:sz w:val="20"/>
          <w:szCs w:val="20"/>
        </w:rPr>
        <w:t>odstotka</w:t>
      </w:r>
      <w:r w:rsidRPr="00594AB0">
        <w:rPr>
          <w:rFonts w:ascii="Arial" w:hAnsi="Arial" w:cs="Arial"/>
          <w:bCs/>
          <w:sz w:val="20"/>
          <w:szCs w:val="20"/>
        </w:rPr>
        <w:t xml:space="preserve">) več dolga, po izdanih sklepih o davčni izvršbi pa </w:t>
      </w:r>
      <w:r>
        <w:rPr>
          <w:rFonts w:ascii="Arial" w:hAnsi="Arial" w:cs="Arial"/>
          <w:bCs/>
          <w:sz w:val="20"/>
          <w:szCs w:val="20"/>
        </w:rPr>
        <w:t xml:space="preserve">za </w:t>
      </w:r>
      <w:r w:rsidRPr="00594AB0">
        <w:rPr>
          <w:rFonts w:ascii="Arial" w:hAnsi="Arial" w:cs="Arial"/>
          <w:bCs/>
          <w:sz w:val="20"/>
          <w:szCs w:val="20"/>
        </w:rPr>
        <w:t xml:space="preserve">21.408.216 </w:t>
      </w:r>
      <w:r>
        <w:rPr>
          <w:rFonts w:ascii="Arial" w:hAnsi="Arial" w:cs="Arial"/>
          <w:bCs/>
          <w:sz w:val="20"/>
          <w:szCs w:val="20"/>
        </w:rPr>
        <w:t>EUR</w:t>
      </w:r>
      <w:r w:rsidRPr="00594AB0">
        <w:rPr>
          <w:rFonts w:ascii="Arial" w:hAnsi="Arial" w:cs="Arial"/>
          <w:bCs/>
          <w:sz w:val="20"/>
          <w:szCs w:val="20"/>
        </w:rPr>
        <w:t xml:space="preserve"> (10,9 </w:t>
      </w:r>
      <w:r>
        <w:rPr>
          <w:rFonts w:ascii="Arial" w:hAnsi="Arial" w:cs="Arial"/>
          <w:bCs/>
          <w:sz w:val="20"/>
          <w:szCs w:val="20"/>
        </w:rPr>
        <w:t>odstotka</w:t>
      </w:r>
      <w:r w:rsidRPr="00594AB0">
        <w:rPr>
          <w:rFonts w:ascii="Arial" w:hAnsi="Arial" w:cs="Arial"/>
          <w:bCs/>
          <w:sz w:val="20"/>
          <w:szCs w:val="20"/>
        </w:rPr>
        <w:t>)</w:t>
      </w:r>
      <w:r>
        <w:rPr>
          <w:rFonts w:ascii="Arial" w:hAnsi="Arial" w:cs="Arial"/>
          <w:bCs/>
          <w:sz w:val="20"/>
          <w:szCs w:val="20"/>
        </w:rPr>
        <w:t xml:space="preserve"> več</w:t>
      </w:r>
      <w:r w:rsidRPr="00594AB0">
        <w:rPr>
          <w:rFonts w:ascii="Arial" w:hAnsi="Arial" w:cs="Arial"/>
          <w:bCs/>
          <w:sz w:val="20"/>
          <w:szCs w:val="20"/>
        </w:rPr>
        <w:t xml:space="preserve">. </w:t>
      </w:r>
      <w:r w:rsidRPr="00721DA2">
        <w:rPr>
          <w:rFonts w:ascii="Arial" w:hAnsi="Arial" w:cs="Arial"/>
          <w:bCs/>
          <w:sz w:val="20"/>
          <w:szCs w:val="20"/>
        </w:rPr>
        <w:t xml:space="preserve">Navedeno je mogoče pripisati zlasti </w:t>
      </w:r>
      <w:r>
        <w:rPr>
          <w:rFonts w:ascii="Arial" w:hAnsi="Arial" w:cs="Arial"/>
          <w:bCs/>
          <w:sz w:val="20"/>
          <w:szCs w:val="20"/>
        </w:rPr>
        <w:t>temu</w:t>
      </w:r>
      <w:r w:rsidRPr="00721DA2">
        <w:rPr>
          <w:rFonts w:ascii="Arial" w:hAnsi="Arial" w:cs="Arial"/>
          <w:bCs/>
          <w:sz w:val="20"/>
          <w:szCs w:val="20"/>
        </w:rPr>
        <w:t>, da je bilo v letu 2024 odmerjen</w:t>
      </w:r>
      <w:r>
        <w:rPr>
          <w:rFonts w:ascii="Arial" w:hAnsi="Arial" w:cs="Arial"/>
          <w:bCs/>
          <w:sz w:val="20"/>
          <w:szCs w:val="20"/>
        </w:rPr>
        <w:t>ih</w:t>
      </w:r>
      <w:r w:rsidRPr="00721DA2">
        <w:rPr>
          <w:rFonts w:ascii="Arial" w:hAnsi="Arial" w:cs="Arial"/>
          <w:bCs/>
          <w:sz w:val="20"/>
          <w:szCs w:val="20"/>
        </w:rPr>
        <w:t xml:space="preserve"> za 2,8 milijarde EUR (10,5 odstotka) več davčnih obveznosti k</w:t>
      </w:r>
      <w:r>
        <w:rPr>
          <w:rFonts w:ascii="Arial" w:hAnsi="Arial" w:cs="Arial"/>
          <w:bCs/>
          <w:sz w:val="20"/>
          <w:szCs w:val="20"/>
        </w:rPr>
        <w:t>ak</w:t>
      </w:r>
      <w:r w:rsidRPr="00721DA2">
        <w:rPr>
          <w:rFonts w:ascii="Arial" w:hAnsi="Arial" w:cs="Arial"/>
          <w:bCs/>
          <w:sz w:val="20"/>
          <w:szCs w:val="20"/>
        </w:rPr>
        <w:t>o</w:t>
      </w:r>
      <w:r>
        <w:rPr>
          <w:rFonts w:ascii="Arial" w:hAnsi="Arial" w:cs="Arial"/>
          <w:bCs/>
          <w:sz w:val="20"/>
          <w:szCs w:val="20"/>
        </w:rPr>
        <w:t>r</w:t>
      </w:r>
      <w:r w:rsidRPr="00721DA2">
        <w:rPr>
          <w:rFonts w:ascii="Arial" w:hAnsi="Arial" w:cs="Arial"/>
          <w:bCs/>
          <w:sz w:val="20"/>
          <w:szCs w:val="20"/>
        </w:rPr>
        <w:t xml:space="preserve"> leto prej. Uveden je bil tudi nov obvezni zdravstveni prispevek, s katerim se je </w:t>
      </w:r>
      <w:r>
        <w:rPr>
          <w:rFonts w:ascii="Arial" w:hAnsi="Arial" w:cs="Arial"/>
          <w:bCs/>
          <w:sz w:val="20"/>
          <w:szCs w:val="20"/>
        </w:rPr>
        <w:t>odpravilo</w:t>
      </w:r>
      <w:r w:rsidRPr="00721DA2">
        <w:rPr>
          <w:rFonts w:ascii="Arial" w:hAnsi="Arial" w:cs="Arial"/>
          <w:bCs/>
          <w:sz w:val="20"/>
          <w:szCs w:val="20"/>
        </w:rPr>
        <w:t xml:space="preserve"> dopolnilno zdravstveno zavarovanje. </w:t>
      </w:r>
      <w:r>
        <w:rPr>
          <w:rFonts w:ascii="Arial" w:hAnsi="Arial" w:cs="Arial"/>
          <w:bCs/>
          <w:sz w:val="20"/>
          <w:szCs w:val="20"/>
        </w:rPr>
        <w:t>Zato</w:t>
      </w:r>
      <w:r w:rsidRPr="00721DA2">
        <w:rPr>
          <w:rFonts w:ascii="Arial" w:hAnsi="Arial" w:cs="Arial"/>
          <w:bCs/>
          <w:sz w:val="20"/>
          <w:szCs w:val="20"/>
        </w:rPr>
        <w:t xml:space="preserve"> je bilo v izterjavo pre</w:t>
      </w:r>
      <w:r w:rsidRPr="00B91E2C">
        <w:rPr>
          <w:rFonts w:ascii="Arial" w:hAnsi="Arial" w:cs="Arial"/>
          <w:bCs/>
          <w:sz w:val="20"/>
          <w:szCs w:val="20"/>
        </w:rPr>
        <w:t>jetih</w:t>
      </w:r>
      <w:r w:rsidRPr="00721DA2">
        <w:rPr>
          <w:rFonts w:ascii="Arial" w:hAnsi="Arial" w:cs="Arial"/>
          <w:bCs/>
          <w:sz w:val="20"/>
          <w:szCs w:val="20"/>
        </w:rPr>
        <w:t xml:space="preserve"> nekoliko več neplačanih obveznosti, za katere so bili s ciljem poplačila dolga izvedeni različni ukrepi izterjave.</w:t>
      </w:r>
    </w:p>
    <w:p w14:paraId="75C794E5" w14:textId="77777777" w:rsidR="00A155A2" w:rsidRPr="004A77D8" w:rsidRDefault="00A155A2" w:rsidP="00A155A2">
      <w:pPr>
        <w:jc w:val="both"/>
        <w:rPr>
          <w:rFonts w:ascii="Arial" w:hAnsi="Arial" w:cs="Arial"/>
          <w:sz w:val="20"/>
          <w:szCs w:val="20"/>
        </w:rPr>
      </w:pPr>
      <w:r w:rsidRPr="007E5EA7">
        <w:rPr>
          <w:rFonts w:ascii="Arial" w:hAnsi="Arial" w:cs="Arial"/>
          <w:sz w:val="20"/>
          <w:szCs w:val="20"/>
        </w:rPr>
        <w:t xml:space="preserve">Dodatno je FURS izvedel tudi pobote in unovčitve zavarovanj v </w:t>
      </w:r>
      <w:bookmarkStart w:id="7" w:name="_Hlk38114930"/>
      <w:r>
        <w:rPr>
          <w:rFonts w:ascii="Arial" w:hAnsi="Arial" w:cs="Arial"/>
          <w:sz w:val="20"/>
          <w:szCs w:val="20"/>
        </w:rPr>
        <w:t>znesku</w:t>
      </w:r>
      <w:r w:rsidRPr="00A20AC8">
        <w:rPr>
          <w:rFonts w:ascii="Arial" w:hAnsi="Arial" w:cs="Arial"/>
          <w:sz w:val="20"/>
          <w:szCs w:val="20"/>
        </w:rPr>
        <w:t xml:space="preserve"> 297.822.232 EUR. </w:t>
      </w:r>
      <w:bookmarkEnd w:id="7"/>
    </w:p>
    <w:p w14:paraId="04A81BB1" w14:textId="77777777" w:rsidR="00A155A2" w:rsidRPr="003041EC" w:rsidRDefault="00A155A2" w:rsidP="00A155A2">
      <w:pPr>
        <w:pStyle w:val="FURSNavaden"/>
        <w:spacing w:line="260" w:lineRule="exact"/>
        <w:rPr>
          <w:rFonts w:eastAsia="Times New Roman" w:cs="Arial"/>
          <w:szCs w:val="20"/>
        </w:rPr>
      </w:pPr>
      <w:bookmarkStart w:id="8" w:name="_Hlk38115103"/>
      <w:r w:rsidRPr="003041EC">
        <w:rPr>
          <w:rFonts w:cs="Arial"/>
          <w:bCs/>
          <w:szCs w:val="20"/>
        </w:rPr>
        <w:t>Na podlagi izdanih sklepov o davčni izvršbi je bilo v letu 2024 izterja</w:t>
      </w:r>
      <w:r w:rsidRPr="003E61C9">
        <w:rPr>
          <w:rFonts w:cs="Arial"/>
          <w:bCs/>
          <w:szCs w:val="20"/>
        </w:rPr>
        <w:t>nega</w:t>
      </w:r>
      <w:r w:rsidRPr="003041EC">
        <w:rPr>
          <w:rFonts w:cs="Arial"/>
          <w:bCs/>
          <w:szCs w:val="20"/>
        </w:rPr>
        <w:t xml:space="preserve"> za </w:t>
      </w:r>
      <w:r w:rsidRPr="003041EC">
        <w:rPr>
          <w:rFonts w:eastAsia="Times New Roman" w:cs="Arial"/>
          <w:szCs w:val="20"/>
        </w:rPr>
        <w:t xml:space="preserve">200.041.656 </w:t>
      </w:r>
      <w:r w:rsidRPr="003041EC">
        <w:rPr>
          <w:rFonts w:cs="Arial"/>
          <w:bCs/>
          <w:szCs w:val="20"/>
        </w:rPr>
        <w:t xml:space="preserve">EUR dolga </w:t>
      </w:r>
      <w:r>
        <w:rPr>
          <w:rFonts w:cs="Arial"/>
          <w:bCs/>
          <w:szCs w:val="20"/>
        </w:rPr>
        <w:t>od</w:t>
      </w:r>
      <w:r w:rsidRPr="003041EC">
        <w:rPr>
          <w:rFonts w:cs="Arial"/>
          <w:bCs/>
          <w:szCs w:val="20"/>
        </w:rPr>
        <w:t xml:space="preserve"> davčnih terjatev. </w:t>
      </w:r>
      <w:bookmarkEnd w:id="8"/>
      <w:r w:rsidRPr="003041EC">
        <w:rPr>
          <w:rFonts w:eastAsia="Times New Roman" w:cs="Arial"/>
          <w:szCs w:val="20"/>
        </w:rPr>
        <w:t xml:space="preserve">Najučinkovitejše sredstvo izvršbe z vidika plačil je </w:t>
      </w:r>
      <w:r>
        <w:rPr>
          <w:rFonts w:eastAsia="Times New Roman" w:cs="Arial"/>
          <w:szCs w:val="20"/>
        </w:rPr>
        <w:t xml:space="preserve">bila </w:t>
      </w:r>
      <w:r w:rsidRPr="003041EC">
        <w:rPr>
          <w:rFonts w:eastAsia="Times New Roman" w:cs="Arial"/>
          <w:szCs w:val="20"/>
        </w:rPr>
        <w:t xml:space="preserve">izvršba na denarna sredstva dolžnika pri bankah ali hranilnicah </w:t>
      </w:r>
      <w:r>
        <w:rPr>
          <w:rFonts w:eastAsia="Times New Roman" w:cs="Arial"/>
          <w:szCs w:val="20"/>
        </w:rPr>
        <w:t>s</w:t>
      </w:r>
      <w:r w:rsidRPr="003041EC">
        <w:rPr>
          <w:rFonts w:eastAsia="Times New Roman" w:cs="Arial"/>
          <w:szCs w:val="20"/>
        </w:rPr>
        <w:t xml:space="preserve"> 76,5</w:t>
      </w:r>
      <w:r>
        <w:rPr>
          <w:rFonts w:eastAsia="Times New Roman" w:cs="Arial"/>
          <w:szCs w:val="20"/>
        </w:rPr>
        <w:t>-odstotnim</w:t>
      </w:r>
      <w:r w:rsidRPr="003041EC">
        <w:rPr>
          <w:rFonts w:eastAsia="Times New Roman" w:cs="Arial"/>
          <w:szCs w:val="20"/>
        </w:rPr>
        <w:t xml:space="preserve"> deležem plačil, sledi</w:t>
      </w:r>
      <w:r>
        <w:rPr>
          <w:rFonts w:eastAsia="Times New Roman" w:cs="Arial"/>
          <w:szCs w:val="20"/>
        </w:rPr>
        <w:t>li sta</w:t>
      </w:r>
      <w:r w:rsidRPr="003041EC">
        <w:rPr>
          <w:rFonts w:eastAsia="Times New Roman" w:cs="Arial"/>
          <w:szCs w:val="20"/>
        </w:rPr>
        <w:t xml:space="preserve"> izvršba na premično premoženje </w:t>
      </w:r>
      <w:r>
        <w:rPr>
          <w:rFonts w:eastAsia="Times New Roman" w:cs="Arial"/>
          <w:szCs w:val="20"/>
        </w:rPr>
        <w:t>z</w:t>
      </w:r>
      <w:r w:rsidRPr="003041EC">
        <w:rPr>
          <w:rFonts w:eastAsia="Times New Roman" w:cs="Arial"/>
          <w:szCs w:val="20"/>
        </w:rPr>
        <w:t xml:space="preserve"> 12,7 </w:t>
      </w:r>
      <w:r>
        <w:rPr>
          <w:rFonts w:eastAsia="Times New Roman" w:cs="Arial"/>
          <w:szCs w:val="20"/>
        </w:rPr>
        <w:t>odstotka in</w:t>
      </w:r>
      <w:r w:rsidRPr="003041EC">
        <w:rPr>
          <w:rFonts w:eastAsia="Times New Roman" w:cs="Arial"/>
          <w:szCs w:val="20"/>
        </w:rPr>
        <w:t xml:space="preserve"> izvršba na dolžnikove denarne prejemke </w:t>
      </w:r>
      <w:r>
        <w:rPr>
          <w:rFonts w:eastAsia="Times New Roman" w:cs="Arial"/>
          <w:szCs w:val="20"/>
        </w:rPr>
        <w:t xml:space="preserve">s </w:t>
      </w:r>
      <w:r w:rsidRPr="003041EC">
        <w:rPr>
          <w:rFonts w:eastAsia="Times New Roman" w:cs="Arial"/>
          <w:szCs w:val="20"/>
        </w:rPr>
        <w:t xml:space="preserve">7,7 </w:t>
      </w:r>
      <w:r>
        <w:rPr>
          <w:rFonts w:eastAsia="Times New Roman" w:cs="Arial"/>
          <w:szCs w:val="20"/>
        </w:rPr>
        <w:t>odstotka,</w:t>
      </w:r>
      <w:r w:rsidRPr="003041EC">
        <w:rPr>
          <w:rFonts w:eastAsia="Times New Roman" w:cs="Arial"/>
          <w:szCs w:val="20"/>
        </w:rPr>
        <w:t xml:space="preserve"> izvršba na dolžnikove denarne terjatve</w:t>
      </w:r>
      <w:r>
        <w:rPr>
          <w:rFonts w:eastAsia="Times New Roman" w:cs="Arial"/>
          <w:szCs w:val="20"/>
        </w:rPr>
        <w:t xml:space="preserve"> pa je obsegala</w:t>
      </w:r>
      <w:r w:rsidRPr="003041EC">
        <w:rPr>
          <w:rFonts w:eastAsia="Times New Roman" w:cs="Arial"/>
          <w:szCs w:val="20"/>
        </w:rPr>
        <w:t xml:space="preserve"> 3,1 </w:t>
      </w:r>
      <w:r>
        <w:rPr>
          <w:rFonts w:eastAsia="Times New Roman" w:cs="Arial"/>
          <w:szCs w:val="20"/>
        </w:rPr>
        <w:t>odstotka</w:t>
      </w:r>
      <w:r w:rsidRPr="003041EC">
        <w:rPr>
          <w:rFonts w:eastAsia="Times New Roman" w:cs="Arial"/>
          <w:szCs w:val="20"/>
        </w:rPr>
        <w:t>.</w:t>
      </w:r>
    </w:p>
    <w:p w14:paraId="403B0A93" w14:textId="77777777" w:rsidR="00A155A2" w:rsidRPr="00850566" w:rsidRDefault="00A155A2" w:rsidP="00A155A2">
      <w:pPr>
        <w:spacing w:line="260" w:lineRule="exact"/>
        <w:contextualSpacing/>
        <w:jc w:val="both"/>
        <w:rPr>
          <w:rFonts w:ascii="Arial" w:hAnsi="Arial" w:cs="Arial"/>
          <w:sz w:val="20"/>
          <w:szCs w:val="20"/>
        </w:rPr>
      </w:pPr>
    </w:p>
    <w:p w14:paraId="341188DD" w14:textId="77777777" w:rsidR="00A155A2" w:rsidRPr="00850566" w:rsidRDefault="00A155A2" w:rsidP="00A155A2">
      <w:pPr>
        <w:spacing w:line="260" w:lineRule="exact"/>
        <w:contextualSpacing/>
        <w:jc w:val="both"/>
        <w:rPr>
          <w:rFonts w:ascii="Arial" w:hAnsi="Arial" w:cs="Arial"/>
          <w:sz w:val="20"/>
          <w:szCs w:val="20"/>
        </w:rPr>
      </w:pPr>
      <w:r>
        <w:rPr>
          <w:rFonts w:ascii="Arial" w:hAnsi="Arial" w:cs="Arial"/>
          <w:sz w:val="20"/>
          <w:szCs w:val="20"/>
        </w:rPr>
        <w:t>P</w:t>
      </w:r>
      <w:r w:rsidRPr="00850566">
        <w:rPr>
          <w:rFonts w:ascii="Arial" w:hAnsi="Arial" w:cs="Arial"/>
          <w:sz w:val="20"/>
          <w:szCs w:val="20"/>
        </w:rPr>
        <w:t>oročil</w:t>
      </w:r>
      <w:r>
        <w:rPr>
          <w:rFonts w:ascii="Arial" w:hAnsi="Arial" w:cs="Arial"/>
          <w:sz w:val="20"/>
          <w:szCs w:val="20"/>
        </w:rPr>
        <w:t>o</w:t>
      </w:r>
      <w:r w:rsidRPr="00850566">
        <w:rPr>
          <w:rFonts w:ascii="Arial" w:hAnsi="Arial" w:cs="Arial"/>
          <w:sz w:val="20"/>
          <w:szCs w:val="20"/>
        </w:rPr>
        <w:t xml:space="preserve"> </w:t>
      </w:r>
      <w:r>
        <w:rPr>
          <w:rFonts w:ascii="Arial" w:hAnsi="Arial" w:cs="Arial"/>
          <w:sz w:val="20"/>
          <w:szCs w:val="20"/>
        </w:rPr>
        <w:t>obravnava</w:t>
      </w:r>
      <w:r w:rsidRPr="00850566">
        <w:rPr>
          <w:rFonts w:ascii="Arial" w:hAnsi="Arial" w:cs="Arial"/>
          <w:sz w:val="20"/>
          <w:szCs w:val="20"/>
        </w:rPr>
        <w:t xml:space="preserve"> tudi ukrep</w:t>
      </w:r>
      <w:r>
        <w:rPr>
          <w:rFonts w:ascii="Arial" w:hAnsi="Arial" w:cs="Arial"/>
          <w:sz w:val="20"/>
          <w:szCs w:val="20"/>
        </w:rPr>
        <w:t>e</w:t>
      </w:r>
      <w:r w:rsidRPr="00850566">
        <w:rPr>
          <w:rFonts w:ascii="Arial" w:hAnsi="Arial" w:cs="Arial"/>
          <w:sz w:val="20"/>
          <w:szCs w:val="20"/>
        </w:rPr>
        <w:t xml:space="preserve"> davčnega nadzora, s katerimi je bilo v letu 2024 dodatno odmerjenih 291.621</w:t>
      </w:r>
      <w:r>
        <w:rPr>
          <w:rFonts w:ascii="Arial" w:hAnsi="Arial" w:cs="Arial"/>
          <w:sz w:val="20"/>
          <w:szCs w:val="20"/>
        </w:rPr>
        <w:t>.</w:t>
      </w:r>
      <w:r w:rsidRPr="00850566">
        <w:rPr>
          <w:rFonts w:ascii="Arial" w:hAnsi="Arial" w:cs="Arial"/>
          <w:sz w:val="20"/>
          <w:szCs w:val="20"/>
        </w:rPr>
        <w:t>854 EUR</w:t>
      </w:r>
      <w:r w:rsidRPr="00850566">
        <w:rPr>
          <w:rFonts w:ascii="Arial" w:hAnsi="Arial" w:cs="Arial"/>
          <w:b/>
          <w:sz w:val="20"/>
          <w:szCs w:val="20"/>
        </w:rPr>
        <w:t xml:space="preserve"> </w:t>
      </w:r>
      <w:r w:rsidRPr="00850566">
        <w:rPr>
          <w:rFonts w:ascii="Arial" w:hAnsi="Arial" w:cs="Arial"/>
          <w:sz w:val="20"/>
          <w:szCs w:val="20"/>
        </w:rPr>
        <w:t>obveznosti. P</w:t>
      </w:r>
      <w:r>
        <w:rPr>
          <w:rFonts w:ascii="Arial" w:hAnsi="Arial" w:cs="Arial"/>
          <w:sz w:val="20"/>
          <w:szCs w:val="20"/>
        </w:rPr>
        <w:t>oleg tega</w:t>
      </w:r>
      <w:r w:rsidRPr="00850566">
        <w:rPr>
          <w:rFonts w:ascii="Arial" w:hAnsi="Arial" w:cs="Arial"/>
          <w:sz w:val="20"/>
          <w:szCs w:val="20"/>
        </w:rPr>
        <w:t xml:space="preserve"> </w:t>
      </w:r>
      <w:r w:rsidRPr="00F43D4F">
        <w:rPr>
          <w:rFonts w:ascii="Arial" w:hAnsi="Arial" w:cs="Arial"/>
          <w:sz w:val="20"/>
          <w:szCs w:val="20"/>
        </w:rPr>
        <w:t>so opisane</w:t>
      </w:r>
      <w:r w:rsidRPr="00850566">
        <w:rPr>
          <w:rFonts w:ascii="Arial" w:hAnsi="Arial" w:cs="Arial"/>
          <w:sz w:val="20"/>
          <w:szCs w:val="20"/>
        </w:rPr>
        <w:t xml:space="preserve"> nekatere aktivnosti za spodbujanje prostovoljnega plačevanja dajatev. </w:t>
      </w:r>
    </w:p>
    <w:p w14:paraId="1FBC4980" w14:textId="77777777" w:rsidR="00A155A2" w:rsidRPr="007A4551" w:rsidRDefault="00A155A2" w:rsidP="00A155A2">
      <w:pPr>
        <w:jc w:val="both"/>
        <w:rPr>
          <w:rFonts w:ascii="Arial" w:hAnsi="Arial" w:cs="Arial"/>
          <w:b/>
        </w:rPr>
      </w:pPr>
      <w:r w:rsidRPr="006244B3">
        <w:rPr>
          <w:rFonts w:ascii="Arial" w:hAnsi="Arial" w:cs="Arial"/>
          <w:color w:val="FF0000"/>
          <w:sz w:val="20"/>
          <w:szCs w:val="20"/>
        </w:rPr>
        <w:br w:type="page"/>
      </w:r>
      <w:bookmarkStart w:id="9" w:name="_Hlk99693219"/>
      <w:r w:rsidRPr="007A4551">
        <w:rPr>
          <w:rFonts w:ascii="Arial" w:hAnsi="Arial" w:cs="Arial"/>
          <w:b/>
        </w:rPr>
        <w:lastRenderedPageBreak/>
        <w:t>1.</w:t>
      </w:r>
      <w:r w:rsidRPr="00133A2F">
        <w:rPr>
          <w:rFonts w:ascii="Arial" w:hAnsi="Arial" w:cs="Arial"/>
          <w:b/>
          <w:color w:val="FF0000"/>
        </w:rPr>
        <w:tab/>
      </w:r>
      <w:r w:rsidRPr="00E1671E">
        <w:rPr>
          <w:rFonts w:ascii="Arial" w:hAnsi="Arial" w:cs="Arial"/>
          <w:b/>
        </w:rPr>
        <w:t>Uvod</w:t>
      </w:r>
    </w:p>
    <w:p w14:paraId="155C645B" w14:textId="2B845C67" w:rsidR="00A155A2" w:rsidRDefault="00A155A2" w:rsidP="00A155A2">
      <w:pPr>
        <w:pStyle w:val="Pripombabesedilo"/>
        <w:spacing w:line="276" w:lineRule="auto"/>
        <w:rPr>
          <w:rFonts w:ascii="Arial" w:hAnsi="Arial" w:cs="Arial"/>
        </w:rPr>
      </w:pPr>
      <w:r w:rsidRPr="00164874">
        <w:rPr>
          <w:rFonts w:ascii="Arial" w:hAnsi="Arial" w:cs="Arial"/>
        </w:rPr>
        <w:t xml:space="preserve">FURS je na podlagi </w:t>
      </w:r>
      <w:r w:rsidRPr="00721DA2">
        <w:rPr>
          <w:rFonts w:ascii="Arial" w:hAnsi="Arial" w:cs="Arial"/>
          <w:iCs/>
        </w:rPr>
        <w:t xml:space="preserve">prvega odstavka 64.a člena Zakona o javnih financah (Uradni list RS, št. 11/11 – uradno prečiščeno besedilo, 14/13 – </w:t>
      </w:r>
      <w:proofErr w:type="spellStart"/>
      <w:r w:rsidRPr="00721DA2">
        <w:rPr>
          <w:rFonts w:ascii="Arial" w:hAnsi="Arial" w:cs="Arial"/>
          <w:iCs/>
        </w:rPr>
        <w:t>popr</w:t>
      </w:r>
      <w:proofErr w:type="spellEnd"/>
      <w:r w:rsidRPr="00721DA2">
        <w:rPr>
          <w:rFonts w:ascii="Arial" w:hAnsi="Arial" w:cs="Arial"/>
          <w:iCs/>
        </w:rPr>
        <w:t xml:space="preserve">., 101/13, 55/15 – </w:t>
      </w:r>
      <w:proofErr w:type="spellStart"/>
      <w:r w:rsidRPr="00721DA2">
        <w:rPr>
          <w:rFonts w:ascii="Arial" w:hAnsi="Arial" w:cs="Arial"/>
          <w:iCs/>
        </w:rPr>
        <w:t>ZFisP</w:t>
      </w:r>
      <w:proofErr w:type="spellEnd"/>
      <w:r>
        <w:rPr>
          <w:rFonts w:ascii="Arial" w:hAnsi="Arial" w:cs="Arial"/>
          <w:iCs/>
        </w:rPr>
        <w:t>,</w:t>
      </w:r>
      <w:r w:rsidRPr="00721DA2">
        <w:rPr>
          <w:rFonts w:ascii="Arial" w:hAnsi="Arial" w:cs="Arial"/>
          <w:iCs/>
        </w:rPr>
        <w:t xml:space="preserve"> 96/15 – ZIPRS1617, 13/18, 195/20 – </w:t>
      </w:r>
      <w:proofErr w:type="spellStart"/>
      <w:r w:rsidRPr="00721DA2">
        <w:rPr>
          <w:rFonts w:ascii="Arial" w:hAnsi="Arial" w:cs="Arial"/>
          <w:iCs/>
        </w:rPr>
        <w:t>odl</w:t>
      </w:r>
      <w:proofErr w:type="spellEnd"/>
      <w:r w:rsidRPr="00721DA2">
        <w:rPr>
          <w:rFonts w:ascii="Arial" w:hAnsi="Arial" w:cs="Arial"/>
          <w:iCs/>
        </w:rPr>
        <w:t>. US, 18/23 – ZDU-1O, 76/23</w:t>
      </w:r>
      <w:r w:rsidR="00944039">
        <w:rPr>
          <w:rFonts w:ascii="Arial" w:hAnsi="Arial" w:cs="Arial"/>
          <w:iCs/>
        </w:rPr>
        <w:t>,</w:t>
      </w:r>
      <w:r w:rsidRPr="00721DA2">
        <w:rPr>
          <w:rFonts w:ascii="Arial" w:hAnsi="Arial" w:cs="Arial"/>
          <w:iCs/>
        </w:rPr>
        <w:t xml:space="preserve"> </w:t>
      </w:r>
      <w:hyperlink r:id="rId17" w:tgtFrame="_blank" w:tooltip="Zakon o fiskalnem pravilu (ZFisP-1)" w:history="1">
        <w:r w:rsidR="00944039" w:rsidRPr="00944039">
          <w:rPr>
            <w:rFonts w:ascii="Arial" w:eastAsia="Calibri" w:hAnsi="Arial" w:cs="Arial"/>
            <w:shd w:val="clear" w:color="auto" w:fill="FFFFFF"/>
          </w:rPr>
          <w:t>24/25</w:t>
        </w:r>
      </w:hyperlink>
      <w:r w:rsidR="00944039" w:rsidRPr="00944039">
        <w:rPr>
          <w:rFonts w:ascii="Arial" w:eastAsia="Calibri" w:hAnsi="Arial" w:cs="Arial"/>
          <w:shd w:val="clear" w:color="auto" w:fill="FFFFFF"/>
        </w:rPr>
        <w:t> – ZFisP-1 in 39/25</w:t>
      </w:r>
      <w:r w:rsidRPr="00721DA2">
        <w:rPr>
          <w:rFonts w:ascii="Arial" w:hAnsi="Arial" w:cs="Arial"/>
          <w:iCs/>
        </w:rPr>
        <w:t>)</w:t>
      </w:r>
      <w:r>
        <w:rPr>
          <w:rFonts w:ascii="Arial" w:hAnsi="Arial" w:cs="Arial"/>
        </w:rPr>
        <w:t xml:space="preserve"> pripravil P</w:t>
      </w:r>
      <w:r w:rsidRPr="00913AAB">
        <w:rPr>
          <w:rFonts w:ascii="Arial" w:hAnsi="Arial" w:cs="Arial"/>
        </w:rPr>
        <w:t>oročilo o stanju in gibanju davčnega dolga na dan 3</w:t>
      </w:r>
      <w:r>
        <w:rPr>
          <w:rFonts w:ascii="Arial" w:hAnsi="Arial" w:cs="Arial"/>
        </w:rPr>
        <w:t>1</w:t>
      </w:r>
      <w:r w:rsidRPr="00913AAB">
        <w:rPr>
          <w:rFonts w:ascii="Arial" w:hAnsi="Arial" w:cs="Arial"/>
        </w:rPr>
        <w:t xml:space="preserve">. </w:t>
      </w:r>
      <w:r>
        <w:rPr>
          <w:rFonts w:ascii="Arial" w:hAnsi="Arial" w:cs="Arial"/>
        </w:rPr>
        <w:t>december</w:t>
      </w:r>
      <w:r w:rsidRPr="00913AAB">
        <w:rPr>
          <w:rFonts w:ascii="Arial" w:hAnsi="Arial" w:cs="Arial"/>
        </w:rPr>
        <w:t xml:space="preserve"> 20</w:t>
      </w:r>
      <w:r>
        <w:rPr>
          <w:rFonts w:ascii="Arial" w:hAnsi="Arial" w:cs="Arial"/>
        </w:rPr>
        <w:t>24 za predložitev državnemu zboru hkrati z zaključnim računom državnega proračuna za leto 2024. Podatki v poročilu so pripravljeni na podlagi zaključnega računa FURS za leto 2024.</w:t>
      </w:r>
    </w:p>
    <w:p w14:paraId="1482BB06" w14:textId="77777777" w:rsidR="00A155A2" w:rsidRDefault="00A155A2" w:rsidP="00A155A2">
      <w:pPr>
        <w:pStyle w:val="Pripombabesedilo"/>
        <w:spacing w:line="276" w:lineRule="auto"/>
        <w:rPr>
          <w:rFonts w:ascii="Arial" w:hAnsi="Arial" w:cs="Arial"/>
        </w:rPr>
      </w:pPr>
    </w:p>
    <w:p w14:paraId="764D7EFD" w14:textId="77777777" w:rsidR="00A155A2" w:rsidRDefault="00A155A2" w:rsidP="00A155A2">
      <w:pPr>
        <w:pStyle w:val="Pripombabesedilo"/>
        <w:spacing w:line="276" w:lineRule="auto"/>
        <w:rPr>
          <w:rFonts w:ascii="Arial" w:hAnsi="Arial" w:cs="Arial"/>
        </w:rPr>
      </w:pPr>
      <w:r>
        <w:rPr>
          <w:rFonts w:ascii="Arial" w:hAnsi="Arial" w:cs="Arial"/>
        </w:rPr>
        <w:t>Čeprav je to poročilo predloženo hkrati z zaključnim računom državnega proračuna, se poročilo o prihodkih in davčnem dolgu nanaša na vse štiri</w:t>
      </w:r>
      <w:r w:rsidRPr="00FF02B1">
        <w:rPr>
          <w:rFonts w:ascii="Arial" w:hAnsi="Arial" w:cs="Arial"/>
        </w:rPr>
        <w:t xml:space="preserve"> </w:t>
      </w:r>
      <w:r>
        <w:rPr>
          <w:rFonts w:ascii="Arial" w:hAnsi="Arial" w:cs="Arial"/>
        </w:rPr>
        <w:t xml:space="preserve">javnofinančne blagajne, za katere FURS pobira dajatve: </w:t>
      </w:r>
      <w:r w:rsidRPr="00913AAB">
        <w:rPr>
          <w:rFonts w:ascii="Arial" w:hAnsi="Arial" w:cs="Arial"/>
        </w:rPr>
        <w:t>proračun</w:t>
      </w:r>
      <w:r>
        <w:rPr>
          <w:rFonts w:ascii="Arial" w:hAnsi="Arial" w:cs="Arial"/>
        </w:rPr>
        <w:t xml:space="preserve"> države, ZPIZ, ZZZS in proračune</w:t>
      </w:r>
      <w:r w:rsidRPr="00913AAB">
        <w:rPr>
          <w:rFonts w:ascii="Arial" w:hAnsi="Arial" w:cs="Arial"/>
        </w:rPr>
        <w:t xml:space="preserve"> občin.</w:t>
      </w:r>
      <w:r>
        <w:rPr>
          <w:rFonts w:ascii="Arial" w:hAnsi="Arial" w:cs="Arial"/>
        </w:rPr>
        <w:t xml:space="preserve"> </w:t>
      </w:r>
    </w:p>
    <w:p w14:paraId="160D9764" w14:textId="77777777" w:rsidR="00A155A2" w:rsidRPr="00254B11" w:rsidRDefault="00A155A2" w:rsidP="00A155A2">
      <w:pPr>
        <w:pStyle w:val="Pripombabesedilo"/>
        <w:spacing w:line="276" w:lineRule="auto"/>
        <w:rPr>
          <w:rFonts w:ascii="Arial" w:hAnsi="Arial" w:cs="Arial"/>
          <w:color w:val="FF0000"/>
        </w:rPr>
      </w:pPr>
    </w:p>
    <w:p w14:paraId="227584F6" w14:textId="77777777" w:rsidR="00A155A2" w:rsidRPr="00ED5527" w:rsidRDefault="00A155A2" w:rsidP="00A155A2">
      <w:pPr>
        <w:pStyle w:val="Pripombabesedilo"/>
        <w:spacing w:line="276" w:lineRule="auto"/>
        <w:rPr>
          <w:rFonts w:ascii="Arial" w:hAnsi="Arial" w:cs="Arial"/>
        </w:rPr>
      </w:pPr>
      <w:bookmarkStart w:id="10" w:name="_Hlk159485054"/>
      <w:r w:rsidRPr="00993CAB">
        <w:rPr>
          <w:rFonts w:ascii="Arial" w:hAnsi="Arial" w:cs="Arial"/>
        </w:rPr>
        <w:t xml:space="preserve">V poročilu so sicer ločeno </w:t>
      </w:r>
      <w:r>
        <w:rPr>
          <w:rFonts w:ascii="Arial" w:hAnsi="Arial" w:cs="Arial"/>
        </w:rPr>
        <w:t>prikazani</w:t>
      </w:r>
      <w:r w:rsidRPr="00993CAB">
        <w:rPr>
          <w:rFonts w:ascii="Arial" w:hAnsi="Arial" w:cs="Arial"/>
        </w:rPr>
        <w:t xml:space="preserve"> podatki, ki se nanašajo na prihodke in davčni dolg za blagajno proračuna države, vendar neposredna primerjava teh podatkov iz zaključnega računa FURS in zaključnega računa državnega proračuna ni mogoča</w:t>
      </w:r>
      <w:r w:rsidRPr="005B3988">
        <w:rPr>
          <w:rFonts w:ascii="Arial" w:hAnsi="Arial" w:cs="Arial"/>
        </w:rPr>
        <w:t>.</w:t>
      </w:r>
      <w:r w:rsidRPr="00A13047">
        <w:rPr>
          <w:rFonts w:ascii="Arial" w:hAnsi="Arial" w:cs="Arial"/>
          <w:color w:val="FF0000"/>
        </w:rPr>
        <w:t xml:space="preserve"> </w:t>
      </w:r>
      <w:r>
        <w:rPr>
          <w:rFonts w:ascii="Arial" w:hAnsi="Arial" w:cs="Arial"/>
        </w:rPr>
        <w:t>Med</w:t>
      </w:r>
      <w:r w:rsidRPr="00ED5527">
        <w:rPr>
          <w:rFonts w:ascii="Arial" w:hAnsi="Arial" w:cs="Arial"/>
        </w:rPr>
        <w:t xml:space="preserve"> prihodk</w:t>
      </w:r>
      <w:r>
        <w:rPr>
          <w:rFonts w:ascii="Arial" w:hAnsi="Arial" w:cs="Arial"/>
        </w:rPr>
        <w:t>i</w:t>
      </w:r>
      <w:r w:rsidRPr="00ED5527">
        <w:rPr>
          <w:rFonts w:ascii="Arial" w:hAnsi="Arial" w:cs="Arial"/>
        </w:rPr>
        <w:t xml:space="preserve"> je namreč precejšen del davka </w:t>
      </w:r>
      <w:r>
        <w:rPr>
          <w:rFonts w:ascii="Arial" w:hAnsi="Arial" w:cs="Arial"/>
        </w:rPr>
        <w:t>od</w:t>
      </w:r>
      <w:r w:rsidRPr="00ED5527">
        <w:rPr>
          <w:rFonts w:ascii="Arial" w:hAnsi="Arial" w:cs="Arial"/>
        </w:rPr>
        <w:t xml:space="preserve"> dohodnine, ki ga pobere FURS in vplača v državni proračun, zaradi sistema financiranja občin v proračunu države na kontih razreda 7 zmanjšan</w:t>
      </w:r>
      <w:r>
        <w:rPr>
          <w:rFonts w:ascii="Arial" w:hAnsi="Arial" w:cs="Arial"/>
        </w:rPr>
        <w:t>,</w:t>
      </w:r>
      <w:r w:rsidRPr="00ED5527">
        <w:rPr>
          <w:rFonts w:ascii="Arial" w:hAnsi="Arial" w:cs="Arial"/>
        </w:rPr>
        <w:t xml:space="preserve"> zato </w:t>
      </w:r>
      <w:r>
        <w:rPr>
          <w:rFonts w:ascii="Arial" w:hAnsi="Arial" w:cs="Arial"/>
        </w:rPr>
        <w:t xml:space="preserve">so </w:t>
      </w:r>
      <w:r w:rsidRPr="00ED5527">
        <w:rPr>
          <w:rFonts w:ascii="Arial" w:hAnsi="Arial" w:cs="Arial"/>
        </w:rPr>
        <w:t xml:space="preserve">prihodki </w:t>
      </w:r>
      <w:r>
        <w:rPr>
          <w:rFonts w:ascii="Arial" w:hAnsi="Arial" w:cs="Arial"/>
        </w:rPr>
        <w:t>od</w:t>
      </w:r>
      <w:r w:rsidRPr="00ED5527">
        <w:rPr>
          <w:rFonts w:ascii="Arial" w:hAnsi="Arial" w:cs="Arial"/>
        </w:rPr>
        <w:t xml:space="preserve"> dohodnine v zaključnem računu države precej </w:t>
      </w:r>
      <w:r>
        <w:rPr>
          <w:rFonts w:ascii="Arial" w:hAnsi="Arial" w:cs="Arial"/>
        </w:rPr>
        <w:t>manjši,</w:t>
      </w:r>
      <w:r w:rsidRPr="00ED5527">
        <w:rPr>
          <w:rFonts w:ascii="Arial" w:hAnsi="Arial" w:cs="Arial"/>
        </w:rPr>
        <w:t xml:space="preserve"> </w:t>
      </w:r>
      <w:r>
        <w:rPr>
          <w:rFonts w:ascii="Arial" w:hAnsi="Arial" w:cs="Arial"/>
        </w:rPr>
        <w:t>kakor jih</w:t>
      </w:r>
      <w:r w:rsidRPr="00ED5527">
        <w:rPr>
          <w:rFonts w:ascii="Arial" w:hAnsi="Arial" w:cs="Arial"/>
        </w:rPr>
        <w:t xml:space="preserve"> dejansko pob</w:t>
      </w:r>
      <w:r>
        <w:rPr>
          <w:rFonts w:ascii="Arial" w:hAnsi="Arial" w:cs="Arial"/>
        </w:rPr>
        <w:t>e</w:t>
      </w:r>
      <w:r w:rsidRPr="00ED5527">
        <w:rPr>
          <w:rFonts w:ascii="Arial" w:hAnsi="Arial" w:cs="Arial"/>
        </w:rPr>
        <w:t>r</w:t>
      </w:r>
      <w:r>
        <w:rPr>
          <w:rFonts w:ascii="Arial" w:hAnsi="Arial" w:cs="Arial"/>
        </w:rPr>
        <w:t>e</w:t>
      </w:r>
      <w:r w:rsidRPr="00ED5527">
        <w:rPr>
          <w:rFonts w:ascii="Arial" w:hAnsi="Arial" w:cs="Arial"/>
        </w:rPr>
        <w:t xml:space="preserve"> FURS. Ta razlika je v </w:t>
      </w:r>
      <w:r>
        <w:rPr>
          <w:rFonts w:ascii="Arial" w:hAnsi="Arial" w:cs="Arial"/>
        </w:rPr>
        <w:t xml:space="preserve">letu </w:t>
      </w:r>
      <w:r w:rsidRPr="00ED5527">
        <w:rPr>
          <w:rFonts w:ascii="Arial" w:hAnsi="Arial" w:cs="Arial"/>
        </w:rPr>
        <w:t>2024</w:t>
      </w:r>
      <w:r w:rsidRPr="00ED5527">
        <w:rPr>
          <w:rStyle w:val="Sprotnaopomba-sklic"/>
          <w:rFonts w:ascii="Arial" w:hAnsi="Arial" w:cs="Arial"/>
        </w:rPr>
        <w:footnoteReference w:id="4"/>
      </w:r>
      <w:r w:rsidRPr="00ED5527">
        <w:rPr>
          <w:rFonts w:ascii="Arial" w:hAnsi="Arial" w:cs="Arial"/>
        </w:rPr>
        <w:t xml:space="preserve"> </w:t>
      </w:r>
      <w:r>
        <w:rPr>
          <w:rFonts w:ascii="Arial" w:hAnsi="Arial" w:cs="Arial"/>
        </w:rPr>
        <w:t>obsegala</w:t>
      </w:r>
      <w:r w:rsidRPr="00ED5527">
        <w:rPr>
          <w:rFonts w:ascii="Arial" w:hAnsi="Arial" w:cs="Arial"/>
        </w:rPr>
        <w:t xml:space="preserve"> več k</w:t>
      </w:r>
      <w:r>
        <w:rPr>
          <w:rFonts w:ascii="Arial" w:hAnsi="Arial" w:cs="Arial"/>
        </w:rPr>
        <w:t>ak</w:t>
      </w:r>
      <w:r w:rsidRPr="00ED5527">
        <w:rPr>
          <w:rFonts w:ascii="Arial" w:hAnsi="Arial" w:cs="Arial"/>
        </w:rPr>
        <w:t>o</w:t>
      </w:r>
      <w:r>
        <w:rPr>
          <w:rFonts w:ascii="Arial" w:hAnsi="Arial" w:cs="Arial"/>
        </w:rPr>
        <w:t>r</w:t>
      </w:r>
      <w:r w:rsidRPr="00ED5527">
        <w:rPr>
          <w:rFonts w:ascii="Arial" w:hAnsi="Arial" w:cs="Arial"/>
        </w:rPr>
        <w:t xml:space="preserve"> 1,6 milijarde EUR. </w:t>
      </w:r>
      <w:r>
        <w:rPr>
          <w:rFonts w:ascii="Arial" w:hAnsi="Arial" w:cs="Arial"/>
        </w:rPr>
        <w:t>Po</w:t>
      </w:r>
      <w:r w:rsidRPr="00ED5527">
        <w:rPr>
          <w:rFonts w:ascii="Arial" w:hAnsi="Arial" w:cs="Arial"/>
        </w:rPr>
        <w:t xml:space="preserve"> drugi strani je celotni davčni dolg </w:t>
      </w:r>
      <w:r>
        <w:rPr>
          <w:rFonts w:ascii="Arial" w:hAnsi="Arial" w:cs="Arial"/>
        </w:rPr>
        <w:t>od</w:t>
      </w:r>
      <w:r w:rsidRPr="00ED5527">
        <w:rPr>
          <w:rFonts w:ascii="Arial" w:hAnsi="Arial" w:cs="Arial"/>
        </w:rPr>
        <w:t xml:space="preserve"> dohodnine v zaključnem računu FURS izkazan v blagajni državnega proračuna.</w:t>
      </w:r>
    </w:p>
    <w:p w14:paraId="117A9C99" w14:textId="77777777" w:rsidR="00A155A2" w:rsidRPr="007A4551" w:rsidRDefault="00A155A2" w:rsidP="00A155A2">
      <w:pPr>
        <w:pStyle w:val="Pripombabesedilo"/>
        <w:spacing w:line="276" w:lineRule="auto"/>
        <w:rPr>
          <w:rFonts w:ascii="Arial" w:hAnsi="Arial" w:cs="Arial"/>
          <w:sz w:val="22"/>
          <w:szCs w:val="22"/>
        </w:rPr>
      </w:pPr>
    </w:p>
    <w:p w14:paraId="27D65B25" w14:textId="77777777" w:rsidR="00A155A2" w:rsidRPr="007A4551" w:rsidRDefault="00A155A2" w:rsidP="00A155A2">
      <w:pPr>
        <w:rPr>
          <w:rFonts w:ascii="Arial" w:hAnsi="Arial" w:cs="Arial"/>
          <w:b/>
        </w:rPr>
      </w:pPr>
      <w:r w:rsidRPr="007A4551">
        <w:rPr>
          <w:rFonts w:ascii="Arial" w:hAnsi="Arial" w:cs="Arial"/>
          <w:b/>
        </w:rPr>
        <w:t>2.</w:t>
      </w:r>
      <w:r w:rsidRPr="007A4551">
        <w:rPr>
          <w:rFonts w:ascii="Arial" w:hAnsi="Arial" w:cs="Arial"/>
          <w:b/>
        </w:rPr>
        <w:tab/>
      </w:r>
      <w:r w:rsidRPr="00B13447">
        <w:rPr>
          <w:rFonts w:ascii="Arial" w:hAnsi="Arial" w:cs="Arial"/>
          <w:b/>
        </w:rPr>
        <w:t>Pobrani prihodki</w:t>
      </w:r>
    </w:p>
    <w:p w14:paraId="657371CE" w14:textId="77777777" w:rsidR="00A155A2" w:rsidRPr="009F2DC5" w:rsidRDefault="00A155A2" w:rsidP="00A155A2">
      <w:pPr>
        <w:jc w:val="both"/>
        <w:rPr>
          <w:rFonts w:ascii="Arial" w:hAnsi="Arial" w:cs="Arial"/>
          <w:sz w:val="20"/>
          <w:szCs w:val="20"/>
        </w:rPr>
      </w:pPr>
      <w:r w:rsidRPr="009A018A">
        <w:rPr>
          <w:rFonts w:ascii="Arial" w:hAnsi="Arial" w:cs="Arial"/>
          <w:sz w:val="20"/>
          <w:szCs w:val="20"/>
        </w:rPr>
        <w:t xml:space="preserve">FURS pobira dajatve, ki so prihodek štirih blagajn javnega financiranja, in sicer: proračuna države, </w:t>
      </w:r>
      <w:r>
        <w:rPr>
          <w:rFonts w:ascii="Arial" w:hAnsi="Arial" w:cs="Arial"/>
          <w:sz w:val="20"/>
          <w:szCs w:val="20"/>
        </w:rPr>
        <w:t>ZPIZ</w:t>
      </w:r>
      <w:r w:rsidRPr="009A018A">
        <w:rPr>
          <w:rFonts w:ascii="Arial" w:hAnsi="Arial" w:cs="Arial"/>
          <w:sz w:val="20"/>
          <w:szCs w:val="20"/>
        </w:rPr>
        <w:t xml:space="preserve">, </w:t>
      </w:r>
      <w:r>
        <w:rPr>
          <w:rFonts w:ascii="Arial" w:hAnsi="Arial" w:cs="Arial"/>
          <w:sz w:val="20"/>
          <w:szCs w:val="20"/>
        </w:rPr>
        <w:t>ZZZS</w:t>
      </w:r>
      <w:r w:rsidRPr="009A018A">
        <w:rPr>
          <w:rFonts w:ascii="Arial" w:hAnsi="Arial" w:cs="Arial"/>
          <w:sz w:val="20"/>
          <w:szCs w:val="20"/>
        </w:rPr>
        <w:t xml:space="preserve"> in proračunov </w:t>
      </w:r>
      <w:r w:rsidRPr="009F2DC5">
        <w:rPr>
          <w:rFonts w:ascii="Arial" w:hAnsi="Arial" w:cs="Arial"/>
          <w:sz w:val="20"/>
          <w:szCs w:val="20"/>
        </w:rPr>
        <w:t>občin</w:t>
      </w:r>
      <w:r w:rsidRPr="00733CC9">
        <w:rPr>
          <w:rFonts w:ascii="Arial" w:hAnsi="Arial" w:cs="Arial"/>
          <w:sz w:val="20"/>
          <w:szCs w:val="20"/>
        </w:rPr>
        <w:t xml:space="preserve">. </w:t>
      </w:r>
      <w:r>
        <w:rPr>
          <w:rFonts w:ascii="Arial" w:hAnsi="Arial" w:cs="Arial"/>
          <w:sz w:val="20"/>
          <w:szCs w:val="20"/>
        </w:rPr>
        <w:t>Iz</w:t>
      </w:r>
      <w:r w:rsidRPr="000836FD">
        <w:rPr>
          <w:rFonts w:ascii="Arial" w:hAnsi="Arial" w:cs="Arial"/>
          <w:sz w:val="20"/>
          <w:szCs w:val="20"/>
        </w:rPr>
        <w:t xml:space="preserve"> proračuna</w:t>
      </w:r>
      <w:r w:rsidRPr="009F2DC5">
        <w:rPr>
          <w:rFonts w:ascii="Arial" w:hAnsi="Arial" w:cs="Arial"/>
          <w:sz w:val="20"/>
          <w:szCs w:val="20"/>
        </w:rPr>
        <w:t xml:space="preserve"> države se del prihodkov razporeja tudi v proračun Evropske unije.</w:t>
      </w:r>
    </w:p>
    <w:p w14:paraId="18E1E419" w14:textId="77777777" w:rsidR="00A155A2" w:rsidRDefault="00A155A2" w:rsidP="00A155A2">
      <w:pPr>
        <w:jc w:val="both"/>
        <w:rPr>
          <w:rFonts w:ascii="Arial" w:hAnsi="Arial" w:cs="Arial"/>
          <w:sz w:val="20"/>
          <w:szCs w:val="20"/>
        </w:rPr>
      </w:pPr>
      <w:r w:rsidRPr="009F2DC5">
        <w:rPr>
          <w:rFonts w:ascii="Arial" w:hAnsi="Arial" w:cs="Arial"/>
          <w:sz w:val="20"/>
          <w:szCs w:val="20"/>
        </w:rPr>
        <w:t>V letu 202</w:t>
      </w:r>
      <w:r>
        <w:rPr>
          <w:rFonts w:ascii="Arial" w:hAnsi="Arial" w:cs="Arial"/>
          <w:sz w:val="20"/>
          <w:szCs w:val="20"/>
        </w:rPr>
        <w:t>4</w:t>
      </w:r>
      <w:r w:rsidRPr="009F2DC5">
        <w:rPr>
          <w:rFonts w:ascii="Arial" w:hAnsi="Arial" w:cs="Arial"/>
          <w:sz w:val="20"/>
          <w:szCs w:val="20"/>
        </w:rPr>
        <w:t xml:space="preserve"> je FURS pobral </w:t>
      </w:r>
      <w:r w:rsidRPr="0034717D">
        <w:rPr>
          <w:rFonts w:ascii="Arial" w:hAnsi="Arial" w:cs="Arial"/>
          <w:sz w:val="20"/>
          <w:szCs w:val="20"/>
        </w:rPr>
        <w:t xml:space="preserve">neto </w:t>
      </w:r>
      <w:r>
        <w:rPr>
          <w:rFonts w:ascii="Arial" w:hAnsi="Arial" w:cs="Arial"/>
          <w:sz w:val="20"/>
          <w:szCs w:val="20"/>
        </w:rPr>
        <w:t>25.111.008.787</w:t>
      </w:r>
      <w:r w:rsidRPr="0034717D">
        <w:rPr>
          <w:rFonts w:ascii="Arial" w:hAnsi="Arial" w:cs="Arial"/>
          <w:sz w:val="20"/>
          <w:szCs w:val="20"/>
        </w:rPr>
        <w:t xml:space="preserve"> EUR </w:t>
      </w:r>
      <w:r w:rsidRPr="009F2DC5">
        <w:rPr>
          <w:rFonts w:ascii="Arial" w:hAnsi="Arial" w:cs="Arial"/>
          <w:sz w:val="20"/>
          <w:szCs w:val="20"/>
        </w:rPr>
        <w:t xml:space="preserve">prihodkov za vse štiri </w:t>
      </w:r>
      <w:r w:rsidRPr="00E769B7">
        <w:rPr>
          <w:rFonts w:ascii="Arial" w:hAnsi="Arial" w:cs="Arial"/>
          <w:sz w:val="20"/>
          <w:szCs w:val="20"/>
        </w:rPr>
        <w:t xml:space="preserve">blagajne javnega financiranja, kar je za </w:t>
      </w:r>
      <w:r>
        <w:rPr>
          <w:rFonts w:ascii="Arial" w:hAnsi="Arial" w:cs="Arial"/>
          <w:sz w:val="20"/>
          <w:szCs w:val="20"/>
        </w:rPr>
        <w:t>2.605.835.459</w:t>
      </w:r>
      <w:r w:rsidRPr="00891513" w:rsidDel="00891513">
        <w:rPr>
          <w:rFonts w:ascii="Arial" w:hAnsi="Arial" w:cs="Arial"/>
          <w:sz w:val="20"/>
          <w:szCs w:val="20"/>
        </w:rPr>
        <w:t xml:space="preserve"> </w:t>
      </w:r>
      <w:r w:rsidRPr="00E769B7">
        <w:rPr>
          <w:rFonts w:ascii="Arial" w:hAnsi="Arial" w:cs="Arial"/>
          <w:sz w:val="20"/>
          <w:szCs w:val="20"/>
        </w:rPr>
        <w:t xml:space="preserve">EUR </w:t>
      </w:r>
      <w:r>
        <w:rPr>
          <w:rFonts w:ascii="Arial" w:hAnsi="Arial" w:cs="Arial"/>
          <w:sz w:val="20"/>
          <w:szCs w:val="20"/>
        </w:rPr>
        <w:t>ali</w:t>
      </w:r>
      <w:r w:rsidRPr="00E769B7">
        <w:rPr>
          <w:rFonts w:ascii="Arial" w:hAnsi="Arial" w:cs="Arial"/>
          <w:sz w:val="20"/>
          <w:szCs w:val="20"/>
        </w:rPr>
        <w:t xml:space="preserve"> </w:t>
      </w:r>
      <w:r>
        <w:rPr>
          <w:rFonts w:ascii="Arial" w:hAnsi="Arial" w:cs="Arial"/>
          <w:sz w:val="20"/>
          <w:szCs w:val="20"/>
        </w:rPr>
        <w:t>11,6</w:t>
      </w:r>
      <w:r w:rsidRPr="00E769B7">
        <w:rPr>
          <w:rFonts w:ascii="Arial" w:hAnsi="Arial" w:cs="Arial"/>
          <w:sz w:val="20"/>
          <w:szCs w:val="20"/>
        </w:rPr>
        <w:t xml:space="preserve"> odstotk</w:t>
      </w:r>
      <w:r>
        <w:rPr>
          <w:rFonts w:ascii="Arial" w:hAnsi="Arial" w:cs="Arial"/>
          <w:sz w:val="20"/>
          <w:szCs w:val="20"/>
        </w:rPr>
        <w:t>a</w:t>
      </w:r>
      <w:r w:rsidRPr="00E769B7">
        <w:rPr>
          <w:rFonts w:ascii="Arial" w:hAnsi="Arial" w:cs="Arial"/>
          <w:sz w:val="20"/>
          <w:szCs w:val="20"/>
        </w:rPr>
        <w:t xml:space="preserve"> več k</w:t>
      </w:r>
      <w:r>
        <w:rPr>
          <w:rFonts w:ascii="Arial" w:hAnsi="Arial" w:cs="Arial"/>
          <w:sz w:val="20"/>
          <w:szCs w:val="20"/>
        </w:rPr>
        <w:t>ak</w:t>
      </w:r>
      <w:r w:rsidRPr="00E769B7">
        <w:rPr>
          <w:rFonts w:ascii="Arial" w:hAnsi="Arial" w:cs="Arial"/>
          <w:sz w:val="20"/>
          <w:szCs w:val="20"/>
        </w:rPr>
        <w:t>o</w:t>
      </w:r>
      <w:r>
        <w:rPr>
          <w:rFonts w:ascii="Arial" w:hAnsi="Arial" w:cs="Arial"/>
          <w:sz w:val="20"/>
          <w:szCs w:val="20"/>
        </w:rPr>
        <w:t>r</w:t>
      </w:r>
      <w:r w:rsidRPr="00E769B7">
        <w:rPr>
          <w:rFonts w:ascii="Arial" w:hAnsi="Arial" w:cs="Arial"/>
          <w:sz w:val="20"/>
          <w:szCs w:val="20"/>
        </w:rPr>
        <w:t xml:space="preserve"> v letu 202</w:t>
      </w:r>
      <w:r>
        <w:rPr>
          <w:rFonts w:ascii="Arial" w:hAnsi="Arial" w:cs="Arial"/>
          <w:sz w:val="20"/>
          <w:szCs w:val="20"/>
        </w:rPr>
        <w:t>3</w:t>
      </w:r>
      <w:r w:rsidRPr="00E769B7">
        <w:rPr>
          <w:rFonts w:ascii="Arial" w:hAnsi="Arial" w:cs="Arial"/>
          <w:sz w:val="20"/>
          <w:szCs w:val="20"/>
        </w:rPr>
        <w:t xml:space="preserve">. </w:t>
      </w:r>
      <w:r>
        <w:rPr>
          <w:rFonts w:ascii="Arial" w:hAnsi="Arial" w:cs="Arial"/>
          <w:sz w:val="20"/>
          <w:szCs w:val="20"/>
        </w:rPr>
        <w:t xml:space="preserve">Povečevanje </w:t>
      </w:r>
      <w:r w:rsidRPr="00E769B7">
        <w:rPr>
          <w:rFonts w:ascii="Arial" w:hAnsi="Arial" w:cs="Arial"/>
          <w:sz w:val="20"/>
          <w:szCs w:val="20"/>
        </w:rPr>
        <w:t xml:space="preserve">pobranih prihodkov se </w:t>
      </w:r>
      <w:r>
        <w:rPr>
          <w:rFonts w:ascii="Arial" w:hAnsi="Arial" w:cs="Arial"/>
          <w:sz w:val="20"/>
          <w:szCs w:val="20"/>
        </w:rPr>
        <w:t>razen</w:t>
      </w:r>
      <w:r w:rsidRPr="00E769B7">
        <w:rPr>
          <w:rFonts w:ascii="Arial" w:hAnsi="Arial" w:cs="Arial"/>
          <w:sz w:val="20"/>
          <w:szCs w:val="20"/>
        </w:rPr>
        <w:t xml:space="preserve"> </w:t>
      </w:r>
      <w:r>
        <w:rPr>
          <w:rFonts w:ascii="Arial" w:hAnsi="Arial" w:cs="Arial"/>
          <w:sz w:val="20"/>
          <w:szCs w:val="20"/>
        </w:rPr>
        <w:t xml:space="preserve">v </w:t>
      </w:r>
      <w:r w:rsidRPr="00E769B7">
        <w:rPr>
          <w:rFonts w:ascii="Arial" w:hAnsi="Arial" w:cs="Arial"/>
          <w:sz w:val="20"/>
          <w:szCs w:val="20"/>
        </w:rPr>
        <w:t>let</w:t>
      </w:r>
      <w:r>
        <w:rPr>
          <w:rFonts w:ascii="Arial" w:hAnsi="Arial" w:cs="Arial"/>
          <w:sz w:val="20"/>
          <w:szCs w:val="20"/>
        </w:rPr>
        <w:t>u</w:t>
      </w:r>
      <w:r w:rsidRPr="00E769B7">
        <w:rPr>
          <w:rFonts w:ascii="Arial" w:hAnsi="Arial" w:cs="Arial"/>
          <w:sz w:val="20"/>
          <w:szCs w:val="20"/>
        </w:rPr>
        <w:t xml:space="preserve"> 2020</w:t>
      </w:r>
      <w:r>
        <w:rPr>
          <w:rFonts w:ascii="Arial" w:hAnsi="Arial" w:cs="Arial"/>
          <w:sz w:val="20"/>
          <w:szCs w:val="20"/>
        </w:rPr>
        <w:t xml:space="preserve">, ki ga je zaznamovala epidemija covida-19, nadaljuje vse </w:t>
      </w:r>
      <w:r w:rsidRPr="00E769B7">
        <w:rPr>
          <w:rFonts w:ascii="Arial" w:hAnsi="Arial" w:cs="Arial"/>
          <w:sz w:val="20"/>
          <w:szCs w:val="20"/>
        </w:rPr>
        <w:t>od ustanovitve FURS v letu 2014</w:t>
      </w:r>
      <w:r>
        <w:rPr>
          <w:rFonts w:ascii="Arial" w:hAnsi="Arial" w:cs="Arial"/>
          <w:sz w:val="20"/>
          <w:szCs w:val="20"/>
        </w:rPr>
        <w:t>. S</w:t>
      </w:r>
      <w:r w:rsidRPr="00E769B7">
        <w:rPr>
          <w:rFonts w:ascii="Arial" w:hAnsi="Arial" w:cs="Arial"/>
          <w:sz w:val="20"/>
          <w:szCs w:val="20"/>
        </w:rPr>
        <w:t xml:space="preserve">kupni prirast prihodkov </w:t>
      </w:r>
      <w:r>
        <w:rPr>
          <w:rFonts w:ascii="Arial" w:hAnsi="Arial" w:cs="Arial"/>
          <w:sz w:val="20"/>
          <w:szCs w:val="20"/>
        </w:rPr>
        <w:t>od takrat obsega</w:t>
      </w:r>
      <w:r w:rsidRPr="00E769B7">
        <w:rPr>
          <w:rFonts w:ascii="Arial" w:hAnsi="Arial" w:cs="Arial"/>
          <w:sz w:val="20"/>
          <w:szCs w:val="20"/>
        </w:rPr>
        <w:t xml:space="preserve"> </w:t>
      </w:r>
      <w:r>
        <w:rPr>
          <w:rFonts w:ascii="Arial" w:hAnsi="Arial" w:cs="Arial"/>
          <w:sz w:val="20"/>
          <w:szCs w:val="20"/>
        </w:rPr>
        <w:t>11.509.370.494</w:t>
      </w:r>
      <w:r w:rsidRPr="00B45EBA" w:rsidDel="00B45EBA">
        <w:rPr>
          <w:rFonts w:ascii="Arial" w:hAnsi="Arial" w:cs="Arial"/>
          <w:sz w:val="20"/>
          <w:szCs w:val="20"/>
        </w:rPr>
        <w:t xml:space="preserve"> </w:t>
      </w:r>
      <w:r w:rsidRPr="00E769B7">
        <w:rPr>
          <w:rFonts w:ascii="Arial" w:hAnsi="Arial" w:cs="Arial"/>
          <w:sz w:val="20"/>
          <w:szCs w:val="20"/>
        </w:rPr>
        <w:t xml:space="preserve">EUR </w:t>
      </w:r>
      <w:r>
        <w:rPr>
          <w:rFonts w:ascii="Arial" w:hAnsi="Arial" w:cs="Arial"/>
          <w:sz w:val="20"/>
          <w:szCs w:val="20"/>
        </w:rPr>
        <w:t>ali</w:t>
      </w:r>
      <w:r w:rsidRPr="00E769B7">
        <w:rPr>
          <w:rFonts w:ascii="Arial" w:hAnsi="Arial" w:cs="Arial"/>
          <w:sz w:val="20"/>
          <w:szCs w:val="20"/>
        </w:rPr>
        <w:t xml:space="preserve"> </w:t>
      </w:r>
      <w:r>
        <w:rPr>
          <w:rFonts w:ascii="Arial" w:hAnsi="Arial" w:cs="Arial"/>
          <w:sz w:val="20"/>
          <w:szCs w:val="20"/>
        </w:rPr>
        <w:t>84,6</w:t>
      </w:r>
      <w:r w:rsidRPr="00E769B7">
        <w:rPr>
          <w:rFonts w:ascii="Arial" w:hAnsi="Arial" w:cs="Arial"/>
          <w:sz w:val="20"/>
          <w:szCs w:val="20"/>
        </w:rPr>
        <w:t xml:space="preserve"> odstotka.</w:t>
      </w:r>
    </w:p>
    <w:p w14:paraId="2CF85B04" w14:textId="77777777" w:rsidR="00A155A2" w:rsidRDefault="00A155A2" w:rsidP="00A155A2">
      <w:pPr>
        <w:jc w:val="both"/>
        <w:rPr>
          <w:rFonts w:ascii="Arial" w:hAnsi="Arial" w:cs="Arial"/>
          <w:i/>
          <w:sz w:val="20"/>
          <w:szCs w:val="20"/>
        </w:rPr>
      </w:pPr>
      <w:r w:rsidRPr="009A018A">
        <w:rPr>
          <w:rFonts w:ascii="Arial" w:hAnsi="Arial" w:cs="Arial"/>
          <w:i/>
          <w:sz w:val="20"/>
          <w:szCs w:val="20"/>
        </w:rPr>
        <w:t xml:space="preserve">Preglednica 1: Pobrani prihodki po blagajnah </w:t>
      </w:r>
      <w:r>
        <w:rPr>
          <w:rFonts w:ascii="Arial" w:hAnsi="Arial" w:cs="Arial"/>
          <w:i/>
          <w:sz w:val="20"/>
          <w:szCs w:val="20"/>
        </w:rPr>
        <w:t xml:space="preserve">javnega </w:t>
      </w:r>
      <w:r w:rsidRPr="00C0376D">
        <w:rPr>
          <w:rFonts w:ascii="Arial" w:hAnsi="Arial" w:cs="Arial"/>
          <w:i/>
          <w:sz w:val="20"/>
          <w:szCs w:val="20"/>
        </w:rPr>
        <w:t>financiranja</w:t>
      </w:r>
      <w:r>
        <w:rPr>
          <w:rFonts w:ascii="Arial" w:hAnsi="Arial" w:cs="Arial"/>
          <w:i/>
          <w:sz w:val="20"/>
          <w:szCs w:val="20"/>
        </w:rPr>
        <w:t xml:space="preserve"> (</w:t>
      </w:r>
      <w:r w:rsidRPr="00C0376D">
        <w:rPr>
          <w:rFonts w:ascii="Arial" w:hAnsi="Arial" w:cs="Arial"/>
          <w:i/>
          <w:sz w:val="20"/>
          <w:szCs w:val="20"/>
        </w:rPr>
        <w:t>v EUR</w:t>
      </w:r>
      <w:r>
        <w:rPr>
          <w:rFonts w:ascii="Arial" w:hAnsi="Arial" w:cs="Arial"/>
          <w:i/>
          <w:sz w:val="20"/>
          <w:szCs w:val="20"/>
        </w:rPr>
        <w:t>)</w:t>
      </w:r>
      <w:r w:rsidRPr="009A018A">
        <w:rPr>
          <w:rFonts w:ascii="Arial" w:hAnsi="Arial" w:cs="Arial"/>
          <w:i/>
          <w:sz w:val="20"/>
          <w:szCs w:val="20"/>
        </w:rPr>
        <w:t xml:space="preserve"> </w:t>
      </w:r>
    </w:p>
    <w:tbl>
      <w:tblPr>
        <w:tblW w:w="8820" w:type="dxa"/>
        <w:tblCellMar>
          <w:left w:w="70" w:type="dxa"/>
          <w:right w:w="70" w:type="dxa"/>
        </w:tblCellMar>
        <w:tblLook w:val="04A0" w:firstRow="1" w:lastRow="0" w:firstColumn="1" w:lastColumn="0" w:noHBand="0" w:noVBand="1"/>
      </w:tblPr>
      <w:tblGrid>
        <w:gridCol w:w="1700"/>
        <w:gridCol w:w="1920"/>
        <w:gridCol w:w="1060"/>
        <w:gridCol w:w="1920"/>
        <w:gridCol w:w="1060"/>
        <w:gridCol w:w="1160"/>
      </w:tblGrid>
      <w:tr w:rsidR="00A155A2" w:rsidRPr="001549A5" w14:paraId="5D6E0131" w14:textId="77777777" w:rsidTr="001C77D2">
        <w:trPr>
          <w:trHeight w:val="8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6A51" w14:textId="77777777" w:rsidR="00A155A2" w:rsidRPr="001549A5" w:rsidRDefault="00A155A2" w:rsidP="001C77D2">
            <w:pPr>
              <w:spacing w:after="0" w:line="240" w:lineRule="auto"/>
              <w:jc w:val="center"/>
              <w:rPr>
                <w:rFonts w:ascii="Arial" w:eastAsia="Times New Roman" w:hAnsi="Arial" w:cs="Arial"/>
                <w:b/>
                <w:bCs/>
                <w:color w:val="000000"/>
                <w:sz w:val="18"/>
                <w:szCs w:val="18"/>
                <w:lang w:eastAsia="sl-SI"/>
              </w:rPr>
            </w:pPr>
            <w:r w:rsidRPr="001549A5">
              <w:rPr>
                <w:rFonts w:ascii="Arial" w:eastAsia="Times New Roman" w:hAnsi="Arial" w:cs="Arial"/>
                <w:b/>
                <w:bCs/>
                <w:color w:val="000000"/>
                <w:sz w:val="18"/>
                <w:szCs w:val="18"/>
                <w:lang w:eastAsia="sl-SI"/>
              </w:rPr>
              <w:t>Prejemniki sredstev</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9A3724D" w14:textId="77777777" w:rsidR="00A155A2" w:rsidRDefault="00A155A2" w:rsidP="001C77D2">
            <w:pPr>
              <w:spacing w:after="0" w:line="240" w:lineRule="auto"/>
              <w:jc w:val="center"/>
              <w:rPr>
                <w:rFonts w:ascii="Arial" w:eastAsia="Times New Roman" w:hAnsi="Arial" w:cs="Arial"/>
                <w:b/>
                <w:bCs/>
                <w:color w:val="000000"/>
                <w:sz w:val="18"/>
                <w:szCs w:val="18"/>
                <w:lang w:eastAsia="sl-SI"/>
              </w:rPr>
            </w:pPr>
            <w:r w:rsidRPr="001549A5">
              <w:rPr>
                <w:rFonts w:ascii="Arial" w:eastAsia="Times New Roman" w:hAnsi="Arial" w:cs="Arial"/>
                <w:b/>
                <w:bCs/>
                <w:color w:val="000000"/>
                <w:sz w:val="18"/>
                <w:szCs w:val="18"/>
                <w:lang w:eastAsia="sl-SI"/>
              </w:rPr>
              <w:t>JANUAR</w:t>
            </w:r>
            <w:r>
              <w:rPr>
                <w:rFonts w:ascii="Arial" w:eastAsia="Times New Roman" w:hAnsi="Arial" w:cs="Arial"/>
                <w:b/>
                <w:bCs/>
                <w:color w:val="000000"/>
                <w:sz w:val="18"/>
                <w:szCs w:val="18"/>
                <w:lang w:eastAsia="sl-SI"/>
              </w:rPr>
              <w:t>–</w:t>
            </w:r>
            <w:r w:rsidRPr="001549A5">
              <w:rPr>
                <w:rFonts w:ascii="Arial" w:eastAsia="Times New Roman" w:hAnsi="Arial" w:cs="Arial"/>
                <w:b/>
                <w:bCs/>
                <w:color w:val="000000"/>
                <w:sz w:val="18"/>
                <w:szCs w:val="18"/>
                <w:lang w:eastAsia="sl-SI"/>
              </w:rPr>
              <w:t>DECEMBER 2024</w:t>
            </w:r>
          </w:p>
          <w:p w14:paraId="0E64DBC0" w14:textId="77777777" w:rsidR="00A155A2" w:rsidRPr="001549A5" w:rsidRDefault="00A155A2" w:rsidP="001C77D2">
            <w:pPr>
              <w:spacing w:after="0" w:line="240" w:lineRule="auto"/>
              <w:jc w:val="center"/>
              <w:rPr>
                <w:rFonts w:ascii="Arial" w:eastAsia="Times New Roman" w:hAnsi="Arial" w:cs="Arial"/>
                <w:b/>
                <w:bCs/>
                <w:color w:val="000000"/>
                <w:sz w:val="18"/>
                <w:szCs w:val="18"/>
                <w:lang w:eastAsia="sl-SI"/>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E4F1E41" w14:textId="77777777" w:rsidR="00A155A2" w:rsidRPr="001549A5" w:rsidRDefault="00A155A2" w:rsidP="001C77D2">
            <w:pPr>
              <w:spacing w:after="0" w:line="240" w:lineRule="auto"/>
              <w:jc w:val="center"/>
              <w:rPr>
                <w:rFonts w:ascii="Arial" w:eastAsia="Times New Roman" w:hAnsi="Arial" w:cs="Arial"/>
                <w:b/>
                <w:bCs/>
                <w:sz w:val="18"/>
                <w:szCs w:val="18"/>
                <w:lang w:eastAsia="sl-SI"/>
              </w:rPr>
            </w:pPr>
            <w:r w:rsidRPr="001549A5">
              <w:rPr>
                <w:rFonts w:ascii="Arial" w:eastAsia="Times New Roman" w:hAnsi="Arial" w:cs="Arial"/>
                <w:b/>
                <w:bCs/>
                <w:sz w:val="18"/>
                <w:szCs w:val="18"/>
                <w:lang w:eastAsia="sl-SI"/>
              </w:rPr>
              <w:t xml:space="preserve">Struktura </w:t>
            </w:r>
            <w:r>
              <w:rPr>
                <w:rFonts w:ascii="Arial" w:eastAsia="Times New Roman" w:hAnsi="Arial" w:cs="Arial"/>
                <w:b/>
                <w:bCs/>
                <w:sz w:val="18"/>
                <w:szCs w:val="18"/>
                <w:lang w:eastAsia="sl-SI"/>
              </w:rPr>
              <w:t>(</w:t>
            </w:r>
            <w:r w:rsidRPr="001549A5">
              <w:rPr>
                <w:rFonts w:ascii="Arial" w:eastAsia="Times New Roman" w:hAnsi="Arial" w:cs="Arial"/>
                <w:b/>
                <w:bCs/>
                <w:sz w:val="18"/>
                <w:szCs w:val="18"/>
                <w:lang w:eastAsia="sl-SI"/>
              </w:rPr>
              <w:t>v %</w:t>
            </w:r>
            <w:r>
              <w:rPr>
                <w:rFonts w:ascii="Arial" w:eastAsia="Times New Roman" w:hAnsi="Arial" w:cs="Arial"/>
                <w:b/>
                <w:bCs/>
                <w:sz w:val="18"/>
                <w:szCs w:val="18"/>
                <w:lang w:eastAsia="sl-SI"/>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C4884B8" w14:textId="77777777" w:rsidR="00A155A2" w:rsidRDefault="00A155A2" w:rsidP="001C77D2">
            <w:pPr>
              <w:spacing w:after="0" w:line="240" w:lineRule="auto"/>
              <w:jc w:val="center"/>
              <w:rPr>
                <w:rFonts w:ascii="Arial" w:eastAsia="Times New Roman" w:hAnsi="Arial" w:cs="Arial"/>
                <w:b/>
                <w:bCs/>
                <w:color w:val="000000"/>
                <w:sz w:val="18"/>
                <w:szCs w:val="18"/>
                <w:lang w:eastAsia="sl-SI"/>
              </w:rPr>
            </w:pPr>
            <w:r w:rsidRPr="001549A5">
              <w:rPr>
                <w:rFonts w:ascii="Arial" w:eastAsia="Times New Roman" w:hAnsi="Arial" w:cs="Arial"/>
                <w:b/>
                <w:bCs/>
                <w:color w:val="000000"/>
                <w:sz w:val="18"/>
                <w:szCs w:val="18"/>
                <w:lang w:eastAsia="sl-SI"/>
              </w:rPr>
              <w:t>JANUAR</w:t>
            </w:r>
            <w:r>
              <w:rPr>
                <w:rFonts w:ascii="Arial" w:eastAsia="Times New Roman" w:hAnsi="Arial" w:cs="Arial"/>
                <w:b/>
                <w:bCs/>
                <w:color w:val="000000"/>
                <w:sz w:val="18"/>
                <w:szCs w:val="18"/>
                <w:lang w:eastAsia="sl-SI"/>
              </w:rPr>
              <w:t>–</w:t>
            </w:r>
            <w:r w:rsidRPr="001549A5">
              <w:rPr>
                <w:rFonts w:ascii="Arial" w:eastAsia="Times New Roman" w:hAnsi="Arial" w:cs="Arial"/>
                <w:b/>
                <w:bCs/>
                <w:color w:val="000000"/>
                <w:sz w:val="18"/>
                <w:szCs w:val="18"/>
                <w:lang w:eastAsia="sl-SI"/>
              </w:rPr>
              <w:t>DECEMBER 2023</w:t>
            </w:r>
          </w:p>
          <w:p w14:paraId="15187045" w14:textId="77777777" w:rsidR="00A155A2" w:rsidRPr="001549A5" w:rsidRDefault="00A155A2" w:rsidP="001C77D2">
            <w:pPr>
              <w:spacing w:after="0" w:line="240" w:lineRule="auto"/>
              <w:jc w:val="center"/>
              <w:rPr>
                <w:rFonts w:ascii="Arial" w:eastAsia="Times New Roman" w:hAnsi="Arial" w:cs="Arial"/>
                <w:b/>
                <w:bCs/>
                <w:color w:val="000000"/>
                <w:sz w:val="18"/>
                <w:szCs w:val="18"/>
                <w:lang w:eastAsia="sl-SI"/>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97D058" w14:textId="77777777" w:rsidR="00A155A2" w:rsidRPr="001549A5" w:rsidRDefault="00A155A2" w:rsidP="001C77D2">
            <w:pPr>
              <w:spacing w:after="0" w:line="240" w:lineRule="auto"/>
              <w:jc w:val="center"/>
              <w:rPr>
                <w:rFonts w:ascii="Arial" w:eastAsia="Times New Roman" w:hAnsi="Arial" w:cs="Arial"/>
                <w:b/>
                <w:bCs/>
                <w:sz w:val="18"/>
                <w:szCs w:val="18"/>
                <w:lang w:eastAsia="sl-SI"/>
              </w:rPr>
            </w:pPr>
            <w:r w:rsidRPr="001549A5">
              <w:rPr>
                <w:rFonts w:ascii="Arial" w:eastAsia="Times New Roman" w:hAnsi="Arial" w:cs="Arial"/>
                <w:b/>
                <w:bCs/>
                <w:sz w:val="18"/>
                <w:szCs w:val="18"/>
                <w:lang w:eastAsia="sl-SI"/>
              </w:rPr>
              <w:t xml:space="preserve">Struktura </w:t>
            </w:r>
            <w:r>
              <w:rPr>
                <w:rFonts w:ascii="Arial" w:eastAsia="Times New Roman" w:hAnsi="Arial" w:cs="Arial"/>
                <w:b/>
                <w:bCs/>
                <w:sz w:val="18"/>
                <w:szCs w:val="18"/>
                <w:lang w:eastAsia="sl-SI"/>
              </w:rPr>
              <w:t>(</w:t>
            </w:r>
            <w:r w:rsidRPr="001549A5">
              <w:rPr>
                <w:rFonts w:ascii="Arial" w:eastAsia="Times New Roman" w:hAnsi="Arial" w:cs="Arial"/>
                <w:b/>
                <w:bCs/>
                <w:sz w:val="18"/>
                <w:szCs w:val="18"/>
                <w:lang w:eastAsia="sl-SI"/>
              </w:rPr>
              <w:t>v %</w:t>
            </w:r>
            <w:r>
              <w:rPr>
                <w:rFonts w:ascii="Arial" w:eastAsia="Times New Roman" w:hAnsi="Arial" w:cs="Arial"/>
                <w:b/>
                <w:bCs/>
                <w:sz w:val="18"/>
                <w:szCs w:val="18"/>
                <w:lang w:eastAsia="sl-SI"/>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C20B28A" w14:textId="77777777" w:rsidR="00A155A2" w:rsidRPr="001549A5" w:rsidRDefault="00A155A2" w:rsidP="001C77D2">
            <w:pPr>
              <w:spacing w:after="0" w:line="240" w:lineRule="auto"/>
              <w:jc w:val="center"/>
              <w:rPr>
                <w:rFonts w:ascii="Arial" w:eastAsia="Times New Roman" w:hAnsi="Arial" w:cs="Arial"/>
                <w:b/>
                <w:bCs/>
                <w:sz w:val="18"/>
                <w:szCs w:val="18"/>
                <w:lang w:eastAsia="sl-SI"/>
              </w:rPr>
            </w:pPr>
            <w:r w:rsidRPr="001549A5">
              <w:rPr>
                <w:rFonts w:ascii="Arial" w:eastAsia="Times New Roman" w:hAnsi="Arial" w:cs="Arial"/>
                <w:b/>
                <w:bCs/>
                <w:sz w:val="18"/>
                <w:szCs w:val="18"/>
                <w:lang w:eastAsia="sl-SI"/>
              </w:rPr>
              <w:t>INDEKS 2024</w:t>
            </w:r>
            <w:r>
              <w:rPr>
                <w:rFonts w:ascii="Arial" w:eastAsia="Times New Roman" w:hAnsi="Arial" w:cs="Arial"/>
                <w:b/>
                <w:bCs/>
                <w:sz w:val="18"/>
                <w:szCs w:val="18"/>
                <w:lang w:eastAsia="sl-SI"/>
              </w:rPr>
              <w:t xml:space="preserve"> </w:t>
            </w:r>
            <w:r w:rsidRPr="001549A5">
              <w:rPr>
                <w:rFonts w:ascii="Arial" w:eastAsia="Times New Roman" w:hAnsi="Arial" w:cs="Arial"/>
                <w:b/>
                <w:bCs/>
                <w:sz w:val="18"/>
                <w:szCs w:val="18"/>
                <w:lang w:eastAsia="sl-SI"/>
              </w:rPr>
              <w:t>/</w:t>
            </w:r>
            <w:r>
              <w:rPr>
                <w:rFonts w:ascii="Arial" w:eastAsia="Times New Roman" w:hAnsi="Arial" w:cs="Arial"/>
                <w:b/>
                <w:bCs/>
                <w:sz w:val="18"/>
                <w:szCs w:val="18"/>
                <w:lang w:eastAsia="sl-SI"/>
              </w:rPr>
              <w:t xml:space="preserve"> </w:t>
            </w:r>
            <w:r w:rsidRPr="001549A5">
              <w:rPr>
                <w:rFonts w:ascii="Arial" w:eastAsia="Times New Roman" w:hAnsi="Arial" w:cs="Arial"/>
                <w:b/>
                <w:bCs/>
                <w:sz w:val="18"/>
                <w:szCs w:val="18"/>
                <w:lang w:eastAsia="sl-SI"/>
              </w:rPr>
              <w:t>2023</w:t>
            </w:r>
          </w:p>
        </w:tc>
      </w:tr>
      <w:tr w:rsidR="00A155A2" w:rsidRPr="001549A5" w14:paraId="020C40C4" w14:textId="77777777" w:rsidTr="001C77D2">
        <w:trPr>
          <w:trHeight w:val="321"/>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6030A352" w14:textId="77777777" w:rsidR="00A155A2" w:rsidRPr="001549A5" w:rsidRDefault="00A155A2" w:rsidP="001C77D2">
            <w:pPr>
              <w:spacing w:after="0" w:line="240" w:lineRule="auto"/>
              <w:rPr>
                <w:rFonts w:ascii="Arial" w:eastAsia="Times New Roman" w:hAnsi="Arial" w:cs="Arial"/>
                <w:color w:val="000000"/>
                <w:sz w:val="18"/>
                <w:szCs w:val="18"/>
                <w:lang w:eastAsia="sl-SI"/>
              </w:rPr>
            </w:pPr>
            <w:r w:rsidRPr="000836FD">
              <w:rPr>
                <w:rFonts w:ascii="Arial" w:eastAsia="Times New Roman" w:hAnsi="Arial" w:cs="Arial"/>
                <w:color w:val="000000"/>
                <w:sz w:val="18"/>
                <w:szCs w:val="18"/>
                <w:lang w:eastAsia="sl-SI"/>
              </w:rPr>
              <w:t>Dr</w:t>
            </w:r>
            <w:r w:rsidRPr="001549A5">
              <w:rPr>
                <w:rFonts w:ascii="Arial" w:eastAsia="Times New Roman" w:hAnsi="Arial" w:cs="Arial"/>
                <w:color w:val="000000"/>
                <w:sz w:val="18"/>
                <w:szCs w:val="18"/>
                <w:lang w:eastAsia="sl-SI"/>
              </w:rPr>
              <w:t>žava</w:t>
            </w:r>
          </w:p>
        </w:tc>
        <w:tc>
          <w:tcPr>
            <w:tcW w:w="1920" w:type="dxa"/>
            <w:tcBorders>
              <w:top w:val="nil"/>
              <w:left w:val="nil"/>
              <w:bottom w:val="single" w:sz="4" w:space="0" w:color="auto"/>
              <w:right w:val="single" w:sz="4" w:space="0" w:color="auto"/>
            </w:tcBorders>
            <w:shd w:val="clear" w:color="auto" w:fill="auto"/>
            <w:noWrap/>
            <w:vAlign w:val="bottom"/>
            <w:hideMark/>
          </w:tcPr>
          <w:p w14:paraId="44F6578E"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13.574.417.038</w:t>
            </w:r>
          </w:p>
        </w:tc>
        <w:tc>
          <w:tcPr>
            <w:tcW w:w="1060" w:type="dxa"/>
            <w:tcBorders>
              <w:top w:val="nil"/>
              <w:left w:val="nil"/>
              <w:bottom w:val="single" w:sz="4" w:space="0" w:color="auto"/>
              <w:right w:val="single" w:sz="4" w:space="0" w:color="auto"/>
            </w:tcBorders>
            <w:shd w:val="clear" w:color="auto" w:fill="auto"/>
            <w:noWrap/>
            <w:vAlign w:val="bottom"/>
            <w:hideMark/>
          </w:tcPr>
          <w:p w14:paraId="3989C977"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54,1</w:t>
            </w:r>
          </w:p>
        </w:tc>
        <w:tc>
          <w:tcPr>
            <w:tcW w:w="1920" w:type="dxa"/>
            <w:tcBorders>
              <w:top w:val="nil"/>
              <w:left w:val="nil"/>
              <w:bottom w:val="single" w:sz="4" w:space="0" w:color="auto"/>
              <w:right w:val="single" w:sz="4" w:space="0" w:color="auto"/>
            </w:tcBorders>
            <w:shd w:val="clear" w:color="auto" w:fill="auto"/>
            <w:noWrap/>
            <w:vAlign w:val="bottom"/>
            <w:hideMark/>
          </w:tcPr>
          <w:p w14:paraId="76029CC4"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12.331.142.846</w:t>
            </w:r>
          </w:p>
        </w:tc>
        <w:tc>
          <w:tcPr>
            <w:tcW w:w="1060" w:type="dxa"/>
            <w:tcBorders>
              <w:top w:val="nil"/>
              <w:left w:val="nil"/>
              <w:bottom w:val="single" w:sz="4" w:space="0" w:color="auto"/>
              <w:right w:val="single" w:sz="4" w:space="0" w:color="auto"/>
            </w:tcBorders>
            <w:shd w:val="clear" w:color="auto" w:fill="auto"/>
            <w:noWrap/>
            <w:vAlign w:val="bottom"/>
            <w:hideMark/>
          </w:tcPr>
          <w:p w14:paraId="5D44F06E"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54,8</w:t>
            </w:r>
          </w:p>
        </w:tc>
        <w:tc>
          <w:tcPr>
            <w:tcW w:w="1160" w:type="dxa"/>
            <w:tcBorders>
              <w:top w:val="nil"/>
              <w:left w:val="nil"/>
              <w:bottom w:val="single" w:sz="4" w:space="0" w:color="auto"/>
              <w:right w:val="single" w:sz="4" w:space="0" w:color="auto"/>
            </w:tcBorders>
            <w:shd w:val="clear" w:color="auto" w:fill="auto"/>
            <w:noWrap/>
            <w:vAlign w:val="bottom"/>
            <w:hideMark/>
          </w:tcPr>
          <w:p w14:paraId="38C89516"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110,1</w:t>
            </w:r>
          </w:p>
        </w:tc>
      </w:tr>
      <w:tr w:rsidR="00A155A2" w:rsidRPr="001549A5" w14:paraId="093A4764" w14:textId="77777777" w:rsidTr="001C77D2">
        <w:trPr>
          <w:trHeight w:val="321"/>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2B1D5587" w14:textId="77777777" w:rsidR="00A155A2" w:rsidRPr="001549A5" w:rsidRDefault="00A155A2" w:rsidP="001C77D2">
            <w:pPr>
              <w:spacing w:after="0" w:line="240" w:lineRule="auto"/>
              <w:rPr>
                <w:rFonts w:ascii="Arial" w:eastAsia="Times New Roman" w:hAnsi="Arial" w:cs="Arial"/>
                <w:color w:val="000000"/>
                <w:sz w:val="18"/>
                <w:szCs w:val="18"/>
                <w:lang w:eastAsia="sl-SI"/>
              </w:rPr>
            </w:pPr>
            <w:r w:rsidRPr="001549A5">
              <w:rPr>
                <w:rFonts w:ascii="Arial" w:eastAsia="Times New Roman" w:hAnsi="Arial" w:cs="Arial"/>
                <w:color w:val="000000"/>
                <w:sz w:val="18"/>
                <w:szCs w:val="18"/>
                <w:lang w:eastAsia="sl-SI"/>
              </w:rPr>
              <w:t>ZPIZ</w:t>
            </w:r>
          </w:p>
        </w:tc>
        <w:tc>
          <w:tcPr>
            <w:tcW w:w="1920" w:type="dxa"/>
            <w:tcBorders>
              <w:top w:val="nil"/>
              <w:left w:val="nil"/>
              <w:bottom w:val="single" w:sz="4" w:space="0" w:color="auto"/>
              <w:right w:val="single" w:sz="4" w:space="0" w:color="auto"/>
            </w:tcBorders>
            <w:shd w:val="clear" w:color="auto" w:fill="auto"/>
            <w:noWrap/>
            <w:vAlign w:val="bottom"/>
            <w:hideMark/>
          </w:tcPr>
          <w:p w14:paraId="1F66E9F9"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6.362.118.773</w:t>
            </w:r>
          </w:p>
        </w:tc>
        <w:tc>
          <w:tcPr>
            <w:tcW w:w="1060" w:type="dxa"/>
            <w:tcBorders>
              <w:top w:val="nil"/>
              <w:left w:val="nil"/>
              <w:bottom w:val="single" w:sz="4" w:space="0" w:color="auto"/>
              <w:right w:val="single" w:sz="4" w:space="0" w:color="auto"/>
            </w:tcBorders>
            <w:shd w:val="clear" w:color="auto" w:fill="auto"/>
            <w:noWrap/>
            <w:vAlign w:val="bottom"/>
            <w:hideMark/>
          </w:tcPr>
          <w:p w14:paraId="4A2ABC57"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25,3</w:t>
            </w:r>
          </w:p>
        </w:tc>
        <w:tc>
          <w:tcPr>
            <w:tcW w:w="1920" w:type="dxa"/>
            <w:tcBorders>
              <w:top w:val="nil"/>
              <w:left w:val="nil"/>
              <w:bottom w:val="single" w:sz="4" w:space="0" w:color="auto"/>
              <w:right w:val="single" w:sz="4" w:space="0" w:color="auto"/>
            </w:tcBorders>
            <w:shd w:val="clear" w:color="auto" w:fill="auto"/>
            <w:noWrap/>
            <w:vAlign w:val="bottom"/>
            <w:hideMark/>
          </w:tcPr>
          <w:p w14:paraId="64882900"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5.931.234.998</w:t>
            </w:r>
          </w:p>
        </w:tc>
        <w:tc>
          <w:tcPr>
            <w:tcW w:w="1060" w:type="dxa"/>
            <w:tcBorders>
              <w:top w:val="nil"/>
              <w:left w:val="nil"/>
              <w:bottom w:val="single" w:sz="4" w:space="0" w:color="auto"/>
              <w:right w:val="single" w:sz="4" w:space="0" w:color="auto"/>
            </w:tcBorders>
            <w:shd w:val="clear" w:color="auto" w:fill="auto"/>
            <w:noWrap/>
            <w:vAlign w:val="bottom"/>
            <w:hideMark/>
          </w:tcPr>
          <w:p w14:paraId="5699C535"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26,4</w:t>
            </w:r>
          </w:p>
        </w:tc>
        <w:tc>
          <w:tcPr>
            <w:tcW w:w="1160" w:type="dxa"/>
            <w:tcBorders>
              <w:top w:val="nil"/>
              <w:left w:val="nil"/>
              <w:bottom w:val="single" w:sz="4" w:space="0" w:color="auto"/>
              <w:right w:val="single" w:sz="4" w:space="0" w:color="auto"/>
            </w:tcBorders>
            <w:shd w:val="clear" w:color="auto" w:fill="auto"/>
            <w:noWrap/>
            <w:vAlign w:val="bottom"/>
            <w:hideMark/>
          </w:tcPr>
          <w:p w14:paraId="642F64C8"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107,3</w:t>
            </w:r>
          </w:p>
        </w:tc>
      </w:tr>
      <w:tr w:rsidR="00A155A2" w:rsidRPr="001549A5" w14:paraId="5BF81011" w14:textId="77777777" w:rsidTr="001C77D2">
        <w:trPr>
          <w:trHeight w:val="321"/>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1BD18F09" w14:textId="77777777" w:rsidR="00A155A2" w:rsidRPr="001549A5" w:rsidRDefault="00A155A2" w:rsidP="001C77D2">
            <w:pPr>
              <w:spacing w:after="0" w:line="240" w:lineRule="auto"/>
              <w:rPr>
                <w:rFonts w:ascii="Arial" w:eastAsia="Times New Roman" w:hAnsi="Arial" w:cs="Arial"/>
                <w:color w:val="000000"/>
                <w:sz w:val="18"/>
                <w:szCs w:val="18"/>
                <w:lang w:eastAsia="sl-SI"/>
              </w:rPr>
            </w:pPr>
            <w:r w:rsidRPr="001549A5">
              <w:rPr>
                <w:rFonts w:ascii="Arial" w:eastAsia="Times New Roman" w:hAnsi="Arial" w:cs="Arial"/>
                <w:color w:val="000000"/>
                <w:sz w:val="18"/>
                <w:szCs w:val="18"/>
                <w:lang w:eastAsia="sl-SI"/>
              </w:rPr>
              <w:t>ZZZS</w:t>
            </w:r>
          </w:p>
        </w:tc>
        <w:tc>
          <w:tcPr>
            <w:tcW w:w="1920" w:type="dxa"/>
            <w:tcBorders>
              <w:top w:val="nil"/>
              <w:left w:val="nil"/>
              <w:bottom w:val="single" w:sz="4" w:space="0" w:color="auto"/>
              <w:right w:val="single" w:sz="4" w:space="0" w:color="auto"/>
            </w:tcBorders>
            <w:shd w:val="clear" w:color="auto" w:fill="auto"/>
            <w:noWrap/>
            <w:vAlign w:val="bottom"/>
            <w:hideMark/>
          </w:tcPr>
          <w:p w14:paraId="51691F97"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4.742.199.819</w:t>
            </w:r>
          </w:p>
        </w:tc>
        <w:tc>
          <w:tcPr>
            <w:tcW w:w="1060" w:type="dxa"/>
            <w:tcBorders>
              <w:top w:val="nil"/>
              <w:left w:val="nil"/>
              <w:bottom w:val="single" w:sz="4" w:space="0" w:color="auto"/>
              <w:right w:val="single" w:sz="4" w:space="0" w:color="auto"/>
            </w:tcBorders>
            <w:shd w:val="clear" w:color="auto" w:fill="auto"/>
            <w:noWrap/>
            <w:vAlign w:val="bottom"/>
            <w:hideMark/>
          </w:tcPr>
          <w:p w14:paraId="48EDBD18"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18,9</w:t>
            </w:r>
          </w:p>
        </w:tc>
        <w:tc>
          <w:tcPr>
            <w:tcW w:w="1920" w:type="dxa"/>
            <w:tcBorders>
              <w:top w:val="nil"/>
              <w:left w:val="nil"/>
              <w:bottom w:val="single" w:sz="4" w:space="0" w:color="auto"/>
              <w:right w:val="single" w:sz="4" w:space="0" w:color="auto"/>
            </w:tcBorders>
            <w:shd w:val="clear" w:color="auto" w:fill="auto"/>
            <w:noWrap/>
            <w:vAlign w:val="bottom"/>
            <w:hideMark/>
          </w:tcPr>
          <w:p w14:paraId="637C285E"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3.841.042.498</w:t>
            </w:r>
          </w:p>
        </w:tc>
        <w:tc>
          <w:tcPr>
            <w:tcW w:w="1060" w:type="dxa"/>
            <w:tcBorders>
              <w:top w:val="nil"/>
              <w:left w:val="nil"/>
              <w:bottom w:val="single" w:sz="4" w:space="0" w:color="auto"/>
              <w:right w:val="single" w:sz="4" w:space="0" w:color="auto"/>
            </w:tcBorders>
            <w:shd w:val="clear" w:color="auto" w:fill="auto"/>
            <w:noWrap/>
            <w:vAlign w:val="bottom"/>
            <w:hideMark/>
          </w:tcPr>
          <w:p w14:paraId="2D259882"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17,1</w:t>
            </w:r>
          </w:p>
        </w:tc>
        <w:tc>
          <w:tcPr>
            <w:tcW w:w="1160" w:type="dxa"/>
            <w:tcBorders>
              <w:top w:val="nil"/>
              <w:left w:val="nil"/>
              <w:bottom w:val="single" w:sz="4" w:space="0" w:color="auto"/>
              <w:right w:val="single" w:sz="4" w:space="0" w:color="auto"/>
            </w:tcBorders>
            <w:shd w:val="clear" w:color="auto" w:fill="auto"/>
            <w:noWrap/>
            <w:vAlign w:val="bottom"/>
            <w:hideMark/>
          </w:tcPr>
          <w:p w14:paraId="16587E75"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123,5</w:t>
            </w:r>
          </w:p>
        </w:tc>
      </w:tr>
      <w:tr w:rsidR="00A155A2" w:rsidRPr="001549A5" w14:paraId="7C58C5F8" w14:textId="77777777" w:rsidTr="001C77D2">
        <w:trPr>
          <w:trHeight w:val="321"/>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568D338B" w14:textId="77777777" w:rsidR="00A155A2" w:rsidRPr="001549A5" w:rsidRDefault="00A155A2" w:rsidP="001C77D2">
            <w:pPr>
              <w:spacing w:after="0" w:line="240" w:lineRule="auto"/>
              <w:rPr>
                <w:rFonts w:ascii="Arial" w:eastAsia="Times New Roman" w:hAnsi="Arial" w:cs="Arial"/>
                <w:color w:val="000000"/>
                <w:sz w:val="18"/>
                <w:szCs w:val="18"/>
                <w:lang w:eastAsia="sl-SI"/>
              </w:rPr>
            </w:pPr>
            <w:r w:rsidRPr="001549A5">
              <w:rPr>
                <w:rFonts w:ascii="Arial" w:eastAsia="Times New Roman" w:hAnsi="Arial" w:cs="Arial"/>
                <w:color w:val="000000"/>
                <w:sz w:val="18"/>
                <w:szCs w:val="18"/>
                <w:lang w:eastAsia="sl-SI"/>
              </w:rPr>
              <w:t>Občine</w:t>
            </w:r>
          </w:p>
        </w:tc>
        <w:tc>
          <w:tcPr>
            <w:tcW w:w="1920" w:type="dxa"/>
            <w:tcBorders>
              <w:top w:val="nil"/>
              <w:left w:val="nil"/>
              <w:bottom w:val="single" w:sz="4" w:space="0" w:color="auto"/>
              <w:right w:val="single" w:sz="4" w:space="0" w:color="auto"/>
            </w:tcBorders>
            <w:shd w:val="clear" w:color="auto" w:fill="auto"/>
            <w:noWrap/>
            <w:vAlign w:val="bottom"/>
            <w:hideMark/>
          </w:tcPr>
          <w:p w14:paraId="01FF2D66"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432.273.157</w:t>
            </w:r>
          </w:p>
        </w:tc>
        <w:tc>
          <w:tcPr>
            <w:tcW w:w="1060" w:type="dxa"/>
            <w:tcBorders>
              <w:top w:val="nil"/>
              <w:left w:val="nil"/>
              <w:bottom w:val="single" w:sz="4" w:space="0" w:color="auto"/>
              <w:right w:val="single" w:sz="4" w:space="0" w:color="auto"/>
            </w:tcBorders>
            <w:shd w:val="clear" w:color="auto" w:fill="auto"/>
            <w:noWrap/>
            <w:vAlign w:val="bottom"/>
            <w:hideMark/>
          </w:tcPr>
          <w:p w14:paraId="357D43A0"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1,7</w:t>
            </w:r>
          </w:p>
        </w:tc>
        <w:tc>
          <w:tcPr>
            <w:tcW w:w="1920" w:type="dxa"/>
            <w:tcBorders>
              <w:top w:val="nil"/>
              <w:left w:val="nil"/>
              <w:bottom w:val="single" w:sz="4" w:space="0" w:color="auto"/>
              <w:right w:val="single" w:sz="4" w:space="0" w:color="auto"/>
            </w:tcBorders>
            <w:shd w:val="clear" w:color="auto" w:fill="auto"/>
            <w:noWrap/>
            <w:vAlign w:val="bottom"/>
            <w:hideMark/>
          </w:tcPr>
          <w:p w14:paraId="219812FE"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401.752.986</w:t>
            </w:r>
          </w:p>
        </w:tc>
        <w:tc>
          <w:tcPr>
            <w:tcW w:w="1060" w:type="dxa"/>
            <w:tcBorders>
              <w:top w:val="nil"/>
              <w:left w:val="nil"/>
              <w:bottom w:val="single" w:sz="4" w:space="0" w:color="auto"/>
              <w:right w:val="single" w:sz="4" w:space="0" w:color="auto"/>
            </w:tcBorders>
            <w:shd w:val="clear" w:color="auto" w:fill="auto"/>
            <w:noWrap/>
            <w:vAlign w:val="bottom"/>
            <w:hideMark/>
          </w:tcPr>
          <w:p w14:paraId="621D57CA"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1,8</w:t>
            </w:r>
          </w:p>
        </w:tc>
        <w:tc>
          <w:tcPr>
            <w:tcW w:w="1160" w:type="dxa"/>
            <w:tcBorders>
              <w:top w:val="nil"/>
              <w:left w:val="nil"/>
              <w:bottom w:val="single" w:sz="4" w:space="0" w:color="auto"/>
              <w:right w:val="single" w:sz="4" w:space="0" w:color="auto"/>
            </w:tcBorders>
            <w:shd w:val="clear" w:color="auto" w:fill="auto"/>
            <w:noWrap/>
            <w:vAlign w:val="bottom"/>
            <w:hideMark/>
          </w:tcPr>
          <w:p w14:paraId="1ABDBF18"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107,6</w:t>
            </w:r>
          </w:p>
        </w:tc>
      </w:tr>
      <w:tr w:rsidR="00A155A2" w:rsidRPr="001549A5" w14:paraId="4051B050" w14:textId="77777777" w:rsidTr="001C77D2">
        <w:trPr>
          <w:trHeight w:val="321"/>
        </w:trPr>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74AFBB85" w14:textId="77777777" w:rsidR="00A155A2" w:rsidRPr="001549A5" w:rsidRDefault="00A155A2" w:rsidP="001C77D2">
            <w:pPr>
              <w:spacing w:after="0" w:line="240" w:lineRule="auto"/>
              <w:rPr>
                <w:rFonts w:ascii="Arial" w:eastAsia="Times New Roman" w:hAnsi="Arial" w:cs="Arial"/>
                <w:b/>
                <w:bCs/>
                <w:color w:val="000000"/>
                <w:sz w:val="18"/>
                <w:szCs w:val="18"/>
                <w:lang w:eastAsia="sl-SI"/>
              </w:rPr>
            </w:pPr>
            <w:r w:rsidRPr="001549A5">
              <w:rPr>
                <w:rFonts w:ascii="Arial" w:eastAsia="Times New Roman" w:hAnsi="Arial" w:cs="Arial"/>
                <w:b/>
                <w:bCs/>
                <w:color w:val="000000"/>
                <w:sz w:val="18"/>
                <w:szCs w:val="18"/>
                <w:lang w:eastAsia="sl-SI"/>
              </w:rPr>
              <w:t>Skupaj JFP</w:t>
            </w:r>
          </w:p>
        </w:tc>
        <w:tc>
          <w:tcPr>
            <w:tcW w:w="1920" w:type="dxa"/>
            <w:tcBorders>
              <w:top w:val="nil"/>
              <w:left w:val="nil"/>
              <w:bottom w:val="single" w:sz="4" w:space="0" w:color="auto"/>
              <w:right w:val="single" w:sz="4" w:space="0" w:color="auto"/>
            </w:tcBorders>
            <w:shd w:val="clear" w:color="auto" w:fill="auto"/>
            <w:noWrap/>
            <w:vAlign w:val="bottom"/>
            <w:hideMark/>
          </w:tcPr>
          <w:p w14:paraId="14B9C40C" w14:textId="77777777" w:rsidR="00A155A2" w:rsidRPr="001549A5" w:rsidRDefault="00A155A2" w:rsidP="001C77D2">
            <w:pPr>
              <w:spacing w:after="0" w:line="240" w:lineRule="auto"/>
              <w:jc w:val="center"/>
              <w:rPr>
                <w:rFonts w:ascii="Arial" w:eastAsia="Times New Roman" w:hAnsi="Arial" w:cs="Arial"/>
                <w:b/>
                <w:bCs/>
                <w:sz w:val="18"/>
                <w:szCs w:val="18"/>
                <w:lang w:eastAsia="sl-SI"/>
              </w:rPr>
            </w:pPr>
            <w:r w:rsidRPr="001549A5">
              <w:rPr>
                <w:rFonts w:ascii="Arial" w:eastAsia="Times New Roman" w:hAnsi="Arial" w:cs="Arial"/>
                <w:b/>
                <w:bCs/>
                <w:sz w:val="18"/>
                <w:szCs w:val="18"/>
                <w:lang w:eastAsia="sl-SI"/>
              </w:rPr>
              <w:t>25.111.008.787</w:t>
            </w:r>
          </w:p>
        </w:tc>
        <w:tc>
          <w:tcPr>
            <w:tcW w:w="1060" w:type="dxa"/>
            <w:tcBorders>
              <w:top w:val="nil"/>
              <w:left w:val="nil"/>
              <w:bottom w:val="single" w:sz="4" w:space="0" w:color="auto"/>
              <w:right w:val="single" w:sz="4" w:space="0" w:color="auto"/>
            </w:tcBorders>
            <w:shd w:val="clear" w:color="auto" w:fill="auto"/>
            <w:noWrap/>
            <w:vAlign w:val="bottom"/>
            <w:hideMark/>
          </w:tcPr>
          <w:p w14:paraId="35A2B509"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100,0</w:t>
            </w:r>
          </w:p>
        </w:tc>
        <w:tc>
          <w:tcPr>
            <w:tcW w:w="1920" w:type="dxa"/>
            <w:tcBorders>
              <w:top w:val="nil"/>
              <w:left w:val="nil"/>
              <w:bottom w:val="single" w:sz="4" w:space="0" w:color="auto"/>
              <w:right w:val="single" w:sz="4" w:space="0" w:color="auto"/>
            </w:tcBorders>
            <w:shd w:val="clear" w:color="auto" w:fill="auto"/>
            <w:noWrap/>
            <w:vAlign w:val="bottom"/>
            <w:hideMark/>
          </w:tcPr>
          <w:p w14:paraId="3E07E858" w14:textId="77777777" w:rsidR="00A155A2" w:rsidRPr="001549A5" w:rsidRDefault="00A155A2" w:rsidP="001C77D2">
            <w:pPr>
              <w:spacing w:after="0" w:line="240" w:lineRule="auto"/>
              <w:jc w:val="center"/>
              <w:rPr>
                <w:rFonts w:ascii="Arial" w:eastAsia="Times New Roman" w:hAnsi="Arial" w:cs="Arial"/>
                <w:b/>
                <w:bCs/>
                <w:sz w:val="18"/>
                <w:szCs w:val="18"/>
                <w:lang w:eastAsia="sl-SI"/>
              </w:rPr>
            </w:pPr>
            <w:r w:rsidRPr="001549A5">
              <w:rPr>
                <w:rFonts w:ascii="Arial" w:eastAsia="Times New Roman" w:hAnsi="Arial" w:cs="Arial"/>
                <w:b/>
                <w:bCs/>
                <w:sz w:val="18"/>
                <w:szCs w:val="18"/>
                <w:lang w:eastAsia="sl-SI"/>
              </w:rPr>
              <w:t>22.505.173.328</w:t>
            </w:r>
          </w:p>
        </w:tc>
        <w:tc>
          <w:tcPr>
            <w:tcW w:w="1060" w:type="dxa"/>
            <w:tcBorders>
              <w:top w:val="nil"/>
              <w:left w:val="nil"/>
              <w:bottom w:val="single" w:sz="4" w:space="0" w:color="auto"/>
              <w:right w:val="single" w:sz="4" w:space="0" w:color="auto"/>
            </w:tcBorders>
            <w:shd w:val="clear" w:color="auto" w:fill="auto"/>
            <w:noWrap/>
            <w:vAlign w:val="bottom"/>
            <w:hideMark/>
          </w:tcPr>
          <w:p w14:paraId="50695C26"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100,0</w:t>
            </w:r>
          </w:p>
        </w:tc>
        <w:tc>
          <w:tcPr>
            <w:tcW w:w="1160" w:type="dxa"/>
            <w:tcBorders>
              <w:top w:val="nil"/>
              <w:left w:val="nil"/>
              <w:bottom w:val="single" w:sz="4" w:space="0" w:color="auto"/>
              <w:right w:val="single" w:sz="4" w:space="0" w:color="auto"/>
            </w:tcBorders>
            <w:shd w:val="clear" w:color="auto" w:fill="auto"/>
            <w:noWrap/>
            <w:vAlign w:val="bottom"/>
            <w:hideMark/>
          </w:tcPr>
          <w:p w14:paraId="7500F205" w14:textId="77777777" w:rsidR="00A155A2" w:rsidRPr="001549A5" w:rsidRDefault="00A155A2" w:rsidP="001C77D2">
            <w:pPr>
              <w:spacing w:after="0" w:line="240" w:lineRule="auto"/>
              <w:jc w:val="center"/>
              <w:rPr>
                <w:rFonts w:ascii="Arial" w:eastAsia="Times New Roman" w:hAnsi="Arial" w:cs="Arial"/>
                <w:sz w:val="18"/>
                <w:szCs w:val="18"/>
                <w:lang w:eastAsia="sl-SI"/>
              </w:rPr>
            </w:pPr>
            <w:r w:rsidRPr="001549A5">
              <w:rPr>
                <w:rFonts w:ascii="Arial" w:eastAsia="Times New Roman" w:hAnsi="Arial" w:cs="Arial"/>
                <w:sz w:val="18"/>
                <w:szCs w:val="18"/>
                <w:lang w:eastAsia="sl-SI"/>
              </w:rPr>
              <w:t>111,6</w:t>
            </w:r>
          </w:p>
        </w:tc>
      </w:tr>
    </w:tbl>
    <w:p w14:paraId="18E5C8B4" w14:textId="77777777" w:rsidR="00A155A2" w:rsidRDefault="00A155A2" w:rsidP="00A155A2">
      <w:pPr>
        <w:jc w:val="both"/>
        <w:rPr>
          <w:rFonts w:ascii="Arial" w:hAnsi="Arial" w:cs="Arial"/>
          <w:i/>
          <w:sz w:val="20"/>
          <w:szCs w:val="20"/>
        </w:rPr>
      </w:pPr>
      <w:r w:rsidRPr="00104B6C">
        <w:rPr>
          <w:rFonts w:ascii="Arial" w:hAnsi="Arial" w:cs="Arial"/>
          <w:i/>
          <w:sz w:val="20"/>
          <w:szCs w:val="20"/>
        </w:rPr>
        <w:t>Vir: FURS</w:t>
      </w:r>
    </w:p>
    <w:p w14:paraId="42515A7C" w14:textId="77777777" w:rsidR="00A155A2" w:rsidRDefault="00A155A2" w:rsidP="00A155A2">
      <w:pPr>
        <w:jc w:val="both"/>
        <w:rPr>
          <w:rFonts w:ascii="Arial" w:hAnsi="Arial" w:cs="Arial"/>
          <w:i/>
          <w:sz w:val="20"/>
          <w:szCs w:val="20"/>
        </w:rPr>
      </w:pPr>
    </w:p>
    <w:p w14:paraId="4609309F" w14:textId="77777777" w:rsidR="00A155A2" w:rsidRDefault="00A155A2" w:rsidP="00A155A2">
      <w:pPr>
        <w:jc w:val="both"/>
        <w:rPr>
          <w:rFonts w:ascii="Arial" w:hAnsi="Arial" w:cs="Arial"/>
          <w:i/>
          <w:sz w:val="20"/>
          <w:szCs w:val="20"/>
        </w:rPr>
      </w:pPr>
    </w:p>
    <w:p w14:paraId="699B1AFA" w14:textId="77777777" w:rsidR="00A155A2" w:rsidRDefault="00A155A2" w:rsidP="00A155A2">
      <w:pPr>
        <w:jc w:val="both"/>
        <w:rPr>
          <w:rFonts w:ascii="Arial" w:hAnsi="Arial" w:cs="Arial"/>
          <w:i/>
          <w:sz w:val="20"/>
          <w:szCs w:val="20"/>
        </w:rPr>
      </w:pPr>
    </w:p>
    <w:p w14:paraId="7E66D324" w14:textId="77777777" w:rsidR="00A155A2" w:rsidRDefault="00A155A2" w:rsidP="00A155A2">
      <w:pPr>
        <w:rPr>
          <w:rFonts w:ascii="Arial" w:hAnsi="Arial" w:cs="Arial"/>
          <w:i/>
          <w:sz w:val="20"/>
          <w:szCs w:val="20"/>
        </w:rPr>
      </w:pPr>
      <w:r w:rsidRPr="00CD3666">
        <w:rPr>
          <w:rFonts w:ascii="Arial" w:hAnsi="Arial" w:cs="Arial"/>
          <w:i/>
          <w:sz w:val="20"/>
          <w:szCs w:val="20"/>
        </w:rPr>
        <w:lastRenderedPageBreak/>
        <w:t xml:space="preserve">Slika 2: </w:t>
      </w:r>
      <w:r w:rsidRPr="0084638B">
        <w:rPr>
          <w:rFonts w:ascii="Arial" w:hAnsi="Arial" w:cs="Arial"/>
          <w:i/>
          <w:sz w:val="20"/>
          <w:szCs w:val="20"/>
        </w:rPr>
        <w:t>Struktura neto pobranih prihodkov po prejemnikih sredstev v letu 202</w:t>
      </w:r>
      <w:r>
        <w:rPr>
          <w:rFonts w:ascii="Arial" w:hAnsi="Arial" w:cs="Arial"/>
          <w:i/>
          <w:sz w:val="20"/>
          <w:szCs w:val="20"/>
        </w:rPr>
        <w:t>4</w:t>
      </w:r>
    </w:p>
    <w:p w14:paraId="49BF029D" w14:textId="77777777" w:rsidR="00A155A2" w:rsidRDefault="00A155A2" w:rsidP="00A155A2">
      <w:pPr>
        <w:rPr>
          <w:rFonts w:ascii="Arial" w:hAnsi="Arial" w:cs="Arial"/>
          <w:i/>
          <w:sz w:val="20"/>
          <w:szCs w:val="20"/>
        </w:rPr>
      </w:pPr>
      <w:r>
        <w:rPr>
          <w:noProof/>
          <w:lang w:eastAsia="sl-SI"/>
        </w:rPr>
        <w:drawing>
          <wp:inline distT="0" distB="0" distL="0" distR="0" wp14:anchorId="414586FA" wp14:editId="23580AA6">
            <wp:extent cx="4995215" cy="1926006"/>
            <wp:effectExtent l="0" t="0" r="0" b="0"/>
            <wp:docPr id="1692192122" name="Grafikon 1">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D428A9" w14:textId="77777777" w:rsidR="00A155A2" w:rsidRPr="000B1174" w:rsidRDefault="00A155A2" w:rsidP="00A155A2">
      <w:pPr>
        <w:rPr>
          <w:szCs w:val="24"/>
          <w:lang w:eastAsia="sl-SI"/>
        </w:rPr>
      </w:pPr>
      <w:r w:rsidRPr="000B1174">
        <w:rPr>
          <w:rFonts w:ascii="Arial" w:hAnsi="Arial" w:cs="Arial"/>
          <w:i/>
          <w:sz w:val="20"/>
          <w:szCs w:val="20"/>
        </w:rPr>
        <w:t>Vir: FURS</w:t>
      </w:r>
    </w:p>
    <w:p w14:paraId="4928BD40" w14:textId="77777777" w:rsidR="00A155A2" w:rsidRDefault="00A155A2" w:rsidP="00A155A2">
      <w:pPr>
        <w:jc w:val="both"/>
        <w:rPr>
          <w:rFonts w:ascii="Arial" w:hAnsi="Arial" w:cs="Arial"/>
          <w:sz w:val="20"/>
          <w:szCs w:val="20"/>
        </w:rPr>
      </w:pPr>
      <w:r w:rsidRPr="006461FC">
        <w:rPr>
          <w:rFonts w:ascii="Arial" w:hAnsi="Arial" w:cs="Arial"/>
          <w:sz w:val="20"/>
          <w:szCs w:val="20"/>
        </w:rPr>
        <w:t xml:space="preserve">Največji delež pobranih prihodkov </w:t>
      </w:r>
      <w:r>
        <w:rPr>
          <w:rFonts w:ascii="Arial" w:hAnsi="Arial" w:cs="Arial"/>
          <w:sz w:val="20"/>
          <w:szCs w:val="20"/>
        </w:rPr>
        <w:t>obsegajo</w:t>
      </w:r>
      <w:r w:rsidRPr="006461FC">
        <w:rPr>
          <w:rFonts w:ascii="Arial" w:hAnsi="Arial" w:cs="Arial"/>
          <w:sz w:val="20"/>
          <w:szCs w:val="20"/>
        </w:rPr>
        <w:t xml:space="preserve"> skupaj prispevki za socialno varnost in transferni prihodki </w:t>
      </w:r>
      <w:r w:rsidRPr="00CA3ED9">
        <w:rPr>
          <w:rFonts w:ascii="Arial" w:hAnsi="Arial" w:cs="Arial"/>
          <w:sz w:val="20"/>
          <w:szCs w:val="20"/>
        </w:rPr>
        <w:t>od</w:t>
      </w:r>
      <w:r w:rsidRPr="006461FC">
        <w:rPr>
          <w:rFonts w:ascii="Arial" w:hAnsi="Arial" w:cs="Arial"/>
          <w:sz w:val="20"/>
          <w:szCs w:val="20"/>
        </w:rPr>
        <w:t xml:space="preserve"> prispevkov (4</w:t>
      </w:r>
      <w:r>
        <w:rPr>
          <w:rFonts w:ascii="Arial" w:hAnsi="Arial" w:cs="Arial"/>
          <w:sz w:val="20"/>
          <w:szCs w:val="20"/>
        </w:rPr>
        <w:t>4</w:t>
      </w:r>
      <w:r w:rsidRPr="006461FC">
        <w:rPr>
          <w:rFonts w:ascii="Arial" w:hAnsi="Arial" w:cs="Arial"/>
          <w:sz w:val="20"/>
          <w:szCs w:val="20"/>
        </w:rPr>
        <w:t>,</w:t>
      </w:r>
      <w:r>
        <w:rPr>
          <w:rFonts w:ascii="Arial" w:hAnsi="Arial" w:cs="Arial"/>
          <w:sz w:val="20"/>
          <w:szCs w:val="20"/>
        </w:rPr>
        <w:t>7</w:t>
      </w:r>
      <w:r w:rsidRPr="006461FC">
        <w:rPr>
          <w:rFonts w:ascii="Arial" w:hAnsi="Arial" w:cs="Arial"/>
          <w:sz w:val="20"/>
          <w:szCs w:val="20"/>
        </w:rPr>
        <w:t xml:space="preserve"> </w:t>
      </w:r>
      <w:r w:rsidRPr="00C46DF6">
        <w:rPr>
          <w:rFonts w:ascii="Arial" w:hAnsi="Arial" w:cs="Arial"/>
          <w:sz w:val="20"/>
          <w:szCs w:val="20"/>
        </w:rPr>
        <w:t>odstotka).</w:t>
      </w:r>
      <w:r w:rsidRPr="006461FC">
        <w:rPr>
          <w:rFonts w:ascii="Arial" w:hAnsi="Arial" w:cs="Arial"/>
          <w:sz w:val="20"/>
          <w:szCs w:val="20"/>
        </w:rPr>
        <w:t xml:space="preserve"> V letu 202</w:t>
      </w:r>
      <w:r>
        <w:rPr>
          <w:rFonts w:ascii="Arial" w:hAnsi="Arial" w:cs="Arial"/>
          <w:sz w:val="20"/>
          <w:szCs w:val="20"/>
        </w:rPr>
        <w:t>4</w:t>
      </w:r>
      <w:r w:rsidRPr="006461FC">
        <w:rPr>
          <w:rFonts w:ascii="Arial" w:hAnsi="Arial" w:cs="Arial"/>
          <w:sz w:val="20"/>
          <w:szCs w:val="20"/>
        </w:rPr>
        <w:t xml:space="preserve"> je bilo pobranih skup</w:t>
      </w:r>
      <w:r>
        <w:rPr>
          <w:rFonts w:ascii="Arial" w:hAnsi="Arial" w:cs="Arial"/>
          <w:sz w:val="20"/>
          <w:szCs w:val="20"/>
        </w:rPr>
        <w:t>no</w:t>
      </w:r>
      <w:r w:rsidRPr="006461FC">
        <w:rPr>
          <w:rFonts w:ascii="Arial" w:hAnsi="Arial" w:cs="Arial"/>
          <w:sz w:val="20"/>
          <w:szCs w:val="20"/>
        </w:rPr>
        <w:t xml:space="preserve"> za </w:t>
      </w:r>
      <w:r>
        <w:rPr>
          <w:rFonts w:ascii="Arial" w:hAnsi="Arial" w:cs="Arial"/>
          <w:sz w:val="20"/>
          <w:szCs w:val="20"/>
        </w:rPr>
        <w:t>13,6 odstotka</w:t>
      </w:r>
      <w:r w:rsidRPr="006461FC">
        <w:rPr>
          <w:rFonts w:ascii="Arial" w:hAnsi="Arial" w:cs="Arial"/>
          <w:sz w:val="20"/>
          <w:szCs w:val="20"/>
        </w:rPr>
        <w:t xml:space="preserve"> več teh </w:t>
      </w:r>
      <w:r w:rsidRPr="00CA3ED9">
        <w:rPr>
          <w:rFonts w:ascii="Arial" w:hAnsi="Arial" w:cs="Arial"/>
          <w:sz w:val="20"/>
          <w:szCs w:val="20"/>
        </w:rPr>
        <w:t>prihodkov kakor</w:t>
      </w:r>
      <w:r w:rsidRPr="006461FC">
        <w:rPr>
          <w:rFonts w:ascii="Arial" w:hAnsi="Arial" w:cs="Arial"/>
          <w:sz w:val="20"/>
          <w:szCs w:val="20"/>
        </w:rPr>
        <w:t xml:space="preserve"> v letu 202</w:t>
      </w:r>
      <w:r>
        <w:rPr>
          <w:rFonts w:ascii="Arial" w:hAnsi="Arial" w:cs="Arial"/>
          <w:sz w:val="20"/>
          <w:szCs w:val="20"/>
        </w:rPr>
        <w:t>3,</w:t>
      </w:r>
      <w:r w:rsidRPr="006461FC">
        <w:rPr>
          <w:rFonts w:ascii="Arial" w:hAnsi="Arial" w:cs="Arial"/>
          <w:sz w:val="20"/>
          <w:szCs w:val="20"/>
        </w:rPr>
        <w:t xml:space="preserve"> od tega je</w:t>
      </w:r>
      <w:r>
        <w:rPr>
          <w:rFonts w:ascii="Arial" w:hAnsi="Arial" w:cs="Arial"/>
          <w:sz w:val="20"/>
          <w:szCs w:val="20"/>
        </w:rPr>
        <w:t xml:space="preserve"> bila</w:t>
      </w:r>
      <w:r w:rsidRPr="006461FC">
        <w:rPr>
          <w:rFonts w:ascii="Arial" w:hAnsi="Arial" w:cs="Arial"/>
          <w:sz w:val="20"/>
          <w:szCs w:val="20"/>
        </w:rPr>
        <w:t xml:space="preserve"> rast prihodkov </w:t>
      </w:r>
      <w:r>
        <w:rPr>
          <w:rFonts w:ascii="Arial" w:hAnsi="Arial" w:cs="Arial"/>
          <w:sz w:val="20"/>
          <w:szCs w:val="20"/>
        </w:rPr>
        <w:t>od</w:t>
      </w:r>
      <w:r w:rsidRPr="006461FC">
        <w:rPr>
          <w:rFonts w:ascii="Arial" w:hAnsi="Arial" w:cs="Arial"/>
          <w:sz w:val="20"/>
          <w:szCs w:val="20"/>
        </w:rPr>
        <w:t xml:space="preserve"> prispevkov za socialno varnost </w:t>
      </w:r>
      <w:r>
        <w:rPr>
          <w:rFonts w:ascii="Arial" w:hAnsi="Arial" w:cs="Arial"/>
          <w:sz w:val="20"/>
          <w:szCs w:val="20"/>
        </w:rPr>
        <w:t>13,8-odstotna</w:t>
      </w:r>
      <w:r w:rsidRPr="006461FC">
        <w:rPr>
          <w:rFonts w:ascii="Arial" w:hAnsi="Arial" w:cs="Arial"/>
          <w:sz w:val="20"/>
          <w:szCs w:val="20"/>
        </w:rPr>
        <w:t xml:space="preserve">, medtem ko so </w:t>
      </w:r>
      <w:r>
        <w:rPr>
          <w:rFonts w:ascii="Arial" w:hAnsi="Arial" w:cs="Arial"/>
          <w:sz w:val="20"/>
          <w:szCs w:val="20"/>
        </w:rPr>
        <w:t xml:space="preserve">bili </w:t>
      </w:r>
      <w:r w:rsidRPr="006461FC">
        <w:rPr>
          <w:rFonts w:ascii="Arial" w:hAnsi="Arial" w:cs="Arial"/>
          <w:sz w:val="20"/>
          <w:szCs w:val="20"/>
        </w:rPr>
        <w:t xml:space="preserve">transferni </w:t>
      </w:r>
      <w:r w:rsidRPr="00CA3ED9">
        <w:rPr>
          <w:rFonts w:ascii="Arial" w:hAnsi="Arial" w:cs="Arial"/>
          <w:sz w:val="20"/>
          <w:szCs w:val="20"/>
        </w:rPr>
        <w:t>prihodki v</w:t>
      </w:r>
      <w:r>
        <w:rPr>
          <w:rFonts w:ascii="Arial" w:hAnsi="Arial" w:cs="Arial"/>
          <w:sz w:val="20"/>
          <w:szCs w:val="20"/>
        </w:rPr>
        <w:t>eč</w:t>
      </w:r>
      <w:r w:rsidRPr="00CA3ED9">
        <w:rPr>
          <w:rFonts w:ascii="Arial" w:hAnsi="Arial" w:cs="Arial"/>
          <w:sz w:val="20"/>
          <w:szCs w:val="20"/>
        </w:rPr>
        <w:t>ji za</w:t>
      </w:r>
      <w:r w:rsidRPr="006461FC">
        <w:rPr>
          <w:rFonts w:ascii="Arial" w:hAnsi="Arial" w:cs="Arial"/>
          <w:sz w:val="20"/>
          <w:szCs w:val="20"/>
        </w:rPr>
        <w:t xml:space="preserve"> </w:t>
      </w:r>
      <w:r>
        <w:rPr>
          <w:rFonts w:ascii="Arial" w:hAnsi="Arial" w:cs="Arial"/>
          <w:sz w:val="20"/>
          <w:szCs w:val="20"/>
        </w:rPr>
        <w:t>10,5 odstotka</w:t>
      </w:r>
      <w:r w:rsidRPr="006461FC">
        <w:rPr>
          <w:rFonts w:ascii="Arial" w:hAnsi="Arial" w:cs="Arial"/>
          <w:sz w:val="20"/>
          <w:szCs w:val="20"/>
        </w:rPr>
        <w:t>. Najobsežnejši med prispevki za socialno varnost je prispevek za pokojninsko in invalidsko zavarovanje.</w:t>
      </w:r>
      <w:r>
        <w:rPr>
          <w:rFonts w:ascii="Arial" w:hAnsi="Arial" w:cs="Arial"/>
          <w:sz w:val="20"/>
          <w:szCs w:val="20"/>
        </w:rPr>
        <w:t xml:space="preserve"> </w:t>
      </w:r>
      <w:r w:rsidRPr="006461FC">
        <w:rPr>
          <w:rFonts w:ascii="Arial" w:hAnsi="Arial" w:cs="Arial"/>
          <w:sz w:val="20"/>
          <w:szCs w:val="20"/>
        </w:rPr>
        <w:t>Po deležu pobranih prihodkov sledijo domači davki na blago in storitve (3</w:t>
      </w:r>
      <w:r>
        <w:rPr>
          <w:rFonts w:ascii="Arial" w:hAnsi="Arial" w:cs="Arial"/>
          <w:sz w:val="20"/>
          <w:szCs w:val="20"/>
        </w:rPr>
        <w:t>0</w:t>
      </w:r>
      <w:r w:rsidRPr="006461FC">
        <w:rPr>
          <w:rFonts w:ascii="Arial" w:hAnsi="Arial" w:cs="Arial"/>
          <w:sz w:val="20"/>
          <w:szCs w:val="20"/>
        </w:rPr>
        <w:t>,</w:t>
      </w:r>
      <w:r>
        <w:rPr>
          <w:rFonts w:ascii="Arial" w:hAnsi="Arial" w:cs="Arial"/>
          <w:sz w:val="20"/>
          <w:szCs w:val="20"/>
        </w:rPr>
        <w:t>2</w:t>
      </w:r>
      <w:r w:rsidRPr="006461FC">
        <w:rPr>
          <w:rFonts w:ascii="Arial" w:hAnsi="Arial" w:cs="Arial"/>
          <w:sz w:val="20"/>
          <w:szCs w:val="20"/>
        </w:rPr>
        <w:t xml:space="preserve"> </w:t>
      </w:r>
      <w:r>
        <w:rPr>
          <w:rFonts w:ascii="Arial" w:hAnsi="Arial" w:cs="Arial"/>
          <w:sz w:val="20"/>
          <w:szCs w:val="20"/>
        </w:rPr>
        <w:t>odstotka</w:t>
      </w:r>
      <w:r w:rsidRPr="006461FC">
        <w:rPr>
          <w:rFonts w:ascii="Arial" w:hAnsi="Arial" w:cs="Arial"/>
          <w:sz w:val="20"/>
          <w:szCs w:val="20"/>
        </w:rPr>
        <w:t xml:space="preserve">), </w:t>
      </w:r>
      <w:r>
        <w:rPr>
          <w:rFonts w:ascii="Arial" w:hAnsi="Arial" w:cs="Arial"/>
          <w:sz w:val="20"/>
          <w:szCs w:val="20"/>
        </w:rPr>
        <w:t>pri čemer</w:t>
      </w:r>
      <w:r w:rsidRPr="006461FC">
        <w:rPr>
          <w:rFonts w:ascii="Arial" w:hAnsi="Arial" w:cs="Arial"/>
          <w:sz w:val="20"/>
          <w:szCs w:val="20"/>
        </w:rPr>
        <w:t xml:space="preserve"> je bilo </w:t>
      </w:r>
      <w:r>
        <w:rPr>
          <w:rFonts w:ascii="Arial" w:hAnsi="Arial" w:cs="Arial"/>
          <w:sz w:val="20"/>
          <w:szCs w:val="20"/>
        </w:rPr>
        <w:t xml:space="preserve">teh </w:t>
      </w:r>
      <w:r w:rsidRPr="006461FC">
        <w:rPr>
          <w:rFonts w:ascii="Arial" w:hAnsi="Arial" w:cs="Arial"/>
          <w:sz w:val="20"/>
          <w:szCs w:val="20"/>
        </w:rPr>
        <w:t xml:space="preserve">pobranih za </w:t>
      </w:r>
      <w:r>
        <w:rPr>
          <w:rFonts w:ascii="Arial" w:hAnsi="Arial" w:cs="Arial"/>
          <w:sz w:val="20"/>
          <w:szCs w:val="20"/>
        </w:rPr>
        <w:t>4,3</w:t>
      </w:r>
      <w:r w:rsidRPr="006461FC">
        <w:rPr>
          <w:rFonts w:ascii="Arial" w:hAnsi="Arial" w:cs="Arial"/>
          <w:sz w:val="20"/>
          <w:szCs w:val="20"/>
        </w:rPr>
        <w:t xml:space="preserve"> </w:t>
      </w:r>
      <w:r>
        <w:rPr>
          <w:rFonts w:ascii="Arial" w:hAnsi="Arial" w:cs="Arial"/>
          <w:sz w:val="20"/>
          <w:szCs w:val="20"/>
        </w:rPr>
        <w:t>odstotka</w:t>
      </w:r>
      <w:r w:rsidRPr="006461FC">
        <w:rPr>
          <w:rFonts w:ascii="Arial" w:hAnsi="Arial" w:cs="Arial"/>
          <w:sz w:val="20"/>
          <w:szCs w:val="20"/>
        </w:rPr>
        <w:t xml:space="preserve"> več </w:t>
      </w:r>
      <w:r>
        <w:rPr>
          <w:rFonts w:ascii="Arial" w:hAnsi="Arial" w:cs="Arial"/>
          <w:sz w:val="20"/>
          <w:szCs w:val="20"/>
        </w:rPr>
        <w:t>kakor v</w:t>
      </w:r>
      <w:r w:rsidRPr="006461FC">
        <w:rPr>
          <w:rFonts w:ascii="Arial" w:hAnsi="Arial" w:cs="Arial"/>
          <w:sz w:val="20"/>
          <w:szCs w:val="20"/>
        </w:rPr>
        <w:t xml:space="preserve"> let</w:t>
      </w:r>
      <w:r>
        <w:rPr>
          <w:rFonts w:ascii="Arial" w:hAnsi="Arial" w:cs="Arial"/>
          <w:sz w:val="20"/>
          <w:szCs w:val="20"/>
        </w:rPr>
        <w:t>u</w:t>
      </w:r>
      <w:r w:rsidRPr="006461FC">
        <w:rPr>
          <w:rFonts w:ascii="Arial" w:hAnsi="Arial" w:cs="Arial"/>
          <w:sz w:val="20"/>
          <w:szCs w:val="20"/>
        </w:rPr>
        <w:t xml:space="preserve"> 202</w:t>
      </w:r>
      <w:r>
        <w:rPr>
          <w:rFonts w:ascii="Arial" w:hAnsi="Arial" w:cs="Arial"/>
          <w:sz w:val="20"/>
          <w:szCs w:val="20"/>
        </w:rPr>
        <w:t>3</w:t>
      </w:r>
      <w:r w:rsidRPr="006461FC">
        <w:rPr>
          <w:rFonts w:ascii="Arial" w:hAnsi="Arial" w:cs="Arial"/>
          <w:sz w:val="20"/>
          <w:szCs w:val="20"/>
        </w:rPr>
        <w:t>. Po obsegu prevladujeta davek na dodano vrednost in trošarine.</w:t>
      </w:r>
      <w:r>
        <w:rPr>
          <w:rFonts w:ascii="Arial" w:hAnsi="Arial" w:cs="Arial"/>
          <w:sz w:val="20"/>
          <w:szCs w:val="20"/>
        </w:rPr>
        <w:t xml:space="preserve"> Precej v</w:t>
      </w:r>
      <w:r w:rsidRPr="006461FC">
        <w:rPr>
          <w:rFonts w:ascii="Arial" w:hAnsi="Arial" w:cs="Arial"/>
          <w:sz w:val="20"/>
          <w:szCs w:val="20"/>
        </w:rPr>
        <w:t xml:space="preserve">elik delež </w:t>
      </w:r>
      <w:r>
        <w:rPr>
          <w:rFonts w:ascii="Arial" w:hAnsi="Arial" w:cs="Arial"/>
          <w:sz w:val="20"/>
          <w:szCs w:val="20"/>
        </w:rPr>
        <w:t>ima</w:t>
      </w:r>
      <w:r w:rsidRPr="006461FC">
        <w:rPr>
          <w:rFonts w:ascii="Arial" w:hAnsi="Arial" w:cs="Arial"/>
          <w:sz w:val="20"/>
          <w:szCs w:val="20"/>
        </w:rPr>
        <w:t xml:space="preserve"> tudi skupina davkov na dohodek in dobiček (2</w:t>
      </w:r>
      <w:r>
        <w:rPr>
          <w:rFonts w:ascii="Arial" w:hAnsi="Arial" w:cs="Arial"/>
          <w:sz w:val="20"/>
          <w:szCs w:val="20"/>
        </w:rPr>
        <w:t>2</w:t>
      </w:r>
      <w:r w:rsidRPr="006461FC">
        <w:rPr>
          <w:rFonts w:ascii="Arial" w:hAnsi="Arial" w:cs="Arial"/>
          <w:sz w:val="20"/>
          <w:szCs w:val="20"/>
        </w:rPr>
        <w:t>,</w:t>
      </w:r>
      <w:r>
        <w:rPr>
          <w:rFonts w:ascii="Arial" w:hAnsi="Arial" w:cs="Arial"/>
          <w:sz w:val="20"/>
          <w:szCs w:val="20"/>
        </w:rPr>
        <w:t>2</w:t>
      </w:r>
      <w:r w:rsidRPr="006461FC">
        <w:rPr>
          <w:rFonts w:ascii="Arial" w:hAnsi="Arial" w:cs="Arial"/>
          <w:sz w:val="20"/>
          <w:szCs w:val="20"/>
        </w:rPr>
        <w:t xml:space="preserve"> </w:t>
      </w:r>
      <w:r>
        <w:rPr>
          <w:rFonts w:ascii="Arial" w:hAnsi="Arial" w:cs="Arial"/>
          <w:sz w:val="20"/>
          <w:szCs w:val="20"/>
        </w:rPr>
        <w:t>odstotka</w:t>
      </w:r>
      <w:r w:rsidRPr="006461FC">
        <w:rPr>
          <w:rFonts w:ascii="Arial" w:hAnsi="Arial" w:cs="Arial"/>
          <w:sz w:val="20"/>
          <w:szCs w:val="20"/>
        </w:rPr>
        <w:t xml:space="preserve">), </w:t>
      </w:r>
      <w:r>
        <w:rPr>
          <w:rFonts w:ascii="Arial" w:hAnsi="Arial" w:cs="Arial"/>
          <w:sz w:val="20"/>
          <w:szCs w:val="20"/>
        </w:rPr>
        <w:t>teh</w:t>
      </w:r>
      <w:r w:rsidRPr="006461FC">
        <w:rPr>
          <w:rFonts w:ascii="Arial" w:hAnsi="Arial" w:cs="Arial"/>
          <w:sz w:val="20"/>
          <w:szCs w:val="20"/>
        </w:rPr>
        <w:t xml:space="preserve"> je bilo </w:t>
      </w:r>
      <w:r>
        <w:rPr>
          <w:rFonts w:ascii="Arial" w:hAnsi="Arial" w:cs="Arial"/>
          <w:sz w:val="20"/>
          <w:szCs w:val="20"/>
        </w:rPr>
        <w:t xml:space="preserve">v letni primerjavi </w:t>
      </w:r>
      <w:r w:rsidRPr="006461FC">
        <w:rPr>
          <w:rFonts w:ascii="Arial" w:hAnsi="Arial" w:cs="Arial"/>
          <w:sz w:val="20"/>
          <w:szCs w:val="20"/>
        </w:rPr>
        <w:t xml:space="preserve">pobranih za </w:t>
      </w:r>
      <w:r>
        <w:rPr>
          <w:rFonts w:ascii="Arial" w:hAnsi="Arial" w:cs="Arial"/>
          <w:sz w:val="20"/>
          <w:szCs w:val="20"/>
        </w:rPr>
        <w:t>20,3</w:t>
      </w:r>
      <w:r w:rsidRPr="006461FC">
        <w:rPr>
          <w:rFonts w:ascii="Arial" w:hAnsi="Arial" w:cs="Arial"/>
          <w:sz w:val="20"/>
          <w:szCs w:val="20"/>
        </w:rPr>
        <w:t xml:space="preserve"> </w:t>
      </w:r>
      <w:r>
        <w:rPr>
          <w:rFonts w:ascii="Arial" w:hAnsi="Arial" w:cs="Arial"/>
          <w:sz w:val="20"/>
          <w:szCs w:val="20"/>
        </w:rPr>
        <w:t xml:space="preserve">odstotka </w:t>
      </w:r>
      <w:r w:rsidRPr="006461FC">
        <w:rPr>
          <w:rFonts w:ascii="Arial" w:hAnsi="Arial" w:cs="Arial"/>
          <w:sz w:val="20"/>
          <w:szCs w:val="20"/>
        </w:rPr>
        <w:t>več. Največ prihodkov v tej skupini pripada dohodnini.</w:t>
      </w:r>
      <w:r>
        <w:rPr>
          <w:rFonts w:ascii="Arial" w:hAnsi="Arial" w:cs="Arial"/>
          <w:sz w:val="20"/>
          <w:szCs w:val="20"/>
        </w:rPr>
        <w:t xml:space="preserve"> </w:t>
      </w:r>
    </w:p>
    <w:p w14:paraId="3AF122A2" w14:textId="77777777" w:rsidR="00A155A2" w:rsidRPr="006A1276" w:rsidRDefault="00A155A2" w:rsidP="00A155A2">
      <w:pPr>
        <w:jc w:val="both"/>
        <w:rPr>
          <w:rFonts w:ascii="Arial" w:eastAsia="Times New Roman" w:hAnsi="Arial" w:cs="Arial"/>
          <w:i/>
          <w:sz w:val="20"/>
          <w:szCs w:val="20"/>
          <w:lang w:eastAsia="sl-SI"/>
        </w:rPr>
      </w:pPr>
      <w:r w:rsidRPr="00960DF8">
        <w:rPr>
          <w:rFonts w:ascii="Arial" w:eastAsia="Times New Roman" w:hAnsi="Arial" w:cs="Arial"/>
          <w:i/>
          <w:sz w:val="20"/>
          <w:szCs w:val="20"/>
          <w:lang w:eastAsia="sl-SI"/>
        </w:rPr>
        <w:t>Slika 3</w:t>
      </w:r>
      <w:r w:rsidRPr="0084638B">
        <w:rPr>
          <w:rFonts w:ascii="Arial" w:eastAsia="Times New Roman" w:hAnsi="Arial" w:cs="Arial"/>
          <w:i/>
          <w:sz w:val="20"/>
          <w:szCs w:val="20"/>
          <w:lang w:eastAsia="sl-SI"/>
        </w:rPr>
        <w:t xml:space="preserve">: Struktura neto pobranih javnofinančnih prihodkov </w:t>
      </w:r>
      <w:r w:rsidRPr="00CA3ED9">
        <w:rPr>
          <w:rFonts w:ascii="Arial" w:eastAsia="Times New Roman" w:hAnsi="Arial" w:cs="Arial"/>
          <w:i/>
          <w:sz w:val="20"/>
          <w:szCs w:val="20"/>
          <w:lang w:eastAsia="sl-SI"/>
        </w:rPr>
        <w:t>po vrstah prihodkov v letu 2024</w:t>
      </w:r>
    </w:p>
    <w:p w14:paraId="4FCA6749" w14:textId="77777777" w:rsidR="00A155A2" w:rsidRDefault="00A155A2" w:rsidP="00A155A2">
      <w:pPr>
        <w:jc w:val="center"/>
        <w:rPr>
          <w:rFonts w:ascii="Arial" w:hAnsi="Arial" w:cs="Arial"/>
          <w:i/>
          <w:sz w:val="20"/>
          <w:szCs w:val="20"/>
        </w:rPr>
      </w:pPr>
      <w:r>
        <w:rPr>
          <w:noProof/>
          <w:lang w:eastAsia="sl-SI"/>
        </w:rPr>
        <w:drawing>
          <wp:inline distT="0" distB="0" distL="0" distR="0" wp14:anchorId="039D5661" wp14:editId="46077312">
            <wp:extent cx="4534332" cy="2142490"/>
            <wp:effectExtent l="0" t="0" r="0" b="0"/>
            <wp:docPr id="1167581721" name="Grafikon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E92B78" w14:textId="77777777" w:rsidR="00A155A2" w:rsidRPr="004D6C43" w:rsidRDefault="00A155A2" w:rsidP="00A155A2">
      <w:r w:rsidRPr="004D6C43">
        <w:rPr>
          <w:rFonts w:ascii="Arial" w:hAnsi="Arial" w:cs="Arial"/>
          <w:i/>
          <w:sz w:val="20"/>
          <w:szCs w:val="20"/>
        </w:rPr>
        <w:t>Vir: FURS</w:t>
      </w:r>
    </w:p>
    <w:bookmarkEnd w:id="10"/>
    <w:p w14:paraId="66356D2A" w14:textId="77777777" w:rsidR="00A155A2" w:rsidRDefault="00A155A2" w:rsidP="00A155A2">
      <w:pPr>
        <w:jc w:val="both"/>
        <w:rPr>
          <w:rFonts w:ascii="Arial" w:hAnsi="Arial" w:cs="Arial"/>
          <w:color w:val="000000"/>
          <w:sz w:val="20"/>
          <w:szCs w:val="20"/>
          <w:lang w:eastAsia="sl-SI"/>
        </w:rPr>
      </w:pPr>
    </w:p>
    <w:p w14:paraId="2AA9C48B" w14:textId="77777777" w:rsidR="00A155A2" w:rsidRDefault="00A155A2" w:rsidP="00A155A2">
      <w:pPr>
        <w:jc w:val="both"/>
        <w:rPr>
          <w:rFonts w:ascii="Arial" w:hAnsi="Arial" w:cs="Arial"/>
          <w:color w:val="000000"/>
          <w:sz w:val="20"/>
          <w:szCs w:val="20"/>
          <w:lang w:eastAsia="sl-SI"/>
        </w:rPr>
      </w:pPr>
      <w:r w:rsidRPr="009C597A">
        <w:rPr>
          <w:rFonts w:ascii="Arial" w:hAnsi="Arial" w:cs="Arial"/>
          <w:color w:val="000000"/>
          <w:sz w:val="20"/>
          <w:szCs w:val="20"/>
          <w:lang w:eastAsia="sl-SI"/>
        </w:rPr>
        <w:t>Krepitev kulture prostovoljnega izpolnjevanja zakonskih obveznosti je prednostni dol</w:t>
      </w:r>
      <w:r>
        <w:rPr>
          <w:rFonts w:ascii="Arial" w:hAnsi="Arial" w:cs="Arial"/>
          <w:color w:val="000000"/>
          <w:sz w:val="20"/>
          <w:szCs w:val="20"/>
          <w:lang w:eastAsia="sl-SI"/>
        </w:rPr>
        <w:t>goročni cilj FURS.</w:t>
      </w:r>
      <w:r w:rsidRPr="009C597A">
        <w:rPr>
          <w:rFonts w:ascii="Arial" w:hAnsi="Arial" w:cs="Arial"/>
          <w:color w:val="000000"/>
          <w:sz w:val="20"/>
          <w:szCs w:val="20"/>
          <w:lang w:eastAsia="sl-SI"/>
        </w:rPr>
        <w:t xml:space="preserve"> </w:t>
      </w:r>
      <w:r w:rsidRPr="00CA3ED9">
        <w:rPr>
          <w:rFonts w:ascii="Arial" w:hAnsi="Arial" w:cs="Arial"/>
          <w:color w:val="000000"/>
          <w:sz w:val="20"/>
          <w:szCs w:val="20"/>
          <w:lang w:eastAsia="sl-SI"/>
        </w:rPr>
        <w:t>V ta namen</w:t>
      </w:r>
      <w:r w:rsidRPr="009C597A">
        <w:rPr>
          <w:rFonts w:ascii="Arial" w:hAnsi="Arial" w:cs="Arial"/>
          <w:color w:val="000000"/>
          <w:sz w:val="20"/>
          <w:szCs w:val="20"/>
          <w:lang w:eastAsia="sl-SI"/>
        </w:rPr>
        <w:t xml:space="preserve"> se </w:t>
      </w:r>
      <w:r>
        <w:rPr>
          <w:rFonts w:ascii="Arial" w:hAnsi="Arial" w:cs="Arial"/>
          <w:color w:val="000000"/>
          <w:sz w:val="20"/>
          <w:szCs w:val="20"/>
          <w:lang w:eastAsia="sl-SI"/>
        </w:rPr>
        <w:t>neprekinjeno</w:t>
      </w:r>
      <w:r w:rsidRPr="009C597A">
        <w:rPr>
          <w:rFonts w:ascii="Arial" w:hAnsi="Arial" w:cs="Arial"/>
          <w:color w:val="000000"/>
          <w:sz w:val="20"/>
          <w:szCs w:val="20"/>
          <w:lang w:eastAsia="sl-SI"/>
        </w:rPr>
        <w:t xml:space="preserve"> izvaja</w:t>
      </w:r>
      <w:r>
        <w:rPr>
          <w:rFonts w:ascii="Arial" w:hAnsi="Arial" w:cs="Arial"/>
          <w:color w:val="000000"/>
          <w:sz w:val="20"/>
          <w:szCs w:val="20"/>
          <w:lang w:eastAsia="sl-SI"/>
        </w:rPr>
        <w:t>jo</w:t>
      </w:r>
      <w:r w:rsidRPr="009C597A">
        <w:rPr>
          <w:rFonts w:ascii="Arial" w:hAnsi="Arial" w:cs="Arial"/>
          <w:color w:val="000000"/>
          <w:sz w:val="20"/>
          <w:szCs w:val="20"/>
          <w:lang w:eastAsia="sl-SI"/>
        </w:rPr>
        <w:t xml:space="preserve"> </w:t>
      </w:r>
      <w:r>
        <w:rPr>
          <w:rFonts w:ascii="Arial" w:hAnsi="Arial" w:cs="Arial"/>
          <w:color w:val="000000"/>
          <w:sz w:val="20"/>
          <w:szCs w:val="20"/>
          <w:lang w:eastAsia="sl-SI"/>
        </w:rPr>
        <w:t>številni</w:t>
      </w:r>
      <w:r w:rsidRPr="009C597A">
        <w:rPr>
          <w:rFonts w:ascii="Arial" w:hAnsi="Arial" w:cs="Arial"/>
          <w:color w:val="000000"/>
          <w:sz w:val="20"/>
          <w:szCs w:val="20"/>
          <w:lang w:eastAsia="sl-SI"/>
        </w:rPr>
        <w:t xml:space="preserve"> medsebojno povezani ukrep</w:t>
      </w:r>
      <w:r>
        <w:rPr>
          <w:rFonts w:ascii="Arial" w:hAnsi="Arial" w:cs="Arial"/>
          <w:color w:val="000000"/>
          <w:sz w:val="20"/>
          <w:szCs w:val="20"/>
          <w:lang w:eastAsia="sl-SI"/>
        </w:rPr>
        <w:t>i</w:t>
      </w:r>
      <w:r w:rsidRPr="009C597A">
        <w:rPr>
          <w:rFonts w:ascii="Arial" w:hAnsi="Arial" w:cs="Arial"/>
          <w:color w:val="000000"/>
          <w:sz w:val="20"/>
          <w:szCs w:val="20"/>
          <w:lang w:eastAsia="sl-SI"/>
        </w:rPr>
        <w:t xml:space="preserve"> na različnih </w:t>
      </w:r>
      <w:r w:rsidRPr="00CA3ED9">
        <w:rPr>
          <w:rFonts w:ascii="Arial" w:hAnsi="Arial" w:cs="Arial"/>
          <w:color w:val="000000"/>
          <w:sz w:val="20"/>
          <w:szCs w:val="20"/>
          <w:lang w:eastAsia="sl-SI"/>
        </w:rPr>
        <w:t>področjih nje</w:t>
      </w:r>
      <w:r>
        <w:rPr>
          <w:rFonts w:ascii="Arial" w:hAnsi="Arial" w:cs="Arial"/>
          <w:color w:val="000000"/>
          <w:sz w:val="20"/>
          <w:szCs w:val="20"/>
          <w:lang w:eastAsia="sl-SI"/>
        </w:rPr>
        <w:t>gov</w:t>
      </w:r>
      <w:r w:rsidRPr="00CA3ED9">
        <w:rPr>
          <w:rFonts w:ascii="Arial" w:hAnsi="Arial" w:cs="Arial"/>
          <w:color w:val="000000"/>
          <w:sz w:val="20"/>
          <w:szCs w:val="20"/>
          <w:lang w:eastAsia="sl-SI"/>
        </w:rPr>
        <w:t>ega delovanja</w:t>
      </w:r>
      <w:r w:rsidRPr="009C597A">
        <w:rPr>
          <w:rFonts w:ascii="Arial" w:hAnsi="Arial" w:cs="Arial"/>
          <w:color w:val="000000"/>
          <w:sz w:val="20"/>
          <w:szCs w:val="20"/>
          <w:lang w:eastAsia="sl-SI"/>
        </w:rPr>
        <w:t xml:space="preserve"> od preventivnih do zelo ciljno usmerjenih aktivnosti. Podrobneje so te aktivnost</w:t>
      </w:r>
      <w:r>
        <w:rPr>
          <w:rFonts w:ascii="Arial" w:hAnsi="Arial" w:cs="Arial"/>
          <w:color w:val="000000"/>
          <w:sz w:val="20"/>
          <w:szCs w:val="20"/>
          <w:lang w:eastAsia="sl-SI"/>
        </w:rPr>
        <w:t>i</w:t>
      </w:r>
      <w:r w:rsidRPr="009C597A">
        <w:rPr>
          <w:rFonts w:ascii="Arial" w:hAnsi="Arial" w:cs="Arial"/>
          <w:color w:val="000000"/>
          <w:sz w:val="20"/>
          <w:szCs w:val="20"/>
          <w:lang w:eastAsia="sl-SI"/>
        </w:rPr>
        <w:t xml:space="preserve"> </w:t>
      </w:r>
      <w:r>
        <w:rPr>
          <w:rFonts w:ascii="Arial" w:hAnsi="Arial" w:cs="Arial"/>
          <w:color w:val="000000"/>
          <w:sz w:val="20"/>
          <w:szCs w:val="20"/>
          <w:lang w:eastAsia="sl-SI"/>
        </w:rPr>
        <w:t>opisane</w:t>
      </w:r>
      <w:r w:rsidRPr="009C597A">
        <w:rPr>
          <w:rFonts w:ascii="Arial" w:hAnsi="Arial" w:cs="Arial"/>
          <w:color w:val="000000"/>
          <w:sz w:val="20"/>
          <w:szCs w:val="20"/>
          <w:lang w:eastAsia="sl-SI"/>
        </w:rPr>
        <w:t xml:space="preserve"> </w:t>
      </w:r>
      <w:r w:rsidRPr="002D482D">
        <w:rPr>
          <w:rFonts w:ascii="Arial" w:hAnsi="Arial" w:cs="Arial"/>
          <w:color w:val="000000"/>
          <w:sz w:val="20"/>
          <w:szCs w:val="20"/>
          <w:lang w:eastAsia="sl-SI"/>
        </w:rPr>
        <w:t>v 8. poglavju tega poročila.</w:t>
      </w:r>
      <w:r>
        <w:rPr>
          <w:rFonts w:ascii="Arial" w:hAnsi="Arial" w:cs="Arial"/>
          <w:color w:val="000000"/>
          <w:sz w:val="20"/>
          <w:szCs w:val="20"/>
          <w:lang w:eastAsia="sl-SI"/>
        </w:rPr>
        <w:t xml:space="preserve"> </w:t>
      </w:r>
    </w:p>
    <w:p w14:paraId="4DE5CBA2" w14:textId="77777777" w:rsidR="00A155A2" w:rsidRDefault="00A155A2" w:rsidP="00A155A2">
      <w:pPr>
        <w:jc w:val="both"/>
        <w:rPr>
          <w:rFonts w:ascii="Arial" w:hAnsi="Arial" w:cs="Arial"/>
          <w:sz w:val="20"/>
          <w:szCs w:val="20"/>
        </w:rPr>
      </w:pPr>
      <w:r w:rsidRPr="009235F6">
        <w:rPr>
          <w:rFonts w:ascii="Arial" w:hAnsi="Arial" w:cs="Arial"/>
          <w:sz w:val="20"/>
          <w:szCs w:val="20"/>
        </w:rPr>
        <w:t>Davek je vsak denarni prihodek državnega proračuna, proračuna Evropske unije ali proračuna samoupravne lokalne skupnosti, ki n</w:t>
      </w:r>
      <w:r>
        <w:rPr>
          <w:rFonts w:ascii="Arial" w:hAnsi="Arial" w:cs="Arial"/>
          <w:sz w:val="20"/>
          <w:szCs w:val="20"/>
        </w:rPr>
        <w:t>i</w:t>
      </w:r>
      <w:r w:rsidRPr="009235F6">
        <w:rPr>
          <w:rFonts w:ascii="Arial" w:hAnsi="Arial" w:cs="Arial"/>
          <w:sz w:val="20"/>
          <w:szCs w:val="20"/>
        </w:rPr>
        <w:t xml:space="preserve"> plačil</w:t>
      </w:r>
      <w:r>
        <w:rPr>
          <w:rFonts w:ascii="Arial" w:hAnsi="Arial" w:cs="Arial"/>
          <w:sz w:val="20"/>
          <w:szCs w:val="20"/>
        </w:rPr>
        <w:t>o</w:t>
      </w:r>
      <w:r w:rsidRPr="009235F6">
        <w:rPr>
          <w:rFonts w:ascii="Arial" w:hAnsi="Arial" w:cs="Arial"/>
          <w:sz w:val="20"/>
          <w:szCs w:val="20"/>
        </w:rPr>
        <w:t xml:space="preserve"> za opravljeno storitev ali dobavljeno blago in se plača </w:t>
      </w:r>
      <w:r w:rsidRPr="009235F6">
        <w:rPr>
          <w:rFonts w:ascii="Arial" w:hAnsi="Arial" w:cs="Arial"/>
          <w:sz w:val="20"/>
          <w:szCs w:val="20"/>
        </w:rPr>
        <w:lastRenderedPageBreak/>
        <w:t xml:space="preserve">izključno na podlagi zakonov o obdavčenju </w:t>
      </w:r>
      <w:r>
        <w:rPr>
          <w:rFonts w:ascii="Arial" w:hAnsi="Arial" w:cs="Arial"/>
          <w:sz w:val="20"/>
          <w:szCs w:val="20"/>
        </w:rPr>
        <w:t>ali</w:t>
      </w:r>
      <w:r w:rsidRPr="009235F6">
        <w:rPr>
          <w:rFonts w:ascii="Arial" w:hAnsi="Arial" w:cs="Arial"/>
          <w:sz w:val="20"/>
          <w:szCs w:val="20"/>
        </w:rPr>
        <w:t xml:space="preserve"> predpisov samoupravnih lokalnih skupnosti, izdanih na podlagi zakonov o obdavčenju. </w:t>
      </w:r>
    </w:p>
    <w:bookmarkEnd w:id="9"/>
    <w:p w14:paraId="03C1D61B" w14:textId="77777777" w:rsidR="00A155A2" w:rsidRPr="00086D64" w:rsidRDefault="00A155A2" w:rsidP="00A155A2">
      <w:pPr>
        <w:pStyle w:val="Odstavekseznama1"/>
        <w:spacing w:line="276" w:lineRule="auto"/>
        <w:ind w:left="0"/>
        <w:rPr>
          <w:rFonts w:ascii="Arial" w:hAnsi="Arial" w:cs="Arial"/>
          <w:sz w:val="20"/>
          <w:szCs w:val="20"/>
        </w:rPr>
      </w:pPr>
      <w:r w:rsidRPr="00086D64">
        <w:rPr>
          <w:rFonts w:ascii="Arial" w:hAnsi="Arial" w:cs="Arial"/>
          <w:sz w:val="20"/>
          <w:szCs w:val="20"/>
        </w:rPr>
        <w:t>V skladu s 3. členom Zakona o davčnem postopku</w:t>
      </w:r>
      <w:r>
        <w:rPr>
          <w:rFonts w:ascii="Arial" w:hAnsi="Arial" w:cs="Arial"/>
          <w:sz w:val="20"/>
          <w:szCs w:val="20"/>
        </w:rPr>
        <w:t xml:space="preserve"> </w:t>
      </w:r>
      <w:r w:rsidRPr="00086D64">
        <w:rPr>
          <w:rFonts w:ascii="Arial" w:hAnsi="Arial" w:cs="Arial"/>
          <w:sz w:val="20"/>
          <w:szCs w:val="20"/>
        </w:rPr>
        <w:t>(</w:t>
      </w:r>
      <w:r>
        <w:rPr>
          <w:rFonts w:ascii="Arial" w:hAnsi="Arial" w:cs="Arial"/>
          <w:sz w:val="20"/>
          <w:szCs w:val="20"/>
        </w:rPr>
        <w:t xml:space="preserve">v nadaljnjem besedilu: </w:t>
      </w:r>
      <w:r w:rsidRPr="00086D64">
        <w:rPr>
          <w:rFonts w:ascii="Arial" w:hAnsi="Arial" w:cs="Arial"/>
          <w:sz w:val="20"/>
          <w:szCs w:val="20"/>
        </w:rPr>
        <w:t>ZDavP-2)</w:t>
      </w:r>
      <w:r w:rsidRPr="00086D64">
        <w:rPr>
          <w:rStyle w:val="Sprotnaopomba-sklic"/>
          <w:rFonts w:ascii="Arial" w:hAnsi="Arial" w:cs="Arial"/>
          <w:sz w:val="20"/>
          <w:szCs w:val="20"/>
        </w:rPr>
        <w:footnoteReference w:id="5"/>
      </w:r>
      <w:r w:rsidRPr="00086D64">
        <w:rPr>
          <w:rFonts w:ascii="Arial" w:hAnsi="Arial" w:cs="Arial"/>
          <w:sz w:val="20"/>
          <w:szCs w:val="20"/>
        </w:rPr>
        <w:t xml:space="preserve"> se </w:t>
      </w:r>
      <w:r>
        <w:rPr>
          <w:rFonts w:ascii="Arial" w:hAnsi="Arial" w:cs="Arial"/>
          <w:sz w:val="20"/>
          <w:szCs w:val="20"/>
        </w:rPr>
        <w:t>za</w:t>
      </w:r>
      <w:r w:rsidRPr="00086D64">
        <w:rPr>
          <w:rFonts w:ascii="Arial" w:hAnsi="Arial" w:cs="Arial"/>
          <w:sz w:val="20"/>
          <w:szCs w:val="20"/>
        </w:rPr>
        <w:t xml:space="preserve"> davek štejejo tudi:</w:t>
      </w:r>
    </w:p>
    <w:p w14:paraId="3E3F6B87" w14:textId="77777777" w:rsidR="00A155A2" w:rsidRPr="005F3830" w:rsidRDefault="00A155A2" w:rsidP="00A155A2">
      <w:pPr>
        <w:pStyle w:val="Odstavekseznama"/>
        <w:numPr>
          <w:ilvl w:val="0"/>
          <w:numId w:val="1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contextualSpacing w:val="0"/>
        <w:jc w:val="both"/>
        <w:rPr>
          <w:rFonts w:ascii="Arial" w:hAnsi="Arial" w:cs="Arial"/>
          <w:iCs/>
          <w:sz w:val="20"/>
          <w:szCs w:val="20"/>
        </w:rPr>
      </w:pPr>
      <w:r w:rsidRPr="005F3830">
        <w:rPr>
          <w:rFonts w:ascii="Arial" w:hAnsi="Arial" w:cs="Arial"/>
          <w:iCs/>
          <w:sz w:val="20"/>
          <w:szCs w:val="20"/>
        </w:rPr>
        <w:t>uvozne in izvozne dajatve</w:t>
      </w:r>
      <w:r>
        <w:rPr>
          <w:rFonts w:ascii="Arial" w:hAnsi="Arial" w:cs="Arial"/>
          <w:iCs/>
          <w:sz w:val="20"/>
          <w:szCs w:val="20"/>
        </w:rPr>
        <w:t xml:space="preserve"> po</w:t>
      </w:r>
      <w:r w:rsidRPr="005F3830">
        <w:rPr>
          <w:rFonts w:ascii="Arial" w:hAnsi="Arial" w:cs="Arial"/>
          <w:iCs/>
          <w:sz w:val="20"/>
          <w:szCs w:val="20"/>
        </w:rPr>
        <w:t xml:space="preserve"> predpisi</w:t>
      </w:r>
      <w:r>
        <w:rPr>
          <w:rFonts w:ascii="Arial" w:hAnsi="Arial" w:cs="Arial"/>
          <w:iCs/>
          <w:sz w:val="20"/>
          <w:szCs w:val="20"/>
        </w:rPr>
        <w:t>h</w:t>
      </w:r>
      <w:r w:rsidRPr="005F3830">
        <w:rPr>
          <w:rFonts w:ascii="Arial" w:hAnsi="Arial" w:cs="Arial"/>
          <w:iCs/>
          <w:sz w:val="20"/>
          <w:szCs w:val="20"/>
        </w:rPr>
        <w:t xml:space="preserve"> Evropske unije,</w:t>
      </w:r>
    </w:p>
    <w:p w14:paraId="220CE9D8" w14:textId="77777777" w:rsidR="00A155A2" w:rsidRPr="005F3830" w:rsidRDefault="00A155A2" w:rsidP="00A155A2">
      <w:pPr>
        <w:pStyle w:val="Odstavekseznama"/>
        <w:numPr>
          <w:ilvl w:val="0"/>
          <w:numId w:val="1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contextualSpacing w:val="0"/>
        <w:jc w:val="both"/>
        <w:rPr>
          <w:rFonts w:ascii="Arial" w:hAnsi="Arial" w:cs="Arial"/>
          <w:iCs/>
          <w:sz w:val="20"/>
          <w:szCs w:val="20"/>
        </w:rPr>
      </w:pPr>
      <w:r w:rsidRPr="005F3830">
        <w:rPr>
          <w:rFonts w:ascii="Arial" w:hAnsi="Arial" w:cs="Arial"/>
          <w:iCs/>
          <w:sz w:val="20"/>
          <w:szCs w:val="20"/>
        </w:rPr>
        <w:t>prispevki za obvezno pokojninsko in invalidsko zavarovanje, obvezno zdravstveno zavarovanje,</w:t>
      </w:r>
      <w:r>
        <w:rPr>
          <w:rFonts w:ascii="Arial" w:hAnsi="Arial" w:cs="Arial"/>
          <w:iCs/>
          <w:sz w:val="20"/>
          <w:szCs w:val="20"/>
        </w:rPr>
        <w:t xml:space="preserve"> </w:t>
      </w:r>
      <w:r w:rsidRPr="005F3830">
        <w:rPr>
          <w:rFonts w:ascii="Arial" w:hAnsi="Arial" w:cs="Arial"/>
          <w:iCs/>
          <w:sz w:val="20"/>
          <w:szCs w:val="20"/>
        </w:rPr>
        <w:t>zaposlovanje in starševsko varstvo,</w:t>
      </w:r>
    </w:p>
    <w:p w14:paraId="6473C81A" w14:textId="77777777" w:rsidR="00A155A2" w:rsidRPr="005F3830" w:rsidRDefault="00A155A2" w:rsidP="00A155A2">
      <w:pPr>
        <w:pStyle w:val="Odstavekseznama"/>
        <w:numPr>
          <w:ilvl w:val="0"/>
          <w:numId w:val="1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contextualSpacing w:val="0"/>
        <w:jc w:val="both"/>
        <w:rPr>
          <w:rFonts w:ascii="Arial" w:hAnsi="Arial" w:cs="Arial"/>
          <w:iCs/>
          <w:sz w:val="20"/>
          <w:szCs w:val="20"/>
        </w:rPr>
      </w:pPr>
      <w:r w:rsidRPr="005F3830">
        <w:rPr>
          <w:rFonts w:ascii="Arial" w:hAnsi="Arial" w:cs="Arial"/>
          <w:iCs/>
          <w:sz w:val="20"/>
          <w:szCs w:val="20"/>
        </w:rPr>
        <w:t>nadomestila, intervencijski in drugi ukrepi, ki so v celoti ali delno sistem financiranja kmetijskega usmerjevalnega in jamstvenega sklada, vključno z zneski, pobranimi v zvezi s temi ukrepi,</w:t>
      </w:r>
    </w:p>
    <w:p w14:paraId="48D075F8" w14:textId="77777777" w:rsidR="00A155A2" w:rsidRDefault="00A155A2" w:rsidP="00A155A2">
      <w:pPr>
        <w:pStyle w:val="Odstavekseznama"/>
        <w:numPr>
          <w:ilvl w:val="0"/>
          <w:numId w:val="1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contextualSpacing w:val="0"/>
        <w:jc w:val="both"/>
        <w:rPr>
          <w:rFonts w:ascii="Arial" w:hAnsi="Arial" w:cs="Arial"/>
          <w:iCs/>
          <w:sz w:val="20"/>
          <w:szCs w:val="20"/>
        </w:rPr>
      </w:pPr>
      <w:r w:rsidRPr="005F3830">
        <w:rPr>
          <w:rFonts w:ascii="Arial" w:hAnsi="Arial" w:cs="Arial"/>
          <w:iCs/>
          <w:sz w:val="20"/>
          <w:szCs w:val="20"/>
        </w:rPr>
        <w:t>obresti, stroški postopka pobiranja davkov, denarne kazni in globe ter stroški postopka o prekršku, ki jih odmeri oziroma izreka davčni organ.</w:t>
      </w:r>
    </w:p>
    <w:p w14:paraId="004A93D9" w14:textId="77777777" w:rsidR="00A155A2" w:rsidRPr="005F3830" w:rsidRDefault="00A155A2" w:rsidP="00A155A2">
      <w:pPr>
        <w:pStyle w:val="Odstavekseznam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iCs/>
          <w:sz w:val="20"/>
          <w:szCs w:val="20"/>
        </w:rPr>
      </w:pPr>
    </w:p>
    <w:p w14:paraId="48169CC3" w14:textId="77777777" w:rsidR="00A155A2" w:rsidRDefault="00A155A2" w:rsidP="00A155A2">
      <w:pPr>
        <w:jc w:val="both"/>
        <w:rPr>
          <w:rFonts w:ascii="Arial" w:eastAsia="Times New Roman" w:hAnsi="Arial" w:cs="Arial"/>
          <w:iCs/>
          <w:sz w:val="20"/>
          <w:szCs w:val="20"/>
          <w:lang w:eastAsia="sl-SI"/>
        </w:rPr>
      </w:pPr>
      <w:r w:rsidRPr="00C67A58">
        <w:rPr>
          <w:rFonts w:ascii="Arial" w:eastAsia="Times New Roman" w:hAnsi="Arial" w:cs="Arial"/>
          <w:iCs/>
          <w:sz w:val="20"/>
          <w:szCs w:val="20"/>
          <w:lang w:eastAsia="sl-SI"/>
        </w:rPr>
        <w:t>FURS v skladu z zakonom, ki ureja delovanje, organizacijo, naloge in pooblastila finančne uprave, vodi knjigovodsko evidenco</w:t>
      </w:r>
      <w:r>
        <w:rPr>
          <w:rFonts w:ascii="Arial" w:eastAsia="Times New Roman" w:hAnsi="Arial" w:cs="Arial"/>
          <w:iCs/>
          <w:sz w:val="20"/>
          <w:szCs w:val="20"/>
          <w:lang w:eastAsia="sl-SI"/>
        </w:rPr>
        <w:t>,</w:t>
      </w:r>
      <w:r w:rsidRPr="00C67A58">
        <w:rPr>
          <w:rFonts w:ascii="Arial" w:eastAsia="Times New Roman" w:hAnsi="Arial" w:cs="Arial"/>
          <w:iCs/>
          <w:sz w:val="20"/>
          <w:szCs w:val="20"/>
          <w:lang w:eastAsia="sl-SI"/>
        </w:rPr>
        <w:t xml:space="preserve"> iz katere se zagotavljajo podatki o stanju in gibanju davčnega dolga. Za vodenje davčnega knjigovodstva se smiselno uporabljajo določbe zakona, ki ureja računovodstvo.</w:t>
      </w:r>
    </w:p>
    <w:p w14:paraId="2688AFC5" w14:textId="77777777" w:rsidR="00A155A2" w:rsidRPr="007A4551" w:rsidRDefault="00A155A2" w:rsidP="00A155A2">
      <w:pPr>
        <w:rPr>
          <w:rFonts w:ascii="Arial" w:hAnsi="Arial" w:cs="Arial"/>
          <w:b/>
        </w:rPr>
      </w:pPr>
      <w:r w:rsidRPr="007A4551">
        <w:rPr>
          <w:rFonts w:ascii="Arial" w:hAnsi="Arial" w:cs="Arial"/>
          <w:b/>
        </w:rPr>
        <w:t>3</w:t>
      </w:r>
      <w:r w:rsidRPr="007A4551">
        <w:rPr>
          <w:rFonts w:ascii="Arial" w:hAnsi="Arial" w:cs="Arial"/>
          <w:b/>
        </w:rPr>
        <w:tab/>
        <w:t xml:space="preserve">Splošno o davčnem dolgu </w:t>
      </w:r>
    </w:p>
    <w:p w14:paraId="64CBF301" w14:textId="77777777" w:rsidR="00A155A2" w:rsidRPr="009D1136"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eastAsia="Times New Roman" w:hAnsi="Arial" w:cs="Arial"/>
          <w:iCs/>
          <w:sz w:val="20"/>
          <w:szCs w:val="20"/>
          <w:lang w:eastAsia="sl-SI"/>
        </w:rPr>
      </w:pPr>
      <w:r w:rsidRPr="009D1136">
        <w:rPr>
          <w:rFonts w:ascii="Arial" w:eastAsia="Times New Roman" w:hAnsi="Arial" w:cs="Arial"/>
          <w:iCs/>
          <w:sz w:val="20"/>
          <w:szCs w:val="20"/>
          <w:lang w:eastAsia="sl-SI"/>
        </w:rPr>
        <w:t>Davčni dolg je stanje dolga zavezancev do FURS na presečni dan</w:t>
      </w:r>
      <w:r>
        <w:rPr>
          <w:rFonts w:ascii="Arial" w:eastAsia="Times New Roman" w:hAnsi="Arial" w:cs="Arial"/>
          <w:iCs/>
          <w:sz w:val="20"/>
          <w:szCs w:val="20"/>
          <w:lang w:eastAsia="sl-SI"/>
        </w:rPr>
        <w:t xml:space="preserve"> </w:t>
      </w:r>
      <w:r w:rsidRPr="00DC223A">
        <w:rPr>
          <w:rFonts w:ascii="Arial" w:eastAsia="Times New Roman" w:hAnsi="Arial" w:cs="Arial"/>
          <w:iCs/>
          <w:sz w:val="20"/>
          <w:szCs w:val="20"/>
          <w:lang w:eastAsia="sl-SI"/>
        </w:rPr>
        <w:t>ter</w:t>
      </w:r>
      <w:r>
        <w:rPr>
          <w:rFonts w:ascii="Arial" w:eastAsia="Times New Roman" w:hAnsi="Arial" w:cs="Arial"/>
          <w:iCs/>
          <w:sz w:val="20"/>
          <w:szCs w:val="20"/>
          <w:lang w:eastAsia="sl-SI"/>
        </w:rPr>
        <w:t xml:space="preserve"> zajema</w:t>
      </w:r>
      <w:r w:rsidRPr="009D1136">
        <w:rPr>
          <w:rFonts w:ascii="Arial" w:eastAsia="Times New Roman" w:hAnsi="Arial" w:cs="Arial"/>
          <w:iCs/>
          <w:sz w:val="20"/>
          <w:szCs w:val="20"/>
          <w:lang w:eastAsia="sl-SI"/>
        </w:rPr>
        <w:t xml:space="preserve"> vse zapadle neporavnane terjatve, ki jih odmerja, nadzira in izterjuje FURS v skladu </w:t>
      </w:r>
      <w:r>
        <w:rPr>
          <w:rFonts w:ascii="Arial" w:eastAsia="Times New Roman" w:hAnsi="Arial" w:cs="Arial"/>
          <w:iCs/>
          <w:sz w:val="20"/>
          <w:szCs w:val="20"/>
          <w:lang w:eastAsia="sl-SI"/>
        </w:rPr>
        <w:t xml:space="preserve">s </w:t>
      </w:r>
      <w:r w:rsidRPr="009D1136">
        <w:rPr>
          <w:rFonts w:ascii="Arial" w:eastAsia="Times New Roman" w:hAnsi="Arial" w:cs="Arial"/>
          <w:iCs/>
          <w:sz w:val="20"/>
          <w:szCs w:val="20"/>
          <w:lang w:eastAsia="sl-SI"/>
        </w:rPr>
        <w:t>predpisi.</w:t>
      </w:r>
    </w:p>
    <w:p w14:paraId="7F36506A" w14:textId="77777777" w:rsidR="00A155A2" w:rsidRPr="00086D64" w:rsidRDefault="00A155A2" w:rsidP="00A155A2">
      <w:pPr>
        <w:pStyle w:val="Odstavekseznama1"/>
        <w:spacing w:line="276" w:lineRule="auto"/>
        <w:ind w:left="0"/>
        <w:jc w:val="both"/>
        <w:rPr>
          <w:rFonts w:ascii="Arial" w:hAnsi="Arial" w:cs="Arial"/>
          <w:sz w:val="20"/>
          <w:szCs w:val="20"/>
        </w:rPr>
      </w:pPr>
      <w:r w:rsidRPr="00086D64">
        <w:rPr>
          <w:rFonts w:ascii="Arial" w:hAnsi="Arial" w:cs="Arial"/>
          <w:sz w:val="20"/>
          <w:szCs w:val="20"/>
        </w:rPr>
        <w:t xml:space="preserve">Na stanje davčnega dolga na presečni dan ob koncu proračunskega leta bistveno vplivajo </w:t>
      </w:r>
      <w:r>
        <w:rPr>
          <w:rFonts w:ascii="Arial" w:hAnsi="Arial" w:cs="Arial"/>
          <w:sz w:val="20"/>
          <w:szCs w:val="20"/>
        </w:rPr>
        <w:t>t</w:t>
      </w:r>
      <w:r w:rsidRPr="00086D64">
        <w:rPr>
          <w:rFonts w:ascii="Arial" w:hAnsi="Arial" w:cs="Arial"/>
          <w:sz w:val="20"/>
          <w:szCs w:val="20"/>
        </w:rPr>
        <w:t>a gibanja:</w:t>
      </w:r>
    </w:p>
    <w:p w14:paraId="61B7F7A7" w14:textId="77777777" w:rsidR="00A155A2" w:rsidRPr="00086D64" w:rsidRDefault="00A155A2" w:rsidP="00A155A2">
      <w:pPr>
        <w:pStyle w:val="Odstavekseznama1"/>
        <w:numPr>
          <w:ilvl w:val="0"/>
          <w:numId w:val="30"/>
        </w:numPr>
        <w:spacing w:line="276" w:lineRule="auto"/>
        <w:jc w:val="both"/>
        <w:rPr>
          <w:rFonts w:ascii="Arial" w:hAnsi="Arial" w:cs="Arial"/>
          <w:sz w:val="20"/>
          <w:szCs w:val="20"/>
        </w:rPr>
      </w:pPr>
      <w:r w:rsidRPr="00086D64">
        <w:rPr>
          <w:rFonts w:ascii="Arial" w:hAnsi="Arial" w:cs="Arial"/>
          <w:sz w:val="20"/>
          <w:szCs w:val="20"/>
        </w:rPr>
        <w:t>prenos odprtih zapadlih terjatev iz pre</w:t>
      </w:r>
      <w:r>
        <w:rPr>
          <w:rFonts w:ascii="Arial" w:hAnsi="Arial" w:cs="Arial"/>
          <w:sz w:val="20"/>
          <w:szCs w:val="20"/>
        </w:rPr>
        <w:t>jšnj</w:t>
      </w:r>
      <w:r w:rsidRPr="00086D64">
        <w:rPr>
          <w:rFonts w:ascii="Arial" w:hAnsi="Arial" w:cs="Arial"/>
          <w:sz w:val="20"/>
          <w:szCs w:val="20"/>
        </w:rPr>
        <w:t>ega proračunskega leta,</w:t>
      </w:r>
    </w:p>
    <w:p w14:paraId="69A4B954" w14:textId="77777777" w:rsidR="00A155A2" w:rsidRDefault="00A155A2" w:rsidP="00A155A2">
      <w:pPr>
        <w:pStyle w:val="Odstavekseznama1"/>
        <w:numPr>
          <w:ilvl w:val="0"/>
          <w:numId w:val="30"/>
        </w:numPr>
        <w:spacing w:line="276" w:lineRule="auto"/>
        <w:jc w:val="both"/>
        <w:rPr>
          <w:rFonts w:ascii="Arial" w:hAnsi="Arial" w:cs="Arial"/>
          <w:sz w:val="20"/>
          <w:szCs w:val="20"/>
        </w:rPr>
      </w:pPr>
      <w:r w:rsidRPr="00086D64">
        <w:rPr>
          <w:rFonts w:ascii="Arial" w:hAnsi="Arial" w:cs="Arial"/>
          <w:sz w:val="20"/>
          <w:szCs w:val="20"/>
        </w:rPr>
        <w:t xml:space="preserve">obseg nastalih in </w:t>
      </w:r>
      <w:r w:rsidRPr="00DC223A">
        <w:rPr>
          <w:rFonts w:ascii="Arial" w:hAnsi="Arial" w:cs="Arial"/>
          <w:sz w:val="20"/>
          <w:szCs w:val="20"/>
        </w:rPr>
        <w:t xml:space="preserve">zmanjšanih terjatev (odmera </w:t>
      </w:r>
      <w:r>
        <w:rPr>
          <w:rFonts w:ascii="Arial" w:hAnsi="Arial" w:cs="Arial"/>
          <w:sz w:val="20"/>
          <w:szCs w:val="20"/>
        </w:rPr>
        <w:t>in</w:t>
      </w:r>
      <w:r w:rsidRPr="00DC223A">
        <w:rPr>
          <w:rFonts w:ascii="Arial" w:hAnsi="Arial" w:cs="Arial"/>
          <w:sz w:val="20"/>
          <w:szCs w:val="20"/>
        </w:rPr>
        <w:t xml:space="preserve"> obračun</w:t>
      </w:r>
      <w:r w:rsidRPr="00086D64">
        <w:rPr>
          <w:rFonts w:ascii="Arial" w:hAnsi="Arial" w:cs="Arial"/>
          <w:sz w:val="20"/>
          <w:szCs w:val="20"/>
        </w:rPr>
        <w:t xml:space="preserve"> dajatev, odpisi)</w:t>
      </w:r>
      <w:r>
        <w:rPr>
          <w:rFonts w:ascii="Arial" w:hAnsi="Arial" w:cs="Arial"/>
          <w:sz w:val="20"/>
          <w:szCs w:val="20"/>
        </w:rPr>
        <w:t>,</w:t>
      </w:r>
      <w:r w:rsidRPr="00086D64">
        <w:rPr>
          <w:rFonts w:ascii="Arial" w:hAnsi="Arial" w:cs="Arial"/>
          <w:sz w:val="20"/>
          <w:szCs w:val="20"/>
        </w:rPr>
        <w:t xml:space="preserve"> zapadlih v </w:t>
      </w:r>
    </w:p>
    <w:p w14:paraId="6F66A86D" w14:textId="77777777" w:rsidR="00A155A2" w:rsidRPr="00086D64" w:rsidRDefault="00A155A2" w:rsidP="00A155A2">
      <w:pPr>
        <w:pStyle w:val="Odstavekseznama1"/>
        <w:spacing w:line="276" w:lineRule="auto"/>
        <w:jc w:val="both"/>
        <w:rPr>
          <w:rFonts w:ascii="Arial" w:hAnsi="Arial" w:cs="Arial"/>
          <w:sz w:val="20"/>
          <w:szCs w:val="20"/>
        </w:rPr>
      </w:pPr>
      <w:r w:rsidRPr="00086D64">
        <w:rPr>
          <w:rFonts w:ascii="Arial" w:hAnsi="Arial" w:cs="Arial"/>
          <w:sz w:val="20"/>
          <w:szCs w:val="20"/>
        </w:rPr>
        <w:t>proračunskem letu</w:t>
      </w:r>
      <w:r>
        <w:rPr>
          <w:rFonts w:ascii="Arial" w:hAnsi="Arial" w:cs="Arial"/>
          <w:sz w:val="20"/>
          <w:szCs w:val="20"/>
        </w:rPr>
        <w:t>,</w:t>
      </w:r>
      <w:r w:rsidRPr="00086D64">
        <w:rPr>
          <w:rFonts w:ascii="Arial" w:hAnsi="Arial" w:cs="Arial"/>
          <w:sz w:val="20"/>
          <w:szCs w:val="20"/>
        </w:rPr>
        <w:t xml:space="preserve"> </w:t>
      </w:r>
      <w:r>
        <w:rPr>
          <w:rFonts w:ascii="Arial" w:hAnsi="Arial" w:cs="Arial"/>
          <w:sz w:val="20"/>
          <w:szCs w:val="20"/>
        </w:rPr>
        <w:t>ter</w:t>
      </w:r>
    </w:p>
    <w:p w14:paraId="5058406D" w14:textId="77777777" w:rsidR="00A155A2" w:rsidRPr="00086D64" w:rsidRDefault="00A155A2" w:rsidP="00A155A2">
      <w:pPr>
        <w:pStyle w:val="Odstavekseznama1"/>
        <w:numPr>
          <w:ilvl w:val="0"/>
          <w:numId w:val="30"/>
        </w:numPr>
        <w:spacing w:line="276" w:lineRule="auto"/>
        <w:jc w:val="both"/>
        <w:rPr>
          <w:rFonts w:ascii="Arial" w:hAnsi="Arial" w:cs="Arial"/>
          <w:sz w:val="20"/>
          <w:szCs w:val="20"/>
        </w:rPr>
      </w:pPr>
      <w:r w:rsidRPr="00086D64">
        <w:rPr>
          <w:rFonts w:ascii="Arial" w:hAnsi="Arial" w:cs="Arial"/>
          <w:sz w:val="20"/>
          <w:szCs w:val="20"/>
        </w:rPr>
        <w:t xml:space="preserve">obseg plačanih </w:t>
      </w:r>
      <w:r>
        <w:rPr>
          <w:rFonts w:ascii="Arial" w:hAnsi="Arial" w:cs="Arial"/>
          <w:sz w:val="20"/>
          <w:szCs w:val="20"/>
        </w:rPr>
        <w:t>in</w:t>
      </w:r>
      <w:r w:rsidRPr="00DC223A">
        <w:rPr>
          <w:rFonts w:ascii="Arial" w:hAnsi="Arial" w:cs="Arial"/>
          <w:sz w:val="20"/>
          <w:szCs w:val="20"/>
        </w:rPr>
        <w:t xml:space="preserve"> </w:t>
      </w:r>
      <w:r w:rsidRPr="00086D64">
        <w:rPr>
          <w:rFonts w:ascii="Arial" w:hAnsi="Arial" w:cs="Arial"/>
          <w:sz w:val="20"/>
          <w:szCs w:val="20"/>
        </w:rPr>
        <w:t>izterjanih terjatev v proračunskem letu.</w:t>
      </w:r>
    </w:p>
    <w:p w14:paraId="64AC85EA" w14:textId="77777777" w:rsidR="00A155A2" w:rsidRDefault="00A155A2" w:rsidP="00A155A2">
      <w:pPr>
        <w:rPr>
          <w:rFonts w:ascii="Arial" w:hAnsi="Arial" w:cs="Arial"/>
          <w:b/>
          <w:sz w:val="20"/>
          <w:szCs w:val="20"/>
        </w:rPr>
      </w:pPr>
    </w:p>
    <w:p w14:paraId="499A4690" w14:textId="77777777" w:rsidR="00A155A2" w:rsidRPr="0017456E" w:rsidRDefault="00A155A2" w:rsidP="00A155A2">
      <w:pPr>
        <w:rPr>
          <w:rFonts w:ascii="Arial" w:hAnsi="Arial" w:cs="Arial"/>
          <w:b/>
          <w:sz w:val="20"/>
          <w:szCs w:val="20"/>
        </w:rPr>
      </w:pPr>
      <w:r w:rsidRPr="0017456E">
        <w:rPr>
          <w:rFonts w:ascii="Arial" w:hAnsi="Arial" w:cs="Arial"/>
          <w:b/>
          <w:sz w:val="20"/>
          <w:szCs w:val="20"/>
        </w:rPr>
        <w:t>3.1</w:t>
      </w:r>
      <w:r w:rsidRPr="0017456E">
        <w:rPr>
          <w:rFonts w:ascii="Arial" w:hAnsi="Arial" w:cs="Arial"/>
          <w:b/>
          <w:sz w:val="20"/>
          <w:szCs w:val="20"/>
        </w:rPr>
        <w:tab/>
        <w:t xml:space="preserve">Odmera </w:t>
      </w:r>
      <w:r w:rsidRPr="00F72F7F">
        <w:rPr>
          <w:rFonts w:ascii="Arial" w:hAnsi="Arial" w:cs="Arial"/>
          <w:b/>
          <w:sz w:val="20"/>
          <w:szCs w:val="20"/>
        </w:rPr>
        <w:t>oziroma obračun</w:t>
      </w:r>
      <w:r w:rsidRPr="0017456E">
        <w:rPr>
          <w:rFonts w:ascii="Arial" w:hAnsi="Arial" w:cs="Arial"/>
          <w:b/>
          <w:sz w:val="20"/>
          <w:szCs w:val="20"/>
        </w:rPr>
        <w:t xml:space="preserve"> dajatev </w:t>
      </w:r>
      <w:r>
        <w:rPr>
          <w:rFonts w:ascii="Arial" w:hAnsi="Arial" w:cs="Arial"/>
          <w:b/>
          <w:sz w:val="20"/>
          <w:szCs w:val="20"/>
        </w:rPr>
        <w:t>–</w:t>
      </w:r>
      <w:r w:rsidRPr="0017456E">
        <w:rPr>
          <w:rFonts w:ascii="Arial" w:hAnsi="Arial" w:cs="Arial"/>
          <w:b/>
          <w:sz w:val="20"/>
          <w:szCs w:val="20"/>
        </w:rPr>
        <w:t xml:space="preserve"> izvršilni naslovi</w:t>
      </w:r>
    </w:p>
    <w:p w14:paraId="3E91D303" w14:textId="77777777" w:rsidR="00A155A2" w:rsidRDefault="00A155A2" w:rsidP="00A155A2">
      <w:pPr>
        <w:jc w:val="both"/>
        <w:rPr>
          <w:rFonts w:ascii="Arial" w:hAnsi="Arial" w:cs="Arial"/>
          <w:sz w:val="20"/>
          <w:szCs w:val="20"/>
        </w:rPr>
      </w:pPr>
      <w:r>
        <w:rPr>
          <w:rFonts w:ascii="Arial" w:hAnsi="Arial" w:cs="Arial"/>
          <w:sz w:val="20"/>
          <w:szCs w:val="20"/>
        </w:rPr>
        <w:t>D</w:t>
      </w:r>
      <w:r w:rsidRPr="009235F6">
        <w:rPr>
          <w:rFonts w:ascii="Arial" w:hAnsi="Arial" w:cs="Arial"/>
          <w:sz w:val="20"/>
          <w:szCs w:val="20"/>
        </w:rPr>
        <w:t>avčn</w:t>
      </w:r>
      <w:r>
        <w:rPr>
          <w:rFonts w:ascii="Arial" w:hAnsi="Arial" w:cs="Arial"/>
          <w:sz w:val="20"/>
          <w:szCs w:val="20"/>
        </w:rPr>
        <w:t>i</w:t>
      </w:r>
      <w:r w:rsidRPr="009235F6">
        <w:rPr>
          <w:rFonts w:ascii="Arial" w:hAnsi="Arial" w:cs="Arial"/>
          <w:sz w:val="20"/>
          <w:szCs w:val="20"/>
        </w:rPr>
        <w:t xml:space="preserve"> dolg </w:t>
      </w:r>
      <w:r>
        <w:rPr>
          <w:rFonts w:ascii="Arial" w:hAnsi="Arial" w:cs="Arial"/>
          <w:sz w:val="20"/>
          <w:szCs w:val="20"/>
        </w:rPr>
        <w:t>nastane</w:t>
      </w:r>
      <w:r w:rsidRPr="009235F6">
        <w:rPr>
          <w:rFonts w:ascii="Arial" w:hAnsi="Arial" w:cs="Arial"/>
          <w:sz w:val="20"/>
          <w:szCs w:val="20"/>
        </w:rPr>
        <w:t xml:space="preserve">, </w:t>
      </w:r>
      <w:r>
        <w:rPr>
          <w:rFonts w:ascii="Arial" w:hAnsi="Arial" w:cs="Arial"/>
          <w:sz w:val="20"/>
          <w:szCs w:val="20"/>
        </w:rPr>
        <w:t>če</w:t>
      </w:r>
      <w:r w:rsidRPr="009235F6">
        <w:rPr>
          <w:rFonts w:ascii="Arial" w:hAnsi="Arial" w:cs="Arial"/>
          <w:sz w:val="20"/>
          <w:szCs w:val="20"/>
        </w:rPr>
        <w:t xml:space="preserve"> zavezanec v predpisanem roku ne poravna svojih odmerjenih </w:t>
      </w:r>
      <w:r>
        <w:rPr>
          <w:rFonts w:ascii="Arial" w:hAnsi="Arial" w:cs="Arial"/>
          <w:sz w:val="20"/>
          <w:szCs w:val="20"/>
        </w:rPr>
        <w:t>ali</w:t>
      </w:r>
      <w:r w:rsidRPr="009235F6">
        <w:rPr>
          <w:rFonts w:ascii="Arial" w:hAnsi="Arial" w:cs="Arial"/>
          <w:sz w:val="20"/>
          <w:szCs w:val="20"/>
        </w:rPr>
        <w:t xml:space="preserve"> obračunanih obveznosti, ki izhajajo iz izvršilnega naslova. Izvršilni naslovi so predvsem davčni obračuni</w:t>
      </w:r>
      <w:r>
        <w:rPr>
          <w:rFonts w:ascii="Arial" w:hAnsi="Arial" w:cs="Arial"/>
          <w:sz w:val="20"/>
          <w:szCs w:val="20"/>
        </w:rPr>
        <w:t>, ki jih</w:t>
      </w:r>
      <w:r w:rsidRPr="009235F6">
        <w:rPr>
          <w:rFonts w:ascii="Arial" w:hAnsi="Arial" w:cs="Arial"/>
          <w:sz w:val="20"/>
          <w:szCs w:val="20"/>
        </w:rPr>
        <w:t xml:space="preserve"> predlož</w:t>
      </w:r>
      <w:r>
        <w:rPr>
          <w:rFonts w:ascii="Arial" w:hAnsi="Arial" w:cs="Arial"/>
          <w:sz w:val="20"/>
          <w:szCs w:val="20"/>
        </w:rPr>
        <w:t>i</w:t>
      </w:r>
      <w:r w:rsidRPr="009235F6">
        <w:rPr>
          <w:rFonts w:ascii="Arial" w:hAnsi="Arial" w:cs="Arial"/>
          <w:sz w:val="20"/>
          <w:szCs w:val="20"/>
        </w:rPr>
        <w:t xml:space="preserve"> zavezan</w:t>
      </w:r>
      <w:r>
        <w:rPr>
          <w:rFonts w:ascii="Arial" w:hAnsi="Arial" w:cs="Arial"/>
          <w:sz w:val="20"/>
          <w:szCs w:val="20"/>
        </w:rPr>
        <w:t>ec,</w:t>
      </w:r>
      <w:r w:rsidRPr="009235F6">
        <w:rPr>
          <w:rFonts w:ascii="Arial" w:hAnsi="Arial" w:cs="Arial"/>
          <w:sz w:val="20"/>
          <w:szCs w:val="20"/>
        </w:rPr>
        <w:t xml:space="preserve"> in odločbe, ki jih izdaja FURS. Za </w:t>
      </w:r>
      <w:r>
        <w:rPr>
          <w:rFonts w:ascii="Arial" w:hAnsi="Arial" w:cs="Arial"/>
          <w:sz w:val="20"/>
          <w:szCs w:val="20"/>
        </w:rPr>
        <w:t>te odločbe</w:t>
      </w:r>
      <w:r w:rsidRPr="009235F6">
        <w:rPr>
          <w:rFonts w:ascii="Arial" w:hAnsi="Arial" w:cs="Arial"/>
          <w:sz w:val="20"/>
          <w:szCs w:val="20"/>
        </w:rPr>
        <w:t xml:space="preserve"> velja, da postanejo izvršljive </w:t>
      </w:r>
      <w:r w:rsidRPr="00F72F7F">
        <w:rPr>
          <w:rFonts w:ascii="Arial" w:hAnsi="Arial" w:cs="Arial"/>
          <w:sz w:val="20"/>
          <w:szCs w:val="20"/>
        </w:rPr>
        <w:t xml:space="preserve">v </w:t>
      </w:r>
      <w:r w:rsidRPr="00346507">
        <w:rPr>
          <w:rFonts w:ascii="Arial" w:hAnsi="Arial" w:cs="Arial"/>
          <w:sz w:val="20"/>
          <w:szCs w:val="20"/>
        </w:rPr>
        <w:t>30 dneh od</w:t>
      </w:r>
      <w:r w:rsidRPr="009235F6">
        <w:rPr>
          <w:rFonts w:ascii="Arial" w:hAnsi="Arial" w:cs="Arial"/>
          <w:sz w:val="20"/>
          <w:szCs w:val="20"/>
        </w:rPr>
        <w:t xml:space="preserve"> vročitve, ne glede na to, ali zavezanec zoper njih uveljavlja pravno sredstvo (prvi odstavek 87. člena ZDavP-2). Za davčni dolg torej ni pomembna dokončnost ali celo pravnomočnost akta, iz katerega izhaja obveznost plačila. V davčn</w:t>
      </w:r>
      <w:r>
        <w:rPr>
          <w:rFonts w:ascii="Arial" w:hAnsi="Arial" w:cs="Arial"/>
          <w:sz w:val="20"/>
          <w:szCs w:val="20"/>
        </w:rPr>
        <w:t>i</w:t>
      </w:r>
      <w:r w:rsidRPr="009235F6">
        <w:rPr>
          <w:rFonts w:ascii="Arial" w:hAnsi="Arial" w:cs="Arial"/>
          <w:sz w:val="20"/>
          <w:szCs w:val="20"/>
        </w:rPr>
        <w:t xml:space="preserve"> dolg so tako vključene tudi obveznosti, ki so predmet pritožb zavezancev pri drugostopenjskem organu ali tožb pri </w:t>
      </w:r>
      <w:r>
        <w:rPr>
          <w:rFonts w:ascii="Arial" w:hAnsi="Arial" w:cs="Arial"/>
          <w:sz w:val="20"/>
          <w:szCs w:val="20"/>
        </w:rPr>
        <w:t>u</w:t>
      </w:r>
      <w:r w:rsidRPr="009235F6">
        <w:rPr>
          <w:rFonts w:ascii="Arial" w:hAnsi="Arial" w:cs="Arial"/>
          <w:sz w:val="20"/>
          <w:szCs w:val="20"/>
        </w:rPr>
        <w:t>pravnem sodišču, vendar o pritožbi ali tožbi še ni odločeno.</w:t>
      </w:r>
    </w:p>
    <w:p w14:paraId="7B58E59D" w14:textId="77777777" w:rsidR="00A155A2" w:rsidRDefault="00A155A2" w:rsidP="00A155A2">
      <w:pPr>
        <w:jc w:val="both"/>
        <w:rPr>
          <w:rFonts w:ascii="Arial" w:hAnsi="Arial" w:cs="Arial"/>
          <w:sz w:val="20"/>
          <w:szCs w:val="20"/>
        </w:rPr>
      </w:pPr>
    </w:p>
    <w:p w14:paraId="1C6DBBD6" w14:textId="77777777" w:rsidR="00A155A2" w:rsidRPr="00476F1D" w:rsidRDefault="00A155A2" w:rsidP="00A155A2">
      <w:pPr>
        <w:jc w:val="both"/>
        <w:rPr>
          <w:rFonts w:ascii="Arial" w:hAnsi="Arial" w:cs="Arial"/>
          <w:b/>
          <w:sz w:val="20"/>
          <w:szCs w:val="20"/>
        </w:rPr>
      </w:pPr>
      <w:r>
        <w:rPr>
          <w:rFonts w:ascii="Arial" w:hAnsi="Arial" w:cs="Arial"/>
          <w:b/>
          <w:sz w:val="20"/>
          <w:szCs w:val="20"/>
        </w:rPr>
        <w:t>3.2</w:t>
      </w:r>
      <w:r w:rsidRPr="001C7084">
        <w:rPr>
          <w:rFonts w:ascii="Arial" w:hAnsi="Arial" w:cs="Arial"/>
          <w:b/>
          <w:sz w:val="20"/>
          <w:szCs w:val="20"/>
        </w:rPr>
        <w:tab/>
      </w:r>
      <w:r w:rsidRPr="00E6268C">
        <w:rPr>
          <w:rFonts w:ascii="Arial" w:hAnsi="Arial" w:cs="Arial"/>
          <w:b/>
          <w:sz w:val="20"/>
          <w:szCs w:val="20"/>
        </w:rPr>
        <w:t>Zastaranje in z</w:t>
      </w:r>
      <w:r w:rsidRPr="00E6268C">
        <w:rPr>
          <w:rFonts w:ascii="Arial" w:hAnsi="Arial" w:cs="Arial"/>
          <w:b/>
          <w:noProof/>
          <w:sz w:val="20"/>
          <w:szCs w:val="20"/>
        </w:rPr>
        <w:t>adržanje zastaranja davčnih obveznosti</w:t>
      </w:r>
    </w:p>
    <w:p w14:paraId="38CBC7B3" w14:textId="77777777" w:rsidR="00A155A2" w:rsidRPr="009235F6" w:rsidRDefault="00A155A2" w:rsidP="00A155A2">
      <w:pPr>
        <w:jc w:val="both"/>
        <w:rPr>
          <w:rFonts w:ascii="Arial" w:hAnsi="Arial" w:cs="Arial"/>
          <w:sz w:val="20"/>
          <w:szCs w:val="20"/>
        </w:rPr>
      </w:pPr>
      <w:r>
        <w:rPr>
          <w:rFonts w:ascii="Arial" w:hAnsi="Arial" w:cs="Arial"/>
          <w:sz w:val="20"/>
          <w:szCs w:val="20"/>
        </w:rPr>
        <w:t>Na obseg d</w:t>
      </w:r>
      <w:r w:rsidRPr="009235F6">
        <w:rPr>
          <w:rFonts w:ascii="Arial" w:hAnsi="Arial" w:cs="Arial"/>
          <w:sz w:val="20"/>
          <w:szCs w:val="20"/>
        </w:rPr>
        <w:t>avčn</w:t>
      </w:r>
      <w:r>
        <w:rPr>
          <w:rFonts w:ascii="Arial" w:hAnsi="Arial" w:cs="Arial"/>
          <w:sz w:val="20"/>
          <w:szCs w:val="20"/>
        </w:rPr>
        <w:t>ega</w:t>
      </w:r>
      <w:r w:rsidRPr="009235F6">
        <w:rPr>
          <w:rFonts w:ascii="Arial" w:hAnsi="Arial" w:cs="Arial"/>
          <w:sz w:val="20"/>
          <w:szCs w:val="20"/>
        </w:rPr>
        <w:t xml:space="preserve"> dolg</w:t>
      </w:r>
      <w:r>
        <w:rPr>
          <w:rFonts w:ascii="Arial" w:hAnsi="Arial" w:cs="Arial"/>
          <w:sz w:val="20"/>
          <w:szCs w:val="20"/>
        </w:rPr>
        <w:t>a bistveno vplivajo pravila o absolutnem in relativnem zastaranju pravice do izterjave davka</w:t>
      </w:r>
      <w:r w:rsidRPr="009235F6">
        <w:rPr>
          <w:rFonts w:ascii="Arial" w:hAnsi="Arial" w:cs="Arial"/>
          <w:sz w:val="20"/>
          <w:szCs w:val="20"/>
        </w:rPr>
        <w:t xml:space="preserve">. Po določbah 125. in 126. člena ZDavP-2 </w:t>
      </w:r>
      <w:r>
        <w:rPr>
          <w:rFonts w:ascii="Arial" w:hAnsi="Arial" w:cs="Arial"/>
          <w:sz w:val="20"/>
          <w:szCs w:val="20"/>
        </w:rPr>
        <w:t xml:space="preserve">davčna obveznost preneha </w:t>
      </w:r>
      <w:r w:rsidRPr="009235F6">
        <w:rPr>
          <w:rFonts w:ascii="Arial" w:hAnsi="Arial" w:cs="Arial"/>
          <w:sz w:val="20"/>
          <w:szCs w:val="20"/>
        </w:rPr>
        <w:t>v petih oziroma desetih let</w:t>
      </w:r>
      <w:r>
        <w:rPr>
          <w:rFonts w:ascii="Arial" w:hAnsi="Arial" w:cs="Arial"/>
          <w:sz w:val="20"/>
          <w:szCs w:val="20"/>
        </w:rPr>
        <w:t>ih</w:t>
      </w:r>
      <w:r w:rsidRPr="009235F6">
        <w:rPr>
          <w:rFonts w:ascii="Arial" w:hAnsi="Arial" w:cs="Arial"/>
          <w:sz w:val="20"/>
          <w:szCs w:val="20"/>
        </w:rPr>
        <w:t xml:space="preserve"> od dneva, ko </w:t>
      </w:r>
      <w:r w:rsidRPr="009C771E">
        <w:rPr>
          <w:rFonts w:ascii="Arial" w:hAnsi="Arial" w:cs="Arial"/>
          <w:sz w:val="20"/>
          <w:szCs w:val="20"/>
        </w:rPr>
        <w:t>bi bilo treba davek</w:t>
      </w:r>
      <w:r w:rsidRPr="009235F6">
        <w:rPr>
          <w:rFonts w:ascii="Arial" w:hAnsi="Arial" w:cs="Arial"/>
          <w:sz w:val="20"/>
          <w:szCs w:val="20"/>
        </w:rPr>
        <w:t xml:space="preserve"> plačati</w:t>
      </w:r>
      <w:r>
        <w:rPr>
          <w:rFonts w:ascii="Arial" w:hAnsi="Arial" w:cs="Arial"/>
          <w:sz w:val="20"/>
          <w:szCs w:val="20"/>
        </w:rPr>
        <w:t>. V strukturi davčnega dolga po letu njihovega nastanka tako praviloma zasledimo dolgove iz prejšnjih desetih let, zaradi izjem pa tudi starejše dolgove.</w:t>
      </w:r>
    </w:p>
    <w:p w14:paraId="7CB8F863" w14:textId="77777777" w:rsidR="00A155A2" w:rsidRPr="00B5548A" w:rsidRDefault="00A155A2" w:rsidP="00A155A2">
      <w:pPr>
        <w:jc w:val="both"/>
        <w:rPr>
          <w:rFonts w:ascii="Arial" w:hAnsi="Arial" w:cs="Arial"/>
          <w:sz w:val="20"/>
          <w:szCs w:val="20"/>
        </w:rPr>
      </w:pPr>
      <w:r>
        <w:rPr>
          <w:rFonts w:ascii="Arial" w:hAnsi="Arial" w:cs="Arial"/>
          <w:sz w:val="20"/>
          <w:szCs w:val="20"/>
        </w:rPr>
        <w:lastRenderedPageBreak/>
        <w:t>I</w:t>
      </w:r>
      <w:r w:rsidRPr="00BB6503">
        <w:rPr>
          <w:rFonts w:ascii="Arial" w:hAnsi="Arial" w:cs="Arial"/>
          <w:sz w:val="20"/>
          <w:szCs w:val="20"/>
        </w:rPr>
        <w:t xml:space="preserve">zjemo od splošnega učinka zastaranja </w:t>
      </w:r>
      <w:r>
        <w:rPr>
          <w:rFonts w:ascii="Arial" w:hAnsi="Arial" w:cs="Arial"/>
          <w:sz w:val="20"/>
          <w:szCs w:val="20"/>
        </w:rPr>
        <w:t>opredeljuje</w:t>
      </w:r>
      <w:r w:rsidRPr="00BB6503">
        <w:rPr>
          <w:rFonts w:ascii="Arial" w:hAnsi="Arial" w:cs="Arial"/>
          <w:sz w:val="20"/>
          <w:szCs w:val="20"/>
        </w:rPr>
        <w:t xml:space="preserve"> 126</w:t>
      </w:r>
      <w:r>
        <w:rPr>
          <w:rFonts w:ascii="Arial" w:hAnsi="Arial" w:cs="Arial"/>
          <w:sz w:val="20"/>
          <w:szCs w:val="20"/>
        </w:rPr>
        <w:t>.</w:t>
      </w:r>
      <w:r w:rsidRPr="00BB6503">
        <w:rPr>
          <w:rFonts w:ascii="Arial" w:hAnsi="Arial" w:cs="Arial"/>
          <w:sz w:val="20"/>
          <w:szCs w:val="20"/>
        </w:rPr>
        <w:t xml:space="preserve">a člen ZDavP-2, ki določa, da davčna obveznost ne preneha, če je davčni dolg zavarovan s hipoteko in če je pred potekom zastaranja pravice do </w:t>
      </w:r>
      <w:r w:rsidRPr="00B5548A">
        <w:rPr>
          <w:rFonts w:ascii="Arial" w:hAnsi="Arial" w:cs="Arial"/>
          <w:sz w:val="20"/>
          <w:szCs w:val="20"/>
        </w:rPr>
        <w:t>izterjave vložen predlog za izvršbo na nepremičnino.</w:t>
      </w:r>
      <w:r>
        <w:rPr>
          <w:rFonts w:ascii="Arial" w:hAnsi="Arial" w:cs="Arial"/>
          <w:sz w:val="20"/>
          <w:szCs w:val="20"/>
        </w:rPr>
        <w:t xml:space="preserve"> </w:t>
      </w:r>
      <w:r w:rsidRPr="00B5548A">
        <w:rPr>
          <w:rFonts w:ascii="Arial" w:hAnsi="Arial" w:cs="Arial"/>
          <w:sz w:val="20"/>
          <w:szCs w:val="20"/>
        </w:rPr>
        <w:t>Davčna obveznost preneha s poplačilom iz prodaje</w:t>
      </w:r>
      <w:r>
        <w:rPr>
          <w:rFonts w:ascii="Arial" w:hAnsi="Arial" w:cs="Arial"/>
          <w:sz w:val="20"/>
          <w:szCs w:val="20"/>
        </w:rPr>
        <w:t>.</w:t>
      </w:r>
    </w:p>
    <w:p w14:paraId="5F1DF06A" w14:textId="77777777" w:rsidR="00A155A2" w:rsidRPr="00B5548A" w:rsidRDefault="00A155A2" w:rsidP="00A155A2">
      <w:pPr>
        <w:jc w:val="both"/>
        <w:rPr>
          <w:rFonts w:ascii="Arial" w:hAnsi="Arial" w:cs="Arial"/>
          <w:noProof/>
          <w:sz w:val="20"/>
          <w:szCs w:val="20"/>
        </w:rPr>
      </w:pPr>
      <w:r w:rsidRPr="00B5548A">
        <w:rPr>
          <w:rFonts w:ascii="Arial" w:hAnsi="Arial" w:cs="Arial"/>
          <w:noProof/>
          <w:sz w:val="20"/>
          <w:szCs w:val="20"/>
        </w:rPr>
        <w:t xml:space="preserve">Zadržanje zastaranja povzročijo tudi nekateri drugi postopki, ko davčni organ ne more </w:t>
      </w:r>
      <w:r>
        <w:rPr>
          <w:rFonts w:ascii="Arial" w:hAnsi="Arial" w:cs="Arial"/>
          <w:noProof/>
          <w:sz w:val="20"/>
          <w:szCs w:val="20"/>
        </w:rPr>
        <w:t>ali</w:t>
      </w:r>
      <w:r w:rsidRPr="00B5548A">
        <w:rPr>
          <w:rFonts w:ascii="Arial" w:hAnsi="Arial" w:cs="Arial"/>
          <w:noProof/>
          <w:sz w:val="20"/>
          <w:szCs w:val="20"/>
        </w:rPr>
        <w:t xml:space="preserve"> ne sme voditi postopka </w:t>
      </w:r>
      <w:r w:rsidRPr="00440D3B">
        <w:rPr>
          <w:rFonts w:ascii="Arial" w:hAnsi="Arial" w:cs="Arial"/>
          <w:noProof/>
          <w:sz w:val="20"/>
          <w:szCs w:val="20"/>
        </w:rPr>
        <w:t>davčne izvršbe. G</w:t>
      </w:r>
      <w:r w:rsidRPr="00440D3B">
        <w:rPr>
          <w:rFonts w:ascii="Arial" w:hAnsi="Arial" w:cs="Arial"/>
          <w:sz w:val="20"/>
          <w:szCs w:val="20"/>
        </w:rPr>
        <w:t>lavni zakonski razlogi in sodni postopki, zaradi katerih se zastaranje zadrži</w:t>
      </w:r>
      <w:r>
        <w:rPr>
          <w:rFonts w:ascii="Arial" w:hAnsi="Arial" w:cs="Arial"/>
          <w:sz w:val="20"/>
          <w:szCs w:val="20"/>
        </w:rPr>
        <w:t>,</w:t>
      </w:r>
      <w:r w:rsidRPr="00440D3B">
        <w:rPr>
          <w:rFonts w:ascii="Arial" w:hAnsi="Arial" w:cs="Arial"/>
          <w:sz w:val="20"/>
          <w:szCs w:val="20"/>
        </w:rPr>
        <w:t xml:space="preserve"> so postopek zaradi insolventnosti, odobren</w:t>
      </w:r>
      <w:r w:rsidRPr="00B5548A">
        <w:rPr>
          <w:rFonts w:ascii="Arial" w:hAnsi="Arial" w:cs="Arial"/>
          <w:sz w:val="20"/>
          <w:szCs w:val="20"/>
        </w:rPr>
        <w:t xml:space="preserve"> odlog </w:t>
      </w:r>
      <w:r>
        <w:rPr>
          <w:rFonts w:ascii="Arial" w:hAnsi="Arial" w:cs="Arial"/>
          <w:sz w:val="20"/>
          <w:szCs w:val="20"/>
        </w:rPr>
        <w:t>ali</w:t>
      </w:r>
      <w:r w:rsidRPr="00B5548A">
        <w:rPr>
          <w:rFonts w:ascii="Arial" w:hAnsi="Arial" w:cs="Arial"/>
          <w:sz w:val="20"/>
          <w:szCs w:val="20"/>
        </w:rPr>
        <w:t xml:space="preserve"> obročno plačevanje davka</w:t>
      </w:r>
      <w:r>
        <w:rPr>
          <w:rFonts w:ascii="Arial" w:hAnsi="Arial" w:cs="Arial"/>
          <w:sz w:val="20"/>
          <w:szCs w:val="20"/>
        </w:rPr>
        <w:t>,</w:t>
      </w:r>
      <w:r w:rsidRPr="00B5548A">
        <w:rPr>
          <w:rFonts w:ascii="Arial" w:hAnsi="Arial" w:cs="Arial"/>
          <w:sz w:val="20"/>
          <w:szCs w:val="20"/>
        </w:rPr>
        <w:t xml:space="preserve"> zapuščinski postopek </w:t>
      </w:r>
      <w:r>
        <w:rPr>
          <w:rFonts w:ascii="Arial" w:hAnsi="Arial" w:cs="Arial"/>
          <w:sz w:val="20"/>
          <w:szCs w:val="20"/>
        </w:rPr>
        <w:t>in podobno.</w:t>
      </w:r>
      <w:r w:rsidRPr="00B5548A">
        <w:rPr>
          <w:rFonts w:ascii="Arial" w:hAnsi="Arial" w:cs="Arial"/>
          <w:sz w:val="20"/>
          <w:szCs w:val="20"/>
        </w:rPr>
        <w:t xml:space="preserve"> </w:t>
      </w:r>
      <w:r w:rsidRPr="00B5548A">
        <w:rPr>
          <w:rFonts w:ascii="Arial" w:hAnsi="Arial" w:cs="Arial"/>
          <w:noProof/>
          <w:sz w:val="20"/>
          <w:szCs w:val="20"/>
        </w:rPr>
        <w:t>Ko preneha razlog, zaradi katerega je bilo zastaranje zadržano</w:t>
      </w:r>
      <w:r>
        <w:rPr>
          <w:rFonts w:ascii="Arial" w:hAnsi="Arial" w:cs="Arial"/>
          <w:noProof/>
          <w:sz w:val="20"/>
          <w:szCs w:val="20"/>
        </w:rPr>
        <w:t>,</w:t>
      </w:r>
      <w:r w:rsidRPr="00B5548A">
        <w:rPr>
          <w:rFonts w:ascii="Arial" w:hAnsi="Arial" w:cs="Arial"/>
          <w:noProof/>
          <w:sz w:val="20"/>
          <w:szCs w:val="20"/>
        </w:rPr>
        <w:t xml:space="preserve"> davčni organ lahko nadaljuje ali začne davčno </w:t>
      </w:r>
      <w:r w:rsidRPr="00257A77">
        <w:rPr>
          <w:rFonts w:ascii="Arial" w:hAnsi="Arial" w:cs="Arial"/>
          <w:noProof/>
          <w:sz w:val="20"/>
          <w:szCs w:val="20"/>
        </w:rPr>
        <w:t>izvršbo in se tek zastaralnega</w:t>
      </w:r>
      <w:r w:rsidRPr="00B5548A">
        <w:rPr>
          <w:rFonts w:ascii="Arial" w:hAnsi="Arial" w:cs="Arial"/>
          <w:noProof/>
          <w:sz w:val="20"/>
          <w:szCs w:val="20"/>
        </w:rPr>
        <w:t xml:space="preserve"> roka nadaljuje. </w:t>
      </w:r>
    </w:p>
    <w:p w14:paraId="1A9CF57E" w14:textId="77777777" w:rsidR="00A155A2" w:rsidRPr="0017456E" w:rsidRDefault="00A155A2" w:rsidP="00A155A2">
      <w:pPr>
        <w:rPr>
          <w:rFonts w:ascii="Arial" w:hAnsi="Arial" w:cs="Arial"/>
          <w:b/>
          <w:sz w:val="20"/>
          <w:szCs w:val="20"/>
        </w:rPr>
      </w:pPr>
      <w:r>
        <w:rPr>
          <w:rFonts w:ascii="Arial" w:hAnsi="Arial" w:cs="Arial"/>
          <w:b/>
          <w:sz w:val="20"/>
          <w:szCs w:val="20"/>
        </w:rPr>
        <w:t>3.3</w:t>
      </w:r>
      <w:r w:rsidRPr="0017456E">
        <w:rPr>
          <w:rFonts w:ascii="Arial" w:hAnsi="Arial" w:cs="Arial"/>
          <w:b/>
          <w:sz w:val="20"/>
          <w:szCs w:val="20"/>
        </w:rPr>
        <w:tab/>
        <w:t xml:space="preserve">Vpliv likvidnostnih težav zavezancev </w:t>
      </w:r>
      <w:r>
        <w:rPr>
          <w:rFonts w:ascii="Arial" w:hAnsi="Arial" w:cs="Arial"/>
          <w:b/>
          <w:sz w:val="20"/>
          <w:szCs w:val="20"/>
        </w:rPr>
        <w:t xml:space="preserve">in napak pri plačevanju </w:t>
      </w:r>
      <w:r w:rsidRPr="0017456E">
        <w:rPr>
          <w:rFonts w:ascii="Arial" w:hAnsi="Arial" w:cs="Arial"/>
          <w:b/>
          <w:sz w:val="20"/>
          <w:szCs w:val="20"/>
        </w:rPr>
        <w:t xml:space="preserve">na davčni dolg </w:t>
      </w:r>
    </w:p>
    <w:p w14:paraId="1282943B" w14:textId="77777777" w:rsidR="00A155A2" w:rsidRDefault="00A155A2" w:rsidP="00A155A2">
      <w:pPr>
        <w:jc w:val="both"/>
        <w:rPr>
          <w:rFonts w:ascii="Arial" w:hAnsi="Arial" w:cs="Arial"/>
          <w:sz w:val="20"/>
          <w:szCs w:val="20"/>
        </w:rPr>
      </w:pPr>
      <w:r w:rsidRPr="009D6FDF">
        <w:rPr>
          <w:rFonts w:ascii="Arial" w:hAnsi="Arial" w:cs="Arial"/>
          <w:sz w:val="20"/>
          <w:szCs w:val="20"/>
        </w:rPr>
        <w:t xml:space="preserve">Poročilo je pripravljeno na presečni datum, kar pomeni, da so v davčnem dolgu zajete vse neporavnane obveznosti, zapadle v plačilo do obravnavanega datuma, tudi tiste, ki </w:t>
      </w:r>
      <w:r>
        <w:rPr>
          <w:rFonts w:ascii="Arial" w:hAnsi="Arial" w:cs="Arial"/>
          <w:sz w:val="20"/>
          <w:szCs w:val="20"/>
        </w:rPr>
        <w:t>so jih</w:t>
      </w:r>
      <w:r w:rsidRPr="009D6FDF">
        <w:rPr>
          <w:rFonts w:ascii="Arial" w:hAnsi="Arial" w:cs="Arial"/>
          <w:sz w:val="20"/>
          <w:szCs w:val="20"/>
        </w:rPr>
        <w:t xml:space="preserve"> že nekaj dni po tem datumu prostovoljno poravna</w:t>
      </w:r>
      <w:r>
        <w:rPr>
          <w:rFonts w:ascii="Arial" w:hAnsi="Arial" w:cs="Arial"/>
          <w:sz w:val="20"/>
          <w:szCs w:val="20"/>
        </w:rPr>
        <w:t>li</w:t>
      </w:r>
      <w:r w:rsidRPr="009D6FDF">
        <w:rPr>
          <w:rFonts w:ascii="Arial" w:hAnsi="Arial" w:cs="Arial"/>
          <w:sz w:val="20"/>
          <w:szCs w:val="20"/>
        </w:rPr>
        <w:t xml:space="preserve"> zavezanc</w:t>
      </w:r>
      <w:r>
        <w:rPr>
          <w:rFonts w:ascii="Arial" w:hAnsi="Arial" w:cs="Arial"/>
          <w:sz w:val="20"/>
          <w:szCs w:val="20"/>
        </w:rPr>
        <w:t>i</w:t>
      </w:r>
      <w:r w:rsidRPr="009D6FDF">
        <w:rPr>
          <w:rFonts w:ascii="Arial" w:hAnsi="Arial" w:cs="Arial"/>
          <w:sz w:val="20"/>
          <w:szCs w:val="20"/>
        </w:rPr>
        <w:t xml:space="preserve">. </w:t>
      </w:r>
      <w:r w:rsidRPr="00DB3C00">
        <w:rPr>
          <w:rFonts w:ascii="Arial" w:hAnsi="Arial" w:cs="Arial"/>
          <w:sz w:val="20"/>
          <w:szCs w:val="20"/>
        </w:rPr>
        <w:t xml:space="preserve">Obseg dajatev, plačanih po zapadlosti z do enomesečno zamudo, </w:t>
      </w:r>
      <w:r>
        <w:rPr>
          <w:rFonts w:ascii="Arial" w:hAnsi="Arial" w:cs="Arial"/>
          <w:sz w:val="20"/>
          <w:szCs w:val="20"/>
        </w:rPr>
        <w:t>je</w:t>
      </w:r>
      <w:r w:rsidRPr="00A36872">
        <w:rPr>
          <w:rFonts w:ascii="Arial" w:hAnsi="Arial" w:cs="Arial"/>
          <w:sz w:val="20"/>
          <w:szCs w:val="20"/>
        </w:rPr>
        <w:t xml:space="preserve"> od 60 do 80 </w:t>
      </w:r>
      <w:r>
        <w:rPr>
          <w:rFonts w:ascii="Arial" w:hAnsi="Arial" w:cs="Arial"/>
          <w:sz w:val="20"/>
          <w:szCs w:val="20"/>
        </w:rPr>
        <w:t>milijonov</w:t>
      </w:r>
      <w:r w:rsidRPr="00A36872">
        <w:rPr>
          <w:rFonts w:ascii="Arial" w:hAnsi="Arial" w:cs="Arial"/>
          <w:sz w:val="20"/>
          <w:szCs w:val="20"/>
        </w:rPr>
        <w:t xml:space="preserve"> EUR mesečno. Najpogosteje </w:t>
      </w:r>
      <w:r w:rsidRPr="009D6FDF">
        <w:rPr>
          <w:rFonts w:ascii="Arial" w:hAnsi="Arial" w:cs="Arial"/>
          <w:sz w:val="20"/>
          <w:szCs w:val="20"/>
        </w:rPr>
        <w:t xml:space="preserve">so na tak način na presečni dan v davčnem dolgu zajete večje obveznosti zavezancev </w:t>
      </w:r>
      <w:r>
        <w:rPr>
          <w:rFonts w:ascii="Arial" w:hAnsi="Arial" w:cs="Arial"/>
          <w:sz w:val="20"/>
          <w:szCs w:val="20"/>
        </w:rPr>
        <w:t>od</w:t>
      </w:r>
      <w:r w:rsidRPr="009D6FDF">
        <w:rPr>
          <w:rFonts w:ascii="Arial" w:hAnsi="Arial" w:cs="Arial"/>
          <w:sz w:val="20"/>
          <w:szCs w:val="20"/>
        </w:rPr>
        <w:t xml:space="preserve"> davka na dodano vrednost in trošarin, </w:t>
      </w:r>
      <w:r w:rsidRPr="00257A77">
        <w:rPr>
          <w:rFonts w:ascii="Arial" w:hAnsi="Arial" w:cs="Arial"/>
          <w:sz w:val="20"/>
          <w:szCs w:val="20"/>
        </w:rPr>
        <w:t>ker je datum</w:t>
      </w:r>
      <w:r w:rsidRPr="009D6FDF">
        <w:rPr>
          <w:rFonts w:ascii="Arial" w:hAnsi="Arial" w:cs="Arial"/>
          <w:sz w:val="20"/>
          <w:szCs w:val="20"/>
        </w:rPr>
        <w:t xml:space="preserve"> zapadlosti obračunov za obe vrsti davka zadnji delovni dan v mesecu.</w:t>
      </w:r>
      <w:r>
        <w:rPr>
          <w:rFonts w:ascii="Arial" w:hAnsi="Arial" w:cs="Arial"/>
          <w:sz w:val="20"/>
          <w:szCs w:val="20"/>
        </w:rPr>
        <w:t xml:space="preserve"> </w:t>
      </w:r>
    </w:p>
    <w:p w14:paraId="367D4A6A" w14:textId="77777777" w:rsidR="00A155A2" w:rsidRDefault="00A155A2" w:rsidP="00A155A2">
      <w:pPr>
        <w:jc w:val="both"/>
        <w:rPr>
          <w:rFonts w:ascii="Arial" w:hAnsi="Arial" w:cs="Arial"/>
          <w:sz w:val="20"/>
          <w:szCs w:val="20"/>
        </w:rPr>
      </w:pPr>
      <w:r w:rsidRPr="009235F6">
        <w:rPr>
          <w:rFonts w:ascii="Arial" w:hAnsi="Arial" w:cs="Arial"/>
          <w:sz w:val="20"/>
          <w:szCs w:val="20"/>
        </w:rPr>
        <w:t>V davčnem dolgu po stanju na presečni dan so zajete tudi neporavnane obveznosti davčnih zavezancev, ki so poravnali svoje obveznosti, vendar na napačen podračun ali z nap</w:t>
      </w:r>
      <w:r>
        <w:rPr>
          <w:rFonts w:ascii="Arial" w:hAnsi="Arial" w:cs="Arial"/>
          <w:sz w:val="20"/>
          <w:szCs w:val="20"/>
        </w:rPr>
        <w:t xml:space="preserve">ačno referenco pri plačilu. </w:t>
      </w:r>
      <w:r w:rsidRPr="009235F6">
        <w:rPr>
          <w:rFonts w:ascii="Arial" w:hAnsi="Arial" w:cs="Arial"/>
          <w:sz w:val="20"/>
          <w:szCs w:val="20"/>
        </w:rPr>
        <w:t xml:space="preserve">FURS v tem primeru </w:t>
      </w:r>
      <w:r>
        <w:rPr>
          <w:rFonts w:ascii="Arial" w:hAnsi="Arial" w:cs="Arial"/>
          <w:sz w:val="20"/>
          <w:szCs w:val="20"/>
        </w:rPr>
        <w:t>izvede</w:t>
      </w:r>
      <w:r w:rsidRPr="009235F6">
        <w:rPr>
          <w:rFonts w:ascii="Arial" w:hAnsi="Arial" w:cs="Arial"/>
          <w:sz w:val="20"/>
          <w:szCs w:val="20"/>
        </w:rPr>
        <w:t xml:space="preserve"> postopek razčiščevanja plačil (stik z zavezancem, poizvedba na Uprav</w:t>
      </w:r>
      <w:r>
        <w:rPr>
          <w:rFonts w:ascii="Arial" w:hAnsi="Arial" w:cs="Arial"/>
          <w:sz w:val="20"/>
          <w:szCs w:val="20"/>
        </w:rPr>
        <w:t>i</w:t>
      </w:r>
      <w:r w:rsidRPr="009235F6">
        <w:rPr>
          <w:rFonts w:ascii="Arial" w:hAnsi="Arial" w:cs="Arial"/>
          <w:sz w:val="20"/>
          <w:szCs w:val="20"/>
        </w:rPr>
        <w:t xml:space="preserve"> Republike Slovenije za javna plačila in banke</w:t>
      </w:r>
      <w:r>
        <w:rPr>
          <w:rFonts w:ascii="Arial" w:hAnsi="Arial" w:cs="Arial"/>
          <w:sz w:val="20"/>
          <w:szCs w:val="20"/>
        </w:rPr>
        <w:t xml:space="preserve"> ter podobno</w:t>
      </w:r>
      <w:r w:rsidRPr="009235F6">
        <w:rPr>
          <w:rFonts w:ascii="Arial" w:hAnsi="Arial" w:cs="Arial"/>
          <w:sz w:val="20"/>
          <w:szCs w:val="20"/>
        </w:rPr>
        <w:t xml:space="preserve">). Zaradi </w:t>
      </w:r>
      <w:r>
        <w:rPr>
          <w:rFonts w:ascii="Arial" w:hAnsi="Arial" w:cs="Arial"/>
          <w:sz w:val="20"/>
          <w:szCs w:val="20"/>
        </w:rPr>
        <w:t>številčnosti</w:t>
      </w:r>
      <w:r w:rsidRPr="009235F6">
        <w:rPr>
          <w:rFonts w:ascii="Arial" w:hAnsi="Arial" w:cs="Arial"/>
          <w:sz w:val="20"/>
          <w:szCs w:val="20"/>
        </w:rPr>
        <w:t xml:space="preserve"> </w:t>
      </w:r>
      <w:r>
        <w:rPr>
          <w:rFonts w:ascii="Arial" w:hAnsi="Arial" w:cs="Arial"/>
          <w:sz w:val="20"/>
          <w:szCs w:val="20"/>
        </w:rPr>
        <w:t xml:space="preserve">takih </w:t>
      </w:r>
      <w:r w:rsidRPr="00A36872">
        <w:rPr>
          <w:rFonts w:ascii="Arial" w:hAnsi="Arial" w:cs="Arial"/>
          <w:sz w:val="20"/>
          <w:szCs w:val="20"/>
        </w:rPr>
        <w:t xml:space="preserve">plačil (4,5 odstotka) </w:t>
      </w:r>
      <w:r w:rsidRPr="009235F6">
        <w:rPr>
          <w:rFonts w:ascii="Arial" w:hAnsi="Arial" w:cs="Arial"/>
          <w:sz w:val="20"/>
          <w:szCs w:val="20"/>
        </w:rPr>
        <w:t xml:space="preserve">lahko </w:t>
      </w:r>
      <w:r w:rsidRPr="00A36872">
        <w:rPr>
          <w:rFonts w:ascii="Arial" w:hAnsi="Arial" w:cs="Arial"/>
          <w:sz w:val="20"/>
          <w:szCs w:val="20"/>
        </w:rPr>
        <w:t xml:space="preserve">usklajevanje </w:t>
      </w:r>
      <w:r w:rsidRPr="009235F6">
        <w:rPr>
          <w:rFonts w:ascii="Arial" w:hAnsi="Arial" w:cs="Arial"/>
          <w:sz w:val="20"/>
          <w:szCs w:val="20"/>
        </w:rPr>
        <w:t xml:space="preserve">traja </w:t>
      </w:r>
      <w:r>
        <w:rPr>
          <w:rFonts w:ascii="Arial" w:hAnsi="Arial" w:cs="Arial"/>
          <w:sz w:val="20"/>
          <w:szCs w:val="20"/>
        </w:rPr>
        <w:t>nekaj</w:t>
      </w:r>
      <w:r w:rsidRPr="009235F6">
        <w:rPr>
          <w:rFonts w:ascii="Arial" w:hAnsi="Arial" w:cs="Arial"/>
          <w:sz w:val="20"/>
          <w:szCs w:val="20"/>
        </w:rPr>
        <w:t xml:space="preserve"> dni.</w:t>
      </w:r>
      <w:r>
        <w:rPr>
          <w:rFonts w:ascii="Arial" w:hAnsi="Arial" w:cs="Arial"/>
          <w:sz w:val="20"/>
          <w:szCs w:val="20"/>
        </w:rPr>
        <w:t xml:space="preserve"> </w:t>
      </w:r>
      <w:r w:rsidRPr="000A2CFD">
        <w:rPr>
          <w:rFonts w:ascii="Arial" w:hAnsi="Arial" w:cs="Arial"/>
          <w:sz w:val="20"/>
          <w:szCs w:val="20"/>
        </w:rPr>
        <w:t>V 30 dn</w:t>
      </w:r>
      <w:r>
        <w:rPr>
          <w:rFonts w:ascii="Arial" w:hAnsi="Arial" w:cs="Arial"/>
          <w:sz w:val="20"/>
          <w:szCs w:val="20"/>
        </w:rPr>
        <w:t>eh</w:t>
      </w:r>
      <w:r w:rsidRPr="000A2CFD">
        <w:rPr>
          <w:rFonts w:ascii="Arial" w:hAnsi="Arial" w:cs="Arial"/>
          <w:sz w:val="20"/>
          <w:szCs w:val="20"/>
        </w:rPr>
        <w:t xml:space="preserve"> od prejema plačila pa FURS izvaja tudi izravnave med</w:t>
      </w:r>
      <w:r>
        <w:rPr>
          <w:rFonts w:ascii="Arial" w:hAnsi="Arial" w:cs="Arial"/>
          <w:sz w:val="20"/>
          <w:szCs w:val="20"/>
        </w:rPr>
        <w:t xml:space="preserve"> javnofinančnimi</w:t>
      </w:r>
      <w:r w:rsidRPr="000A2CFD">
        <w:rPr>
          <w:rFonts w:ascii="Arial" w:hAnsi="Arial" w:cs="Arial"/>
          <w:sz w:val="20"/>
          <w:szCs w:val="20"/>
        </w:rPr>
        <w:t xml:space="preserve"> blagajnami </w:t>
      </w:r>
      <w:r>
        <w:rPr>
          <w:rFonts w:ascii="Arial" w:hAnsi="Arial" w:cs="Arial"/>
          <w:sz w:val="20"/>
          <w:szCs w:val="20"/>
        </w:rPr>
        <w:t xml:space="preserve">in pobote </w:t>
      </w:r>
      <w:r w:rsidRPr="000A2CFD">
        <w:rPr>
          <w:rFonts w:ascii="Arial" w:hAnsi="Arial" w:cs="Arial"/>
          <w:sz w:val="20"/>
          <w:szCs w:val="20"/>
        </w:rPr>
        <w:t>oziroma preveč plačane dajatve vrne.</w:t>
      </w:r>
    </w:p>
    <w:p w14:paraId="7F9C9A13" w14:textId="77777777" w:rsidR="00A155A2" w:rsidRPr="00527DB1" w:rsidRDefault="00A155A2" w:rsidP="00A155A2">
      <w:pPr>
        <w:rPr>
          <w:rFonts w:ascii="Arial" w:hAnsi="Arial" w:cs="Arial"/>
          <w:b/>
        </w:rPr>
      </w:pPr>
      <w:r w:rsidRPr="006A1276">
        <w:rPr>
          <w:rFonts w:ascii="Arial" w:hAnsi="Arial" w:cs="Arial"/>
          <w:b/>
        </w:rPr>
        <w:t>4      Davčni dolg</w:t>
      </w:r>
      <w:r w:rsidRPr="00527DB1">
        <w:rPr>
          <w:rFonts w:ascii="Arial" w:hAnsi="Arial" w:cs="Arial"/>
          <w:b/>
        </w:rPr>
        <w:t xml:space="preserve"> </w:t>
      </w:r>
    </w:p>
    <w:p w14:paraId="35CFB560" w14:textId="77777777" w:rsidR="00A155A2" w:rsidRPr="001508A4" w:rsidRDefault="00A155A2" w:rsidP="00A155A2">
      <w:pPr>
        <w:jc w:val="both"/>
        <w:rPr>
          <w:rFonts w:ascii="Arial" w:hAnsi="Arial" w:cs="Arial"/>
          <w:sz w:val="20"/>
          <w:szCs w:val="20"/>
        </w:rPr>
      </w:pPr>
      <w:r w:rsidRPr="001508A4">
        <w:rPr>
          <w:rFonts w:ascii="Arial" w:hAnsi="Arial" w:cs="Arial"/>
          <w:sz w:val="20"/>
          <w:szCs w:val="20"/>
        </w:rPr>
        <w:t xml:space="preserve">Po </w:t>
      </w:r>
      <w:r w:rsidRPr="007D3DE6">
        <w:rPr>
          <w:rFonts w:ascii="Arial" w:hAnsi="Arial" w:cs="Arial"/>
          <w:sz w:val="20"/>
          <w:szCs w:val="20"/>
        </w:rPr>
        <w:t>stanju na dan 31. december</w:t>
      </w:r>
      <w:r w:rsidRPr="00B9778A">
        <w:rPr>
          <w:rFonts w:ascii="Arial" w:hAnsi="Arial" w:cs="Arial"/>
          <w:sz w:val="20"/>
          <w:szCs w:val="20"/>
        </w:rPr>
        <w:t xml:space="preserve"> </w:t>
      </w:r>
      <w:r w:rsidRPr="001508A4">
        <w:rPr>
          <w:rFonts w:ascii="Arial" w:hAnsi="Arial" w:cs="Arial"/>
          <w:sz w:val="20"/>
          <w:szCs w:val="20"/>
        </w:rPr>
        <w:t xml:space="preserve">2024 je </w:t>
      </w:r>
      <w:r>
        <w:rPr>
          <w:rFonts w:ascii="Arial" w:hAnsi="Arial" w:cs="Arial"/>
          <w:sz w:val="20"/>
          <w:szCs w:val="20"/>
        </w:rPr>
        <w:t xml:space="preserve">bil </w:t>
      </w:r>
      <w:r w:rsidRPr="001508A4">
        <w:rPr>
          <w:rFonts w:ascii="Arial" w:hAnsi="Arial" w:cs="Arial"/>
          <w:sz w:val="20"/>
          <w:szCs w:val="20"/>
        </w:rPr>
        <w:t xml:space="preserve">davčni dolg 901.937.257 EUR. V </w:t>
      </w:r>
      <w:r>
        <w:rPr>
          <w:rFonts w:ascii="Arial" w:hAnsi="Arial" w:cs="Arial"/>
          <w:sz w:val="20"/>
          <w:szCs w:val="20"/>
        </w:rPr>
        <w:t>tem</w:t>
      </w:r>
      <w:r w:rsidRPr="001508A4">
        <w:rPr>
          <w:rFonts w:ascii="Arial" w:hAnsi="Arial" w:cs="Arial"/>
          <w:sz w:val="20"/>
          <w:szCs w:val="20"/>
        </w:rPr>
        <w:t xml:space="preserve"> znesku so poleg neporavnanih zapadlih obveznosti zajete tudi zaračunane zamudne obresti, ki </w:t>
      </w:r>
      <w:r>
        <w:rPr>
          <w:rFonts w:ascii="Arial" w:hAnsi="Arial" w:cs="Arial"/>
          <w:sz w:val="20"/>
          <w:szCs w:val="20"/>
        </w:rPr>
        <w:t>obsegajo</w:t>
      </w:r>
      <w:r w:rsidRPr="001508A4">
        <w:rPr>
          <w:rFonts w:ascii="Arial" w:hAnsi="Arial" w:cs="Arial"/>
          <w:sz w:val="20"/>
          <w:szCs w:val="20"/>
        </w:rPr>
        <w:t xml:space="preserve"> 14,4 odstotka dolga </w:t>
      </w:r>
      <w:r>
        <w:rPr>
          <w:rFonts w:ascii="Arial" w:hAnsi="Arial" w:cs="Arial"/>
          <w:sz w:val="20"/>
          <w:szCs w:val="20"/>
        </w:rPr>
        <w:t>ali</w:t>
      </w:r>
      <w:r w:rsidRPr="001508A4">
        <w:rPr>
          <w:rFonts w:ascii="Arial" w:hAnsi="Arial" w:cs="Arial"/>
          <w:sz w:val="20"/>
          <w:szCs w:val="20"/>
        </w:rPr>
        <w:t xml:space="preserve"> 129.520.895 EUR.</w:t>
      </w:r>
    </w:p>
    <w:p w14:paraId="7C6E020E" w14:textId="77777777" w:rsidR="00A155A2" w:rsidRDefault="00A155A2" w:rsidP="00A155A2">
      <w:pPr>
        <w:jc w:val="both"/>
        <w:rPr>
          <w:rFonts w:ascii="Arial" w:hAnsi="Arial" w:cs="Arial"/>
          <w:i/>
          <w:sz w:val="20"/>
          <w:szCs w:val="20"/>
        </w:rPr>
      </w:pPr>
      <w:r w:rsidRPr="00BE3E02">
        <w:rPr>
          <w:rFonts w:ascii="Arial" w:hAnsi="Arial" w:cs="Arial"/>
          <w:bCs/>
          <w:i/>
          <w:sz w:val="20"/>
          <w:szCs w:val="20"/>
        </w:rPr>
        <w:t>Preglednica</w:t>
      </w:r>
      <w:r w:rsidRPr="00BE3E02">
        <w:rPr>
          <w:rFonts w:ascii="Arial" w:hAnsi="Arial" w:cs="Arial"/>
          <w:i/>
          <w:sz w:val="20"/>
          <w:szCs w:val="20"/>
        </w:rPr>
        <w:t xml:space="preserve"> 2</w:t>
      </w:r>
      <w:r>
        <w:rPr>
          <w:rFonts w:ascii="Arial" w:hAnsi="Arial" w:cs="Arial"/>
          <w:i/>
          <w:sz w:val="20"/>
          <w:szCs w:val="20"/>
        </w:rPr>
        <w:t xml:space="preserve">: </w:t>
      </w:r>
      <w:r w:rsidRPr="00BE3E02">
        <w:rPr>
          <w:rFonts w:ascii="Arial" w:hAnsi="Arial" w:cs="Arial"/>
          <w:i/>
          <w:sz w:val="20"/>
          <w:szCs w:val="20"/>
        </w:rPr>
        <w:t>Stanje in gibanje davčnega dolga</w:t>
      </w:r>
      <w:r>
        <w:rPr>
          <w:rFonts w:ascii="Arial" w:hAnsi="Arial" w:cs="Arial"/>
          <w:i/>
          <w:sz w:val="20"/>
          <w:szCs w:val="20"/>
        </w:rPr>
        <w:t xml:space="preserve"> (v EUR)</w:t>
      </w:r>
    </w:p>
    <w:tbl>
      <w:tblPr>
        <w:tblW w:w="8936" w:type="dxa"/>
        <w:tblCellMar>
          <w:left w:w="70" w:type="dxa"/>
          <w:right w:w="70" w:type="dxa"/>
        </w:tblCellMar>
        <w:tblLook w:val="04A0" w:firstRow="1" w:lastRow="0" w:firstColumn="1" w:lastColumn="0" w:noHBand="0" w:noVBand="1"/>
      </w:tblPr>
      <w:tblGrid>
        <w:gridCol w:w="1417"/>
        <w:gridCol w:w="1297"/>
        <w:gridCol w:w="1253"/>
        <w:gridCol w:w="1326"/>
        <w:gridCol w:w="1215"/>
        <w:gridCol w:w="1231"/>
        <w:gridCol w:w="1197"/>
      </w:tblGrid>
      <w:tr w:rsidR="00A155A2" w:rsidRPr="001508A4" w14:paraId="5FF4CCC9" w14:textId="77777777" w:rsidTr="001C77D2">
        <w:trPr>
          <w:trHeight w:val="426"/>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DFA7" w14:textId="77777777" w:rsidR="00A155A2" w:rsidRPr="001508A4" w:rsidRDefault="00A155A2" w:rsidP="001C77D2">
            <w:pPr>
              <w:spacing w:after="0" w:line="240" w:lineRule="auto"/>
              <w:rPr>
                <w:rFonts w:ascii="Arial" w:eastAsia="Times New Roman" w:hAnsi="Arial" w:cs="Arial"/>
                <w:sz w:val="20"/>
                <w:szCs w:val="20"/>
                <w:lang w:eastAsia="sl-SI"/>
              </w:rPr>
            </w:pPr>
            <w:r w:rsidRPr="001508A4">
              <w:rPr>
                <w:rFonts w:ascii="Arial" w:eastAsia="Times New Roman" w:hAnsi="Arial" w:cs="Arial"/>
                <w:sz w:val="20"/>
                <w:szCs w:val="20"/>
                <w:lang w:eastAsia="sl-SI"/>
              </w:rPr>
              <w:t> </w:t>
            </w:r>
          </w:p>
        </w:tc>
        <w:tc>
          <w:tcPr>
            <w:tcW w:w="1298" w:type="dxa"/>
            <w:tcBorders>
              <w:top w:val="single" w:sz="4" w:space="0" w:color="auto"/>
              <w:left w:val="nil"/>
              <w:bottom w:val="single" w:sz="4" w:space="0" w:color="auto"/>
              <w:right w:val="nil"/>
            </w:tcBorders>
            <w:shd w:val="clear" w:color="auto" w:fill="auto"/>
            <w:vAlign w:val="center"/>
            <w:hideMark/>
          </w:tcPr>
          <w:p w14:paraId="16FDDA38" w14:textId="77777777" w:rsidR="00A155A2" w:rsidRPr="001508A4" w:rsidRDefault="00A155A2" w:rsidP="001C77D2">
            <w:pPr>
              <w:spacing w:after="0" w:line="240" w:lineRule="auto"/>
              <w:jc w:val="center"/>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31.</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12.</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2022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53F0" w14:textId="77777777" w:rsidR="00A155A2" w:rsidRPr="001508A4" w:rsidRDefault="00A155A2" w:rsidP="001C77D2">
            <w:pPr>
              <w:spacing w:after="0" w:line="240" w:lineRule="auto"/>
              <w:jc w:val="center"/>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31.</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12.</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2023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205DD81" w14:textId="77777777" w:rsidR="00A155A2" w:rsidRPr="001508A4" w:rsidRDefault="00A155A2" w:rsidP="001C77D2">
            <w:pPr>
              <w:spacing w:after="0" w:line="240" w:lineRule="auto"/>
              <w:jc w:val="center"/>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31.</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12.</w:t>
            </w:r>
            <w:r>
              <w:rPr>
                <w:rFonts w:ascii="Arial" w:eastAsia="Times New Roman" w:hAnsi="Arial" w:cs="Arial"/>
                <w:b/>
                <w:bCs/>
                <w:sz w:val="20"/>
                <w:szCs w:val="20"/>
                <w:lang w:eastAsia="sl-SI"/>
              </w:rPr>
              <w:t xml:space="preserve"> </w:t>
            </w:r>
            <w:r w:rsidRPr="001508A4">
              <w:rPr>
                <w:rFonts w:ascii="Arial" w:eastAsia="Times New Roman" w:hAnsi="Arial" w:cs="Arial"/>
                <w:b/>
                <w:bCs/>
                <w:sz w:val="20"/>
                <w:szCs w:val="20"/>
                <w:lang w:eastAsia="sl-SI"/>
              </w:rPr>
              <w:t>2024</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260F6400" w14:textId="77777777" w:rsidR="00A155A2" w:rsidRPr="001508A4" w:rsidRDefault="00A155A2" w:rsidP="001C77D2">
            <w:pPr>
              <w:spacing w:after="0" w:line="240" w:lineRule="auto"/>
              <w:jc w:val="center"/>
              <w:rPr>
                <w:rFonts w:ascii="Arial" w:eastAsia="Times New Roman" w:hAnsi="Arial" w:cs="Arial"/>
                <w:b/>
                <w:bCs/>
                <w:color w:val="000000"/>
                <w:sz w:val="20"/>
                <w:szCs w:val="20"/>
                <w:lang w:eastAsia="sl-SI"/>
              </w:rPr>
            </w:pPr>
            <w:r w:rsidRPr="00257A77">
              <w:rPr>
                <w:rFonts w:ascii="Arial" w:eastAsia="Times New Roman" w:hAnsi="Arial" w:cs="Arial"/>
                <w:b/>
                <w:bCs/>
                <w:color w:val="000000"/>
                <w:sz w:val="20"/>
                <w:szCs w:val="20"/>
                <w:lang w:eastAsia="sl-SI"/>
              </w:rPr>
              <w:t>INDEK</w:t>
            </w:r>
            <w:r>
              <w:rPr>
                <w:rFonts w:ascii="Arial" w:eastAsia="Times New Roman" w:hAnsi="Arial" w:cs="Arial"/>
                <w:b/>
                <w:bCs/>
                <w:color w:val="000000"/>
                <w:sz w:val="20"/>
                <w:szCs w:val="20"/>
                <w:lang w:eastAsia="sl-SI"/>
              </w:rPr>
              <w:t>S</w:t>
            </w:r>
            <w:r w:rsidRPr="001508A4">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2023</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w:t>
            </w:r>
            <w:r w:rsidRPr="001508A4">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2022</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377C0813" w14:textId="77777777" w:rsidR="00A155A2" w:rsidRPr="001508A4" w:rsidRDefault="00A155A2" w:rsidP="001C77D2">
            <w:pPr>
              <w:spacing w:after="0" w:line="240" w:lineRule="auto"/>
              <w:jc w:val="center"/>
              <w:rPr>
                <w:rFonts w:ascii="Arial" w:eastAsia="Times New Roman" w:hAnsi="Arial" w:cs="Arial"/>
                <w:b/>
                <w:bCs/>
                <w:color w:val="000000"/>
                <w:sz w:val="20"/>
                <w:szCs w:val="20"/>
                <w:lang w:eastAsia="sl-SI"/>
              </w:rPr>
            </w:pPr>
            <w:r w:rsidRPr="001508A4">
              <w:rPr>
                <w:rFonts w:ascii="Arial" w:eastAsia="Times New Roman" w:hAnsi="Arial" w:cs="Arial"/>
                <w:b/>
                <w:bCs/>
                <w:color w:val="000000"/>
                <w:sz w:val="20"/>
                <w:szCs w:val="20"/>
                <w:lang w:eastAsia="sl-SI"/>
              </w:rPr>
              <w:t>IND</w:t>
            </w:r>
            <w:r>
              <w:rPr>
                <w:rFonts w:ascii="Arial" w:eastAsia="Times New Roman" w:hAnsi="Arial" w:cs="Arial"/>
                <w:b/>
                <w:bCs/>
                <w:color w:val="000000"/>
                <w:sz w:val="20"/>
                <w:szCs w:val="20"/>
                <w:lang w:eastAsia="sl-SI"/>
              </w:rPr>
              <w:t>EKS</w:t>
            </w:r>
            <w:r w:rsidRPr="001508A4">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2024</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w:t>
            </w:r>
            <w:r w:rsidRPr="001508A4">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2022</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C4EA3F6" w14:textId="77777777" w:rsidR="00A155A2" w:rsidRPr="001508A4" w:rsidRDefault="00A155A2" w:rsidP="001C77D2">
            <w:pPr>
              <w:spacing w:after="0" w:line="240" w:lineRule="auto"/>
              <w:jc w:val="center"/>
              <w:rPr>
                <w:rFonts w:ascii="Arial" w:eastAsia="Times New Roman" w:hAnsi="Arial" w:cs="Arial"/>
                <w:b/>
                <w:bCs/>
                <w:color w:val="000000"/>
                <w:sz w:val="20"/>
                <w:szCs w:val="20"/>
                <w:lang w:eastAsia="sl-SI"/>
              </w:rPr>
            </w:pPr>
            <w:r w:rsidRPr="001508A4">
              <w:rPr>
                <w:rFonts w:ascii="Arial" w:eastAsia="Times New Roman" w:hAnsi="Arial" w:cs="Arial"/>
                <w:b/>
                <w:bCs/>
                <w:color w:val="000000"/>
                <w:sz w:val="20"/>
                <w:szCs w:val="20"/>
                <w:lang w:eastAsia="sl-SI"/>
              </w:rPr>
              <w:t>IND</w:t>
            </w:r>
            <w:r>
              <w:rPr>
                <w:rFonts w:ascii="Arial" w:eastAsia="Times New Roman" w:hAnsi="Arial" w:cs="Arial"/>
                <w:b/>
                <w:bCs/>
                <w:color w:val="000000"/>
                <w:sz w:val="20"/>
                <w:szCs w:val="20"/>
                <w:lang w:eastAsia="sl-SI"/>
              </w:rPr>
              <w:t>EKS</w:t>
            </w:r>
            <w:r w:rsidRPr="001508A4">
              <w:rPr>
                <w:rFonts w:ascii="Arial" w:eastAsia="Times New Roman" w:hAnsi="Arial" w:cs="Arial"/>
                <w:b/>
                <w:bCs/>
                <w:color w:val="000000"/>
                <w:sz w:val="20"/>
                <w:szCs w:val="20"/>
                <w:lang w:eastAsia="sl-SI"/>
              </w:rPr>
              <w:t xml:space="preserve"> 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2024</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w:t>
            </w:r>
            <w:r w:rsidRPr="001508A4">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1508A4">
              <w:rPr>
                <w:rFonts w:ascii="Arial" w:eastAsia="Times New Roman" w:hAnsi="Arial" w:cs="Arial"/>
                <w:b/>
                <w:bCs/>
                <w:color w:val="000000"/>
                <w:sz w:val="20"/>
                <w:szCs w:val="20"/>
                <w:lang w:eastAsia="sl-SI"/>
              </w:rPr>
              <w:t>2023</w:t>
            </w:r>
          </w:p>
        </w:tc>
      </w:tr>
      <w:tr w:rsidR="00A155A2" w:rsidRPr="001508A4" w14:paraId="39A5F1ED" w14:textId="77777777" w:rsidTr="001C77D2">
        <w:trPr>
          <w:trHeight w:val="187"/>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4D61329B" w14:textId="77777777" w:rsidR="00A155A2" w:rsidRPr="001508A4" w:rsidRDefault="00A155A2" w:rsidP="001C77D2">
            <w:pPr>
              <w:spacing w:after="0" w:line="240" w:lineRule="auto"/>
              <w:rPr>
                <w:rFonts w:ascii="Arial" w:eastAsia="Times New Roman" w:hAnsi="Arial" w:cs="Arial"/>
                <w:sz w:val="20"/>
                <w:szCs w:val="20"/>
                <w:lang w:eastAsia="sl-SI"/>
              </w:rPr>
            </w:pPr>
            <w:r w:rsidRPr="001508A4">
              <w:rPr>
                <w:rFonts w:ascii="Arial" w:eastAsia="Times New Roman" w:hAnsi="Arial" w:cs="Arial"/>
                <w:sz w:val="20"/>
                <w:szCs w:val="20"/>
                <w:lang w:eastAsia="sl-SI"/>
              </w:rPr>
              <w:t>Glavnica</w:t>
            </w:r>
          </w:p>
        </w:tc>
        <w:tc>
          <w:tcPr>
            <w:tcW w:w="1298" w:type="dxa"/>
            <w:tcBorders>
              <w:top w:val="nil"/>
              <w:left w:val="nil"/>
              <w:bottom w:val="single" w:sz="4" w:space="0" w:color="auto"/>
              <w:right w:val="nil"/>
            </w:tcBorders>
            <w:shd w:val="clear" w:color="auto" w:fill="auto"/>
            <w:vAlign w:val="center"/>
            <w:hideMark/>
          </w:tcPr>
          <w:p w14:paraId="24DF3A41"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761.930.073</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2CA9034"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715.436.904</w:t>
            </w:r>
          </w:p>
        </w:tc>
        <w:tc>
          <w:tcPr>
            <w:tcW w:w="1326" w:type="dxa"/>
            <w:tcBorders>
              <w:top w:val="nil"/>
              <w:left w:val="nil"/>
              <w:bottom w:val="single" w:sz="4" w:space="0" w:color="auto"/>
              <w:right w:val="single" w:sz="4" w:space="0" w:color="auto"/>
            </w:tcBorders>
            <w:shd w:val="clear" w:color="auto" w:fill="auto"/>
            <w:vAlign w:val="center"/>
            <w:hideMark/>
          </w:tcPr>
          <w:p w14:paraId="500AE465"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772.416.362</w:t>
            </w:r>
          </w:p>
        </w:tc>
        <w:tc>
          <w:tcPr>
            <w:tcW w:w="1215" w:type="dxa"/>
            <w:tcBorders>
              <w:top w:val="nil"/>
              <w:left w:val="nil"/>
              <w:bottom w:val="single" w:sz="4" w:space="0" w:color="auto"/>
              <w:right w:val="single" w:sz="4" w:space="0" w:color="auto"/>
            </w:tcBorders>
            <w:shd w:val="clear" w:color="auto" w:fill="auto"/>
            <w:vAlign w:val="center"/>
            <w:hideMark/>
          </w:tcPr>
          <w:p w14:paraId="4CE8D7CC"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93,9</w:t>
            </w:r>
          </w:p>
        </w:tc>
        <w:tc>
          <w:tcPr>
            <w:tcW w:w="1231" w:type="dxa"/>
            <w:tcBorders>
              <w:top w:val="nil"/>
              <w:left w:val="nil"/>
              <w:bottom w:val="single" w:sz="4" w:space="0" w:color="auto"/>
              <w:right w:val="single" w:sz="4" w:space="0" w:color="auto"/>
            </w:tcBorders>
            <w:shd w:val="clear" w:color="auto" w:fill="auto"/>
            <w:vAlign w:val="center"/>
            <w:hideMark/>
          </w:tcPr>
          <w:p w14:paraId="1BAB9689"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101,4</w:t>
            </w:r>
          </w:p>
        </w:tc>
        <w:tc>
          <w:tcPr>
            <w:tcW w:w="1197" w:type="dxa"/>
            <w:tcBorders>
              <w:top w:val="nil"/>
              <w:left w:val="nil"/>
              <w:bottom w:val="single" w:sz="4" w:space="0" w:color="auto"/>
              <w:right w:val="single" w:sz="4" w:space="0" w:color="auto"/>
            </w:tcBorders>
            <w:shd w:val="clear" w:color="auto" w:fill="auto"/>
            <w:vAlign w:val="center"/>
            <w:hideMark/>
          </w:tcPr>
          <w:p w14:paraId="20BACF0D"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108,0</w:t>
            </w:r>
          </w:p>
        </w:tc>
      </w:tr>
      <w:tr w:rsidR="00A155A2" w:rsidRPr="001508A4" w14:paraId="36197EA7" w14:textId="77777777" w:rsidTr="001C77D2">
        <w:trPr>
          <w:trHeight w:val="222"/>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E3EE086" w14:textId="77777777" w:rsidR="00A155A2" w:rsidRPr="001508A4" w:rsidRDefault="00A155A2" w:rsidP="001C77D2">
            <w:pPr>
              <w:spacing w:after="0" w:line="240" w:lineRule="auto"/>
              <w:rPr>
                <w:rFonts w:ascii="Arial" w:eastAsia="Times New Roman" w:hAnsi="Arial" w:cs="Arial"/>
                <w:sz w:val="20"/>
                <w:szCs w:val="20"/>
                <w:lang w:eastAsia="sl-SI"/>
              </w:rPr>
            </w:pPr>
            <w:r w:rsidRPr="001508A4">
              <w:rPr>
                <w:rFonts w:ascii="Arial" w:eastAsia="Times New Roman" w:hAnsi="Arial" w:cs="Arial"/>
                <w:sz w:val="20"/>
                <w:szCs w:val="20"/>
                <w:lang w:eastAsia="sl-SI"/>
              </w:rPr>
              <w:t>Zamudne obresti</w:t>
            </w:r>
          </w:p>
        </w:tc>
        <w:tc>
          <w:tcPr>
            <w:tcW w:w="1298" w:type="dxa"/>
            <w:tcBorders>
              <w:top w:val="nil"/>
              <w:left w:val="nil"/>
              <w:bottom w:val="single" w:sz="4" w:space="0" w:color="auto"/>
              <w:right w:val="nil"/>
            </w:tcBorders>
            <w:shd w:val="clear" w:color="auto" w:fill="auto"/>
            <w:vAlign w:val="center"/>
            <w:hideMark/>
          </w:tcPr>
          <w:p w14:paraId="3D383CD6"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134.419.917</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182B483"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126.371.890</w:t>
            </w:r>
          </w:p>
        </w:tc>
        <w:tc>
          <w:tcPr>
            <w:tcW w:w="1326" w:type="dxa"/>
            <w:tcBorders>
              <w:top w:val="nil"/>
              <w:left w:val="nil"/>
              <w:bottom w:val="single" w:sz="4" w:space="0" w:color="auto"/>
              <w:right w:val="single" w:sz="4" w:space="0" w:color="auto"/>
            </w:tcBorders>
            <w:shd w:val="clear" w:color="auto" w:fill="auto"/>
            <w:vAlign w:val="center"/>
            <w:hideMark/>
          </w:tcPr>
          <w:p w14:paraId="7E53C61A" w14:textId="77777777" w:rsidR="00A155A2" w:rsidRPr="001508A4" w:rsidRDefault="00A155A2" w:rsidP="001C77D2">
            <w:pPr>
              <w:spacing w:after="0" w:line="240" w:lineRule="auto"/>
              <w:jc w:val="right"/>
              <w:rPr>
                <w:rFonts w:ascii="Arial" w:eastAsia="Times New Roman" w:hAnsi="Arial" w:cs="Arial"/>
                <w:sz w:val="20"/>
                <w:szCs w:val="20"/>
                <w:lang w:eastAsia="sl-SI"/>
              </w:rPr>
            </w:pPr>
            <w:r w:rsidRPr="001508A4">
              <w:rPr>
                <w:rFonts w:ascii="Arial" w:eastAsia="Times New Roman" w:hAnsi="Arial" w:cs="Arial"/>
                <w:sz w:val="20"/>
                <w:szCs w:val="20"/>
                <w:lang w:eastAsia="sl-SI"/>
              </w:rPr>
              <w:t>129.520.895</w:t>
            </w:r>
          </w:p>
        </w:tc>
        <w:tc>
          <w:tcPr>
            <w:tcW w:w="1215" w:type="dxa"/>
            <w:tcBorders>
              <w:top w:val="nil"/>
              <w:left w:val="nil"/>
              <w:bottom w:val="single" w:sz="4" w:space="0" w:color="auto"/>
              <w:right w:val="single" w:sz="4" w:space="0" w:color="auto"/>
            </w:tcBorders>
            <w:shd w:val="clear" w:color="auto" w:fill="auto"/>
            <w:vAlign w:val="center"/>
            <w:hideMark/>
          </w:tcPr>
          <w:p w14:paraId="6EE3BC58"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94,0</w:t>
            </w:r>
          </w:p>
        </w:tc>
        <w:tc>
          <w:tcPr>
            <w:tcW w:w="1231" w:type="dxa"/>
            <w:tcBorders>
              <w:top w:val="nil"/>
              <w:left w:val="nil"/>
              <w:bottom w:val="single" w:sz="4" w:space="0" w:color="auto"/>
              <w:right w:val="single" w:sz="4" w:space="0" w:color="auto"/>
            </w:tcBorders>
            <w:shd w:val="clear" w:color="auto" w:fill="auto"/>
            <w:vAlign w:val="center"/>
            <w:hideMark/>
          </w:tcPr>
          <w:p w14:paraId="31BD6133"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96,4</w:t>
            </w:r>
          </w:p>
        </w:tc>
        <w:tc>
          <w:tcPr>
            <w:tcW w:w="1197" w:type="dxa"/>
            <w:tcBorders>
              <w:top w:val="nil"/>
              <w:left w:val="nil"/>
              <w:bottom w:val="single" w:sz="4" w:space="0" w:color="auto"/>
              <w:right w:val="single" w:sz="4" w:space="0" w:color="auto"/>
            </w:tcBorders>
            <w:shd w:val="clear" w:color="auto" w:fill="auto"/>
            <w:vAlign w:val="center"/>
            <w:hideMark/>
          </w:tcPr>
          <w:p w14:paraId="4946A44A"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102,5</w:t>
            </w:r>
          </w:p>
        </w:tc>
      </w:tr>
      <w:tr w:rsidR="00A155A2" w:rsidRPr="001508A4" w14:paraId="51FF9F26" w14:textId="77777777" w:rsidTr="001C77D2">
        <w:trPr>
          <w:trHeight w:val="222"/>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0B1CA95C" w14:textId="77777777" w:rsidR="00A155A2" w:rsidRPr="001508A4" w:rsidRDefault="00A155A2" w:rsidP="001C77D2">
            <w:pPr>
              <w:spacing w:after="0" w:line="240" w:lineRule="auto"/>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Skupaj dolg</w:t>
            </w:r>
          </w:p>
        </w:tc>
        <w:tc>
          <w:tcPr>
            <w:tcW w:w="1298" w:type="dxa"/>
            <w:tcBorders>
              <w:top w:val="nil"/>
              <w:left w:val="nil"/>
              <w:bottom w:val="single" w:sz="4" w:space="0" w:color="auto"/>
              <w:right w:val="nil"/>
            </w:tcBorders>
            <w:shd w:val="clear" w:color="auto" w:fill="auto"/>
            <w:vAlign w:val="center"/>
            <w:hideMark/>
          </w:tcPr>
          <w:p w14:paraId="6599D5FB" w14:textId="77777777" w:rsidR="00A155A2" w:rsidRPr="001508A4" w:rsidRDefault="00A155A2" w:rsidP="001C77D2">
            <w:pPr>
              <w:spacing w:after="0" w:line="240" w:lineRule="auto"/>
              <w:jc w:val="right"/>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896.349.990</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9B2FACA" w14:textId="77777777" w:rsidR="00A155A2" w:rsidRPr="001508A4" w:rsidRDefault="00A155A2" w:rsidP="001C77D2">
            <w:pPr>
              <w:spacing w:after="0" w:line="240" w:lineRule="auto"/>
              <w:jc w:val="right"/>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841.808.794</w:t>
            </w:r>
          </w:p>
        </w:tc>
        <w:tc>
          <w:tcPr>
            <w:tcW w:w="1326" w:type="dxa"/>
            <w:tcBorders>
              <w:top w:val="nil"/>
              <w:left w:val="nil"/>
              <w:bottom w:val="single" w:sz="4" w:space="0" w:color="auto"/>
              <w:right w:val="single" w:sz="4" w:space="0" w:color="auto"/>
            </w:tcBorders>
            <w:shd w:val="clear" w:color="auto" w:fill="auto"/>
            <w:vAlign w:val="center"/>
            <w:hideMark/>
          </w:tcPr>
          <w:p w14:paraId="424BF3D8" w14:textId="77777777" w:rsidR="00A155A2" w:rsidRPr="001508A4" w:rsidRDefault="00A155A2" w:rsidP="001C77D2">
            <w:pPr>
              <w:spacing w:after="0" w:line="240" w:lineRule="auto"/>
              <w:jc w:val="right"/>
              <w:rPr>
                <w:rFonts w:ascii="Arial" w:eastAsia="Times New Roman" w:hAnsi="Arial" w:cs="Arial"/>
                <w:b/>
                <w:bCs/>
                <w:sz w:val="20"/>
                <w:szCs w:val="20"/>
                <w:lang w:eastAsia="sl-SI"/>
              </w:rPr>
            </w:pPr>
            <w:r w:rsidRPr="001508A4">
              <w:rPr>
                <w:rFonts w:ascii="Arial" w:eastAsia="Times New Roman" w:hAnsi="Arial" w:cs="Arial"/>
                <w:b/>
                <w:bCs/>
                <w:sz w:val="20"/>
                <w:szCs w:val="20"/>
                <w:lang w:eastAsia="sl-SI"/>
              </w:rPr>
              <w:t>901.937.257</w:t>
            </w:r>
          </w:p>
        </w:tc>
        <w:tc>
          <w:tcPr>
            <w:tcW w:w="1215" w:type="dxa"/>
            <w:tcBorders>
              <w:top w:val="nil"/>
              <w:left w:val="nil"/>
              <w:bottom w:val="single" w:sz="4" w:space="0" w:color="auto"/>
              <w:right w:val="single" w:sz="4" w:space="0" w:color="auto"/>
            </w:tcBorders>
            <w:shd w:val="clear" w:color="auto" w:fill="auto"/>
            <w:vAlign w:val="center"/>
            <w:hideMark/>
          </w:tcPr>
          <w:p w14:paraId="76D684D9"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93,9</w:t>
            </w:r>
          </w:p>
        </w:tc>
        <w:tc>
          <w:tcPr>
            <w:tcW w:w="1231" w:type="dxa"/>
            <w:tcBorders>
              <w:top w:val="nil"/>
              <w:left w:val="nil"/>
              <w:bottom w:val="single" w:sz="4" w:space="0" w:color="auto"/>
              <w:right w:val="single" w:sz="4" w:space="0" w:color="auto"/>
            </w:tcBorders>
            <w:shd w:val="clear" w:color="auto" w:fill="auto"/>
            <w:vAlign w:val="center"/>
            <w:hideMark/>
          </w:tcPr>
          <w:p w14:paraId="1EB381CE"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100,6</w:t>
            </w:r>
          </w:p>
        </w:tc>
        <w:tc>
          <w:tcPr>
            <w:tcW w:w="1197" w:type="dxa"/>
            <w:tcBorders>
              <w:top w:val="nil"/>
              <w:left w:val="nil"/>
              <w:bottom w:val="single" w:sz="4" w:space="0" w:color="auto"/>
              <w:right w:val="single" w:sz="4" w:space="0" w:color="auto"/>
            </w:tcBorders>
            <w:shd w:val="clear" w:color="auto" w:fill="auto"/>
            <w:vAlign w:val="center"/>
            <w:hideMark/>
          </w:tcPr>
          <w:p w14:paraId="678770CF" w14:textId="77777777" w:rsidR="00A155A2" w:rsidRPr="001508A4" w:rsidRDefault="00A155A2" w:rsidP="001C77D2">
            <w:pPr>
              <w:spacing w:after="0" w:line="240" w:lineRule="auto"/>
              <w:jc w:val="center"/>
              <w:rPr>
                <w:rFonts w:ascii="Arial" w:eastAsia="Times New Roman" w:hAnsi="Arial" w:cs="Arial"/>
                <w:sz w:val="20"/>
                <w:szCs w:val="20"/>
                <w:lang w:eastAsia="sl-SI"/>
              </w:rPr>
            </w:pPr>
            <w:r w:rsidRPr="001508A4">
              <w:rPr>
                <w:rFonts w:ascii="Arial" w:eastAsia="Times New Roman" w:hAnsi="Arial" w:cs="Arial"/>
                <w:sz w:val="20"/>
                <w:szCs w:val="20"/>
                <w:lang w:eastAsia="sl-SI"/>
              </w:rPr>
              <w:t>107,1</w:t>
            </w:r>
          </w:p>
        </w:tc>
      </w:tr>
    </w:tbl>
    <w:p w14:paraId="56894880" w14:textId="77777777" w:rsidR="00A155A2" w:rsidRPr="00BE3E02" w:rsidRDefault="00A155A2" w:rsidP="00A155A2">
      <w:pPr>
        <w:jc w:val="both"/>
        <w:rPr>
          <w:rFonts w:ascii="Arial" w:hAnsi="Arial" w:cs="Arial"/>
          <w:i/>
          <w:sz w:val="20"/>
          <w:szCs w:val="20"/>
        </w:rPr>
      </w:pPr>
      <w:r w:rsidRPr="00BE3E02">
        <w:rPr>
          <w:rFonts w:ascii="Arial" w:hAnsi="Arial" w:cs="Arial"/>
          <w:i/>
          <w:sz w:val="20"/>
          <w:szCs w:val="20"/>
        </w:rPr>
        <w:t>Vir: FURS</w:t>
      </w:r>
    </w:p>
    <w:p w14:paraId="6BAF2C37" w14:textId="77777777" w:rsidR="00A155A2" w:rsidRPr="00266C1F"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266C1F">
        <w:rPr>
          <w:rFonts w:ascii="Arial" w:hAnsi="Arial" w:cs="Arial"/>
          <w:bCs/>
          <w:sz w:val="20"/>
          <w:szCs w:val="20"/>
        </w:rPr>
        <w:t xml:space="preserve">Dolg pravnih oseb </w:t>
      </w:r>
      <w:r>
        <w:rPr>
          <w:rFonts w:ascii="Arial" w:hAnsi="Arial" w:cs="Arial"/>
          <w:bCs/>
          <w:sz w:val="20"/>
          <w:szCs w:val="20"/>
        </w:rPr>
        <w:t xml:space="preserve">je obsegal </w:t>
      </w:r>
      <w:r w:rsidRPr="001508A4">
        <w:rPr>
          <w:rFonts w:ascii="Arial" w:hAnsi="Arial" w:cs="Arial"/>
          <w:bCs/>
          <w:sz w:val="20"/>
          <w:szCs w:val="20"/>
        </w:rPr>
        <w:t>493.311.646</w:t>
      </w:r>
      <w:r w:rsidRPr="00266C1F">
        <w:rPr>
          <w:rFonts w:ascii="Arial" w:hAnsi="Arial" w:cs="Arial"/>
          <w:bCs/>
          <w:sz w:val="20"/>
          <w:szCs w:val="20"/>
        </w:rPr>
        <w:t xml:space="preserve"> EUR </w:t>
      </w:r>
      <w:r>
        <w:rPr>
          <w:rFonts w:ascii="Arial" w:hAnsi="Arial" w:cs="Arial"/>
          <w:bCs/>
          <w:sz w:val="20"/>
          <w:szCs w:val="20"/>
        </w:rPr>
        <w:t>ali</w:t>
      </w:r>
      <w:r w:rsidRPr="00266C1F">
        <w:rPr>
          <w:rFonts w:ascii="Arial" w:hAnsi="Arial" w:cs="Arial"/>
          <w:bCs/>
          <w:sz w:val="20"/>
          <w:szCs w:val="20"/>
        </w:rPr>
        <w:t xml:space="preserve"> </w:t>
      </w:r>
      <w:r>
        <w:rPr>
          <w:rFonts w:ascii="Arial" w:hAnsi="Arial" w:cs="Arial"/>
          <w:bCs/>
          <w:sz w:val="20"/>
          <w:szCs w:val="20"/>
        </w:rPr>
        <w:t>54,7</w:t>
      </w:r>
      <w:r w:rsidRPr="00266C1F">
        <w:rPr>
          <w:rFonts w:ascii="Arial" w:hAnsi="Arial" w:cs="Arial"/>
          <w:bCs/>
          <w:sz w:val="20"/>
          <w:szCs w:val="20"/>
        </w:rPr>
        <w:t xml:space="preserve"> odstotka, dolg fizičnih oseb pa </w:t>
      </w:r>
      <w:r w:rsidRPr="001508A4">
        <w:rPr>
          <w:rFonts w:ascii="Arial" w:hAnsi="Arial" w:cs="Arial"/>
          <w:bCs/>
          <w:sz w:val="20"/>
          <w:szCs w:val="20"/>
        </w:rPr>
        <w:t>408.625.610</w:t>
      </w:r>
      <w:r w:rsidRPr="00266C1F">
        <w:rPr>
          <w:rFonts w:ascii="Arial" w:hAnsi="Arial" w:cs="Arial"/>
          <w:bCs/>
          <w:sz w:val="20"/>
          <w:szCs w:val="20"/>
        </w:rPr>
        <w:t xml:space="preserve"> EUR </w:t>
      </w:r>
      <w:r>
        <w:rPr>
          <w:rFonts w:ascii="Arial" w:hAnsi="Arial" w:cs="Arial"/>
          <w:bCs/>
          <w:sz w:val="20"/>
          <w:szCs w:val="20"/>
        </w:rPr>
        <w:t>ali</w:t>
      </w:r>
      <w:r w:rsidRPr="00266C1F">
        <w:rPr>
          <w:rFonts w:ascii="Arial" w:hAnsi="Arial" w:cs="Arial"/>
          <w:bCs/>
          <w:sz w:val="20"/>
          <w:szCs w:val="20"/>
        </w:rPr>
        <w:t xml:space="preserve"> 4</w:t>
      </w:r>
      <w:r>
        <w:rPr>
          <w:rFonts w:ascii="Arial" w:hAnsi="Arial" w:cs="Arial"/>
          <w:bCs/>
          <w:sz w:val="20"/>
          <w:szCs w:val="20"/>
        </w:rPr>
        <w:t>5,3</w:t>
      </w:r>
      <w:r w:rsidRPr="00266C1F">
        <w:rPr>
          <w:rFonts w:ascii="Arial" w:hAnsi="Arial" w:cs="Arial"/>
          <w:bCs/>
          <w:sz w:val="20"/>
          <w:szCs w:val="20"/>
        </w:rPr>
        <w:t xml:space="preserve"> odstotka davčnega dolga.</w:t>
      </w:r>
    </w:p>
    <w:p w14:paraId="3A403264"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BE3E02">
        <w:rPr>
          <w:rFonts w:ascii="Arial" w:hAnsi="Arial" w:cs="Arial"/>
          <w:bCs/>
          <w:sz w:val="20"/>
          <w:szCs w:val="20"/>
        </w:rPr>
        <w:t>Dolg fizičnih oseb zajema tudi neporavnane obveznosti zasebnikov, med katere štejemo samostojne podjetnike posameznike in druge zasebnike, ki opravljajo poklicno dejavnost ali druge neodvisne dejavnosti (odvetniki, notarji, poklicni športniki, samostojni novinarji, zasebni zdravstveni delavci, kulturni delavci in fizične osebe, ki opravljajo kmetijsko in gozdarsko dejavnost).</w:t>
      </w:r>
    </w:p>
    <w:p w14:paraId="4BD9FC45" w14:textId="77777777" w:rsidR="00A155A2" w:rsidRDefault="00A155A2" w:rsidP="00A155A2">
      <w:pPr>
        <w:rPr>
          <w:rFonts w:ascii="Arial" w:hAnsi="Arial" w:cs="Arial"/>
          <w:i/>
          <w:sz w:val="20"/>
          <w:szCs w:val="20"/>
        </w:rPr>
      </w:pPr>
    </w:p>
    <w:p w14:paraId="04AFCA06" w14:textId="77777777" w:rsidR="00A155A2" w:rsidRDefault="00A155A2" w:rsidP="00A155A2">
      <w:pPr>
        <w:rPr>
          <w:rFonts w:ascii="Arial" w:hAnsi="Arial" w:cs="Arial"/>
          <w:i/>
          <w:sz w:val="20"/>
          <w:szCs w:val="20"/>
        </w:rPr>
      </w:pPr>
    </w:p>
    <w:p w14:paraId="66E5EB52" w14:textId="77777777" w:rsidR="00A155A2" w:rsidRDefault="00A155A2" w:rsidP="00A155A2">
      <w:pPr>
        <w:rPr>
          <w:rFonts w:ascii="Arial" w:hAnsi="Arial" w:cs="Arial"/>
          <w:i/>
          <w:noProof/>
          <w:sz w:val="20"/>
          <w:szCs w:val="20"/>
        </w:rPr>
      </w:pPr>
      <w:r>
        <w:rPr>
          <w:rFonts w:ascii="Arial" w:hAnsi="Arial" w:cs="Arial"/>
          <w:i/>
          <w:sz w:val="20"/>
          <w:szCs w:val="20"/>
        </w:rPr>
        <w:lastRenderedPageBreak/>
        <w:t>Slika 4:</w:t>
      </w:r>
      <w:r w:rsidRPr="00BE3E02">
        <w:rPr>
          <w:rFonts w:ascii="Arial" w:hAnsi="Arial" w:cs="Arial"/>
          <w:i/>
          <w:sz w:val="20"/>
          <w:szCs w:val="20"/>
        </w:rPr>
        <w:t xml:space="preserve"> </w:t>
      </w:r>
      <w:r w:rsidRPr="00BE3E02">
        <w:rPr>
          <w:rFonts w:ascii="Arial" w:hAnsi="Arial" w:cs="Arial"/>
          <w:i/>
          <w:noProof/>
          <w:sz w:val="20"/>
          <w:szCs w:val="20"/>
        </w:rPr>
        <w:t xml:space="preserve">Prikaz davčnega dolga </w:t>
      </w:r>
      <w:r>
        <w:rPr>
          <w:rFonts w:ascii="Arial" w:hAnsi="Arial" w:cs="Arial"/>
          <w:i/>
          <w:noProof/>
          <w:sz w:val="20"/>
          <w:szCs w:val="20"/>
        </w:rPr>
        <w:t>po</w:t>
      </w:r>
      <w:r w:rsidRPr="00BE3E02">
        <w:rPr>
          <w:rFonts w:ascii="Arial" w:hAnsi="Arial" w:cs="Arial"/>
          <w:i/>
          <w:noProof/>
          <w:sz w:val="20"/>
          <w:szCs w:val="20"/>
        </w:rPr>
        <w:t xml:space="preserve"> status</w:t>
      </w:r>
      <w:r>
        <w:rPr>
          <w:rFonts w:ascii="Arial" w:hAnsi="Arial" w:cs="Arial"/>
          <w:i/>
          <w:noProof/>
          <w:sz w:val="20"/>
          <w:szCs w:val="20"/>
        </w:rPr>
        <w:t>u</w:t>
      </w:r>
      <w:r w:rsidRPr="00BE3E02">
        <w:rPr>
          <w:rFonts w:ascii="Arial" w:hAnsi="Arial" w:cs="Arial"/>
          <w:i/>
          <w:noProof/>
          <w:sz w:val="20"/>
          <w:szCs w:val="20"/>
        </w:rPr>
        <w:t xml:space="preserve"> zavezanca</w:t>
      </w:r>
    </w:p>
    <w:p w14:paraId="1D8189E6" w14:textId="77777777" w:rsidR="00A155A2" w:rsidRDefault="00A155A2" w:rsidP="00A155A2">
      <w:pPr>
        <w:rPr>
          <w:rFonts w:ascii="Arial" w:hAnsi="Arial" w:cs="Arial"/>
          <w:i/>
          <w:noProof/>
          <w:sz w:val="20"/>
          <w:szCs w:val="20"/>
        </w:rPr>
      </w:pPr>
      <w:r>
        <w:rPr>
          <w:noProof/>
          <w:lang w:eastAsia="sl-SI"/>
        </w:rPr>
        <w:drawing>
          <wp:inline distT="0" distB="0" distL="0" distR="0" wp14:anchorId="26D65D58" wp14:editId="08C7D0B7">
            <wp:extent cx="3277235" cy="1371600"/>
            <wp:effectExtent l="0" t="0" r="0" b="0"/>
            <wp:docPr id="11" name="Grafikon 1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93FF9E" w14:textId="77777777" w:rsidR="00A155A2" w:rsidRDefault="00A155A2" w:rsidP="00A155A2">
      <w:pPr>
        <w:rPr>
          <w:rFonts w:ascii="Arial" w:hAnsi="Arial" w:cs="Arial"/>
          <w:i/>
          <w:sz w:val="20"/>
          <w:szCs w:val="20"/>
        </w:rPr>
      </w:pPr>
      <w:r>
        <w:rPr>
          <w:rFonts w:ascii="Arial" w:hAnsi="Arial" w:cs="Arial"/>
          <w:i/>
          <w:sz w:val="20"/>
          <w:szCs w:val="20"/>
        </w:rPr>
        <w:t>V</w:t>
      </w:r>
      <w:r w:rsidRPr="00CF0765">
        <w:rPr>
          <w:rFonts w:ascii="Arial" w:hAnsi="Arial" w:cs="Arial"/>
          <w:i/>
          <w:sz w:val="20"/>
          <w:szCs w:val="20"/>
        </w:rPr>
        <w:t>ir: FURS</w:t>
      </w:r>
    </w:p>
    <w:p w14:paraId="01C219AF" w14:textId="77777777" w:rsidR="00A155A2" w:rsidRDefault="00A155A2" w:rsidP="00A155A2">
      <w:pPr>
        <w:pStyle w:val="Naslov3"/>
        <w:spacing w:before="0" w:after="200"/>
        <w:rPr>
          <w:rFonts w:ascii="Arial" w:hAnsi="Arial" w:cs="Arial"/>
          <w:sz w:val="20"/>
          <w:szCs w:val="20"/>
        </w:rPr>
      </w:pPr>
      <w:r w:rsidRPr="00D22BBA">
        <w:rPr>
          <w:rFonts w:ascii="Arial" w:hAnsi="Arial" w:cs="Arial"/>
          <w:sz w:val="20"/>
          <w:szCs w:val="20"/>
        </w:rPr>
        <w:t>4.1    Aktivni in pogojno izterljivi dolg</w:t>
      </w:r>
    </w:p>
    <w:p w14:paraId="0E5FF46B" w14:textId="77777777" w:rsidR="00A155A2" w:rsidRPr="00E26F75" w:rsidRDefault="00A155A2" w:rsidP="00A155A2">
      <w:pPr>
        <w:pStyle w:val="Brezrazmikov"/>
      </w:pPr>
    </w:p>
    <w:p w14:paraId="123055F0" w14:textId="77777777" w:rsidR="00A155A2" w:rsidRPr="00086D64" w:rsidRDefault="00A155A2" w:rsidP="00A155A2">
      <w:pPr>
        <w:pStyle w:val="Odstavekseznama1"/>
        <w:spacing w:line="276" w:lineRule="auto"/>
        <w:ind w:left="0"/>
        <w:jc w:val="both"/>
        <w:rPr>
          <w:rFonts w:ascii="Arial" w:hAnsi="Arial" w:cs="Arial"/>
          <w:sz w:val="20"/>
          <w:szCs w:val="20"/>
        </w:rPr>
      </w:pPr>
      <w:r w:rsidRPr="00086D64">
        <w:rPr>
          <w:rFonts w:ascii="Arial" w:hAnsi="Arial" w:cs="Arial"/>
          <w:sz w:val="20"/>
          <w:szCs w:val="20"/>
        </w:rPr>
        <w:t>Davčni dolg je sestavljen iz aktivnega in pogojno izterljivega dolga. ZDavP-2 v 109. členu opredeljuje pogojno izterljivi dolg. Davek se šteje za pogojno izterljivega:</w:t>
      </w:r>
    </w:p>
    <w:p w14:paraId="635D90FB" w14:textId="77777777" w:rsidR="00A155A2" w:rsidRPr="00086D64" w:rsidRDefault="00A155A2" w:rsidP="00A155A2">
      <w:pPr>
        <w:pStyle w:val="Odstavekseznama1"/>
        <w:numPr>
          <w:ilvl w:val="0"/>
          <w:numId w:val="27"/>
        </w:numPr>
        <w:spacing w:line="276" w:lineRule="auto"/>
        <w:jc w:val="both"/>
        <w:rPr>
          <w:rFonts w:ascii="Arial" w:hAnsi="Arial" w:cs="Arial"/>
          <w:bCs/>
          <w:sz w:val="20"/>
          <w:szCs w:val="20"/>
        </w:rPr>
      </w:pPr>
      <w:r w:rsidRPr="00086D64">
        <w:rPr>
          <w:rFonts w:ascii="Arial" w:hAnsi="Arial" w:cs="Arial"/>
          <w:bCs/>
          <w:sz w:val="20"/>
          <w:szCs w:val="20"/>
        </w:rPr>
        <w:t>če je bil pri zavezancu za davek začet stečajni postope</w:t>
      </w:r>
      <w:r w:rsidRPr="00257A77">
        <w:rPr>
          <w:rFonts w:ascii="Arial" w:hAnsi="Arial" w:cs="Arial"/>
          <w:bCs/>
          <w:sz w:val="20"/>
          <w:szCs w:val="20"/>
        </w:rPr>
        <w:t>k;</w:t>
      </w:r>
      <w:r w:rsidRPr="00086D64">
        <w:rPr>
          <w:rFonts w:ascii="Arial" w:hAnsi="Arial" w:cs="Arial"/>
          <w:bCs/>
          <w:sz w:val="20"/>
          <w:szCs w:val="20"/>
        </w:rPr>
        <w:t xml:space="preserve"> </w:t>
      </w:r>
    </w:p>
    <w:p w14:paraId="178FE140" w14:textId="77777777" w:rsidR="00A155A2" w:rsidRPr="00086D64" w:rsidRDefault="00A155A2" w:rsidP="00A155A2">
      <w:pPr>
        <w:pStyle w:val="Odstavekseznama1"/>
        <w:numPr>
          <w:ilvl w:val="0"/>
          <w:numId w:val="27"/>
        </w:numPr>
        <w:spacing w:line="276" w:lineRule="auto"/>
        <w:jc w:val="both"/>
        <w:rPr>
          <w:rFonts w:ascii="Arial" w:hAnsi="Arial" w:cs="Arial"/>
          <w:bCs/>
          <w:sz w:val="20"/>
          <w:szCs w:val="20"/>
        </w:rPr>
      </w:pPr>
      <w:r w:rsidRPr="00086D64">
        <w:rPr>
          <w:rFonts w:ascii="Arial" w:hAnsi="Arial" w:cs="Arial"/>
          <w:bCs/>
          <w:sz w:val="20"/>
          <w:szCs w:val="20"/>
        </w:rPr>
        <w:t xml:space="preserve">če je bil pri zavezancu za davek začet postopek prisilne poravnave; </w:t>
      </w:r>
    </w:p>
    <w:p w14:paraId="05C11597" w14:textId="77777777" w:rsidR="00A155A2" w:rsidRPr="00086D64" w:rsidRDefault="00A155A2" w:rsidP="00A155A2">
      <w:pPr>
        <w:pStyle w:val="Odstavekseznama1"/>
        <w:numPr>
          <w:ilvl w:val="0"/>
          <w:numId w:val="27"/>
        </w:numPr>
        <w:spacing w:line="276" w:lineRule="auto"/>
        <w:jc w:val="both"/>
        <w:rPr>
          <w:rFonts w:ascii="Arial" w:hAnsi="Arial" w:cs="Arial"/>
          <w:bCs/>
          <w:sz w:val="20"/>
          <w:szCs w:val="20"/>
        </w:rPr>
      </w:pPr>
      <w:r w:rsidRPr="00086D64">
        <w:rPr>
          <w:rFonts w:ascii="Arial" w:hAnsi="Arial" w:cs="Arial"/>
          <w:bCs/>
          <w:sz w:val="20"/>
          <w:szCs w:val="20"/>
        </w:rPr>
        <w:t>od dneva smrti davčnega zavezanca do dneva pravnomočnosti sklepa o dedovanju</w:t>
      </w:r>
      <w:r>
        <w:rPr>
          <w:rFonts w:ascii="Arial" w:hAnsi="Arial" w:cs="Arial"/>
          <w:bCs/>
          <w:sz w:val="20"/>
          <w:szCs w:val="20"/>
        </w:rPr>
        <w:t>;</w:t>
      </w:r>
    </w:p>
    <w:p w14:paraId="5B660451" w14:textId="77777777" w:rsidR="00A155A2" w:rsidRPr="00086D64" w:rsidRDefault="00A155A2" w:rsidP="00A155A2">
      <w:pPr>
        <w:pStyle w:val="Odstavekseznama1"/>
        <w:numPr>
          <w:ilvl w:val="0"/>
          <w:numId w:val="27"/>
        </w:numPr>
        <w:spacing w:line="276" w:lineRule="auto"/>
        <w:jc w:val="both"/>
        <w:rPr>
          <w:rFonts w:ascii="Arial" w:hAnsi="Arial" w:cs="Arial"/>
          <w:bCs/>
          <w:sz w:val="20"/>
          <w:szCs w:val="20"/>
        </w:rPr>
      </w:pPr>
      <w:r w:rsidRPr="00086D64">
        <w:rPr>
          <w:rFonts w:ascii="Arial" w:hAnsi="Arial" w:cs="Arial"/>
          <w:bCs/>
          <w:sz w:val="20"/>
          <w:szCs w:val="20"/>
        </w:rPr>
        <w:t>če se ne more poplačati niti v postopku davčne izvršbe, pravica do izterjave pa še ni zastarala;</w:t>
      </w:r>
    </w:p>
    <w:p w14:paraId="73C075AF" w14:textId="77777777" w:rsidR="00A155A2" w:rsidRPr="00086D64" w:rsidRDefault="00A155A2" w:rsidP="00A155A2">
      <w:pPr>
        <w:pStyle w:val="Odstavekseznama1"/>
        <w:numPr>
          <w:ilvl w:val="0"/>
          <w:numId w:val="27"/>
        </w:numPr>
        <w:spacing w:line="276" w:lineRule="auto"/>
        <w:jc w:val="both"/>
        <w:rPr>
          <w:rFonts w:ascii="Arial" w:hAnsi="Arial" w:cs="Arial"/>
          <w:bCs/>
          <w:sz w:val="20"/>
          <w:szCs w:val="20"/>
        </w:rPr>
      </w:pPr>
      <w:r w:rsidRPr="00086D64">
        <w:rPr>
          <w:rFonts w:ascii="Arial" w:hAnsi="Arial" w:cs="Arial"/>
          <w:bCs/>
          <w:sz w:val="20"/>
          <w:szCs w:val="20"/>
        </w:rPr>
        <w:t xml:space="preserve">če se je davčni zavezanec – fizična oseba odselil neznano kam ali ga je sodišče razglasilo za pogrešanega ali opravilno nesposobnega in ni pustil </w:t>
      </w:r>
      <w:r>
        <w:rPr>
          <w:rFonts w:ascii="Arial" w:hAnsi="Arial" w:cs="Arial"/>
          <w:bCs/>
          <w:sz w:val="20"/>
          <w:szCs w:val="20"/>
        </w:rPr>
        <w:t>ali</w:t>
      </w:r>
      <w:r w:rsidRPr="00086D64">
        <w:rPr>
          <w:rFonts w:ascii="Arial" w:hAnsi="Arial" w:cs="Arial"/>
          <w:bCs/>
          <w:sz w:val="20"/>
          <w:szCs w:val="20"/>
        </w:rPr>
        <w:t xml:space="preserve"> nima nobenega premoženja, iz katerega bi se lahko davek poplačal, pravica do izterjave pa še ni zastarala.</w:t>
      </w:r>
    </w:p>
    <w:p w14:paraId="396FA7BF"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jc w:val="both"/>
        <w:rPr>
          <w:rFonts w:ascii="Arial" w:hAnsi="Arial" w:cs="Arial"/>
          <w:bCs/>
          <w:sz w:val="20"/>
          <w:szCs w:val="20"/>
        </w:rPr>
      </w:pPr>
    </w:p>
    <w:p w14:paraId="0B8316E4" w14:textId="77777777" w:rsidR="00A155A2" w:rsidRPr="00355EC1"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355EC1">
        <w:rPr>
          <w:rFonts w:ascii="Arial" w:hAnsi="Arial" w:cs="Arial"/>
          <w:bCs/>
          <w:sz w:val="20"/>
          <w:szCs w:val="20"/>
        </w:rPr>
        <w:t xml:space="preserve">Ves </w:t>
      </w:r>
      <w:r>
        <w:rPr>
          <w:rFonts w:ascii="Arial" w:hAnsi="Arial" w:cs="Arial"/>
          <w:bCs/>
          <w:sz w:val="20"/>
          <w:szCs w:val="20"/>
        </w:rPr>
        <w:t>preostali</w:t>
      </w:r>
      <w:r w:rsidRPr="00355EC1">
        <w:rPr>
          <w:rFonts w:ascii="Arial" w:hAnsi="Arial" w:cs="Arial"/>
          <w:bCs/>
          <w:sz w:val="20"/>
          <w:szCs w:val="20"/>
        </w:rPr>
        <w:t xml:space="preserve"> dolg šteje za aktivni dolg. </w:t>
      </w:r>
    </w:p>
    <w:p w14:paraId="3F11EDC3"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5F4645">
        <w:rPr>
          <w:rFonts w:ascii="Arial" w:hAnsi="Arial" w:cs="Arial"/>
          <w:bCs/>
          <w:sz w:val="20"/>
          <w:szCs w:val="20"/>
        </w:rPr>
        <w:t>Po stanju na dan 3</w:t>
      </w:r>
      <w:r>
        <w:rPr>
          <w:rFonts w:ascii="Arial" w:hAnsi="Arial" w:cs="Arial"/>
          <w:bCs/>
          <w:sz w:val="20"/>
          <w:szCs w:val="20"/>
        </w:rPr>
        <w:t>1</w:t>
      </w:r>
      <w:r w:rsidRPr="005F4645">
        <w:rPr>
          <w:rFonts w:ascii="Arial" w:hAnsi="Arial" w:cs="Arial"/>
          <w:bCs/>
          <w:sz w:val="20"/>
          <w:szCs w:val="20"/>
        </w:rPr>
        <w:t xml:space="preserve">. </w:t>
      </w:r>
      <w:r>
        <w:rPr>
          <w:rFonts w:ascii="Arial" w:hAnsi="Arial" w:cs="Arial"/>
          <w:bCs/>
          <w:sz w:val="20"/>
          <w:szCs w:val="20"/>
        </w:rPr>
        <w:t>december</w:t>
      </w:r>
      <w:r w:rsidRPr="005F4645">
        <w:rPr>
          <w:rFonts w:ascii="Arial" w:hAnsi="Arial" w:cs="Arial"/>
          <w:bCs/>
          <w:sz w:val="20"/>
          <w:szCs w:val="20"/>
        </w:rPr>
        <w:t xml:space="preserve"> 20</w:t>
      </w:r>
      <w:r>
        <w:rPr>
          <w:rFonts w:ascii="Arial" w:hAnsi="Arial" w:cs="Arial"/>
          <w:bCs/>
          <w:sz w:val="20"/>
          <w:szCs w:val="20"/>
        </w:rPr>
        <w:t>24</w:t>
      </w:r>
      <w:r w:rsidRPr="005F4645">
        <w:rPr>
          <w:rFonts w:ascii="Arial" w:hAnsi="Arial" w:cs="Arial"/>
          <w:bCs/>
          <w:sz w:val="20"/>
          <w:szCs w:val="20"/>
        </w:rPr>
        <w:t xml:space="preserve"> </w:t>
      </w:r>
      <w:r>
        <w:rPr>
          <w:rFonts w:ascii="Arial" w:hAnsi="Arial" w:cs="Arial"/>
          <w:bCs/>
          <w:sz w:val="20"/>
          <w:szCs w:val="20"/>
        </w:rPr>
        <w:t>je</w:t>
      </w:r>
      <w:r w:rsidRPr="005F4645">
        <w:rPr>
          <w:rFonts w:ascii="Arial" w:hAnsi="Arial" w:cs="Arial"/>
          <w:bCs/>
          <w:sz w:val="20"/>
          <w:szCs w:val="20"/>
        </w:rPr>
        <w:t xml:space="preserve"> aktivni dolg </w:t>
      </w:r>
      <w:r w:rsidRPr="00627FBE">
        <w:rPr>
          <w:rFonts w:ascii="Arial" w:hAnsi="Arial" w:cs="Arial"/>
          <w:bCs/>
          <w:sz w:val="20"/>
          <w:szCs w:val="20"/>
        </w:rPr>
        <w:t>4</w:t>
      </w:r>
      <w:r>
        <w:rPr>
          <w:rFonts w:ascii="Arial" w:hAnsi="Arial" w:cs="Arial"/>
          <w:bCs/>
          <w:sz w:val="20"/>
          <w:szCs w:val="20"/>
        </w:rPr>
        <w:t>81</w:t>
      </w:r>
      <w:r w:rsidRPr="00627FBE">
        <w:rPr>
          <w:rFonts w:ascii="Arial" w:hAnsi="Arial" w:cs="Arial"/>
          <w:bCs/>
          <w:sz w:val="20"/>
          <w:szCs w:val="20"/>
        </w:rPr>
        <w:t>.</w:t>
      </w:r>
      <w:r>
        <w:rPr>
          <w:rFonts w:ascii="Arial" w:hAnsi="Arial" w:cs="Arial"/>
          <w:bCs/>
          <w:sz w:val="20"/>
          <w:szCs w:val="20"/>
        </w:rPr>
        <w:t>817</w:t>
      </w:r>
      <w:r w:rsidRPr="00627FBE">
        <w:rPr>
          <w:rFonts w:ascii="Arial" w:hAnsi="Arial" w:cs="Arial"/>
          <w:bCs/>
          <w:sz w:val="20"/>
          <w:szCs w:val="20"/>
        </w:rPr>
        <w:t>.</w:t>
      </w:r>
      <w:r>
        <w:rPr>
          <w:rFonts w:ascii="Arial" w:hAnsi="Arial" w:cs="Arial"/>
          <w:bCs/>
          <w:sz w:val="20"/>
          <w:szCs w:val="20"/>
        </w:rPr>
        <w:t xml:space="preserve">858 </w:t>
      </w:r>
      <w:r w:rsidRPr="005F4645">
        <w:rPr>
          <w:rFonts w:ascii="Arial" w:hAnsi="Arial" w:cs="Arial"/>
          <w:bCs/>
          <w:sz w:val="20"/>
          <w:szCs w:val="20"/>
        </w:rPr>
        <w:t>EUR, pogojno izterljivi dolg pa</w:t>
      </w:r>
      <w:r>
        <w:rPr>
          <w:rFonts w:ascii="Arial" w:hAnsi="Arial" w:cs="Arial"/>
          <w:bCs/>
          <w:sz w:val="20"/>
          <w:szCs w:val="20"/>
        </w:rPr>
        <w:t xml:space="preserve"> 420.119.399 </w:t>
      </w:r>
      <w:r w:rsidRPr="005F4645">
        <w:rPr>
          <w:rFonts w:ascii="Arial" w:hAnsi="Arial" w:cs="Arial"/>
          <w:bCs/>
          <w:sz w:val="20"/>
          <w:szCs w:val="20"/>
        </w:rPr>
        <w:t>EUR.</w:t>
      </w:r>
    </w:p>
    <w:p w14:paraId="2DDB2FE0"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i/>
          <w:sz w:val="20"/>
          <w:szCs w:val="20"/>
        </w:rPr>
      </w:pPr>
      <w:r w:rsidRPr="00DA44E8">
        <w:rPr>
          <w:rFonts w:ascii="Arial" w:hAnsi="Arial" w:cs="Arial"/>
          <w:bCs/>
          <w:i/>
          <w:sz w:val="20"/>
          <w:szCs w:val="20"/>
        </w:rPr>
        <w:t>Preglednica</w:t>
      </w:r>
      <w:r w:rsidRPr="00DA44E8">
        <w:rPr>
          <w:rFonts w:ascii="Arial" w:hAnsi="Arial" w:cs="Arial"/>
          <w:i/>
          <w:sz w:val="20"/>
          <w:szCs w:val="20"/>
        </w:rPr>
        <w:t xml:space="preserve"> 3: Stanje in gibanje davčnega dolga </w:t>
      </w:r>
      <w:r>
        <w:rPr>
          <w:rFonts w:ascii="Arial" w:hAnsi="Arial" w:cs="Arial"/>
          <w:i/>
          <w:sz w:val="20"/>
          <w:szCs w:val="20"/>
        </w:rPr>
        <w:t>(</w:t>
      </w:r>
      <w:r w:rsidRPr="00DA44E8">
        <w:rPr>
          <w:rFonts w:ascii="Arial" w:hAnsi="Arial" w:cs="Arial"/>
          <w:i/>
          <w:sz w:val="20"/>
          <w:szCs w:val="20"/>
        </w:rPr>
        <w:t>v EUR</w:t>
      </w:r>
      <w:r>
        <w:rPr>
          <w:rFonts w:ascii="Arial" w:hAnsi="Arial" w:cs="Arial"/>
          <w:i/>
          <w:sz w:val="20"/>
          <w:szCs w:val="20"/>
        </w:rPr>
        <w:t>)</w:t>
      </w:r>
    </w:p>
    <w:tbl>
      <w:tblPr>
        <w:tblW w:w="8879" w:type="dxa"/>
        <w:tblCellMar>
          <w:left w:w="70" w:type="dxa"/>
          <w:right w:w="70" w:type="dxa"/>
        </w:tblCellMar>
        <w:tblLook w:val="04A0" w:firstRow="1" w:lastRow="0" w:firstColumn="1" w:lastColumn="0" w:noHBand="0" w:noVBand="1"/>
      </w:tblPr>
      <w:tblGrid>
        <w:gridCol w:w="1407"/>
        <w:gridCol w:w="1298"/>
        <w:gridCol w:w="1253"/>
        <w:gridCol w:w="1333"/>
        <w:gridCol w:w="1207"/>
        <w:gridCol w:w="1224"/>
        <w:gridCol w:w="1157"/>
      </w:tblGrid>
      <w:tr w:rsidR="00A155A2" w:rsidRPr="00203E52" w14:paraId="478F317A" w14:textId="77777777" w:rsidTr="001C77D2">
        <w:trPr>
          <w:trHeight w:val="620"/>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87CA4" w14:textId="77777777" w:rsidR="00A155A2" w:rsidRPr="00203E52" w:rsidRDefault="00A155A2" w:rsidP="001C77D2">
            <w:pPr>
              <w:spacing w:after="0" w:line="240" w:lineRule="auto"/>
              <w:rPr>
                <w:rFonts w:eastAsia="Times New Roman" w:cs="Calibri"/>
                <w:color w:val="000000"/>
                <w:lang w:eastAsia="sl-SI"/>
              </w:rPr>
            </w:pPr>
            <w:r w:rsidRPr="00203E52">
              <w:rPr>
                <w:rFonts w:eastAsia="Times New Roman" w:cs="Calibri"/>
                <w:color w:val="000000"/>
                <w:lang w:eastAsia="sl-SI"/>
              </w:rPr>
              <w:t> </w:t>
            </w:r>
          </w:p>
        </w:tc>
        <w:tc>
          <w:tcPr>
            <w:tcW w:w="1299" w:type="dxa"/>
            <w:tcBorders>
              <w:top w:val="single" w:sz="4" w:space="0" w:color="auto"/>
              <w:left w:val="nil"/>
              <w:bottom w:val="single" w:sz="4" w:space="0" w:color="auto"/>
              <w:right w:val="nil"/>
            </w:tcBorders>
            <w:shd w:val="clear" w:color="auto" w:fill="auto"/>
            <w:vAlign w:val="center"/>
            <w:hideMark/>
          </w:tcPr>
          <w:p w14:paraId="4262785E"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2022</w:t>
            </w:r>
          </w:p>
        </w:tc>
        <w:tc>
          <w:tcPr>
            <w:tcW w:w="1231" w:type="dxa"/>
            <w:tcBorders>
              <w:top w:val="single" w:sz="4" w:space="0" w:color="auto"/>
              <w:left w:val="single" w:sz="4" w:space="0" w:color="auto"/>
              <w:bottom w:val="single" w:sz="4" w:space="0" w:color="auto"/>
              <w:right w:val="nil"/>
            </w:tcBorders>
            <w:shd w:val="clear" w:color="auto" w:fill="auto"/>
            <w:vAlign w:val="center"/>
            <w:hideMark/>
          </w:tcPr>
          <w:p w14:paraId="56B0915A"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5166A"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2024</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79F9CFD9"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IND</w:t>
            </w:r>
            <w:r>
              <w:rPr>
                <w:rFonts w:ascii="Arial" w:eastAsia="Times New Roman" w:hAnsi="Arial" w:cs="Arial"/>
                <w:b/>
                <w:bCs/>
                <w:color w:val="000000"/>
                <w:sz w:val="20"/>
                <w:szCs w:val="20"/>
                <w:lang w:eastAsia="sl-SI"/>
              </w:rPr>
              <w:t>EKS</w:t>
            </w:r>
            <w:r w:rsidRPr="00203E52">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2023</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w:t>
            </w:r>
            <w:r w:rsidRPr="00203E52">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2022</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7FA7B4E2"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IND</w:t>
            </w:r>
            <w:r>
              <w:rPr>
                <w:rFonts w:ascii="Arial" w:eastAsia="Times New Roman" w:hAnsi="Arial" w:cs="Arial"/>
                <w:b/>
                <w:bCs/>
                <w:color w:val="000000"/>
                <w:sz w:val="20"/>
                <w:szCs w:val="20"/>
                <w:lang w:eastAsia="sl-SI"/>
              </w:rPr>
              <w:t>EKS</w:t>
            </w:r>
            <w:r w:rsidRPr="00203E52">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2024</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w:t>
            </w:r>
            <w:r w:rsidRPr="00203E52">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2022</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FD34872"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IND</w:t>
            </w:r>
            <w:r>
              <w:rPr>
                <w:rFonts w:ascii="Arial" w:eastAsia="Times New Roman" w:hAnsi="Arial" w:cs="Arial"/>
                <w:b/>
                <w:bCs/>
                <w:color w:val="000000"/>
                <w:sz w:val="20"/>
                <w:szCs w:val="20"/>
                <w:lang w:eastAsia="sl-SI"/>
              </w:rPr>
              <w:t>EKS</w:t>
            </w:r>
            <w:r w:rsidRPr="00203E52">
              <w:rPr>
                <w:rFonts w:ascii="Arial" w:eastAsia="Times New Roman" w:hAnsi="Arial" w:cs="Arial"/>
                <w:b/>
                <w:bCs/>
                <w:color w:val="000000"/>
                <w:sz w:val="20"/>
                <w:szCs w:val="20"/>
                <w:lang w:eastAsia="sl-SI"/>
              </w:rPr>
              <w:t xml:space="preserve"> 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2024</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w:t>
            </w:r>
            <w:r w:rsidRPr="00203E52">
              <w:rPr>
                <w:rFonts w:ascii="Arial" w:eastAsia="Times New Roman" w:hAnsi="Arial" w:cs="Arial"/>
                <w:b/>
                <w:bCs/>
                <w:color w:val="000000"/>
                <w:sz w:val="20"/>
                <w:szCs w:val="20"/>
                <w:lang w:eastAsia="sl-SI"/>
              </w:rPr>
              <w:br/>
              <w:t>31.</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12.</w:t>
            </w:r>
            <w:r>
              <w:rPr>
                <w:rFonts w:ascii="Arial" w:eastAsia="Times New Roman" w:hAnsi="Arial" w:cs="Arial"/>
                <w:b/>
                <w:bCs/>
                <w:color w:val="000000"/>
                <w:sz w:val="20"/>
                <w:szCs w:val="20"/>
                <w:lang w:eastAsia="sl-SI"/>
              </w:rPr>
              <w:t xml:space="preserve"> </w:t>
            </w:r>
            <w:r w:rsidRPr="00203E52">
              <w:rPr>
                <w:rFonts w:ascii="Arial" w:eastAsia="Times New Roman" w:hAnsi="Arial" w:cs="Arial"/>
                <w:b/>
                <w:bCs/>
                <w:color w:val="000000"/>
                <w:sz w:val="20"/>
                <w:szCs w:val="20"/>
                <w:lang w:eastAsia="sl-SI"/>
              </w:rPr>
              <w:t>2023</w:t>
            </w:r>
          </w:p>
        </w:tc>
      </w:tr>
      <w:tr w:rsidR="00A155A2" w:rsidRPr="00203E52" w14:paraId="6E454969" w14:textId="77777777" w:rsidTr="001C77D2">
        <w:trPr>
          <w:trHeight w:val="314"/>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5B69FD05" w14:textId="77777777" w:rsidR="00A155A2" w:rsidRPr="00203E52" w:rsidRDefault="00A155A2" w:rsidP="001C77D2">
            <w:pPr>
              <w:spacing w:after="0" w:line="240" w:lineRule="auto"/>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 xml:space="preserve">Aktivni dolg </w:t>
            </w:r>
          </w:p>
        </w:tc>
        <w:tc>
          <w:tcPr>
            <w:tcW w:w="1299" w:type="dxa"/>
            <w:tcBorders>
              <w:top w:val="nil"/>
              <w:left w:val="nil"/>
              <w:bottom w:val="single" w:sz="4" w:space="0" w:color="auto"/>
              <w:right w:val="nil"/>
            </w:tcBorders>
            <w:shd w:val="clear" w:color="auto" w:fill="auto"/>
            <w:vAlign w:val="center"/>
            <w:hideMark/>
          </w:tcPr>
          <w:p w14:paraId="0C1C91A5" w14:textId="77777777" w:rsidR="00A155A2" w:rsidRPr="00203E52" w:rsidRDefault="00A155A2" w:rsidP="001C77D2">
            <w:pPr>
              <w:spacing w:after="0" w:line="240" w:lineRule="auto"/>
              <w:jc w:val="right"/>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439.625.363</w:t>
            </w:r>
          </w:p>
        </w:tc>
        <w:tc>
          <w:tcPr>
            <w:tcW w:w="1231" w:type="dxa"/>
            <w:tcBorders>
              <w:top w:val="nil"/>
              <w:left w:val="single" w:sz="4" w:space="0" w:color="auto"/>
              <w:bottom w:val="single" w:sz="4" w:space="0" w:color="auto"/>
              <w:right w:val="nil"/>
            </w:tcBorders>
            <w:shd w:val="clear" w:color="auto" w:fill="auto"/>
            <w:vAlign w:val="center"/>
            <w:hideMark/>
          </w:tcPr>
          <w:p w14:paraId="3F0C1ED7" w14:textId="77777777" w:rsidR="00A155A2" w:rsidRPr="00203E52" w:rsidRDefault="00A155A2" w:rsidP="001C77D2">
            <w:pPr>
              <w:spacing w:after="0" w:line="240" w:lineRule="auto"/>
              <w:jc w:val="right"/>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431.764.130</w:t>
            </w:r>
          </w:p>
        </w:tc>
        <w:tc>
          <w:tcPr>
            <w:tcW w:w="1335" w:type="dxa"/>
            <w:tcBorders>
              <w:top w:val="nil"/>
              <w:left w:val="single" w:sz="4" w:space="0" w:color="auto"/>
              <w:bottom w:val="single" w:sz="4" w:space="0" w:color="auto"/>
              <w:right w:val="single" w:sz="4" w:space="0" w:color="auto"/>
            </w:tcBorders>
            <w:shd w:val="clear" w:color="auto" w:fill="auto"/>
            <w:vAlign w:val="center"/>
            <w:hideMark/>
          </w:tcPr>
          <w:p w14:paraId="4F07E4EA" w14:textId="77777777" w:rsidR="00A155A2" w:rsidRPr="00203E52" w:rsidRDefault="00A155A2" w:rsidP="001C77D2">
            <w:pPr>
              <w:spacing w:after="0" w:line="240" w:lineRule="auto"/>
              <w:jc w:val="right"/>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481.817.858</w:t>
            </w:r>
          </w:p>
        </w:tc>
        <w:tc>
          <w:tcPr>
            <w:tcW w:w="1214" w:type="dxa"/>
            <w:tcBorders>
              <w:top w:val="nil"/>
              <w:left w:val="nil"/>
              <w:bottom w:val="single" w:sz="4" w:space="0" w:color="auto"/>
              <w:right w:val="single" w:sz="4" w:space="0" w:color="auto"/>
            </w:tcBorders>
            <w:shd w:val="clear" w:color="auto" w:fill="auto"/>
            <w:vAlign w:val="center"/>
            <w:hideMark/>
          </w:tcPr>
          <w:p w14:paraId="7CE5B16E"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98,2</w:t>
            </w:r>
          </w:p>
        </w:tc>
        <w:tc>
          <w:tcPr>
            <w:tcW w:w="1231" w:type="dxa"/>
            <w:tcBorders>
              <w:top w:val="nil"/>
              <w:left w:val="nil"/>
              <w:bottom w:val="single" w:sz="4" w:space="0" w:color="auto"/>
              <w:right w:val="single" w:sz="4" w:space="0" w:color="auto"/>
            </w:tcBorders>
            <w:shd w:val="clear" w:color="auto" w:fill="auto"/>
            <w:vAlign w:val="center"/>
            <w:hideMark/>
          </w:tcPr>
          <w:p w14:paraId="12D4D3A8"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109,6</w:t>
            </w:r>
          </w:p>
        </w:tc>
        <w:tc>
          <w:tcPr>
            <w:tcW w:w="1163" w:type="dxa"/>
            <w:tcBorders>
              <w:top w:val="nil"/>
              <w:left w:val="nil"/>
              <w:bottom w:val="single" w:sz="4" w:space="0" w:color="auto"/>
              <w:right w:val="single" w:sz="4" w:space="0" w:color="auto"/>
            </w:tcBorders>
            <w:shd w:val="clear" w:color="auto" w:fill="auto"/>
            <w:vAlign w:val="center"/>
            <w:hideMark/>
          </w:tcPr>
          <w:p w14:paraId="09C88FE7"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111,6</w:t>
            </w:r>
          </w:p>
        </w:tc>
      </w:tr>
      <w:tr w:rsidR="00A155A2" w:rsidRPr="00203E52" w14:paraId="5F382788" w14:textId="77777777" w:rsidTr="001C77D2">
        <w:trPr>
          <w:trHeight w:val="332"/>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731E3FB2" w14:textId="77777777" w:rsidR="00A155A2" w:rsidRPr="00203E52" w:rsidRDefault="00A155A2" w:rsidP="001C77D2">
            <w:pPr>
              <w:spacing w:after="0" w:line="240" w:lineRule="auto"/>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Pogojno izterljivi dolg</w:t>
            </w:r>
          </w:p>
        </w:tc>
        <w:tc>
          <w:tcPr>
            <w:tcW w:w="1299" w:type="dxa"/>
            <w:tcBorders>
              <w:top w:val="nil"/>
              <w:left w:val="nil"/>
              <w:bottom w:val="single" w:sz="4" w:space="0" w:color="auto"/>
              <w:right w:val="nil"/>
            </w:tcBorders>
            <w:shd w:val="clear" w:color="auto" w:fill="auto"/>
            <w:vAlign w:val="center"/>
            <w:hideMark/>
          </w:tcPr>
          <w:p w14:paraId="6A7E87EC" w14:textId="77777777" w:rsidR="00A155A2" w:rsidRPr="00203E52" w:rsidRDefault="00A155A2" w:rsidP="001C77D2">
            <w:pPr>
              <w:spacing w:after="0" w:line="240" w:lineRule="auto"/>
              <w:jc w:val="right"/>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456.724.627</w:t>
            </w:r>
          </w:p>
        </w:tc>
        <w:tc>
          <w:tcPr>
            <w:tcW w:w="1231" w:type="dxa"/>
            <w:tcBorders>
              <w:top w:val="nil"/>
              <w:left w:val="single" w:sz="4" w:space="0" w:color="auto"/>
              <w:bottom w:val="single" w:sz="4" w:space="0" w:color="auto"/>
              <w:right w:val="nil"/>
            </w:tcBorders>
            <w:shd w:val="clear" w:color="auto" w:fill="auto"/>
            <w:vAlign w:val="center"/>
            <w:hideMark/>
          </w:tcPr>
          <w:p w14:paraId="1331571B" w14:textId="77777777" w:rsidR="00A155A2" w:rsidRPr="00203E52" w:rsidRDefault="00A155A2" w:rsidP="001C77D2">
            <w:pPr>
              <w:spacing w:after="0" w:line="240" w:lineRule="auto"/>
              <w:jc w:val="right"/>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410.044.664</w:t>
            </w:r>
          </w:p>
        </w:tc>
        <w:tc>
          <w:tcPr>
            <w:tcW w:w="1335" w:type="dxa"/>
            <w:tcBorders>
              <w:top w:val="nil"/>
              <w:left w:val="single" w:sz="4" w:space="0" w:color="auto"/>
              <w:bottom w:val="single" w:sz="4" w:space="0" w:color="auto"/>
              <w:right w:val="single" w:sz="4" w:space="0" w:color="auto"/>
            </w:tcBorders>
            <w:shd w:val="clear" w:color="auto" w:fill="auto"/>
            <w:vAlign w:val="center"/>
            <w:hideMark/>
          </w:tcPr>
          <w:p w14:paraId="66E76FA3" w14:textId="77777777" w:rsidR="00A155A2" w:rsidRPr="00203E52" w:rsidRDefault="00A155A2" w:rsidP="001C77D2">
            <w:pPr>
              <w:spacing w:after="0" w:line="240" w:lineRule="auto"/>
              <w:jc w:val="right"/>
              <w:rPr>
                <w:rFonts w:ascii="Arial" w:eastAsia="Times New Roman" w:hAnsi="Arial" w:cs="Arial"/>
                <w:sz w:val="20"/>
                <w:szCs w:val="20"/>
                <w:lang w:eastAsia="sl-SI"/>
              </w:rPr>
            </w:pPr>
            <w:r w:rsidRPr="00203E52">
              <w:rPr>
                <w:rFonts w:ascii="Arial" w:eastAsia="Times New Roman" w:hAnsi="Arial" w:cs="Arial"/>
                <w:sz w:val="20"/>
                <w:szCs w:val="20"/>
                <w:lang w:eastAsia="sl-SI"/>
              </w:rPr>
              <w:t>420.119.399</w:t>
            </w:r>
          </w:p>
        </w:tc>
        <w:tc>
          <w:tcPr>
            <w:tcW w:w="1214" w:type="dxa"/>
            <w:tcBorders>
              <w:top w:val="nil"/>
              <w:left w:val="nil"/>
              <w:bottom w:val="single" w:sz="4" w:space="0" w:color="auto"/>
              <w:right w:val="single" w:sz="4" w:space="0" w:color="auto"/>
            </w:tcBorders>
            <w:shd w:val="clear" w:color="auto" w:fill="auto"/>
            <w:vAlign w:val="center"/>
            <w:hideMark/>
          </w:tcPr>
          <w:p w14:paraId="57B2AF55"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89,8</w:t>
            </w:r>
          </w:p>
        </w:tc>
        <w:tc>
          <w:tcPr>
            <w:tcW w:w="1231" w:type="dxa"/>
            <w:tcBorders>
              <w:top w:val="nil"/>
              <w:left w:val="nil"/>
              <w:bottom w:val="single" w:sz="4" w:space="0" w:color="auto"/>
              <w:right w:val="single" w:sz="4" w:space="0" w:color="auto"/>
            </w:tcBorders>
            <w:shd w:val="clear" w:color="auto" w:fill="auto"/>
            <w:vAlign w:val="center"/>
            <w:hideMark/>
          </w:tcPr>
          <w:p w14:paraId="7CFD3807"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92,0</w:t>
            </w:r>
          </w:p>
        </w:tc>
        <w:tc>
          <w:tcPr>
            <w:tcW w:w="1163" w:type="dxa"/>
            <w:tcBorders>
              <w:top w:val="nil"/>
              <w:left w:val="nil"/>
              <w:bottom w:val="single" w:sz="4" w:space="0" w:color="auto"/>
              <w:right w:val="single" w:sz="4" w:space="0" w:color="auto"/>
            </w:tcBorders>
            <w:shd w:val="clear" w:color="auto" w:fill="auto"/>
            <w:vAlign w:val="center"/>
            <w:hideMark/>
          </w:tcPr>
          <w:p w14:paraId="195B50D1"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102,5</w:t>
            </w:r>
          </w:p>
        </w:tc>
      </w:tr>
      <w:tr w:rsidR="00A155A2" w:rsidRPr="00203E52" w14:paraId="13FF5D47" w14:textId="77777777" w:rsidTr="001C77D2">
        <w:trPr>
          <w:trHeight w:val="36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085182CC" w14:textId="77777777" w:rsidR="00A155A2" w:rsidRPr="00203E52" w:rsidRDefault="00A155A2" w:rsidP="001C77D2">
            <w:pPr>
              <w:spacing w:after="0" w:line="240" w:lineRule="auto"/>
              <w:jc w:val="center"/>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Skupaj dolg</w:t>
            </w:r>
          </w:p>
        </w:tc>
        <w:tc>
          <w:tcPr>
            <w:tcW w:w="1299" w:type="dxa"/>
            <w:tcBorders>
              <w:top w:val="nil"/>
              <w:left w:val="nil"/>
              <w:bottom w:val="single" w:sz="4" w:space="0" w:color="auto"/>
              <w:right w:val="nil"/>
            </w:tcBorders>
            <w:shd w:val="clear" w:color="auto" w:fill="auto"/>
            <w:vAlign w:val="center"/>
            <w:hideMark/>
          </w:tcPr>
          <w:p w14:paraId="3A137F49" w14:textId="77777777" w:rsidR="00A155A2" w:rsidRPr="00203E52" w:rsidRDefault="00A155A2" w:rsidP="001C77D2">
            <w:pPr>
              <w:spacing w:after="0" w:line="240" w:lineRule="auto"/>
              <w:jc w:val="right"/>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896.349.990</w:t>
            </w:r>
          </w:p>
        </w:tc>
        <w:tc>
          <w:tcPr>
            <w:tcW w:w="1231" w:type="dxa"/>
            <w:tcBorders>
              <w:top w:val="nil"/>
              <w:left w:val="single" w:sz="4" w:space="0" w:color="auto"/>
              <w:bottom w:val="single" w:sz="4" w:space="0" w:color="auto"/>
              <w:right w:val="nil"/>
            </w:tcBorders>
            <w:shd w:val="clear" w:color="auto" w:fill="auto"/>
            <w:vAlign w:val="center"/>
            <w:hideMark/>
          </w:tcPr>
          <w:p w14:paraId="1906EFAF" w14:textId="77777777" w:rsidR="00A155A2" w:rsidRPr="00203E52" w:rsidRDefault="00A155A2" w:rsidP="001C77D2">
            <w:pPr>
              <w:spacing w:after="0" w:line="240" w:lineRule="auto"/>
              <w:jc w:val="right"/>
              <w:rPr>
                <w:rFonts w:ascii="Arial" w:eastAsia="Times New Roman" w:hAnsi="Arial" w:cs="Arial"/>
                <w:b/>
                <w:bCs/>
                <w:color w:val="000000"/>
                <w:sz w:val="20"/>
                <w:szCs w:val="20"/>
                <w:lang w:eastAsia="sl-SI"/>
              </w:rPr>
            </w:pPr>
            <w:r w:rsidRPr="00203E52">
              <w:rPr>
                <w:rFonts w:ascii="Arial" w:eastAsia="Times New Roman" w:hAnsi="Arial" w:cs="Arial"/>
                <w:b/>
                <w:bCs/>
                <w:color w:val="000000"/>
                <w:sz w:val="20"/>
                <w:szCs w:val="20"/>
                <w:lang w:eastAsia="sl-SI"/>
              </w:rPr>
              <w:t>841.808.794</w:t>
            </w:r>
          </w:p>
        </w:tc>
        <w:tc>
          <w:tcPr>
            <w:tcW w:w="1335" w:type="dxa"/>
            <w:tcBorders>
              <w:top w:val="nil"/>
              <w:left w:val="single" w:sz="4" w:space="0" w:color="auto"/>
              <w:bottom w:val="single" w:sz="4" w:space="0" w:color="auto"/>
              <w:right w:val="single" w:sz="4" w:space="0" w:color="auto"/>
            </w:tcBorders>
            <w:shd w:val="clear" w:color="auto" w:fill="auto"/>
            <w:vAlign w:val="center"/>
            <w:hideMark/>
          </w:tcPr>
          <w:p w14:paraId="3A25D016" w14:textId="77777777" w:rsidR="00A155A2" w:rsidRPr="00203E52" w:rsidRDefault="00A155A2" w:rsidP="001C77D2">
            <w:pPr>
              <w:spacing w:after="0" w:line="240" w:lineRule="auto"/>
              <w:jc w:val="right"/>
              <w:rPr>
                <w:rFonts w:ascii="Arial" w:eastAsia="Times New Roman" w:hAnsi="Arial" w:cs="Arial"/>
                <w:b/>
                <w:bCs/>
                <w:sz w:val="20"/>
                <w:szCs w:val="20"/>
                <w:lang w:eastAsia="sl-SI"/>
              </w:rPr>
            </w:pPr>
            <w:r w:rsidRPr="00203E52">
              <w:rPr>
                <w:rFonts w:ascii="Arial" w:eastAsia="Times New Roman" w:hAnsi="Arial" w:cs="Arial"/>
                <w:b/>
                <w:bCs/>
                <w:sz w:val="20"/>
                <w:szCs w:val="20"/>
                <w:lang w:eastAsia="sl-SI"/>
              </w:rPr>
              <w:t>901.937.257</w:t>
            </w:r>
          </w:p>
        </w:tc>
        <w:tc>
          <w:tcPr>
            <w:tcW w:w="1214" w:type="dxa"/>
            <w:tcBorders>
              <w:top w:val="nil"/>
              <w:left w:val="nil"/>
              <w:bottom w:val="single" w:sz="4" w:space="0" w:color="auto"/>
              <w:right w:val="single" w:sz="4" w:space="0" w:color="auto"/>
            </w:tcBorders>
            <w:shd w:val="clear" w:color="auto" w:fill="auto"/>
            <w:vAlign w:val="center"/>
            <w:hideMark/>
          </w:tcPr>
          <w:p w14:paraId="57ACA8B8"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93,9</w:t>
            </w:r>
          </w:p>
        </w:tc>
        <w:tc>
          <w:tcPr>
            <w:tcW w:w="1231" w:type="dxa"/>
            <w:tcBorders>
              <w:top w:val="nil"/>
              <w:left w:val="nil"/>
              <w:bottom w:val="single" w:sz="4" w:space="0" w:color="auto"/>
              <w:right w:val="single" w:sz="4" w:space="0" w:color="auto"/>
            </w:tcBorders>
            <w:shd w:val="clear" w:color="auto" w:fill="auto"/>
            <w:vAlign w:val="center"/>
            <w:hideMark/>
          </w:tcPr>
          <w:p w14:paraId="15D174B0"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100,6</w:t>
            </w:r>
          </w:p>
        </w:tc>
        <w:tc>
          <w:tcPr>
            <w:tcW w:w="1163" w:type="dxa"/>
            <w:tcBorders>
              <w:top w:val="nil"/>
              <w:left w:val="nil"/>
              <w:bottom w:val="single" w:sz="4" w:space="0" w:color="auto"/>
              <w:right w:val="single" w:sz="4" w:space="0" w:color="auto"/>
            </w:tcBorders>
            <w:shd w:val="clear" w:color="auto" w:fill="auto"/>
            <w:vAlign w:val="center"/>
            <w:hideMark/>
          </w:tcPr>
          <w:p w14:paraId="1F762F40" w14:textId="77777777" w:rsidR="00A155A2" w:rsidRPr="00203E52" w:rsidRDefault="00A155A2" w:rsidP="001C77D2">
            <w:pPr>
              <w:spacing w:after="0" w:line="240" w:lineRule="auto"/>
              <w:jc w:val="center"/>
              <w:rPr>
                <w:rFonts w:ascii="Arial" w:eastAsia="Times New Roman" w:hAnsi="Arial" w:cs="Arial"/>
                <w:color w:val="000000"/>
                <w:sz w:val="20"/>
                <w:szCs w:val="20"/>
                <w:lang w:eastAsia="sl-SI"/>
              </w:rPr>
            </w:pPr>
            <w:r w:rsidRPr="00203E52">
              <w:rPr>
                <w:rFonts w:ascii="Arial" w:eastAsia="Times New Roman" w:hAnsi="Arial" w:cs="Arial"/>
                <w:color w:val="000000"/>
                <w:sz w:val="20"/>
                <w:szCs w:val="20"/>
                <w:lang w:eastAsia="sl-SI"/>
              </w:rPr>
              <w:t>107,1</w:t>
            </w:r>
          </w:p>
        </w:tc>
      </w:tr>
    </w:tbl>
    <w:p w14:paraId="46AA3B05" w14:textId="77777777" w:rsidR="00A155A2" w:rsidRPr="001104C6" w:rsidRDefault="00A155A2" w:rsidP="00A155A2">
      <w:pPr>
        <w:rPr>
          <w:rFonts w:ascii="Arial" w:hAnsi="Arial" w:cs="Arial"/>
          <w:i/>
          <w:sz w:val="20"/>
          <w:szCs w:val="20"/>
        </w:rPr>
      </w:pPr>
      <w:r w:rsidRPr="001104C6">
        <w:rPr>
          <w:rFonts w:ascii="Arial" w:hAnsi="Arial" w:cs="Arial"/>
          <w:i/>
          <w:sz w:val="20"/>
          <w:szCs w:val="20"/>
        </w:rPr>
        <w:t>Vir: FURS</w:t>
      </w:r>
    </w:p>
    <w:p w14:paraId="0BA6FA93" w14:textId="77777777" w:rsidR="00A155A2" w:rsidRPr="001A4866" w:rsidRDefault="00A155A2" w:rsidP="00A155A2">
      <w:pPr>
        <w:jc w:val="both"/>
        <w:rPr>
          <w:rFonts w:ascii="Arial" w:hAnsi="Arial" w:cs="Arial"/>
          <w:sz w:val="20"/>
          <w:szCs w:val="20"/>
        </w:rPr>
      </w:pPr>
      <w:bookmarkStart w:id="11" w:name="_Hlk159489419"/>
      <w:r w:rsidRPr="001A4866">
        <w:rPr>
          <w:rFonts w:ascii="Arial" w:hAnsi="Arial" w:cs="Arial"/>
          <w:sz w:val="20"/>
          <w:szCs w:val="20"/>
        </w:rPr>
        <w:t>V strukturi davčnega dolga ima aktivni dolg 5</w:t>
      </w:r>
      <w:r>
        <w:rPr>
          <w:rFonts w:ascii="Arial" w:hAnsi="Arial" w:cs="Arial"/>
          <w:sz w:val="20"/>
          <w:szCs w:val="20"/>
        </w:rPr>
        <w:t>3</w:t>
      </w:r>
      <w:r w:rsidRPr="001A4866">
        <w:rPr>
          <w:rFonts w:ascii="Arial" w:hAnsi="Arial" w:cs="Arial"/>
          <w:sz w:val="20"/>
          <w:szCs w:val="20"/>
        </w:rPr>
        <w:t>,</w:t>
      </w:r>
      <w:r>
        <w:rPr>
          <w:rFonts w:ascii="Arial" w:hAnsi="Arial" w:cs="Arial"/>
          <w:sz w:val="20"/>
          <w:szCs w:val="20"/>
        </w:rPr>
        <w:t>4-</w:t>
      </w:r>
      <w:r w:rsidRPr="001A4866">
        <w:rPr>
          <w:rFonts w:ascii="Arial" w:hAnsi="Arial" w:cs="Arial"/>
          <w:sz w:val="20"/>
          <w:szCs w:val="20"/>
        </w:rPr>
        <w:t xml:space="preserve">odstotni delež. Postopki za izterjavo tega dela dolga </w:t>
      </w:r>
      <w:r w:rsidRPr="00257A77">
        <w:rPr>
          <w:rFonts w:ascii="Arial" w:hAnsi="Arial" w:cs="Arial"/>
          <w:sz w:val="20"/>
          <w:szCs w:val="20"/>
        </w:rPr>
        <w:t>potekajo, zato je</w:t>
      </w:r>
      <w:r w:rsidRPr="001A4866">
        <w:rPr>
          <w:rFonts w:ascii="Arial" w:hAnsi="Arial" w:cs="Arial"/>
          <w:sz w:val="20"/>
          <w:szCs w:val="20"/>
        </w:rPr>
        <w:t xml:space="preserve"> verjetnost izterjave navedenega dolga velika v nasprotju s pogojno izterljivim dolgom, ki </w:t>
      </w:r>
      <w:r>
        <w:rPr>
          <w:rFonts w:ascii="Arial" w:hAnsi="Arial" w:cs="Arial"/>
          <w:sz w:val="20"/>
          <w:szCs w:val="20"/>
        </w:rPr>
        <w:t>obsega</w:t>
      </w:r>
      <w:r w:rsidRPr="001A4866">
        <w:rPr>
          <w:rFonts w:ascii="Arial" w:hAnsi="Arial" w:cs="Arial"/>
          <w:sz w:val="20"/>
          <w:szCs w:val="20"/>
        </w:rPr>
        <w:t xml:space="preserve"> 4</w:t>
      </w:r>
      <w:r>
        <w:rPr>
          <w:rFonts w:ascii="Arial" w:hAnsi="Arial" w:cs="Arial"/>
          <w:sz w:val="20"/>
          <w:szCs w:val="20"/>
        </w:rPr>
        <w:t>6</w:t>
      </w:r>
      <w:r w:rsidRPr="001A4866">
        <w:rPr>
          <w:rFonts w:ascii="Arial" w:hAnsi="Arial" w:cs="Arial"/>
          <w:sz w:val="20"/>
          <w:szCs w:val="20"/>
        </w:rPr>
        <w:t>,</w:t>
      </w:r>
      <w:r>
        <w:rPr>
          <w:rFonts w:ascii="Arial" w:hAnsi="Arial" w:cs="Arial"/>
          <w:sz w:val="20"/>
          <w:szCs w:val="20"/>
        </w:rPr>
        <w:t>6</w:t>
      </w:r>
      <w:r w:rsidRPr="001A4866">
        <w:rPr>
          <w:rFonts w:ascii="Arial" w:hAnsi="Arial" w:cs="Arial"/>
          <w:sz w:val="20"/>
          <w:szCs w:val="20"/>
        </w:rPr>
        <w:t xml:space="preserve"> </w:t>
      </w:r>
      <w:r w:rsidRPr="001A4866">
        <w:rPr>
          <w:rFonts w:ascii="Arial" w:eastAsia="Times New Roman" w:hAnsi="Arial" w:cs="Arial"/>
          <w:sz w:val="20"/>
          <w:szCs w:val="20"/>
        </w:rPr>
        <w:t xml:space="preserve">odstotka </w:t>
      </w:r>
      <w:r w:rsidRPr="001A4866">
        <w:rPr>
          <w:rFonts w:ascii="Arial" w:hAnsi="Arial" w:cs="Arial"/>
          <w:sz w:val="20"/>
          <w:szCs w:val="20"/>
        </w:rPr>
        <w:t xml:space="preserve">dolga. Večina tega dolga je namreč predmet </w:t>
      </w:r>
      <w:proofErr w:type="spellStart"/>
      <w:r w:rsidRPr="001A4866">
        <w:rPr>
          <w:rFonts w:ascii="Arial" w:hAnsi="Arial" w:cs="Arial"/>
          <w:sz w:val="20"/>
          <w:szCs w:val="20"/>
        </w:rPr>
        <w:t>insolvenčnih</w:t>
      </w:r>
      <w:proofErr w:type="spellEnd"/>
      <w:r w:rsidRPr="001A4866">
        <w:rPr>
          <w:rFonts w:ascii="Arial" w:hAnsi="Arial" w:cs="Arial"/>
          <w:sz w:val="20"/>
          <w:szCs w:val="20"/>
        </w:rPr>
        <w:t xml:space="preserve"> postopkov, v katere je </w:t>
      </w:r>
      <w:r w:rsidRPr="00407E1D">
        <w:rPr>
          <w:rFonts w:ascii="Arial" w:hAnsi="Arial" w:cs="Arial"/>
          <w:sz w:val="20"/>
          <w:szCs w:val="20"/>
        </w:rPr>
        <w:t>prijavl</w:t>
      </w:r>
      <w:r w:rsidRPr="00257A77">
        <w:rPr>
          <w:rFonts w:ascii="Arial" w:hAnsi="Arial" w:cs="Arial"/>
          <w:sz w:val="20"/>
          <w:szCs w:val="20"/>
        </w:rPr>
        <w:t>jeneg</w:t>
      </w:r>
      <w:r>
        <w:rPr>
          <w:rFonts w:ascii="Arial" w:hAnsi="Arial" w:cs="Arial"/>
          <w:sz w:val="20"/>
          <w:szCs w:val="20"/>
        </w:rPr>
        <w:t>a</w:t>
      </w:r>
      <w:r w:rsidRPr="00407E1D">
        <w:rPr>
          <w:rFonts w:ascii="Arial" w:hAnsi="Arial" w:cs="Arial"/>
          <w:sz w:val="20"/>
          <w:szCs w:val="20"/>
        </w:rPr>
        <w:t xml:space="preserve"> 60,3 </w:t>
      </w:r>
      <w:r w:rsidRPr="00407E1D">
        <w:rPr>
          <w:rFonts w:ascii="Arial" w:eastAsia="Times New Roman" w:hAnsi="Arial" w:cs="Arial"/>
          <w:sz w:val="20"/>
          <w:szCs w:val="20"/>
        </w:rPr>
        <w:t>odstotka</w:t>
      </w:r>
      <w:r w:rsidRPr="00407E1D">
        <w:rPr>
          <w:rFonts w:ascii="Arial" w:hAnsi="Arial" w:cs="Arial"/>
          <w:sz w:val="20"/>
          <w:szCs w:val="20"/>
        </w:rPr>
        <w:t xml:space="preserve"> pogojno</w:t>
      </w:r>
      <w:r w:rsidRPr="001A4866">
        <w:rPr>
          <w:rFonts w:ascii="Arial" w:hAnsi="Arial" w:cs="Arial"/>
          <w:sz w:val="20"/>
          <w:szCs w:val="20"/>
        </w:rPr>
        <w:t xml:space="preserve"> izterljivega davčnega dolga.</w:t>
      </w:r>
    </w:p>
    <w:p w14:paraId="1FE77F05" w14:textId="77777777" w:rsidR="00A155A2" w:rsidRDefault="00A155A2" w:rsidP="00A155A2">
      <w:pPr>
        <w:jc w:val="both"/>
        <w:rPr>
          <w:rFonts w:ascii="Arial" w:hAnsi="Arial" w:cs="Arial"/>
          <w:sz w:val="20"/>
          <w:szCs w:val="20"/>
        </w:rPr>
      </w:pPr>
      <w:r w:rsidRPr="00E1671E">
        <w:rPr>
          <w:rFonts w:ascii="Arial" w:hAnsi="Arial" w:cs="Arial"/>
          <w:sz w:val="20"/>
          <w:szCs w:val="20"/>
        </w:rPr>
        <w:t xml:space="preserve">Z dnem začetka postopka zaradi insolventnosti se v skladu z </w:t>
      </w:r>
      <w:proofErr w:type="spellStart"/>
      <w:r w:rsidRPr="00E1671E">
        <w:rPr>
          <w:rFonts w:ascii="Arial" w:hAnsi="Arial" w:cs="Arial"/>
          <w:sz w:val="20"/>
          <w:szCs w:val="20"/>
        </w:rPr>
        <w:t>insolvenčno</w:t>
      </w:r>
      <w:proofErr w:type="spellEnd"/>
      <w:r w:rsidRPr="00E1671E">
        <w:rPr>
          <w:rFonts w:ascii="Arial" w:hAnsi="Arial" w:cs="Arial"/>
          <w:sz w:val="20"/>
          <w:szCs w:val="20"/>
        </w:rPr>
        <w:t xml:space="preserve"> zakonodajo, ki je v pristojnosti </w:t>
      </w:r>
      <w:r w:rsidRPr="00257A77">
        <w:rPr>
          <w:rFonts w:ascii="Arial" w:hAnsi="Arial" w:cs="Arial"/>
          <w:sz w:val="20"/>
          <w:szCs w:val="20"/>
        </w:rPr>
        <w:t>mi</w:t>
      </w:r>
      <w:r w:rsidRPr="00E1671E">
        <w:rPr>
          <w:rFonts w:ascii="Arial" w:hAnsi="Arial" w:cs="Arial"/>
          <w:sz w:val="20"/>
          <w:szCs w:val="20"/>
        </w:rPr>
        <w:t xml:space="preserve">nistrstva za pravosodje, zoper davčnega zavezanca načeloma ne sme voditi postopek davčne izvršbe, temveč se zaradi zagotavljanja načela enakega obravnavanja upnikov terjatve lahko poplačajo le v skladu z </w:t>
      </w:r>
      <w:proofErr w:type="spellStart"/>
      <w:r w:rsidRPr="00E1671E">
        <w:rPr>
          <w:rFonts w:ascii="Arial" w:hAnsi="Arial" w:cs="Arial"/>
          <w:sz w:val="20"/>
          <w:szCs w:val="20"/>
        </w:rPr>
        <w:t>insolvenčno</w:t>
      </w:r>
      <w:proofErr w:type="spellEnd"/>
      <w:r w:rsidRPr="00E1671E">
        <w:rPr>
          <w:rFonts w:ascii="Arial" w:hAnsi="Arial" w:cs="Arial"/>
          <w:sz w:val="20"/>
          <w:szCs w:val="20"/>
        </w:rPr>
        <w:t xml:space="preserve"> zakonodajo. Za terjatve, prijavljene v postopk</w:t>
      </w:r>
      <w:r>
        <w:rPr>
          <w:rFonts w:ascii="Arial" w:hAnsi="Arial" w:cs="Arial"/>
          <w:sz w:val="20"/>
          <w:szCs w:val="20"/>
        </w:rPr>
        <w:t>e zaradi insolventnosti,</w:t>
      </w:r>
      <w:r w:rsidRPr="00E1671E">
        <w:rPr>
          <w:rFonts w:ascii="Arial" w:hAnsi="Arial" w:cs="Arial"/>
          <w:sz w:val="20"/>
          <w:szCs w:val="20"/>
        </w:rPr>
        <w:t xml:space="preserve"> je bilo v letu 2024 izdanih 4.418 seznamov izvršilnih naslovov, kar je </w:t>
      </w:r>
      <w:r>
        <w:rPr>
          <w:rFonts w:ascii="Arial" w:hAnsi="Arial" w:cs="Arial"/>
          <w:sz w:val="20"/>
          <w:szCs w:val="20"/>
        </w:rPr>
        <w:t>približno</w:t>
      </w:r>
      <w:r w:rsidRPr="00E1671E">
        <w:rPr>
          <w:rFonts w:ascii="Arial" w:hAnsi="Arial" w:cs="Arial"/>
          <w:sz w:val="20"/>
          <w:szCs w:val="20"/>
        </w:rPr>
        <w:t xml:space="preserve"> enako k</w:t>
      </w:r>
      <w:r>
        <w:rPr>
          <w:rFonts w:ascii="Arial" w:hAnsi="Arial" w:cs="Arial"/>
          <w:sz w:val="20"/>
          <w:szCs w:val="20"/>
        </w:rPr>
        <w:t>ak</w:t>
      </w:r>
      <w:r w:rsidRPr="00E1671E">
        <w:rPr>
          <w:rFonts w:ascii="Arial" w:hAnsi="Arial" w:cs="Arial"/>
          <w:sz w:val="20"/>
          <w:szCs w:val="20"/>
        </w:rPr>
        <w:t>o</w:t>
      </w:r>
      <w:r>
        <w:rPr>
          <w:rFonts w:ascii="Arial" w:hAnsi="Arial" w:cs="Arial"/>
          <w:sz w:val="20"/>
          <w:szCs w:val="20"/>
        </w:rPr>
        <w:t>r</w:t>
      </w:r>
      <w:r w:rsidRPr="00E1671E">
        <w:rPr>
          <w:rFonts w:ascii="Arial" w:hAnsi="Arial" w:cs="Arial"/>
          <w:sz w:val="20"/>
          <w:szCs w:val="20"/>
        </w:rPr>
        <w:t xml:space="preserve"> let</w:t>
      </w:r>
      <w:r>
        <w:rPr>
          <w:rFonts w:ascii="Arial" w:hAnsi="Arial" w:cs="Arial"/>
          <w:sz w:val="20"/>
          <w:szCs w:val="20"/>
        </w:rPr>
        <w:t>o</w:t>
      </w:r>
      <w:r w:rsidRPr="00E1671E">
        <w:rPr>
          <w:rFonts w:ascii="Arial" w:hAnsi="Arial" w:cs="Arial"/>
          <w:sz w:val="20"/>
          <w:szCs w:val="20"/>
        </w:rPr>
        <w:t xml:space="preserve"> </w:t>
      </w:r>
      <w:r>
        <w:rPr>
          <w:rFonts w:ascii="Arial" w:hAnsi="Arial" w:cs="Arial"/>
          <w:sz w:val="20"/>
          <w:szCs w:val="20"/>
        </w:rPr>
        <w:t>prej</w:t>
      </w:r>
      <w:r w:rsidRPr="00E1671E">
        <w:rPr>
          <w:rFonts w:ascii="Arial" w:hAnsi="Arial" w:cs="Arial"/>
          <w:sz w:val="20"/>
          <w:szCs w:val="20"/>
        </w:rPr>
        <w:t xml:space="preserve">. </w:t>
      </w:r>
    </w:p>
    <w:p w14:paraId="0F009D57" w14:textId="77777777" w:rsidR="00A155A2" w:rsidRPr="00E1671E" w:rsidRDefault="00A155A2" w:rsidP="00A155A2">
      <w:pPr>
        <w:jc w:val="both"/>
        <w:rPr>
          <w:rFonts w:ascii="Arial" w:hAnsi="Arial" w:cs="Arial"/>
          <w:sz w:val="20"/>
          <w:szCs w:val="20"/>
        </w:rPr>
      </w:pPr>
      <w:r w:rsidRPr="00E1671E">
        <w:rPr>
          <w:rFonts w:ascii="Arial" w:hAnsi="Arial" w:cs="Arial"/>
          <w:sz w:val="20"/>
          <w:szCs w:val="20"/>
        </w:rPr>
        <w:lastRenderedPageBreak/>
        <w:t xml:space="preserve">Postopki zaradi insolventnosti </w:t>
      </w:r>
      <w:r w:rsidRPr="00D9536E">
        <w:rPr>
          <w:rFonts w:ascii="Arial" w:hAnsi="Arial" w:cs="Arial"/>
          <w:sz w:val="20"/>
          <w:szCs w:val="20"/>
        </w:rPr>
        <w:t>so sodni postopki, na trajanje katerih</w:t>
      </w:r>
      <w:r w:rsidRPr="003A529C">
        <w:rPr>
          <w:rFonts w:ascii="Arial" w:hAnsi="Arial" w:cs="Arial"/>
          <w:sz w:val="20"/>
          <w:szCs w:val="20"/>
        </w:rPr>
        <w:t xml:space="preserve"> davčni</w:t>
      </w:r>
      <w:r w:rsidRPr="00E1671E">
        <w:rPr>
          <w:rFonts w:ascii="Arial" w:hAnsi="Arial" w:cs="Arial"/>
          <w:sz w:val="20"/>
          <w:szCs w:val="20"/>
        </w:rPr>
        <w:t xml:space="preserve"> organ nima vpliva, saj je v skladu z </w:t>
      </w:r>
      <w:proofErr w:type="spellStart"/>
      <w:r w:rsidRPr="00E1671E">
        <w:rPr>
          <w:rFonts w:ascii="Arial" w:hAnsi="Arial" w:cs="Arial"/>
          <w:sz w:val="20"/>
          <w:szCs w:val="20"/>
        </w:rPr>
        <w:t>insolvenčno</w:t>
      </w:r>
      <w:proofErr w:type="spellEnd"/>
      <w:r w:rsidRPr="00E1671E">
        <w:rPr>
          <w:rFonts w:ascii="Arial" w:hAnsi="Arial" w:cs="Arial"/>
          <w:sz w:val="20"/>
          <w:szCs w:val="20"/>
        </w:rPr>
        <w:t xml:space="preserve"> zakonodajo izenačen z drugimi (civilnimi) upniki. Terjatve, ki v stečajnem postopku niso poplačane, se odpišejo. Posebnost velja v postopku osebnega stečaja, </w:t>
      </w:r>
      <w:r>
        <w:rPr>
          <w:rFonts w:ascii="Arial" w:hAnsi="Arial" w:cs="Arial"/>
          <w:sz w:val="20"/>
          <w:szCs w:val="20"/>
        </w:rPr>
        <w:t>v katerem</w:t>
      </w:r>
      <w:r w:rsidRPr="00E1671E">
        <w:rPr>
          <w:rFonts w:ascii="Arial" w:hAnsi="Arial" w:cs="Arial"/>
          <w:sz w:val="20"/>
          <w:szCs w:val="20"/>
        </w:rPr>
        <w:t xml:space="preserve"> se odpišejo le terjatve</w:t>
      </w:r>
      <w:r>
        <w:rPr>
          <w:rFonts w:ascii="Arial" w:hAnsi="Arial" w:cs="Arial"/>
          <w:sz w:val="20"/>
          <w:szCs w:val="20"/>
        </w:rPr>
        <w:t>,</w:t>
      </w:r>
      <w:r w:rsidRPr="00E1671E">
        <w:rPr>
          <w:rFonts w:ascii="Arial" w:hAnsi="Arial" w:cs="Arial"/>
          <w:sz w:val="20"/>
          <w:szCs w:val="20"/>
        </w:rPr>
        <w:t xml:space="preserve"> na katere učinkuje odpust obveznosti. Davčni dolžnik namreč v postopku osebnega stečaja ne more več doseči odpusta in </w:t>
      </w:r>
      <w:r>
        <w:rPr>
          <w:rFonts w:ascii="Arial" w:hAnsi="Arial" w:cs="Arial"/>
          <w:sz w:val="20"/>
          <w:szCs w:val="20"/>
        </w:rPr>
        <w:t>s tem</w:t>
      </w:r>
      <w:r w:rsidRPr="00E1671E">
        <w:rPr>
          <w:rFonts w:ascii="Arial" w:hAnsi="Arial" w:cs="Arial"/>
          <w:sz w:val="20"/>
          <w:szCs w:val="20"/>
        </w:rPr>
        <w:t xml:space="preserve"> odpisa davčnih terjatev </w:t>
      </w:r>
      <w:r>
        <w:rPr>
          <w:rFonts w:ascii="Arial" w:hAnsi="Arial" w:cs="Arial"/>
          <w:sz w:val="20"/>
          <w:szCs w:val="20"/>
        </w:rPr>
        <w:t>od</w:t>
      </w:r>
      <w:r w:rsidRPr="00E1671E">
        <w:rPr>
          <w:rFonts w:ascii="Arial" w:hAnsi="Arial" w:cs="Arial"/>
          <w:sz w:val="20"/>
          <w:szCs w:val="20"/>
        </w:rPr>
        <w:t xml:space="preserve"> prispevkov, ki so nastale pred začetkom postopka zaradi insolventnosti.</w:t>
      </w:r>
      <w:r w:rsidRPr="00E1671E">
        <w:rPr>
          <w:rStyle w:val="Sprotnaopomba-sklic"/>
          <w:rFonts w:ascii="Arial" w:hAnsi="Arial" w:cs="Arial"/>
          <w:sz w:val="20"/>
          <w:szCs w:val="20"/>
        </w:rPr>
        <w:footnoteReference w:id="6"/>
      </w:r>
      <w:r w:rsidRPr="00E1671E">
        <w:rPr>
          <w:rFonts w:ascii="Arial" w:hAnsi="Arial" w:cs="Arial"/>
          <w:sz w:val="20"/>
          <w:szCs w:val="20"/>
        </w:rPr>
        <w:t xml:space="preserve"> </w:t>
      </w:r>
    </w:p>
    <w:p w14:paraId="25A0C0C3" w14:textId="77777777" w:rsidR="00A155A2" w:rsidRPr="00E1671E" w:rsidRDefault="00A155A2" w:rsidP="00A155A2">
      <w:pPr>
        <w:pStyle w:val="Brezrazmikov"/>
        <w:spacing w:line="276" w:lineRule="auto"/>
        <w:jc w:val="both"/>
        <w:rPr>
          <w:rFonts w:ascii="Arial" w:hAnsi="Arial" w:cs="Arial"/>
          <w:sz w:val="20"/>
          <w:szCs w:val="20"/>
        </w:rPr>
      </w:pPr>
      <w:r w:rsidRPr="00E1671E">
        <w:rPr>
          <w:rFonts w:ascii="Arial" w:hAnsi="Arial" w:cs="Arial"/>
          <w:sz w:val="20"/>
          <w:szCs w:val="20"/>
        </w:rPr>
        <w:t>Število postopkov osebnih stečajev se od leta 2015</w:t>
      </w:r>
      <w:r>
        <w:rPr>
          <w:rFonts w:ascii="Arial" w:hAnsi="Arial" w:cs="Arial"/>
          <w:sz w:val="20"/>
          <w:szCs w:val="20"/>
        </w:rPr>
        <w:t xml:space="preserve"> </w:t>
      </w:r>
      <w:r w:rsidRPr="00E1671E">
        <w:rPr>
          <w:rFonts w:ascii="Arial" w:hAnsi="Arial" w:cs="Arial"/>
          <w:sz w:val="20"/>
          <w:szCs w:val="20"/>
        </w:rPr>
        <w:t>z</w:t>
      </w:r>
      <w:r>
        <w:rPr>
          <w:rFonts w:ascii="Arial" w:hAnsi="Arial" w:cs="Arial"/>
          <w:sz w:val="20"/>
          <w:szCs w:val="20"/>
        </w:rPr>
        <w:t>ma</w:t>
      </w:r>
      <w:r w:rsidRPr="00E1671E">
        <w:rPr>
          <w:rFonts w:ascii="Arial" w:hAnsi="Arial" w:cs="Arial"/>
          <w:sz w:val="20"/>
          <w:szCs w:val="20"/>
        </w:rPr>
        <w:t>n</w:t>
      </w:r>
      <w:r>
        <w:rPr>
          <w:rFonts w:ascii="Arial" w:hAnsi="Arial" w:cs="Arial"/>
          <w:sz w:val="20"/>
          <w:szCs w:val="20"/>
        </w:rPr>
        <w:t>jš</w:t>
      </w:r>
      <w:r w:rsidRPr="00E1671E">
        <w:rPr>
          <w:rFonts w:ascii="Arial" w:hAnsi="Arial" w:cs="Arial"/>
          <w:sz w:val="20"/>
          <w:szCs w:val="20"/>
        </w:rPr>
        <w:t>uje</w:t>
      </w:r>
      <w:r>
        <w:rPr>
          <w:rFonts w:ascii="Arial" w:hAnsi="Arial" w:cs="Arial"/>
          <w:sz w:val="20"/>
          <w:szCs w:val="20"/>
        </w:rPr>
        <w:t>,</w:t>
      </w:r>
      <w:r w:rsidRPr="00E1671E">
        <w:rPr>
          <w:rFonts w:ascii="Arial" w:hAnsi="Arial" w:cs="Arial"/>
          <w:sz w:val="20"/>
          <w:szCs w:val="20"/>
        </w:rPr>
        <w:t xml:space="preserve"> </w:t>
      </w:r>
      <w:r>
        <w:rPr>
          <w:rFonts w:ascii="Arial" w:hAnsi="Arial" w:cs="Arial"/>
          <w:sz w:val="20"/>
          <w:szCs w:val="20"/>
        </w:rPr>
        <w:t>povečuje</w:t>
      </w:r>
      <w:r w:rsidRPr="00E1671E">
        <w:rPr>
          <w:rFonts w:ascii="Arial" w:hAnsi="Arial" w:cs="Arial"/>
          <w:sz w:val="20"/>
          <w:szCs w:val="20"/>
        </w:rPr>
        <w:t xml:space="preserve"> pa </w:t>
      </w:r>
      <w:r>
        <w:rPr>
          <w:rFonts w:ascii="Arial" w:hAnsi="Arial" w:cs="Arial"/>
          <w:sz w:val="20"/>
          <w:szCs w:val="20"/>
        </w:rPr>
        <w:t xml:space="preserve">se </w:t>
      </w:r>
      <w:r w:rsidRPr="00E1671E">
        <w:rPr>
          <w:rFonts w:ascii="Arial" w:hAnsi="Arial" w:cs="Arial"/>
          <w:sz w:val="20"/>
          <w:szCs w:val="20"/>
        </w:rPr>
        <w:t>število stečajnih postopk</w:t>
      </w:r>
      <w:r>
        <w:rPr>
          <w:rFonts w:ascii="Arial" w:hAnsi="Arial" w:cs="Arial"/>
          <w:sz w:val="20"/>
          <w:szCs w:val="20"/>
        </w:rPr>
        <w:t>ov</w:t>
      </w:r>
      <w:r w:rsidRPr="00E1671E">
        <w:rPr>
          <w:rFonts w:ascii="Arial" w:hAnsi="Arial" w:cs="Arial"/>
          <w:sz w:val="20"/>
          <w:szCs w:val="20"/>
        </w:rPr>
        <w:t xml:space="preserve"> nad pravnimi osebami, ki se začnejo na predlog upnika ali druge osebe. Pri stečajnih postopkih nad pravn</w:t>
      </w:r>
      <w:r>
        <w:rPr>
          <w:rFonts w:ascii="Arial" w:hAnsi="Arial" w:cs="Arial"/>
          <w:sz w:val="20"/>
          <w:szCs w:val="20"/>
        </w:rPr>
        <w:t>o</w:t>
      </w:r>
      <w:r w:rsidRPr="00E1671E">
        <w:rPr>
          <w:rFonts w:ascii="Arial" w:hAnsi="Arial" w:cs="Arial"/>
          <w:sz w:val="20"/>
          <w:szCs w:val="20"/>
        </w:rPr>
        <w:t xml:space="preserve"> oseb</w:t>
      </w:r>
      <w:r>
        <w:rPr>
          <w:rFonts w:ascii="Arial" w:hAnsi="Arial" w:cs="Arial"/>
          <w:sz w:val="20"/>
          <w:szCs w:val="20"/>
        </w:rPr>
        <w:t>o</w:t>
      </w:r>
      <w:r w:rsidRPr="00E1671E">
        <w:rPr>
          <w:rFonts w:ascii="Arial" w:hAnsi="Arial" w:cs="Arial"/>
          <w:sz w:val="20"/>
          <w:szCs w:val="20"/>
        </w:rPr>
        <w:t xml:space="preserve"> </w:t>
      </w:r>
      <w:r>
        <w:rPr>
          <w:rFonts w:ascii="Arial" w:hAnsi="Arial" w:cs="Arial"/>
          <w:sz w:val="20"/>
          <w:szCs w:val="20"/>
        </w:rPr>
        <w:t xml:space="preserve">se </w:t>
      </w:r>
      <w:r w:rsidRPr="00E1671E">
        <w:rPr>
          <w:rFonts w:ascii="Arial" w:hAnsi="Arial" w:cs="Arial"/>
          <w:sz w:val="20"/>
          <w:szCs w:val="20"/>
        </w:rPr>
        <w:t>je od leta 2015 do leta 2018 števil</w:t>
      </w:r>
      <w:r>
        <w:rPr>
          <w:rFonts w:ascii="Arial" w:hAnsi="Arial" w:cs="Arial"/>
          <w:sz w:val="20"/>
          <w:szCs w:val="20"/>
        </w:rPr>
        <w:t>o</w:t>
      </w:r>
      <w:r w:rsidRPr="00E1671E">
        <w:rPr>
          <w:rFonts w:ascii="Arial" w:hAnsi="Arial" w:cs="Arial"/>
          <w:sz w:val="20"/>
          <w:szCs w:val="20"/>
        </w:rPr>
        <w:t xml:space="preserve"> začetih postopkov</w:t>
      </w:r>
      <w:r>
        <w:rPr>
          <w:rFonts w:ascii="Arial" w:hAnsi="Arial" w:cs="Arial"/>
          <w:sz w:val="20"/>
          <w:szCs w:val="20"/>
        </w:rPr>
        <w:t xml:space="preserve"> povečevalo</w:t>
      </w:r>
      <w:r w:rsidRPr="00E1671E">
        <w:rPr>
          <w:rFonts w:ascii="Arial" w:hAnsi="Arial" w:cs="Arial"/>
          <w:sz w:val="20"/>
          <w:szCs w:val="20"/>
        </w:rPr>
        <w:t xml:space="preserve"> (v letu 2015 so bili na novo začeti 1.004 postopki, v </w:t>
      </w:r>
      <w:r w:rsidRPr="003A529C">
        <w:rPr>
          <w:rFonts w:ascii="Arial" w:hAnsi="Arial" w:cs="Arial"/>
          <w:sz w:val="20"/>
          <w:szCs w:val="20"/>
        </w:rPr>
        <w:t xml:space="preserve">letu </w:t>
      </w:r>
      <w:r w:rsidRPr="009C000B">
        <w:rPr>
          <w:rFonts w:ascii="Arial" w:hAnsi="Arial" w:cs="Arial"/>
          <w:sz w:val="20"/>
          <w:szCs w:val="20"/>
        </w:rPr>
        <w:t>2016: 1.062, v letu 2017</w:t>
      </w:r>
      <w:r w:rsidRPr="00E1671E">
        <w:rPr>
          <w:rFonts w:ascii="Arial" w:hAnsi="Arial" w:cs="Arial"/>
          <w:sz w:val="20"/>
          <w:szCs w:val="20"/>
        </w:rPr>
        <w:t xml:space="preserve">: 1.195, v letu 2018 pa 1.267), medtem ko je bilo število </w:t>
      </w:r>
      <w:proofErr w:type="spellStart"/>
      <w:r w:rsidRPr="00E1671E">
        <w:rPr>
          <w:rFonts w:ascii="Arial" w:hAnsi="Arial" w:cs="Arial"/>
          <w:sz w:val="20"/>
          <w:szCs w:val="20"/>
        </w:rPr>
        <w:t>novozačetih</w:t>
      </w:r>
      <w:proofErr w:type="spellEnd"/>
      <w:r w:rsidRPr="00E1671E">
        <w:rPr>
          <w:rFonts w:ascii="Arial" w:hAnsi="Arial" w:cs="Arial"/>
          <w:sz w:val="20"/>
          <w:szCs w:val="20"/>
        </w:rPr>
        <w:t xml:space="preserve"> stečajnih postopkov nad pravn</w:t>
      </w:r>
      <w:r>
        <w:rPr>
          <w:rFonts w:ascii="Arial" w:hAnsi="Arial" w:cs="Arial"/>
          <w:sz w:val="20"/>
          <w:szCs w:val="20"/>
        </w:rPr>
        <w:t>o</w:t>
      </w:r>
      <w:r w:rsidRPr="00E1671E">
        <w:rPr>
          <w:rFonts w:ascii="Arial" w:hAnsi="Arial" w:cs="Arial"/>
          <w:sz w:val="20"/>
          <w:szCs w:val="20"/>
        </w:rPr>
        <w:t xml:space="preserve"> oseb</w:t>
      </w:r>
      <w:r>
        <w:rPr>
          <w:rFonts w:ascii="Arial" w:hAnsi="Arial" w:cs="Arial"/>
          <w:sz w:val="20"/>
          <w:szCs w:val="20"/>
        </w:rPr>
        <w:t>o</w:t>
      </w:r>
      <w:r w:rsidRPr="00E1671E">
        <w:rPr>
          <w:rFonts w:ascii="Arial" w:hAnsi="Arial" w:cs="Arial"/>
          <w:sz w:val="20"/>
          <w:szCs w:val="20"/>
        </w:rPr>
        <w:t xml:space="preserve"> v letu 2019: 1.177, v letu 2020: 1.030, v letu 2021: 943, v letu 2022: 882, v letu 2023: 807, v letu 2024 pa</w:t>
      </w:r>
      <w:r>
        <w:rPr>
          <w:rFonts w:ascii="Arial" w:hAnsi="Arial" w:cs="Arial"/>
          <w:sz w:val="20"/>
          <w:szCs w:val="20"/>
        </w:rPr>
        <w:t xml:space="preserve"> se</w:t>
      </w:r>
      <w:r w:rsidRPr="00E1671E">
        <w:rPr>
          <w:rFonts w:ascii="Arial" w:hAnsi="Arial" w:cs="Arial"/>
          <w:sz w:val="20"/>
          <w:szCs w:val="20"/>
        </w:rPr>
        <w:t xml:space="preserve"> je </w:t>
      </w:r>
      <w:r>
        <w:rPr>
          <w:rFonts w:ascii="Arial" w:hAnsi="Arial" w:cs="Arial"/>
          <w:sz w:val="20"/>
          <w:szCs w:val="20"/>
        </w:rPr>
        <w:t>znova nekoliko povečalo</w:t>
      </w:r>
      <w:r w:rsidRPr="00E1671E">
        <w:rPr>
          <w:rFonts w:ascii="Arial" w:hAnsi="Arial" w:cs="Arial"/>
          <w:sz w:val="20"/>
          <w:szCs w:val="20"/>
        </w:rPr>
        <w:t xml:space="preserve">, </w:t>
      </w:r>
      <w:r>
        <w:rPr>
          <w:rFonts w:ascii="Arial" w:hAnsi="Arial" w:cs="Arial"/>
          <w:sz w:val="20"/>
          <w:szCs w:val="20"/>
        </w:rPr>
        <w:t>in sicer</w:t>
      </w:r>
      <w:r w:rsidRPr="00E1671E">
        <w:rPr>
          <w:rFonts w:ascii="Arial" w:hAnsi="Arial" w:cs="Arial"/>
          <w:sz w:val="20"/>
          <w:szCs w:val="20"/>
        </w:rPr>
        <w:t xml:space="preserve"> na 908. Manjše število začetih stečajnih postopkov nad pravn</w:t>
      </w:r>
      <w:r>
        <w:rPr>
          <w:rFonts w:ascii="Arial" w:hAnsi="Arial" w:cs="Arial"/>
          <w:sz w:val="20"/>
          <w:szCs w:val="20"/>
        </w:rPr>
        <w:t>o</w:t>
      </w:r>
      <w:r w:rsidRPr="00E1671E">
        <w:rPr>
          <w:rFonts w:ascii="Arial" w:hAnsi="Arial" w:cs="Arial"/>
          <w:sz w:val="20"/>
          <w:szCs w:val="20"/>
        </w:rPr>
        <w:t xml:space="preserve"> oseb</w:t>
      </w:r>
      <w:r>
        <w:rPr>
          <w:rFonts w:ascii="Arial" w:hAnsi="Arial" w:cs="Arial"/>
          <w:sz w:val="20"/>
          <w:szCs w:val="20"/>
        </w:rPr>
        <w:t>o</w:t>
      </w:r>
      <w:r w:rsidRPr="00E1671E">
        <w:rPr>
          <w:rFonts w:ascii="Arial" w:hAnsi="Arial" w:cs="Arial"/>
          <w:sz w:val="20"/>
          <w:szCs w:val="20"/>
        </w:rPr>
        <w:t xml:space="preserve"> po letu 2020 je povezano tudi z interventnimi ukrepi za gospodarstvo. Število postopkov osebnih stečajev se od leta 2015 </w:t>
      </w:r>
      <w:r>
        <w:rPr>
          <w:rFonts w:ascii="Arial" w:hAnsi="Arial" w:cs="Arial"/>
          <w:sz w:val="20"/>
          <w:szCs w:val="20"/>
        </w:rPr>
        <w:t>naprej</w:t>
      </w:r>
      <w:r w:rsidRPr="00E1671E">
        <w:rPr>
          <w:rFonts w:ascii="Arial" w:hAnsi="Arial" w:cs="Arial"/>
          <w:sz w:val="20"/>
          <w:szCs w:val="20"/>
        </w:rPr>
        <w:t xml:space="preserve"> z</w:t>
      </w:r>
      <w:r>
        <w:rPr>
          <w:rFonts w:ascii="Arial" w:hAnsi="Arial" w:cs="Arial"/>
          <w:sz w:val="20"/>
          <w:szCs w:val="20"/>
        </w:rPr>
        <w:t>ma</w:t>
      </w:r>
      <w:r w:rsidRPr="00E1671E">
        <w:rPr>
          <w:rFonts w:ascii="Arial" w:hAnsi="Arial" w:cs="Arial"/>
          <w:sz w:val="20"/>
          <w:szCs w:val="20"/>
        </w:rPr>
        <w:t>n</w:t>
      </w:r>
      <w:r>
        <w:rPr>
          <w:rFonts w:ascii="Arial" w:hAnsi="Arial" w:cs="Arial"/>
          <w:sz w:val="20"/>
          <w:szCs w:val="20"/>
        </w:rPr>
        <w:t>jš</w:t>
      </w:r>
      <w:r w:rsidRPr="00E1671E">
        <w:rPr>
          <w:rFonts w:ascii="Arial" w:hAnsi="Arial" w:cs="Arial"/>
          <w:sz w:val="20"/>
          <w:szCs w:val="20"/>
        </w:rPr>
        <w:t xml:space="preserve">uje (v letu 2015 je bilo na novo začetih 4.107 postopkov, v letu 2016: 3.444, v letu 2017: 2.349, v letu 2018: 2.110, v letu 2019: 1.883, v letu 2020: 1.402, v letu 2021: 1.151, v letu 2022: 1.037, v letu 2023: 872, v letu 2024 pa je bilo 863 na novo začetih postopkov osebnih stečajev). </w:t>
      </w:r>
    </w:p>
    <w:p w14:paraId="230FCE7C" w14:textId="77777777" w:rsidR="00A155A2" w:rsidRPr="00E1671E" w:rsidRDefault="00A155A2" w:rsidP="00A155A2">
      <w:pPr>
        <w:pStyle w:val="Brezrazmikov"/>
        <w:spacing w:line="276" w:lineRule="auto"/>
        <w:jc w:val="both"/>
        <w:rPr>
          <w:rFonts w:ascii="Arial" w:hAnsi="Arial" w:cs="Arial"/>
          <w:sz w:val="20"/>
          <w:szCs w:val="20"/>
        </w:rPr>
      </w:pPr>
    </w:p>
    <w:p w14:paraId="30713620" w14:textId="77777777" w:rsidR="00A155A2" w:rsidRDefault="00A155A2" w:rsidP="00A155A2">
      <w:pPr>
        <w:pStyle w:val="Brezrazmikov"/>
        <w:spacing w:line="276" w:lineRule="auto"/>
        <w:jc w:val="both"/>
        <w:rPr>
          <w:rFonts w:ascii="Arial" w:hAnsi="Arial" w:cs="Arial"/>
          <w:sz w:val="20"/>
          <w:szCs w:val="20"/>
        </w:rPr>
      </w:pPr>
      <w:r w:rsidRPr="00E1671E">
        <w:rPr>
          <w:rFonts w:ascii="Arial" w:hAnsi="Arial" w:cs="Arial"/>
          <w:sz w:val="20"/>
          <w:szCs w:val="20"/>
        </w:rPr>
        <w:t xml:space="preserve">V zvezi s stečajnimi postopki </w:t>
      </w:r>
      <w:r>
        <w:rPr>
          <w:rFonts w:ascii="Arial" w:hAnsi="Arial" w:cs="Arial"/>
          <w:sz w:val="20"/>
          <w:szCs w:val="20"/>
        </w:rPr>
        <w:t>kaže</w:t>
      </w:r>
      <w:r w:rsidRPr="00E1671E">
        <w:rPr>
          <w:rFonts w:ascii="Arial" w:hAnsi="Arial" w:cs="Arial"/>
          <w:sz w:val="20"/>
          <w:szCs w:val="20"/>
        </w:rPr>
        <w:t xml:space="preserve"> pojasniti, da se je bistveno povečalo število postopkov, ki se začnejo na predlog upnika ali druge osebe (v letu 2015 je bilo podanih 268 predlogov upnikov, v letu 2016: 323, v letu 2017: 442, v letu 2018: 479, v letu 2019: 513, v letu 2020: 459, v letu 2021: 454, v letu 2022: 434, v letu 2023: 385, v letu 2024: 498). Na predlog upnikov ali druge osebe </w:t>
      </w:r>
      <w:r>
        <w:rPr>
          <w:rFonts w:ascii="Arial" w:hAnsi="Arial" w:cs="Arial"/>
          <w:sz w:val="20"/>
          <w:szCs w:val="20"/>
        </w:rPr>
        <w:t xml:space="preserve">pa </w:t>
      </w:r>
      <w:r w:rsidRPr="00E1671E">
        <w:rPr>
          <w:rFonts w:ascii="Arial" w:hAnsi="Arial" w:cs="Arial"/>
          <w:sz w:val="20"/>
          <w:szCs w:val="20"/>
        </w:rPr>
        <w:t>se začenjajo tudi postopki osebnih stečajev (v letu 2015 je bilo podanih 107 predlogov upnikov, v letu 2016: 191, v letu 2017: 161, v letu 2018: 178, v letu 2019: 165, v letu 2020: 150, v letu 2021: 134, v letu 2022: 119, v letu 2023: 85, v letu 2024: 87).</w:t>
      </w:r>
      <w:r w:rsidRPr="00E1671E">
        <w:rPr>
          <w:rStyle w:val="Sprotnaopomba-sklic"/>
          <w:rFonts w:ascii="Arial" w:hAnsi="Arial" w:cs="Arial"/>
          <w:sz w:val="20"/>
          <w:szCs w:val="20"/>
        </w:rPr>
        <w:footnoteReference w:id="7"/>
      </w:r>
      <w:r>
        <w:rPr>
          <w:rFonts w:ascii="Arial" w:hAnsi="Arial" w:cs="Arial"/>
          <w:sz w:val="20"/>
          <w:szCs w:val="20"/>
        </w:rPr>
        <w:t xml:space="preserve"> </w:t>
      </w:r>
      <w:r w:rsidRPr="00E1671E">
        <w:rPr>
          <w:rFonts w:ascii="Arial" w:hAnsi="Arial" w:cs="Arial"/>
          <w:sz w:val="20"/>
          <w:szCs w:val="20"/>
        </w:rPr>
        <w:t xml:space="preserve">Poudariti </w:t>
      </w:r>
      <w:r>
        <w:rPr>
          <w:rFonts w:ascii="Arial" w:hAnsi="Arial" w:cs="Arial"/>
          <w:sz w:val="20"/>
          <w:szCs w:val="20"/>
        </w:rPr>
        <w:t>je treba</w:t>
      </w:r>
      <w:r w:rsidRPr="00E1671E">
        <w:rPr>
          <w:rFonts w:ascii="Arial" w:hAnsi="Arial" w:cs="Arial"/>
          <w:sz w:val="20"/>
          <w:szCs w:val="20"/>
        </w:rPr>
        <w:t>, da predlog</w:t>
      </w:r>
      <w:r>
        <w:rPr>
          <w:rFonts w:ascii="Arial" w:hAnsi="Arial" w:cs="Arial"/>
          <w:sz w:val="20"/>
          <w:szCs w:val="20"/>
        </w:rPr>
        <w:t>e</w:t>
      </w:r>
      <w:r w:rsidRPr="00E1671E">
        <w:rPr>
          <w:rFonts w:ascii="Arial" w:hAnsi="Arial" w:cs="Arial"/>
          <w:sz w:val="20"/>
          <w:szCs w:val="20"/>
        </w:rPr>
        <w:t xml:space="preserve"> za začetek stečajnega postopka na predlog upnika </w:t>
      </w:r>
      <w:r>
        <w:rPr>
          <w:rFonts w:ascii="Arial" w:hAnsi="Arial" w:cs="Arial"/>
          <w:sz w:val="20"/>
          <w:szCs w:val="20"/>
        </w:rPr>
        <w:t>večinoma</w:t>
      </w:r>
      <w:r w:rsidRPr="00E1671E">
        <w:rPr>
          <w:rFonts w:ascii="Arial" w:hAnsi="Arial" w:cs="Arial"/>
          <w:sz w:val="20"/>
          <w:szCs w:val="20"/>
        </w:rPr>
        <w:t xml:space="preserve"> poda </w:t>
      </w:r>
      <w:r>
        <w:rPr>
          <w:rFonts w:ascii="Arial" w:hAnsi="Arial" w:cs="Arial"/>
          <w:sz w:val="20"/>
          <w:szCs w:val="20"/>
        </w:rPr>
        <w:t>FU</w:t>
      </w:r>
      <w:r w:rsidRPr="00E1671E">
        <w:rPr>
          <w:rFonts w:ascii="Arial" w:hAnsi="Arial" w:cs="Arial"/>
          <w:sz w:val="20"/>
          <w:szCs w:val="20"/>
        </w:rPr>
        <w:t xml:space="preserve">RS. </w:t>
      </w:r>
      <w:r>
        <w:rPr>
          <w:rFonts w:ascii="Arial" w:hAnsi="Arial" w:cs="Arial"/>
          <w:sz w:val="20"/>
          <w:szCs w:val="20"/>
        </w:rPr>
        <w:t>Ta</w:t>
      </w:r>
      <w:r w:rsidRPr="00E1671E">
        <w:rPr>
          <w:rFonts w:ascii="Arial" w:hAnsi="Arial" w:cs="Arial"/>
          <w:sz w:val="20"/>
          <w:szCs w:val="20"/>
        </w:rPr>
        <w:t xml:space="preserve"> je namreč v letu 2015 podal skup</w:t>
      </w:r>
      <w:r>
        <w:rPr>
          <w:rFonts w:ascii="Arial" w:hAnsi="Arial" w:cs="Arial"/>
          <w:sz w:val="20"/>
          <w:szCs w:val="20"/>
        </w:rPr>
        <w:t>no</w:t>
      </w:r>
      <w:r w:rsidRPr="00E1671E">
        <w:rPr>
          <w:rFonts w:ascii="Arial" w:hAnsi="Arial" w:cs="Arial"/>
          <w:sz w:val="20"/>
          <w:szCs w:val="20"/>
        </w:rPr>
        <w:t xml:space="preserve"> 178 predlogov za stečaj, v letu 2016: 405, v letu 2017: 496, v letu 2018: 606, v letu 2019: 571, v letu 2020: 491, v letu 2021: 501, v letu 2022: 505, v letu 2023: 427</w:t>
      </w:r>
      <w:r>
        <w:rPr>
          <w:rFonts w:ascii="Arial" w:hAnsi="Arial" w:cs="Arial"/>
          <w:sz w:val="20"/>
          <w:szCs w:val="20"/>
        </w:rPr>
        <w:t>,</w:t>
      </w:r>
      <w:r w:rsidRPr="00E1671E">
        <w:rPr>
          <w:rFonts w:ascii="Arial" w:hAnsi="Arial" w:cs="Arial"/>
          <w:sz w:val="20"/>
          <w:szCs w:val="20"/>
        </w:rPr>
        <w:t xml:space="preserve"> </w:t>
      </w:r>
      <w:r>
        <w:rPr>
          <w:rFonts w:ascii="Arial" w:hAnsi="Arial" w:cs="Arial"/>
          <w:sz w:val="20"/>
          <w:szCs w:val="20"/>
        </w:rPr>
        <w:t>v</w:t>
      </w:r>
      <w:r w:rsidRPr="00E1671E">
        <w:rPr>
          <w:rFonts w:ascii="Arial" w:hAnsi="Arial" w:cs="Arial"/>
          <w:sz w:val="20"/>
          <w:szCs w:val="20"/>
        </w:rPr>
        <w:t xml:space="preserve"> letu 2024 </w:t>
      </w:r>
      <w:r>
        <w:rPr>
          <w:rFonts w:ascii="Arial" w:hAnsi="Arial" w:cs="Arial"/>
          <w:sz w:val="20"/>
          <w:szCs w:val="20"/>
        </w:rPr>
        <w:t xml:space="preserve">pa </w:t>
      </w:r>
      <w:r w:rsidRPr="00E1671E">
        <w:rPr>
          <w:rFonts w:ascii="Arial" w:hAnsi="Arial" w:cs="Arial"/>
          <w:sz w:val="20"/>
          <w:szCs w:val="20"/>
        </w:rPr>
        <w:t xml:space="preserve">je </w:t>
      </w:r>
      <w:r>
        <w:rPr>
          <w:rFonts w:ascii="Arial" w:hAnsi="Arial" w:cs="Arial"/>
          <w:sz w:val="20"/>
          <w:szCs w:val="20"/>
        </w:rPr>
        <w:t>FU</w:t>
      </w:r>
      <w:r w:rsidRPr="00E1671E">
        <w:rPr>
          <w:rFonts w:ascii="Arial" w:hAnsi="Arial" w:cs="Arial"/>
          <w:sz w:val="20"/>
          <w:szCs w:val="20"/>
        </w:rPr>
        <w:t>RS poda</w:t>
      </w:r>
      <w:r>
        <w:rPr>
          <w:rFonts w:ascii="Arial" w:hAnsi="Arial" w:cs="Arial"/>
          <w:sz w:val="20"/>
          <w:szCs w:val="20"/>
        </w:rPr>
        <w:t>l</w:t>
      </w:r>
      <w:r w:rsidRPr="00E1671E">
        <w:rPr>
          <w:rFonts w:ascii="Arial" w:hAnsi="Arial" w:cs="Arial"/>
          <w:sz w:val="20"/>
          <w:szCs w:val="20"/>
        </w:rPr>
        <w:t xml:space="preserve"> 547 predlogov za stečaj. </w:t>
      </w:r>
      <w:r>
        <w:rPr>
          <w:rFonts w:ascii="Arial" w:hAnsi="Arial" w:cs="Arial"/>
          <w:sz w:val="20"/>
          <w:szCs w:val="20"/>
        </w:rPr>
        <w:t>FU</w:t>
      </w:r>
      <w:r w:rsidRPr="00E1671E">
        <w:rPr>
          <w:rFonts w:ascii="Arial" w:hAnsi="Arial" w:cs="Arial"/>
          <w:sz w:val="20"/>
          <w:szCs w:val="20"/>
        </w:rPr>
        <w:t>RS je torej v letu 2018 vlož</w:t>
      </w:r>
      <w:r>
        <w:rPr>
          <w:rFonts w:ascii="Arial" w:hAnsi="Arial" w:cs="Arial"/>
          <w:sz w:val="20"/>
          <w:szCs w:val="20"/>
        </w:rPr>
        <w:t>il</w:t>
      </w:r>
      <w:r w:rsidRPr="00E1671E">
        <w:rPr>
          <w:rFonts w:ascii="Arial" w:hAnsi="Arial" w:cs="Arial"/>
          <w:sz w:val="20"/>
          <w:szCs w:val="20"/>
        </w:rPr>
        <w:t xml:space="preserve"> kar 92 </w:t>
      </w:r>
      <w:r w:rsidRPr="001B2C90">
        <w:rPr>
          <w:rFonts w:ascii="Arial" w:hAnsi="Arial" w:cs="Arial"/>
          <w:sz w:val="20"/>
          <w:szCs w:val="20"/>
        </w:rPr>
        <w:t>odstotk</w:t>
      </w:r>
      <w:r>
        <w:rPr>
          <w:rFonts w:ascii="Arial" w:hAnsi="Arial" w:cs="Arial"/>
          <w:sz w:val="20"/>
          <w:szCs w:val="20"/>
        </w:rPr>
        <w:t>ov</w:t>
      </w:r>
      <w:r w:rsidRPr="00E1671E">
        <w:rPr>
          <w:rFonts w:ascii="Arial" w:hAnsi="Arial" w:cs="Arial"/>
          <w:sz w:val="20"/>
          <w:szCs w:val="20"/>
        </w:rPr>
        <w:t xml:space="preserve"> vseh predlogov za začetek stečajnih postopkov, ki so </w:t>
      </w:r>
      <w:r>
        <w:rPr>
          <w:rFonts w:ascii="Arial" w:hAnsi="Arial" w:cs="Arial"/>
          <w:sz w:val="20"/>
          <w:szCs w:val="20"/>
        </w:rPr>
        <w:t xml:space="preserve">jih </w:t>
      </w:r>
      <w:r w:rsidRPr="00E1671E">
        <w:rPr>
          <w:rFonts w:ascii="Arial" w:hAnsi="Arial" w:cs="Arial"/>
          <w:sz w:val="20"/>
          <w:szCs w:val="20"/>
        </w:rPr>
        <w:t>predlaga</w:t>
      </w:r>
      <w:r>
        <w:rPr>
          <w:rFonts w:ascii="Arial" w:hAnsi="Arial" w:cs="Arial"/>
          <w:sz w:val="20"/>
          <w:szCs w:val="20"/>
        </w:rPr>
        <w:t>li</w:t>
      </w:r>
      <w:r w:rsidRPr="00E1671E">
        <w:rPr>
          <w:rFonts w:ascii="Arial" w:hAnsi="Arial" w:cs="Arial"/>
          <w:sz w:val="20"/>
          <w:szCs w:val="20"/>
        </w:rPr>
        <w:t xml:space="preserve"> upnik</w:t>
      </w:r>
      <w:r>
        <w:rPr>
          <w:rFonts w:ascii="Arial" w:hAnsi="Arial" w:cs="Arial"/>
          <w:sz w:val="20"/>
          <w:szCs w:val="20"/>
        </w:rPr>
        <w:t>i</w:t>
      </w:r>
      <w:r w:rsidRPr="00E1671E">
        <w:rPr>
          <w:rFonts w:ascii="Arial" w:hAnsi="Arial" w:cs="Arial"/>
          <w:sz w:val="20"/>
          <w:szCs w:val="20"/>
        </w:rPr>
        <w:t xml:space="preserve">, v letu 2019: 84 </w:t>
      </w:r>
      <w:r w:rsidRPr="001B2C90">
        <w:rPr>
          <w:rFonts w:ascii="Arial" w:hAnsi="Arial" w:cs="Arial"/>
          <w:sz w:val="20"/>
          <w:szCs w:val="20"/>
        </w:rPr>
        <w:t>odstotk</w:t>
      </w:r>
      <w:r>
        <w:rPr>
          <w:rFonts w:ascii="Arial" w:hAnsi="Arial" w:cs="Arial"/>
          <w:sz w:val="20"/>
          <w:szCs w:val="20"/>
        </w:rPr>
        <w:t>ov</w:t>
      </w:r>
      <w:r w:rsidRPr="00E1671E">
        <w:rPr>
          <w:rFonts w:ascii="Arial" w:hAnsi="Arial" w:cs="Arial"/>
          <w:sz w:val="20"/>
          <w:szCs w:val="20"/>
        </w:rPr>
        <w:t xml:space="preserve">, v letu 2020: 80 </w:t>
      </w:r>
      <w:r>
        <w:rPr>
          <w:rFonts w:ascii="Arial" w:hAnsi="Arial" w:cs="Arial"/>
          <w:bCs/>
          <w:sz w:val="20"/>
          <w:szCs w:val="20"/>
        </w:rPr>
        <w:t>odstotkov</w:t>
      </w:r>
      <w:r w:rsidRPr="00E1671E">
        <w:rPr>
          <w:rFonts w:ascii="Arial" w:hAnsi="Arial" w:cs="Arial"/>
          <w:sz w:val="20"/>
          <w:szCs w:val="20"/>
        </w:rPr>
        <w:t>, v letu 2021: 85</w:t>
      </w:r>
      <w:r w:rsidRPr="001B2C90">
        <w:rPr>
          <w:rFonts w:ascii="Arial" w:hAnsi="Arial" w:cs="Arial"/>
          <w:bCs/>
          <w:sz w:val="20"/>
          <w:szCs w:val="20"/>
        </w:rPr>
        <w:t xml:space="preserve"> </w:t>
      </w:r>
      <w:r>
        <w:rPr>
          <w:rFonts w:ascii="Arial" w:hAnsi="Arial" w:cs="Arial"/>
          <w:bCs/>
          <w:sz w:val="20"/>
          <w:szCs w:val="20"/>
        </w:rPr>
        <w:t>odstotkov</w:t>
      </w:r>
      <w:r w:rsidRPr="00E1671E">
        <w:rPr>
          <w:rFonts w:ascii="Arial" w:hAnsi="Arial" w:cs="Arial"/>
          <w:sz w:val="20"/>
          <w:szCs w:val="20"/>
        </w:rPr>
        <w:t xml:space="preserve">, v letu 2022: 91 </w:t>
      </w:r>
      <w:r w:rsidRPr="001B2C90">
        <w:rPr>
          <w:rFonts w:ascii="Arial" w:hAnsi="Arial" w:cs="Arial"/>
          <w:sz w:val="20"/>
          <w:szCs w:val="20"/>
        </w:rPr>
        <w:t>odstotk</w:t>
      </w:r>
      <w:r>
        <w:rPr>
          <w:rFonts w:ascii="Arial" w:hAnsi="Arial" w:cs="Arial"/>
          <w:sz w:val="20"/>
          <w:szCs w:val="20"/>
        </w:rPr>
        <w:t>ov</w:t>
      </w:r>
      <w:r w:rsidRPr="00E1671E">
        <w:rPr>
          <w:rFonts w:ascii="Arial" w:hAnsi="Arial" w:cs="Arial"/>
          <w:sz w:val="20"/>
          <w:szCs w:val="20"/>
        </w:rPr>
        <w:t xml:space="preserve">, v letu 2023: 90 </w:t>
      </w:r>
      <w:r>
        <w:rPr>
          <w:rFonts w:ascii="Arial" w:hAnsi="Arial" w:cs="Arial"/>
          <w:bCs/>
          <w:sz w:val="20"/>
          <w:szCs w:val="20"/>
        </w:rPr>
        <w:t>odstotkov ter v</w:t>
      </w:r>
      <w:r w:rsidRPr="00E1671E">
        <w:rPr>
          <w:rFonts w:ascii="Arial" w:hAnsi="Arial" w:cs="Arial"/>
          <w:sz w:val="20"/>
          <w:szCs w:val="20"/>
        </w:rPr>
        <w:t xml:space="preserve"> </w:t>
      </w:r>
      <w:r>
        <w:rPr>
          <w:rFonts w:ascii="Arial" w:hAnsi="Arial" w:cs="Arial"/>
          <w:sz w:val="20"/>
          <w:szCs w:val="20"/>
        </w:rPr>
        <w:t xml:space="preserve">prejšnjem </w:t>
      </w:r>
      <w:r w:rsidRPr="00E1671E">
        <w:rPr>
          <w:rFonts w:ascii="Arial" w:hAnsi="Arial" w:cs="Arial"/>
          <w:sz w:val="20"/>
          <w:szCs w:val="20"/>
        </w:rPr>
        <w:t xml:space="preserve">letu 93 </w:t>
      </w:r>
      <w:r>
        <w:rPr>
          <w:rFonts w:ascii="Arial" w:hAnsi="Arial" w:cs="Arial"/>
          <w:bCs/>
          <w:sz w:val="20"/>
          <w:szCs w:val="20"/>
        </w:rPr>
        <w:t>odstotkov</w:t>
      </w:r>
      <w:r w:rsidRPr="00E1671E">
        <w:rPr>
          <w:rFonts w:ascii="Arial" w:hAnsi="Arial" w:cs="Arial"/>
          <w:sz w:val="20"/>
          <w:szCs w:val="20"/>
        </w:rPr>
        <w:t xml:space="preserve"> vseh predlogov za začetek stečajnih postopkov, ki so </w:t>
      </w:r>
      <w:r>
        <w:rPr>
          <w:rFonts w:ascii="Arial" w:hAnsi="Arial" w:cs="Arial"/>
          <w:sz w:val="20"/>
          <w:szCs w:val="20"/>
        </w:rPr>
        <w:t xml:space="preserve">jih </w:t>
      </w:r>
      <w:r w:rsidRPr="00E1671E">
        <w:rPr>
          <w:rFonts w:ascii="Arial" w:hAnsi="Arial" w:cs="Arial"/>
          <w:sz w:val="20"/>
          <w:szCs w:val="20"/>
        </w:rPr>
        <w:t>predlaga</w:t>
      </w:r>
      <w:r>
        <w:rPr>
          <w:rFonts w:ascii="Arial" w:hAnsi="Arial" w:cs="Arial"/>
          <w:sz w:val="20"/>
          <w:szCs w:val="20"/>
        </w:rPr>
        <w:t>l</w:t>
      </w:r>
      <w:r w:rsidRPr="00E1671E">
        <w:rPr>
          <w:rFonts w:ascii="Arial" w:hAnsi="Arial" w:cs="Arial"/>
          <w:sz w:val="20"/>
          <w:szCs w:val="20"/>
        </w:rPr>
        <w:t>i upnik</w:t>
      </w:r>
      <w:r>
        <w:rPr>
          <w:rFonts w:ascii="Arial" w:hAnsi="Arial" w:cs="Arial"/>
          <w:sz w:val="20"/>
          <w:szCs w:val="20"/>
        </w:rPr>
        <w:t>i.</w:t>
      </w:r>
    </w:p>
    <w:p w14:paraId="0236439E" w14:textId="77777777" w:rsidR="00A155A2" w:rsidRPr="00E1671E" w:rsidRDefault="00A155A2" w:rsidP="00A155A2">
      <w:pPr>
        <w:pStyle w:val="Brezrazmikov"/>
        <w:spacing w:line="276" w:lineRule="auto"/>
        <w:jc w:val="both"/>
        <w:rPr>
          <w:rFonts w:ascii="Arial" w:hAnsi="Arial" w:cs="Arial"/>
          <w:sz w:val="20"/>
          <w:szCs w:val="20"/>
        </w:rPr>
      </w:pPr>
    </w:p>
    <w:p w14:paraId="76CCBDA4" w14:textId="77777777" w:rsidR="00A155A2" w:rsidRDefault="00A155A2" w:rsidP="00A155A2">
      <w:pPr>
        <w:pStyle w:val="Brezrazmikov"/>
        <w:spacing w:line="276" w:lineRule="auto"/>
        <w:jc w:val="both"/>
        <w:rPr>
          <w:rFonts w:ascii="Arial" w:hAnsi="Arial" w:cs="Arial"/>
          <w:sz w:val="20"/>
          <w:szCs w:val="20"/>
        </w:rPr>
      </w:pPr>
      <w:r>
        <w:rPr>
          <w:rFonts w:ascii="Arial" w:hAnsi="Arial" w:cs="Arial"/>
          <w:sz w:val="20"/>
          <w:szCs w:val="20"/>
        </w:rPr>
        <w:t>Prvega</w:t>
      </w:r>
      <w:r w:rsidRPr="00E1671E">
        <w:rPr>
          <w:rFonts w:ascii="Arial" w:hAnsi="Arial" w:cs="Arial"/>
          <w:sz w:val="20"/>
          <w:szCs w:val="20"/>
        </w:rPr>
        <w:t xml:space="preserve"> </w:t>
      </w:r>
      <w:r>
        <w:rPr>
          <w:rFonts w:ascii="Arial" w:hAnsi="Arial" w:cs="Arial"/>
          <w:sz w:val="20"/>
          <w:szCs w:val="20"/>
        </w:rPr>
        <w:t>novembra</w:t>
      </w:r>
      <w:r w:rsidRPr="00E1671E">
        <w:rPr>
          <w:rFonts w:ascii="Arial" w:hAnsi="Arial" w:cs="Arial"/>
          <w:sz w:val="20"/>
          <w:szCs w:val="20"/>
        </w:rPr>
        <w:t xml:space="preserve"> 2023 je </w:t>
      </w:r>
      <w:r>
        <w:rPr>
          <w:rFonts w:ascii="Arial" w:hAnsi="Arial" w:cs="Arial"/>
          <w:sz w:val="20"/>
          <w:szCs w:val="20"/>
        </w:rPr>
        <w:t>začel</w:t>
      </w:r>
      <w:r w:rsidRPr="00E1671E">
        <w:rPr>
          <w:rFonts w:ascii="Arial" w:hAnsi="Arial" w:cs="Arial"/>
          <w:sz w:val="20"/>
          <w:szCs w:val="20"/>
        </w:rPr>
        <w:t xml:space="preserve"> velja</w:t>
      </w:r>
      <w:r>
        <w:rPr>
          <w:rFonts w:ascii="Arial" w:hAnsi="Arial" w:cs="Arial"/>
          <w:sz w:val="20"/>
          <w:szCs w:val="20"/>
        </w:rPr>
        <w:t>ti</w:t>
      </w:r>
      <w:r w:rsidRPr="00E1671E">
        <w:rPr>
          <w:rFonts w:ascii="Arial" w:hAnsi="Arial" w:cs="Arial"/>
          <w:sz w:val="20"/>
          <w:szCs w:val="20"/>
        </w:rPr>
        <w:t xml:space="preserve"> Zakon o spremembah in dopolnitvah Zakona o finančnem poslovanju, postopkih zaradi insolventnosti in prisilnem prenehanju (v nadaljevanju: </w:t>
      </w:r>
      <w:r>
        <w:rPr>
          <w:rFonts w:ascii="Arial" w:hAnsi="Arial" w:cs="Arial"/>
          <w:sz w:val="20"/>
          <w:szCs w:val="20"/>
        </w:rPr>
        <w:t>spremembe</w:t>
      </w:r>
      <w:r w:rsidRPr="00E1671E">
        <w:rPr>
          <w:rFonts w:ascii="Arial" w:hAnsi="Arial" w:cs="Arial"/>
          <w:sz w:val="20"/>
          <w:szCs w:val="20"/>
        </w:rPr>
        <w:t xml:space="preserve"> ZFPPIPP-H</w:t>
      </w:r>
      <w:r>
        <w:rPr>
          <w:rStyle w:val="Sprotnaopomba-sklic"/>
          <w:rFonts w:ascii="Arial" w:hAnsi="Arial" w:cs="Arial"/>
          <w:sz w:val="20"/>
          <w:szCs w:val="20"/>
        </w:rPr>
        <w:footnoteReference w:id="8"/>
      </w:r>
      <w:r w:rsidRPr="00E1671E">
        <w:rPr>
          <w:rFonts w:ascii="Arial" w:hAnsi="Arial" w:cs="Arial"/>
          <w:sz w:val="20"/>
          <w:szCs w:val="20"/>
        </w:rPr>
        <w:t xml:space="preserve">), ki postopek poenostavljene prisilne poravnave ukinja oziroma ga nadomešča s posebnimi pravili postopka prisilne poravnave za malo gospodarstvo. </w:t>
      </w:r>
      <w:r>
        <w:rPr>
          <w:rFonts w:ascii="Arial" w:hAnsi="Arial" w:cs="Arial"/>
          <w:sz w:val="20"/>
          <w:szCs w:val="20"/>
        </w:rPr>
        <w:t>Spremembe</w:t>
      </w:r>
      <w:r w:rsidRPr="00E1671E">
        <w:rPr>
          <w:rFonts w:ascii="Arial" w:hAnsi="Arial" w:cs="Arial"/>
          <w:sz w:val="20"/>
          <w:szCs w:val="20"/>
        </w:rPr>
        <w:t xml:space="preserve"> ZFPPIPP-H opredeljuje</w:t>
      </w:r>
      <w:r>
        <w:rPr>
          <w:rFonts w:ascii="Arial" w:hAnsi="Arial" w:cs="Arial"/>
          <w:sz w:val="20"/>
          <w:szCs w:val="20"/>
        </w:rPr>
        <w:t>jo</w:t>
      </w:r>
      <w:r w:rsidRPr="00E1671E">
        <w:rPr>
          <w:rFonts w:ascii="Arial" w:hAnsi="Arial" w:cs="Arial"/>
          <w:sz w:val="20"/>
          <w:szCs w:val="20"/>
        </w:rPr>
        <w:t xml:space="preserve"> tudi nov</w:t>
      </w:r>
      <w:r>
        <w:rPr>
          <w:rFonts w:ascii="Arial" w:hAnsi="Arial" w:cs="Arial"/>
          <w:sz w:val="20"/>
          <w:szCs w:val="20"/>
        </w:rPr>
        <w:t>i</w:t>
      </w:r>
      <w:r w:rsidRPr="00E1671E">
        <w:rPr>
          <w:rFonts w:ascii="Arial" w:hAnsi="Arial" w:cs="Arial"/>
          <w:sz w:val="20"/>
          <w:szCs w:val="20"/>
        </w:rPr>
        <w:t xml:space="preserve"> postopek sodnega prestrukturiranja zaradi odprave grozeče insolventnosti, ki je </w:t>
      </w:r>
      <w:r>
        <w:rPr>
          <w:rFonts w:ascii="Arial" w:hAnsi="Arial" w:cs="Arial"/>
          <w:sz w:val="20"/>
          <w:szCs w:val="20"/>
        </w:rPr>
        <w:t>začel veljati</w:t>
      </w:r>
      <w:r w:rsidRPr="00E1671E">
        <w:rPr>
          <w:rFonts w:ascii="Arial" w:hAnsi="Arial" w:cs="Arial"/>
          <w:sz w:val="20"/>
          <w:szCs w:val="20"/>
        </w:rPr>
        <w:t xml:space="preserve"> s 1.</w:t>
      </w:r>
      <w:r>
        <w:rPr>
          <w:rFonts w:ascii="Arial" w:hAnsi="Arial" w:cs="Arial"/>
          <w:sz w:val="20"/>
          <w:szCs w:val="20"/>
        </w:rPr>
        <w:t xml:space="preserve"> januarjem</w:t>
      </w:r>
      <w:r w:rsidRPr="00E1671E">
        <w:rPr>
          <w:rFonts w:ascii="Arial" w:hAnsi="Arial" w:cs="Arial"/>
          <w:sz w:val="20"/>
          <w:szCs w:val="20"/>
        </w:rPr>
        <w:t xml:space="preserve"> 2025</w:t>
      </w:r>
      <w:r>
        <w:rPr>
          <w:rFonts w:ascii="Arial" w:hAnsi="Arial" w:cs="Arial"/>
          <w:sz w:val="20"/>
          <w:szCs w:val="20"/>
        </w:rPr>
        <w:t>. G</w:t>
      </w:r>
      <w:r w:rsidRPr="00E1671E">
        <w:rPr>
          <w:rFonts w:ascii="Arial" w:hAnsi="Arial" w:cs="Arial"/>
          <w:sz w:val="20"/>
          <w:szCs w:val="20"/>
        </w:rPr>
        <w:t xml:space="preserve">re za preventivni postopek, ko dolžnik še niti ni insolventen oziroma </w:t>
      </w:r>
      <w:r>
        <w:rPr>
          <w:rFonts w:ascii="Arial" w:hAnsi="Arial" w:cs="Arial"/>
          <w:sz w:val="20"/>
          <w:szCs w:val="20"/>
        </w:rPr>
        <w:t xml:space="preserve"> mu</w:t>
      </w:r>
      <w:r w:rsidRPr="00E1671E">
        <w:rPr>
          <w:rFonts w:ascii="Arial" w:hAnsi="Arial" w:cs="Arial"/>
          <w:sz w:val="20"/>
          <w:szCs w:val="20"/>
        </w:rPr>
        <w:t xml:space="preserve"> insolventnost šele grozi. F</w:t>
      </w:r>
      <w:r>
        <w:rPr>
          <w:rFonts w:ascii="Arial" w:hAnsi="Arial" w:cs="Arial"/>
          <w:sz w:val="20"/>
          <w:szCs w:val="20"/>
        </w:rPr>
        <w:t>U</w:t>
      </w:r>
      <w:r w:rsidRPr="00E1671E">
        <w:rPr>
          <w:rFonts w:ascii="Arial" w:hAnsi="Arial" w:cs="Arial"/>
          <w:sz w:val="20"/>
          <w:szCs w:val="20"/>
        </w:rPr>
        <w:t xml:space="preserve">RS je v letu 2023 začel </w:t>
      </w:r>
      <w:r>
        <w:rPr>
          <w:rFonts w:ascii="Arial" w:hAnsi="Arial" w:cs="Arial"/>
          <w:sz w:val="20"/>
          <w:szCs w:val="20"/>
        </w:rPr>
        <w:t>izvajati</w:t>
      </w:r>
      <w:r w:rsidRPr="00E1671E">
        <w:rPr>
          <w:rFonts w:ascii="Arial" w:hAnsi="Arial" w:cs="Arial"/>
          <w:sz w:val="20"/>
          <w:szCs w:val="20"/>
        </w:rPr>
        <w:t xml:space="preserve"> prilagoditv</w:t>
      </w:r>
      <w:r>
        <w:rPr>
          <w:rFonts w:ascii="Arial" w:hAnsi="Arial" w:cs="Arial"/>
          <w:sz w:val="20"/>
          <w:szCs w:val="20"/>
        </w:rPr>
        <w:t>e</w:t>
      </w:r>
      <w:r w:rsidRPr="00E1671E">
        <w:rPr>
          <w:rFonts w:ascii="Arial" w:hAnsi="Arial" w:cs="Arial"/>
          <w:sz w:val="20"/>
          <w:szCs w:val="20"/>
        </w:rPr>
        <w:t xml:space="preserve"> novostim, ki jih prinaša</w:t>
      </w:r>
      <w:r>
        <w:rPr>
          <w:rFonts w:ascii="Arial" w:hAnsi="Arial" w:cs="Arial"/>
          <w:sz w:val="20"/>
          <w:szCs w:val="20"/>
        </w:rPr>
        <w:t>jo</w:t>
      </w:r>
      <w:r w:rsidRPr="00E1671E">
        <w:rPr>
          <w:rFonts w:ascii="Arial" w:hAnsi="Arial" w:cs="Arial"/>
          <w:sz w:val="20"/>
          <w:szCs w:val="20"/>
        </w:rPr>
        <w:t xml:space="preserve"> </w:t>
      </w:r>
      <w:r>
        <w:rPr>
          <w:rFonts w:ascii="Arial" w:hAnsi="Arial" w:cs="Arial"/>
          <w:sz w:val="20"/>
          <w:szCs w:val="20"/>
        </w:rPr>
        <w:t>spremembe</w:t>
      </w:r>
      <w:r w:rsidRPr="00E1671E">
        <w:rPr>
          <w:rFonts w:ascii="Arial" w:hAnsi="Arial" w:cs="Arial"/>
          <w:sz w:val="20"/>
          <w:szCs w:val="20"/>
        </w:rPr>
        <w:t xml:space="preserve"> ZFPPIPP-H, predvsem </w:t>
      </w:r>
      <w:r>
        <w:rPr>
          <w:rFonts w:ascii="Arial" w:hAnsi="Arial" w:cs="Arial"/>
          <w:sz w:val="20"/>
          <w:szCs w:val="20"/>
        </w:rPr>
        <w:t>se je u</w:t>
      </w:r>
      <w:r w:rsidRPr="00E1671E">
        <w:rPr>
          <w:rFonts w:ascii="Arial" w:hAnsi="Arial" w:cs="Arial"/>
          <w:sz w:val="20"/>
          <w:szCs w:val="20"/>
        </w:rPr>
        <w:t>smeri</w:t>
      </w:r>
      <w:r>
        <w:rPr>
          <w:rFonts w:ascii="Arial" w:hAnsi="Arial" w:cs="Arial"/>
          <w:sz w:val="20"/>
          <w:szCs w:val="20"/>
        </w:rPr>
        <w:t>l</w:t>
      </w:r>
      <w:r w:rsidRPr="00E1671E">
        <w:rPr>
          <w:rFonts w:ascii="Arial" w:hAnsi="Arial" w:cs="Arial"/>
          <w:sz w:val="20"/>
          <w:szCs w:val="20"/>
        </w:rPr>
        <w:t xml:space="preserve"> </w:t>
      </w:r>
      <w:r>
        <w:rPr>
          <w:rFonts w:ascii="Arial" w:hAnsi="Arial" w:cs="Arial"/>
          <w:sz w:val="20"/>
          <w:szCs w:val="20"/>
        </w:rPr>
        <w:t xml:space="preserve">v </w:t>
      </w:r>
      <w:r w:rsidRPr="00E1671E">
        <w:rPr>
          <w:rFonts w:ascii="Arial" w:hAnsi="Arial" w:cs="Arial"/>
          <w:sz w:val="20"/>
          <w:szCs w:val="20"/>
        </w:rPr>
        <w:t>razv</w:t>
      </w:r>
      <w:r>
        <w:rPr>
          <w:rFonts w:ascii="Arial" w:hAnsi="Arial" w:cs="Arial"/>
          <w:sz w:val="20"/>
          <w:szCs w:val="20"/>
        </w:rPr>
        <w:t>o</w:t>
      </w:r>
      <w:r w:rsidRPr="00E1671E">
        <w:rPr>
          <w:rFonts w:ascii="Arial" w:hAnsi="Arial" w:cs="Arial"/>
          <w:sz w:val="20"/>
          <w:szCs w:val="20"/>
        </w:rPr>
        <w:t>j in uporab</w:t>
      </w:r>
      <w:r>
        <w:rPr>
          <w:rFonts w:ascii="Arial" w:hAnsi="Arial" w:cs="Arial"/>
          <w:sz w:val="20"/>
          <w:szCs w:val="20"/>
        </w:rPr>
        <w:t>o</w:t>
      </w:r>
      <w:r w:rsidRPr="00E1671E">
        <w:rPr>
          <w:rFonts w:ascii="Arial" w:hAnsi="Arial" w:cs="Arial"/>
          <w:sz w:val="20"/>
          <w:szCs w:val="20"/>
        </w:rPr>
        <w:t xml:space="preserve"> individualiziranih ter vsebinsko poglobljenih metod in ukrepov za povečanje učinkovitosti </w:t>
      </w:r>
      <w:r>
        <w:rPr>
          <w:rFonts w:ascii="Arial" w:hAnsi="Arial" w:cs="Arial"/>
          <w:sz w:val="20"/>
          <w:szCs w:val="20"/>
        </w:rPr>
        <w:t>s ciljem</w:t>
      </w:r>
      <w:r w:rsidRPr="00E1671E">
        <w:rPr>
          <w:rFonts w:ascii="Arial" w:hAnsi="Arial" w:cs="Arial"/>
          <w:sz w:val="20"/>
          <w:szCs w:val="20"/>
        </w:rPr>
        <w:t xml:space="preserve"> zaščite položaja F</w:t>
      </w:r>
      <w:r>
        <w:rPr>
          <w:rFonts w:ascii="Arial" w:hAnsi="Arial" w:cs="Arial"/>
          <w:sz w:val="20"/>
          <w:szCs w:val="20"/>
        </w:rPr>
        <w:t>U</w:t>
      </w:r>
      <w:r w:rsidRPr="00E1671E">
        <w:rPr>
          <w:rFonts w:ascii="Arial" w:hAnsi="Arial" w:cs="Arial"/>
          <w:sz w:val="20"/>
          <w:szCs w:val="20"/>
        </w:rPr>
        <w:t>RS kot upnika.</w:t>
      </w:r>
    </w:p>
    <w:p w14:paraId="27943418" w14:textId="77777777" w:rsidR="00A155A2" w:rsidRDefault="00A155A2" w:rsidP="00A155A2">
      <w:pPr>
        <w:pStyle w:val="Brezrazmikov"/>
        <w:spacing w:line="276" w:lineRule="auto"/>
        <w:jc w:val="both"/>
        <w:rPr>
          <w:rFonts w:ascii="Arial" w:hAnsi="Arial" w:cs="Arial"/>
          <w:sz w:val="20"/>
          <w:szCs w:val="20"/>
        </w:rPr>
      </w:pPr>
    </w:p>
    <w:p w14:paraId="7B9F3C54" w14:textId="77777777" w:rsidR="00A155A2" w:rsidRPr="00721DA2" w:rsidRDefault="00A155A2" w:rsidP="00A155A2">
      <w:pPr>
        <w:jc w:val="both"/>
        <w:rPr>
          <w:rFonts w:ascii="Arial" w:hAnsi="Arial" w:cs="Arial"/>
          <w:color w:val="156082" w:themeColor="accent1"/>
          <w:sz w:val="20"/>
          <w:szCs w:val="20"/>
        </w:rPr>
      </w:pPr>
      <w:r w:rsidRPr="00721DA2">
        <w:rPr>
          <w:rFonts w:ascii="Arial" w:hAnsi="Arial" w:cs="Arial"/>
          <w:sz w:val="20"/>
          <w:szCs w:val="20"/>
        </w:rPr>
        <w:t xml:space="preserve">Na podlagi ZFPPIPP-H </w:t>
      </w:r>
      <w:r>
        <w:rPr>
          <w:rFonts w:ascii="Arial" w:hAnsi="Arial" w:cs="Arial"/>
          <w:sz w:val="20"/>
          <w:szCs w:val="20"/>
        </w:rPr>
        <w:t xml:space="preserve">se </w:t>
      </w:r>
      <w:r w:rsidRPr="00721DA2">
        <w:rPr>
          <w:rFonts w:ascii="Arial" w:hAnsi="Arial" w:cs="Arial"/>
          <w:sz w:val="20"/>
          <w:szCs w:val="20"/>
        </w:rPr>
        <w:t xml:space="preserve">je FURS </w:t>
      </w:r>
      <w:r>
        <w:rPr>
          <w:rFonts w:ascii="Arial" w:hAnsi="Arial" w:cs="Arial"/>
          <w:sz w:val="20"/>
          <w:szCs w:val="20"/>
        </w:rPr>
        <w:t>dejavno lotil priprave</w:t>
      </w:r>
      <w:r w:rsidRPr="00721DA2">
        <w:rPr>
          <w:rFonts w:ascii="Arial" w:hAnsi="Arial" w:cs="Arial"/>
          <w:sz w:val="20"/>
          <w:szCs w:val="20"/>
        </w:rPr>
        <w:t xml:space="preserve"> predlogov za sankcioniranje poslovodstva insolventne pravne osebe. Pravn</w:t>
      </w:r>
      <w:r>
        <w:rPr>
          <w:rFonts w:ascii="Arial" w:hAnsi="Arial" w:cs="Arial"/>
          <w:sz w:val="20"/>
          <w:szCs w:val="20"/>
        </w:rPr>
        <w:t>a</w:t>
      </w:r>
      <w:r w:rsidRPr="00721DA2">
        <w:rPr>
          <w:rFonts w:ascii="Arial" w:hAnsi="Arial" w:cs="Arial"/>
          <w:sz w:val="20"/>
          <w:szCs w:val="20"/>
        </w:rPr>
        <w:t xml:space="preserve"> podlag</w:t>
      </w:r>
      <w:r>
        <w:rPr>
          <w:rFonts w:ascii="Arial" w:hAnsi="Arial" w:cs="Arial"/>
          <w:sz w:val="20"/>
          <w:szCs w:val="20"/>
        </w:rPr>
        <w:t>a</w:t>
      </w:r>
      <w:r w:rsidRPr="00721DA2">
        <w:rPr>
          <w:rFonts w:ascii="Arial" w:hAnsi="Arial" w:cs="Arial"/>
          <w:sz w:val="20"/>
          <w:szCs w:val="20"/>
        </w:rPr>
        <w:t xml:space="preserve"> </w:t>
      </w:r>
      <w:r>
        <w:rPr>
          <w:rFonts w:ascii="Arial" w:hAnsi="Arial" w:cs="Arial"/>
          <w:sz w:val="20"/>
          <w:szCs w:val="20"/>
        </w:rPr>
        <w:t>je</w:t>
      </w:r>
      <w:r w:rsidRPr="00721DA2">
        <w:rPr>
          <w:rFonts w:ascii="Arial" w:hAnsi="Arial" w:cs="Arial"/>
          <w:sz w:val="20"/>
          <w:szCs w:val="20"/>
        </w:rPr>
        <w:t xml:space="preserve"> določba 489.a člena navedenega zakona, ki določa, da se z globo od 2.000 do 10.000 EUR za prekršek kaznuje oseba, ki je v obdobju, ko je pravna oseba </w:t>
      </w:r>
      <w:r w:rsidRPr="00721DA2">
        <w:rPr>
          <w:rFonts w:ascii="Arial" w:hAnsi="Arial" w:cs="Arial"/>
          <w:sz w:val="20"/>
          <w:szCs w:val="20"/>
        </w:rPr>
        <w:lastRenderedPageBreak/>
        <w:t xml:space="preserve">postala insolventna, opravljala funkcijo člana poslovodstva in ni pravočasno vložila predloga za začetek postopka zaradi insolventnosti. FURS je v letu 2024 na </w:t>
      </w:r>
      <w:r w:rsidRPr="00573121">
        <w:rPr>
          <w:rFonts w:ascii="Arial" w:hAnsi="Arial" w:cs="Arial"/>
          <w:sz w:val="20"/>
          <w:szCs w:val="20"/>
        </w:rPr>
        <w:t>m</w:t>
      </w:r>
      <w:r w:rsidRPr="00721DA2">
        <w:rPr>
          <w:rFonts w:ascii="Arial" w:hAnsi="Arial" w:cs="Arial"/>
          <w:sz w:val="20"/>
          <w:szCs w:val="20"/>
        </w:rPr>
        <w:t xml:space="preserve">inistrstvo za pravosodje, ki je pristojni organ za izrek tega prekrška, poslal 96 predlogov. Namen te določbe je, da bi poslovodstva družb pravočasno vložila predlog za začetek </w:t>
      </w:r>
      <w:proofErr w:type="spellStart"/>
      <w:r w:rsidRPr="00721DA2">
        <w:rPr>
          <w:rFonts w:ascii="Arial" w:hAnsi="Arial" w:cs="Arial"/>
          <w:sz w:val="20"/>
          <w:szCs w:val="20"/>
        </w:rPr>
        <w:t>insolvenčnega</w:t>
      </w:r>
      <w:proofErr w:type="spellEnd"/>
      <w:r w:rsidRPr="00721DA2">
        <w:rPr>
          <w:rFonts w:ascii="Arial" w:hAnsi="Arial" w:cs="Arial"/>
          <w:sz w:val="20"/>
          <w:szCs w:val="20"/>
        </w:rPr>
        <w:t xml:space="preserve"> postopka </w:t>
      </w:r>
      <w:r>
        <w:rPr>
          <w:rFonts w:ascii="Arial" w:hAnsi="Arial" w:cs="Arial"/>
          <w:sz w:val="20"/>
          <w:szCs w:val="20"/>
        </w:rPr>
        <w:t>ter</w:t>
      </w:r>
      <w:r w:rsidRPr="00721DA2">
        <w:rPr>
          <w:rFonts w:ascii="Arial" w:hAnsi="Arial" w:cs="Arial"/>
          <w:sz w:val="20"/>
          <w:szCs w:val="20"/>
        </w:rPr>
        <w:t xml:space="preserve"> s tem izboljšala možnosti za plačilo upnikov </w:t>
      </w:r>
      <w:r>
        <w:rPr>
          <w:rFonts w:ascii="Arial" w:hAnsi="Arial" w:cs="Arial"/>
          <w:sz w:val="20"/>
          <w:szCs w:val="20"/>
        </w:rPr>
        <w:t>in</w:t>
      </w:r>
      <w:r w:rsidRPr="00721DA2">
        <w:rPr>
          <w:rFonts w:ascii="Arial" w:hAnsi="Arial" w:cs="Arial"/>
          <w:sz w:val="20"/>
          <w:szCs w:val="20"/>
        </w:rPr>
        <w:t xml:space="preserve"> ohranitev zdravega jedra podjetja.</w:t>
      </w:r>
      <w:r w:rsidRPr="00721DA2">
        <w:rPr>
          <w:rFonts w:ascii="Arial" w:hAnsi="Arial" w:cs="Arial"/>
          <w:color w:val="156082" w:themeColor="accent1"/>
          <w:sz w:val="20"/>
          <w:szCs w:val="20"/>
        </w:rPr>
        <w:t xml:space="preserve"> </w:t>
      </w:r>
    </w:p>
    <w:p w14:paraId="26DA6AE3" w14:textId="77777777" w:rsidR="00A155A2" w:rsidRPr="00E1671E" w:rsidRDefault="00A155A2" w:rsidP="00A155A2">
      <w:pPr>
        <w:pStyle w:val="Brezrazmikov"/>
        <w:spacing w:line="276" w:lineRule="auto"/>
        <w:jc w:val="both"/>
        <w:rPr>
          <w:rFonts w:ascii="Arial" w:hAnsi="Arial" w:cs="Arial"/>
          <w:sz w:val="20"/>
          <w:szCs w:val="20"/>
        </w:rPr>
      </w:pPr>
      <w:r>
        <w:rPr>
          <w:rFonts w:ascii="Arial" w:hAnsi="Arial" w:cs="Arial"/>
          <w:sz w:val="20"/>
          <w:szCs w:val="20"/>
        </w:rPr>
        <w:t>Ob</w:t>
      </w:r>
      <w:r w:rsidRPr="009C000B">
        <w:rPr>
          <w:rFonts w:ascii="Arial" w:hAnsi="Arial" w:cs="Arial"/>
          <w:sz w:val="20"/>
          <w:szCs w:val="20"/>
        </w:rPr>
        <w:t xml:space="preserve"> smrti</w:t>
      </w:r>
      <w:r w:rsidRPr="00E1671E">
        <w:rPr>
          <w:rFonts w:ascii="Arial" w:hAnsi="Arial" w:cs="Arial"/>
          <w:sz w:val="20"/>
          <w:szCs w:val="20"/>
        </w:rPr>
        <w:t xml:space="preserve"> davčnega zavezanca se odpišejo denarne kazni, globe in stroški postopka o prekršku ter davčni dolg, </w:t>
      </w:r>
      <w:r>
        <w:rPr>
          <w:rFonts w:ascii="Arial" w:hAnsi="Arial" w:cs="Arial"/>
          <w:sz w:val="20"/>
          <w:szCs w:val="20"/>
        </w:rPr>
        <w:t>če</w:t>
      </w:r>
      <w:r w:rsidRPr="00E1671E">
        <w:rPr>
          <w:rFonts w:ascii="Arial" w:hAnsi="Arial" w:cs="Arial"/>
          <w:sz w:val="20"/>
          <w:szCs w:val="20"/>
        </w:rPr>
        <w:t xml:space="preserve"> na dan smrti ne presega 80 </w:t>
      </w:r>
      <w:r>
        <w:rPr>
          <w:rFonts w:ascii="Arial" w:hAnsi="Arial" w:cs="Arial"/>
          <w:sz w:val="20"/>
          <w:szCs w:val="20"/>
        </w:rPr>
        <w:t>EUR</w:t>
      </w:r>
      <w:r w:rsidRPr="00E1671E">
        <w:rPr>
          <w:rFonts w:ascii="Arial" w:hAnsi="Arial" w:cs="Arial"/>
          <w:sz w:val="20"/>
          <w:szCs w:val="20"/>
        </w:rPr>
        <w:t xml:space="preserve">. Če davčni dolg presega </w:t>
      </w:r>
      <w:r>
        <w:rPr>
          <w:rFonts w:ascii="Arial" w:hAnsi="Arial" w:cs="Arial"/>
          <w:sz w:val="20"/>
          <w:szCs w:val="20"/>
        </w:rPr>
        <w:t xml:space="preserve">navedeni </w:t>
      </w:r>
      <w:r w:rsidRPr="00E1671E">
        <w:rPr>
          <w:rFonts w:ascii="Arial" w:hAnsi="Arial" w:cs="Arial"/>
          <w:sz w:val="20"/>
          <w:szCs w:val="20"/>
        </w:rPr>
        <w:t xml:space="preserve">znesek, </w:t>
      </w:r>
      <w:r>
        <w:rPr>
          <w:rFonts w:ascii="Arial" w:hAnsi="Arial" w:cs="Arial"/>
          <w:sz w:val="20"/>
          <w:szCs w:val="20"/>
        </w:rPr>
        <w:t>FU</w:t>
      </w:r>
      <w:r w:rsidRPr="00E1671E">
        <w:rPr>
          <w:rFonts w:ascii="Arial" w:hAnsi="Arial" w:cs="Arial"/>
          <w:sz w:val="20"/>
          <w:szCs w:val="20"/>
        </w:rPr>
        <w:t xml:space="preserve">RS terjatve prijavi v zapuščinski postopek z namenom seznanitve dedičev z zapustnikovimi dolgovi. Za prijavo terjatev v zapuščinski postopek je bilo v letu 2024 izdanih 1.388 seznamov izvršilnih naslovov. Dediči odgovarjajo za vse zapustnikove dolgove </w:t>
      </w:r>
      <w:r w:rsidRPr="009C000B">
        <w:rPr>
          <w:rFonts w:ascii="Arial" w:hAnsi="Arial" w:cs="Arial"/>
          <w:sz w:val="20"/>
          <w:szCs w:val="20"/>
        </w:rPr>
        <w:t>do skupne vrednosti</w:t>
      </w:r>
      <w:r w:rsidRPr="00E1671E">
        <w:rPr>
          <w:rFonts w:ascii="Arial" w:hAnsi="Arial" w:cs="Arial"/>
          <w:sz w:val="20"/>
          <w:szCs w:val="20"/>
        </w:rPr>
        <w:t xml:space="preserve"> podedovanega premoženja. Če dediči davčnega dolga ne plačajo, se ob upoštevanju vsebine sklepa o dedovanju in določb Zakona o dedovanju davčni dolg zapustnika prenese na dediče</w:t>
      </w:r>
      <w:r w:rsidRPr="00C27701">
        <w:rPr>
          <w:rFonts w:ascii="Arial" w:hAnsi="Arial" w:cs="Arial"/>
          <w:sz w:val="20"/>
          <w:szCs w:val="20"/>
        </w:rPr>
        <w:t xml:space="preserve"> </w:t>
      </w:r>
      <w:r>
        <w:rPr>
          <w:rFonts w:ascii="Arial" w:hAnsi="Arial" w:cs="Arial"/>
          <w:sz w:val="20"/>
          <w:szCs w:val="20"/>
        </w:rPr>
        <w:t>ter</w:t>
      </w:r>
      <w:r w:rsidRPr="00C27701">
        <w:rPr>
          <w:rFonts w:ascii="Arial" w:hAnsi="Arial" w:cs="Arial"/>
          <w:sz w:val="20"/>
          <w:szCs w:val="20"/>
        </w:rPr>
        <w:t xml:space="preserve"> po izdaji opomina izterja v postopku davčne izvršbe.</w:t>
      </w:r>
      <w:r w:rsidRPr="00E1671E">
        <w:rPr>
          <w:rFonts w:ascii="Arial" w:hAnsi="Arial" w:cs="Arial"/>
          <w:sz w:val="20"/>
          <w:szCs w:val="20"/>
        </w:rPr>
        <w:t xml:space="preserve"> V letu 2024 </w:t>
      </w:r>
      <w:r>
        <w:rPr>
          <w:rFonts w:ascii="Arial" w:hAnsi="Arial" w:cs="Arial"/>
          <w:sz w:val="20"/>
          <w:szCs w:val="20"/>
        </w:rPr>
        <w:t>so</w:t>
      </w:r>
      <w:r w:rsidRPr="00E1671E">
        <w:rPr>
          <w:rFonts w:ascii="Arial" w:hAnsi="Arial" w:cs="Arial"/>
          <w:sz w:val="20"/>
          <w:szCs w:val="20"/>
        </w:rPr>
        <w:t xml:space="preserve"> bil</w:t>
      </w:r>
      <w:r>
        <w:rPr>
          <w:rFonts w:ascii="Arial" w:hAnsi="Arial" w:cs="Arial"/>
          <w:sz w:val="20"/>
          <w:szCs w:val="20"/>
        </w:rPr>
        <w:t>i</w:t>
      </w:r>
      <w:r w:rsidRPr="00E1671E">
        <w:rPr>
          <w:rFonts w:ascii="Arial" w:hAnsi="Arial" w:cs="Arial"/>
          <w:sz w:val="20"/>
          <w:szCs w:val="20"/>
        </w:rPr>
        <w:t xml:space="preserve"> izvedeni 304 prenos</w:t>
      </w:r>
      <w:r>
        <w:rPr>
          <w:rFonts w:ascii="Arial" w:hAnsi="Arial" w:cs="Arial"/>
          <w:sz w:val="20"/>
          <w:szCs w:val="20"/>
        </w:rPr>
        <w:t>i</w:t>
      </w:r>
      <w:r w:rsidRPr="00E1671E">
        <w:rPr>
          <w:rFonts w:ascii="Arial" w:hAnsi="Arial" w:cs="Arial"/>
          <w:sz w:val="20"/>
          <w:szCs w:val="20"/>
        </w:rPr>
        <w:t xml:space="preserve"> davčnega dolga na dediče. V primerjavi z letom 2023 </w:t>
      </w:r>
      <w:r>
        <w:rPr>
          <w:rFonts w:ascii="Arial" w:hAnsi="Arial" w:cs="Arial"/>
          <w:sz w:val="20"/>
          <w:szCs w:val="20"/>
        </w:rPr>
        <w:t>se je</w:t>
      </w:r>
      <w:r w:rsidRPr="00E1671E">
        <w:rPr>
          <w:rFonts w:ascii="Arial" w:hAnsi="Arial" w:cs="Arial"/>
          <w:sz w:val="20"/>
          <w:szCs w:val="20"/>
        </w:rPr>
        <w:t xml:space="preserve"> števil</w:t>
      </w:r>
      <w:r>
        <w:rPr>
          <w:rFonts w:ascii="Arial" w:hAnsi="Arial" w:cs="Arial"/>
          <w:sz w:val="20"/>
          <w:szCs w:val="20"/>
        </w:rPr>
        <w:t>o</w:t>
      </w:r>
      <w:r w:rsidRPr="00E1671E">
        <w:rPr>
          <w:rFonts w:ascii="Arial" w:hAnsi="Arial" w:cs="Arial"/>
          <w:sz w:val="20"/>
          <w:szCs w:val="20"/>
        </w:rPr>
        <w:t xml:space="preserve"> izdanih seznamov izvršilnih naslovov</w:t>
      </w:r>
      <w:r>
        <w:rPr>
          <w:rFonts w:ascii="Arial" w:hAnsi="Arial" w:cs="Arial"/>
          <w:sz w:val="20"/>
          <w:szCs w:val="20"/>
        </w:rPr>
        <w:t xml:space="preserve"> na dediče</w:t>
      </w:r>
      <w:r w:rsidRPr="00E1671E">
        <w:rPr>
          <w:rFonts w:ascii="Arial" w:hAnsi="Arial" w:cs="Arial"/>
          <w:sz w:val="20"/>
          <w:szCs w:val="20"/>
        </w:rPr>
        <w:t xml:space="preserve"> </w:t>
      </w:r>
      <w:r>
        <w:rPr>
          <w:rFonts w:ascii="Arial" w:hAnsi="Arial" w:cs="Arial"/>
          <w:sz w:val="20"/>
          <w:szCs w:val="20"/>
        </w:rPr>
        <w:t xml:space="preserve">povečalo za </w:t>
      </w:r>
      <w:r w:rsidRPr="00E1671E">
        <w:rPr>
          <w:rFonts w:ascii="Arial" w:hAnsi="Arial" w:cs="Arial"/>
          <w:sz w:val="20"/>
          <w:szCs w:val="20"/>
        </w:rPr>
        <w:t xml:space="preserve">18,9 </w:t>
      </w:r>
      <w:r w:rsidRPr="001B2C90">
        <w:rPr>
          <w:rFonts w:ascii="Arial" w:hAnsi="Arial" w:cs="Arial"/>
          <w:sz w:val="20"/>
          <w:szCs w:val="20"/>
        </w:rPr>
        <w:t xml:space="preserve">odstotka </w:t>
      </w:r>
      <w:r w:rsidRPr="00E1671E">
        <w:rPr>
          <w:rFonts w:ascii="Arial" w:hAnsi="Arial" w:cs="Arial"/>
          <w:sz w:val="20"/>
          <w:szCs w:val="20"/>
        </w:rPr>
        <w:t xml:space="preserve">(v letu 2023 je bilo izdanih 1.168 seznamov izvršilnih naslovov, v letu 2024 pa 1.388). </w:t>
      </w:r>
      <w:r>
        <w:rPr>
          <w:rFonts w:ascii="Arial" w:hAnsi="Arial" w:cs="Arial"/>
          <w:sz w:val="20"/>
          <w:szCs w:val="20"/>
        </w:rPr>
        <w:t>Hkrati se je</w:t>
      </w:r>
      <w:r w:rsidRPr="00E1671E">
        <w:rPr>
          <w:rFonts w:ascii="Arial" w:hAnsi="Arial" w:cs="Arial"/>
          <w:sz w:val="20"/>
          <w:szCs w:val="20"/>
        </w:rPr>
        <w:t xml:space="preserve"> </w:t>
      </w:r>
      <w:r>
        <w:rPr>
          <w:rFonts w:ascii="Arial" w:hAnsi="Arial" w:cs="Arial"/>
          <w:sz w:val="20"/>
          <w:szCs w:val="20"/>
        </w:rPr>
        <w:t xml:space="preserve">število </w:t>
      </w:r>
      <w:r w:rsidRPr="00E1671E">
        <w:rPr>
          <w:rFonts w:ascii="Arial" w:hAnsi="Arial" w:cs="Arial"/>
          <w:sz w:val="20"/>
          <w:szCs w:val="20"/>
        </w:rPr>
        <w:t xml:space="preserve">izvršenih prenosov na dediče </w:t>
      </w:r>
      <w:r>
        <w:rPr>
          <w:rFonts w:ascii="Arial" w:hAnsi="Arial" w:cs="Arial"/>
          <w:sz w:val="20"/>
          <w:szCs w:val="20"/>
        </w:rPr>
        <w:t>le rahlo</w:t>
      </w:r>
      <w:r w:rsidRPr="00E1671E">
        <w:rPr>
          <w:rFonts w:ascii="Arial" w:hAnsi="Arial" w:cs="Arial"/>
          <w:sz w:val="20"/>
          <w:szCs w:val="20"/>
        </w:rPr>
        <w:t xml:space="preserve"> po</w:t>
      </w:r>
      <w:r>
        <w:rPr>
          <w:rFonts w:ascii="Arial" w:hAnsi="Arial" w:cs="Arial"/>
          <w:sz w:val="20"/>
          <w:szCs w:val="20"/>
        </w:rPr>
        <w:t xml:space="preserve">večalo, in sicer </w:t>
      </w:r>
      <w:r w:rsidRPr="00E1671E">
        <w:rPr>
          <w:rFonts w:ascii="Arial" w:hAnsi="Arial" w:cs="Arial"/>
          <w:sz w:val="20"/>
          <w:szCs w:val="20"/>
        </w:rPr>
        <w:t>za 0,4</w:t>
      </w:r>
      <w:r>
        <w:rPr>
          <w:rFonts w:ascii="Arial" w:hAnsi="Arial" w:cs="Arial"/>
          <w:sz w:val="20"/>
          <w:szCs w:val="20"/>
        </w:rPr>
        <w:t xml:space="preserve"> </w:t>
      </w:r>
      <w:r w:rsidRPr="001B2C90">
        <w:rPr>
          <w:rFonts w:ascii="Arial" w:hAnsi="Arial" w:cs="Arial"/>
          <w:sz w:val="20"/>
          <w:szCs w:val="20"/>
        </w:rPr>
        <w:t>odstotka</w:t>
      </w:r>
      <w:r w:rsidRPr="00E1671E">
        <w:rPr>
          <w:rFonts w:ascii="Arial" w:hAnsi="Arial" w:cs="Arial"/>
          <w:sz w:val="20"/>
          <w:szCs w:val="20"/>
        </w:rPr>
        <w:t xml:space="preserve"> (v letu 2023 so bili izvedeni 303 prenosi, v letu 2024 pa 304).</w:t>
      </w:r>
    </w:p>
    <w:p w14:paraId="2443506C" w14:textId="77777777" w:rsidR="00A155A2" w:rsidRPr="00407E1D" w:rsidRDefault="00A155A2" w:rsidP="00A155A2">
      <w:pPr>
        <w:pStyle w:val="Brezrazmikov"/>
        <w:spacing w:line="276" w:lineRule="auto"/>
        <w:jc w:val="both"/>
        <w:rPr>
          <w:rFonts w:ascii="Arial" w:hAnsi="Arial" w:cs="Arial"/>
          <w:color w:val="FF0000"/>
          <w:sz w:val="20"/>
          <w:szCs w:val="20"/>
        </w:rPr>
      </w:pPr>
    </w:p>
    <w:p w14:paraId="4570FD6D" w14:textId="77777777" w:rsidR="00A155A2" w:rsidRPr="00407E1D" w:rsidRDefault="00A155A2" w:rsidP="00A155A2">
      <w:pPr>
        <w:pStyle w:val="Brezrazmikov"/>
        <w:spacing w:line="276" w:lineRule="auto"/>
        <w:jc w:val="both"/>
        <w:rPr>
          <w:rFonts w:ascii="Arial" w:eastAsia="Times New Roman" w:hAnsi="Arial" w:cs="Arial"/>
          <w:iCs/>
          <w:sz w:val="20"/>
          <w:szCs w:val="20"/>
        </w:rPr>
      </w:pPr>
      <w:r w:rsidRPr="00470BE3">
        <w:rPr>
          <w:rFonts w:ascii="Arial" w:hAnsi="Arial" w:cs="Arial"/>
          <w:sz w:val="20"/>
          <w:szCs w:val="20"/>
        </w:rPr>
        <w:t>Podobno k</w:t>
      </w:r>
      <w:r>
        <w:rPr>
          <w:rFonts w:ascii="Arial" w:hAnsi="Arial" w:cs="Arial"/>
          <w:sz w:val="20"/>
          <w:szCs w:val="20"/>
        </w:rPr>
        <w:t>ak</w:t>
      </w:r>
      <w:r w:rsidRPr="00470BE3">
        <w:rPr>
          <w:rFonts w:ascii="Arial" w:hAnsi="Arial" w:cs="Arial"/>
          <w:sz w:val="20"/>
          <w:szCs w:val="20"/>
        </w:rPr>
        <w:t>o</w:t>
      </w:r>
      <w:r>
        <w:rPr>
          <w:rFonts w:ascii="Arial" w:hAnsi="Arial" w:cs="Arial"/>
          <w:sz w:val="20"/>
          <w:szCs w:val="20"/>
        </w:rPr>
        <w:t>r</w:t>
      </w:r>
      <w:r w:rsidRPr="00470BE3">
        <w:rPr>
          <w:rFonts w:ascii="Arial" w:hAnsi="Arial" w:cs="Arial"/>
          <w:sz w:val="20"/>
          <w:szCs w:val="20"/>
        </w:rPr>
        <w:t xml:space="preserve"> je za vodenje in odločanje v postopkih zaradi insolventnosti pristojno sodišče, velja tudi pri zavarovanj</w:t>
      </w:r>
      <w:r>
        <w:rPr>
          <w:rFonts w:ascii="Arial" w:hAnsi="Arial" w:cs="Arial"/>
          <w:sz w:val="20"/>
          <w:szCs w:val="20"/>
        </w:rPr>
        <w:t>u</w:t>
      </w:r>
      <w:r w:rsidRPr="00470BE3">
        <w:rPr>
          <w:rFonts w:ascii="Arial" w:hAnsi="Arial" w:cs="Arial"/>
          <w:sz w:val="20"/>
          <w:szCs w:val="20"/>
        </w:rPr>
        <w:t xml:space="preserve"> davčnega dolga z zastavno pravico na nepremičninah. Postopek prodaje nepremičnine in poplačilo upnikov vodi izvršilno sodišče, zato davčni organ </w:t>
      </w:r>
      <w:r w:rsidRPr="00470BE3">
        <w:rPr>
          <w:rFonts w:ascii="Arial" w:eastAsia="Times New Roman" w:hAnsi="Arial" w:cs="Arial"/>
          <w:iCs/>
          <w:sz w:val="20"/>
          <w:szCs w:val="20"/>
        </w:rPr>
        <w:t xml:space="preserve">po </w:t>
      </w:r>
      <w:r>
        <w:rPr>
          <w:rFonts w:ascii="Arial" w:eastAsia="Times New Roman" w:hAnsi="Arial" w:cs="Arial"/>
          <w:iCs/>
          <w:sz w:val="20"/>
          <w:szCs w:val="20"/>
        </w:rPr>
        <w:t>vlože</w:t>
      </w:r>
      <w:r w:rsidRPr="00470BE3">
        <w:rPr>
          <w:rFonts w:ascii="Arial" w:eastAsia="Times New Roman" w:hAnsi="Arial" w:cs="Arial"/>
          <w:iCs/>
          <w:sz w:val="20"/>
          <w:szCs w:val="20"/>
        </w:rPr>
        <w:t xml:space="preserve">nih predlogih </w:t>
      </w:r>
      <w:r>
        <w:rPr>
          <w:rFonts w:ascii="Arial" w:eastAsia="Times New Roman" w:hAnsi="Arial" w:cs="Arial"/>
          <w:iCs/>
          <w:sz w:val="20"/>
          <w:szCs w:val="20"/>
        </w:rPr>
        <w:t xml:space="preserve">pri </w:t>
      </w:r>
      <w:r w:rsidRPr="00470BE3">
        <w:rPr>
          <w:rFonts w:ascii="Arial" w:eastAsia="Times New Roman" w:hAnsi="Arial" w:cs="Arial"/>
          <w:iCs/>
          <w:sz w:val="20"/>
          <w:szCs w:val="20"/>
        </w:rPr>
        <w:t>sodišč</w:t>
      </w:r>
      <w:r>
        <w:rPr>
          <w:rFonts w:ascii="Arial" w:eastAsia="Times New Roman" w:hAnsi="Arial" w:cs="Arial"/>
          <w:iCs/>
          <w:sz w:val="20"/>
          <w:szCs w:val="20"/>
        </w:rPr>
        <w:t>ih</w:t>
      </w:r>
      <w:r w:rsidRPr="00470BE3">
        <w:rPr>
          <w:rFonts w:ascii="Arial" w:eastAsia="Times New Roman" w:hAnsi="Arial" w:cs="Arial"/>
          <w:iCs/>
          <w:sz w:val="20"/>
          <w:szCs w:val="20"/>
        </w:rPr>
        <w:t xml:space="preserve"> v </w:t>
      </w:r>
      <w:r>
        <w:rPr>
          <w:rFonts w:ascii="Arial" w:eastAsia="Times New Roman" w:hAnsi="Arial" w:cs="Arial"/>
          <w:iCs/>
          <w:sz w:val="20"/>
          <w:szCs w:val="20"/>
        </w:rPr>
        <w:t>znesku</w:t>
      </w:r>
      <w:r w:rsidRPr="00470BE3">
        <w:rPr>
          <w:rFonts w:ascii="Arial" w:eastAsia="Times New Roman" w:hAnsi="Arial" w:cs="Arial"/>
          <w:iCs/>
          <w:sz w:val="20"/>
          <w:szCs w:val="20"/>
        </w:rPr>
        <w:t xml:space="preserve"> 34.729.257 </w:t>
      </w:r>
      <w:r w:rsidRPr="00470BE3">
        <w:rPr>
          <w:rFonts w:ascii="Arial" w:hAnsi="Arial" w:cs="Arial"/>
          <w:sz w:val="20"/>
          <w:szCs w:val="20"/>
        </w:rPr>
        <w:t xml:space="preserve">EUR </w:t>
      </w:r>
      <w:r w:rsidRPr="00470BE3">
        <w:rPr>
          <w:rFonts w:ascii="Arial" w:eastAsia="Times New Roman" w:hAnsi="Arial" w:cs="Arial"/>
          <w:iCs/>
          <w:sz w:val="20"/>
          <w:szCs w:val="20"/>
        </w:rPr>
        <w:t>nima vpliva na hitrost postopka ali višino poplačila dolga.</w:t>
      </w:r>
      <w:r w:rsidRPr="00407E1D">
        <w:rPr>
          <w:rFonts w:ascii="Arial" w:eastAsia="Times New Roman" w:hAnsi="Arial" w:cs="Arial"/>
          <w:iCs/>
          <w:sz w:val="20"/>
          <w:szCs w:val="20"/>
        </w:rPr>
        <w:t xml:space="preserve"> </w:t>
      </w:r>
    </w:p>
    <w:p w14:paraId="1AB70F4C" w14:textId="77777777" w:rsidR="00A155A2" w:rsidRPr="00407E1D" w:rsidRDefault="00A155A2" w:rsidP="00A155A2">
      <w:pPr>
        <w:pStyle w:val="Brezrazmikov"/>
        <w:spacing w:line="276" w:lineRule="auto"/>
        <w:jc w:val="both"/>
        <w:rPr>
          <w:rFonts w:ascii="Arial" w:eastAsia="Times New Roman" w:hAnsi="Arial" w:cs="Arial"/>
          <w:iCs/>
          <w:color w:val="FF0000"/>
          <w:sz w:val="20"/>
          <w:szCs w:val="20"/>
        </w:rPr>
      </w:pPr>
    </w:p>
    <w:p w14:paraId="7BD2A222" w14:textId="77777777" w:rsidR="00A155A2" w:rsidRDefault="00A155A2" w:rsidP="00A155A2">
      <w:pPr>
        <w:spacing w:after="0" w:line="240" w:lineRule="auto"/>
        <w:jc w:val="both"/>
        <w:rPr>
          <w:rFonts w:ascii="Arial" w:hAnsi="Arial" w:cs="Arial"/>
          <w:sz w:val="20"/>
          <w:szCs w:val="20"/>
        </w:rPr>
      </w:pPr>
      <w:r w:rsidRPr="003A4A81">
        <w:rPr>
          <w:rFonts w:ascii="Arial" w:hAnsi="Arial" w:cs="Arial"/>
          <w:sz w:val="20"/>
          <w:szCs w:val="20"/>
        </w:rPr>
        <w:t>Dolg</w:t>
      </w:r>
      <w:r>
        <w:rPr>
          <w:rFonts w:ascii="Arial" w:hAnsi="Arial" w:cs="Arial"/>
          <w:sz w:val="20"/>
          <w:szCs w:val="20"/>
        </w:rPr>
        <w:t>,</w:t>
      </w:r>
      <w:r w:rsidRPr="003A4A81">
        <w:rPr>
          <w:rFonts w:ascii="Arial" w:hAnsi="Arial" w:cs="Arial"/>
          <w:sz w:val="20"/>
          <w:szCs w:val="20"/>
        </w:rPr>
        <w:t xml:space="preserve"> k</w:t>
      </w:r>
      <w:r>
        <w:rPr>
          <w:rFonts w:ascii="Arial" w:hAnsi="Arial" w:cs="Arial"/>
          <w:sz w:val="20"/>
          <w:szCs w:val="20"/>
        </w:rPr>
        <w:t>i</w:t>
      </w:r>
      <w:r w:rsidRPr="003A4A81">
        <w:rPr>
          <w:rFonts w:ascii="Arial" w:hAnsi="Arial" w:cs="Arial"/>
          <w:sz w:val="20"/>
          <w:szCs w:val="20"/>
        </w:rPr>
        <w:t xml:space="preserve"> </w:t>
      </w:r>
      <w:r>
        <w:rPr>
          <w:rFonts w:ascii="Arial" w:hAnsi="Arial" w:cs="Arial"/>
          <w:sz w:val="20"/>
          <w:szCs w:val="20"/>
        </w:rPr>
        <w:t xml:space="preserve">ga </w:t>
      </w:r>
      <w:r w:rsidRPr="003A4A81">
        <w:rPr>
          <w:rFonts w:ascii="Arial" w:hAnsi="Arial" w:cs="Arial"/>
          <w:sz w:val="20"/>
          <w:szCs w:val="20"/>
        </w:rPr>
        <w:t xml:space="preserve">ni bilo mogoče poplačati v postopkih davčne izvršbe, pravica do izterjave pa še ni zastarala, </w:t>
      </w:r>
      <w:r>
        <w:rPr>
          <w:rFonts w:ascii="Arial" w:hAnsi="Arial" w:cs="Arial"/>
          <w:sz w:val="20"/>
          <w:szCs w:val="20"/>
        </w:rPr>
        <w:t>pomeni</w:t>
      </w:r>
      <w:r w:rsidRPr="003A4A81">
        <w:rPr>
          <w:rFonts w:ascii="Arial" w:hAnsi="Arial" w:cs="Arial"/>
          <w:sz w:val="20"/>
          <w:szCs w:val="20"/>
        </w:rPr>
        <w:t xml:space="preserve"> 36,1 odstotka pogojno izterljivega dolga. Zoper naveden</w:t>
      </w:r>
      <w:r>
        <w:rPr>
          <w:rFonts w:ascii="Arial" w:hAnsi="Arial" w:cs="Arial"/>
          <w:sz w:val="20"/>
          <w:szCs w:val="20"/>
        </w:rPr>
        <w:t>i</w:t>
      </w:r>
      <w:r w:rsidRPr="003A4A81">
        <w:rPr>
          <w:rFonts w:ascii="Arial" w:hAnsi="Arial" w:cs="Arial"/>
          <w:sz w:val="20"/>
          <w:szCs w:val="20"/>
        </w:rPr>
        <w:t xml:space="preserve"> dolg je davčni organ izvedel vse zakonsko predpisane ukrepe izvršbe (administrativna izvršba, individualna obravnava pri izvršb</w:t>
      </w:r>
      <w:r>
        <w:rPr>
          <w:rFonts w:ascii="Arial" w:hAnsi="Arial" w:cs="Arial"/>
          <w:sz w:val="20"/>
          <w:szCs w:val="20"/>
        </w:rPr>
        <w:t>i</w:t>
      </w:r>
      <w:r w:rsidRPr="003A4A81">
        <w:rPr>
          <w:rFonts w:ascii="Arial" w:hAnsi="Arial" w:cs="Arial"/>
          <w:sz w:val="20"/>
          <w:szCs w:val="20"/>
        </w:rPr>
        <w:t xml:space="preserve"> iz premičnega premoženja, ki zahteva poglobljeno obravnavo, izvršba na nepremičnine ali na poslovni delež dolžnika v družbi</w:t>
      </w:r>
      <w:r>
        <w:rPr>
          <w:rFonts w:ascii="Arial" w:hAnsi="Arial" w:cs="Arial"/>
          <w:sz w:val="20"/>
          <w:szCs w:val="20"/>
        </w:rPr>
        <w:t xml:space="preserve"> in podobno</w:t>
      </w:r>
      <w:r w:rsidRPr="003A4A81">
        <w:rPr>
          <w:rFonts w:ascii="Arial" w:hAnsi="Arial" w:cs="Arial"/>
          <w:sz w:val="20"/>
          <w:szCs w:val="20"/>
        </w:rPr>
        <w:t>)</w:t>
      </w:r>
      <w:r>
        <w:rPr>
          <w:rFonts w:ascii="Arial" w:hAnsi="Arial" w:cs="Arial"/>
          <w:sz w:val="20"/>
          <w:szCs w:val="20"/>
        </w:rPr>
        <w:t>,</w:t>
      </w:r>
      <w:r w:rsidRPr="003A4A81">
        <w:rPr>
          <w:rFonts w:ascii="Arial" w:hAnsi="Arial" w:cs="Arial"/>
          <w:sz w:val="20"/>
          <w:szCs w:val="20"/>
        </w:rPr>
        <w:t xml:space="preserve"> vendar dolga ni bilo mogoče izterjati, saj dolžniki niso imeli </w:t>
      </w:r>
      <w:proofErr w:type="spellStart"/>
      <w:r w:rsidRPr="003A4A81">
        <w:rPr>
          <w:rFonts w:ascii="Arial" w:hAnsi="Arial" w:cs="Arial"/>
          <w:sz w:val="20"/>
          <w:szCs w:val="20"/>
        </w:rPr>
        <w:t>rubljivega</w:t>
      </w:r>
      <w:proofErr w:type="spellEnd"/>
      <w:r w:rsidRPr="003A4A81">
        <w:rPr>
          <w:rFonts w:ascii="Arial" w:hAnsi="Arial" w:cs="Arial"/>
          <w:sz w:val="20"/>
          <w:szCs w:val="20"/>
        </w:rPr>
        <w:t xml:space="preserve"> premoženja. </w:t>
      </w:r>
    </w:p>
    <w:p w14:paraId="5AA2F626" w14:textId="77777777" w:rsidR="00A155A2" w:rsidRDefault="00A155A2" w:rsidP="00A155A2">
      <w:pPr>
        <w:spacing w:after="0" w:line="240" w:lineRule="auto"/>
        <w:rPr>
          <w:rFonts w:ascii="Arial" w:hAnsi="Arial" w:cs="Arial"/>
          <w:sz w:val="20"/>
          <w:szCs w:val="20"/>
        </w:rPr>
      </w:pPr>
    </w:p>
    <w:p w14:paraId="38C9FD20" w14:textId="77777777" w:rsidR="00A155A2" w:rsidRDefault="00A155A2" w:rsidP="00A155A2">
      <w:pPr>
        <w:spacing w:after="0" w:line="240" w:lineRule="auto"/>
        <w:rPr>
          <w:rFonts w:ascii="Arial" w:hAnsi="Arial" w:cs="Arial"/>
          <w:i/>
          <w:sz w:val="20"/>
          <w:szCs w:val="20"/>
        </w:rPr>
      </w:pPr>
      <w:r w:rsidRPr="00B518BD">
        <w:rPr>
          <w:rFonts w:ascii="Arial" w:hAnsi="Arial" w:cs="Arial"/>
          <w:bCs/>
          <w:i/>
          <w:sz w:val="20"/>
          <w:szCs w:val="20"/>
        </w:rPr>
        <w:t>Preglednica</w:t>
      </w:r>
      <w:r w:rsidRPr="00B518BD">
        <w:rPr>
          <w:rFonts w:ascii="Arial" w:hAnsi="Arial" w:cs="Arial"/>
          <w:i/>
          <w:sz w:val="20"/>
          <w:szCs w:val="20"/>
          <w:lang w:eastAsia="ar-SA"/>
        </w:rPr>
        <w:t xml:space="preserve"> 4</w:t>
      </w:r>
      <w:r>
        <w:rPr>
          <w:rFonts w:ascii="Arial" w:hAnsi="Arial" w:cs="Arial"/>
          <w:i/>
          <w:sz w:val="20"/>
          <w:szCs w:val="20"/>
          <w:lang w:eastAsia="ar-SA"/>
        </w:rPr>
        <w:t xml:space="preserve">: </w:t>
      </w:r>
      <w:r w:rsidRPr="00B518BD">
        <w:rPr>
          <w:rFonts w:ascii="Arial" w:hAnsi="Arial" w:cs="Arial"/>
          <w:i/>
          <w:sz w:val="20"/>
          <w:szCs w:val="20"/>
          <w:lang w:eastAsia="ar-SA"/>
        </w:rPr>
        <w:t xml:space="preserve">Stanje in gibanje </w:t>
      </w:r>
      <w:r w:rsidRPr="00B518BD">
        <w:rPr>
          <w:rFonts w:ascii="Arial" w:hAnsi="Arial" w:cs="Arial"/>
          <w:i/>
          <w:sz w:val="20"/>
          <w:szCs w:val="20"/>
        </w:rPr>
        <w:t xml:space="preserve">pogojno izterljivega dolga </w:t>
      </w:r>
      <w:r>
        <w:rPr>
          <w:rFonts w:ascii="Arial" w:hAnsi="Arial" w:cs="Arial"/>
          <w:i/>
          <w:sz w:val="20"/>
          <w:szCs w:val="20"/>
        </w:rPr>
        <w:t>(</w:t>
      </w:r>
      <w:r w:rsidRPr="00B518BD">
        <w:rPr>
          <w:rFonts w:ascii="Arial" w:hAnsi="Arial" w:cs="Arial"/>
          <w:i/>
          <w:sz w:val="20"/>
          <w:szCs w:val="20"/>
        </w:rPr>
        <w:t>v EUR</w:t>
      </w:r>
      <w:r>
        <w:rPr>
          <w:rFonts w:ascii="Arial" w:hAnsi="Arial" w:cs="Arial"/>
          <w:i/>
          <w:sz w:val="20"/>
          <w:szCs w:val="20"/>
        </w:rPr>
        <w:t>)</w:t>
      </w:r>
    </w:p>
    <w:p w14:paraId="38008EFD" w14:textId="77777777" w:rsidR="00A155A2" w:rsidRDefault="00A155A2" w:rsidP="00A155A2">
      <w:pPr>
        <w:spacing w:after="0" w:line="240" w:lineRule="auto"/>
        <w:rPr>
          <w:rFonts w:ascii="Arial" w:hAnsi="Arial" w:cs="Arial"/>
          <w:i/>
          <w:sz w:val="20"/>
          <w:szCs w:val="20"/>
        </w:rPr>
      </w:pPr>
    </w:p>
    <w:tbl>
      <w:tblPr>
        <w:tblW w:w="9288" w:type="dxa"/>
        <w:tblCellMar>
          <w:left w:w="70" w:type="dxa"/>
          <w:right w:w="70" w:type="dxa"/>
        </w:tblCellMar>
        <w:tblLook w:val="04A0" w:firstRow="1" w:lastRow="0" w:firstColumn="1" w:lastColumn="0" w:noHBand="0" w:noVBand="1"/>
      </w:tblPr>
      <w:tblGrid>
        <w:gridCol w:w="1520"/>
        <w:gridCol w:w="1203"/>
        <w:gridCol w:w="1203"/>
        <w:gridCol w:w="1203"/>
        <w:gridCol w:w="1151"/>
        <w:gridCol w:w="1151"/>
        <w:gridCol w:w="1151"/>
        <w:gridCol w:w="706"/>
      </w:tblGrid>
      <w:tr w:rsidR="00A155A2" w:rsidRPr="003A4A81" w14:paraId="5DE8230C" w14:textId="77777777" w:rsidTr="001C77D2">
        <w:trPr>
          <w:trHeight w:val="471"/>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A5C00" w14:textId="77777777" w:rsidR="00A155A2" w:rsidRPr="003A4A81" w:rsidRDefault="00A155A2" w:rsidP="001C77D2">
            <w:pPr>
              <w:spacing w:after="0" w:line="240" w:lineRule="auto"/>
              <w:jc w:val="center"/>
              <w:rPr>
                <w:rFonts w:ascii="Arial" w:eastAsia="Times New Roman" w:hAnsi="Arial" w:cs="Arial"/>
                <w:b/>
                <w:bCs/>
                <w:i/>
                <w:iCs/>
                <w:color w:val="000000"/>
                <w:sz w:val="18"/>
                <w:szCs w:val="18"/>
                <w:lang w:eastAsia="sl-SI"/>
              </w:rPr>
            </w:pPr>
            <w:r w:rsidRPr="003A4A81">
              <w:rPr>
                <w:rFonts w:ascii="Arial" w:eastAsia="Times New Roman" w:hAnsi="Arial" w:cs="Arial"/>
                <w:b/>
                <w:bCs/>
                <w:i/>
                <w:iCs/>
                <w:color w:val="000000"/>
                <w:sz w:val="18"/>
                <w:szCs w:val="18"/>
                <w:lang w:eastAsia="sl-SI"/>
              </w:rPr>
              <w:t>Razlog dvomljivosti</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5928288A"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2022</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74A82D57"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2023</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72E0626E"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252D11AB"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3A4A81">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2023</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w:t>
            </w:r>
            <w:r w:rsidRPr="003A4A81">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2022</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4D0BA2C3"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3A4A81">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w:t>
            </w:r>
            <w:r w:rsidRPr="003A4A81">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2022</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52700448" w14:textId="77777777" w:rsidR="00A155A2" w:rsidRPr="003A4A81" w:rsidRDefault="00A155A2" w:rsidP="001C77D2">
            <w:pPr>
              <w:spacing w:after="0" w:line="240" w:lineRule="auto"/>
              <w:jc w:val="center"/>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3A4A81">
              <w:rPr>
                <w:rFonts w:ascii="Arial" w:eastAsia="Times New Roman" w:hAnsi="Arial" w:cs="Arial"/>
                <w:b/>
                <w:bCs/>
                <w:color w:val="000000"/>
                <w:sz w:val="18"/>
                <w:szCs w:val="18"/>
                <w:lang w:eastAsia="sl-SI"/>
              </w:rPr>
              <w:br/>
              <w:t xml:space="preserve"> 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w:t>
            </w:r>
            <w:r w:rsidRPr="003A4A81">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3A4A81">
              <w:rPr>
                <w:rFonts w:ascii="Arial" w:eastAsia="Times New Roman" w:hAnsi="Arial" w:cs="Arial"/>
                <w:b/>
                <w:bCs/>
                <w:color w:val="000000"/>
                <w:sz w:val="18"/>
                <w:szCs w:val="18"/>
                <w:lang w:eastAsia="sl-SI"/>
              </w:rPr>
              <w:t>2023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E611826" w14:textId="77777777" w:rsidR="00A155A2" w:rsidRPr="003A4A81" w:rsidRDefault="00A155A2" w:rsidP="001C77D2">
            <w:pPr>
              <w:spacing w:after="0" w:line="240" w:lineRule="auto"/>
              <w:jc w:val="center"/>
              <w:rPr>
                <w:rFonts w:ascii="Arial" w:eastAsia="Times New Roman" w:hAnsi="Arial" w:cs="Arial"/>
                <w:b/>
                <w:bCs/>
                <w:i/>
                <w:iCs/>
                <w:color w:val="000000"/>
                <w:sz w:val="18"/>
                <w:szCs w:val="18"/>
                <w:lang w:eastAsia="sl-SI"/>
              </w:rPr>
            </w:pPr>
            <w:r w:rsidRPr="003A4A81">
              <w:rPr>
                <w:rFonts w:ascii="Arial" w:eastAsia="Times New Roman" w:hAnsi="Arial" w:cs="Arial"/>
                <w:b/>
                <w:bCs/>
                <w:i/>
                <w:iCs/>
                <w:color w:val="000000"/>
                <w:sz w:val="18"/>
                <w:szCs w:val="18"/>
                <w:lang w:eastAsia="sl-SI"/>
              </w:rPr>
              <w:t xml:space="preserve">Delež </w:t>
            </w:r>
            <w:r>
              <w:rPr>
                <w:rFonts w:ascii="Arial" w:eastAsia="Times New Roman" w:hAnsi="Arial" w:cs="Arial"/>
                <w:b/>
                <w:bCs/>
                <w:i/>
                <w:iCs/>
                <w:color w:val="000000"/>
                <w:sz w:val="18"/>
                <w:szCs w:val="18"/>
                <w:lang w:eastAsia="sl-SI"/>
              </w:rPr>
              <w:t>(</w:t>
            </w:r>
            <w:r w:rsidRPr="003A4A81">
              <w:rPr>
                <w:rFonts w:ascii="Arial" w:eastAsia="Times New Roman" w:hAnsi="Arial" w:cs="Arial"/>
                <w:b/>
                <w:bCs/>
                <w:i/>
                <w:iCs/>
                <w:color w:val="000000"/>
                <w:sz w:val="18"/>
                <w:szCs w:val="18"/>
                <w:lang w:eastAsia="sl-SI"/>
              </w:rPr>
              <w:t>v %</w:t>
            </w:r>
            <w:r>
              <w:rPr>
                <w:rFonts w:ascii="Arial" w:eastAsia="Times New Roman" w:hAnsi="Arial" w:cs="Arial"/>
                <w:b/>
                <w:bCs/>
                <w:i/>
                <w:iCs/>
                <w:color w:val="000000"/>
                <w:sz w:val="18"/>
                <w:szCs w:val="18"/>
                <w:lang w:eastAsia="sl-SI"/>
              </w:rPr>
              <w:t>)</w:t>
            </w:r>
          </w:p>
        </w:tc>
      </w:tr>
      <w:tr w:rsidR="00A155A2" w:rsidRPr="003A4A81" w14:paraId="57900FC3" w14:textId="77777777" w:rsidTr="001C77D2">
        <w:trPr>
          <w:trHeight w:val="313"/>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D957ADF"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Stečaj</w:t>
            </w:r>
          </w:p>
        </w:tc>
        <w:tc>
          <w:tcPr>
            <w:tcW w:w="1203" w:type="dxa"/>
            <w:tcBorders>
              <w:top w:val="nil"/>
              <w:left w:val="nil"/>
              <w:bottom w:val="single" w:sz="4" w:space="0" w:color="auto"/>
              <w:right w:val="single" w:sz="4" w:space="0" w:color="auto"/>
            </w:tcBorders>
            <w:shd w:val="clear" w:color="auto" w:fill="auto"/>
            <w:vAlign w:val="bottom"/>
            <w:hideMark/>
          </w:tcPr>
          <w:p w14:paraId="5A978BFC"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275.623.532</w:t>
            </w:r>
          </w:p>
        </w:tc>
        <w:tc>
          <w:tcPr>
            <w:tcW w:w="1203" w:type="dxa"/>
            <w:tcBorders>
              <w:top w:val="nil"/>
              <w:left w:val="nil"/>
              <w:bottom w:val="single" w:sz="4" w:space="0" w:color="auto"/>
              <w:right w:val="single" w:sz="4" w:space="0" w:color="auto"/>
            </w:tcBorders>
            <w:shd w:val="clear" w:color="auto" w:fill="auto"/>
            <w:vAlign w:val="bottom"/>
            <w:hideMark/>
          </w:tcPr>
          <w:p w14:paraId="02E22DA0"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239.473.779</w:t>
            </w:r>
          </w:p>
        </w:tc>
        <w:tc>
          <w:tcPr>
            <w:tcW w:w="1203" w:type="dxa"/>
            <w:tcBorders>
              <w:top w:val="nil"/>
              <w:left w:val="nil"/>
              <w:bottom w:val="single" w:sz="4" w:space="0" w:color="auto"/>
              <w:right w:val="single" w:sz="4" w:space="0" w:color="auto"/>
            </w:tcBorders>
            <w:shd w:val="clear" w:color="auto" w:fill="auto"/>
            <w:vAlign w:val="bottom"/>
            <w:hideMark/>
          </w:tcPr>
          <w:p w14:paraId="39FCF5E4"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252.810.073</w:t>
            </w:r>
          </w:p>
        </w:tc>
        <w:tc>
          <w:tcPr>
            <w:tcW w:w="1151" w:type="dxa"/>
            <w:tcBorders>
              <w:top w:val="nil"/>
              <w:left w:val="nil"/>
              <w:bottom w:val="single" w:sz="4" w:space="0" w:color="auto"/>
              <w:right w:val="single" w:sz="4" w:space="0" w:color="auto"/>
            </w:tcBorders>
            <w:shd w:val="clear" w:color="auto" w:fill="auto"/>
            <w:vAlign w:val="bottom"/>
            <w:hideMark/>
          </w:tcPr>
          <w:p w14:paraId="38721076"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86,9</w:t>
            </w:r>
          </w:p>
        </w:tc>
        <w:tc>
          <w:tcPr>
            <w:tcW w:w="1151" w:type="dxa"/>
            <w:tcBorders>
              <w:top w:val="nil"/>
              <w:left w:val="nil"/>
              <w:bottom w:val="single" w:sz="4" w:space="0" w:color="auto"/>
              <w:right w:val="single" w:sz="4" w:space="0" w:color="auto"/>
            </w:tcBorders>
            <w:shd w:val="clear" w:color="auto" w:fill="auto"/>
            <w:vAlign w:val="bottom"/>
            <w:hideMark/>
          </w:tcPr>
          <w:p w14:paraId="0AEE472D"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91,7</w:t>
            </w:r>
          </w:p>
        </w:tc>
        <w:tc>
          <w:tcPr>
            <w:tcW w:w="1151" w:type="dxa"/>
            <w:tcBorders>
              <w:top w:val="nil"/>
              <w:left w:val="nil"/>
              <w:bottom w:val="single" w:sz="4" w:space="0" w:color="auto"/>
              <w:right w:val="single" w:sz="4" w:space="0" w:color="auto"/>
            </w:tcBorders>
            <w:shd w:val="clear" w:color="auto" w:fill="auto"/>
            <w:vAlign w:val="bottom"/>
            <w:hideMark/>
          </w:tcPr>
          <w:p w14:paraId="722D47AF"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105,6</w:t>
            </w:r>
          </w:p>
        </w:tc>
        <w:tc>
          <w:tcPr>
            <w:tcW w:w="706" w:type="dxa"/>
            <w:tcBorders>
              <w:top w:val="nil"/>
              <w:left w:val="nil"/>
              <w:bottom w:val="single" w:sz="4" w:space="0" w:color="auto"/>
              <w:right w:val="single" w:sz="4" w:space="0" w:color="auto"/>
            </w:tcBorders>
            <w:shd w:val="clear" w:color="auto" w:fill="auto"/>
            <w:noWrap/>
            <w:vAlign w:val="bottom"/>
            <w:hideMark/>
          </w:tcPr>
          <w:p w14:paraId="4E240992"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60,2</w:t>
            </w:r>
          </w:p>
        </w:tc>
      </w:tr>
      <w:tr w:rsidR="00A155A2" w:rsidRPr="003A4A81" w14:paraId="21CC3254" w14:textId="77777777" w:rsidTr="001C77D2">
        <w:trPr>
          <w:trHeight w:val="576"/>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CB990FE"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 xml:space="preserve">Dolga ni mogoče poplačati v postopku davčne izvršbe </w:t>
            </w:r>
          </w:p>
        </w:tc>
        <w:tc>
          <w:tcPr>
            <w:tcW w:w="1203" w:type="dxa"/>
            <w:tcBorders>
              <w:top w:val="nil"/>
              <w:left w:val="nil"/>
              <w:bottom w:val="single" w:sz="4" w:space="0" w:color="auto"/>
              <w:right w:val="single" w:sz="4" w:space="0" w:color="auto"/>
            </w:tcBorders>
            <w:shd w:val="clear" w:color="auto" w:fill="auto"/>
            <w:noWrap/>
            <w:vAlign w:val="bottom"/>
            <w:hideMark/>
          </w:tcPr>
          <w:p w14:paraId="05FC425C"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162.653.843</w:t>
            </w:r>
          </w:p>
        </w:tc>
        <w:tc>
          <w:tcPr>
            <w:tcW w:w="1203" w:type="dxa"/>
            <w:tcBorders>
              <w:top w:val="nil"/>
              <w:left w:val="nil"/>
              <w:bottom w:val="single" w:sz="4" w:space="0" w:color="auto"/>
              <w:right w:val="single" w:sz="4" w:space="0" w:color="auto"/>
            </w:tcBorders>
            <w:shd w:val="clear" w:color="auto" w:fill="auto"/>
            <w:noWrap/>
            <w:vAlign w:val="bottom"/>
            <w:hideMark/>
          </w:tcPr>
          <w:p w14:paraId="398A6DFB"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153.139.166</w:t>
            </w:r>
          </w:p>
        </w:tc>
        <w:tc>
          <w:tcPr>
            <w:tcW w:w="1203" w:type="dxa"/>
            <w:tcBorders>
              <w:top w:val="nil"/>
              <w:left w:val="nil"/>
              <w:bottom w:val="single" w:sz="4" w:space="0" w:color="auto"/>
              <w:right w:val="single" w:sz="4" w:space="0" w:color="auto"/>
            </w:tcBorders>
            <w:shd w:val="clear" w:color="auto" w:fill="auto"/>
            <w:noWrap/>
            <w:vAlign w:val="bottom"/>
            <w:hideMark/>
          </w:tcPr>
          <w:p w14:paraId="0EAA169F"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151.549.343</w:t>
            </w:r>
          </w:p>
        </w:tc>
        <w:tc>
          <w:tcPr>
            <w:tcW w:w="1151" w:type="dxa"/>
            <w:tcBorders>
              <w:top w:val="nil"/>
              <w:left w:val="nil"/>
              <w:bottom w:val="single" w:sz="4" w:space="0" w:color="auto"/>
              <w:right w:val="single" w:sz="4" w:space="0" w:color="auto"/>
            </w:tcBorders>
            <w:shd w:val="clear" w:color="auto" w:fill="auto"/>
            <w:vAlign w:val="bottom"/>
            <w:hideMark/>
          </w:tcPr>
          <w:p w14:paraId="2E327C79"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94,2</w:t>
            </w:r>
          </w:p>
        </w:tc>
        <w:tc>
          <w:tcPr>
            <w:tcW w:w="1151" w:type="dxa"/>
            <w:tcBorders>
              <w:top w:val="nil"/>
              <w:left w:val="nil"/>
              <w:bottom w:val="single" w:sz="4" w:space="0" w:color="auto"/>
              <w:right w:val="single" w:sz="4" w:space="0" w:color="auto"/>
            </w:tcBorders>
            <w:shd w:val="clear" w:color="auto" w:fill="auto"/>
            <w:vAlign w:val="bottom"/>
            <w:hideMark/>
          </w:tcPr>
          <w:p w14:paraId="61DDF5F6"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93,2</w:t>
            </w:r>
          </w:p>
        </w:tc>
        <w:tc>
          <w:tcPr>
            <w:tcW w:w="1151" w:type="dxa"/>
            <w:tcBorders>
              <w:top w:val="nil"/>
              <w:left w:val="nil"/>
              <w:bottom w:val="single" w:sz="4" w:space="0" w:color="auto"/>
              <w:right w:val="single" w:sz="4" w:space="0" w:color="auto"/>
            </w:tcBorders>
            <w:shd w:val="clear" w:color="auto" w:fill="auto"/>
            <w:vAlign w:val="bottom"/>
            <w:hideMark/>
          </w:tcPr>
          <w:p w14:paraId="1B31CD90"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99,0</w:t>
            </w:r>
          </w:p>
        </w:tc>
        <w:tc>
          <w:tcPr>
            <w:tcW w:w="706" w:type="dxa"/>
            <w:tcBorders>
              <w:top w:val="nil"/>
              <w:left w:val="nil"/>
              <w:bottom w:val="single" w:sz="4" w:space="0" w:color="auto"/>
              <w:right w:val="single" w:sz="4" w:space="0" w:color="auto"/>
            </w:tcBorders>
            <w:shd w:val="clear" w:color="auto" w:fill="auto"/>
            <w:noWrap/>
            <w:vAlign w:val="bottom"/>
            <w:hideMark/>
          </w:tcPr>
          <w:p w14:paraId="60A7D611"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36,1</w:t>
            </w:r>
          </w:p>
        </w:tc>
      </w:tr>
      <w:tr w:rsidR="00A155A2" w:rsidRPr="003A4A81" w14:paraId="1857D96F" w14:textId="77777777" w:rsidTr="001C77D2">
        <w:trPr>
          <w:trHeight w:val="266"/>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31B3866D"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Prisilna poravnava</w:t>
            </w:r>
          </w:p>
        </w:tc>
        <w:tc>
          <w:tcPr>
            <w:tcW w:w="1203" w:type="dxa"/>
            <w:tcBorders>
              <w:top w:val="nil"/>
              <w:left w:val="nil"/>
              <w:bottom w:val="single" w:sz="4" w:space="0" w:color="auto"/>
              <w:right w:val="single" w:sz="4" w:space="0" w:color="auto"/>
            </w:tcBorders>
            <w:shd w:val="clear" w:color="auto" w:fill="auto"/>
            <w:noWrap/>
            <w:vAlign w:val="bottom"/>
            <w:hideMark/>
          </w:tcPr>
          <w:p w14:paraId="4F38C921"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1.720.536</w:t>
            </w:r>
          </w:p>
        </w:tc>
        <w:tc>
          <w:tcPr>
            <w:tcW w:w="1203" w:type="dxa"/>
            <w:tcBorders>
              <w:top w:val="nil"/>
              <w:left w:val="nil"/>
              <w:bottom w:val="single" w:sz="4" w:space="0" w:color="auto"/>
              <w:right w:val="single" w:sz="4" w:space="0" w:color="auto"/>
            </w:tcBorders>
            <w:shd w:val="clear" w:color="auto" w:fill="auto"/>
            <w:noWrap/>
            <w:vAlign w:val="bottom"/>
            <w:hideMark/>
          </w:tcPr>
          <w:p w14:paraId="5088E668"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11.918.273</w:t>
            </w:r>
          </w:p>
        </w:tc>
        <w:tc>
          <w:tcPr>
            <w:tcW w:w="1203" w:type="dxa"/>
            <w:tcBorders>
              <w:top w:val="nil"/>
              <w:left w:val="nil"/>
              <w:bottom w:val="single" w:sz="4" w:space="0" w:color="auto"/>
              <w:right w:val="single" w:sz="4" w:space="0" w:color="auto"/>
            </w:tcBorders>
            <w:shd w:val="clear" w:color="auto" w:fill="auto"/>
            <w:noWrap/>
            <w:vAlign w:val="bottom"/>
            <w:hideMark/>
          </w:tcPr>
          <w:p w14:paraId="2EFC0171"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341.149</w:t>
            </w:r>
          </w:p>
        </w:tc>
        <w:tc>
          <w:tcPr>
            <w:tcW w:w="1151" w:type="dxa"/>
            <w:tcBorders>
              <w:top w:val="nil"/>
              <w:left w:val="nil"/>
              <w:bottom w:val="single" w:sz="4" w:space="0" w:color="auto"/>
              <w:right w:val="single" w:sz="4" w:space="0" w:color="auto"/>
            </w:tcBorders>
            <w:shd w:val="clear" w:color="auto" w:fill="auto"/>
            <w:vAlign w:val="bottom"/>
            <w:hideMark/>
          </w:tcPr>
          <w:p w14:paraId="14D027D7"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692,7</w:t>
            </w:r>
          </w:p>
        </w:tc>
        <w:tc>
          <w:tcPr>
            <w:tcW w:w="1151" w:type="dxa"/>
            <w:tcBorders>
              <w:top w:val="nil"/>
              <w:left w:val="nil"/>
              <w:bottom w:val="single" w:sz="4" w:space="0" w:color="auto"/>
              <w:right w:val="single" w:sz="4" w:space="0" w:color="auto"/>
            </w:tcBorders>
            <w:shd w:val="clear" w:color="auto" w:fill="auto"/>
            <w:vAlign w:val="bottom"/>
            <w:hideMark/>
          </w:tcPr>
          <w:p w14:paraId="10952A24"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19,8</w:t>
            </w:r>
          </w:p>
        </w:tc>
        <w:tc>
          <w:tcPr>
            <w:tcW w:w="1151" w:type="dxa"/>
            <w:tcBorders>
              <w:top w:val="nil"/>
              <w:left w:val="nil"/>
              <w:bottom w:val="single" w:sz="4" w:space="0" w:color="auto"/>
              <w:right w:val="single" w:sz="4" w:space="0" w:color="auto"/>
            </w:tcBorders>
            <w:shd w:val="clear" w:color="auto" w:fill="auto"/>
            <w:vAlign w:val="bottom"/>
            <w:hideMark/>
          </w:tcPr>
          <w:p w14:paraId="457E620C"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2,9</w:t>
            </w:r>
          </w:p>
        </w:tc>
        <w:tc>
          <w:tcPr>
            <w:tcW w:w="706" w:type="dxa"/>
            <w:tcBorders>
              <w:top w:val="nil"/>
              <w:left w:val="nil"/>
              <w:bottom w:val="single" w:sz="4" w:space="0" w:color="auto"/>
              <w:right w:val="single" w:sz="4" w:space="0" w:color="auto"/>
            </w:tcBorders>
            <w:shd w:val="clear" w:color="auto" w:fill="auto"/>
            <w:noWrap/>
            <w:vAlign w:val="bottom"/>
            <w:hideMark/>
          </w:tcPr>
          <w:p w14:paraId="1C843E54"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0,1</w:t>
            </w:r>
          </w:p>
        </w:tc>
      </w:tr>
      <w:tr w:rsidR="00A155A2" w:rsidRPr="003A4A81" w14:paraId="522DF7A0" w14:textId="77777777" w:rsidTr="001C77D2">
        <w:trPr>
          <w:trHeight w:val="369"/>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D3D44A6"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Fizična oseba odseljena neznano kam</w:t>
            </w:r>
          </w:p>
        </w:tc>
        <w:tc>
          <w:tcPr>
            <w:tcW w:w="1203" w:type="dxa"/>
            <w:tcBorders>
              <w:top w:val="nil"/>
              <w:left w:val="nil"/>
              <w:bottom w:val="single" w:sz="4" w:space="0" w:color="auto"/>
              <w:right w:val="single" w:sz="4" w:space="0" w:color="auto"/>
            </w:tcBorders>
            <w:shd w:val="clear" w:color="auto" w:fill="auto"/>
            <w:noWrap/>
            <w:vAlign w:val="bottom"/>
            <w:hideMark/>
          </w:tcPr>
          <w:p w14:paraId="327F7F87"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10.924.209</w:t>
            </w:r>
          </w:p>
        </w:tc>
        <w:tc>
          <w:tcPr>
            <w:tcW w:w="1203" w:type="dxa"/>
            <w:tcBorders>
              <w:top w:val="nil"/>
              <w:left w:val="nil"/>
              <w:bottom w:val="single" w:sz="4" w:space="0" w:color="auto"/>
              <w:right w:val="single" w:sz="4" w:space="0" w:color="auto"/>
            </w:tcBorders>
            <w:shd w:val="clear" w:color="auto" w:fill="auto"/>
            <w:noWrap/>
            <w:vAlign w:val="bottom"/>
            <w:hideMark/>
          </w:tcPr>
          <w:p w14:paraId="604C352F"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4.809.904</w:t>
            </w:r>
          </w:p>
        </w:tc>
        <w:tc>
          <w:tcPr>
            <w:tcW w:w="1203" w:type="dxa"/>
            <w:tcBorders>
              <w:top w:val="nil"/>
              <w:left w:val="nil"/>
              <w:bottom w:val="single" w:sz="4" w:space="0" w:color="auto"/>
              <w:right w:val="single" w:sz="4" w:space="0" w:color="auto"/>
            </w:tcBorders>
            <w:shd w:val="clear" w:color="auto" w:fill="auto"/>
            <w:noWrap/>
            <w:vAlign w:val="bottom"/>
            <w:hideMark/>
          </w:tcPr>
          <w:p w14:paraId="66A12F6D"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11.291.383</w:t>
            </w:r>
          </w:p>
        </w:tc>
        <w:tc>
          <w:tcPr>
            <w:tcW w:w="1151" w:type="dxa"/>
            <w:tcBorders>
              <w:top w:val="nil"/>
              <w:left w:val="nil"/>
              <w:bottom w:val="single" w:sz="4" w:space="0" w:color="auto"/>
              <w:right w:val="single" w:sz="4" w:space="0" w:color="auto"/>
            </w:tcBorders>
            <w:shd w:val="clear" w:color="auto" w:fill="auto"/>
            <w:vAlign w:val="bottom"/>
            <w:hideMark/>
          </w:tcPr>
          <w:p w14:paraId="50A56341"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44,0</w:t>
            </w:r>
          </w:p>
        </w:tc>
        <w:tc>
          <w:tcPr>
            <w:tcW w:w="1151" w:type="dxa"/>
            <w:tcBorders>
              <w:top w:val="nil"/>
              <w:left w:val="nil"/>
              <w:bottom w:val="single" w:sz="4" w:space="0" w:color="auto"/>
              <w:right w:val="single" w:sz="4" w:space="0" w:color="auto"/>
            </w:tcBorders>
            <w:shd w:val="clear" w:color="auto" w:fill="auto"/>
            <w:vAlign w:val="bottom"/>
            <w:hideMark/>
          </w:tcPr>
          <w:p w14:paraId="73DD9BB6"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103,4</w:t>
            </w:r>
          </w:p>
        </w:tc>
        <w:tc>
          <w:tcPr>
            <w:tcW w:w="1151" w:type="dxa"/>
            <w:tcBorders>
              <w:top w:val="nil"/>
              <w:left w:val="nil"/>
              <w:bottom w:val="single" w:sz="4" w:space="0" w:color="auto"/>
              <w:right w:val="single" w:sz="4" w:space="0" w:color="auto"/>
            </w:tcBorders>
            <w:shd w:val="clear" w:color="auto" w:fill="auto"/>
            <w:vAlign w:val="bottom"/>
            <w:hideMark/>
          </w:tcPr>
          <w:p w14:paraId="17AB92ED"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234,8</w:t>
            </w:r>
          </w:p>
        </w:tc>
        <w:tc>
          <w:tcPr>
            <w:tcW w:w="706" w:type="dxa"/>
            <w:tcBorders>
              <w:top w:val="nil"/>
              <w:left w:val="nil"/>
              <w:bottom w:val="single" w:sz="4" w:space="0" w:color="auto"/>
              <w:right w:val="single" w:sz="4" w:space="0" w:color="auto"/>
            </w:tcBorders>
            <w:shd w:val="clear" w:color="auto" w:fill="auto"/>
            <w:noWrap/>
            <w:vAlign w:val="bottom"/>
            <w:hideMark/>
          </w:tcPr>
          <w:p w14:paraId="2C3040AD"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2,7</w:t>
            </w:r>
          </w:p>
        </w:tc>
      </w:tr>
      <w:tr w:rsidR="00A155A2" w:rsidRPr="003A4A81" w14:paraId="788C8D0D" w14:textId="77777777" w:rsidTr="001C77D2">
        <w:trPr>
          <w:trHeight w:val="323"/>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881999B"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Dolžnik umrl</w:t>
            </w:r>
          </w:p>
        </w:tc>
        <w:tc>
          <w:tcPr>
            <w:tcW w:w="1203" w:type="dxa"/>
            <w:tcBorders>
              <w:top w:val="nil"/>
              <w:left w:val="nil"/>
              <w:bottom w:val="single" w:sz="4" w:space="0" w:color="auto"/>
              <w:right w:val="single" w:sz="4" w:space="0" w:color="auto"/>
            </w:tcBorders>
            <w:shd w:val="clear" w:color="auto" w:fill="auto"/>
            <w:noWrap/>
            <w:vAlign w:val="bottom"/>
            <w:hideMark/>
          </w:tcPr>
          <w:p w14:paraId="2EEE990A"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5.339.612</w:t>
            </w:r>
          </w:p>
        </w:tc>
        <w:tc>
          <w:tcPr>
            <w:tcW w:w="1203" w:type="dxa"/>
            <w:tcBorders>
              <w:top w:val="nil"/>
              <w:left w:val="nil"/>
              <w:bottom w:val="single" w:sz="4" w:space="0" w:color="auto"/>
              <w:right w:val="single" w:sz="4" w:space="0" w:color="auto"/>
            </w:tcBorders>
            <w:shd w:val="clear" w:color="auto" w:fill="auto"/>
            <w:noWrap/>
            <w:vAlign w:val="bottom"/>
            <w:hideMark/>
          </w:tcPr>
          <w:p w14:paraId="1271E449"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424.217</w:t>
            </w:r>
          </w:p>
        </w:tc>
        <w:tc>
          <w:tcPr>
            <w:tcW w:w="1203" w:type="dxa"/>
            <w:tcBorders>
              <w:top w:val="nil"/>
              <w:left w:val="nil"/>
              <w:bottom w:val="single" w:sz="4" w:space="0" w:color="auto"/>
              <w:right w:val="single" w:sz="4" w:space="0" w:color="auto"/>
            </w:tcBorders>
            <w:shd w:val="clear" w:color="auto" w:fill="auto"/>
            <w:noWrap/>
            <w:vAlign w:val="bottom"/>
            <w:hideMark/>
          </w:tcPr>
          <w:p w14:paraId="364F7B38"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4.038.134</w:t>
            </w:r>
          </w:p>
        </w:tc>
        <w:tc>
          <w:tcPr>
            <w:tcW w:w="1151" w:type="dxa"/>
            <w:tcBorders>
              <w:top w:val="nil"/>
              <w:left w:val="nil"/>
              <w:bottom w:val="single" w:sz="4" w:space="0" w:color="auto"/>
              <w:right w:val="single" w:sz="4" w:space="0" w:color="auto"/>
            </w:tcBorders>
            <w:shd w:val="clear" w:color="auto" w:fill="auto"/>
            <w:vAlign w:val="bottom"/>
            <w:hideMark/>
          </w:tcPr>
          <w:p w14:paraId="2236DDC0"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7,9</w:t>
            </w:r>
          </w:p>
        </w:tc>
        <w:tc>
          <w:tcPr>
            <w:tcW w:w="1151" w:type="dxa"/>
            <w:tcBorders>
              <w:top w:val="nil"/>
              <w:left w:val="nil"/>
              <w:bottom w:val="single" w:sz="4" w:space="0" w:color="auto"/>
              <w:right w:val="single" w:sz="4" w:space="0" w:color="auto"/>
            </w:tcBorders>
            <w:shd w:val="clear" w:color="auto" w:fill="auto"/>
            <w:vAlign w:val="bottom"/>
            <w:hideMark/>
          </w:tcPr>
          <w:p w14:paraId="2DE5D063"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75,6</w:t>
            </w:r>
          </w:p>
        </w:tc>
        <w:tc>
          <w:tcPr>
            <w:tcW w:w="1151" w:type="dxa"/>
            <w:tcBorders>
              <w:top w:val="nil"/>
              <w:left w:val="nil"/>
              <w:bottom w:val="single" w:sz="4" w:space="0" w:color="auto"/>
              <w:right w:val="single" w:sz="4" w:space="0" w:color="auto"/>
            </w:tcBorders>
            <w:shd w:val="clear" w:color="auto" w:fill="auto"/>
            <w:vAlign w:val="bottom"/>
            <w:hideMark/>
          </w:tcPr>
          <w:p w14:paraId="6478444C"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951,9</w:t>
            </w:r>
          </w:p>
        </w:tc>
        <w:tc>
          <w:tcPr>
            <w:tcW w:w="706" w:type="dxa"/>
            <w:tcBorders>
              <w:top w:val="nil"/>
              <w:left w:val="nil"/>
              <w:bottom w:val="single" w:sz="4" w:space="0" w:color="auto"/>
              <w:right w:val="single" w:sz="4" w:space="0" w:color="auto"/>
            </w:tcBorders>
            <w:shd w:val="clear" w:color="auto" w:fill="auto"/>
            <w:noWrap/>
            <w:vAlign w:val="bottom"/>
            <w:hideMark/>
          </w:tcPr>
          <w:p w14:paraId="74E10BBF"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1,0</w:t>
            </w:r>
          </w:p>
        </w:tc>
      </w:tr>
      <w:tr w:rsidR="00A155A2" w:rsidRPr="003A4A81" w14:paraId="063217E3" w14:textId="77777777" w:rsidTr="001C77D2">
        <w:trPr>
          <w:trHeight w:val="266"/>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30C36DD" w14:textId="77777777" w:rsidR="00A155A2" w:rsidRPr="003A4A81" w:rsidRDefault="00A155A2" w:rsidP="001C77D2">
            <w:pPr>
              <w:spacing w:after="0" w:line="240" w:lineRule="auto"/>
              <w:rPr>
                <w:rFonts w:ascii="Arial" w:eastAsia="Times New Roman" w:hAnsi="Arial" w:cs="Arial"/>
                <w:sz w:val="18"/>
                <w:szCs w:val="18"/>
                <w:lang w:eastAsia="sl-SI"/>
              </w:rPr>
            </w:pPr>
            <w:r w:rsidRPr="003A4A81">
              <w:rPr>
                <w:rFonts w:ascii="Arial" w:eastAsia="Times New Roman" w:hAnsi="Arial" w:cs="Arial"/>
                <w:sz w:val="18"/>
                <w:szCs w:val="18"/>
                <w:lang w:eastAsia="sl-SI"/>
              </w:rPr>
              <w:t>*</w:t>
            </w:r>
            <w:r>
              <w:rPr>
                <w:rFonts w:ascii="Arial" w:eastAsia="Times New Roman" w:hAnsi="Arial" w:cs="Arial"/>
                <w:sz w:val="18"/>
                <w:szCs w:val="18"/>
                <w:lang w:eastAsia="sl-SI"/>
              </w:rPr>
              <w:t xml:space="preserve"> Drugo</w:t>
            </w:r>
          </w:p>
        </w:tc>
        <w:tc>
          <w:tcPr>
            <w:tcW w:w="1203" w:type="dxa"/>
            <w:tcBorders>
              <w:top w:val="nil"/>
              <w:left w:val="nil"/>
              <w:bottom w:val="single" w:sz="4" w:space="0" w:color="auto"/>
              <w:right w:val="single" w:sz="4" w:space="0" w:color="auto"/>
            </w:tcBorders>
            <w:shd w:val="clear" w:color="auto" w:fill="auto"/>
            <w:noWrap/>
            <w:vAlign w:val="bottom"/>
            <w:hideMark/>
          </w:tcPr>
          <w:p w14:paraId="46A1A1F6" w14:textId="77777777" w:rsidR="00A155A2" w:rsidRPr="003A4A81" w:rsidRDefault="00A155A2" w:rsidP="001C77D2">
            <w:pPr>
              <w:spacing w:after="0" w:line="240" w:lineRule="auto"/>
              <w:jc w:val="right"/>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462.895</w:t>
            </w:r>
          </w:p>
        </w:tc>
        <w:tc>
          <w:tcPr>
            <w:tcW w:w="1203" w:type="dxa"/>
            <w:tcBorders>
              <w:top w:val="nil"/>
              <w:left w:val="nil"/>
              <w:bottom w:val="single" w:sz="4" w:space="0" w:color="auto"/>
              <w:right w:val="single" w:sz="4" w:space="0" w:color="auto"/>
            </w:tcBorders>
            <w:shd w:val="clear" w:color="auto" w:fill="auto"/>
            <w:noWrap/>
            <w:vAlign w:val="bottom"/>
            <w:hideMark/>
          </w:tcPr>
          <w:p w14:paraId="41CF46DD" w14:textId="77777777" w:rsidR="00A155A2" w:rsidRPr="003A4A81" w:rsidRDefault="00A155A2" w:rsidP="001C77D2">
            <w:pPr>
              <w:spacing w:after="0" w:line="240" w:lineRule="auto"/>
              <w:jc w:val="right"/>
              <w:rPr>
                <w:rFonts w:ascii="Arial" w:eastAsia="Times New Roman" w:hAnsi="Arial" w:cs="Arial"/>
                <w:sz w:val="18"/>
                <w:szCs w:val="18"/>
                <w:lang w:eastAsia="sl-SI"/>
              </w:rPr>
            </w:pPr>
            <w:r w:rsidRPr="003A4A81">
              <w:rPr>
                <w:rFonts w:ascii="Arial" w:eastAsia="Times New Roman" w:hAnsi="Arial" w:cs="Arial"/>
                <w:sz w:val="18"/>
                <w:szCs w:val="18"/>
                <w:lang w:eastAsia="sl-SI"/>
              </w:rPr>
              <w:t>279.325</w:t>
            </w:r>
          </w:p>
        </w:tc>
        <w:tc>
          <w:tcPr>
            <w:tcW w:w="1203" w:type="dxa"/>
            <w:tcBorders>
              <w:top w:val="nil"/>
              <w:left w:val="nil"/>
              <w:bottom w:val="single" w:sz="4" w:space="0" w:color="auto"/>
              <w:right w:val="single" w:sz="4" w:space="0" w:color="auto"/>
            </w:tcBorders>
            <w:shd w:val="clear" w:color="auto" w:fill="auto"/>
            <w:noWrap/>
            <w:vAlign w:val="bottom"/>
            <w:hideMark/>
          </w:tcPr>
          <w:p w14:paraId="47DE66B9" w14:textId="77777777" w:rsidR="00A155A2" w:rsidRPr="003A4A81" w:rsidRDefault="00A155A2" w:rsidP="001C77D2">
            <w:pPr>
              <w:spacing w:after="0" w:line="240" w:lineRule="auto"/>
              <w:jc w:val="right"/>
              <w:rPr>
                <w:rFonts w:ascii="Arial" w:eastAsia="Times New Roman" w:hAnsi="Arial" w:cs="Arial"/>
                <w:sz w:val="18"/>
                <w:szCs w:val="18"/>
                <w:lang w:eastAsia="sl-SI"/>
              </w:rPr>
            </w:pPr>
            <w:r w:rsidRPr="003A4A81">
              <w:rPr>
                <w:rFonts w:ascii="Arial" w:eastAsia="Times New Roman" w:hAnsi="Arial" w:cs="Arial"/>
                <w:sz w:val="18"/>
                <w:szCs w:val="18"/>
                <w:lang w:eastAsia="sl-SI"/>
              </w:rPr>
              <w:t>89.316</w:t>
            </w:r>
          </w:p>
        </w:tc>
        <w:tc>
          <w:tcPr>
            <w:tcW w:w="1151" w:type="dxa"/>
            <w:tcBorders>
              <w:top w:val="nil"/>
              <w:left w:val="nil"/>
              <w:bottom w:val="single" w:sz="4" w:space="0" w:color="auto"/>
              <w:right w:val="single" w:sz="4" w:space="0" w:color="auto"/>
            </w:tcBorders>
            <w:shd w:val="clear" w:color="auto" w:fill="auto"/>
            <w:vAlign w:val="bottom"/>
            <w:hideMark/>
          </w:tcPr>
          <w:p w14:paraId="3A17AA43"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60,3</w:t>
            </w:r>
          </w:p>
        </w:tc>
        <w:tc>
          <w:tcPr>
            <w:tcW w:w="1151" w:type="dxa"/>
            <w:tcBorders>
              <w:top w:val="nil"/>
              <w:left w:val="nil"/>
              <w:bottom w:val="single" w:sz="4" w:space="0" w:color="auto"/>
              <w:right w:val="single" w:sz="4" w:space="0" w:color="auto"/>
            </w:tcBorders>
            <w:shd w:val="clear" w:color="auto" w:fill="auto"/>
            <w:vAlign w:val="bottom"/>
            <w:hideMark/>
          </w:tcPr>
          <w:p w14:paraId="38EBAB20"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19,3</w:t>
            </w:r>
          </w:p>
        </w:tc>
        <w:tc>
          <w:tcPr>
            <w:tcW w:w="1151" w:type="dxa"/>
            <w:tcBorders>
              <w:top w:val="nil"/>
              <w:left w:val="nil"/>
              <w:bottom w:val="single" w:sz="4" w:space="0" w:color="auto"/>
              <w:right w:val="single" w:sz="4" w:space="0" w:color="auto"/>
            </w:tcBorders>
            <w:shd w:val="clear" w:color="auto" w:fill="auto"/>
            <w:vAlign w:val="bottom"/>
            <w:hideMark/>
          </w:tcPr>
          <w:p w14:paraId="4410BBD9"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32,0</w:t>
            </w:r>
          </w:p>
        </w:tc>
        <w:tc>
          <w:tcPr>
            <w:tcW w:w="706" w:type="dxa"/>
            <w:tcBorders>
              <w:top w:val="nil"/>
              <w:left w:val="nil"/>
              <w:bottom w:val="single" w:sz="4" w:space="0" w:color="auto"/>
              <w:right w:val="single" w:sz="4" w:space="0" w:color="auto"/>
            </w:tcBorders>
            <w:shd w:val="clear" w:color="auto" w:fill="auto"/>
            <w:noWrap/>
            <w:vAlign w:val="bottom"/>
            <w:hideMark/>
          </w:tcPr>
          <w:p w14:paraId="510349C6"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0,0</w:t>
            </w:r>
          </w:p>
        </w:tc>
      </w:tr>
      <w:tr w:rsidR="00A155A2" w:rsidRPr="003A4A81" w14:paraId="62AC04CD" w14:textId="77777777" w:rsidTr="001C77D2">
        <w:trPr>
          <w:trHeight w:val="181"/>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4ACB029B" w14:textId="77777777" w:rsidR="00A155A2" w:rsidRPr="003A4A81" w:rsidRDefault="00A155A2" w:rsidP="001C77D2">
            <w:pPr>
              <w:spacing w:after="0" w:line="240" w:lineRule="auto"/>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SKUPAJ</w:t>
            </w:r>
          </w:p>
        </w:tc>
        <w:tc>
          <w:tcPr>
            <w:tcW w:w="1203" w:type="dxa"/>
            <w:tcBorders>
              <w:top w:val="nil"/>
              <w:left w:val="nil"/>
              <w:bottom w:val="single" w:sz="4" w:space="0" w:color="auto"/>
              <w:right w:val="single" w:sz="4" w:space="0" w:color="auto"/>
            </w:tcBorders>
            <w:shd w:val="clear" w:color="auto" w:fill="auto"/>
            <w:vAlign w:val="center"/>
            <w:hideMark/>
          </w:tcPr>
          <w:p w14:paraId="692FD56A" w14:textId="77777777" w:rsidR="00A155A2" w:rsidRPr="003A4A81" w:rsidRDefault="00A155A2" w:rsidP="001C77D2">
            <w:pPr>
              <w:spacing w:after="0" w:line="240" w:lineRule="auto"/>
              <w:jc w:val="right"/>
              <w:rPr>
                <w:rFonts w:ascii="Arial" w:eastAsia="Times New Roman" w:hAnsi="Arial" w:cs="Arial"/>
                <w:b/>
                <w:bCs/>
                <w:color w:val="000000"/>
                <w:sz w:val="18"/>
                <w:szCs w:val="18"/>
                <w:lang w:eastAsia="sl-SI"/>
              </w:rPr>
            </w:pPr>
            <w:r w:rsidRPr="003A4A81">
              <w:rPr>
                <w:rFonts w:ascii="Arial" w:eastAsia="Times New Roman" w:hAnsi="Arial" w:cs="Arial"/>
                <w:b/>
                <w:bCs/>
                <w:color w:val="000000"/>
                <w:sz w:val="18"/>
                <w:szCs w:val="18"/>
                <w:lang w:eastAsia="sl-SI"/>
              </w:rPr>
              <w:t>456.724.627</w:t>
            </w:r>
          </w:p>
        </w:tc>
        <w:tc>
          <w:tcPr>
            <w:tcW w:w="1203" w:type="dxa"/>
            <w:tcBorders>
              <w:top w:val="nil"/>
              <w:left w:val="nil"/>
              <w:bottom w:val="single" w:sz="4" w:space="0" w:color="auto"/>
              <w:right w:val="single" w:sz="4" w:space="0" w:color="auto"/>
            </w:tcBorders>
            <w:shd w:val="clear" w:color="auto" w:fill="auto"/>
            <w:vAlign w:val="center"/>
            <w:hideMark/>
          </w:tcPr>
          <w:p w14:paraId="6B1B2CEE" w14:textId="77777777" w:rsidR="00A155A2" w:rsidRPr="003A4A81" w:rsidRDefault="00A155A2" w:rsidP="001C77D2">
            <w:pPr>
              <w:spacing w:after="0" w:line="240" w:lineRule="auto"/>
              <w:jc w:val="right"/>
              <w:rPr>
                <w:rFonts w:ascii="Arial" w:eastAsia="Times New Roman" w:hAnsi="Arial" w:cs="Arial"/>
                <w:b/>
                <w:bCs/>
                <w:sz w:val="18"/>
                <w:szCs w:val="18"/>
                <w:lang w:eastAsia="sl-SI"/>
              </w:rPr>
            </w:pPr>
            <w:r w:rsidRPr="003A4A81">
              <w:rPr>
                <w:rFonts w:ascii="Arial" w:eastAsia="Times New Roman" w:hAnsi="Arial" w:cs="Arial"/>
                <w:b/>
                <w:bCs/>
                <w:sz w:val="18"/>
                <w:szCs w:val="18"/>
                <w:lang w:eastAsia="sl-SI"/>
              </w:rPr>
              <w:t>410.044.664</w:t>
            </w:r>
          </w:p>
        </w:tc>
        <w:tc>
          <w:tcPr>
            <w:tcW w:w="1203" w:type="dxa"/>
            <w:tcBorders>
              <w:top w:val="nil"/>
              <w:left w:val="nil"/>
              <w:bottom w:val="single" w:sz="4" w:space="0" w:color="auto"/>
              <w:right w:val="single" w:sz="4" w:space="0" w:color="auto"/>
            </w:tcBorders>
            <w:shd w:val="clear" w:color="auto" w:fill="auto"/>
            <w:vAlign w:val="center"/>
            <w:hideMark/>
          </w:tcPr>
          <w:p w14:paraId="0C97961C" w14:textId="77777777" w:rsidR="00A155A2" w:rsidRPr="003A4A81" w:rsidRDefault="00A155A2" w:rsidP="001C77D2">
            <w:pPr>
              <w:spacing w:after="0" w:line="240" w:lineRule="auto"/>
              <w:jc w:val="right"/>
              <w:rPr>
                <w:rFonts w:ascii="Arial" w:eastAsia="Times New Roman" w:hAnsi="Arial" w:cs="Arial"/>
                <w:b/>
                <w:bCs/>
                <w:sz w:val="18"/>
                <w:szCs w:val="18"/>
                <w:lang w:eastAsia="sl-SI"/>
              </w:rPr>
            </w:pPr>
            <w:r w:rsidRPr="003A4A81">
              <w:rPr>
                <w:rFonts w:ascii="Arial" w:eastAsia="Times New Roman" w:hAnsi="Arial" w:cs="Arial"/>
                <w:b/>
                <w:bCs/>
                <w:sz w:val="18"/>
                <w:szCs w:val="18"/>
                <w:lang w:eastAsia="sl-SI"/>
              </w:rPr>
              <w:t>420.119.399</w:t>
            </w:r>
          </w:p>
        </w:tc>
        <w:tc>
          <w:tcPr>
            <w:tcW w:w="1151" w:type="dxa"/>
            <w:tcBorders>
              <w:top w:val="nil"/>
              <w:left w:val="nil"/>
              <w:bottom w:val="single" w:sz="4" w:space="0" w:color="auto"/>
              <w:right w:val="single" w:sz="4" w:space="0" w:color="auto"/>
            </w:tcBorders>
            <w:shd w:val="clear" w:color="auto" w:fill="auto"/>
            <w:vAlign w:val="bottom"/>
            <w:hideMark/>
          </w:tcPr>
          <w:p w14:paraId="2E665629"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89,8</w:t>
            </w:r>
          </w:p>
        </w:tc>
        <w:tc>
          <w:tcPr>
            <w:tcW w:w="1151" w:type="dxa"/>
            <w:tcBorders>
              <w:top w:val="nil"/>
              <w:left w:val="nil"/>
              <w:bottom w:val="single" w:sz="4" w:space="0" w:color="auto"/>
              <w:right w:val="single" w:sz="4" w:space="0" w:color="auto"/>
            </w:tcBorders>
            <w:shd w:val="clear" w:color="auto" w:fill="auto"/>
            <w:vAlign w:val="bottom"/>
            <w:hideMark/>
          </w:tcPr>
          <w:p w14:paraId="27044042" w14:textId="77777777" w:rsidR="00A155A2" w:rsidRPr="003A4A81" w:rsidRDefault="00A155A2" w:rsidP="001C77D2">
            <w:pPr>
              <w:spacing w:after="0" w:line="240" w:lineRule="auto"/>
              <w:jc w:val="center"/>
              <w:rPr>
                <w:rFonts w:ascii="Arial" w:eastAsia="Times New Roman" w:hAnsi="Arial" w:cs="Arial"/>
                <w:sz w:val="18"/>
                <w:szCs w:val="18"/>
                <w:lang w:eastAsia="sl-SI"/>
              </w:rPr>
            </w:pPr>
            <w:r w:rsidRPr="003A4A81">
              <w:rPr>
                <w:rFonts w:ascii="Arial" w:eastAsia="Times New Roman" w:hAnsi="Arial" w:cs="Arial"/>
                <w:sz w:val="18"/>
                <w:szCs w:val="18"/>
                <w:lang w:eastAsia="sl-SI"/>
              </w:rPr>
              <w:t>92,0</w:t>
            </w:r>
          </w:p>
        </w:tc>
        <w:tc>
          <w:tcPr>
            <w:tcW w:w="1151" w:type="dxa"/>
            <w:tcBorders>
              <w:top w:val="nil"/>
              <w:left w:val="nil"/>
              <w:bottom w:val="single" w:sz="4" w:space="0" w:color="auto"/>
              <w:right w:val="single" w:sz="4" w:space="0" w:color="auto"/>
            </w:tcBorders>
            <w:shd w:val="clear" w:color="auto" w:fill="auto"/>
            <w:vAlign w:val="bottom"/>
            <w:hideMark/>
          </w:tcPr>
          <w:p w14:paraId="6921E3E3"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102,5</w:t>
            </w:r>
          </w:p>
        </w:tc>
        <w:tc>
          <w:tcPr>
            <w:tcW w:w="706" w:type="dxa"/>
            <w:tcBorders>
              <w:top w:val="nil"/>
              <w:left w:val="nil"/>
              <w:bottom w:val="single" w:sz="4" w:space="0" w:color="auto"/>
              <w:right w:val="single" w:sz="4" w:space="0" w:color="auto"/>
            </w:tcBorders>
            <w:shd w:val="clear" w:color="auto" w:fill="auto"/>
            <w:noWrap/>
            <w:vAlign w:val="bottom"/>
            <w:hideMark/>
          </w:tcPr>
          <w:p w14:paraId="54307958" w14:textId="77777777" w:rsidR="00A155A2" w:rsidRPr="003A4A81" w:rsidRDefault="00A155A2" w:rsidP="001C77D2">
            <w:pPr>
              <w:spacing w:after="0" w:line="240" w:lineRule="auto"/>
              <w:jc w:val="center"/>
              <w:rPr>
                <w:rFonts w:ascii="Arial" w:eastAsia="Times New Roman" w:hAnsi="Arial" w:cs="Arial"/>
                <w:color w:val="000000"/>
                <w:sz w:val="18"/>
                <w:szCs w:val="18"/>
                <w:lang w:eastAsia="sl-SI"/>
              </w:rPr>
            </w:pPr>
            <w:r w:rsidRPr="003A4A81">
              <w:rPr>
                <w:rFonts w:ascii="Arial" w:eastAsia="Times New Roman" w:hAnsi="Arial" w:cs="Arial"/>
                <w:color w:val="000000"/>
                <w:sz w:val="18"/>
                <w:szCs w:val="18"/>
                <w:lang w:eastAsia="sl-SI"/>
              </w:rPr>
              <w:t>100</w:t>
            </w:r>
          </w:p>
        </w:tc>
      </w:tr>
    </w:tbl>
    <w:p w14:paraId="7C411286" w14:textId="77777777" w:rsidR="00A155A2" w:rsidRPr="006E2C83" w:rsidRDefault="00A155A2" w:rsidP="00A155A2">
      <w:pPr>
        <w:spacing w:after="0"/>
        <w:rPr>
          <w:rFonts w:ascii="Arial" w:hAnsi="Arial" w:cs="Arial"/>
          <w:bCs/>
          <w:color w:val="000000"/>
          <w:sz w:val="16"/>
          <w:szCs w:val="16"/>
        </w:rPr>
      </w:pPr>
      <w:r>
        <w:rPr>
          <w:rFonts w:ascii="Arial" w:hAnsi="Arial" w:cs="Arial"/>
          <w:bCs/>
          <w:color w:val="000000"/>
          <w:sz w:val="16"/>
          <w:szCs w:val="16"/>
        </w:rPr>
        <w:t>*</w:t>
      </w:r>
      <w:r w:rsidRPr="006E2C83">
        <w:rPr>
          <w:rFonts w:ascii="Arial" w:hAnsi="Arial" w:cs="Arial"/>
          <w:bCs/>
          <w:color w:val="000000"/>
          <w:sz w:val="16"/>
          <w:szCs w:val="16"/>
        </w:rPr>
        <w:t xml:space="preserve"> </w:t>
      </w:r>
      <w:r>
        <w:rPr>
          <w:rFonts w:ascii="Arial" w:hAnsi="Arial" w:cs="Arial"/>
          <w:bCs/>
          <w:color w:val="000000"/>
          <w:sz w:val="16"/>
          <w:szCs w:val="16"/>
        </w:rPr>
        <w:t>Drugo</w:t>
      </w:r>
      <w:r w:rsidRPr="006E2C83">
        <w:rPr>
          <w:rFonts w:ascii="Arial" w:hAnsi="Arial" w:cs="Arial"/>
          <w:bCs/>
          <w:color w:val="000000"/>
          <w:sz w:val="16"/>
          <w:szCs w:val="16"/>
        </w:rPr>
        <w:t>: prisilna likvidacija, izbris brez likvidacije i</w:t>
      </w:r>
      <w:r>
        <w:rPr>
          <w:rFonts w:ascii="Arial" w:hAnsi="Arial" w:cs="Arial"/>
          <w:bCs/>
          <w:color w:val="000000"/>
          <w:sz w:val="16"/>
          <w:szCs w:val="16"/>
        </w:rPr>
        <w:t xml:space="preserve">n </w:t>
      </w:r>
      <w:r w:rsidRPr="006E2C83">
        <w:rPr>
          <w:rFonts w:ascii="Arial" w:hAnsi="Arial" w:cs="Arial"/>
          <w:bCs/>
          <w:color w:val="000000"/>
          <w:sz w:val="16"/>
          <w:szCs w:val="16"/>
        </w:rPr>
        <w:t>p</w:t>
      </w:r>
      <w:r>
        <w:rPr>
          <w:rFonts w:ascii="Arial" w:hAnsi="Arial" w:cs="Arial"/>
          <w:bCs/>
          <w:color w:val="000000"/>
          <w:sz w:val="16"/>
          <w:szCs w:val="16"/>
        </w:rPr>
        <w:t>o</w:t>
      </w:r>
      <w:r w:rsidRPr="006E2C83">
        <w:rPr>
          <w:rFonts w:ascii="Arial" w:hAnsi="Arial" w:cs="Arial"/>
          <w:bCs/>
          <w:color w:val="000000"/>
          <w:sz w:val="16"/>
          <w:szCs w:val="16"/>
        </w:rPr>
        <w:t>d</w:t>
      </w:r>
      <w:r>
        <w:rPr>
          <w:rFonts w:ascii="Arial" w:hAnsi="Arial" w:cs="Arial"/>
          <w:bCs/>
          <w:color w:val="000000"/>
          <w:sz w:val="16"/>
          <w:szCs w:val="16"/>
        </w:rPr>
        <w:t>obno</w:t>
      </w:r>
      <w:r w:rsidRPr="006E2C83">
        <w:rPr>
          <w:rFonts w:ascii="Arial" w:hAnsi="Arial" w:cs="Arial"/>
          <w:bCs/>
          <w:color w:val="000000"/>
          <w:sz w:val="16"/>
          <w:szCs w:val="16"/>
        </w:rPr>
        <w:t>.</w:t>
      </w:r>
    </w:p>
    <w:p w14:paraId="677087A7" w14:textId="77777777" w:rsidR="00A155A2" w:rsidRDefault="00A155A2" w:rsidP="00A155A2">
      <w:pPr>
        <w:spacing w:after="0"/>
        <w:rPr>
          <w:rFonts w:ascii="Arial" w:hAnsi="Arial" w:cs="Arial"/>
          <w:i/>
          <w:color w:val="000000"/>
          <w:sz w:val="20"/>
          <w:szCs w:val="20"/>
        </w:rPr>
      </w:pPr>
      <w:r w:rsidRPr="006E2C83">
        <w:rPr>
          <w:rFonts w:ascii="Arial" w:hAnsi="Arial" w:cs="Arial"/>
          <w:i/>
          <w:color w:val="000000"/>
          <w:sz w:val="20"/>
          <w:szCs w:val="20"/>
        </w:rPr>
        <w:t>Vir: FURS</w:t>
      </w:r>
    </w:p>
    <w:bookmarkEnd w:id="11"/>
    <w:p w14:paraId="6310FDF0" w14:textId="77777777" w:rsidR="00A155A2" w:rsidRDefault="00A155A2" w:rsidP="00A155A2">
      <w:pPr>
        <w:pStyle w:val="Naslov3"/>
        <w:spacing w:before="0" w:after="200"/>
        <w:rPr>
          <w:rFonts w:ascii="Arial" w:hAnsi="Arial" w:cs="Arial"/>
          <w:sz w:val="20"/>
          <w:szCs w:val="20"/>
        </w:rPr>
      </w:pPr>
    </w:p>
    <w:p w14:paraId="1DEACC16" w14:textId="77777777" w:rsidR="00A155A2" w:rsidRDefault="00A155A2" w:rsidP="00A155A2">
      <w:pPr>
        <w:pStyle w:val="Naslov3"/>
        <w:spacing w:before="0" w:after="200"/>
        <w:rPr>
          <w:rFonts w:ascii="Arial" w:hAnsi="Arial" w:cs="Arial"/>
          <w:sz w:val="20"/>
          <w:szCs w:val="20"/>
        </w:rPr>
      </w:pPr>
      <w:r w:rsidRPr="00DD20A8">
        <w:rPr>
          <w:rFonts w:ascii="Arial" w:hAnsi="Arial" w:cs="Arial"/>
          <w:sz w:val="20"/>
          <w:szCs w:val="20"/>
        </w:rPr>
        <w:t>4.2</w:t>
      </w:r>
      <w:r>
        <w:rPr>
          <w:rFonts w:ascii="Arial" w:hAnsi="Arial" w:cs="Arial"/>
          <w:sz w:val="20"/>
          <w:szCs w:val="20"/>
        </w:rPr>
        <w:tab/>
      </w:r>
      <w:r w:rsidRPr="00DD20A8">
        <w:rPr>
          <w:rFonts w:ascii="Arial" w:hAnsi="Arial" w:cs="Arial"/>
          <w:sz w:val="20"/>
          <w:szCs w:val="20"/>
        </w:rPr>
        <w:t>Gibanje davčnega dolga</w:t>
      </w:r>
      <w:r w:rsidRPr="0072462B">
        <w:rPr>
          <w:rFonts w:ascii="Arial" w:hAnsi="Arial" w:cs="Arial"/>
          <w:sz w:val="20"/>
          <w:szCs w:val="20"/>
        </w:rPr>
        <w:t xml:space="preserve"> </w:t>
      </w:r>
    </w:p>
    <w:p w14:paraId="53A4310C" w14:textId="77777777" w:rsidR="00A155A2" w:rsidRPr="00D32ACA" w:rsidRDefault="00A155A2" w:rsidP="00A155A2">
      <w:pPr>
        <w:jc w:val="both"/>
        <w:rPr>
          <w:rFonts w:ascii="Arial" w:hAnsi="Arial" w:cs="Arial"/>
          <w:sz w:val="20"/>
          <w:szCs w:val="20"/>
        </w:rPr>
      </w:pPr>
      <w:r>
        <w:rPr>
          <w:rFonts w:ascii="Arial" w:hAnsi="Arial" w:cs="Arial"/>
          <w:sz w:val="20"/>
          <w:szCs w:val="20"/>
        </w:rPr>
        <w:t>L</w:t>
      </w:r>
      <w:r w:rsidRPr="00D32ACA">
        <w:rPr>
          <w:rFonts w:ascii="Arial" w:hAnsi="Arial" w:cs="Arial"/>
          <w:sz w:val="20"/>
          <w:szCs w:val="20"/>
        </w:rPr>
        <w:t>et</w:t>
      </w:r>
      <w:r>
        <w:rPr>
          <w:rFonts w:ascii="Arial" w:hAnsi="Arial" w:cs="Arial"/>
          <w:sz w:val="20"/>
          <w:szCs w:val="20"/>
        </w:rPr>
        <w:t>a</w:t>
      </w:r>
      <w:r w:rsidRPr="00D32ACA">
        <w:rPr>
          <w:rFonts w:ascii="Arial" w:hAnsi="Arial" w:cs="Arial"/>
          <w:sz w:val="20"/>
          <w:szCs w:val="20"/>
        </w:rPr>
        <w:t xml:space="preserve"> 2024 se je davčni dolg v primerjavi z letom </w:t>
      </w:r>
      <w:r>
        <w:rPr>
          <w:rFonts w:ascii="Arial" w:hAnsi="Arial" w:cs="Arial"/>
          <w:sz w:val="20"/>
          <w:szCs w:val="20"/>
        </w:rPr>
        <w:t>prej</w:t>
      </w:r>
      <w:r w:rsidRPr="00D32ACA">
        <w:rPr>
          <w:rFonts w:ascii="Arial" w:hAnsi="Arial" w:cs="Arial"/>
          <w:sz w:val="20"/>
          <w:szCs w:val="20"/>
        </w:rPr>
        <w:t xml:space="preserve"> </w:t>
      </w:r>
      <w:r>
        <w:rPr>
          <w:rFonts w:ascii="Arial" w:hAnsi="Arial" w:cs="Arial"/>
          <w:sz w:val="20"/>
          <w:szCs w:val="20"/>
        </w:rPr>
        <w:t>po</w:t>
      </w:r>
      <w:r w:rsidRPr="00D32ACA">
        <w:rPr>
          <w:rFonts w:ascii="Arial" w:hAnsi="Arial" w:cs="Arial"/>
          <w:sz w:val="20"/>
          <w:szCs w:val="20"/>
        </w:rPr>
        <w:t>v</w:t>
      </w:r>
      <w:r>
        <w:rPr>
          <w:rFonts w:ascii="Arial" w:hAnsi="Arial" w:cs="Arial"/>
          <w:sz w:val="20"/>
          <w:szCs w:val="20"/>
        </w:rPr>
        <w:t>eč</w:t>
      </w:r>
      <w:r w:rsidRPr="00D32ACA">
        <w:rPr>
          <w:rFonts w:ascii="Arial" w:hAnsi="Arial" w:cs="Arial"/>
          <w:sz w:val="20"/>
          <w:szCs w:val="20"/>
        </w:rPr>
        <w:t xml:space="preserve">al za 60.128.463 EUR </w:t>
      </w:r>
      <w:r>
        <w:rPr>
          <w:rFonts w:ascii="Arial" w:hAnsi="Arial" w:cs="Arial"/>
          <w:sz w:val="20"/>
          <w:szCs w:val="20"/>
        </w:rPr>
        <w:t>ali</w:t>
      </w:r>
      <w:r w:rsidRPr="00D32ACA">
        <w:rPr>
          <w:rFonts w:ascii="Arial" w:hAnsi="Arial" w:cs="Arial"/>
          <w:sz w:val="20"/>
          <w:szCs w:val="20"/>
        </w:rPr>
        <w:t xml:space="preserve"> 7,1 odstotk</w:t>
      </w:r>
      <w:r>
        <w:rPr>
          <w:rFonts w:ascii="Arial" w:hAnsi="Arial" w:cs="Arial"/>
          <w:sz w:val="20"/>
          <w:szCs w:val="20"/>
        </w:rPr>
        <w:t>a</w:t>
      </w:r>
      <w:r w:rsidRPr="00D32ACA">
        <w:rPr>
          <w:rFonts w:ascii="Arial" w:hAnsi="Arial" w:cs="Arial"/>
          <w:sz w:val="20"/>
          <w:szCs w:val="20"/>
        </w:rPr>
        <w:t>, v primerjavi z letom 2022 pa za 5.587.267 EUR (</w:t>
      </w:r>
      <w:r>
        <w:rPr>
          <w:rFonts w:ascii="Arial" w:hAnsi="Arial" w:cs="Arial"/>
          <w:sz w:val="20"/>
          <w:szCs w:val="20"/>
        </w:rPr>
        <w:t xml:space="preserve">ali za </w:t>
      </w:r>
      <w:r w:rsidRPr="00D32ACA">
        <w:rPr>
          <w:rFonts w:ascii="Arial" w:hAnsi="Arial" w:cs="Arial"/>
          <w:sz w:val="20"/>
          <w:szCs w:val="20"/>
        </w:rPr>
        <w:t xml:space="preserve">0,6 odstotka). </w:t>
      </w:r>
      <w:r>
        <w:rPr>
          <w:rFonts w:ascii="Arial" w:hAnsi="Arial" w:cs="Arial"/>
          <w:sz w:val="20"/>
          <w:szCs w:val="20"/>
        </w:rPr>
        <w:t>A</w:t>
      </w:r>
      <w:r w:rsidRPr="00D32ACA">
        <w:rPr>
          <w:rFonts w:ascii="Arial" w:hAnsi="Arial" w:cs="Arial"/>
          <w:sz w:val="20"/>
          <w:szCs w:val="20"/>
        </w:rPr>
        <w:t>ktivn</w:t>
      </w:r>
      <w:r>
        <w:rPr>
          <w:rFonts w:ascii="Arial" w:hAnsi="Arial" w:cs="Arial"/>
          <w:sz w:val="20"/>
          <w:szCs w:val="20"/>
        </w:rPr>
        <w:t>i</w:t>
      </w:r>
      <w:r w:rsidRPr="00D32ACA">
        <w:rPr>
          <w:rFonts w:ascii="Arial" w:hAnsi="Arial" w:cs="Arial"/>
          <w:sz w:val="20"/>
          <w:szCs w:val="20"/>
        </w:rPr>
        <w:t xml:space="preserve"> dolg je </w:t>
      </w:r>
      <w:r>
        <w:rPr>
          <w:rFonts w:ascii="Arial" w:hAnsi="Arial" w:cs="Arial"/>
          <w:sz w:val="20"/>
          <w:szCs w:val="20"/>
        </w:rPr>
        <w:t>zrasel</w:t>
      </w:r>
      <w:r w:rsidRPr="00D32ACA">
        <w:rPr>
          <w:rFonts w:ascii="Arial" w:hAnsi="Arial" w:cs="Arial"/>
          <w:sz w:val="20"/>
          <w:szCs w:val="20"/>
        </w:rPr>
        <w:t xml:space="preserve"> za 50.053.728 EUR </w:t>
      </w:r>
      <w:r>
        <w:rPr>
          <w:rFonts w:ascii="Arial" w:hAnsi="Arial" w:cs="Arial"/>
          <w:sz w:val="20"/>
          <w:szCs w:val="20"/>
        </w:rPr>
        <w:t>ali</w:t>
      </w:r>
      <w:r w:rsidRPr="00D32ACA">
        <w:rPr>
          <w:rFonts w:ascii="Arial" w:hAnsi="Arial" w:cs="Arial"/>
          <w:sz w:val="20"/>
          <w:szCs w:val="20"/>
        </w:rPr>
        <w:t xml:space="preserve"> 11,6 odstotka, pogojno izterljiv</w:t>
      </w:r>
      <w:r>
        <w:rPr>
          <w:rFonts w:ascii="Arial" w:hAnsi="Arial" w:cs="Arial"/>
          <w:sz w:val="20"/>
          <w:szCs w:val="20"/>
        </w:rPr>
        <w:t>i</w:t>
      </w:r>
      <w:r w:rsidRPr="00D32ACA">
        <w:rPr>
          <w:rFonts w:ascii="Arial" w:hAnsi="Arial" w:cs="Arial"/>
          <w:sz w:val="20"/>
          <w:szCs w:val="20"/>
        </w:rPr>
        <w:t xml:space="preserve"> dolg pa za 10.074.734 EUR </w:t>
      </w:r>
      <w:r>
        <w:rPr>
          <w:rFonts w:ascii="Arial" w:hAnsi="Arial" w:cs="Arial"/>
          <w:sz w:val="20"/>
          <w:szCs w:val="20"/>
        </w:rPr>
        <w:t>ali</w:t>
      </w:r>
      <w:r w:rsidRPr="00D32ACA">
        <w:rPr>
          <w:rFonts w:ascii="Arial" w:hAnsi="Arial" w:cs="Arial"/>
          <w:sz w:val="20"/>
          <w:szCs w:val="20"/>
        </w:rPr>
        <w:t xml:space="preserve"> 2,5 odstotka.</w:t>
      </w:r>
    </w:p>
    <w:p w14:paraId="5CFA7705" w14:textId="77777777" w:rsidR="00A155A2" w:rsidRPr="00721DA2" w:rsidRDefault="00A155A2" w:rsidP="00A155A2">
      <w:pPr>
        <w:jc w:val="both"/>
        <w:rPr>
          <w:rFonts w:ascii="Arial" w:hAnsi="Arial" w:cs="Arial"/>
          <w:sz w:val="20"/>
          <w:szCs w:val="20"/>
        </w:rPr>
      </w:pPr>
      <w:r w:rsidRPr="00721DA2">
        <w:rPr>
          <w:rFonts w:ascii="Arial" w:hAnsi="Arial" w:cs="Arial"/>
          <w:sz w:val="20"/>
          <w:szCs w:val="20"/>
        </w:rPr>
        <w:t xml:space="preserve">Eden od razlogov za višje stanje dolga konec leta 2024 v primerjavi </w:t>
      </w:r>
      <w:r>
        <w:rPr>
          <w:rFonts w:ascii="Arial" w:hAnsi="Arial" w:cs="Arial"/>
          <w:sz w:val="20"/>
          <w:szCs w:val="20"/>
        </w:rPr>
        <w:t>z</w:t>
      </w:r>
      <w:r w:rsidRPr="00721DA2">
        <w:rPr>
          <w:rFonts w:ascii="Arial" w:hAnsi="Arial" w:cs="Arial"/>
          <w:sz w:val="20"/>
          <w:szCs w:val="20"/>
        </w:rPr>
        <w:t xml:space="preserve"> letom</w:t>
      </w:r>
      <w:r>
        <w:rPr>
          <w:rFonts w:ascii="Arial" w:hAnsi="Arial" w:cs="Arial"/>
          <w:sz w:val="20"/>
          <w:szCs w:val="20"/>
        </w:rPr>
        <w:t xml:space="preserve"> prej</w:t>
      </w:r>
      <w:r w:rsidRPr="00721DA2">
        <w:rPr>
          <w:rFonts w:ascii="Arial" w:hAnsi="Arial" w:cs="Arial"/>
          <w:sz w:val="20"/>
          <w:szCs w:val="20"/>
        </w:rPr>
        <w:t xml:space="preserve"> je bila sprememba terjatve po obračunu v </w:t>
      </w:r>
      <w:r>
        <w:rPr>
          <w:rFonts w:ascii="Arial" w:hAnsi="Arial" w:cs="Arial"/>
          <w:sz w:val="20"/>
          <w:szCs w:val="20"/>
        </w:rPr>
        <w:t>znesku</w:t>
      </w:r>
      <w:r w:rsidRPr="00721DA2">
        <w:rPr>
          <w:rFonts w:ascii="Arial" w:hAnsi="Arial" w:cs="Arial"/>
          <w:sz w:val="20"/>
          <w:szCs w:val="20"/>
        </w:rPr>
        <w:t xml:space="preserve"> 23,1 mil</w:t>
      </w:r>
      <w:r>
        <w:rPr>
          <w:rFonts w:ascii="Arial" w:hAnsi="Arial" w:cs="Arial"/>
          <w:sz w:val="20"/>
          <w:szCs w:val="20"/>
        </w:rPr>
        <w:t>i</w:t>
      </w:r>
      <w:r w:rsidRPr="00721DA2">
        <w:rPr>
          <w:rFonts w:ascii="Arial" w:hAnsi="Arial" w:cs="Arial"/>
          <w:sz w:val="20"/>
          <w:szCs w:val="20"/>
        </w:rPr>
        <w:t xml:space="preserve">jona EUR, </w:t>
      </w:r>
      <w:r>
        <w:rPr>
          <w:rFonts w:ascii="Arial" w:hAnsi="Arial" w:cs="Arial"/>
          <w:sz w:val="20"/>
          <w:szCs w:val="20"/>
        </w:rPr>
        <w:t>izvedena</w:t>
      </w:r>
      <w:r w:rsidRPr="009C000B">
        <w:rPr>
          <w:rFonts w:ascii="Arial" w:hAnsi="Arial" w:cs="Arial"/>
          <w:sz w:val="20"/>
          <w:szCs w:val="20"/>
        </w:rPr>
        <w:t xml:space="preserve"> v </w:t>
      </w:r>
      <w:r>
        <w:rPr>
          <w:rFonts w:ascii="Arial" w:hAnsi="Arial" w:cs="Arial"/>
          <w:sz w:val="20"/>
          <w:szCs w:val="20"/>
        </w:rPr>
        <w:t>obdobju</w:t>
      </w:r>
      <w:r w:rsidRPr="009C000B">
        <w:rPr>
          <w:rFonts w:ascii="Arial" w:hAnsi="Arial" w:cs="Arial"/>
          <w:sz w:val="20"/>
          <w:szCs w:val="20"/>
        </w:rPr>
        <w:t xml:space="preserve"> IOP za zaključni račun, za katero popravka ni bilo več mogoče vključiti v leto 2024</w:t>
      </w:r>
      <w:r w:rsidRPr="00721DA2">
        <w:rPr>
          <w:rFonts w:ascii="Arial" w:hAnsi="Arial" w:cs="Arial"/>
          <w:sz w:val="20"/>
          <w:szCs w:val="20"/>
        </w:rPr>
        <w:t>. Postavka</w:t>
      </w:r>
      <w:r w:rsidRPr="00721DA2">
        <w:rPr>
          <w:rStyle w:val="Sprotnaopomba-sklic"/>
          <w:rFonts w:ascii="Arial" w:hAnsi="Arial" w:cs="Arial"/>
          <w:sz w:val="20"/>
          <w:szCs w:val="20"/>
        </w:rPr>
        <w:footnoteReference w:id="9"/>
      </w:r>
      <w:r w:rsidRPr="00721DA2">
        <w:rPr>
          <w:rFonts w:ascii="Arial" w:hAnsi="Arial" w:cs="Arial"/>
          <w:sz w:val="20"/>
          <w:szCs w:val="20"/>
        </w:rPr>
        <w:t xml:space="preserve"> se izkazuje v aktivnem davčnem dolgu </w:t>
      </w:r>
      <w:r>
        <w:rPr>
          <w:rFonts w:ascii="Arial" w:hAnsi="Arial" w:cs="Arial"/>
          <w:sz w:val="20"/>
          <w:szCs w:val="20"/>
        </w:rPr>
        <w:t>pri</w:t>
      </w:r>
      <w:r w:rsidRPr="00721DA2">
        <w:rPr>
          <w:rFonts w:ascii="Arial" w:hAnsi="Arial" w:cs="Arial"/>
          <w:sz w:val="20"/>
          <w:szCs w:val="20"/>
        </w:rPr>
        <w:t xml:space="preserve"> trošarin</w:t>
      </w:r>
      <w:r>
        <w:rPr>
          <w:rFonts w:ascii="Arial" w:hAnsi="Arial" w:cs="Arial"/>
          <w:sz w:val="20"/>
          <w:szCs w:val="20"/>
        </w:rPr>
        <w:t>i</w:t>
      </w:r>
      <w:r w:rsidRPr="00721DA2">
        <w:rPr>
          <w:rFonts w:ascii="Arial" w:hAnsi="Arial" w:cs="Arial"/>
          <w:sz w:val="20"/>
          <w:szCs w:val="20"/>
        </w:rPr>
        <w:t xml:space="preserve"> po obračunu za november v </w:t>
      </w:r>
      <w:r>
        <w:rPr>
          <w:rFonts w:ascii="Arial" w:hAnsi="Arial" w:cs="Arial"/>
          <w:sz w:val="20"/>
          <w:szCs w:val="20"/>
        </w:rPr>
        <w:t xml:space="preserve">navedenem </w:t>
      </w:r>
      <w:r w:rsidRPr="00721DA2">
        <w:rPr>
          <w:rFonts w:ascii="Arial" w:hAnsi="Arial" w:cs="Arial"/>
          <w:sz w:val="20"/>
          <w:szCs w:val="20"/>
        </w:rPr>
        <w:t>znesku, čeprav je bilo plačilo prejeto 30.</w:t>
      </w:r>
      <w:r>
        <w:rPr>
          <w:rFonts w:ascii="Arial" w:hAnsi="Arial" w:cs="Arial"/>
          <w:sz w:val="20"/>
          <w:szCs w:val="20"/>
        </w:rPr>
        <w:t xml:space="preserve"> </w:t>
      </w:r>
      <w:r w:rsidRPr="00721DA2">
        <w:rPr>
          <w:rFonts w:ascii="Arial" w:hAnsi="Arial" w:cs="Arial"/>
          <w:sz w:val="20"/>
          <w:szCs w:val="20"/>
        </w:rPr>
        <w:t xml:space="preserve">decembra 2024. </w:t>
      </w:r>
    </w:p>
    <w:p w14:paraId="0FB4D69B" w14:textId="77777777" w:rsidR="00A155A2" w:rsidRDefault="00A155A2" w:rsidP="00A155A2">
      <w:pPr>
        <w:rPr>
          <w:rFonts w:ascii="Arial" w:hAnsi="Arial" w:cs="Arial"/>
          <w:i/>
          <w:color w:val="000000"/>
          <w:sz w:val="20"/>
          <w:szCs w:val="20"/>
        </w:rPr>
      </w:pPr>
      <w:r w:rsidRPr="00A320CD">
        <w:rPr>
          <w:rFonts w:ascii="Arial" w:hAnsi="Arial" w:cs="Arial"/>
          <w:i/>
          <w:sz w:val="20"/>
          <w:szCs w:val="20"/>
        </w:rPr>
        <w:t>Slika</w:t>
      </w:r>
      <w:r>
        <w:rPr>
          <w:rFonts w:ascii="Arial" w:hAnsi="Arial" w:cs="Arial"/>
          <w:i/>
          <w:color w:val="000000"/>
          <w:sz w:val="20"/>
          <w:szCs w:val="20"/>
        </w:rPr>
        <w:t xml:space="preserve"> 5:</w:t>
      </w:r>
      <w:r w:rsidRPr="00A320CD">
        <w:rPr>
          <w:rFonts w:ascii="Arial" w:hAnsi="Arial" w:cs="Arial"/>
          <w:i/>
          <w:sz w:val="20"/>
          <w:szCs w:val="20"/>
        </w:rPr>
        <w:t xml:space="preserve"> </w:t>
      </w:r>
      <w:r w:rsidRPr="00A320CD">
        <w:rPr>
          <w:rFonts w:ascii="Arial" w:hAnsi="Arial" w:cs="Arial"/>
          <w:i/>
          <w:color w:val="000000"/>
          <w:sz w:val="20"/>
          <w:szCs w:val="20"/>
        </w:rPr>
        <w:t xml:space="preserve">Gibanje </w:t>
      </w:r>
      <w:r w:rsidRPr="00201361">
        <w:rPr>
          <w:rFonts w:ascii="Arial" w:hAnsi="Arial" w:cs="Arial"/>
          <w:i/>
          <w:color w:val="000000"/>
          <w:sz w:val="20"/>
          <w:szCs w:val="20"/>
        </w:rPr>
        <w:t xml:space="preserve">davčnega dolga </w:t>
      </w:r>
      <w:r>
        <w:rPr>
          <w:rFonts w:ascii="Arial" w:hAnsi="Arial" w:cs="Arial"/>
          <w:i/>
          <w:color w:val="000000"/>
          <w:sz w:val="20"/>
          <w:szCs w:val="20"/>
        </w:rPr>
        <w:t>(</w:t>
      </w:r>
      <w:r w:rsidRPr="00201361">
        <w:rPr>
          <w:rFonts w:ascii="Arial" w:hAnsi="Arial" w:cs="Arial"/>
          <w:i/>
          <w:color w:val="000000"/>
          <w:sz w:val="20"/>
          <w:szCs w:val="20"/>
        </w:rPr>
        <w:t>v EUR</w:t>
      </w:r>
      <w:r>
        <w:rPr>
          <w:rFonts w:ascii="Arial" w:hAnsi="Arial" w:cs="Arial"/>
          <w:i/>
          <w:color w:val="000000"/>
          <w:sz w:val="20"/>
          <w:szCs w:val="20"/>
        </w:rPr>
        <w:t>)</w:t>
      </w:r>
    </w:p>
    <w:p w14:paraId="2799BF58" w14:textId="77777777" w:rsidR="00A155A2" w:rsidRDefault="00A155A2" w:rsidP="00A155A2">
      <w:pPr>
        <w:rPr>
          <w:rFonts w:ascii="Arial" w:hAnsi="Arial" w:cs="Arial"/>
          <w:i/>
          <w:color w:val="000000"/>
          <w:sz w:val="20"/>
          <w:szCs w:val="20"/>
        </w:rPr>
      </w:pPr>
      <w:r>
        <w:rPr>
          <w:noProof/>
          <w:lang w:eastAsia="sl-SI"/>
        </w:rPr>
        <w:drawing>
          <wp:inline distT="0" distB="0" distL="0" distR="0" wp14:anchorId="749EA47D" wp14:editId="05194F77">
            <wp:extent cx="5690870" cy="1345996"/>
            <wp:effectExtent l="0" t="0" r="5080" b="6985"/>
            <wp:docPr id="13" name="Grafikon 13">
              <a:extLst xmlns:a="http://schemas.openxmlformats.org/drawingml/2006/main">
                <a:ext uri="{FF2B5EF4-FFF2-40B4-BE49-F238E27FC236}">
                  <a16:creationId xmlns:a16="http://schemas.microsoft.com/office/drawing/2014/main" id="{00000000-0008-0000-0200-000019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4E4DF0" w14:textId="77777777" w:rsidR="00A155A2" w:rsidRPr="003B3C02" w:rsidRDefault="00A155A2" w:rsidP="00A155A2">
      <w:pPr>
        <w:rPr>
          <w:rFonts w:ascii="Arial" w:hAnsi="Arial" w:cs="Arial"/>
          <w:i/>
          <w:sz w:val="20"/>
          <w:szCs w:val="20"/>
        </w:rPr>
      </w:pPr>
      <w:r w:rsidRPr="003B3C02">
        <w:rPr>
          <w:rFonts w:ascii="Arial" w:hAnsi="Arial" w:cs="Arial"/>
          <w:i/>
          <w:sz w:val="20"/>
          <w:szCs w:val="20"/>
        </w:rPr>
        <w:t>Vir: FURS</w:t>
      </w:r>
    </w:p>
    <w:p w14:paraId="6710C827" w14:textId="77777777" w:rsidR="00A155A2" w:rsidRPr="00161676" w:rsidRDefault="00A155A2" w:rsidP="00A155A2">
      <w:pPr>
        <w:spacing w:after="0"/>
        <w:jc w:val="both"/>
        <w:rPr>
          <w:rFonts w:ascii="Arial" w:hAnsi="Arial" w:cs="Arial"/>
          <w:sz w:val="20"/>
          <w:szCs w:val="20"/>
        </w:rPr>
      </w:pPr>
      <w:bookmarkStart w:id="12" w:name="_Hlk129329387"/>
      <w:r w:rsidRPr="00161676">
        <w:rPr>
          <w:rFonts w:ascii="Arial" w:hAnsi="Arial" w:cs="Arial"/>
          <w:sz w:val="20"/>
          <w:szCs w:val="20"/>
        </w:rPr>
        <w:t>Pri spremljanju gibanja davčnega dolga je poleg z</w:t>
      </w:r>
      <w:r>
        <w:rPr>
          <w:rFonts w:ascii="Arial" w:hAnsi="Arial" w:cs="Arial"/>
          <w:sz w:val="20"/>
          <w:szCs w:val="20"/>
        </w:rPr>
        <w:t>ma</w:t>
      </w:r>
      <w:r w:rsidRPr="00161676">
        <w:rPr>
          <w:rFonts w:ascii="Arial" w:hAnsi="Arial" w:cs="Arial"/>
          <w:sz w:val="20"/>
          <w:szCs w:val="20"/>
        </w:rPr>
        <w:t>n</w:t>
      </w:r>
      <w:r>
        <w:rPr>
          <w:rFonts w:ascii="Arial" w:hAnsi="Arial" w:cs="Arial"/>
          <w:sz w:val="20"/>
          <w:szCs w:val="20"/>
        </w:rPr>
        <w:t>jš</w:t>
      </w:r>
      <w:r w:rsidRPr="00161676">
        <w:rPr>
          <w:rFonts w:ascii="Arial" w:hAnsi="Arial" w:cs="Arial"/>
          <w:sz w:val="20"/>
          <w:szCs w:val="20"/>
        </w:rPr>
        <w:t xml:space="preserve">anja absolutnega zneska davčnega dolga v primerjavi s predhodnim obdobjem treba upoštevati tudi gibanje deleža dolga glede na letno pobrane javnofinančne prihodke FURS: </w:t>
      </w:r>
    </w:p>
    <w:p w14:paraId="09DB6374" w14:textId="77777777" w:rsidR="00A155A2" w:rsidRPr="00161676" w:rsidRDefault="00A155A2" w:rsidP="00A155A2">
      <w:pPr>
        <w:numPr>
          <w:ilvl w:val="0"/>
          <w:numId w:val="18"/>
        </w:numPr>
        <w:spacing w:after="0"/>
        <w:jc w:val="both"/>
        <w:rPr>
          <w:rFonts w:ascii="Arial" w:hAnsi="Arial" w:cs="Arial"/>
          <w:sz w:val="20"/>
          <w:szCs w:val="20"/>
        </w:rPr>
      </w:pPr>
      <w:r w:rsidRPr="00161676">
        <w:rPr>
          <w:rFonts w:ascii="Arial" w:hAnsi="Arial" w:cs="Arial"/>
          <w:sz w:val="20"/>
          <w:szCs w:val="20"/>
        </w:rPr>
        <w:t xml:space="preserve">delež davčnega dolga za vse </w:t>
      </w:r>
      <w:r>
        <w:rPr>
          <w:rFonts w:ascii="Arial" w:hAnsi="Arial" w:cs="Arial"/>
          <w:sz w:val="20"/>
          <w:szCs w:val="20"/>
        </w:rPr>
        <w:t xml:space="preserve">javnofinančne </w:t>
      </w:r>
      <w:r w:rsidRPr="00161676">
        <w:rPr>
          <w:rFonts w:ascii="Arial" w:hAnsi="Arial" w:cs="Arial"/>
          <w:sz w:val="20"/>
          <w:szCs w:val="20"/>
        </w:rPr>
        <w:t xml:space="preserve">blagajne v vseh letno pobranih javnofinančnih prihodkih FURS </w:t>
      </w:r>
      <w:r>
        <w:rPr>
          <w:rFonts w:ascii="Arial" w:hAnsi="Arial" w:cs="Arial"/>
          <w:sz w:val="20"/>
          <w:szCs w:val="20"/>
        </w:rPr>
        <w:t xml:space="preserve">se </w:t>
      </w:r>
      <w:r w:rsidRPr="00161676">
        <w:rPr>
          <w:rFonts w:ascii="Arial" w:hAnsi="Arial" w:cs="Arial"/>
          <w:sz w:val="20"/>
          <w:szCs w:val="20"/>
        </w:rPr>
        <w:t>je v letu 202</w:t>
      </w:r>
      <w:r>
        <w:rPr>
          <w:rFonts w:ascii="Arial" w:hAnsi="Arial" w:cs="Arial"/>
          <w:sz w:val="20"/>
          <w:szCs w:val="20"/>
        </w:rPr>
        <w:t>4</w:t>
      </w:r>
      <w:r w:rsidRPr="00161676">
        <w:rPr>
          <w:rFonts w:ascii="Arial" w:hAnsi="Arial" w:cs="Arial"/>
          <w:sz w:val="20"/>
          <w:szCs w:val="20"/>
        </w:rPr>
        <w:t xml:space="preserve"> </w:t>
      </w:r>
      <w:r>
        <w:rPr>
          <w:rFonts w:ascii="Arial" w:hAnsi="Arial" w:cs="Arial"/>
          <w:sz w:val="20"/>
          <w:szCs w:val="20"/>
        </w:rPr>
        <w:t>zmanjšal</w:t>
      </w:r>
      <w:r w:rsidRPr="00161676">
        <w:rPr>
          <w:rFonts w:ascii="Arial" w:hAnsi="Arial" w:cs="Arial"/>
          <w:sz w:val="20"/>
          <w:szCs w:val="20"/>
        </w:rPr>
        <w:t xml:space="preserve"> na 3,6 odstotka, v letu 2014, ko je bil ustanovljen FURS, je </w:t>
      </w:r>
      <w:r>
        <w:rPr>
          <w:rFonts w:ascii="Arial" w:hAnsi="Arial" w:cs="Arial"/>
          <w:sz w:val="20"/>
          <w:szCs w:val="20"/>
        </w:rPr>
        <w:t>obsegal</w:t>
      </w:r>
      <w:r w:rsidRPr="00161676">
        <w:rPr>
          <w:rFonts w:ascii="Arial" w:hAnsi="Arial" w:cs="Arial"/>
          <w:sz w:val="20"/>
          <w:szCs w:val="20"/>
        </w:rPr>
        <w:t xml:space="preserve"> 10,4 odstotka; </w:t>
      </w:r>
    </w:p>
    <w:p w14:paraId="4083001B" w14:textId="77777777" w:rsidR="00A155A2" w:rsidRPr="00161676" w:rsidRDefault="00A155A2" w:rsidP="00A155A2">
      <w:pPr>
        <w:numPr>
          <w:ilvl w:val="0"/>
          <w:numId w:val="18"/>
        </w:numPr>
        <w:spacing w:after="0"/>
        <w:jc w:val="both"/>
        <w:rPr>
          <w:rFonts w:ascii="Arial" w:hAnsi="Arial" w:cs="Arial"/>
          <w:sz w:val="20"/>
          <w:szCs w:val="20"/>
        </w:rPr>
      </w:pPr>
      <w:r w:rsidRPr="00161676">
        <w:rPr>
          <w:rFonts w:ascii="Arial" w:hAnsi="Arial" w:cs="Arial"/>
          <w:sz w:val="20"/>
          <w:szCs w:val="20"/>
        </w:rPr>
        <w:t xml:space="preserve">delež dolga blagajne </w:t>
      </w:r>
      <w:r>
        <w:rPr>
          <w:rFonts w:ascii="Arial" w:hAnsi="Arial" w:cs="Arial"/>
          <w:sz w:val="20"/>
          <w:szCs w:val="20"/>
        </w:rPr>
        <w:t>ZPIZ</w:t>
      </w:r>
      <w:r w:rsidRPr="00161676">
        <w:rPr>
          <w:rFonts w:ascii="Arial" w:hAnsi="Arial" w:cs="Arial"/>
          <w:sz w:val="20"/>
          <w:szCs w:val="20"/>
        </w:rPr>
        <w:t xml:space="preserve"> v letno pobranih prispevkih za socialno varnost za pokojninsko in invalidsko zavarovanje je v letu 202</w:t>
      </w:r>
      <w:r>
        <w:rPr>
          <w:rFonts w:ascii="Arial" w:hAnsi="Arial" w:cs="Arial"/>
          <w:sz w:val="20"/>
          <w:szCs w:val="20"/>
        </w:rPr>
        <w:t>4</w:t>
      </w:r>
      <w:r w:rsidRPr="00161676">
        <w:rPr>
          <w:rFonts w:ascii="Arial" w:hAnsi="Arial" w:cs="Arial"/>
          <w:sz w:val="20"/>
          <w:szCs w:val="20"/>
        </w:rPr>
        <w:t xml:space="preserve"> </w:t>
      </w:r>
      <w:r>
        <w:rPr>
          <w:rFonts w:ascii="Arial" w:hAnsi="Arial" w:cs="Arial"/>
          <w:sz w:val="20"/>
          <w:szCs w:val="20"/>
        </w:rPr>
        <w:t>upadel</w:t>
      </w:r>
      <w:r w:rsidRPr="00161676">
        <w:rPr>
          <w:rFonts w:ascii="Arial" w:hAnsi="Arial" w:cs="Arial"/>
          <w:sz w:val="20"/>
          <w:szCs w:val="20"/>
        </w:rPr>
        <w:t xml:space="preserve"> na 2,4 odstotk</w:t>
      </w:r>
      <w:r>
        <w:rPr>
          <w:rFonts w:ascii="Arial" w:hAnsi="Arial" w:cs="Arial"/>
          <w:sz w:val="20"/>
          <w:szCs w:val="20"/>
        </w:rPr>
        <w:t>a</w:t>
      </w:r>
      <w:r w:rsidRPr="00161676">
        <w:rPr>
          <w:rFonts w:ascii="Arial" w:hAnsi="Arial" w:cs="Arial"/>
          <w:sz w:val="20"/>
          <w:szCs w:val="20"/>
        </w:rPr>
        <w:t>, v letu 2014 je</w:t>
      </w:r>
      <w:r>
        <w:rPr>
          <w:rFonts w:ascii="Arial" w:hAnsi="Arial" w:cs="Arial"/>
          <w:sz w:val="20"/>
          <w:szCs w:val="20"/>
        </w:rPr>
        <w:t xml:space="preserve"> pomenil</w:t>
      </w:r>
      <w:r w:rsidRPr="00161676">
        <w:rPr>
          <w:rFonts w:ascii="Arial" w:hAnsi="Arial" w:cs="Arial"/>
          <w:sz w:val="20"/>
          <w:szCs w:val="20"/>
        </w:rPr>
        <w:t xml:space="preserve"> 8,7 odstotka;</w:t>
      </w:r>
    </w:p>
    <w:p w14:paraId="7CA7D0AA" w14:textId="77777777" w:rsidR="00A155A2" w:rsidRPr="00161676" w:rsidRDefault="00A155A2" w:rsidP="00A155A2">
      <w:pPr>
        <w:numPr>
          <w:ilvl w:val="0"/>
          <w:numId w:val="18"/>
        </w:numPr>
        <w:spacing w:after="0"/>
        <w:jc w:val="both"/>
        <w:rPr>
          <w:rFonts w:ascii="Arial" w:hAnsi="Arial" w:cs="Arial"/>
          <w:sz w:val="20"/>
          <w:szCs w:val="20"/>
        </w:rPr>
      </w:pPr>
      <w:r w:rsidRPr="00161676">
        <w:rPr>
          <w:rFonts w:ascii="Arial" w:hAnsi="Arial" w:cs="Arial"/>
          <w:sz w:val="20"/>
          <w:szCs w:val="20"/>
        </w:rPr>
        <w:t xml:space="preserve">delež dolga blagajne </w:t>
      </w:r>
      <w:r>
        <w:rPr>
          <w:rFonts w:ascii="Arial" w:hAnsi="Arial" w:cs="Arial"/>
          <w:sz w:val="20"/>
          <w:szCs w:val="20"/>
        </w:rPr>
        <w:t>ZZZS</w:t>
      </w:r>
      <w:r w:rsidRPr="00161676">
        <w:rPr>
          <w:rFonts w:ascii="Arial" w:hAnsi="Arial" w:cs="Arial"/>
          <w:sz w:val="20"/>
          <w:szCs w:val="20"/>
        </w:rPr>
        <w:t xml:space="preserve"> v letno pobranih prispevkih za socialno varnost za zdravstveno zavarovanje</w:t>
      </w:r>
      <w:r>
        <w:rPr>
          <w:rFonts w:ascii="Arial" w:hAnsi="Arial" w:cs="Arial"/>
          <w:sz w:val="20"/>
          <w:szCs w:val="20"/>
        </w:rPr>
        <w:t xml:space="preserve"> se</w:t>
      </w:r>
      <w:r w:rsidRPr="00161676">
        <w:rPr>
          <w:rFonts w:ascii="Arial" w:hAnsi="Arial" w:cs="Arial"/>
          <w:sz w:val="20"/>
          <w:szCs w:val="20"/>
        </w:rPr>
        <w:t xml:space="preserve"> je v letu 2024 </w:t>
      </w:r>
      <w:r>
        <w:rPr>
          <w:rFonts w:ascii="Arial" w:hAnsi="Arial" w:cs="Arial"/>
          <w:sz w:val="20"/>
          <w:szCs w:val="20"/>
        </w:rPr>
        <w:t>zmanjšal</w:t>
      </w:r>
      <w:r w:rsidRPr="00161676">
        <w:rPr>
          <w:rFonts w:ascii="Arial" w:hAnsi="Arial" w:cs="Arial"/>
          <w:sz w:val="20"/>
          <w:szCs w:val="20"/>
        </w:rPr>
        <w:t xml:space="preserve"> na 1,7 odstotka, v letu 2014 je </w:t>
      </w:r>
      <w:r>
        <w:rPr>
          <w:rFonts w:ascii="Arial" w:hAnsi="Arial" w:cs="Arial"/>
          <w:sz w:val="20"/>
          <w:szCs w:val="20"/>
        </w:rPr>
        <w:t>zajemal</w:t>
      </w:r>
      <w:r w:rsidRPr="00161676">
        <w:rPr>
          <w:rFonts w:ascii="Arial" w:hAnsi="Arial" w:cs="Arial"/>
          <w:sz w:val="20"/>
          <w:szCs w:val="20"/>
        </w:rPr>
        <w:t xml:space="preserve"> 6,2 odstotka. </w:t>
      </w:r>
    </w:p>
    <w:p w14:paraId="4CFD0730" w14:textId="77777777" w:rsidR="00A155A2" w:rsidRDefault="00A155A2" w:rsidP="00A155A2">
      <w:pPr>
        <w:spacing w:after="0"/>
        <w:jc w:val="both"/>
        <w:rPr>
          <w:rFonts w:ascii="Arial" w:hAnsi="Arial" w:cs="Arial"/>
          <w:sz w:val="20"/>
          <w:szCs w:val="20"/>
        </w:rPr>
      </w:pPr>
    </w:p>
    <w:bookmarkEnd w:id="12"/>
    <w:p w14:paraId="220998FA" w14:textId="77777777" w:rsidR="00A155A2" w:rsidRDefault="00A155A2" w:rsidP="00A155A2">
      <w:pPr>
        <w:rPr>
          <w:rFonts w:ascii="Arial" w:hAnsi="Arial" w:cs="Arial"/>
          <w:i/>
          <w:sz w:val="20"/>
          <w:szCs w:val="20"/>
        </w:rPr>
      </w:pPr>
    </w:p>
    <w:p w14:paraId="653E6ECF" w14:textId="77777777" w:rsidR="00A155A2" w:rsidRDefault="00A155A2" w:rsidP="00A155A2">
      <w:pPr>
        <w:rPr>
          <w:rFonts w:ascii="Arial" w:hAnsi="Arial" w:cs="Arial"/>
          <w:i/>
          <w:sz w:val="20"/>
          <w:szCs w:val="20"/>
        </w:rPr>
      </w:pPr>
    </w:p>
    <w:p w14:paraId="272DD9B0" w14:textId="77777777" w:rsidR="00A155A2" w:rsidRDefault="00A155A2" w:rsidP="00A155A2">
      <w:pPr>
        <w:rPr>
          <w:rFonts w:ascii="Arial" w:hAnsi="Arial" w:cs="Arial"/>
          <w:i/>
          <w:sz w:val="20"/>
          <w:szCs w:val="20"/>
        </w:rPr>
      </w:pPr>
    </w:p>
    <w:p w14:paraId="2504EA4A" w14:textId="77777777" w:rsidR="00A155A2" w:rsidRDefault="00A155A2" w:rsidP="00A155A2">
      <w:pPr>
        <w:rPr>
          <w:rFonts w:ascii="Arial" w:hAnsi="Arial" w:cs="Arial"/>
          <w:i/>
          <w:sz w:val="20"/>
          <w:szCs w:val="20"/>
        </w:rPr>
      </w:pPr>
    </w:p>
    <w:p w14:paraId="489CD8F2" w14:textId="77777777" w:rsidR="00A155A2" w:rsidRDefault="00A155A2" w:rsidP="00A155A2">
      <w:pPr>
        <w:rPr>
          <w:rFonts w:ascii="Arial" w:hAnsi="Arial" w:cs="Arial"/>
          <w:i/>
          <w:sz w:val="20"/>
          <w:szCs w:val="20"/>
        </w:rPr>
      </w:pPr>
    </w:p>
    <w:p w14:paraId="443BA15E" w14:textId="77777777" w:rsidR="00A155A2" w:rsidRDefault="00A155A2" w:rsidP="00A155A2">
      <w:pPr>
        <w:rPr>
          <w:rFonts w:ascii="Arial" w:hAnsi="Arial" w:cs="Arial"/>
          <w:i/>
          <w:sz w:val="20"/>
          <w:szCs w:val="20"/>
        </w:rPr>
      </w:pPr>
    </w:p>
    <w:p w14:paraId="3EAA6ABD" w14:textId="77777777" w:rsidR="00A155A2" w:rsidRDefault="00A155A2" w:rsidP="00A155A2">
      <w:pPr>
        <w:rPr>
          <w:rFonts w:ascii="Arial" w:hAnsi="Arial" w:cs="Arial"/>
          <w:i/>
          <w:sz w:val="20"/>
          <w:szCs w:val="20"/>
        </w:rPr>
      </w:pPr>
    </w:p>
    <w:p w14:paraId="2ACDBB77" w14:textId="77777777" w:rsidR="00A155A2" w:rsidRDefault="00A155A2" w:rsidP="00A155A2">
      <w:pPr>
        <w:rPr>
          <w:rFonts w:ascii="Arial" w:hAnsi="Arial" w:cs="Arial"/>
          <w:i/>
          <w:sz w:val="20"/>
          <w:szCs w:val="20"/>
        </w:rPr>
      </w:pPr>
    </w:p>
    <w:p w14:paraId="319D7FCD" w14:textId="77777777" w:rsidR="00A155A2" w:rsidRDefault="00A155A2" w:rsidP="00A155A2">
      <w:pPr>
        <w:rPr>
          <w:rFonts w:ascii="Arial" w:hAnsi="Arial" w:cs="Arial"/>
          <w:i/>
          <w:sz w:val="20"/>
          <w:szCs w:val="20"/>
        </w:rPr>
      </w:pPr>
      <w:r w:rsidRPr="0052305F">
        <w:rPr>
          <w:rFonts w:ascii="Arial" w:hAnsi="Arial" w:cs="Arial"/>
          <w:i/>
          <w:sz w:val="20"/>
          <w:szCs w:val="20"/>
        </w:rPr>
        <w:lastRenderedPageBreak/>
        <w:t xml:space="preserve">Slika 6: </w:t>
      </w:r>
      <w:r>
        <w:rPr>
          <w:rFonts w:ascii="Arial" w:hAnsi="Arial" w:cs="Arial"/>
          <w:i/>
          <w:sz w:val="20"/>
          <w:szCs w:val="20"/>
        </w:rPr>
        <w:t>G</w:t>
      </w:r>
      <w:r w:rsidRPr="0052305F">
        <w:rPr>
          <w:rFonts w:ascii="Arial" w:hAnsi="Arial" w:cs="Arial"/>
          <w:i/>
          <w:sz w:val="20"/>
          <w:szCs w:val="20"/>
        </w:rPr>
        <w:t>ibanj</w:t>
      </w:r>
      <w:r>
        <w:rPr>
          <w:rFonts w:ascii="Arial" w:hAnsi="Arial" w:cs="Arial"/>
          <w:i/>
          <w:sz w:val="20"/>
          <w:szCs w:val="20"/>
        </w:rPr>
        <w:t>e</w:t>
      </w:r>
      <w:r w:rsidRPr="0052305F">
        <w:rPr>
          <w:rFonts w:ascii="Arial" w:hAnsi="Arial" w:cs="Arial"/>
          <w:i/>
          <w:sz w:val="20"/>
          <w:szCs w:val="20"/>
        </w:rPr>
        <w:t xml:space="preserve"> javnofinančnih prihodkov in </w:t>
      </w:r>
      <w:r w:rsidRPr="00794F51">
        <w:rPr>
          <w:rFonts w:ascii="Arial" w:hAnsi="Arial" w:cs="Arial"/>
          <w:i/>
          <w:sz w:val="20"/>
          <w:szCs w:val="20"/>
        </w:rPr>
        <w:t xml:space="preserve">davčnega dolga </w:t>
      </w:r>
      <w:r w:rsidRPr="00251F7F">
        <w:rPr>
          <w:rFonts w:ascii="Arial" w:hAnsi="Arial" w:cs="Arial"/>
          <w:i/>
          <w:sz w:val="20"/>
          <w:szCs w:val="20"/>
        </w:rPr>
        <w:t>od leta 2016 do leta 2024</w:t>
      </w:r>
    </w:p>
    <w:p w14:paraId="023C9E76" w14:textId="77777777" w:rsidR="00A155A2" w:rsidRDefault="00A155A2" w:rsidP="00A155A2">
      <w:pPr>
        <w:rPr>
          <w:rFonts w:ascii="Arial" w:hAnsi="Arial" w:cs="Arial"/>
          <w:i/>
          <w:sz w:val="20"/>
          <w:szCs w:val="20"/>
        </w:rPr>
      </w:pPr>
      <w:r>
        <w:rPr>
          <w:noProof/>
          <w:lang w:eastAsia="sl-SI"/>
        </w:rPr>
        <w:drawing>
          <wp:inline distT="0" distB="0" distL="0" distR="0" wp14:anchorId="370A4C0B" wp14:editId="2114043C">
            <wp:extent cx="5535304" cy="2126242"/>
            <wp:effectExtent l="0" t="0" r="8255"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9092" cy="2204522"/>
                    </a:xfrm>
                    <a:prstGeom prst="rect">
                      <a:avLst/>
                    </a:prstGeom>
                  </pic:spPr>
                </pic:pic>
              </a:graphicData>
            </a:graphic>
          </wp:inline>
        </w:drawing>
      </w:r>
    </w:p>
    <w:p w14:paraId="6A97D72D" w14:textId="77777777" w:rsidR="00A155A2" w:rsidRDefault="00A155A2" w:rsidP="00A155A2">
      <w:pPr>
        <w:jc w:val="both"/>
        <w:rPr>
          <w:rFonts w:ascii="Arial" w:hAnsi="Arial" w:cs="Arial"/>
          <w:i/>
          <w:sz w:val="20"/>
          <w:szCs w:val="20"/>
        </w:rPr>
      </w:pPr>
      <w:r w:rsidRPr="00534703">
        <w:rPr>
          <w:rFonts w:ascii="Arial" w:hAnsi="Arial" w:cs="Arial"/>
          <w:i/>
          <w:sz w:val="20"/>
          <w:szCs w:val="20"/>
        </w:rPr>
        <w:t>Vir: FURS</w:t>
      </w:r>
    </w:p>
    <w:p w14:paraId="5E26D009" w14:textId="77777777" w:rsidR="00A155A2" w:rsidRDefault="00A155A2" w:rsidP="00A155A2">
      <w:pPr>
        <w:jc w:val="both"/>
        <w:rPr>
          <w:rFonts w:ascii="Arial" w:hAnsi="Arial" w:cs="Arial"/>
          <w:i/>
          <w:sz w:val="20"/>
          <w:szCs w:val="20"/>
        </w:rPr>
      </w:pPr>
    </w:p>
    <w:p w14:paraId="1207CF53" w14:textId="77777777" w:rsidR="00A155A2" w:rsidRDefault="00A155A2" w:rsidP="00A155A2">
      <w:pPr>
        <w:rPr>
          <w:rFonts w:ascii="Arial" w:hAnsi="Arial" w:cs="Arial"/>
          <w:bCs/>
          <w:i/>
          <w:sz w:val="20"/>
          <w:szCs w:val="20"/>
        </w:rPr>
      </w:pPr>
      <w:r w:rsidRPr="00B2312E">
        <w:rPr>
          <w:rFonts w:ascii="Arial" w:hAnsi="Arial" w:cs="Arial"/>
          <w:i/>
          <w:sz w:val="20"/>
          <w:szCs w:val="20"/>
          <w:lang w:eastAsia="ar-SA"/>
        </w:rPr>
        <w:t xml:space="preserve">Preglednica 5: </w:t>
      </w:r>
      <w:r w:rsidRPr="00B2312E">
        <w:rPr>
          <w:rFonts w:ascii="Arial" w:hAnsi="Arial" w:cs="Arial"/>
          <w:bCs/>
          <w:i/>
          <w:sz w:val="20"/>
          <w:szCs w:val="20"/>
        </w:rPr>
        <w:t>Delež davčnega dolga v pobranih javnofinančnih prihodkih</w:t>
      </w:r>
      <w:r>
        <w:rPr>
          <w:rFonts w:ascii="Arial" w:hAnsi="Arial" w:cs="Arial"/>
          <w:bCs/>
          <w:i/>
          <w:sz w:val="20"/>
          <w:szCs w:val="20"/>
        </w:rPr>
        <w:t>(v EUR)</w:t>
      </w:r>
    </w:p>
    <w:tbl>
      <w:tblPr>
        <w:tblW w:w="9211" w:type="dxa"/>
        <w:tblCellMar>
          <w:left w:w="70" w:type="dxa"/>
          <w:right w:w="70" w:type="dxa"/>
        </w:tblCellMar>
        <w:tblLook w:val="04A0" w:firstRow="1" w:lastRow="0" w:firstColumn="1" w:lastColumn="0" w:noHBand="0" w:noVBand="1"/>
      </w:tblPr>
      <w:tblGrid>
        <w:gridCol w:w="1342"/>
        <w:gridCol w:w="1321"/>
        <w:gridCol w:w="1332"/>
        <w:gridCol w:w="1332"/>
        <w:gridCol w:w="1332"/>
        <w:gridCol w:w="1321"/>
        <w:gridCol w:w="1253"/>
      </w:tblGrid>
      <w:tr w:rsidR="00A155A2" w:rsidRPr="007437C4" w14:paraId="14070A7D" w14:textId="77777777" w:rsidTr="001C77D2">
        <w:trPr>
          <w:trHeight w:val="233"/>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965C3" w14:textId="77777777" w:rsidR="00A155A2" w:rsidRPr="007437C4" w:rsidRDefault="00A155A2" w:rsidP="001C77D2">
            <w:pPr>
              <w:spacing w:after="0" w:line="240" w:lineRule="auto"/>
              <w:rPr>
                <w:rFonts w:ascii="Arial" w:eastAsia="Times New Roman" w:hAnsi="Arial" w:cs="Arial"/>
                <w:sz w:val="16"/>
                <w:szCs w:val="16"/>
                <w:lang w:eastAsia="sl-SI"/>
              </w:rPr>
            </w:pPr>
            <w:r w:rsidRPr="007437C4">
              <w:rPr>
                <w:rFonts w:ascii="Arial" w:eastAsia="Times New Roman" w:hAnsi="Arial" w:cs="Arial"/>
                <w:sz w:val="16"/>
                <w:szCs w:val="16"/>
                <w:lang w:eastAsia="sl-SI"/>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DB1D60A"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2019</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7A6CFC32"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2020</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4213FDB4"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2021</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13F8BFD4"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2022</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48E3EEE6"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2023</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6B50C0F3" w14:textId="77777777" w:rsidR="00A155A2" w:rsidRPr="007437C4" w:rsidRDefault="00A155A2" w:rsidP="001C77D2">
            <w:pPr>
              <w:spacing w:after="0" w:line="240" w:lineRule="auto"/>
              <w:jc w:val="center"/>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2024</w:t>
            </w:r>
          </w:p>
        </w:tc>
      </w:tr>
      <w:tr w:rsidR="00A155A2" w:rsidRPr="007437C4" w14:paraId="1E84AC2C" w14:textId="77777777" w:rsidTr="001C77D2">
        <w:trPr>
          <w:trHeight w:val="561"/>
        </w:trPr>
        <w:tc>
          <w:tcPr>
            <w:tcW w:w="1342" w:type="dxa"/>
            <w:tcBorders>
              <w:top w:val="nil"/>
              <w:left w:val="single" w:sz="4" w:space="0" w:color="auto"/>
              <w:bottom w:val="single" w:sz="4" w:space="0" w:color="auto"/>
              <w:right w:val="single" w:sz="4" w:space="0" w:color="auto"/>
            </w:tcBorders>
            <w:shd w:val="clear" w:color="auto" w:fill="auto"/>
            <w:vAlign w:val="center"/>
            <w:hideMark/>
          </w:tcPr>
          <w:p w14:paraId="6D2A1993" w14:textId="77777777" w:rsidR="00A155A2" w:rsidRPr="007437C4" w:rsidRDefault="00A155A2" w:rsidP="001C77D2">
            <w:pPr>
              <w:spacing w:after="0" w:line="240" w:lineRule="auto"/>
              <w:rPr>
                <w:rFonts w:ascii="Arial" w:eastAsia="Times New Roman" w:hAnsi="Arial" w:cs="Arial"/>
                <w:sz w:val="16"/>
                <w:szCs w:val="16"/>
                <w:lang w:eastAsia="sl-SI"/>
              </w:rPr>
            </w:pPr>
            <w:r w:rsidRPr="007437C4">
              <w:rPr>
                <w:rFonts w:ascii="Arial" w:eastAsia="Times New Roman" w:hAnsi="Arial" w:cs="Arial"/>
                <w:sz w:val="16"/>
                <w:szCs w:val="16"/>
                <w:lang w:eastAsia="sl-SI"/>
              </w:rPr>
              <w:t>Skupaj javnofinančni prihodki in prejemki FURS</w:t>
            </w:r>
            <w:r>
              <w:rPr>
                <w:rFonts w:ascii="Arial" w:eastAsia="Times New Roman" w:hAnsi="Arial" w:cs="Arial"/>
                <w:sz w:val="16"/>
                <w:szCs w:val="16"/>
                <w:lang w:eastAsia="sl-SI"/>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03241724"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17.572.564.063</w:t>
            </w:r>
          </w:p>
        </w:tc>
        <w:tc>
          <w:tcPr>
            <w:tcW w:w="1332" w:type="dxa"/>
            <w:tcBorders>
              <w:top w:val="nil"/>
              <w:left w:val="nil"/>
              <w:bottom w:val="single" w:sz="4" w:space="0" w:color="auto"/>
              <w:right w:val="single" w:sz="4" w:space="0" w:color="auto"/>
            </w:tcBorders>
            <w:shd w:val="clear" w:color="auto" w:fill="auto"/>
            <w:vAlign w:val="center"/>
            <w:hideMark/>
          </w:tcPr>
          <w:p w14:paraId="1A986193"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16.281.755.053</w:t>
            </w:r>
          </w:p>
        </w:tc>
        <w:tc>
          <w:tcPr>
            <w:tcW w:w="1332" w:type="dxa"/>
            <w:tcBorders>
              <w:top w:val="nil"/>
              <w:left w:val="nil"/>
              <w:bottom w:val="single" w:sz="4" w:space="0" w:color="auto"/>
              <w:right w:val="single" w:sz="4" w:space="0" w:color="auto"/>
            </w:tcBorders>
            <w:shd w:val="clear" w:color="auto" w:fill="auto"/>
            <w:vAlign w:val="center"/>
            <w:hideMark/>
          </w:tcPr>
          <w:p w14:paraId="62E3FF4C"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19.205.493.984</w:t>
            </w:r>
          </w:p>
        </w:tc>
        <w:tc>
          <w:tcPr>
            <w:tcW w:w="1332" w:type="dxa"/>
            <w:tcBorders>
              <w:top w:val="nil"/>
              <w:left w:val="nil"/>
              <w:bottom w:val="single" w:sz="4" w:space="0" w:color="auto"/>
              <w:right w:val="single" w:sz="4" w:space="0" w:color="auto"/>
            </w:tcBorders>
            <w:shd w:val="clear" w:color="auto" w:fill="auto"/>
            <w:vAlign w:val="center"/>
            <w:hideMark/>
          </w:tcPr>
          <w:p w14:paraId="5FC5EE9C"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21.049.211.315</w:t>
            </w:r>
          </w:p>
        </w:tc>
        <w:tc>
          <w:tcPr>
            <w:tcW w:w="1321" w:type="dxa"/>
            <w:tcBorders>
              <w:top w:val="nil"/>
              <w:left w:val="nil"/>
              <w:bottom w:val="single" w:sz="4" w:space="0" w:color="auto"/>
              <w:right w:val="single" w:sz="4" w:space="0" w:color="auto"/>
            </w:tcBorders>
            <w:shd w:val="clear" w:color="auto" w:fill="auto"/>
            <w:vAlign w:val="center"/>
            <w:hideMark/>
          </w:tcPr>
          <w:p w14:paraId="475FB502"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22.514.980.147</w:t>
            </w:r>
          </w:p>
        </w:tc>
        <w:tc>
          <w:tcPr>
            <w:tcW w:w="1231" w:type="dxa"/>
            <w:tcBorders>
              <w:top w:val="nil"/>
              <w:left w:val="nil"/>
              <w:bottom w:val="single" w:sz="4" w:space="0" w:color="auto"/>
              <w:right w:val="single" w:sz="4" w:space="0" w:color="auto"/>
            </w:tcBorders>
            <w:shd w:val="clear" w:color="auto" w:fill="auto"/>
            <w:vAlign w:val="center"/>
            <w:hideMark/>
          </w:tcPr>
          <w:p w14:paraId="3DAFDB81"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25.120.839.871</w:t>
            </w:r>
          </w:p>
        </w:tc>
      </w:tr>
      <w:tr w:rsidR="00A155A2" w:rsidRPr="007437C4" w14:paraId="1A3FE617" w14:textId="77777777" w:rsidTr="001C77D2">
        <w:trPr>
          <w:trHeight w:val="418"/>
        </w:trPr>
        <w:tc>
          <w:tcPr>
            <w:tcW w:w="1342" w:type="dxa"/>
            <w:tcBorders>
              <w:top w:val="nil"/>
              <w:left w:val="single" w:sz="4" w:space="0" w:color="auto"/>
              <w:bottom w:val="single" w:sz="4" w:space="0" w:color="auto"/>
              <w:right w:val="single" w:sz="4" w:space="0" w:color="auto"/>
            </w:tcBorders>
            <w:shd w:val="clear" w:color="auto" w:fill="auto"/>
            <w:vAlign w:val="center"/>
            <w:hideMark/>
          </w:tcPr>
          <w:p w14:paraId="62CDD253" w14:textId="77777777" w:rsidR="00A155A2" w:rsidRPr="007437C4" w:rsidRDefault="00A155A2" w:rsidP="001C77D2">
            <w:pPr>
              <w:spacing w:after="0" w:line="240" w:lineRule="auto"/>
              <w:rPr>
                <w:rFonts w:ascii="Arial" w:eastAsia="Times New Roman" w:hAnsi="Arial" w:cs="Arial"/>
                <w:sz w:val="16"/>
                <w:szCs w:val="16"/>
                <w:lang w:eastAsia="sl-SI"/>
              </w:rPr>
            </w:pPr>
            <w:r w:rsidRPr="007D3DE6">
              <w:rPr>
                <w:rFonts w:ascii="Arial" w:eastAsia="Times New Roman" w:hAnsi="Arial" w:cs="Arial"/>
                <w:sz w:val="16"/>
                <w:szCs w:val="16"/>
                <w:lang w:eastAsia="sl-SI"/>
              </w:rPr>
              <w:t xml:space="preserve">Davčni dolg na dan 31. </w:t>
            </w:r>
            <w:r w:rsidRPr="00C95C2F">
              <w:rPr>
                <w:rFonts w:ascii="Arial" w:eastAsia="Times New Roman" w:hAnsi="Arial" w:cs="Arial"/>
                <w:sz w:val="16"/>
                <w:szCs w:val="16"/>
                <w:lang w:eastAsia="sl-SI"/>
              </w:rPr>
              <w:t>december</w:t>
            </w:r>
            <w:r>
              <w:rPr>
                <w:rFonts w:ascii="Arial" w:eastAsia="Times New Roman" w:hAnsi="Arial" w:cs="Arial"/>
                <w:sz w:val="16"/>
                <w:szCs w:val="16"/>
                <w:lang w:eastAsia="sl-SI"/>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0D0A98CA"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1.180.360.733</w:t>
            </w:r>
          </w:p>
        </w:tc>
        <w:tc>
          <w:tcPr>
            <w:tcW w:w="1332" w:type="dxa"/>
            <w:tcBorders>
              <w:top w:val="nil"/>
              <w:left w:val="nil"/>
              <w:bottom w:val="single" w:sz="4" w:space="0" w:color="auto"/>
              <w:right w:val="single" w:sz="4" w:space="0" w:color="auto"/>
            </w:tcBorders>
            <w:shd w:val="clear" w:color="auto" w:fill="auto"/>
            <w:vAlign w:val="center"/>
            <w:hideMark/>
          </w:tcPr>
          <w:p w14:paraId="6A9440AB"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998.089.394</w:t>
            </w:r>
          </w:p>
        </w:tc>
        <w:tc>
          <w:tcPr>
            <w:tcW w:w="1332" w:type="dxa"/>
            <w:tcBorders>
              <w:top w:val="nil"/>
              <w:left w:val="nil"/>
              <w:bottom w:val="single" w:sz="4" w:space="0" w:color="auto"/>
              <w:right w:val="single" w:sz="4" w:space="0" w:color="auto"/>
            </w:tcBorders>
            <w:shd w:val="clear" w:color="auto" w:fill="auto"/>
            <w:vAlign w:val="center"/>
            <w:hideMark/>
          </w:tcPr>
          <w:p w14:paraId="5481BE4E"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918.507.974</w:t>
            </w:r>
          </w:p>
        </w:tc>
        <w:tc>
          <w:tcPr>
            <w:tcW w:w="1332" w:type="dxa"/>
            <w:tcBorders>
              <w:top w:val="nil"/>
              <w:left w:val="nil"/>
              <w:bottom w:val="single" w:sz="4" w:space="0" w:color="auto"/>
              <w:right w:val="single" w:sz="4" w:space="0" w:color="auto"/>
            </w:tcBorders>
            <w:shd w:val="clear" w:color="auto" w:fill="auto"/>
            <w:vAlign w:val="center"/>
            <w:hideMark/>
          </w:tcPr>
          <w:p w14:paraId="106E9C8B"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896.349.990</w:t>
            </w:r>
          </w:p>
        </w:tc>
        <w:tc>
          <w:tcPr>
            <w:tcW w:w="1321" w:type="dxa"/>
            <w:tcBorders>
              <w:top w:val="nil"/>
              <w:left w:val="nil"/>
              <w:bottom w:val="single" w:sz="4" w:space="0" w:color="auto"/>
              <w:right w:val="single" w:sz="4" w:space="0" w:color="auto"/>
            </w:tcBorders>
            <w:shd w:val="clear" w:color="auto" w:fill="auto"/>
            <w:vAlign w:val="center"/>
            <w:hideMark/>
          </w:tcPr>
          <w:p w14:paraId="7E782AAD"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841.808.794</w:t>
            </w:r>
          </w:p>
        </w:tc>
        <w:tc>
          <w:tcPr>
            <w:tcW w:w="1231" w:type="dxa"/>
            <w:tcBorders>
              <w:top w:val="nil"/>
              <w:left w:val="nil"/>
              <w:bottom w:val="single" w:sz="4" w:space="0" w:color="auto"/>
              <w:right w:val="single" w:sz="4" w:space="0" w:color="auto"/>
            </w:tcBorders>
            <w:shd w:val="clear" w:color="auto" w:fill="auto"/>
            <w:vAlign w:val="center"/>
            <w:hideMark/>
          </w:tcPr>
          <w:p w14:paraId="630A392A" w14:textId="77777777" w:rsidR="00A155A2" w:rsidRPr="007437C4" w:rsidRDefault="00A155A2" w:rsidP="001C77D2">
            <w:pPr>
              <w:spacing w:after="0" w:line="240" w:lineRule="auto"/>
              <w:jc w:val="right"/>
              <w:rPr>
                <w:rFonts w:ascii="Arial" w:eastAsia="Times New Roman" w:hAnsi="Arial" w:cs="Arial"/>
                <w:sz w:val="16"/>
                <w:szCs w:val="16"/>
                <w:lang w:eastAsia="sl-SI"/>
              </w:rPr>
            </w:pPr>
            <w:r w:rsidRPr="007437C4">
              <w:rPr>
                <w:rFonts w:ascii="Arial" w:eastAsia="Times New Roman" w:hAnsi="Arial" w:cs="Arial"/>
                <w:sz w:val="16"/>
                <w:szCs w:val="16"/>
                <w:lang w:eastAsia="sl-SI"/>
              </w:rPr>
              <w:t>901.937.257</w:t>
            </w:r>
          </w:p>
        </w:tc>
      </w:tr>
      <w:tr w:rsidR="00A155A2" w:rsidRPr="007437C4" w14:paraId="63F8A5CC" w14:textId="77777777" w:rsidTr="001C77D2">
        <w:trPr>
          <w:trHeight w:val="853"/>
        </w:trPr>
        <w:tc>
          <w:tcPr>
            <w:tcW w:w="1342" w:type="dxa"/>
            <w:tcBorders>
              <w:top w:val="nil"/>
              <w:left w:val="single" w:sz="4" w:space="0" w:color="auto"/>
              <w:bottom w:val="single" w:sz="4" w:space="0" w:color="auto"/>
              <w:right w:val="single" w:sz="4" w:space="0" w:color="auto"/>
            </w:tcBorders>
            <w:shd w:val="clear" w:color="auto" w:fill="auto"/>
            <w:vAlign w:val="center"/>
            <w:hideMark/>
          </w:tcPr>
          <w:p w14:paraId="206AAE10" w14:textId="77777777" w:rsidR="00A155A2" w:rsidRPr="007437C4" w:rsidRDefault="00A155A2" w:rsidP="001C77D2">
            <w:pPr>
              <w:spacing w:after="0" w:line="240" w:lineRule="auto"/>
              <w:rPr>
                <w:rFonts w:ascii="Arial" w:eastAsia="Times New Roman" w:hAnsi="Arial" w:cs="Arial"/>
                <w:b/>
                <w:bCs/>
                <w:sz w:val="16"/>
                <w:szCs w:val="16"/>
                <w:lang w:eastAsia="sl-SI"/>
              </w:rPr>
            </w:pPr>
            <w:r w:rsidRPr="007437C4">
              <w:rPr>
                <w:rFonts w:ascii="Arial" w:eastAsia="Times New Roman" w:hAnsi="Arial" w:cs="Arial"/>
                <w:b/>
                <w:bCs/>
                <w:sz w:val="16"/>
                <w:szCs w:val="16"/>
                <w:lang w:eastAsia="sl-SI"/>
              </w:rPr>
              <w:t>Delež davčnega dolga v pobranih javnofinančnih prihodkih in prejemkih FUR</w:t>
            </w:r>
            <w:r w:rsidRPr="00251F7F">
              <w:rPr>
                <w:rFonts w:ascii="Arial" w:eastAsia="Times New Roman" w:hAnsi="Arial" w:cs="Arial"/>
                <w:b/>
                <w:bCs/>
                <w:sz w:val="16"/>
                <w:szCs w:val="16"/>
                <w:lang w:eastAsia="sl-SI"/>
              </w:rPr>
              <w:t>S</w:t>
            </w:r>
            <w:r w:rsidRPr="007437C4">
              <w:rPr>
                <w:rFonts w:ascii="Arial" w:eastAsia="Times New Roman" w:hAnsi="Arial" w:cs="Arial"/>
                <w:b/>
                <w:bCs/>
                <w:sz w:val="16"/>
                <w:szCs w:val="16"/>
                <w:lang w:eastAsia="sl-SI"/>
              </w:rPr>
              <w:t xml:space="preserve"> </w:t>
            </w:r>
            <w:r>
              <w:rPr>
                <w:rFonts w:ascii="Arial" w:eastAsia="Times New Roman" w:hAnsi="Arial" w:cs="Arial"/>
                <w:b/>
                <w:bCs/>
                <w:sz w:val="16"/>
                <w:szCs w:val="16"/>
                <w:lang w:eastAsia="sl-SI"/>
              </w:rPr>
              <w:t>(</w:t>
            </w:r>
            <w:r w:rsidRPr="007437C4">
              <w:rPr>
                <w:rFonts w:ascii="Arial" w:eastAsia="Times New Roman" w:hAnsi="Arial" w:cs="Arial"/>
                <w:b/>
                <w:bCs/>
                <w:sz w:val="16"/>
                <w:szCs w:val="16"/>
                <w:lang w:eastAsia="sl-SI"/>
              </w:rPr>
              <w:t>v %</w:t>
            </w:r>
            <w:r>
              <w:rPr>
                <w:rFonts w:ascii="Arial" w:eastAsia="Times New Roman" w:hAnsi="Arial" w:cs="Arial"/>
                <w:b/>
                <w:bCs/>
                <w:sz w:val="16"/>
                <w:szCs w:val="16"/>
                <w:lang w:eastAsia="sl-SI"/>
              </w:rPr>
              <w:t>)</w:t>
            </w:r>
          </w:p>
        </w:tc>
        <w:tc>
          <w:tcPr>
            <w:tcW w:w="1321" w:type="dxa"/>
            <w:tcBorders>
              <w:top w:val="nil"/>
              <w:left w:val="nil"/>
              <w:bottom w:val="single" w:sz="4" w:space="0" w:color="auto"/>
              <w:right w:val="single" w:sz="4" w:space="0" w:color="auto"/>
            </w:tcBorders>
            <w:shd w:val="clear" w:color="auto" w:fill="auto"/>
            <w:vAlign w:val="center"/>
            <w:hideMark/>
          </w:tcPr>
          <w:p w14:paraId="37A46E02" w14:textId="77777777" w:rsidR="00A155A2" w:rsidRPr="007437C4" w:rsidRDefault="00A155A2" w:rsidP="001C77D2">
            <w:pPr>
              <w:spacing w:after="0" w:line="240" w:lineRule="auto"/>
              <w:jc w:val="center"/>
              <w:rPr>
                <w:rFonts w:ascii="Arial" w:eastAsia="Times New Roman" w:hAnsi="Arial" w:cs="Arial"/>
                <w:sz w:val="16"/>
                <w:szCs w:val="16"/>
                <w:lang w:eastAsia="sl-SI"/>
              </w:rPr>
            </w:pPr>
            <w:r w:rsidRPr="007437C4">
              <w:rPr>
                <w:rFonts w:ascii="Arial" w:eastAsia="Times New Roman" w:hAnsi="Arial" w:cs="Arial"/>
                <w:sz w:val="16"/>
                <w:szCs w:val="16"/>
                <w:lang w:eastAsia="sl-SI"/>
              </w:rPr>
              <w:t>6,7</w:t>
            </w:r>
          </w:p>
        </w:tc>
        <w:tc>
          <w:tcPr>
            <w:tcW w:w="1332" w:type="dxa"/>
            <w:tcBorders>
              <w:top w:val="nil"/>
              <w:left w:val="nil"/>
              <w:bottom w:val="single" w:sz="4" w:space="0" w:color="auto"/>
              <w:right w:val="single" w:sz="4" w:space="0" w:color="auto"/>
            </w:tcBorders>
            <w:shd w:val="clear" w:color="auto" w:fill="auto"/>
            <w:vAlign w:val="center"/>
            <w:hideMark/>
          </w:tcPr>
          <w:p w14:paraId="3A1D2688" w14:textId="77777777" w:rsidR="00A155A2" w:rsidRPr="007437C4" w:rsidRDefault="00A155A2" w:rsidP="001C77D2">
            <w:pPr>
              <w:spacing w:after="0" w:line="240" w:lineRule="auto"/>
              <w:jc w:val="center"/>
              <w:rPr>
                <w:rFonts w:ascii="Arial" w:eastAsia="Times New Roman" w:hAnsi="Arial" w:cs="Arial"/>
                <w:sz w:val="16"/>
                <w:szCs w:val="16"/>
                <w:lang w:eastAsia="sl-SI"/>
              </w:rPr>
            </w:pPr>
            <w:r w:rsidRPr="007437C4">
              <w:rPr>
                <w:rFonts w:ascii="Arial" w:eastAsia="Times New Roman" w:hAnsi="Arial" w:cs="Arial"/>
                <w:sz w:val="16"/>
                <w:szCs w:val="16"/>
                <w:lang w:eastAsia="sl-SI"/>
              </w:rPr>
              <w:t>6,1</w:t>
            </w:r>
          </w:p>
        </w:tc>
        <w:tc>
          <w:tcPr>
            <w:tcW w:w="1332" w:type="dxa"/>
            <w:tcBorders>
              <w:top w:val="nil"/>
              <w:left w:val="nil"/>
              <w:bottom w:val="single" w:sz="4" w:space="0" w:color="auto"/>
              <w:right w:val="single" w:sz="4" w:space="0" w:color="auto"/>
            </w:tcBorders>
            <w:shd w:val="clear" w:color="auto" w:fill="auto"/>
            <w:vAlign w:val="center"/>
            <w:hideMark/>
          </w:tcPr>
          <w:p w14:paraId="0B5C0727" w14:textId="77777777" w:rsidR="00A155A2" w:rsidRPr="007437C4" w:rsidRDefault="00A155A2" w:rsidP="001C77D2">
            <w:pPr>
              <w:spacing w:after="0" w:line="240" w:lineRule="auto"/>
              <w:jc w:val="center"/>
              <w:rPr>
                <w:rFonts w:ascii="Arial" w:eastAsia="Times New Roman" w:hAnsi="Arial" w:cs="Arial"/>
                <w:sz w:val="16"/>
                <w:szCs w:val="16"/>
                <w:lang w:eastAsia="sl-SI"/>
              </w:rPr>
            </w:pPr>
            <w:r w:rsidRPr="007437C4">
              <w:rPr>
                <w:rFonts w:ascii="Arial" w:eastAsia="Times New Roman" w:hAnsi="Arial" w:cs="Arial"/>
                <w:sz w:val="16"/>
                <w:szCs w:val="16"/>
                <w:lang w:eastAsia="sl-SI"/>
              </w:rPr>
              <w:t>4,8</w:t>
            </w:r>
          </w:p>
        </w:tc>
        <w:tc>
          <w:tcPr>
            <w:tcW w:w="1332" w:type="dxa"/>
            <w:tcBorders>
              <w:top w:val="nil"/>
              <w:left w:val="nil"/>
              <w:bottom w:val="single" w:sz="4" w:space="0" w:color="auto"/>
              <w:right w:val="single" w:sz="4" w:space="0" w:color="auto"/>
            </w:tcBorders>
            <w:shd w:val="clear" w:color="auto" w:fill="auto"/>
            <w:vAlign w:val="center"/>
            <w:hideMark/>
          </w:tcPr>
          <w:p w14:paraId="648B0B2E" w14:textId="77777777" w:rsidR="00A155A2" w:rsidRPr="007437C4" w:rsidRDefault="00A155A2" w:rsidP="001C77D2">
            <w:pPr>
              <w:spacing w:after="0" w:line="240" w:lineRule="auto"/>
              <w:jc w:val="center"/>
              <w:rPr>
                <w:rFonts w:ascii="Arial" w:eastAsia="Times New Roman" w:hAnsi="Arial" w:cs="Arial"/>
                <w:sz w:val="16"/>
                <w:szCs w:val="16"/>
                <w:lang w:eastAsia="sl-SI"/>
              </w:rPr>
            </w:pPr>
            <w:r w:rsidRPr="007437C4">
              <w:rPr>
                <w:rFonts w:ascii="Arial" w:eastAsia="Times New Roman" w:hAnsi="Arial" w:cs="Arial"/>
                <w:sz w:val="16"/>
                <w:szCs w:val="16"/>
                <w:lang w:eastAsia="sl-SI"/>
              </w:rPr>
              <w:t>4,3</w:t>
            </w:r>
          </w:p>
        </w:tc>
        <w:tc>
          <w:tcPr>
            <w:tcW w:w="1321" w:type="dxa"/>
            <w:tcBorders>
              <w:top w:val="nil"/>
              <w:left w:val="nil"/>
              <w:bottom w:val="single" w:sz="4" w:space="0" w:color="auto"/>
              <w:right w:val="single" w:sz="4" w:space="0" w:color="auto"/>
            </w:tcBorders>
            <w:shd w:val="clear" w:color="auto" w:fill="auto"/>
            <w:vAlign w:val="center"/>
            <w:hideMark/>
          </w:tcPr>
          <w:p w14:paraId="4538BD66" w14:textId="77777777" w:rsidR="00A155A2" w:rsidRPr="007437C4" w:rsidRDefault="00A155A2" w:rsidP="001C77D2">
            <w:pPr>
              <w:spacing w:after="0" w:line="240" w:lineRule="auto"/>
              <w:jc w:val="center"/>
              <w:rPr>
                <w:rFonts w:ascii="Arial" w:eastAsia="Times New Roman" w:hAnsi="Arial" w:cs="Arial"/>
                <w:color w:val="000000"/>
                <w:sz w:val="16"/>
                <w:szCs w:val="16"/>
                <w:lang w:eastAsia="sl-SI"/>
              </w:rPr>
            </w:pPr>
            <w:r w:rsidRPr="007437C4">
              <w:rPr>
                <w:rFonts w:ascii="Arial" w:eastAsia="Times New Roman" w:hAnsi="Arial" w:cs="Arial"/>
                <w:color w:val="000000"/>
                <w:sz w:val="16"/>
                <w:szCs w:val="16"/>
                <w:lang w:eastAsia="sl-SI"/>
              </w:rPr>
              <w:t>3,7</w:t>
            </w:r>
          </w:p>
        </w:tc>
        <w:tc>
          <w:tcPr>
            <w:tcW w:w="1231" w:type="dxa"/>
            <w:tcBorders>
              <w:top w:val="nil"/>
              <w:left w:val="nil"/>
              <w:bottom w:val="single" w:sz="4" w:space="0" w:color="auto"/>
              <w:right w:val="single" w:sz="4" w:space="0" w:color="auto"/>
            </w:tcBorders>
            <w:shd w:val="clear" w:color="auto" w:fill="auto"/>
            <w:vAlign w:val="center"/>
            <w:hideMark/>
          </w:tcPr>
          <w:p w14:paraId="2CC6DC28" w14:textId="77777777" w:rsidR="00A155A2" w:rsidRPr="007437C4" w:rsidRDefault="00A155A2" w:rsidP="001C77D2">
            <w:pPr>
              <w:spacing w:after="0" w:line="240" w:lineRule="auto"/>
              <w:jc w:val="center"/>
              <w:rPr>
                <w:rFonts w:ascii="Arial" w:eastAsia="Times New Roman" w:hAnsi="Arial" w:cs="Arial"/>
                <w:color w:val="000000"/>
                <w:sz w:val="16"/>
                <w:szCs w:val="16"/>
                <w:lang w:eastAsia="sl-SI"/>
              </w:rPr>
            </w:pPr>
            <w:r w:rsidRPr="007437C4">
              <w:rPr>
                <w:rFonts w:ascii="Arial" w:eastAsia="Times New Roman" w:hAnsi="Arial" w:cs="Arial"/>
                <w:color w:val="000000"/>
                <w:sz w:val="16"/>
                <w:szCs w:val="16"/>
                <w:lang w:eastAsia="sl-SI"/>
              </w:rPr>
              <w:t>3,6</w:t>
            </w:r>
          </w:p>
        </w:tc>
      </w:tr>
    </w:tbl>
    <w:p w14:paraId="54FD76F3"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1AC91B13" w14:textId="77777777" w:rsidR="00A155A2" w:rsidRPr="007348F1" w:rsidRDefault="00A155A2" w:rsidP="00A155A2">
      <w:pPr>
        <w:pStyle w:val="Naslov3"/>
        <w:rPr>
          <w:rFonts w:ascii="Arial" w:hAnsi="Arial" w:cs="Arial"/>
          <w:sz w:val="20"/>
          <w:szCs w:val="20"/>
        </w:rPr>
      </w:pPr>
      <w:r w:rsidRPr="00DD4D14">
        <w:rPr>
          <w:rFonts w:ascii="Arial" w:hAnsi="Arial" w:cs="Arial"/>
          <w:sz w:val="20"/>
          <w:szCs w:val="20"/>
        </w:rPr>
        <w:t xml:space="preserve">4.3 </w:t>
      </w:r>
      <w:r>
        <w:rPr>
          <w:rFonts w:ascii="Arial" w:hAnsi="Arial" w:cs="Arial"/>
          <w:sz w:val="20"/>
          <w:szCs w:val="20"/>
        </w:rPr>
        <w:tab/>
      </w:r>
      <w:r w:rsidRPr="00DD4D14">
        <w:rPr>
          <w:rFonts w:ascii="Arial" w:hAnsi="Arial" w:cs="Arial"/>
          <w:sz w:val="20"/>
          <w:szCs w:val="20"/>
        </w:rPr>
        <w:t>Davčni dolg po blagajnah javnega financiranja</w:t>
      </w:r>
    </w:p>
    <w:p w14:paraId="302076BA" w14:textId="77777777" w:rsidR="00A155A2" w:rsidRDefault="00A155A2" w:rsidP="00A155A2">
      <w:pPr>
        <w:jc w:val="both"/>
        <w:rPr>
          <w:rFonts w:ascii="Arial" w:hAnsi="Arial" w:cs="Arial"/>
          <w:bCs/>
          <w:color w:val="FF0000"/>
          <w:sz w:val="20"/>
          <w:szCs w:val="20"/>
        </w:rPr>
      </w:pPr>
      <w:r>
        <w:rPr>
          <w:rFonts w:ascii="Arial" w:hAnsi="Arial" w:cs="Arial"/>
          <w:bCs/>
          <w:sz w:val="20"/>
          <w:szCs w:val="20"/>
        </w:rPr>
        <w:t>V</w:t>
      </w:r>
      <w:r w:rsidRPr="00D37442">
        <w:rPr>
          <w:rFonts w:ascii="Arial" w:hAnsi="Arial" w:cs="Arial"/>
          <w:bCs/>
          <w:sz w:val="20"/>
          <w:szCs w:val="20"/>
        </w:rPr>
        <w:t xml:space="preserve"> razporeditv</w:t>
      </w:r>
      <w:r>
        <w:rPr>
          <w:rFonts w:ascii="Arial" w:hAnsi="Arial" w:cs="Arial"/>
          <w:bCs/>
          <w:sz w:val="20"/>
          <w:szCs w:val="20"/>
        </w:rPr>
        <w:t>i</w:t>
      </w:r>
      <w:r w:rsidRPr="00D37442">
        <w:rPr>
          <w:rFonts w:ascii="Arial" w:hAnsi="Arial" w:cs="Arial"/>
          <w:bCs/>
          <w:sz w:val="20"/>
          <w:szCs w:val="20"/>
        </w:rPr>
        <w:t xml:space="preserve"> davčnega dolga po blagajnah javnega </w:t>
      </w:r>
      <w:r w:rsidRPr="00251F7F">
        <w:rPr>
          <w:rFonts w:ascii="Arial" w:hAnsi="Arial" w:cs="Arial"/>
          <w:bCs/>
          <w:sz w:val="20"/>
          <w:szCs w:val="20"/>
        </w:rPr>
        <w:t xml:space="preserve">financiranja največji delež </w:t>
      </w:r>
      <w:r>
        <w:rPr>
          <w:rFonts w:ascii="Arial" w:hAnsi="Arial" w:cs="Arial"/>
          <w:bCs/>
          <w:sz w:val="20"/>
          <w:szCs w:val="20"/>
        </w:rPr>
        <w:t>obsega</w:t>
      </w:r>
      <w:r w:rsidRPr="00251F7F">
        <w:rPr>
          <w:rFonts w:ascii="Arial" w:hAnsi="Arial" w:cs="Arial"/>
          <w:bCs/>
          <w:sz w:val="20"/>
          <w:szCs w:val="20"/>
        </w:rPr>
        <w:t xml:space="preserve"> proračun</w:t>
      </w:r>
      <w:r w:rsidRPr="00D37442">
        <w:rPr>
          <w:rFonts w:ascii="Arial" w:hAnsi="Arial" w:cs="Arial"/>
          <w:bCs/>
          <w:sz w:val="20"/>
          <w:szCs w:val="20"/>
        </w:rPr>
        <w:t xml:space="preserve"> države, in sicer </w:t>
      </w:r>
      <w:r>
        <w:rPr>
          <w:rFonts w:ascii="Arial" w:hAnsi="Arial" w:cs="Arial"/>
          <w:bCs/>
          <w:sz w:val="20"/>
          <w:szCs w:val="20"/>
        </w:rPr>
        <w:t xml:space="preserve">70,7 </w:t>
      </w:r>
      <w:r w:rsidRPr="00D37442">
        <w:rPr>
          <w:rFonts w:ascii="Arial" w:hAnsi="Arial" w:cs="Arial"/>
          <w:bCs/>
          <w:sz w:val="20"/>
          <w:szCs w:val="20"/>
        </w:rPr>
        <w:t>odstotk</w:t>
      </w:r>
      <w:r>
        <w:rPr>
          <w:rFonts w:ascii="Arial" w:hAnsi="Arial" w:cs="Arial"/>
          <w:bCs/>
          <w:sz w:val="20"/>
          <w:szCs w:val="20"/>
        </w:rPr>
        <w:t>a</w:t>
      </w:r>
      <w:r w:rsidRPr="00D37442">
        <w:rPr>
          <w:rFonts w:ascii="Arial" w:hAnsi="Arial" w:cs="Arial"/>
          <w:bCs/>
          <w:sz w:val="20"/>
          <w:szCs w:val="20"/>
        </w:rPr>
        <w:t xml:space="preserve">. </w:t>
      </w:r>
      <w:r>
        <w:rPr>
          <w:rFonts w:ascii="Arial" w:hAnsi="Arial" w:cs="Arial"/>
          <w:bCs/>
          <w:sz w:val="20"/>
          <w:szCs w:val="20"/>
        </w:rPr>
        <w:t>B</w:t>
      </w:r>
      <w:r w:rsidRPr="00D37442">
        <w:rPr>
          <w:rFonts w:ascii="Arial" w:hAnsi="Arial" w:cs="Arial"/>
          <w:bCs/>
          <w:sz w:val="20"/>
          <w:szCs w:val="20"/>
        </w:rPr>
        <w:t xml:space="preserve">lagajna </w:t>
      </w:r>
      <w:r>
        <w:rPr>
          <w:rFonts w:ascii="Arial" w:hAnsi="Arial" w:cs="Arial"/>
          <w:bCs/>
          <w:sz w:val="20"/>
          <w:szCs w:val="20"/>
        </w:rPr>
        <w:t>ZPIZ</w:t>
      </w:r>
      <w:r w:rsidRPr="00D37442">
        <w:rPr>
          <w:rFonts w:ascii="Arial" w:hAnsi="Arial" w:cs="Arial"/>
          <w:bCs/>
          <w:sz w:val="20"/>
          <w:szCs w:val="20"/>
        </w:rPr>
        <w:t xml:space="preserve"> </w:t>
      </w:r>
      <w:r>
        <w:rPr>
          <w:rFonts w:ascii="Arial" w:hAnsi="Arial" w:cs="Arial"/>
          <w:bCs/>
          <w:sz w:val="20"/>
          <w:szCs w:val="20"/>
        </w:rPr>
        <w:t>ima</w:t>
      </w:r>
      <w:r w:rsidRPr="00D37442">
        <w:rPr>
          <w:rFonts w:ascii="Arial" w:hAnsi="Arial" w:cs="Arial"/>
          <w:bCs/>
          <w:sz w:val="20"/>
          <w:szCs w:val="20"/>
        </w:rPr>
        <w:t xml:space="preserve"> </w:t>
      </w:r>
      <w:r>
        <w:rPr>
          <w:rFonts w:ascii="Arial" w:hAnsi="Arial" w:cs="Arial"/>
          <w:bCs/>
          <w:sz w:val="20"/>
          <w:szCs w:val="20"/>
        </w:rPr>
        <w:t>17,2-</w:t>
      </w:r>
      <w:r w:rsidRPr="00D37442">
        <w:rPr>
          <w:rFonts w:ascii="Arial" w:hAnsi="Arial" w:cs="Arial"/>
          <w:bCs/>
          <w:sz w:val="20"/>
          <w:szCs w:val="20"/>
        </w:rPr>
        <w:t>odstotni del</w:t>
      </w:r>
      <w:r>
        <w:rPr>
          <w:rFonts w:ascii="Arial" w:hAnsi="Arial" w:cs="Arial"/>
          <w:bCs/>
          <w:sz w:val="20"/>
          <w:szCs w:val="20"/>
        </w:rPr>
        <w:t>ež dolga</w:t>
      </w:r>
      <w:r w:rsidRPr="00D37442">
        <w:rPr>
          <w:rFonts w:ascii="Arial" w:hAnsi="Arial" w:cs="Arial"/>
          <w:bCs/>
          <w:sz w:val="20"/>
          <w:szCs w:val="20"/>
        </w:rPr>
        <w:t xml:space="preserve">, blagajna </w:t>
      </w:r>
      <w:r>
        <w:rPr>
          <w:rFonts w:ascii="Arial" w:hAnsi="Arial" w:cs="Arial"/>
          <w:bCs/>
          <w:sz w:val="20"/>
          <w:szCs w:val="20"/>
        </w:rPr>
        <w:t>ZZZS</w:t>
      </w:r>
      <w:r w:rsidRPr="00D37442">
        <w:rPr>
          <w:rFonts w:ascii="Arial" w:hAnsi="Arial" w:cs="Arial"/>
          <w:bCs/>
          <w:sz w:val="20"/>
          <w:szCs w:val="20"/>
        </w:rPr>
        <w:t xml:space="preserve"> </w:t>
      </w:r>
      <w:r>
        <w:rPr>
          <w:rFonts w:ascii="Arial" w:hAnsi="Arial" w:cs="Arial"/>
          <w:bCs/>
          <w:sz w:val="20"/>
          <w:szCs w:val="20"/>
        </w:rPr>
        <w:t>obsega 9</w:t>
      </w:r>
      <w:r w:rsidRPr="00D37442">
        <w:rPr>
          <w:rFonts w:ascii="Arial" w:hAnsi="Arial" w:cs="Arial"/>
          <w:bCs/>
          <w:sz w:val="20"/>
          <w:szCs w:val="20"/>
        </w:rPr>
        <w:t>,</w:t>
      </w:r>
      <w:r>
        <w:rPr>
          <w:rFonts w:ascii="Arial" w:hAnsi="Arial" w:cs="Arial"/>
          <w:bCs/>
          <w:sz w:val="20"/>
          <w:szCs w:val="20"/>
        </w:rPr>
        <w:t>1</w:t>
      </w:r>
      <w:r w:rsidRPr="00D37442">
        <w:rPr>
          <w:rFonts w:ascii="Arial" w:hAnsi="Arial" w:cs="Arial"/>
          <w:bCs/>
          <w:sz w:val="20"/>
          <w:szCs w:val="20"/>
        </w:rPr>
        <w:t xml:space="preserve">-odstotni delež </w:t>
      </w:r>
      <w:r>
        <w:rPr>
          <w:rFonts w:ascii="Arial" w:hAnsi="Arial" w:cs="Arial"/>
          <w:bCs/>
          <w:sz w:val="20"/>
          <w:szCs w:val="20"/>
        </w:rPr>
        <w:t>in</w:t>
      </w:r>
      <w:r w:rsidRPr="00D37442">
        <w:rPr>
          <w:rFonts w:ascii="Arial" w:hAnsi="Arial" w:cs="Arial"/>
          <w:bCs/>
          <w:sz w:val="20"/>
          <w:szCs w:val="20"/>
        </w:rPr>
        <w:t xml:space="preserve"> proračuni občin </w:t>
      </w:r>
      <w:r>
        <w:rPr>
          <w:rFonts w:ascii="Arial" w:hAnsi="Arial" w:cs="Arial"/>
          <w:bCs/>
          <w:sz w:val="20"/>
          <w:szCs w:val="20"/>
        </w:rPr>
        <w:t>2,3-</w:t>
      </w:r>
      <w:r w:rsidRPr="00D37442">
        <w:rPr>
          <w:rFonts w:ascii="Arial" w:hAnsi="Arial" w:cs="Arial"/>
          <w:bCs/>
          <w:sz w:val="20"/>
          <w:szCs w:val="20"/>
        </w:rPr>
        <w:t>odstotni delež dolga</w:t>
      </w:r>
      <w:r>
        <w:rPr>
          <w:rFonts w:ascii="Arial" w:hAnsi="Arial" w:cs="Arial"/>
          <w:bCs/>
          <w:sz w:val="20"/>
          <w:szCs w:val="20"/>
        </w:rPr>
        <w:t xml:space="preserve">, 0,7-odstotni delež pripada drugim prejemnikom. </w:t>
      </w:r>
    </w:p>
    <w:p w14:paraId="68779AB4" w14:textId="77777777" w:rsidR="00A155A2" w:rsidRDefault="00A155A2" w:rsidP="00A155A2">
      <w:pPr>
        <w:rPr>
          <w:rFonts w:ascii="Arial" w:hAnsi="Arial" w:cs="Arial"/>
          <w:i/>
          <w:sz w:val="20"/>
          <w:szCs w:val="20"/>
        </w:rPr>
      </w:pPr>
    </w:p>
    <w:p w14:paraId="4F76E320" w14:textId="77777777" w:rsidR="00A155A2" w:rsidRDefault="00A155A2" w:rsidP="00A155A2">
      <w:pPr>
        <w:rPr>
          <w:rFonts w:ascii="Arial" w:hAnsi="Arial" w:cs="Arial"/>
          <w:i/>
          <w:sz w:val="20"/>
          <w:szCs w:val="20"/>
        </w:rPr>
      </w:pPr>
    </w:p>
    <w:p w14:paraId="1EF42682" w14:textId="77777777" w:rsidR="00A155A2" w:rsidRDefault="00A155A2" w:rsidP="00A155A2">
      <w:pPr>
        <w:rPr>
          <w:rFonts w:ascii="Arial" w:hAnsi="Arial" w:cs="Arial"/>
          <w:i/>
          <w:sz w:val="20"/>
          <w:szCs w:val="20"/>
        </w:rPr>
      </w:pPr>
    </w:p>
    <w:p w14:paraId="17760193" w14:textId="77777777" w:rsidR="00A155A2" w:rsidRDefault="00A155A2" w:rsidP="00A155A2">
      <w:pPr>
        <w:rPr>
          <w:rFonts w:ascii="Arial" w:hAnsi="Arial" w:cs="Arial"/>
          <w:i/>
          <w:sz w:val="20"/>
          <w:szCs w:val="20"/>
        </w:rPr>
      </w:pPr>
    </w:p>
    <w:p w14:paraId="25272EA9" w14:textId="77777777" w:rsidR="00A155A2" w:rsidRDefault="00A155A2" w:rsidP="00A155A2">
      <w:pPr>
        <w:rPr>
          <w:rFonts w:ascii="Arial" w:hAnsi="Arial" w:cs="Arial"/>
          <w:i/>
          <w:sz w:val="20"/>
          <w:szCs w:val="20"/>
        </w:rPr>
      </w:pPr>
    </w:p>
    <w:p w14:paraId="6B35BD18" w14:textId="77777777" w:rsidR="00A155A2" w:rsidRDefault="00A155A2" w:rsidP="00A155A2">
      <w:pPr>
        <w:rPr>
          <w:rFonts w:ascii="Arial" w:hAnsi="Arial" w:cs="Arial"/>
          <w:i/>
          <w:sz w:val="20"/>
          <w:szCs w:val="20"/>
        </w:rPr>
      </w:pPr>
    </w:p>
    <w:p w14:paraId="07A4284D" w14:textId="77777777" w:rsidR="00A155A2" w:rsidRDefault="00A155A2" w:rsidP="00A155A2">
      <w:pPr>
        <w:rPr>
          <w:rFonts w:ascii="Arial" w:hAnsi="Arial" w:cs="Arial"/>
          <w:i/>
          <w:sz w:val="20"/>
          <w:szCs w:val="20"/>
        </w:rPr>
      </w:pPr>
    </w:p>
    <w:p w14:paraId="3FAAB8B6" w14:textId="77777777" w:rsidR="00A155A2" w:rsidRDefault="00A155A2" w:rsidP="00A155A2">
      <w:pPr>
        <w:rPr>
          <w:rFonts w:ascii="Arial" w:hAnsi="Arial" w:cs="Arial"/>
          <w:i/>
          <w:sz w:val="20"/>
          <w:szCs w:val="20"/>
        </w:rPr>
      </w:pPr>
    </w:p>
    <w:p w14:paraId="137CF470" w14:textId="77777777" w:rsidR="00A155A2" w:rsidRDefault="00A155A2" w:rsidP="00A155A2">
      <w:pPr>
        <w:rPr>
          <w:rFonts w:ascii="Arial" w:hAnsi="Arial" w:cs="Arial"/>
          <w:i/>
          <w:color w:val="000000"/>
          <w:sz w:val="20"/>
          <w:szCs w:val="20"/>
        </w:rPr>
      </w:pPr>
      <w:r w:rsidRPr="0094398F">
        <w:rPr>
          <w:rFonts w:ascii="Arial" w:hAnsi="Arial" w:cs="Arial"/>
          <w:i/>
          <w:sz w:val="20"/>
          <w:szCs w:val="20"/>
        </w:rPr>
        <w:lastRenderedPageBreak/>
        <w:t>Slika</w:t>
      </w:r>
      <w:r w:rsidRPr="0094398F">
        <w:rPr>
          <w:rFonts w:ascii="Arial" w:hAnsi="Arial" w:cs="Arial"/>
          <w:i/>
          <w:color w:val="000000"/>
          <w:sz w:val="20"/>
          <w:szCs w:val="20"/>
        </w:rPr>
        <w:t xml:space="preserve"> </w:t>
      </w:r>
      <w:r>
        <w:rPr>
          <w:rFonts w:ascii="Arial" w:hAnsi="Arial" w:cs="Arial"/>
          <w:i/>
          <w:color w:val="000000"/>
          <w:sz w:val="20"/>
          <w:szCs w:val="20"/>
        </w:rPr>
        <w:t xml:space="preserve">7: </w:t>
      </w:r>
      <w:r w:rsidRPr="00D37442">
        <w:rPr>
          <w:rFonts w:ascii="Arial" w:hAnsi="Arial" w:cs="Arial"/>
          <w:i/>
          <w:color w:val="000000"/>
          <w:sz w:val="20"/>
          <w:szCs w:val="20"/>
        </w:rPr>
        <w:t xml:space="preserve">Davčni dolg po blagajnah javnega financiranja </w:t>
      </w:r>
    </w:p>
    <w:p w14:paraId="3BBA29C1" w14:textId="77777777" w:rsidR="00A155A2" w:rsidRDefault="00A155A2" w:rsidP="00A155A2">
      <w:pPr>
        <w:rPr>
          <w:rFonts w:ascii="Arial" w:hAnsi="Arial" w:cs="Arial"/>
          <w:i/>
          <w:color w:val="000000"/>
          <w:sz w:val="20"/>
          <w:szCs w:val="20"/>
        </w:rPr>
      </w:pPr>
      <w:r>
        <w:rPr>
          <w:noProof/>
        </w:rPr>
        <w:t xml:space="preserve">         </w:t>
      </w:r>
      <w:r>
        <w:rPr>
          <w:noProof/>
          <w:lang w:eastAsia="sl-SI"/>
        </w:rPr>
        <w:drawing>
          <wp:inline distT="0" distB="0" distL="0" distR="0" wp14:anchorId="17F33B28" wp14:editId="69311A56">
            <wp:extent cx="3790950" cy="2540000"/>
            <wp:effectExtent l="0" t="0" r="0" b="0"/>
            <wp:docPr id="9" name="Grafikon 9">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E0AC60" w14:textId="77777777" w:rsidR="00A155A2" w:rsidRPr="0094398F" w:rsidRDefault="00A155A2" w:rsidP="00A155A2">
      <w:pPr>
        <w:jc w:val="both"/>
        <w:rPr>
          <w:rFonts w:ascii="Arial" w:hAnsi="Arial" w:cs="Arial"/>
          <w:i/>
          <w:color w:val="000000"/>
          <w:sz w:val="20"/>
          <w:szCs w:val="20"/>
        </w:rPr>
      </w:pPr>
      <w:r>
        <w:rPr>
          <w:rFonts w:ascii="Arial" w:hAnsi="Arial" w:cs="Arial"/>
          <w:i/>
          <w:color w:val="000000"/>
          <w:sz w:val="20"/>
          <w:szCs w:val="20"/>
        </w:rPr>
        <w:t>V</w:t>
      </w:r>
      <w:r w:rsidRPr="0094398F">
        <w:rPr>
          <w:rFonts w:ascii="Arial" w:hAnsi="Arial" w:cs="Arial"/>
          <w:i/>
          <w:color w:val="000000"/>
          <w:sz w:val="20"/>
          <w:szCs w:val="20"/>
        </w:rPr>
        <w:t>ir: FURS</w:t>
      </w:r>
    </w:p>
    <w:p w14:paraId="1941C1DC" w14:textId="77777777" w:rsidR="00A155A2" w:rsidRDefault="00A155A2" w:rsidP="00A155A2">
      <w:pPr>
        <w:rPr>
          <w:rFonts w:ascii="Arial" w:hAnsi="Arial" w:cs="Arial"/>
          <w:color w:val="000000"/>
          <w:sz w:val="20"/>
          <w:szCs w:val="20"/>
        </w:rPr>
      </w:pPr>
      <w:r w:rsidRPr="00F05017">
        <w:rPr>
          <w:rFonts w:ascii="Arial" w:hAnsi="Arial" w:cs="Arial"/>
          <w:color w:val="000000"/>
          <w:sz w:val="20"/>
          <w:szCs w:val="20"/>
        </w:rPr>
        <w:t>Podatki o višini in gibanju dolga po blagajnah javnega financiranja so prikazani v preglednici 6.</w:t>
      </w:r>
    </w:p>
    <w:p w14:paraId="0AB6C674" w14:textId="77777777" w:rsidR="00A155A2" w:rsidRDefault="00A155A2" w:rsidP="00A155A2">
      <w:pPr>
        <w:rPr>
          <w:rFonts w:ascii="Arial" w:hAnsi="Arial" w:cs="Arial"/>
          <w:i/>
          <w:sz w:val="20"/>
          <w:szCs w:val="20"/>
        </w:rPr>
      </w:pPr>
      <w:r w:rsidRPr="00F05017">
        <w:rPr>
          <w:rFonts w:ascii="Arial" w:hAnsi="Arial" w:cs="Arial"/>
          <w:bCs/>
          <w:i/>
          <w:sz w:val="20"/>
          <w:szCs w:val="20"/>
        </w:rPr>
        <w:t>Preglednica</w:t>
      </w:r>
      <w:r w:rsidRPr="00F05017">
        <w:rPr>
          <w:rFonts w:ascii="Arial" w:hAnsi="Arial" w:cs="Arial"/>
          <w:i/>
          <w:sz w:val="20"/>
          <w:szCs w:val="20"/>
        </w:rPr>
        <w:t xml:space="preserve"> 6: Stanje in gibanje davčnega dolga po blagajnah javnega financiranja </w:t>
      </w:r>
      <w:r>
        <w:rPr>
          <w:rFonts w:ascii="Arial" w:hAnsi="Arial" w:cs="Arial"/>
          <w:i/>
          <w:sz w:val="20"/>
          <w:szCs w:val="20"/>
        </w:rPr>
        <w:t>(</w:t>
      </w:r>
      <w:r w:rsidRPr="00F05017">
        <w:rPr>
          <w:rFonts w:ascii="Arial" w:hAnsi="Arial" w:cs="Arial"/>
          <w:i/>
          <w:sz w:val="20"/>
          <w:szCs w:val="20"/>
        </w:rPr>
        <w:t>v EUR</w:t>
      </w:r>
      <w:r>
        <w:rPr>
          <w:rFonts w:ascii="Arial" w:hAnsi="Arial" w:cs="Arial"/>
          <w:i/>
          <w:sz w:val="20"/>
          <w:szCs w:val="20"/>
        </w:rPr>
        <w:t>)</w:t>
      </w:r>
      <w:r w:rsidRPr="00DA1917">
        <w:rPr>
          <w:rFonts w:ascii="Arial" w:hAnsi="Arial" w:cs="Arial"/>
          <w:i/>
          <w:sz w:val="20"/>
          <w:szCs w:val="20"/>
        </w:rPr>
        <w:t xml:space="preserve"> </w:t>
      </w:r>
    </w:p>
    <w:tbl>
      <w:tblPr>
        <w:tblW w:w="8919" w:type="dxa"/>
        <w:tblCellMar>
          <w:left w:w="70" w:type="dxa"/>
          <w:right w:w="70" w:type="dxa"/>
        </w:tblCellMar>
        <w:tblLook w:val="04A0" w:firstRow="1" w:lastRow="0" w:firstColumn="1" w:lastColumn="0" w:noHBand="0" w:noVBand="1"/>
      </w:tblPr>
      <w:tblGrid>
        <w:gridCol w:w="1525"/>
        <w:gridCol w:w="1141"/>
        <w:gridCol w:w="1141"/>
        <w:gridCol w:w="1141"/>
        <w:gridCol w:w="1059"/>
        <w:gridCol w:w="1059"/>
        <w:gridCol w:w="1059"/>
        <w:gridCol w:w="794"/>
      </w:tblGrid>
      <w:tr w:rsidR="00A155A2" w:rsidRPr="000E3232" w14:paraId="4245B588" w14:textId="77777777" w:rsidTr="001C77D2">
        <w:trPr>
          <w:trHeight w:val="877"/>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0617"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Davčni dolg po javnofinančnih blagajnah</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03E71CF"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31.</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12.</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2022</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6A0B051"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31.</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12.</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2023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D991462"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31.</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12.</w:t>
            </w:r>
            <w:r>
              <w:rPr>
                <w:rFonts w:ascii="Arial" w:eastAsia="Times New Roman" w:hAnsi="Arial" w:cs="Arial"/>
                <w:b/>
                <w:bCs/>
                <w:sz w:val="18"/>
                <w:szCs w:val="18"/>
                <w:lang w:eastAsia="sl-SI"/>
              </w:rPr>
              <w:t xml:space="preserve"> </w:t>
            </w:r>
            <w:r w:rsidRPr="000E3232">
              <w:rPr>
                <w:rFonts w:ascii="Arial" w:eastAsia="Times New Roman" w:hAnsi="Arial" w:cs="Arial"/>
                <w:b/>
                <w:bCs/>
                <w:sz w:val="18"/>
                <w:szCs w:val="18"/>
                <w:lang w:eastAsia="sl-SI"/>
              </w:rPr>
              <w:t>2024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4AFA654" w14:textId="77777777" w:rsidR="00A155A2" w:rsidRPr="000E3232" w:rsidRDefault="00A155A2" w:rsidP="001C77D2">
            <w:pPr>
              <w:spacing w:after="0" w:line="240" w:lineRule="auto"/>
              <w:jc w:val="center"/>
              <w:rPr>
                <w:rFonts w:ascii="Arial" w:eastAsia="Times New Roman" w:hAnsi="Arial" w:cs="Arial"/>
                <w:b/>
                <w:bCs/>
                <w:color w:val="000000"/>
                <w:sz w:val="18"/>
                <w:szCs w:val="18"/>
                <w:lang w:eastAsia="sl-SI"/>
              </w:rPr>
            </w:pPr>
            <w:r w:rsidRPr="000E3232">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0E3232">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2023</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w:t>
            </w:r>
            <w:r w:rsidRPr="000E3232">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2022</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218CBD3C" w14:textId="77777777" w:rsidR="00A155A2" w:rsidRPr="000E3232" w:rsidRDefault="00A155A2" w:rsidP="001C77D2">
            <w:pPr>
              <w:spacing w:after="0" w:line="240" w:lineRule="auto"/>
              <w:jc w:val="center"/>
              <w:rPr>
                <w:rFonts w:ascii="Arial" w:eastAsia="Times New Roman" w:hAnsi="Arial" w:cs="Arial"/>
                <w:b/>
                <w:bCs/>
                <w:color w:val="000000"/>
                <w:sz w:val="18"/>
                <w:szCs w:val="18"/>
                <w:lang w:eastAsia="sl-SI"/>
              </w:rPr>
            </w:pPr>
            <w:r w:rsidRPr="000E3232">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0E3232">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w:t>
            </w:r>
            <w:r w:rsidRPr="000E3232">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2022</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2F445CAC" w14:textId="77777777" w:rsidR="00A155A2" w:rsidRPr="000E3232" w:rsidRDefault="00A155A2" w:rsidP="001C77D2">
            <w:pPr>
              <w:spacing w:after="0" w:line="240" w:lineRule="auto"/>
              <w:jc w:val="center"/>
              <w:rPr>
                <w:rFonts w:ascii="Arial" w:eastAsia="Times New Roman" w:hAnsi="Arial" w:cs="Arial"/>
                <w:b/>
                <w:bCs/>
                <w:color w:val="000000"/>
                <w:sz w:val="18"/>
                <w:szCs w:val="18"/>
                <w:lang w:eastAsia="sl-SI"/>
              </w:rPr>
            </w:pPr>
            <w:r w:rsidRPr="000E3232">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0E3232">
              <w:rPr>
                <w:rFonts w:ascii="Arial" w:eastAsia="Times New Roman" w:hAnsi="Arial" w:cs="Arial"/>
                <w:b/>
                <w:bCs/>
                <w:color w:val="000000"/>
                <w:sz w:val="18"/>
                <w:szCs w:val="18"/>
                <w:lang w:eastAsia="sl-SI"/>
              </w:rPr>
              <w:t xml:space="preserve"> 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w:t>
            </w:r>
            <w:r w:rsidRPr="000E3232">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0E3232">
              <w:rPr>
                <w:rFonts w:ascii="Arial" w:eastAsia="Times New Roman" w:hAnsi="Arial" w:cs="Arial"/>
                <w:b/>
                <w:bCs/>
                <w:color w:val="000000"/>
                <w:sz w:val="18"/>
                <w:szCs w:val="18"/>
                <w:lang w:eastAsia="sl-SI"/>
              </w:rPr>
              <w:t>2023</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6CA3FCF6" w14:textId="77777777" w:rsidR="00A155A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Delež </w:t>
            </w:r>
          </w:p>
          <w:p w14:paraId="6A2C5855"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w:t>
            </w:r>
            <w:r w:rsidRPr="000E3232">
              <w:rPr>
                <w:rFonts w:ascii="Arial" w:eastAsia="Times New Roman" w:hAnsi="Arial" w:cs="Arial"/>
                <w:b/>
                <w:bCs/>
                <w:sz w:val="18"/>
                <w:szCs w:val="18"/>
                <w:lang w:eastAsia="sl-SI"/>
              </w:rPr>
              <w:t>v %</w:t>
            </w:r>
            <w:r>
              <w:rPr>
                <w:rFonts w:ascii="Arial" w:eastAsia="Times New Roman" w:hAnsi="Arial" w:cs="Arial"/>
                <w:b/>
                <w:bCs/>
                <w:sz w:val="18"/>
                <w:szCs w:val="18"/>
                <w:lang w:eastAsia="sl-SI"/>
              </w:rPr>
              <w:t>)</w:t>
            </w:r>
          </w:p>
        </w:tc>
      </w:tr>
      <w:tr w:rsidR="00A155A2" w:rsidRPr="000E3232" w14:paraId="6E91B6B4" w14:textId="77777777" w:rsidTr="001C77D2">
        <w:trPr>
          <w:trHeight w:val="221"/>
        </w:trPr>
        <w:tc>
          <w:tcPr>
            <w:tcW w:w="8919" w:type="dxa"/>
            <w:gridSpan w:val="8"/>
            <w:tcBorders>
              <w:top w:val="nil"/>
              <w:left w:val="single" w:sz="4" w:space="0" w:color="auto"/>
              <w:bottom w:val="single" w:sz="4" w:space="0" w:color="auto"/>
              <w:right w:val="single" w:sz="4" w:space="0" w:color="000000"/>
            </w:tcBorders>
            <w:shd w:val="clear" w:color="000000" w:fill="DCE6F1"/>
            <w:vAlign w:val="center"/>
            <w:hideMark/>
          </w:tcPr>
          <w:p w14:paraId="0751F787"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Državni proračun </w:t>
            </w:r>
          </w:p>
        </w:tc>
      </w:tr>
      <w:tr w:rsidR="00A155A2" w:rsidRPr="000E3232" w14:paraId="5CDE6A06"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671B0E3A"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Aktivni dolg </w:t>
            </w:r>
          </w:p>
        </w:tc>
        <w:tc>
          <w:tcPr>
            <w:tcW w:w="1122" w:type="dxa"/>
            <w:tcBorders>
              <w:top w:val="nil"/>
              <w:left w:val="nil"/>
              <w:bottom w:val="single" w:sz="4" w:space="0" w:color="auto"/>
              <w:right w:val="single" w:sz="4" w:space="0" w:color="auto"/>
            </w:tcBorders>
            <w:shd w:val="clear" w:color="auto" w:fill="auto"/>
            <w:vAlign w:val="center"/>
            <w:hideMark/>
          </w:tcPr>
          <w:p w14:paraId="13FDA436"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306.730.194</w:t>
            </w:r>
          </w:p>
        </w:tc>
        <w:tc>
          <w:tcPr>
            <w:tcW w:w="1122" w:type="dxa"/>
            <w:tcBorders>
              <w:top w:val="nil"/>
              <w:left w:val="nil"/>
              <w:bottom w:val="single" w:sz="4" w:space="0" w:color="auto"/>
              <w:right w:val="single" w:sz="4" w:space="0" w:color="auto"/>
            </w:tcBorders>
            <w:shd w:val="clear" w:color="auto" w:fill="auto"/>
            <w:vAlign w:val="center"/>
            <w:hideMark/>
          </w:tcPr>
          <w:p w14:paraId="049156A1"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296.037.536</w:t>
            </w:r>
          </w:p>
        </w:tc>
        <w:tc>
          <w:tcPr>
            <w:tcW w:w="1122" w:type="dxa"/>
            <w:tcBorders>
              <w:top w:val="nil"/>
              <w:left w:val="nil"/>
              <w:bottom w:val="single" w:sz="4" w:space="0" w:color="auto"/>
              <w:right w:val="single" w:sz="4" w:space="0" w:color="auto"/>
            </w:tcBorders>
            <w:shd w:val="clear" w:color="000000" w:fill="FFFFFF"/>
            <w:vAlign w:val="center"/>
            <w:hideMark/>
          </w:tcPr>
          <w:p w14:paraId="56B51C01"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337.113.692</w:t>
            </w:r>
          </w:p>
        </w:tc>
        <w:tc>
          <w:tcPr>
            <w:tcW w:w="1072" w:type="dxa"/>
            <w:tcBorders>
              <w:top w:val="nil"/>
              <w:left w:val="nil"/>
              <w:bottom w:val="single" w:sz="4" w:space="0" w:color="auto"/>
              <w:right w:val="single" w:sz="4" w:space="0" w:color="auto"/>
            </w:tcBorders>
            <w:shd w:val="clear" w:color="auto" w:fill="auto"/>
            <w:vAlign w:val="center"/>
            <w:hideMark/>
          </w:tcPr>
          <w:p w14:paraId="7D003112"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96,5</w:t>
            </w:r>
          </w:p>
        </w:tc>
        <w:tc>
          <w:tcPr>
            <w:tcW w:w="1072" w:type="dxa"/>
            <w:tcBorders>
              <w:top w:val="nil"/>
              <w:left w:val="nil"/>
              <w:bottom w:val="single" w:sz="4" w:space="0" w:color="auto"/>
              <w:right w:val="single" w:sz="4" w:space="0" w:color="auto"/>
            </w:tcBorders>
            <w:shd w:val="clear" w:color="auto" w:fill="auto"/>
            <w:vAlign w:val="center"/>
            <w:hideMark/>
          </w:tcPr>
          <w:p w14:paraId="0B677029"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109,9</w:t>
            </w:r>
          </w:p>
        </w:tc>
        <w:tc>
          <w:tcPr>
            <w:tcW w:w="1072" w:type="dxa"/>
            <w:tcBorders>
              <w:top w:val="nil"/>
              <w:left w:val="nil"/>
              <w:bottom w:val="single" w:sz="4" w:space="0" w:color="auto"/>
              <w:right w:val="single" w:sz="4" w:space="0" w:color="auto"/>
            </w:tcBorders>
            <w:shd w:val="clear" w:color="auto" w:fill="auto"/>
            <w:vAlign w:val="center"/>
            <w:hideMark/>
          </w:tcPr>
          <w:p w14:paraId="1A4688AC"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113,9</w:t>
            </w:r>
          </w:p>
        </w:tc>
        <w:tc>
          <w:tcPr>
            <w:tcW w:w="801" w:type="dxa"/>
            <w:tcBorders>
              <w:top w:val="nil"/>
              <w:left w:val="nil"/>
              <w:bottom w:val="single" w:sz="4" w:space="0" w:color="auto"/>
              <w:right w:val="single" w:sz="4" w:space="0" w:color="auto"/>
            </w:tcBorders>
            <w:shd w:val="clear" w:color="auto" w:fill="auto"/>
            <w:vAlign w:val="center"/>
            <w:hideMark/>
          </w:tcPr>
          <w:p w14:paraId="1EF5F5AB"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70,0</w:t>
            </w:r>
          </w:p>
        </w:tc>
      </w:tr>
      <w:tr w:rsidR="00A155A2" w:rsidRPr="000E3232" w14:paraId="456AC2B8"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B965E44"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Pogojno izterljivi dolg </w:t>
            </w:r>
          </w:p>
        </w:tc>
        <w:tc>
          <w:tcPr>
            <w:tcW w:w="1122" w:type="dxa"/>
            <w:tcBorders>
              <w:top w:val="nil"/>
              <w:left w:val="nil"/>
              <w:bottom w:val="single" w:sz="4" w:space="0" w:color="auto"/>
              <w:right w:val="single" w:sz="4" w:space="0" w:color="auto"/>
            </w:tcBorders>
            <w:shd w:val="clear" w:color="auto" w:fill="auto"/>
            <w:vAlign w:val="center"/>
            <w:hideMark/>
          </w:tcPr>
          <w:p w14:paraId="32AB3ABC"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310.483.279</w:t>
            </w:r>
          </w:p>
        </w:tc>
        <w:tc>
          <w:tcPr>
            <w:tcW w:w="1122" w:type="dxa"/>
            <w:tcBorders>
              <w:top w:val="nil"/>
              <w:left w:val="nil"/>
              <w:bottom w:val="single" w:sz="4" w:space="0" w:color="auto"/>
              <w:right w:val="single" w:sz="4" w:space="0" w:color="auto"/>
            </w:tcBorders>
            <w:shd w:val="clear" w:color="auto" w:fill="auto"/>
            <w:vAlign w:val="center"/>
            <w:hideMark/>
          </w:tcPr>
          <w:p w14:paraId="6DF90494"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285.414.513</w:t>
            </w:r>
          </w:p>
        </w:tc>
        <w:tc>
          <w:tcPr>
            <w:tcW w:w="1122" w:type="dxa"/>
            <w:tcBorders>
              <w:top w:val="nil"/>
              <w:left w:val="nil"/>
              <w:bottom w:val="single" w:sz="4" w:space="0" w:color="auto"/>
              <w:right w:val="single" w:sz="4" w:space="0" w:color="auto"/>
            </w:tcBorders>
            <w:shd w:val="clear" w:color="000000" w:fill="FFFFFF"/>
            <w:vAlign w:val="center"/>
            <w:hideMark/>
          </w:tcPr>
          <w:p w14:paraId="05318A25"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300.409.391</w:t>
            </w:r>
          </w:p>
        </w:tc>
        <w:tc>
          <w:tcPr>
            <w:tcW w:w="1072" w:type="dxa"/>
            <w:tcBorders>
              <w:top w:val="nil"/>
              <w:left w:val="nil"/>
              <w:bottom w:val="single" w:sz="4" w:space="0" w:color="auto"/>
              <w:right w:val="single" w:sz="4" w:space="0" w:color="auto"/>
            </w:tcBorders>
            <w:shd w:val="clear" w:color="auto" w:fill="auto"/>
            <w:vAlign w:val="center"/>
            <w:hideMark/>
          </w:tcPr>
          <w:p w14:paraId="588D61F7"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91,9</w:t>
            </w:r>
          </w:p>
        </w:tc>
        <w:tc>
          <w:tcPr>
            <w:tcW w:w="1072" w:type="dxa"/>
            <w:tcBorders>
              <w:top w:val="nil"/>
              <w:left w:val="nil"/>
              <w:bottom w:val="single" w:sz="4" w:space="0" w:color="auto"/>
              <w:right w:val="single" w:sz="4" w:space="0" w:color="auto"/>
            </w:tcBorders>
            <w:shd w:val="clear" w:color="auto" w:fill="auto"/>
            <w:vAlign w:val="center"/>
            <w:hideMark/>
          </w:tcPr>
          <w:p w14:paraId="42F4273C"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96,8</w:t>
            </w:r>
          </w:p>
        </w:tc>
        <w:tc>
          <w:tcPr>
            <w:tcW w:w="1072" w:type="dxa"/>
            <w:tcBorders>
              <w:top w:val="nil"/>
              <w:left w:val="nil"/>
              <w:bottom w:val="single" w:sz="4" w:space="0" w:color="auto"/>
              <w:right w:val="single" w:sz="4" w:space="0" w:color="auto"/>
            </w:tcBorders>
            <w:shd w:val="clear" w:color="auto" w:fill="auto"/>
            <w:vAlign w:val="center"/>
            <w:hideMark/>
          </w:tcPr>
          <w:p w14:paraId="2B91EEDB"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105,3</w:t>
            </w:r>
          </w:p>
        </w:tc>
        <w:tc>
          <w:tcPr>
            <w:tcW w:w="801" w:type="dxa"/>
            <w:tcBorders>
              <w:top w:val="nil"/>
              <w:left w:val="nil"/>
              <w:bottom w:val="single" w:sz="4" w:space="0" w:color="auto"/>
              <w:right w:val="single" w:sz="4" w:space="0" w:color="auto"/>
            </w:tcBorders>
            <w:shd w:val="clear" w:color="auto" w:fill="auto"/>
            <w:vAlign w:val="center"/>
            <w:hideMark/>
          </w:tcPr>
          <w:p w14:paraId="18851B08"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71,5</w:t>
            </w:r>
          </w:p>
        </w:tc>
      </w:tr>
      <w:tr w:rsidR="00A155A2" w:rsidRPr="000E3232" w14:paraId="0D21FA02" w14:textId="77777777" w:rsidTr="001C77D2">
        <w:trPr>
          <w:trHeight w:val="261"/>
        </w:trPr>
        <w:tc>
          <w:tcPr>
            <w:tcW w:w="1533" w:type="dxa"/>
            <w:tcBorders>
              <w:top w:val="nil"/>
              <w:left w:val="single" w:sz="4" w:space="0" w:color="auto"/>
              <w:bottom w:val="double" w:sz="6" w:space="0" w:color="auto"/>
              <w:right w:val="single" w:sz="4" w:space="0" w:color="auto"/>
            </w:tcBorders>
            <w:shd w:val="clear" w:color="auto" w:fill="auto"/>
            <w:vAlign w:val="center"/>
            <w:hideMark/>
          </w:tcPr>
          <w:p w14:paraId="2BBCEB41"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Skupaj dolg </w:t>
            </w:r>
          </w:p>
        </w:tc>
        <w:tc>
          <w:tcPr>
            <w:tcW w:w="1122" w:type="dxa"/>
            <w:tcBorders>
              <w:top w:val="nil"/>
              <w:left w:val="nil"/>
              <w:bottom w:val="double" w:sz="6" w:space="0" w:color="auto"/>
              <w:right w:val="single" w:sz="4" w:space="0" w:color="auto"/>
            </w:tcBorders>
            <w:shd w:val="clear" w:color="auto" w:fill="auto"/>
            <w:vAlign w:val="center"/>
            <w:hideMark/>
          </w:tcPr>
          <w:p w14:paraId="0999F15C"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617.213.473</w:t>
            </w:r>
          </w:p>
        </w:tc>
        <w:tc>
          <w:tcPr>
            <w:tcW w:w="1122" w:type="dxa"/>
            <w:tcBorders>
              <w:top w:val="nil"/>
              <w:left w:val="nil"/>
              <w:bottom w:val="double" w:sz="6" w:space="0" w:color="auto"/>
              <w:right w:val="single" w:sz="4" w:space="0" w:color="auto"/>
            </w:tcBorders>
            <w:shd w:val="clear" w:color="auto" w:fill="auto"/>
            <w:vAlign w:val="center"/>
            <w:hideMark/>
          </w:tcPr>
          <w:p w14:paraId="71CD1A9B"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581.452.049</w:t>
            </w:r>
          </w:p>
        </w:tc>
        <w:tc>
          <w:tcPr>
            <w:tcW w:w="1122" w:type="dxa"/>
            <w:tcBorders>
              <w:top w:val="nil"/>
              <w:left w:val="nil"/>
              <w:bottom w:val="double" w:sz="6" w:space="0" w:color="auto"/>
              <w:right w:val="single" w:sz="4" w:space="0" w:color="auto"/>
            </w:tcBorders>
            <w:shd w:val="clear" w:color="auto" w:fill="auto"/>
            <w:vAlign w:val="center"/>
            <w:hideMark/>
          </w:tcPr>
          <w:p w14:paraId="64829163"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637.523.083</w:t>
            </w:r>
          </w:p>
        </w:tc>
        <w:tc>
          <w:tcPr>
            <w:tcW w:w="1072" w:type="dxa"/>
            <w:tcBorders>
              <w:top w:val="nil"/>
              <w:left w:val="nil"/>
              <w:bottom w:val="double" w:sz="6" w:space="0" w:color="auto"/>
              <w:right w:val="single" w:sz="4" w:space="0" w:color="auto"/>
            </w:tcBorders>
            <w:shd w:val="clear" w:color="auto" w:fill="auto"/>
            <w:vAlign w:val="center"/>
            <w:hideMark/>
          </w:tcPr>
          <w:p w14:paraId="00105E28"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94,2</w:t>
            </w:r>
          </w:p>
        </w:tc>
        <w:tc>
          <w:tcPr>
            <w:tcW w:w="1072" w:type="dxa"/>
            <w:tcBorders>
              <w:top w:val="nil"/>
              <w:left w:val="nil"/>
              <w:bottom w:val="double" w:sz="6" w:space="0" w:color="auto"/>
              <w:right w:val="single" w:sz="4" w:space="0" w:color="auto"/>
            </w:tcBorders>
            <w:shd w:val="clear" w:color="auto" w:fill="auto"/>
            <w:vAlign w:val="center"/>
            <w:hideMark/>
          </w:tcPr>
          <w:p w14:paraId="0EF8DA2F"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103,3</w:t>
            </w:r>
          </w:p>
        </w:tc>
        <w:tc>
          <w:tcPr>
            <w:tcW w:w="1072" w:type="dxa"/>
            <w:tcBorders>
              <w:top w:val="nil"/>
              <w:left w:val="nil"/>
              <w:bottom w:val="double" w:sz="6" w:space="0" w:color="auto"/>
              <w:right w:val="single" w:sz="4" w:space="0" w:color="auto"/>
            </w:tcBorders>
            <w:shd w:val="clear" w:color="auto" w:fill="auto"/>
            <w:vAlign w:val="center"/>
            <w:hideMark/>
          </w:tcPr>
          <w:p w14:paraId="7BD6F2A5"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109,6</w:t>
            </w:r>
          </w:p>
        </w:tc>
        <w:tc>
          <w:tcPr>
            <w:tcW w:w="801" w:type="dxa"/>
            <w:tcBorders>
              <w:top w:val="nil"/>
              <w:left w:val="nil"/>
              <w:bottom w:val="double" w:sz="6" w:space="0" w:color="auto"/>
              <w:right w:val="single" w:sz="4" w:space="0" w:color="auto"/>
            </w:tcBorders>
            <w:shd w:val="clear" w:color="auto" w:fill="auto"/>
            <w:vAlign w:val="center"/>
            <w:hideMark/>
          </w:tcPr>
          <w:p w14:paraId="0027ACEF"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70,7</w:t>
            </w:r>
          </w:p>
        </w:tc>
      </w:tr>
      <w:tr w:rsidR="00A155A2" w:rsidRPr="000E3232" w14:paraId="4B17F1E4" w14:textId="77777777" w:rsidTr="001C77D2">
        <w:trPr>
          <w:trHeight w:val="261"/>
        </w:trPr>
        <w:tc>
          <w:tcPr>
            <w:tcW w:w="8919" w:type="dxa"/>
            <w:gridSpan w:val="8"/>
            <w:tcBorders>
              <w:top w:val="nil"/>
              <w:left w:val="single" w:sz="4" w:space="0" w:color="auto"/>
              <w:bottom w:val="single" w:sz="4" w:space="0" w:color="auto"/>
              <w:right w:val="single" w:sz="4" w:space="0" w:color="000000"/>
            </w:tcBorders>
            <w:shd w:val="clear" w:color="000000" w:fill="DCE6F1"/>
            <w:vAlign w:val="center"/>
            <w:hideMark/>
          </w:tcPr>
          <w:p w14:paraId="6B80E682"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Zavod za pokojninsko in invalidsko zavarovanje</w:t>
            </w:r>
            <w:r>
              <w:rPr>
                <w:rFonts w:ascii="Arial" w:eastAsia="Times New Roman" w:hAnsi="Arial" w:cs="Arial"/>
                <w:b/>
                <w:bCs/>
                <w:sz w:val="18"/>
                <w:szCs w:val="18"/>
                <w:lang w:eastAsia="sl-SI"/>
              </w:rPr>
              <w:t xml:space="preserve"> </w:t>
            </w:r>
            <w:r w:rsidRPr="00251F7F">
              <w:rPr>
                <w:rFonts w:ascii="Arial" w:eastAsia="Times New Roman" w:hAnsi="Arial" w:cs="Arial"/>
                <w:b/>
                <w:bCs/>
                <w:sz w:val="18"/>
                <w:szCs w:val="18"/>
                <w:lang w:eastAsia="sl-SI"/>
              </w:rPr>
              <w:t>Slovenije</w:t>
            </w:r>
            <w:r w:rsidRPr="000E3232">
              <w:rPr>
                <w:rFonts w:ascii="Arial" w:eastAsia="Times New Roman" w:hAnsi="Arial" w:cs="Arial"/>
                <w:b/>
                <w:bCs/>
                <w:sz w:val="18"/>
                <w:szCs w:val="18"/>
                <w:lang w:eastAsia="sl-SI"/>
              </w:rPr>
              <w:t xml:space="preserve"> </w:t>
            </w:r>
          </w:p>
        </w:tc>
      </w:tr>
      <w:tr w:rsidR="00A155A2" w:rsidRPr="000E3232" w14:paraId="6315B6E9"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70A79F4D"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Aktivni dolg </w:t>
            </w:r>
          </w:p>
        </w:tc>
        <w:tc>
          <w:tcPr>
            <w:tcW w:w="1122" w:type="dxa"/>
            <w:tcBorders>
              <w:top w:val="nil"/>
              <w:left w:val="nil"/>
              <w:bottom w:val="single" w:sz="4" w:space="0" w:color="auto"/>
              <w:right w:val="single" w:sz="4" w:space="0" w:color="auto"/>
            </w:tcBorders>
            <w:shd w:val="clear" w:color="auto" w:fill="auto"/>
            <w:vAlign w:val="center"/>
            <w:hideMark/>
          </w:tcPr>
          <w:p w14:paraId="69974741"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79.264.785</w:t>
            </w:r>
          </w:p>
        </w:tc>
        <w:tc>
          <w:tcPr>
            <w:tcW w:w="1122" w:type="dxa"/>
            <w:tcBorders>
              <w:top w:val="nil"/>
              <w:left w:val="nil"/>
              <w:bottom w:val="single" w:sz="4" w:space="0" w:color="auto"/>
              <w:right w:val="single" w:sz="4" w:space="0" w:color="auto"/>
            </w:tcBorders>
            <w:shd w:val="clear" w:color="auto" w:fill="auto"/>
            <w:vAlign w:val="center"/>
            <w:hideMark/>
          </w:tcPr>
          <w:p w14:paraId="6B95733C"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80.786.270</w:t>
            </w:r>
          </w:p>
        </w:tc>
        <w:tc>
          <w:tcPr>
            <w:tcW w:w="1122" w:type="dxa"/>
            <w:tcBorders>
              <w:top w:val="nil"/>
              <w:left w:val="nil"/>
              <w:bottom w:val="single" w:sz="4" w:space="0" w:color="auto"/>
              <w:right w:val="single" w:sz="4" w:space="0" w:color="auto"/>
            </w:tcBorders>
            <w:shd w:val="clear" w:color="000000" w:fill="FFFFFF"/>
            <w:vAlign w:val="center"/>
            <w:hideMark/>
          </w:tcPr>
          <w:p w14:paraId="5F72B0D8"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82.293.644</w:t>
            </w:r>
          </w:p>
        </w:tc>
        <w:tc>
          <w:tcPr>
            <w:tcW w:w="1072" w:type="dxa"/>
            <w:tcBorders>
              <w:top w:val="nil"/>
              <w:left w:val="nil"/>
              <w:bottom w:val="single" w:sz="4" w:space="0" w:color="auto"/>
              <w:right w:val="single" w:sz="4" w:space="0" w:color="auto"/>
            </w:tcBorders>
            <w:shd w:val="clear" w:color="auto" w:fill="auto"/>
            <w:vAlign w:val="center"/>
            <w:hideMark/>
          </w:tcPr>
          <w:p w14:paraId="4DF7259C"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101,9</w:t>
            </w:r>
          </w:p>
        </w:tc>
        <w:tc>
          <w:tcPr>
            <w:tcW w:w="1072" w:type="dxa"/>
            <w:tcBorders>
              <w:top w:val="nil"/>
              <w:left w:val="nil"/>
              <w:bottom w:val="single" w:sz="4" w:space="0" w:color="auto"/>
              <w:right w:val="single" w:sz="4" w:space="0" w:color="auto"/>
            </w:tcBorders>
            <w:shd w:val="clear" w:color="auto" w:fill="auto"/>
            <w:vAlign w:val="center"/>
            <w:hideMark/>
          </w:tcPr>
          <w:p w14:paraId="1D6AB507"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103,8</w:t>
            </w:r>
          </w:p>
        </w:tc>
        <w:tc>
          <w:tcPr>
            <w:tcW w:w="1072" w:type="dxa"/>
            <w:tcBorders>
              <w:top w:val="nil"/>
              <w:left w:val="nil"/>
              <w:bottom w:val="single" w:sz="4" w:space="0" w:color="auto"/>
              <w:right w:val="single" w:sz="4" w:space="0" w:color="auto"/>
            </w:tcBorders>
            <w:shd w:val="clear" w:color="auto" w:fill="auto"/>
            <w:vAlign w:val="center"/>
            <w:hideMark/>
          </w:tcPr>
          <w:p w14:paraId="21AFA1D7"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101,9</w:t>
            </w:r>
          </w:p>
        </w:tc>
        <w:tc>
          <w:tcPr>
            <w:tcW w:w="801" w:type="dxa"/>
            <w:tcBorders>
              <w:top w:val="nil"/>
              <w:left w:val="nil"/>
              <w:bottom w:val="single" w:sz="4" w:space="0" w:color="auto"/>
              <w:right w:val="single" w:sz="4" w:space="0" w:color="auto"/>
            </w:tcBorders>
            <w:shd w:val="clear" w:color="auto" w:fill="auto"/>
            <w:vAlign w:val="center"/>
            <w:hideMark/>
          </w:tcPr>
          <w:p w14:paraId="69E075D7"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17,1</w:t>
            </w:r>
          </w:p>
        </w:tc>
      </w:tr>
      <w:tr w:rsidR="00A155A2" w:rsidRPr="000E3232" w14:paraId="065EA156"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316E182"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Pogojno izterljivi dolg </w:t>
            </w:r>
          </w:p>
        </w:tc>
        <w:tc>
          <w:tcPr>
            <w:tcW w:w="1122" w:type="dxa"/>
            <w:tcBorders>
              <w:top w:val="nil"/>
              <w:left w:val="nil"/>
              <w:bottom w:val="single" w:sz="4" w:space="0" w:color="auto"/>
              <w:right w:val="single" w:sz="4" w:space="0" w:color="auto"/>
            </w:tcBorders>
            <w:shd w:val="clear" w:color="auto" w:fill="auto"/>
            <w:vAlign w:val="center"/>
            <w:hideMark/>
          </w:tcPr>
          <w:p w14:paraId="2FD62267"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89.472.983</w:t>
            </w:r>
          </w:p>
        </w:tc>
        <w:tc>
          <w:tcPr>
            <w:tcW w:w="1122" w:type="dxa"/>
            <w:tcBorders>
              <w:top w:val="nil"/>
              <w:left w:val="nil"/>
              <w:bottom w:val="single" w:sz="4" w:space="0" w:color="auto"/>
              <w:right w:val="single" w:sz="4" w:space="0" w:color="auto"/>
            </w:tcBorders>
            <w:shd w:val="clear" w:color="auto" w:fill="auto"/>
            <w:vAlign w:val="center"/>
            <w:hideMark/>
          </w:tcPr>
          <w:p w14:paraId="44F28BA8"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75.166.797</w:t>
            </w:r>
          </w:p>
        </w:tc>
        <w:tc>
          <w:tcPr>
            <w:tcW w:w="1122" w:type="dxa"/>
            <w:tcBorders>
              <w:top w:val="nil"/>
              <w:left w:val="nil"/>
              <w:bottom w:val="single" w:sz="4" w:space="0" w:color="auto"/>
              <w:right w:val="single" w:sz="4" w:space="0" w:color="auto"/>
            </w:tcBorders>
            <w:shd w:val="clear" w:color="000000" w:fill="FFFFFF"/>
            <w:vAlign w:val="center"/>
            <w:hideMark/>
          </w:tcPr>
          <w:p w14:paraId="27E47563"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72.565.004</w:t>
            </w:r>
          </w:p>
        </w:tc>
        <w:tc>
          <w:tcPr>
            <w:tcW w:w="1072" w:type="dxa"/>
            <w:tcBorders>
              <w:top w:val="nil"/>
              <w:left w:val="nil"/>
              <w:bottom w:val="single" w:sz="4" w:space="0" w:color="auto"/>
              <w:right w:val="single" w:sz="4" w:space="0" w:color="auto"/>
            </w:tcBorders>
            <w:shd w:val="clear" w:color="auto" w:fill="auto"/>
            <w:vAlign w:val="center"/>
            <w:hideMark/>
          </w:tcPr>
          <w:p w14:paraId="02782A24"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84,0</w:t>
            </w:r>
          </w:p>
        </w:tc>
        <w:tc>
          <w:tcPr>
            <w:tcW w:w="1072" w:type="dxa"/>
            <w:tcBorders>
              <w:top w:val="nil"/>
              <w:left w:val="nil"/>
              <w:bottom w:val="single" w:sz="4" w:space="0" w:color="auto"/>
              <w:right w:val="single" w:sz="4" w:space="0" w:color="auto"/>
            </w:tcBorders>
            <w:shd w:val="clear" w:color="auto" w:fill="auto"/>
            <w:vAlign w:val="center"/>
            <w:hideMark/>
          </w:tcPr>
          <w:p w14:paraId="56F54C04"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81,1</w:t>
            </w:r>
          </w:p>
        </w:tc>
        <w:tc>
          <w:tcPr>
            <w:tcW w:w="1072" w:type="dxa"/>
            <w:tcBorders>
              <w:top w:val="nil"/>
              <w:left w:val="nil"/>
              <w:bottom w:val="single" w:sz="4" w:space="0" w:color="auto"/>
              <w:right w:val="single" w:sz="4" w:space="0" w:color="auto"/>
            </w:tcBorders>
            <w:shd w:val="clear" w:color="auto" w:fill="auto"/>
            <w:vAlign w:val="center"/>
            <w:hideMark/>
          </w:tcPr>
          <w:p w14:paraId="1B72245A"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96,5</w:t>
            </w:r>
          </w:p>
        </w:tc>
        <w:tc>
          <w:tcPr>
            <w:tcW w:w="801" w:type="dxa"/>
            <w:tcBorders>
              <w:top w:val="nil"/>
              <w:left w:val="nil"/>
              <w:bottom w:val="single" w:sz="4" w:space="0" w:color="auto"/>
              <w:right w:val="single" w:sz="4" w:space="0" w:color="auto"/>
            </w:tcBorders>
            <w:shd w:val="clear" w:color="auto" w:fill="auto"/>
            <w:vAlign w:val="center"/>
            <w:hideMark/>
          </w:tcPr>
          <w:p w14:paraId="04E95496"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17,3</w:t>
            </w:r>
          </w:p>
        </w:tc>
      </w:tr>
      <w:tr w:rsidR="00A155A2" w:rsidRPr="000E3232" w14:paraId="3E27E962" w14:textId="77777777" w:rsidTr="001C77D2">
        <w:trPr>
          <w:trHeight w:val="261"/>
        </w:trPr>
        <w:tc>
          <w:tcPr>
            <w:tcW w:w="1533" w:type="dxa"/>
            <w:tcBorders>
              <w:top w:val="nil"/>
              <w:left w:val="single" w:sz="4" w:space="0" w:color="auto"/>
              <w:bottom w:val="double" w:sz="6" w:space="0" w:color="auto"/>
              <w:right w:val="single" w:sz="4" w:space="0" w:color="auto"/>
            </w:tcBorders>
            <w:shd w:val="clear" w:color="auto" w:fill="auto"/>
            <w:vAlign w:val="center"/>
            <w:hideMark/>
          </w:tcPr>
          <w:p w14:paraId="77602579"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Skupaj dolg </w:t>
            </w:r>
          </w:p>
        </w:tc>
        <w:tc>
          <w:tcPr>
            <w:tcW w:w="1122" w:type="dxa"/>
            <w:tcBorders>
              <w:top w:val="nil"/>
              <w:left w:val="nil"/>
              <w:bottom w:val="double" w:sz="6" w:space="0" w:color="auto"/>
              <w:right w:val="single" w:sz="4" w:space="0" w:color="auto"/>
            </w:tcBorders>
            <w:shd w:val="clear" w:color="auto" w:fill="auto"/>
            <w:vAlign w:val="center"/>
            <w:hideMark/>
          </w:tcPr>
          <w:p w14:paraId="3E8A8CDE"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168.737.768</w:t>
            </w:r>
          </w:p>
        </w:tc>
        <w:tc>
          <w:tcPr>
            <w:tcW w:w="1122" w:type="dxa"/>
            <w:tcBorders>
              <w:top w:val="nil"/>
              <w:left w:val="nil"/>
              <w:bottom w:val="double" w:sz="6" w:space="0" w:color="auto"/>
              <w:right w:val="single" w:sz="4" w:space="0" w:color="auto"/>
            </w:tcBorders>
            <w:shd w:val="clear" w:color="auto" w:fill="auto"/>
            <w:vAlign w:val="center"/>
            <w:hideMark/>
          </w:tcPr>
          <w:p w14:paraId="644AE881"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155.953.067</w:t>
            </w:r>
          </w:p>
        </w:tc>
        <w:tc>
          <w:tcPr>
            <w:tcW w:w="1122" w:type="dxa"/>
            <w:tcBorders>
              <w:top w:val="nil"/>
              <w:left w:val="nil"/>
              <w:bottom w:val="double" w:sz="6" w:space="0" w:color="auto"/>
              <w:right w:val="single" w:sz="4" w:space="0" w:color="auto"/>
            </w:tcBorders>
            <w:shd w:val="clear" w:color="auto" w:fill="auto"/>
            <w:vAlign w:val="center"/>
            <w:hideMark/>
          </w:tcPr>
          <w:p w14:paraId="28C67E1F"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154.858.648</w:t>
            </w:r>
          </w:p>
        </w:tc>
        <w:tc>
          <w:tcPr>
            <w:tcW w:w="1072" w:type="dxa"/>
            <w:tcBorders>
              <w:top w:val="nil"/>
              <w:left w:val="nil"/>
              <w:bottom w:val="double" w:sz="6" w:space="0" w:color="auto"/>
              <w:right w:val="single" w:sz="4" w:space="0" w:color="auto"/>
            </w:tcBorders>
            <w:shd w:val="clear" w:color="auto" w:fill="auto"/>
            <w:vAlign w:val="center"/>
            <w:hideMark/>
          </w:tcPr>
          <w:p w14:paraId="61E13C42"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92,4</w:t>
            </w:r>
          </w:p>
        </w:tc>
        <w:tc>
          <w:tcPr>
            <w:tcW w:w="1072" w:type="dxa"/>
            <w:tcBorders>
              <w:top w:val="nil"/>
              <w:left w:val="nil"/>
              <w:bottom w:val="double" w:sz="6" w:space="0" w:color="auto"/>
              <w:right w:val="single" w:sz="4" w:space="0" w:color="auto"/>
            </w:tcBorders>
            <w:shd w:val="clear" w:color="auto" w:fill="auto"/>
            <w:vAlign w:val="center"/>
            <w:hideMark/>
          </w:tcPr>
          <w:p w14:paraId="18D19761"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91,8</w:t>
            </w:r>
          </w:p>
        </w:tc>
        <w:tc>
          <w:tcPr>
            <w:tcW w:w="1072" w:type="dxa"/>
            <w:tcBorders>
              <w:top w:val="nil"/>
              <w:left w:val="nil"/>
              <w:bottom w:val="double" w:sz="6" w:space="0" w:color="auto"/>
              <w:right w:val="single" w:sz="4" w:space="0" w:color="auto"/>
            </w:tcBorders>
            <w:shd w:val="clear" w:color="auto" w:fill="auto"/>
            <w:vAlign w:val="center"/>
            <w:hideMark/>
          </w:tcPr>
          <w:p w14:paraId="3BA93131"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99,3</w:t>
            </w:r>
          </w:p>
        </w:tc>
        <w:tc>
          <w:tcPr>
            <w:tcW w:w="801" w:type="dxa"/>
            <w:tcBorders>
              <w:top w:val="nil"/>
              <w:left w:val="nil"/>
              <w:bottom w:val="double" w:sz="6" w:space="0" w:color="auto"/>
              <w:right w:val="single" w:sz="4" w:space="0" w:color="auto"/>
            </w:tcBorders>
            <w:shd w:val="clear" w:color="auto" w:fill="auto"/>
            <w:vAlign w:val="center"/>
            <w:hideMark/>
          </w:tcPr>
          <w:p w14:paraId="64D0ED2E"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17,2</w:t>
            </w:r>
          </w:p>
        </w:tc>
      </w:tr>
      <w:tr w:rsidR="00A155A2" w:rsidRPr="000E3232" w14:paraId="25E95590" w14:textId="77777777" w:rsidTr="001C77D2">
        <w:trPr>
          <w:trHeight w:val="209"/>
        </w:trPr>
        <w:tc>
          <w:tcPr>
            <w:tcW w:w="8919" w:type="dxa"/>
            <w:gridSpan w:val="8"/>
            <w:tcBorders>
              <w:top w:val="nil"/>
              <w:left w:val="single" w:sz="4" w:space="0" w:color="auto"/>
              <w:bottom w:val="single" w:sz="4" w:space="0" w:color="auto"/>
              <w:right w:val="single" w:sz="4" w:space="0" w:color="000000"/>
            </w:tcBorders>
            <w:shd w:val="clear" w:color="000000" w:fill="DCE6F1"/>
            <w:vAlign w:val="center"/>
            <w:hideMark/>
          </w:tcPr>
          <w:p w14:paraId="1C312F1E"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Zavod za zdravstveno zavarovanje Slovenije </w:t>
            </w:r>
          </w:p>
        </w:tc>
      </w:tr>
      <w:tr w:rsidR="00A155A2" w:rsidRPr="000E3232" w14:paraId="4F6C4216"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0384299E"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Aktivni dolg </w:t>
            </w:r>
          </w:p>
        </w:tc>
        <w:tc>
          <w:tcPr>
            <w:tcW w:w="1122" w:type="dxa"/>
            <w:tcBorders>
              <w:top w:val="nil"/>
              <w:left w:val="nil"/>
              <w:bottom w:val="single" w:sz="4" w:space="0" w:color="auto"/>
              <w:right w:val="single" w:sz="4" w:space="0" w:color="auto"/>
            </w:tcBorders>
            <w:shd w:val="clear" w:color="auto" w:fill="auto"/>
            <w:vAlign w:val="center"/>
            <w:hideMark/>
          </w:tcPr>
          <w:p w14:paraId="003D3DA3"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41.407.396</w:t>
            </w:r>
          </w:p>
        </w:tc>
        <w:tc>
          <w:tcPr>
            <w:tcW w:w="1122" w:type="dxa"/>
            <w:tcBorders>
              <w:top w:val="nil"/>
              <w:left w:val="nil"/>
              <w:bottom w:val="single" w:sz="4" w:space="0" w:color="auto"/>
              <w:right w:val="single" w:sz="4" w:space="0" w:color="auto"/>
            </w:tcBorders>
            <w:shd w:val="clear" w:color="auto" w:fill="auto"/>
            <w:vAlign w:val="center"/>
            <w:hideMark/>
          </w:tcPr>
          <w:p w14:paraId="48724246"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42.134.934</w:t>
            </w:r>
          </w:p>
        </w:tc>
        <w:tc>
          <w:tcPr>
            <w:tcW w:w="1122" w:type="dxa"/>
            <w:tcBorders>
              <w:top w:val="nil"/>
              <w:left w:val="nil"/>
              <w:bottom w:val="single" w:sz="4" w:space="0" w:color="auto"/>
              <w:right w:val="single" w:sz="4" w:space="0" w:color="auto"/>
            </w:tcBorders>
            <w:shd w:val="clear" w:color="000000" w:fill="FFFFFF"/>
            <w:vAlign w:val="center"/>
            <w:hideMark/>
          </w:tcPr>
          <w:p w14:paraId="626549C7"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45.797.879</w:t>
            </w:r>
          </w:p>
        </w:tc>
        <w:tc>
          <w:tcPr>
            <w:tcW w:w="1072" w:type="dxa"/>
            <w:tcBorders>
              <w:top w:val="nil"/>
              <w:left w:val="nil"/>
              <w:bottom w:val="single" w:sz="4" w:space="0" w:color="auto"/>
              <w:right w:val="single" w:sz="4" w:space="0" w:color="auto"/>
            </w:tcBorders>
            <w:shd w:val="clear" w:color="auto" w:fill="auto"/>
            <w:vAlign w:val="center"/>
            <w:hideMark/>
          </w:tcPr>
          <w:p w14:paraId="62CC310E"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101,8</w:t>
            </w:r>
          </w:p>
        </w:tc>
        <w:tc>
          <w:tcPr>
            <w:tcW w:w="1072" w:type="dxa"/>
            <w:tcBorders>
              <w:top w:val="nil"/>
              <w:left w:val="nil"/>
              <w:bottom w:val="single" w:sz="4" w:space="0" w:color="auto"/>
              <w:right w:val="single" w:sz="4" w:space="0" w:color="auto"/>
            </w:tcBorders>
            <w:shd w:val="clear" w:color="auto" w:fill="auto"/>
            <w:vAlign w:val="center"/>
            <w:hideMark/>
          </w:tcPr>
          <w:p w14:paraId="4E82D727"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110,6</w:t>
            </w:r>
          </w:p>
        </w:tc>
        <w:tc>
          <w:tcPr>
            <w:tcW w:w="1072" w:type="dxa"/>
            <w:tcBorders>
              <w:top w:val="nil"/>
              <w:left w:val="nil"/>
              <w:bottom w:val="single" w:sz="4" w:space="0" w:color="auto"/>
              <w:right w:val="single" w:sz="4" w:space="0" w:color="auto"/>
            </w:tcBorders>
            <w:shd w:val="clear" w:color="auto" w:fill="auto"/>
            <w:vAlign w:val="center"/>
            <w:hideMark/>
          </w:tcPr>
          <w:p w14:paraId="0C84D0AF"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108,7</w:t>
            </w:r>
          </w:p>
        </w:tc>
        <w:tc>
          <w:tcPr>
            <w:tcW w:w="801" w:type="dxa"/>
            <w:tcBorders>
              <w:top w:val="nil"/>
              <w:left w:val="nil"/>
              <w:bottom w:val="single" w:sz="4" w:space="0" w:color="auto"/>
              <w:right w:val="single" w:sz="4" w:space="0" w:color="auto"/>
            </w:tcBorders>
            <w:shd w:val="clear" w:color="auto" w:fill="auto"/>
            <w:vAlign w:val="center"/>
            <w:hideMark/>
          </w:tcPr>
          <w:p w14:paraId="5E46710F"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9,5</w:t>
            </w:r>
          </w:p>
        </w:tc>
      </w:tr>
      <w:tr w:rsidR="00A155A2" w:rsidRPr="000E3232" w14:paraId="7E2C9B63"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07302694"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Pogojno izterljivi dolg </w:t>
            </w:r>
          </w:p>
        </w:tc>
        <w:tc>
          <w:tcPr>
            <w:tcW w:w="1122" w:type="dxa"/>
            <w:tcBorders>
              <w:top w:val="nil"/>
              <w:left w:val="nil"/>
              <w:bottom w:val="single" w:sz="4" w:space="0" w:color="auto"/>
              <w:right w:val="single" w:sz="4" w:space="0" w:color="auto"/>
            </w:tcBorders>
            <w:shd w:val="clear" w:color="auto" w:fill="auto"/>
            <w:vAlign w:val="center"/>
            <w:hideMark/>
          </w:tcPr>
          <w:p w14:paraId="5D44B469"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43.108.228</w:t>
            </w:r>
          </w:p>
        </w:tc>
        <w:tc>
          <w:tcPr>
            <w:tcW w:w="1122" w:type="dxa"/>
            <w:tcBorders>
              <w:top w:val="nil"/>
              <w:left w:val="nil"/>
              <w:bottom w:val="single" w:sz="4" w:space="0" w:color="auto"/>
              <w:right w:val="single" w:sz="4" w:space="0" w:color="auto"/>
            </w:tcBorders>
            <w:shd w:val="clear" w:color="auto" w:fill="auto"/>
            <w:vAlign w:val="center"/>
            <w:hideMark/>
          </w:tcPr>
          <w:p w14:paraId="2FCA0646"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37.795.766</w:t>
            </w:r>
          </w:p>
        </w:tc>
        <w:tc>
          <w:tcPr>
            <w:tcW w:w="1122" w:type="dxa"/>
            <w:tcBorders>
              <w:top w:val="nil"/>
              <w:left w:val="nil"/>
              <w:bottom w:val="single" w:sz="4" w:space="0" w:color="auto"/>
              <w:right w:val="single" w:sz="4" w:space="0" w:color="auto"/>
            </w:tcBorders>
            <w:shd w:val="clear" w:color="000000" w:fill="FFFFFF"/>
            <w:vAlign w:val="center"/>
            <w:hideMark/>
          </w:tcPr>
          <w:p w14:paraId="745F7502"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36.494.229</w:t>
            </w:r>
          </w:p>
        </w:tc>
        <w:tc>
          <w:tcPr>
            <w:tcW w:w="1072" w:type="dxa"/>
            <w:tcBorders>
              <w:top w:val="nil"/>
              <w:left w:val="nil"/>
              <w:bottom w:val="single" w:sz="4" w:space="0" w:color="auto"/>
              <w:right w:val="single" w:sz="4" w:space="0" w:color="auto"/>
            </w:tcBorders>
            <w:shd w:val="clear" w:color="auto" w:fill="auto"/>
            <w:vAlign w:val="center"/>
            <w:hideMark/>
          </w:tcPr>
          <w:p w14:paraId="0D18B5CE"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87,7</w:t>
            </w:r>
          </w:p>
        </w:tc>
        <w:tc>
          <w:tcPr>
            <w:tcW w:w="1072" w:type="dxa"/>
            <w:tcBorders>
              <w:top w:val="nil"/>
              <w:left w:val="nil"/>
              <w:bottom w:val="single" w:sz="4" w:space="0" w:color="auto"/>
              <w:right w:val="single" w:sz="4" w:space="0" w:color="auto"/>
            </w:tcBorders>
            <w:shd w:val="clear" w:color="auto" w:fill="auto"/>
            <w:vAlign w:val="center"/>
            <w:hideMark/>
          </w:tcPr>
          <w:p w14:paraId="08035EDB"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84,7</w:t>
            </w:r>
          </w:p>
        </w:tc>
        <w:tc>
          <w:tcPr>
            <w:tcW w:w="1072" w:type="dxa"/>
            <w:tcBorders>
              <w:top w:val="nil"/>
              <w:left w:val="nil"/>
              <w:bottom w:val="single" w:sz="4" w:space="0" w:color="auto"/>
              <w:right w:val="single" w:sz="4" w:space="0" w:color="auto"/>
            </w:tcBorders>
            <w:shd w:val="clear" w:color="auto" w:fill="auto"/>
            <w:vAlign w:val="center"/>
            <w:hideMark/>
          </w:tcPr>
          <w:p w14:paraId="045AA1D2"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96,6</w:t>
            </w:r>
          </w:p>
        </w:tc>
        <w:tc>
          <w:tcPr>
            <w:tcW w:w="801" w:type="dxa"/>
            <w:tcBorders>
              <w:top w:val="nil"/>
              <w:left w:val="nil"/>
              <w:bottom w:val="single" w:sz="4" w:space="0" w:color="auto"/>
              <w:right w:val="single" w:sz="4" w:space="0" w:color="auto"/>
            </w:tcBorders>
            <w:shd w:val="clear" w:color="auto" w:fill="auto"/>
            <w:vAlign w:val="center"/>
            <w:hideMark/>
          </w:tcPr>
          <w:p w14:paraId="23FEB9DA"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8,7</w:t>
            </w:r>
          </w:p>
        </w:tc>
      </w:tr>
      <w:tr w:rsidR="00A155A2" w:rsidRPr="000E3232" w14:paraId="5F73818D" w14:textId="77777777" w:rsidTr="001C77D2">
        <w:trPr>
          <w:trHeight w:val="261"/>
        </w:trPr>
        <w:tc>
          <w:tcPr>
            <w:tcW w:w="1533" w:type="dxa"/>
            <w:tcBorders>
              <w:top w:val="nil"/>
              <w:left w:val="single" w:sz="4" w:space="0" w:color="auto"/>
              <w:bottom w:val="double" w:sz="6" w:space="0" w:color="auto"/>
              <w:right w:val="single" w:sz="4" w:space="0" w:color="auto"/>
            </w:tcBorders>
            <w:shd w:val="clear" w:color="auto" w:fill="auto"/>
            <w:vAlign w:val="center"/>
            <w:hideMark/>
          </w:tcPr>
          <w:p w14:paraId="105211D7"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Skupaj dolg </w:t>
            </w:r>
          </w:p>
        </w:tc>
        <w:tc>
          <w:tcPr>
            <w:tcW w:w="1122" w:type="dxa"/>
            <w:tcBorders>
              <w:top w:val="nil"/>
              <w:left w:val="nil"/>
              <w:bottom w:val="double" w:sz="6" w:space="0" w:color="auto"/>
              <w:right w:val="single" w:sz="4" w:space="0" w:color="auto"/>
            </w:tcBorders>
            <w:shd w:val="clear" w:color="auto" w:fill="auto"/>
            <w:vAlign w:val="center"/>
            <w:hideMark/>
          </w:tcPr>
          <w:p w14:paraId="378315BC"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84.515.624</w:t>
            </w:r>
          </w:p>
        </w:tc>
        <w:tc>
          <w:tcPr>
            <w:tcW w:w="1122" w:type="dxa"/>
            <w:tcBorders>
              <w:top w:val="nil"/>
              <w:left w:val="nil"/>
              <w:bottom w:val="double" w:sz="6" w:space="0" w:color="auto"/>
              <w:right w:val="single" w:sz="4" w:space="0" w:color="auto"/>
            </w:tcBorders>
            <w:shd w:val="clear" w:color="auto" w:fill="auto"/>
            <w:vAlign w:val="center"/>
            <w:hideMark/>
          </w:tcPr>
          <w:p w14:paraId="3AE5A2B7"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79.930.700</w:t>
            </w:r>
          </w:p>
        </w:tc>
        <w:tc>
          <w:tcPr>
            <w:tcW w:w="1122" w:type="dxa"/>
            <w:tcBorders>
              <w:top w:val="nil"/>
              <w:left w:val="nil"/>
              <w:bottom w:val="double" w:sz="6" w:space="0" w:color="auto"/>
              <w:right w:val="single" w:sz="4" w:space="0" w:color="auto"/>
            </w:tcBorders>
            <w:shd w:val="clear" w:color="auto" w:fill="auto"/>
            <w:vAlign w:val="center"/>
            <w:hideMark/>
          </w:tcPr>
          <w:p w14:paraId="16A02305"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82.292.108</w:t>
            </w:r>
          </w:p>
        </w:tc>
        <w:tc>
          <w:tcPr>
            <w:tcW w:w="1072" w:type="dxa"/>
            <w:tcBorders>
              <w:top w:val="nil"/>
              <w:left w:val="nil"/>
              <w:bottom w:val="double" w:sz="6" w:space="0" w:color="auto"/>
              <w:right w:val="single" w:sz="4" w:space="0" w:color="auto"/>
            </w:tcBorders>
            <w:shd w:val="clear" w:color="auto" w:fill="auto"/>
            <w:vAlign w:val="center"/>
            <w:hideMark/>
          </w:tcPr>
          <w:p w14:paraId="186C36CF"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94,6</w:t>
            </w:r>
          </w:p>
        </w:tc>
        <w:tc>
          <w:tcPr>
            <w:tcW w:w="1072" w:type="dxa"/>
            <w:tcBorders>
              <w:top w:val="nil"/>
              <w:left w:val="nil"/>
              <w:bottom w:val="double" w:sz="6" w:space="0" w:color="auto"/>
              <w:right w:val="single" w:sz="4" w:space="0" w:color="auto"/>
            </w:tcBorders>
            <w:shd w:val="clear" w:color="auto" w:fill="auto"/>
            <w:vAlign w:val="center"/>
            <w:hideMark/>
          </w:tcPr>
          <w:p w14:paraId="0A7F5B53"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97,4</w:t>
            </w:r>
          </w:p>
        </w:tc>
        <w:tc>
          <w:tcPr>
            <w:tcW w:w="1072" w:type="dxa"/>
            <w:tcBorders>
              <w:top w:val="nil"/>
              <w:left w:val="nil"/>
              <w:bottom w:val="double" w:sz="6" w:space="0" w:color="auto"/>
              <w:right w:val="single" w:sz="4" w:space="0" w:color="auto"/>
            </w:tcBorders>
            <w:shd w:val="clear" w:color="auto" w:fill="auto"/>
            <w:vAlign w:val="center"/>
            <w:hideMark/>
          </w:tcPr>
          <w:p w14:paraId="52DF3480"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103,0</w:t>
            </w:r>
          </w:p>
        </w:tc>
        <w:tc>
          <w:tcPr>
            <w:tcW w:w="801" w:type="dxa"/>
            <w:tcBorders>
              <w:top w:val="nil"/>
              <w:left w:val="nil"/>
              <w:bottom w:val="double" w:sz="6" w:space="0" w:color="auto"/>
              <w:right w:val="single" w:sz="4" w:space="0" w:color="auto"/>
            </w:tcBorders>
            <w:shd w:val="clear" w:color="auto" w:fill="auto"/>
            <w:vAlign w:val="center"/>
            <w:hideMark/>
          </w:tcPr>
          <w:p w14:paraId="57EDF8ED"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9,1</w:t>
            </w:r>
          </w:p>
        </w:tc>
      </w:tr>
      <w:tr w:rsidR="00A155A2" w:rsidRPr="000E3232" w14:paraId="7840735C" w14:textId="77777777" w:rsidTr="001C77D2">
        <w:trPr>
          <w:trHeight w:val="221"/>
        </w:trPr>
        <w:tc>
          <w:tcPr>
            <w:tcW w:w="8919" w:type="dxa"/>
            <w:gridSpan w:val="8"/>
            <w:tcBorders>
              <w:top w:val="nil"/>
              <w:left w:val="single" w:sz="4" w:space="0" w:color="auto"/>
              <w:bottom w:val="single" w:sz="4" w:space="0" w:color="auto"/>
              <w:right w:val="single" w:sz="4" w:space="0" w:color="000000"/>
            </w:tcBorders>
            <w:shd w:val="clear" w:color="000000" w:fill="DCE6F1"/>
            <w:vAlign w:val="center"/>
            <w:hideMark/>
          </w:tcPr>
          <w:p w14:paraId="6D3DD5D0" w14:textId="77777777" w:rsidR="00A155A2" w:rsidRPr="000E3232" w:rsidRDefault="00A155A2" w:rsidP="001C77D2">
            <w:pPr>
              <w:spacing w:after="0" w:line="240" w:lineRule="auto"/>
              <w:rPr>
                <w:rFonts w:ascii="Arial" w:eastAsia="Times New Roman" w:hAnsi="Arial" w:cs="Arial"/>
                <w:b/>
                <w:bCs/>
                <w:sz w:val="18"/>
                <w:szCs w:val="18"/>
                <w:lang w:eastAsia="sl-SI"/>
              </w:rPr>
            </w:pPr>
            <w:r w:rsidRPr="00251F7F">
              <w:rPr>
                <w:rFonts w:ascii="Arial" w:eastAsia="Times New Roman" w:hAnsi="Arial" w:cs="Arial"/>
                <w:b/>
                <w:bCs/>
                <w:sz w:val="18"/>
                <w:szCs w:val="18"/>
                <w:lang w:eastAsia="sl-SI"/>
              </w:rPr>
              <w:t>Proračuni občin</w:t>
            </w:r>
          </w:p>
        </w:tc>
      </w:tr>
      <w:tr w:rsidR="00A155A2" w:rsidRPr="000E3232" w14:paraId="52442F82"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5B9698B7"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Aktivni dolg </w:t>
            </w:r>
          </w:p>
        </w:tc>
        <w:tc>
          <w:tcPr>
            <w:tcW w:w="1122" w:type="dxa"/>
            <w:tcBorders>
              <w:top w:val="nil"/>
              <w:left w:val="nil"/>
              <w:bottom w:val="single" w:sz="4" w:space="0" w:color="auto"/>
              <w:right w:val="single" w:sz="4" w:space="0" w:color="auto"/>
            </w:tcBorders>
            <w:shd w:val="clear" w:color="auto" w:fill="auto"/>
            <w:vAlign w:val="center"/>
            <w:hideMark/>
          </w:tcPr>
          <w:p w14:paraId="3B6D8DE8"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9.907.870</w:t>
            </w:r>
          </w:p>
        </w:tc>
        <w:tc>
          <w:tcPr>
            <w:tcW w:w="1122" w:type="dxa"/>
            <w:tcBorders>
              <w:top w:val="nil"/>
              <w:left w:val="nil"/>
              <w:bottom w:val="single" w:sz="4" w:space="0" w:color="auto"/>
              <w:right w:val="single" w:sz="4" w:space="0" w:color="auto"/>
            </w:tcBorders>
            <w:shd w:val="clear" w:color="auto" w:fill="auto"/>
            <w:vAlign w:val="center"/>
            <w:hideMark/>
          </w:tcPr>
          <w:p w14:paraId="74E9C68F"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10.007.127</w:t>
            </w:r>
          </w:p>
        </w:tc>
        <w:tc>
          <w:tcPr>
            <w:tcW w:w="1122" w:type="dxa"/>
            <w:tcBorders>
              <w:top w:val="nil"/>
              <w:left w:val="nil"/>
              <w:bottom w:val="single" w:sz="4" w:space="0" w:color="auto"/>
              <w:right w:val="single" w:sz="4" w:space="0" w:color="auto"/>
            </w:tcBorders>
            <w:shd w:val="clear" w:color="000000" w:fill="FFFFFF"/>
            <w:vAlign w:val="center"/>
            <w:hideMark/>
          </w:tcPr>
          <w:p w14:paraId="47734E84"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10.412.435</w:t>
            </w:r>
          </w:p>
        </w:tc>
        <w:tc>
          <w:tcPr>
            <w:tcW w:w="1072" w:type="dxa"/>
            <w:tcBorders>
              <w:top w:val="nil"/>
              <w:left w:val="nil"/>
              <w:bottom w:val="single" w:sz="4" w:space="0" w:color="auto"/>
              <w:right w:val="single" w:sz="4" w:space="0" w:color="auto"/>
            </w:tcBorders>
            <w:shd w:val="clear" w:color="auto" w:fill="auto"/>
            <w:vAlign w:val="center"/>
            <w:hideMark/>
          </w:tcPr>
          <w:p w14:paraId="2D97ED74"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101,0</w:t>
            </w:r>
          </w:p>
        </w:tc>
        <w:tc>
          <w:tcPr>
            <w:tcW w:w="1072" w:type="dxa"/>
            <w:tcBorders>
              <w:top w:val="nil"/>
              <w:left w:val="nil"/>
              <w:bottom w:val="single" w:sz="4" w:space="0" w:color="auto"/>
              <w:right w:val="single" w:sz="4" w:space="0" w:color="auto"/>
            </w:tcBorders>
            <w:shd w:val="clear" w:color="auto" w:fill="auto"/>
            <w:vAlign w:val="center"/>
            <w:hideMark/>
          </w:tcPr>
          <w:p w14:paraId="387D4A44"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105,1</w:t>
            </w:r>
          </w:p>
        </w:tc>
        <w:tc>
          <w:tcPr>
            <w:tcW w:w="1072" w:type="dxa"/>
            <w:tcBorders>
              <w:top w:val="nil"/>
              <w:left w:val="nil"/>
              <w:bottom w:val="single" w:sz="4" w:space="0" w:color="auto"/>
              <w:right w:val="single" w:sz="4" w:space="0" w:color="auto"/>
            </w:tcBorders>
            <w:shd w:val="clear" w:color="auto" w:fill="auto"/>
            <w:vAlign w:val="center"/>
            <w:hideMark/>
          </w:tcPr>
          <w:p w14:paraId="3996E55A"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104,1</w:t>
            </w:r>
          </w:p>
        </w:tc>
        <w:tc>
          <w:tcPr>
            <w:tcW w:w="801" w:type="dxa"/>
            <w:tcBorders>
              <w:top w:val="nil"/>
              <w:left w:val="nil"/>
              <w:bottom w:val="single" w:sz="4" w:space="0" w:color="auto"/>
              <w:right w:val="single" w:sz="4" w:space="0" w:color="auto"/>
            </w:tcBorders>
            <w:shd w:val="clear" w:color="auto" w:fill="auto"/>
            <w:vAlign w:val="center"/>
            <w:hideMark/>
          </w:tcPr>
          <w:p w14:paraId="6CE96E95"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2,2</w:t>
            </w:r>
          </w:p>
        </w:tc>
      </w:tr>
      <w:tr w:rsidR="00A155A2" w:rsidRPr="000E3232" w14:paraId="3A495C0F"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1CDF5EED"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Pogojno izterljivi dolg </w:t>
            </w:r>
          </w:p>
        </w:tc>
        <w:tc>
          <w:tcPr>
            <w:tcW w:w="1122" w:type="dxa"/>
            <w:tcBorders>
              <w:top w:val="nil"/>
              <w:left w:val="nil"/>
              <w:bottom w:val="single" w:sz="4" w:space="0" w:color="auto"/>
              <w:right w:val="single" w:sz="4" w:space="0" w:color="auto"/>
            </w:tcBorders>
            <w:shd w:val="clear" w:color="auto" w:fill="auto"/>
            <w:vAlign w:val="center"/>
            <w:hideMark/>
          </w:tcPr>
          <w:p w14:paraId="404975A0"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13.660.137</w:t>
            </w:r>
          </w:p>
        </w:tc>
        <w:tc>
          <w:tcPr>
            <w:tcW w:w="1122" w:type="dxa"/>
            <w:tcBorders>
              <w:top w:val="nil"/>
              <w:left w:val="nil"/>
              <w:bottom w:val="single" w:sz="4" w:space="0" w:color="auto"/>
              <w:right w:val="single" w:sz="4" w:space="0" w:color="auto"/>
            </w:tcBorders>
            <w:shd w:val="clear" w:color="auto" w:fill="auto"/>
            <w:vAlign w:val="center"/>
            <w:hideMark/>
          </w:tcPr>
          <w:p w14:paraId="5D32588F"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11.667.588</w:t>
            </w:r>
          </w:p>
        </w:tc>
        <w:tc>
          <w:tcPr>
            <w:tcW w:w="1122" w:type="dxa"/>
            <w:tcBorders>
              <w:top w:val="nil"/>
              <w:left w:val="nil"/>
              <w:bottom w:val="single" w:sz="4" w:space="0" w:color="auto"/>
              <w:right w:val="single" w:sz="4" w:space="0" w:color="auto"/>
            </w:tcBorders>
            <w:shd w:val="clear" w:color="000000" w:fill="FFFFFF"/>
            <w:vAlign w:val="center"/>
            <w:hideMark/>
          </w:tcPr>
          <w:p w14:paraId="6F7C5331"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10.650.775</w:t>
            </w:r>
          </w:p>
        </w:tc>
        <w:tc>
          <w:tcPr>
            <w:tcW w:w="1072" w:type="dxa"/>
            <w:tcBorders>
              <w:top w:val="nil"/>
              <w:left w:val="nil"/>
              <w:bottom w:val="single" w:sz="4" w:space="0" w:color="auto"/>
              <w:right w:val="single" w:sz="4" w:space="0" w:color="auto"/>
            </w:tcBorders>
            <w:shd w:val="clear" w:color="auto" w:fill="auto"/>
            <w:vAlign w:val="center"/>
            <w:hideMark/>
          </w:tcPr>
          <w:p w14:paraId="0F907890"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85,4</w:t>
            </w:r>
          </w:p>
        </w:tc>
        <w:tc>
          <w:tcPr>
            <w:tcW w:w="1072" w:type="dxa"/>
            <w:tcBorders>
              <w:top w:val="nil"/>
              <w:left w:val="nil"/>
              <w:bottom w:val="single" w:sz="4" w:space="0" w:color="auto"/>
              <w:right w:val="single" w:sz="4" w:space="0" w:color="auto"/>
            </w:tcBorders>
            <w:shd w:val="clear" w:color="auto" w:fill="auto"/>
            <w:vAlign w:val="center"/>
            <w:hideMark/>
          </w:tcPr>
          <w:p w14:paraId="346DE63C"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78,0</w:t>
            </w:r>
          </w:p>
        </w:tc>
        <w:tc>
          <w:tcPr>
            <w:tcW w:w="1072" w:type="dxa"/>
            <w:tcBorders>
              <w:top w:val="nil"/>
              <w:left w:val="nil"/>
              <w:bottom w:val="single" w:sz="4" w:space="0" w:color="auto"/>
              <w:right w:val="single" w:sz="4" w:space="0" w:color="auto"/>
            </w:tcBorders>
            <w:shd w:val="clear" w:color="auto" w:fill="auto"/>
            <w:vAlign w:val="center"/>
            <w:hideMark/>
          </w:tcPr>
          <w:p w14:paraId="77264EEE"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91,3</w:t>
            </w:r>
          </w:p>
        </w:tc>
        <w:tc>
          <w:tcPr>
            <w:tcW w:w="801" w:type="dxa"/>
            <w:tcBorders>
              <w:top w:val="nil"/>
              <w:left w:val="nil"/>
              <w:bottom w:val="single" w:sz="4" w:space="0" w:color="auto"/>
              <w:right w:val="single" w:sz="4" w:space="0" w:color="auto"/>
            </w:tcBorders>
            <w:shd w:val="clear" w:color="auto" w:fill="auto"/>
            <w:vAlign w:val="center"/>
            <w:hideMark/>
          </w:tcPr>
          <w:p w14:paraId="13AEF713"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2,5</w:t>
            </w:r>
          </w:p>
        </w:tc>
      </w:tr>
      <w:tr w:rsidR="00A155A2" w:rsidRPr="000E3232" w14:paraId="022B3A42" w14:textId="77777777" w:rsidTr="001C77D2">
        <w:trPr>
          <w:trHeight w:val="261"/>
        </w:trPr>
        <w:tc>
          <w:tcPr>
            <w:tcW w:w="1533" w:type="dxa"/>
            <w:tcBorders>
              <w:top w:val="nil"/>
              <w:left w:val="single" w:sz="4" w:space="0" w:color="auto"/>
              <w:bottom w:val="double" w:sz="6" w:space="0" w:color="auto"/>
              <w:right w:val="single" w:sz="4" w:space="0" w:color="auto"/>
            </w:tcBorders>
            <w:shd w:val="clear" w:color="auto" w:fill="auto"/>
            <w:vAlign w:val="center"/>
            <w:hideMark/>
          </w:tcPr>
          <w:p w14:paraId="2B5D8238"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Skupaj dolg </w:t>
            </w:r>
          </w:p>
        </w:tc>
        <w:tc>
          <w:tcPr>
            <w:tcW w:w="1122" w:type="dxa"/>
            <w:tcBorders>
              <w:top w:val="nil"/>
              <w:left w:val="nil"/>
              <w:bottom w:val="double" w:sz="6" w:space="0" w:color="auto"/>
              <w:right w:val="single" w:sz="4" w:space="0" w:color="auto"/>
            </w:tcBorders>
            <w:shd w:val="clear" w:color="auto" w:fill="auto"/>
            <w:vAlign w:val="center"/>
            <w:hideMark/>
          </w:tcPr>
          <w:p w14:paraId="3D595EDC"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23.568.007</w:t>
            </w:r>
          </w:p>
        </w:tc>
        <w:tc>
          <w:tcPr>
            <w:tcW w:w="1122" w:type="dxa"/>
            <w:tcBorders>
              <w:top w:val="nil"/>
              <w:left w:val="nil"/>
              <w:bottom w:val="double" w:sz="6" w:space="0" w:color="auto"/>
              <w:right w:val="single" w:sz="4" w:space="0" w:color="auto"/>
            </w:tcBorders>
            <w:shd w:val="clear" w:color="auto" w:fill="auto"/>
            <w:vAlign w:val="center"/>
            <w:hideMark/>
          </w:tcPr>
          <w:p w14:paraId="2898E076"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21.674.715</w:t>
            </w:r>
          </w:p>
        </w:tc>
        <w:tc>
          <w:tcPr>
            <w:tcW w:w="1122" w:type="dxa"/>
            <w:tcBorders>
              <w:top w:val="nil"/>
              <w:left w:val="nil"/>
              <w:bottom w:val="double" w:sz="6" w:space="0" w:color="auto"/>
              <w:right w:val="single" w:sz="4" w:space="0" w:color="auto"/>
            </w:tcBorders>
            <w:shd w:val="clear" w:color="auto" w:fill="auto"/>
            <w:vAlign w:val="center"/>
            <w:hideMark/>
          </w:tcPr>
          <w:p w14:paraId="0BE7CDBC"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21.063.210</w:t>
            </w:r>
          </w:p>
        </w:tc>
        <w:tc>
          <w:tcPr>
            <w:tcW w:w="1072" w:type="dxa"/>
            <w:tcBorders>
              <w:top w:val="nil"/>
              <w:left w:val="nil"/>
              <w:bottom w:val="double" w:sz="6" w:space="0" w:color="auto"/>
              <w:right w:val="single" w:sz="4" w:space="0" w:color="auto"/>
            </w:tcBorders>
            <w:shd w:val="clear" w:color="auto" w:fill="auto"/>
            <w:vAlign w:val="center"/>
            <w:hideMark/>
          </w:tcPr>
          <w:p w14:paraId="56CC67FB"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92,0</w:t>
            </w:r>
          </w:p>
        </w:tc>
        <w:tc>
          <w:tcPr>
            <w:tcW w:w="1072" w:type="dxa"/>
            <w:tcBorders>
              <w:top w:val="nil"/>
              <w:left w:val="nil"/>
              <w:bottom w:val="double" w:sz="6" w:space="0" w:color="auto"/>
              <w:right w:val="single" w:sz="4" w:space="0" w:color="auto"/>
            </w:tcBorders>
            <w:shd w:val="clear" w:color="auto" w:fill="auto"/>
            <w:vAlign w:val="center"/>
            <w:hideMark/>
          </w:tcPr>
          <w:p w14:paraId="7ABDFB58"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89,4</w:t>
            </w:r>
          </w:p>
        </w:tc>
        <w:tc>
          <w:tcPr>
            <w:tcW w:w="1072" w:type="dxa"/>
            <w:tcBorders>
              <w:top w:val="nil"/>
              <w:left w:val="nil"/>
              <w:bottom w:val="double" w:sz="6" w:space="0" w:color="auto"/>
              <w:right w:val="single" w:sz="4" w:space="0" w:color="auto"/>
            </w:tcBorders>
            <w:shd w:val="clear" w:color="auto" w:fill="auto"/>
            <w:vAlign w:val="center"/>
            <w:hideMark/>
          </w:tcPr>
          <w:p w14:paraId="65606623"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97,2</w:t>
            </w:r>
          </w:p>
        </w:tc>
        <w:tc>
          <w:tcPr>
            <w:tcW w:w="801" w:type="dxa"/>
            <w:tcBorders>
              <w:top w:val="nil"/>
              <w:left w:val="nil"/>
              <w:bottom w:val="double" w:sz="6" w:space="0" w:color="auto"/>
              <w:right w:val="single" w:sz="4" w:space="0" w:color="auto"/>
            </w:tcBorders>
            <w:shd w:val="clear" w:color="auto" w:fill="auto"/>
            <w:vAlign w:val="center"/>
            <w:hideMark/>
          </w:tcPr>
          <w:p w14:paraId="3E3B40A1"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2,3</w:t>
            </w:r>
          </w:p>
        </w:tc>
      </w:tr>
      <w:tr w:rsidR="00A155A2" w:rsidRPr="000E3232" w14:paraId="2E3AF2F1" w14:textId="77777777" w:rsidTr="001C77D2">
        <w:trPr>
          <w:trHeight w:val="209"/>
        </w:trPr>
        <w:tc>
          <w:tcPr>
            <w:tcW w:w="8919" w:type="dxa"/>
            <w:gridSpan w:val="8"/>
            <w:tcBorders>
              <w:top w:val="nil"/>
              <w:left w:val="single" w:sz="4" w:space="0" w:color="auto"/>
              <w:bottom w:val="single" w:sz="4" w:space="0" w:color="auto"/>
              <w:right w:val="single" w:sz="4" w:space="0" w:color="000000"/>
            </w:tcBorders>
            <w:shd w:val="clear" w:color="000000" w:fill="DCE6F1"/>
            <w:vAlign w:val="center"/>
            <w:hideMark/>
          </w:tcPr>
          <w:p w14:paraId="4F669A51" w14:textId="77777777" w:rsidR="00A155A2" w:rsidRPr="000E3232" w:rsidRDefault="00A155A2" w:rsidP="001C77D2">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Drugo</w:t>
            </w:r>
          </w:p>
        </w:tc>
      </w:tr>
      <w:tr w:rsidR="00A155A2" w:rsidRPr="000E3232" w14:paraId="325B401C"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2686C60B"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Aktivni dolg </w:t>
            </w:r>
          </w:p>
        </w:tc>
        <w:tc>
          <w:tcPr>
            <w:tcW w:w="1122" w:type="dxa"/>
            <w:tcBorders>
              <w:top w:val="nil"/>
              <w:left w:val="nil"/>
              <w:bottom w:val="single" w:sz="4" w:space="0" w:color="auto"/>
              <w:right w:val="single" w:sz="4" w:space="0" w:color="auto"/>
            </w:tcBorders>
            <w:shd w:val="clear" w:color="auto" w:fill="auto"/>
            <w:vAlign w:val="center"/>
            <w:hideMark/>
          </w:tcPr>
          <w:p w14:paraId="1B685A35"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2.315.118</w:t>
            </w:r>
          </w:p>
        </w:tc>
        <w:tc>
          <w:tcPr>
            <w:tcW w:w="1122" w:type="dxa"/>
            <w:tcBorders>
              <w:top w:val="nil"/>
              <w:left w:val="nil"/>
              <w:bottom w:val="single" w:sz="4" w:space="0" w:color="auto"/>
              <w:right w:val="single" w:sz="4" w:space="0" w:color="auto"/>
            </w:tcBorders>
            <w:shd w:val="clear" w:color="auto" w:fill="auto"/>
            <w:vAlign w:val="center"/>
            <w:hideMark/>
          </w:tcPr>
          <w:p w14:paraId="0D595E4D"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2.798.263</w:t>
            </w:r>
          </w:p>
        </w:tc>
        <w:tc>
          <w:tcPr>
            <w:tcW w:w="1122" w:type="dxa"/>
            <w:tcBorders>
              <w:top w:val="nil"/>
              <w:left w:val="nil"/>
              <w:bottom w:val="single" w:sz="4" w:space="0" w:color="auto"/>
              <w:right w:val="single" w:sz="4" w:space="0" w:color="auto"/>
            </w:tcBorders>
            <w:shd w:val="clear" w:color="000000" w:fill="FFFFFF"/>
            <w:vAlign w:val="center"/>
            <w:hideMark/>
          </w:tcPr>
          <w:p w14:paraId="3883688B"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6.200.208</w:t>
            </w:r>
          </w:p>
        </w:tc>
        <w:tc>
          <w:tcPr>
            <w:tcW w:w="1072" w:type="dxa"/>
            <w:tcBorders>
              <w:top w:val="nil"/>
              <w:left w:val="nil"/>
              <w:bottom w:val="single" w:sz="4" w:space="0" w:color="auto"/>
              <w:right w:val="single" w:sz="4" w:space="0" w:color="auto"/>
            </w:tcBorders>
            <w:shd w:val="clear" w:color="auto" w:fill="auto"/>
            <w:vAlign w:val="center"/>
            <w:hideMark/>
          </w:tcPr>
          <w:p w14:paraId="244E7BA8"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120,9</w:t>
            </w:r>
          </w:p>
        </w:tc>
        <w:tc>
          <w:tcPr>
            <w:tcW w:w="1072" w:type="dxa"/>
            <w:tcBorders>
              <w:top w:val="nil"/>
              <w:left w:val="nil"/>
              <w:bottom w:val="single" w:sz="4" w:space="0" w:color="auto"/>
              <w:right w:val="single" w:sz="4" w:space="0" w:color="auto"/>
            </w:tcBorders>
            <w:shd w:val="clear" w:color="auto" w:fill="auto"/>
            <w:vAlign w:val="center"/>
            <w:hideMark/>
          </w:tcPr>
          <w:p w14:paraId="71EAA9BB"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267,8</w:t>
            </w:r>
          </w:p>
        </w:tc>
        <w:tc>
          <w:tcPr>
            <w:tcW w:w="1072" w:type="dxa"/>
            <w:tcBorders>
              <w:top w:val="nil"/>
              <w:left w:val="nil"/>
              <w:bottom w:val="single" w:sz="4" w:space="0" w:color="auto"/>
              <w:right w:val="single" w:sz="4" w:space="0" w:color="auto"/>
            </w:tcBorders>
            <w:shd w:val="clear" w:color="auto" w:fill="auto"/>
            <w:vAlign w:val="center"/>
            <w:hideMark/>
          </w:tcPr>
          <w:p w14:paraId="527E52A2"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221,6</w:t>
            </w:r>
          </w:p>
        </w:tc>
        <w:tc>
          <w:tcPr>
            <w:tcW w:w="801" w:type="dxa"/>
            <w:tcBorders>
              <w:top w:val="nil"/>
              <w:left w:val="nil"/>
              <w:bottom w:val="single" w:sz="4" w:space="0" w:color="auto"/>
              <w:right w:val="single" w:sz="4" w:space="0" w:color="auto"/>
            </w:tcBorders>
            <w:shd w:val="clear" w:color="auto" w:fill="auto"/>
            <w:vAlign w:val="center"/>
            <w:hideMark/>
          </w:tcPr>
          <w:p w14:paraId="5334F9AD"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1,3</w:t>
            </w:r>
          </w:p>
        </w:tc>
      </w:tr>
      <w:tr w:rsidR="00A155A2" w:rsidRPr="000E3232" w14:paraId="385319D0" w14:textId="77777777" w:rsidTr="001C77D2">
        <w:trPr>
          <w:trHeight w:val="261"/>
        </w:trPr>
        <w:tc>
          <w:tcPr>
            <w:tcW w:w="1533" w:type="dxa"/>
            <w:tcBorders>
              <w:top w:val="nil"/>
              <w:left w:val="single" w:sz="4" w:space="0" w:color="auto"/>
              <w:bottom w:val="single" w:sz="4" w:space="0" w:color="auto"/>
              <w:right w:val="single" w:sz="4" w:space="0" w:color="auto"/>
            </w:tcBorders>
            <w:shd w:val="clear" w:color="auto" w:fill="auto"/>
            <w:vAlign w:val="center"/>
            <w:hideMark/>
          </w:tcPr>
          <w:p w14:paraId="71B738FA" w14:textId="77777777" w:rsidR="00A155A2" w:rsidRPr="000E3232" w:rsidRDefault="00A155A2" w:rsidP="001C77D2">
            <w:pPr>
              <w:spacing w:after="0" w:line="240" w:lineRule="auto"/>
              <w:rPr>
                <w:rFonts w:ascii="Arial" w:eastAsia="Times New Roman" w:hAnsi="Arial" w:cs="Arial"/>
                <w:sz w:val="18"/>
                <w:szCs w:val="18"/>
                <w:lang w:eastAsia="sl-SI"/>
              </w:rPr>
            </w:pPr>
            <w:r w:rsidRPr="000E3232">
              <w:rPr>
                <w:rFonts w:ascii="Arial" w:eastAsia="Times New Roman" w:hAnsi="Arial" w:cs="Arial"/>
                <w:sz w:val="18"/>
                <w:szCs w:val="18"/>
                <w:lang w:eastAsia="sl-SI"/>
              </w:rPr>
              <w:t xml:space="preserve">Pogojno izterljivi dolg </w:t>
            </w:r>
          </w:p>
        </w:tc>
        <w:tc>
          <w:tcPr>
            <w:tcW w:w="1122" w:type="dxa"/>
            <w:tcBorders>
              <w:top w:val="nil"/>
              <w:left w:val="nil"/>
              <w:bottom w:val="single" w:sz="4" w:space="0" w:color="auto"/>
              <w:right w:val="single" w:sz="4" w:space="0" w:color="auto"/>
            </w:tcBorders>
            <w:shd w:val="clear" w:color="auto" w:fill="auto"/>
            <w:vAlign w:val="center"/>
            <w:hideMark/>
          </w:tcPr>
          <w:p w14:paraId="1D11C19D"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0</w:t>
            </w:r>
          </w:p>
        </w:tc>
        <w:tc>
          <w:tcPr>
            <w:tcW w:w="1122" w:type="dxa"/>
            <w:tcBorders>
              <w:top w:val="nil"/>
              <w:left w:val="nil"/>
              <w:bottom w:val="single" w:sz="4" w:space="0" w:color="auto"/>
              <w:right w:val="single" w:sz="4" w:space="0" w:color="auto"/>
            </w:tcBorders>
            <w:shd w:val="clear" w:color="auto" w:fill="auto"/>
            <w:vAlign w:val="center"/>
            <w:hideMark/>
          </w:tcPr>
          <w:p w14:paraId="4D3D6200" w14:textId="77777777" w:rsidR="00A155A2" w:rsidRPr="000E3232" w:rsidRDefault="00A155A2" w:rsidP="001C77D2">
            <w:pPr>
              <w:spacing w:after="0" w:line="240" w:lineRule="auto"/>
              <w:jc w:val="right"/>
              <w:rPr>
                <w:rFonts w:ascii="Arial" w:eastAsia="Times New Roman" w:hAnsi="Arial" w:cs="Arial"/>
                <w:sz w:val="18"/>
                <w:szCs w:val="18"/>
                <w:lang w:eastAsia="sl-SI"/>
              </w:rPr>
            </w:pPr>
            <w:r w:rsidRPr="000E3232">
              <w:rPr>
                <w:rFonts w:ascii="Arial" w:eastAsia="Times New Roman" w:hAnsi="Arial" w:cs="Arial"/>
                <w:sz w:val="18"/>
                <w:szCs w:val="18"/>
                <w:lang w:eastAsia="sl-SI"/>
              </w:rPr>
              <w:t>0</w:t>
            </w:r>
          </w:p>
        </w:tc>
        <w:tc>
          <w:tcPr>
            <w:tcW w:w="1122" w:type="dxa"/>
            <w:tcBorders>
              <w:top w:val="nil"/>
              <w:left w:val="nil"/>
              <w:bottom w:val="single" w:sz="4" w:space="0" w:color="auto"/>
              <w:right w:val="single" w:sz="4" w:space="0" w:color="auto"/>
            </w:tcBorders>
            <w:shd w:val="clear" w:color="000000" w:fill="FFFFFF"/>
            <w:vAlign w:val="center"/>
            <w:hideMark/>
          </w:tcPr>
          <w:p w14:paraId="46E57C28" w14:textId="77777777" w:rsidR="00A155A2" w:rsidRPr="000E3232" w:rsidRDefault="00A155A2" w:rsidP="001C77D2">
            <w:pPr>
              <w:spacing w:after="0" w:line="240" w:lineRule="auto"/>
              <w:jc w:val="right"/>
              <w:rPr>
                <w:rFonts w:ascii="Arial" w:eastAsia="Times New Roman" w:hAnsi="Arial" w:cs="Arial"/>
                <w:color w:val="000000"/>
                <w:sz w:val="18"/>
                <w:szCs w:val="18"/>
                <w:lang w:eastAsia="sl-SI"/>
              </w:rPr>
            </w:pPr>
            <w:r w:rsidRPr="000E3232">
              <w:rPr>
                <w:rFonts w:ascii="Arial" w:eastAsia="Times New Roman" w:hAnsi="Arial" w:cs="Arial"/>
                <w:color w:val="000000"/>
                <w:sz w:val="18"/>
                <w:szCs w:val="18"/>
                <w:lang w:eastAsia="sl-SI"/>
              </w:rPr>
              <w:t>0</w:t>
            </w:r>
          </w:p>
        </w:tc>
        <w:tc>
          <w:tcPr>
            <w:tcW w:w="1072" w:type="dxa"/>
            <w:tcBorders>
              <w:top w:val="nil"/>
              <w:left w:val="nil"/>
              <w:bottom w:val="single" w:sz="4" w:space="0" w:color="auto"/>
              <w:right w:val="single" w:sz="4" w:space="0" w:color="auto"/>
            </w:tcBorders>
            <w:shd w:val="clear" w:color="auto" w:fill="auto"/>
            <w:vAlign w:val="center"/>
            <w:hideMark/>
          </w:tcPr>
          <w:p w14:paraId="6CD8E26B"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0,0</w:t>
            </w:r>
          </w:p>
        </w:tc>
        <w:tc>
          <w:tcPr>
            <w:tcW w:w="1072" w:type="dxa"/>
            <w:tcBorders>
              <w:top w:val="nil"/>
              <w:left w:val="nil"/>
              <w:bottom w:val="single" w:sz="4" w:space="0" w:color="auto"/>
              <w:right w:val="single" w:sz="4" w:space="0" w:color="auto"/>
            </w:tcBorders>
            <w:shd w:val="clear" w:color="auto" w:fill="auto"/>
            <w:vAlign w:val="center"/>
            <w:hideMark/>
          </w:tcPr>
          <w:p w14:paraId="5773258C"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0,0</w:t>
            </w:r>
          </w:p>
        </w:tc>
        <w:tc>
          <w:tcPr>
            <w:tcW w:w="1072" w:type="dxa"/>
            <w:tcBorders>
              <w:top w:val="nil"/>
              <w:left w:val="nil"/>
              <w:bottom w:val="single" w:sz="4" w:space="0" w:color="auto"/>
              <w:right w:val="single" w:sz="4" w:space="0" w:color="auto"/>
            </w:tcBorders>
            <w:shd w:val="clear" w:color="auto" w:fill="auto"/>
            <w:vAlign w:val="center"/>
            <w:hideMark/>
          </w:tcPr>
          <w:p w14:paraId="77743D4E"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0,0</w:t>
            </w:r>
          </w:p>
        </w:tc>
        <w:tc>
          <w:tcPr>
            <w:tcW w:w="801" w:type="dxa"/>
            <w:tcBorders>
              <w:top w:val="nil"/>
              <w:left w:val="nil"/>
              <w:bottom w:val="single" w:sz="4" w:space="0" w:color="auto"/>
              <w:right w:val="single" w:sz="4" w:space="0" w:color="auto"/>
            </w:tcBorders>
            <w:shd w:val="clear" w:color="auto" w:fill="auto"/>
            <w:vAlign w:val="center"/>
            <w:hideMark/>
          </w:tcPr>
          <w:p w14:paraId="4160C42F"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0,0</w:t>
            </w:r>
          </w:p>
        </w:tc>
      </w:tr>
      <w:tr w:rsidR="00A155A2" w:rsidRPr="000E3232" w14:paraId="0F5804A4" w14:textId="77777777" w:rsidTr="001C77D2">
        <w:trPr>
          <w:trHeight w:val="261"/>
        </w:trPr>
        <w:tc>
          <w:tcPr>
            <w:tcW w:w="1533" w:type="dxa"/>
            <w:tcBorders>
              <w:top w:val="nil"/>
              <w:left w:val="single" w:sz="4" w:space="0" w:color="auto"/>
              <w:bottom w:val="double" w:sz="6" w:space="0" w:color="auto"/>
              <w:right w:val="single" w:sz="4" w:space="0" w:color="auto"/>
            </w:tcBorders>
            <w:shd w:val="clear" w:color="auto" w:fill="auto"/>
            <w:vAlign w:val="center"/>
            <w:hideMark/>
          </w:tcPr>
          <w:p w14:paraId="67121920"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 xml:space="preserve">Skupaj dolg </w:t>
            </w:r>
          </w:p>
        </w:tc>
        <w:tc>
          <w:tcPr>
            <w:tcW w:w="1122" w:type="dxa"/>
            <w:tcBorders>
              <w:top w:val="nil"/>
              <w:left w:val="nil"/>
              <w:bottom w:val="double" w:sz="6" w:space="0" w:color="auto"/>
              <w:right w:val="single" w:sz="4" w:space="0" w:color="auto"/>
            </w:tcBorders>
            <w:shd w:val="clear" w:color="auto" w:fill="auto"/>
            <w:vAlign w:val="center"/>
            <w:hideMark/>
          </w:tcPr>
          <w:p w14:paraId="3C5AD54A"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2.315.118</w:t>
            </w:r>
          </w:p>
        </w:tc>
        <w:tc>
          <w:tcPr>
            <w:tcW w:w="1122" w:type="dxa"/>
            <w:tcBorders>
              <w:top w:val="nil"/>
              <w:left w:val="nil"/>
              <w:bottom w:val="double" w:sz="6" w:space="0" w:color="auto"/>
              <w:right w:val="single" w:sz="4" w:space="0" w:color="auto"/>
            </w:tcBorders>
            <w:shd w:val="clear" w:color="auto" w:fill="auto"/>
            <w:vAlign w:val="center"/>
            <w:hideMark/>
          </w:tcPr>
          <w:p w14:paraId="03B54A9C"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2.798.263</w:t>
            </w:r>
          </w:p>
        </w:tc>
        <w:tc>
          <w:tcPr>
            <w:tcW w:w="1122" w:type="dxa"/>
            <w:tcBorders>
              <w:top w:val="nil"/>
              <w:left w:val="nil"/>
              <w:bottom w:val="double" w:sz="6" w:space="0" w:color="auto"/>
              <w:right w:val="single" w:sz="4" w:space="0" w:color="auto"/>
            </w:tcBorders>
            <w:shd w:val="clear" w:color="auto" w:fill="auto"/>
            <w:vAlign w:val="center"/>
            <w:hideMark/>
          </w:tcPr>
          <w:p w14:paraId="5CFBE42A"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6.200.208</w:t>
            </w:r>
          </w:p>
        </w:tc>
        <w:tc>
          <w:tcPr>
            <w:tcW w:w="1072" w:type="dxa"/>
            <w:tcBorders>
              <w:top w:val="nil"/>
              <w:left w:val="nil"/>
              <w:bottom w:val="double" w:sz="6" w:space="0" w:color="auto"/>
              <w:right w:val="single" w:sz="4" w:space="0" w:color="auto"/>
            </w:tcBorders>
            <w:shd w:val="clear" w:color="auto" w:fill="auto"/>
            <w:vAlign w:val="center"/>
            <w:hideMark/>
          </w:tcPr>
          <w:p w14:paraId="466D0084"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120,9</w:t>
            </w:r>
          </w:p>
        </w:tc>
        <w:tc>
          <w:tcPr>
            <w:tcW w:w="1072" w:type="dxa"/>
            <w:tcBorders>
              <w:top w:val="nil"/>
              <w:left w:val="nil"/>
              <w:bottom w:val="double" w:sz="6" w:space="0" w:color="auto"/>
              <w:right w:val="single" w:sz="4" w:space="0" w:color="auto"/>
            </w:tcBorders>
            <w:shd w:val="clear" w:color="auto" w:fill="auto"/>
            <w:vAlign w:val="center"/>
            <w:hideMark/>
          </w:tcPr>
          <w:p w14:paraId="5EB998F3"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267,8</w:t>
            </w:r>
          </w:p>
        </w:tc>
        <w:tc>
          <w:tcPr>
            <w:tcW w:w="1072" w:type="dxa"/>
            <w:tcBorders>
              <w:top w:val="nil"/>
              <w:left w:val="nil"/>
              <w:bottom w:val="double" w:sz="6" w:space="0" w:color="auto"/>
              <w:right w:val="single" w:sz="4" w:space="0" w:color="auto"/>
            </w:tcBorders>
            <w:shd w:val="clear" w:color="auto" w:fill="auto"/>
            <w:vAlign w:val="center"/>
            <w:hideMark/>
          </w:tcPr>
          <w:p w14:paraId="112D89AE"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221,6</w:t>
            </w:r>
          </w:p>
        </w:tc>
        <w:tc>
          <w:tcPr>
            <w:tcW w:w="801" w:type="dxa"/>
            <w:tcBorders>
              <w:top w:val="nil"/>
              <w:left w:val="nil"/>
              <w:bottom w:val="double" w:sz="6" w:space="0" w:color="auto"/>
              <w:right w:val="single" w:sz="4" w:space="0" w:color="auto"/>
            </w:tcBorders>
            <w:shd w:val="clear" w:color="auto" w:fill="auto"/>
            <w:vAlign w:val="center"/>
            <w:hideMark/>
          </w:tcPr>
          <w:p w14:paraId="1B07A52A"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0,7</w:t>
            </w:r>
          </w:p>
        </w:tc>
      </w:tr>
      <w:tr w:rsidR="00A155A2" w:rsidRPr="000E3232" w14:paraId="6D05DC1C" w14:textId="77777777" w:rsidTr="001C77D2">
        <w:trPr>
          <w:trHeight w:val="283"/>
        </w:trPr>
        <w:tc>
          <w:tcPr>
            <w:tcW w:w="1533" w:type="dxa"/>
            <w:tcBorders>
              <w:top w:val="nil"/>
              <w:left w:val="single" w:sz="4" w:space="0" w:color="auto"/>
              <w:bottom w:val="single" w:sz="4" w:space="0" w:color="auto"/>
              <w:right w:val="single" w:sz="4" w:space="0" w:color="auto"/>
            </w:tcBorders>
            <w:shd w:val="clear" w:color="000000" w:fill="EEECE1"/>
            <w:vAlign w:val="center"/>
            <w:hideMark/>
          </w:tcPr>
          <w:p w14:paraId="3EB6CCE3" w14:textId="77777777" w:rsidR="00A155A2" w:rsidRPr="000E3232" w:rsidRDefault="00A155A2" w:rsidP="001C77D2">
            <w:pPr>
              <w:spacing w:after="0" w:line="240" w:lineRule="auto"/>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SKUPAJ DOLG</w:t>
            </w:r>
          </w:p>
        </w:tc>
        <w:tc>
          <w:tcPr>
            <w:tcW w:w="1122" w:type="dxa"/>
            <w:tcBorders>
              <w:top w:val="nil"/>
              <w:left w:val="nil"/>
              <w:bottom w:val="single" w:sz="4" w:space="0" w:color="auto"/>
              <w:right w:val="single" w:sz="4" w:space="0" w:color="auto"/>
            </w:tcBorders>
            <w:shd w:val="clear" w:color="000000" w:fill="EEECE1"/>
            <w:vAlign w:val="center"/>
            <w:hideMark/>
          </w:tcPr>
          <w:p w14:paraId="05DEFAFB"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896.349.990</w:t>
            </w:r>
          </w:p>
        </w:tc>
        <w:tc>
          <w:tcPr>
            <w:tcW w:w="1122" w:type="dxa"/>
            <w:tcBorders>
              <w:top w:val="nil"/>
              <w:left w:val="nil"/>
              <w:bottom w:val="single" w:sz="4" w:space="0" w:color="auto"/>
              <w:right w:val="single" w:sz="4" w:space="0" w:color="auto"/>
            </w:tcBorders>
            <w:shd w:val="clear" w:color="000000" w:fill="EEECE1"/>
            <w:vAlign w:val="center"/>
            <w:hideMark/>
          </w:tcPr>
          <w:p w14:paraId="564F32D8"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841.808.794</w:t>
            </w:r>
          </w:p>
        </w:tc>
        <w:tc>
          <w:tcPr>
            <w:tcW w:w="1122" w:type="dxa"/>
            <w:tcBorders>
              <w:top w:val="nil"/>
              <w:left w:val="nil"/>
              <w:bottom w:val="single" w:sz="4" w:space="0" w:color="auto"/>
              <w:right w:val="single" w:sz="4" w:space="0" w:color="auto"/>
            </w:tcBorders>
            <w:shd w:val="clear" w:color="000000" w:fill="EEECE1"/>
            <w:vAlign w:val="center"/>
            <w:hideMark/>
          </w:tcPr>
          <w:p w14:paraId="375E6322" w14:textId="77777777" w:rsidR="00A155A2" w:rsidRPr="000E3232" w:rsidRDefault="00A155A2" w:rsidP="001C77D2">
            <w:pPr>
              <w:spacing w:after="0" w:line="240" w:lineRule="auto"/>
              <w:jc w:val="right"/>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901.937.257</w:t>
            </w:r>
          </w:p>
        </w:tc>
        <w:tc>
          <w:tcPr>
            <w:tcW w:w="1072" w:type="dxa"/>
            <w:tcBorders>
              <w:top w:val="nil"/>
              <w:left w:val="nil"/>
              <w:bottom w:val="single" w:sz="4" w:space="0" w:color="auto"/>
              <w:right w:val="single" w:sz="4" w:space="0" w:color="auto"/>
            </w:tcBorders>
            <w:shd w:val="clear" w:color="000000" w:fill="EEECE1"/>
            <w:vAlign w:val="center"/>
            <w:hideMark/>
          </w:tcPr>
          <w:p w14:paraId="3B0DE0F3"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93,9</w:t>
            </w:r>
          </w:p>
        </w:tc>
        <w:tc>
          <w:tcPr>
            <w:tcW w:w="1072" w:type="dxa"/>
            <w:tcBorders>
              <w:top w:val="nil"/>
              <w:left w:val="nil"/>
              <w:bottom w:val="single" w:sz="4" w:space="0" w:color="auto"/>
              <w:right w:val="single" w:sz="4" w:space="0" w:color="auto"/>
            </w:tcBorders>
            <w:shd w:val="clear" w:color="000000" w:fill="EEECE1"/>
            <w:vAlign w:val="center"/>
            <w:hideMark/>
          </w:tcPr>
          <w:p w14:paraId="1E7B9CB3"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100,6</w:t>
            </w:r>
          </w:p>
        </w:tc>
        <w:tc>
          <w:tcPr>
            <w:tcW w:w="1072" w:type="dxa"/>
            <w:tcBorders>
              <w:top w:val="nil"/>
              <w:left w:val="nil"/>
              <w:bottom w:val="single" w:sz="4" w:space="0" w:color="auto"/>
              <w:right w:val="single" w:sz="4" w:space="0" w:color="auto"/>
            </w:tcBorders>
            <w:shd w:val="clear" w:color="000000" w:fill="EEECE1"/>
            <w:vAlign w:val="center"/>
            <w:hideMark/>
          </w:tcPr>
          <w:p w14:paraId="07375161" w14:textId="77777777" w:rsidR="00A155A2" w:rsidRPr="000E3232" w:rsidRDefault="00A155A2" w:rsidP="001C77D2">
            <w:pPr>
              <w:spacing w:after="0" w:line="240" w:lineRule="auto"/>
              <w:jc w:val="center"/>
              <w:rPr>
                <w:rFonts w:ascii="Arial" w:eastAsia="Times New Roman" w:hAnsi="Arial" w:cs="Arial"/>
                <w:b/>
                <w:bCs/>
                <w:sz w:val="18"/>
                <w:szCs w:val="18"/>
                <w:lang w:eastAsia="sl-SI"/>
              </w:rPr>
            </w:pPr>
            <w:r w:rsidRPr="000E3232">
              <w:rPr>
                <w:rFonts w:ascii="Arial" w:eastAsia="Times New Roman" w:hAnsi="Arial" w:cs="Arial"/>
                <w:b/>
                <w:bCs/>
                <w:sz w:val="18"/>
                <w:szCs w:val="18"/>
                <w:lang w:eastAsia="sl-SI"/>
              </w:rPr>
              <w:t>107,1</w:t>
            </w:r>
          </w:p>
        </w:tc>
        <w:tc>
          <w:tcPr>
            <w:tcW w:w="801" w:type="dxa"/>
            <w:tcBorders>
              <w:top w:val="nil"/>
              <w:left w:val="nil"/>
              <w:bottom w:val="single" w:sz="4" w:space="0" w:color="auto"/>
              <w:right w:val="single" w:sz="4" w:space="0" w:color="auto"/>
            </w:tcBorders>
            <w:shd w:val="clear" w:color="000000" w:fill="EEECE1"/>
            <w:vAlign w:val="center"/>
            <w:hideMark/>
          </w:tcPr>
          <w:p w14:paraId="70399B40" w14:textId="77777777" w:rsidR="00A155A2" w:rsidRPr="000E3232" w:rsidRDefault="00A155A2" w:rsidP="001C77D2">
            <w:pPr>
              <w:spacing w:after="0" w:line="240" w:lineRule="auto"/>
              <w:jc w:val="center"/>
              <w:rPr>
                <w:rFonts w:ascii="Arial" w:eastAsia="Times New Roman" w:hAnsi="Arial" w:cs="Arial"/>
                <w:sz w:val="18"/>
                <w:szCs w:val="18"/>
                <w:lang w:eastAsia="sl-SI"/>
              </w:rPr>
            </w:pPr>
            <w:r w:rsidRPr="000E3232">
              <w:rPr>
                <w:rFonts w:ascii="Arial" w:eastAsia="Times New Roman" w:hAnsi="Arial" w:cs="Arial"/>
                <w:sz w:val="18"/>
                <w:szCs w:val="18"/>
                <w:lang w:eastAsia="sl-SI"/>
              </w:rPr>
              <w:t>100,0</w:t>
            </w:r>
          </w:p>
        </w:tc>
      </w:tr>
    </w:tbl>
    <w:p w14:paraId="14DA13BD" w14:textId="77777777" w:rsidR="00A155A2" w:rsidRDefault="00A155A2" w:rsidP="00A155A2">
      <w:pPr>
        <w:spacing w:after="0"/>
        <w:rPr>
          <w:rFonts w:ascii="Arial" w:hAnsi="Arial" w:cs="Arial"/>
          <w:i/>
          <w:color w:val="000000"/>
          <w:sz w:val="20"/>
          <w:szCs w:val="20"/>
        </w:rPr>
      </w:pPr>
      <w:r>
        <w:rPr>
          <w:rFonts w:ascii="Arial" w:hAnsi="Arial" w:cs="Arial"/>
          <w:i/>
          <w:color w:val="000000"/>
          <w:sz w:val="20"/>
          <w:szCs w:val="20"/>
        </w:rPr>
        <w:t>V</w:t>
      </w:r>
      <w:r w:rsidRPr="0094398F">
        <w:rPr>
          <w:rFonts w:ascii="Arial" w:hAnsi="Arial" w:cs="Arial"/>
          <w:i/>
          <w:color w:val="000000"/>
          <w:sz w:val="20"/>
          <w:szCs w:val="20"/>
        </w:rPr>
        <w:t>ir: FURS</w:t>
      </w:r>
    </w:p>
    <w:p w14:paraId="0D33ECFD" w14:textId="77777777" w:rsidR="00A155A2" w:rsidRDefault="00A155A2" w:rsidP="00A155A2">
      <w:pPr>
        <w:spacing w:after="0"/>
        <w:rPr>
          <w:rFonts w:ascii="Arial" w:hAnsi="Arial" w:cs="Arial"/>
          <w:i/>
          <w:color w:val="000000"/>
          <w:sz w:val="20"/>
          <w:szCs w:val="20"/>
        </w:rPr>
      </w:pPr>
    </w:p>
    <w:p w14:paraId="1C1769A6" w14:textId="77777777" w:rsidR="00A155A2" w:rsidRPr="0078185B" w:rsidRDefault="00A155A2" w:rsidP="00A155A2">
      <w:pPr>
        <w:pStyle w:val="Brezrazmikov"/>
        <w:spacing w:line="276" w:lineRule="auto"/>
        <w:rPr>
          <w:rFonts w:ascii="Arial" w:hAnsi="Arial" w:cs="Arial"/>
          <w:sz w:val="20"/>
          <w:szCs w:val="20"/>
        </w:rPr>
      </w:pPr>
      <w:r w:rsidRPr="0078185B">
        <w:rPr>
          <w:rFonts w:ascii="Arial" w:hAnsi="Arial" w:cs="Arial"/>
          <w:sz w:val="20"/>
          <w:szCs w:val="20"/>
        </w:rPr>
        <w:t>Analiza gibanja davčnega dolga po blagajnah javnega financiranja kaže, da se je dolg v letu 2024:</w:t>
      </w:r>
    </w:p>
    <w:p w14:paraId="493CC093" w14:textId="77777777" w:rsidR="00A155A2" w:rsidRPr="0078185B" w:rsidRDefault="00A155A2" w:rsidP="00A155A2">
      <w:pPr>
        <w:pStyle w:val="Brezrazmikov"/>
        <w:numPr>
          <w:ilvl w:val="0"/>
          <w:numId w:val="34"/>
        </w:numPr>
        <w:spacing w:line="276" w:lineRule="auto"/>
        <w:rPr>
          <w:rFonts w:ascii="Arial" w:hAnsi="Arial" w:cs="Arial"/>
          <w:sz w:val="20"/>
          <w:szCs w:val="20"/>
        </w:rPr>
      </w:pPr>
      <w:r>
        <w:rPr>
          <w:rFonts w:ascii="Arial" w:hAnsi="Arial" w:cs="Arial"/>
          <w:sz w:val="20"/>
          <w:szCs w:val="20"/>
        </w:rPr>
        <w:t xml:space="preserve">povečal </w:t>
      </w:r>
      <w:r w:rsidRPr="0078185B">
        <w:rPr>
          <w:rFonts w:ascii="Arial" w:hAnsi="Arial" w:cs="Arial"/>
          <w:sz w:val="20"/>
          <w:szCs w:val="20"/>
        </w:rPr>
        <w:t xml:space="preserve">pri blagajni države za 56.071.034 EUR </w:t>
      </w:r>
      <w:r>
        <w:rPr>
          <w:rFonts w:ascii="Arial" w:hAnsi="Arial" w:cs="Arial"/>
          <w:sz w:val="20"/>
          <w:szCs w:val="20"/>
        </w:rPr>
        <w:t xml:space="preserve">ali </w:t>
      </w:r>
      <w:r w:rsidRPr="0078185B">
        <w:rPr>
          <w:rFonts w:ascii="Arial" w:hAnsi="Arial" w:cs="Arial"/>
          <w:sz w:val="20"/>
          <w:szCs w:val="20"/>
        </w:rPr>
        <w:t xml:space="preserve">9,6 odstotka in pri blagajni </w:t>
      </w:r>
      <w:r>
        <w:rPr>
          <w:rFonts w:ascii="Arial" w:hAnsi="Arial" w:cs="Arial"/>
          <w:sz w:val="20"/>
          <w:szCs w:val="20"/>
        </w:rPr>
        <w:t>ZZZS</w:t>
      </w:r>
      <w:r w:rsidRPr="0078185B">
        <w:rPr>
          <w:rFonts w:ascii="Arial" w:hAnsi="Arial" w:cs="Arial"/>
          <w:sz w:val="20"/>
          <w:szCs w:val="20"/>
        </w:rPr>
        <w:t xml:space="preserve"> za 2.361.408 EUR </w:t>
      </w:r>
      <w:r>
        <w:rPr>
          <w:rFonts w:ascii="Arial" w:hAnsi="Arial" w:cs="Arial"/>
          <w:sz w:val="20"/>
          <w:szCs w:val="20"/>
        </w:rPr>
        <w:t>ali</w:t>
      </w:r>
      <w:r w:rsidRPr="0078185B">
        <w:rPr>
          <w:rFonts w:ascii="Arial" w:hAnsi="Arial" w:cs="Arial"/>
          <w:sz w:val="20"/>
          <w:szCs w:val="20"/>
        </w:rPr>
        <w:t xml:space="preserve"> 3 odstotk</w:t>
      </w:r>
      <w:r>
        <w:rPr>
          <w:rFonts w:ascii="Arial" w:hAnsi="Arial" w:cs="Arial"/>
          <w:sz w:val="20"/>
          <w:szCs w:val="20"/>
        </w:rPr>
        <w:t>e</w:t>
      </w:r>
      <w:r w:rsidRPr="0078185B">
        <w:rPr>
          <w:rFonts w:ascii="Arial" w:hAnsi="Arial" w:cs="Arial"/>
          <w:sz w:val="20"/>
          <w:szCs w:val="20"/>
        </w:rPr>
        <w:t xml:space="preserve"> ter </w:t>
      </w:r>
    </w:p>
    <w:p w14:paraId="3AB494E1" w14:textId="77777777" w:rsidR="00A155A2" w:rsidRPr="0078185B" w:rsidRDefault="00A155A2" w:rsidP="00A155A2">
      <w:pPr>
        <w:pStyle w:val="Brezrazmikov"/>
        <w:numPr>
          <w:ilvl w:val="0"/>
          <w:numId w:val="34"/>
        </w:numPr>
        <w:spacing w:line="276" w:lineRule="auto"/>
        <w:rPr>
          <w:rFonts w:ascii="Arial" w:hAnsi="Arial" w:cs="Arial"/>
          <w:sz w:val="20"/>
          <w:szCs w:val="20"/>
        </w:rPr>
      </w:pPr>
      <w:r w:rsidRPr="0078185B">
        <w:rPr>
          <w:rFonts w:ascii="Arial" w:hAnsi="Arial" w:cs="Arial"/>
          <w:sz w:val="20"/>
          <w:szCs w:val="20"/>
        </w:rPr>
        <w:t>z</w:t>
      </w:r>
      <w:r>
        <w:rPr>
          <w:rFonts w:ascii="Arial" w:hAnsi="Arial" w:cs="Arial"/>
          <w:sz w:val="20"/>
          <w:szCs w:val="20"/>
        </w:rPr>
        <w:t>ma</w:t>
      </w:r>
      <w:r w:rsidRPr="0078185B">
        <w:rPr>
          <w:rFonts w:ascii="Arial" w:hAnsi="Arial" w:cs="Arial"/>
          <w:sz w:val="20"/>
          <w:szCs w:val="20"/>
        </w:rPr>
        <w:t>n</w:t>
      </w:r>
      <w:r>
        <w:rPr>
          <w:rFonts w:ascii="Arial" w:hAnsi="Arial" w:cs="Arial"/>
          <w:sz w:val="20"/>
          <w:szCs w:val="20"/>
        </w:rPr>
        <w:t>jš</w:t>
      </w:r>
      <w:r w:rsidRPr="0078185B">
        <w:rPr>
          <w:rFonts w:ascii="Arial" w:hAnsi="Arial" w:cs="Arial"/>
          <w:sz w:val="20"/>
          <w:szCs w:val="20"/>
        </w:rPr>
        <w:t xml:space="preserve">al pri blagajni </w:t>
      </w:r>
      <w:r>
        <w:rPr>
          <w:rFonts w:ascii="Arial" w:hAnsi="Arial" w:cs="Arial"/>
          <w:sz w:val="20"/>
          <w:szCs w:val="20"/>
        </w:rPr>
        <w:t>ZPIZ</w:t>
      </w:r>
      <w:r w:rsidRPr="0078185B">
        <w:rPr>
          <w:rFonts w:ascii="Arial" w:hAnsi="Arial" w:cs="Arial"/>
          <w:sz w:val="20"/>
          <w:szCs w:val="20"/>
        </w:rPr>
        <w:t xml:space="preserve"> za 1.094.419 EUR </w:t>
      </w:r>
      <w:r>
        <w:rPr>
          <w:rFonts w:ascii="Arial" w:hAnsi="Arial" w:cs="Arial"/>
          <w:sz w:val="20"/>
          <w:szCs w:val="20"/>
        </w:rPr>
        <w:t xml:space="preserve">ali </w:t>
      </w:r>
      <w:r w:rsidRPr="0078185B">
        <w:rPr>
          <w:rFonts w:ascii="Arial" w:hAnsi="Arial" w:cs="Arial"/>
          <w:sz w:val="20"/>
          <w:szCs w:val="20"/>
        </w:rPr>
        <w:t xml:space="preserve">0,7 odstotka in blagajnah občin za 611.505 EUR </w:t>
      </w:r>
      <w:r>
        <w:rPr>
          <w:rFonts w:ascii="Arial" w:hAnsi="Arial" w:cs="Arial"/>
          <w:sz w:val="20"/>
          <w:szCs w:val="20"/>
        </w:rPr>
        <w:t xml:space="preserve">ali </w:t>
      </w:r>
      <w:r w:rsidRPr="0078185B">
        <w:rPr>
          <w:rFonts w:ascii="Arial" w:hAnsi="Arial" w:cs="Arial"/>
          <w:sz w:val="20"/>
          <w:szCs w:val="20"/>
        </w:rPr>
        <w:t xml:space="preserve">2,8 odstotka. </w:t>
      </w:r>
    </w:p>
    <w:p w14:paraId="3CC04E89" w14:textId="77777777" w:rsidR="00A155A2" w:rsidRDefault="00A155A2" w:rsidP="00A155A2">
      <w:pPr>
        <w:jc w:val="both"/>
        <w:rPr>
          <w:rFonts w:ascii="Arial" w:hAnsi="Arial" w:cs="Arial"/>
          <w:color w:val="FF0000"/>
          <w:sz w:val="20"/>
          <w:szCs w:val="20"/>
        </w:rPr>
      </w:pPr>
    </w:p>
    <w:p w14:paraId="3891AC98" w14:textId="77777777" w:rsidR="00A155A2" w:rsidRPr="008D5A7D" w:rsidRDefault="00A155A2" w:rsidP="00A155A2">
      <w:pPr>
        <w:jc w:val="both"/>
        <w:rPr>
          <w:rFonts w:ascii="Arial" w:hAnsi="Arial" w:cs="Arial"/>
          <w:b/>
          <w:sz w:val="20"/>
          <w:szCs w:val="20"/>
        </w:rPr>
      </w:pPr>
      <w:r w:rsidRPr="00F968EB">
        <w:rPr>
          <w:rFonts w:ascii="Arial" w:hAnsi="Arial" w:cs="Arial"/>
          <w:b/>
          <w:sz w:val="20"/>
          <w:szCs w:val="20"/>
        </w:rPr>
        <w:t>4.4</w:t>
      </w:r>
      <w:r>
        <w:rPr>
          <w:rFonts w:ascii="Arial" w:hAnsi="Arial" w:cs="Arial"/>
          <w:b/>
          <w:sz w:val="20"/>
          <w:szCs w:val="20"/>
        </w:rPr>
        <w:tab/>
      </w:r>
      <w:r w:rsidRPr="00F968EB">
        <w:rPr>
          <w:rFonts w:ascii="Arial" w:hAnsi="Arial" w:cs="Arial"/>
          <w:b/>
          <w:sz w:val="20"/>
          <w:szCs w:val="20"/>
        </w:rPr>
        <w:t xml:space="preserve"> Davčni dolg po vrstah prihodkov oziroma dajatev</w:t>
      </w:r>
    </w:p>
    <w:p w14:paraId="4797205B" w14:textId="77777777" w:rsidR="00A155A2" w:rsidRPr="0087421A"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color w:val="000000" w:themeColor="text1"/>
          <w:sz w:val="20"/>
          <w:szCs w:val="20"/>
        </w:rPr>
      </w:pPr>
      <w:r w:rsidRPr="0087421A">
        <w:rPr>
          <w:rFonts w:ascii="Arial" w:hAnsi="Arial" w:cs="Arial"/>
          <w:bCs/>
          <w:color w:val="000000" w:themeColor="text1"/>
          <w:sz w:val="20"/>
          <w:szCs w:val="20"/>
        </w:rPr>
        <w:t xml:space="preserve">Po vrsti prihodkov </w:t>
      </w:r>
      <w:r>
        <w:rPr>
          <w:rFonts w:ascii="Arial" w:hAnsi="Arial" w:cs="Arial"/>
          <w:bCs/>
          <w:color w:val="000000" w:themeColor="text1"/>
          <w:sz w:val="20"/>
          <w:szCs w:val="20"/>
        </w:rPr>
        <w:t xml:space="preserve">so </w:t>
      </w:r>
      <w:r w:rsidRPr="0087421A">
        <w:rPr>
          <w:rFonts w:ascii="Arial" w:hAnsi="Arial" w:cs="Arial"/>
          <w:bCs/>
          <w:color w:val="000000" w:themeColor="text1"/>
          <w:sz w:val="20"/>
          <w:szCs w:val="20"/>
        </w:rPr>
        <w:t>im</w:t>
      </w:r>
      <w:r>
        <w:rPr>
          <w:rFonts w:ascii="Arial" w:hAnsi="Arial" w:cs="Arial"/>
          <w:bCs/>
          <w:color w:val="000000" w:themeColor="text1"/>
          <w:sz w:val="20"/>
          <w:szCs w:val="20"/>
        </w:rPr>
        <w:t>eli</w:t>
      </w:r>
      <w:r w:rsidRPr="0087421A">
        <w:rPr>
          <w:rFonts w:ascii="Arial" w:hAnsi="Arial" w:cs="Arial"/>
          <w:bCs/>
          <w:color w:val="000000" w:themeColor="text1"/>
          <w:sz w:val="20"/>
          <w:szCs w:val="20"/>
        </w:rPr>
        <w:t xml:space="preserve"> na dan 31. </w:t>
      </w:r>
      <w:r>
        <w:rPr>
          <w:rFonts w:ascii="Arial" w:hAnsi="Arial" w:cs="Arial"/>
          <w:bCs/>
          <w:color w:val="000000" w:themeColor="text1"/>
          <w:sz w:val="20"/>
          <w:szCs w:val="20"/>
        </w:rPr>
        <w:t>december</w:t>
      </w:r>
      <w:r w:rsidRPr="0087421A">
        <w:rPr>
          <w:rFonts w:ascii="Arial" w:hAnsi="Arial" w:cs="Arial"/>
          <w:bCs/>
          <w:color w:val="000000" w:themeColor="text1"/>
          <w:sz w:val="20"/>
          <w:szCs w:val="20"/>
        </w:rPr>
        <w:t xml:space="preserve"> 2024 največji delež davčnega dolga davčni prihodki, in sicer 92,9 odstotka, nedavčni prihodki</w:t>
      </w:r>
      <w:r w:rsidRPr="0087421A">
        <w:rPr>
          <w:rStyle w:val="Sprotnaopomba-sklic"/>
          <w:rFonts w:ascii="Arial" w:hAnsi="Arial" w:cs="Arial"/>
          <w:bCs/>
          <w:color w:val="000000" w:themeColor="text1"/>
          <w:sz w:val="20"/>
          <w:szCs w:val="20"/>
        </w:rPr>
        <w:footnoteReference w:id="10"/>
      </w:r>
      <w:r w:rsidRPr="0087421A">
        <w:rPr>
          <w:rFonts w:ascii="Arial" w:hAnsi="Arial" w:cs="Arial"/>
          <w:bCs/>
          <w:color w:val="000000" w:themeColor="text1"/>
          <w:sz w:val="20"/>
          <w:szCs w:val="20"/>
        </w:rPr>
        <w:t xml:space="preserve"> pa 6,4 odstotka. </w:t>
      </w:r>
    </w:p>
    <w:p w14:paraId="0BC1146F"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6E5194">
        <w:rPr>
          <w:rFonts w:ascii="Arial" w:hAnsi="Arial" w:cs="Arial"/>
          <w:bCs/>
          <w:sz w:val="20"/>
          <w:szCs w:val="20"/>
        </w:rPr>
        <w:t>Podatki o višini in gibanju dolga po posameznih vrstah prihodkov oziroma dajatev so prikazani v preglednici 7.</w:t>
      </w:r>
    </w:p>
    <w:p w14:paraId="0939A3D8" w14:textId="77777777" w:rsidR="00A155A2" w:rsidRDefault="00A155A2" w:rsidP="00A155A2">
      <w:pPr>
        <w:rPr>
          <w:rFonts w:ascii="Arial" w:hAnsi="Arial" w:cs="Arial"/>
          <w:i/>
          <w:sz w:val="20"/>
          <w:szCs w:val="20"/>
        </w:rPr>
      </w:pPr>
      <w:r w:rsidRPr="00D60FC9">
        <w:rPr>
          <w:rFonts w:ascii="Arial" w:hAnsi="Arial" w:cs="Arial"/>
          <w:bCs/>
          <w:i/>
          <w:sz w:val="20"/>
          <w:szCs w:val="20"/>
        </w:rPr>
        <w:t>Preglednica</w:t>
      </w:r>
      <w:r w:rsidRPr="00D60FC9">
        <w:rPr>
          <w:rFonts w:ascii="Arial" w:hAnsi="Arial" w:cs="Arial"/>
          <w:i/>
          <w:sz w:val="20"/>
          <w:szCs w:val="20"/>
        </w:rPr>
        <w:t xml:space="preserve"> 7: Stanje in gibanje davčnega dolga po vrstah prihodkov oziroma dajatev </w:t>
      </w:r>
      <w:r>
        <w:rPr>
          <w:rFonts w:ascii="Arial" w:hAnsi="Arial" w:cs="Arial"/>
          <w:i/>
          <w:sz w:val="20"/>
          <w:szCs w:val="20"/>
        </w:rPr>
        <w:t>(</w:t>
      </w:r>
      <w:r w:rsidRPr="00D60FC9">
        <w:rPr>
          <w:rFonts w:ascii="Arial" w:hAnsi="Arial" w:cs="Arial"/>
          <w:i/>
          <w:sz w:val="20"/>
          <w:szCs w:val="20"/>
        </w:rPr>
        <w:t>v EUR</w:t>
      </w:r>
      <w:r>
        <w:rPr>
          <w:rFonts w:ascii="Arial" w:hAnsi="Arial" w:cs="Arial"/>
          <w:i/>
          <w:sz w:val="20"/>
          <w:szCs w:val="20"/>
        </w:rPr>
        <w:t>)</w:t>
      </w:r>
    </w:p>
    <w:tbl>
      <w:tblPr>
        <w:tblW w:w="9489" w:type="dxa"/>
        <w:tblCellMar>
          <w:left w:w="70" w:type="dxa"/>
          <w:right w:w="70" w:type="dxa"/>
        </w:tblCellMar>
        <w:tblLook w:val="04A0" w:firstRow="1" w:lastRow="0" w:firstColumn="1" w:lastColumn="0" w:noHBand="0" w:noVBand="1"/>
      </w:tblPr>
      <w:tblGrid>
        <w:gridCol w:w="2721"/>
        <w:gridCol w:w="1126"/>
        <w:gridCol w:w="1194"/>
        <w:gridCol w:w="1157"/>
        <w:gridCol w:w="1097"/>
        <w:gridCol w:w="1097"/>
        <w:gridCol w:w="1097"/>
      </w:tblGrid>
      <w:tr w:rsidR="00A155A2" w:rsidRPr="0087421A" w14:paraId="53D1058A" w14:textId="77777777" w:rsidTr="001C77D2">
        <w:trPr>
          <w:trHeight w:val="1034"/>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F4DD2"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Davčni dolg po vrstah prihodkov oziroma da</w:t>
            </w:r>
            <w:r>
              <w:rPr>
                <w:rFonts w:ascii="Arial" w:eastAsia="Times New Roman" w:hAnsi="Arial" w:cs="Arial"/>
                <w:b/>
                <w:bCs/>
                <w:sz w:val="16"/>
                <w:szCs w:val="16"/>
                <w:lang w:eastAsia="sl-SI"/>
              </w:rPr>
              <w:t>jatev</w:t>
            </w:r>
            <w:r w:rsidRPr="0087421A">
              <w:rPr>
                <w:rFonts w:ascii="Arial" w:eastAsia="Times New Roman" w:hAnsi="Arial" w:cs="Arial"/>
                <w:b/>
                <w:bCs/>
                <w:sz w:val="16"/>
                <w:szCs w:val="16"/>
                <w:lang w:eastAsia="sl-SI"/>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469152F"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31.</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12.</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2022</w:t>
            </w:r>
          </w:p>
        </w:tc>
        <w:tc>
          <w:tcPr>
            <w:tcW w:w="1194" w:type="dxa"/>
            <w:tcBorders>
              <w:top w:val="single" w:sz="4" w:space="0" w:color="auto"/>
              <w:left w:val="nil"/>
              <w:bottom w:val="single" w:sz="4" w:space="0" w:color="auto"/>
              <w:right w:val="nil"/>
            </w:tcBorders>
            <w:shd w:val="clear" w:color="auto" w:fill="auto"/>
            <w:vAlign w:val="center"/>
            <w:hideMark/>
          </w:tcPr>
          <w:p w14:paraId="1E5E5FC8"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31.</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12.</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2023</w:t>
            </w:r>
          </w:p>
        </w:tc>
        <w:tc>
          <w:tcPr>
            <w:tcW w:w="115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58D2C83"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31.</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12.</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2024</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3F1618D" w14:textId="77777777" w:rsidR="00A155A2" w:rsidRPr="0087421A" w:rsidRDefault="00A155A2" w:rsidP="001C77D2">
            <w:pPr>
              <w:spacing w:after="0" w:line="240" w:lineRule="auto"/>
              <w:jc w:val="center"/>
              <w:rPr>
                <w:rFonts w:ascii="Arial" w:eastAsia="Times New Roman" w:hAnsi="Arial" w:cs="Arial"/>
                <w:b/>
                <w:bCs/>
                <w:color w:val="000000"/>
                <w:sz w:val="18"/>
                <w:szCs w:val="18"/>
                <w:lang w:eastAsia="sl-SI"/>
              </w:rPr>
            </w:pPr>
            <w:r w:rsidRPr="0087421A">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87421A">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2023</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w:t>
            </w:r>
            <w:r w:rsidRPr="0087421A">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2022</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E382E65" w14:textId="77777777" w:rsidR="00A155A2" w:rsidRPr="0087421A" w:rsidRDefault="00A155A2" w:rsidP="001C77D2">
            <w:pPr>
              <w:spacing w:after="0" w:line="240" w:lineRule="auto"/>
              <w:jc w:val="center"/>
              <w:rPr>
                <w:rFonts w:ascii="Arial" w:eastAsia="Times New Roman" w:hAnsi="Arial" w:cs="Arial"/>
                <w:b/>
                <w:bCs/>
                <w:color w:val="000000"/>
                <w:sz w:val="18"/>
                <w:szCs w:val="18"/>
                <w:lang w:eastAsia="sl-SI"/>
              </w:rPr>
            </w:pPr>
            <w:r w:rsidRPr="0087421A">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87421A">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w:t>
            </w:r>
            <w:r w:rsidRPr="0087421A">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2022</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C58C02A" w14:textId="77777777" w:rsidR="00A155A2" w:rsidRPr="0087421A" w:rsidRDefault="00A155A2" w:rsidP="001C77D2">
            <w:pPr>
              <w:spacing w:after="0" w:line="240" w:lineRule="auto"/>
              <w:jc w:val="center"/>
              <w:rPr>
                <w:rFonts w:ascii="Arial" w:eastAsia="Times New Roman" w:hAnsi="Arial" w:cs="Arial"/>
                <w:b/>
                <w:bCs/>
                <w:color w:val="000000"/>
                <w:sz w:val="18"/>
                <w:szCs w:val="18"/>
                <w:lang w:eastAsia="sl-SI"/>
              </w:rPr>
            </w:pPr>
            <w:r w:rsidRPr="0087421A">
              <w:rPr>
                <w:rFonts w:ascii="Arial" w:eastAsia="Times New Roman" w:hAnsi="Arial" w:cs="Arial"/>
                <w:b/>
                <w:bCs/>
                <w:color w:val="000000"/>
                <w:sz w:val="18"/>
                <w:szCs w:val="18"/>
                <w:lang w:eastAsia="sl-SI"/>
              </w:rPr>
              <w:t>IND</w:t>
            </w:r>
            <w:r>
              <w:rPr>
                <w:rFonts w:ascii="Arial" w:eastAsia="Times New Roman" w:hAnsi="Arial" w:cs="Arial"/>
                <w:b/>
                <w:bCs/>
                <w:color w:val="000000"/>
                <w:sz w:val="18"/>
                <w:szCs w:val="18"/>
                <w:lang w:eastAsia="sl-SI"/>
              </w:rPr>
              <w:t>EKS</w:t>
            </w:r>
            <w:r w:rsidRPr="0087421A">
              <w:rPr>
                <w:rFonts w:ascii="Arial" w:eastAsia="Times New Roman" w:hAnsi="Arial" w:cs="Arial"/>
                <w:b/>
                <w:bCs/>
                <w:color w:val="000000"/>
                <w:sz w:val="18"/>
                <w:szCs w:val="18"/>
                <w:lang w:eastAsia="sl-SI"/>
              </w:rPr>
              <w:t xml:space="preserve"> 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2024</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w:t>
            </w:r>
            <w:r w:rsidRPr="0087421A">
              <w:rPr>
                <w:rFonts w:ascii="Arial" w:eastAsia="Times New Roman" w:hAnsi="Arial" w:cs="Arial"/>
                <w:b/>
                <w:bCs/>
                <w:color w:val="000000"/>
                <w:sz w:val="18"/>
                <w:szCs w:val="18"/>
                <w:lang w:eastAsia="sl-SI"/>
              </w:rPr>
              <w:br/>
              <w:t>31.</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12.</w:t>
            </w:r>
            <w:r>
              <w:rPr>
                <w:rFonts w:ascii="Arial" w:eastAsia="Times New Roman" w:hAnsi="Arial" w:cs="Arial"/>
                <w:b/>
                <w:bCs/>
                <w:color w:val="000000"/>
                <w:sz w:val="18"/>
                <w:szCs w:val="18"/>
                <w:lang w:eastAsia="sl-SI"/>
              </w:rPr>
              <w:t xml:space="preserve"> </w:t>
            </w:r>
            <w:r w:rsidRPr="0087421A">
              <w:rPr>
                <w:rFonts w:ascii="Arial" w:eastAsia="Times New Roman" w:hAnsi="Arial" w:cs="Arial"/>
                <w:b/>
                <w:bCs/>
                <w:color w:val="000000"/>
                <w:sz w:val="18"/>
                <w:szCs w:val="18"/>
                <w:lang w:eastAsia="sl-SI"/>
              </w:rPr>
              <w:t>2023</w:t>
            </w:r>
          </w:p>
        </w:tc>
      </w:tr>
      <w:tr w:rsidR="00A155A2" w:rsidRPr="0087421A" w14:paraId="47899F9B"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DCE6F1"/>
            <w:vAlign w:val="center"/>
            <w:hideMark/>
          </w:tcPr>
          <w:p w14:paraId="14CE69C2"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A. Davčni prihodki</w:t>
            </w:r>
          </w:p>
        </w:tc>
        <w:tc>
          <w:tcPr>
            <w:tcW w:w="1126" w:type="dxa"/>
            <w:tcBorders>
              <w:top w:val="nil"/>
              <w:left w:val="nil"/>
              <w:bottom w:val="single" w:sz="4" w:space="0" w:color="auto"/>
              <w:right w:val="single" w:sz="4" w:space="0" w:color="auto"/>
            </w:tcBorders>
            <w:shd w:val="clear" w:color="000000" w:fill="DCE6F1"/>
            <w:vAlign w:val="center"/>
            <w:hideMark/>
          </w:tcPr>
          <w:p w14:paraId="4DBBFD29"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839.617.037</w:t>
            </w:r>
          </w:p>
        </w:tc>
        <w:tc>
          <w:tcPr>
            <w:tcW w:w="1194" w:type="dxa"/>
            <w:tcBorders>
              <w:top w:val="nil"/>
              <w:left w:val="nil"/>
              <w:bottom w:val="single" w:sz="4" w:space="0" w:color="auto"/>
              <w:right w:val="nil"/>
            </w:tcBorders>
            <w:shd w:val="clear" w:color="000000" w:fill="DCE6F1"/>
            <w:vAlign w:val="center"/>
            <w:hideMark/>
          </w:tcPr>
          <w:p w14:paraId="3FEBE4E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785.139.270</w:t>
            </w:r>
          </w:p>
        </w:tc>
        <w:tc>
          <w:tcPr>
            <w:tcW w:w="1157" w:type="dxa"/>
            <w:tcBorders>
              <w:top w:val="nil"/>
              <w:left w:val="single" w:sz="8" w:space="0" w:color="auto"/>
              <w:bottom w:val="single" w:sz="4" w:space="0" w:color="auto"/>
              <w:right w:val="single" w:sz="8" w:space="0" w:color="auto"/>
            </w:tcBorders>
            <w:shd w:val="clear" w:color="000000" w:fill="DCE6F1"/>
            <w:vAlign w:val="center"/>
            <w:hideMark/>
          </w:tcPr>
          <w:p w14:paraId="57B8ADE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838.048.775</w:t>
            </w:r>
          </w:p>
        </w:tc>
        <w:tc>
          <w:tcPr>
            <w:tcW w:w="1097" w:type="dxa"/>
            <w:tcBorders>
              <w:top w:val="nil"/>
              <w:left w:val="nil"/>
              <w:bottom w:val="single" w:sz="4" w:space="0" w:color="auto"/>
              <w:right w:val="single" w:sz="4" w:space="0" w:color="auto"/>
            </w:tcBorders>
            <w:shd w:val="clear" w:color="000000" w:fill="DCE6F1"/>
            <w:vAlign w:val="center"/>
            <w:hideMark/>
          </w:tcPr>
          <w:p w14:paraId="62F393A3"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93,5</w:t>
            </w:r>
          </w:p>
        </w:tc>
        <w:tc>
          <w:tcPr>
            <w:tcW w:w="1097" w:type="dxa"/>
            <w:tcBorders>
              <w:top w:val="nil"/>
              <w:left w:val="nil"/>
              <w:bottom w:val="single" w:sz="4" w:space="0" w:color="auto"/>
              <w:right w:val="single" w:sz="4" w:space="0" w:color="auto"/>
            </w:tcBorders>
            <w:shd w:val="clear" w:color="000000" w:fill="DCE6F1"/>
            <w:vAlign w:val="center"/>
            <w:hideMark/>
          </w:tcPr>
          <w:p w14:paraId="3573BA91"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99,8</w:t>
            </w:r>
          </w:p>
        </w:tc>
        <w:tc>
          <w:tcPr>
            <w:tcW w:w="1097" w:type="dxa"/>
            <w:tcBorders>
              <w:top w:val="nil"/>
              <w:left w:val="nil"/>
              <w:bottom w:val="single" w:sz="4" w:space="0" w:color="auto"/>
              <w:right w:val="single" w:sz="4" w:space="0" w:color="auto"/>
            </w:tcBorders>
            <w:shd w:val="clear" w:color="000000" w:fill="DCE6F1"/>
            <w:vAlign w:val="center"/>
            <w:hideMark/>
          </w:tcPr>
          <w:p w14:paraId="33C92B29"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106,7</w:t>
            </w:r>
          </w:p>
        </w:tc>
      </w:tr>
      <w:tr w:rsidR="00A155A2" w:rsidRPr="0087421A" w14:paraId="041C089C"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5BCE3BD"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DAVKI NA DOHODEK IN DOBIČEK</w:t>
            </w:r>
          </w:p>
        </w:tc>
        <w:tc>
          <w:tcPr>
            <w:tcW w:w="1126" w:type="dxa"/>
            <w:tcBorders>
              <w:top w:val="nil"/>
              <w:left w:val="nil"/>
              <w:bottom w:val="single" w:sz="4" w:space="0" w:color="auto"/>
              <w:right w:val="single" w:sz="4" w:space="0" w:color="auto"/>
            </w:tcBorders>
            <w:shd w:val="clear" w:color="auto" w:fill="auto"/>
            <w:vAlign w:val="center"/>
            <w:hideMark/>
          </w:tcPr>
          <w:p w14:paraId="3A7988C0"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254.857.804</w:t>
            </w:r>
          </w:p>
        </w:tc>
        <w:tc>
          <w:tcPr>
            <w:tcW w:w="1194" w:type="dxa"/>
            <w:tcBorders>
              <w:top w:val="nil"/>
              <w:left w:val="nil"/>
              <w:bottom w:val="single" w:sz="4" w:space="0" w:color="auto"/>
              <w:right w:val="nil"/>
            </w:tcBorders>
            <w:shd w:val="clear" w:color="auto" w:fill="auto"/>
            <w:vAlign w:val="center"/>
            <w:hideMark/>
          </w:tcPr>
          <w:p w14:paraId="63800557"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252.245.333</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4159C168"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264.025.487</w:t>
            </w:r>
          </w:p>
        </w:tc>
        <w:tc>
          <w:tcPr>
            <w:tcW w:w="1097" w:type="dxa"/>
            <w:tcBorders>
              <w:top w:val="nil"/>
              <w:left w:val="nil"/>
              <w:bottom w:val="single" w:sz="4" w:space="0" w:color="auto"/>
              <w:right w:val="single" w:sz="4" w:space="0" w:color="auto"/>
            </w:tcBorders>
            <w:shd w:val="clear" w:color="auto" w:fill="auto"/>
            <w:vAlign w:val="center"/>
            <w:hideMark/>
          </w:tcPr>
          <w:p w14:paraId="2B5D94B7"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99,0</w:t>
            </w:r>
          </w:p>
        </w:tc>
        <w:tc>
          <w:tcPr>
            <w:tcW w:w="1097" w:type="dxa"/>
            <w:tcBorders>
              <w:top w:val="nil"/>
              <w:left w:val="nil"/>
              <w:bottom w:val="single" w:sz="4" w:space="0" w:color="auto"/>
              <w:right w:val="single" w:sz="4" w:space="0" w:color="auto"/>
            </w:tcBorders>
            <w:shd w:val="clear" w:color="auto" w:fill="auto"/>
            <w:vAlign w:val="center"/>
            <w:hideMark/>
          </w:tcPr>
          <w:p w14:paraId="401EF377"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103,6</w:t>
            </w:r>
          </w:p>
        </w:tc>
        <w:tc>
          <w:tcPr>
            <w:tcW w:w="1097" w:type="dxa"/>
            <w:tcBorders>
              <w:top w:val="nil"/>
              <w:left w:val="nil"/>
              <w:bottom w:val="single" w:sz="4" w:space="0" w:color="auto"/>
              <w:right w:val="single" w:sz="4" w:space="0" w:color="auto"/>
            </w:tcBorders>
            <w:shd w:val="clear" w:color="auto" w:fill="auto"/>
            <w:vAlign w:val="center"/>
            <w:hideMark/>
          </w:tcPr>
          <w:p w14:paraId="7E6F04E7"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104,7</w:t>
            </w:r>
          </w:p>
        </w:tc>
      </w:tr>
      <w:tr w:rsidR="00A155A2" w:rsidRPr="0087421A" w14:paraId="2AAD51AC"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282F15C"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Dohodnina</w:t>
            </w:r>
          </w:p>
        </w:tc>
        <w:tc>
          <w:tcPr>
            <w:tcW w:w="1126" w:type="dxa"/>
            <w:tcBorders>
              <w:top w:val="nil"/>
              <w:left w:val="nil"/>
              <w:bottom w:val="single" w:sz="4" w:space="0" w:color="auto"/>
              <w:right w:val="single" w:sz="4" w:space="0" w:color="auto"/>
            </w:tcBorders>
            <w:shd w:val="clear" w:color="auto" w:fill="auto"/>
            <w:vAlign w:val="center"/>
            <w:hideMark/>
          </w:tcPr>
          <w:p w14:paraId="3472221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214.120.776</w:t>
            </w:r>
          </w:p>
        </w:tc>
        <w:tc>
          <w:tcPr>
            <w:tcW w:w="1194" w:type="dxa"/>
            <w:tcBorders>
              <w:top w:val="nil"/>
              <w:left w:val="nil"/>
              <w:bottom w:val="single" w:sz="4" w:space="0" w:color="auto"/>
              <w:right w:val="nil"/>
            </w:tcBorders>
            <w:shd w:val="clear" w:color="auto" w:fill="auto"/>
            <w:vAlign w:val="center"/>
            <w:hideMark/>
          </w:tcPr>
          <w:p w14:paraId="1993047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207.293.549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381EBB2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216.389.567</w:t>
            </w:r>
          </w:p>
        </w:tc>
        <w:tc>
          <w:tcPr>
            <w:tcW w:w="1097" w:type="dxa"/>
            <w:tcBorders>
              <w:top w:val="nil"/>
              <w:left w:val="nil"/>
              <w:bottom w:val="single" w:sz="4" w:space="0" w:color="auto"/>
              <w:right w:val="single" w:sz="4" w:space="0" w:color="auto"/>
            </w:tcBorders>
            <w:shd w:val="clear" w:color="auto" w:fill="auto"/>
            <w:vAlign w:val="center"/>
            <w:hideMark/>
          </w:tcPr>
          <w:p w14:paraId="0DFE4E97"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96,8</w:t>
            </w:r>
          </w:p>
        </w:tc>
        <w:tc>
          <w:tcPr>
            <w:tcW w:w="1097" w:type="dxa"/>
            <w:tcBorders>
              <w:top w:val="nil"/>
              <w:left w:val="nil"/>
              <w:bottom w:val="single" w:sz="4" w:space="0" w:color="auto"/>
              <w:right w:val="single" w:sz="4" w:space="0" w:color="auto"/>
            </w:tcBorders>
            <w:shd w:val="clear" w:color="auto" w:fill="auto"/>
            <w:vAlign w:val="center"/>
            <w:hideMark/>
          </w:tcPr>
          <w:p w14:paraId="7019A9A7"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101,1</w:t>
            </w:r>
          </w:p>
        </w:tc>
        <w:tc>
          <w:tcPr>
            <w:tcW w:w="1097" w:type="dxa"/>
            <w:tcBorders>
              <w:top w:val="nil"/>
              <w:left w:val="nil"/>
              <w:bottom w:val="single" w:sz="4" w:space="0" w:color="auto"/>
              <w:right w:val="single" w:sz="4" w:space="0" w:color="auto"/>
            </w:tcBorders>
            <w:shd w:val="clear" w:color="auto" w:fill="auto"/>
            <w:vAlign w:val="center"/>
            <w:hideMark/>
          </w:tcPr>
          <w:p w14:paraId="238E71B7"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104,4</w:t>
            </w:r>
          </w:p>
        </w:tc>
      </w:tr>
      <w:tr w:rsidR="00A155A2" w:rsidRPr="0087421A" w14:paraId="50DF9B71"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623054E" w14:textId="77777777" w:rsidR="00A155A2" w:rsidRPr="0087421A" w:rsidRDefault="00A155A2" w:rsidP="001C77D2">
            <w:pPr>
              <w:spacing w:after="0" w:line="240" w:lineRule="auto"/>
              <w:rPr>
                <w:rFonts w:ascii="Arial" w:eastAsia="Times New Roman" w:hAnsi="Arial" w:cs="Arial"/>
                <w:i/>
                <w:iCs/>
                <w:sz w:val="16"/>
                <w:szCs w:val="16"/>
                <w:lang w:eastAsia="sl-SI"/>
              </w:rPr>
            </w:pPr>
            <w:r w:rsidRPr="0087421A">
              <w:rPr>
                <w:rFonts w:ascii="Arial" w:eastAsia="Times New Roman" w:hAnsi="Arial" w:cs="Arial"/>
                <w:i/>
                <w:iCs/>
                <w:sz w:val="16"/>
                <w:szCs w:val="16"/>
                <w:lang w:eastAsia="sl-SI"/>
              </w:rPr>
              <w:t>Letni poračun</w:t>
            </w:r>
          </w:p>
        </w:tc>
        <w:tc>
          <w:tcPr>
            <w:tcW w:w="1126" w:type="dxa"/>
            <w:tcBorders>
              <w:top w:val="nil"/>
              <w:left w:val="nil"/>
              <w:bottom w:val="single" w:sz="4" w:space="0" w:color="auto"/>
              <w:right w:val="single" w:sz="4" w:space="0" w:color="auto"/>
            </w:tcBorders>
            <w:shd w:val="clear" w:color="auto" w:fill="auto"/>
            <w:vAlign w:val="center"/>
            <w:hideMark/>
          </w:tcPr>
          <w:p w14:paraId="188F68A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65.505.681</w:t>
            </w:r>
          </w:p>
        </w:tc>
        <w:tc>
          <w:tcPr>
            <w:tcW w:w="1194" w:type="dxa"/>
            <w:tcBorders>
              <w:top w:val="nil"/>
              <w:left w:val="nil"/>
              <w:bottom w:val="single" w:sz="4" w:space="0" w:color="auto"/>
              <w:right w:val="nil"/>
            </w:tcBorders>
            <w:shd w:val="clear" w:color="auto" w:fill="auto"/>
            <w:vAlign w:val="center"/>
            <w:hideMark/>
          </w:tcPr>
          <w:p w14:paraId="50AF07B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65.979.447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5C8D08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69.759.792</w:t>
            </w:r>
          </w:p>
        </w:tc>
        <w:tc>
          <w:tcPr>
            <w:tcW w:w="1097" w:type="dxa"/>
            <w:tcBorders>
              <w:top w:val="nil"/>
              <w:left w:val="nil"/>
              <w:bottom w:val="single" w:sz="4" w:space="0" w:color="auto"/>
              <w:right w:val="single" w:sz="4" w:space="0" w:color="auto"/>
            </w:tcBorders>
            <w:shd w:val="clear" w:color="auto" w:fill="auto"/>
            <w:vAlign w:val="center"/>
            <w:hideMark/>
          </w:tcPr>
          <w:p w14:paraId="63F48FFA"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100,7</w:t>
            </w:r>
          </w:p>
        </w:tc>
        <w:tc>
          <w:tcPr>
            <w:tcW w:w="1097" w:type="dxa"/>
            <w:tcBorders>
              <w:top w:val="nil"/>
              <w:left w:val="nil"/>
              <w:bottom w:val="single" w:sz="4" w:space="0" w:color="auto"/>
              <w:right w:val="single" w:sz="4" w:space="0" w:color="auto"/>
            </w:tcBorders>
            <w:shd w:val="clear" w:color="auto" w:fill="auto"/>
            <w:vAlign w:val="center"/>
            <w:hideMark/>
          </w:tcPr>
          <w:p w14:paraId="384447DB"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106,5</w:t>
            </w:r>
          </w:p>
        </w:tc>
        <w:tc>
          <w:tcPr>
            <w:tcW w:w="1097" w:type="dxa"/>
            <w:tcBorders>
              <w:top w:val="nil"/>
              <w:left w:val="nil"/>
              <w:bottom w:val="single" w:sz="4" w:space="0" w:color="auto"/>
              <w:right w:val="single" w:sz="4" w:space="0" w:color="auto"/>
            </w:tcBorders>
            <w:shd w:val="clear" w:color="auto" w:fill="auto"/>
            <w:vAlign w:val="center"/>
            <w:hideMark/>
          </w:tcPr>
          <w:p w14:paraId="2E8574D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105,7</w:t>
            </w:r>
          </w:p>
        </w:tc>
      </w:tr>
      <w:tr w:rsidR="00A155A2" w:rsidRPr="0087421A" w14:paraId="4B6FEE7F"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D5B2142" w14:textId="77777777" w:rsidR="00A155A2" w:rsidRPr="0087421A" w:rsidRDefault="00A155A2" w:rsidP="001C77D2">
            <w:pPr>
              <w:spacing w:after="0" w:line="240" w:lineRule="auto"/>
              <w:rPr>
                <w:rFonts w:ascii="Arial" w:eastAsia="Times New Roman" w:hAnsi="Arial" w:cs="Arial"/>
                <w:i/>
                <w:iCs/>
                <w:sz w:val="16"/>
                <w:szCs w:val="16"/>
                <w:lang w:eastAsia="sl-SI"/>
              </w:rPr>
            </w:pPr>
            <w:r w:rsidRPr="0087421A">
              <w:rPr>
                <w:rFonts w:ascii="Arial" w:eastAsia="Times New Roman" w:hAnsi="Arial" w:cs="Arial"/>
                <w:i/>
                <w:iCs/>
                <w:sz w:val="16"/>
                <w:szCs w:val="16"/>
                <w:lang w:eastAsia="sl-SI"/>
              </w:rPr>
              <w:t>Akontacije dohodnine</w:t>
            </w:r>
          </w:p>
        </w:tc>
        <w:tc>
          <w:tcPr>
            <w:tcW w:w="1126" w:type="dxa"/>
            <w:tcBorders>
              <w:top w:val="nil"/>
              <w:left w:val="nil"/>
              <w:bottom w:val="single" w:sz="4" w:space="0" w:color="auto"/>
              <w:right w:val="single" w:sz="4" w:space="0" w:color="auto"/>
            </w:tcBorders>
            <w:shd w:val="clear" w:color="auto" w:fill="auto"/>
            <w:vAlign w:val="center"/>
            <w:hideMark/>
          </w:tcPr>
          <w:p w14:paraId="1C17A75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88.582.049</w:t>
            </w:r>
          </w:p>
        </w:tc>
        <w:tc>
          <w:tcPr>
            <w:tcW w:w="1194" w:type="dxa"/>
            <w:tcBorders>
              <w:top w:val="nil"/>
              <w:left w:val="nil"/>
              <w:bottom w:val="single" w:sz="4" w:space="0" w:color="auto"/>
              <w:right w:val="nil"/>
            </w:tcBorders>
            <w:shd w:val="clear" w:color="auto" w:fill="auto"/>
            <w:vAlign w:val="center"/>
            <w:hideMark/>
          </w:tcPr>
          <w:p w14:paraId="527B5739"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87.025.587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0CDFC6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88.091.599</w:t>
            </w:r>
          </w:p>
        </w:tc>
        <w:tc>
          <w:tcPr>
            <w:tcW w:w="1097" w:type="dxa"/>
            <w:tcBorders>
              <w:top w:val="nil"/>
              <w:left w:val="nil"/>
              <w:bottom w:val="single" w:sz="4" w:space="0" w:color="auto"/>
              <w:right w:val="single" w:sz="4" w:space="0" w:color="auto"/>
            </w:tcBorders>
            <w:shd w:val="clear" w:color="auto" w:fill="auto"/>
            <w:vAlign w:val="center"/>
            <w:hideMark/>
          </w:tcPr>
          <w:p w14:paraId="5958B4F6"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98,2</w:t>
            </w:r>
          </w:p>
        </w:tc>
        <w:tc>
          <w:tcPr>
            <w:tcW w:w="1097" w:type="dxa"/>
            <w:tcBorders>
              <w:top w:val="nil"/>
              <w:left w:val="nil"/>
              <w:bottom w:val="single" w:sz="4" w:space="0" w:color="auto"/>
              <w:right w:val="single" w:sz="4" w:space="0" w:color="auto"/>
            </w:tcBorders>
            <w:shd w:val="clear" w:color="auto" w:fill="auto"/>
            <w:vAlign w:val="center"/>
            <w:hideMark/>
          </w:tcPr>
          <w:p w14:paraId="3B232E6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99,4</w:t>
            </w:r>
          </w:p>
        </w:tc>
        <w:tc>
          <w:tcPr>
            <w:tcW w:w="1097" w:type="dxa"/>
            <w:tcBorders>
              <w:top w:val="nil"/>
              <w:left w:val="nil"/>
              <w:bottom w:val="single" w:sz="4" w:space="0" w:color="auto"/>
              <w:right w:val="single" w:sz="4" w:space="0" w:color="auto"/>
            </w:tcBorders>
            <w:shd w:val="clear" w:color="auto" w:fill="auto"/>
            <w:vAlign w:val="center"/>
            <w:hideMark/>
          </w:tcPr>
          <w:p w14:paraId="4FB770D1"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101,2</w:t>
            </w:r>
          </w:p>
        </w:tc>
      </w:tr>
      <w:tr w:rsidR="00A155A2" w:rsidRPr="0087421A" w14:paraId="2EADC44C" w14:textId="77777777" w:rsidTr="001C77D2">
        <w:trPr>
          <w:trHeight w:val="473"/>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01D5F8C" w14:textId="77777777" w:rsidR="00A155A2" w:rsidRPr="0087421A" w:rsidRDefault="00A155A2" w:rsidP="001C77D2">
            <w:pPr>
              <w:spacing w:after="0" w:line="240" w:lineRule="auto"/>
              <w:rPr>
                <w:rFonts w:ascii="Arial" w:eastAsia="Times New Roman" w:hAnsi="Arial" w:cs="Arial"/>
                <w:i/>
                <w:iCs/>
                <w:sz w:val="16"/>
                <w:szCs w:val="16"/>
                <w:lang w:eastAsia="sl-SI"/>
              </w:rPr>
            </w:pPr>
            <w:r w:rsidRPr="0087421A">
              <w:rPr>
                <w:rFonts w:ascii="Arial" w:eastAsia="Times New Roman" w:hAnsi="Arial" w:cs="Arial"/>
                <w:i/>
                <w:iCs/>
                <w:sz w:val="16"/>
                <w:szCs w:val="16"/>
                <w:lang w:eastAsia="sl-SI"/>
              </w:rPr>
              <w:t>Dohodnina od dobička iz kapital</w:t>
            </w:r>
            <w:r>
              <w:rPr>
                <w:rFonts w:ascii="Arial" w:eastAsia="Times New Roman" w:hAnsi="Arial" w:cs="Arial"/>
                <w:i/>
                <w:iCs/>
                <w:sz w:val="16"/>
                <w:szCs w:val="16"/>
                <w:lang w:eastAsia="sl-SI"/>
              </w:rPr>
              <w:t>a</w:t>
            </w:r>
            <w:r w:rsidRPr="0087421A">
              <w:rPr>
                <w:rFonts w:ascii="Arial" w:eastAsia="Times New Roman" w:hAnsi="Arial" w:cs="Arial"/>
                <w:i/>
                <w:iCs/>
                <w:sz w:val="16"/>
                <w:szCs w:val="16"/>
                <w:lang w:eastAsia="sl-SI"/>
              </w:rPr>
              <w:t>, dividend in obresti</w:t>
            </w:r>
          </w:p>
        </w:tc>
        <w:tc>
          <w:tcPr>
            <w:tcW w:w="1126" w:type="dxa"/>
            <w:tcBorders>
              <w:top w:val="nil"/>
              <w:left w:val="nil"/>
              <w:bottom w:val="single" w:sz="4" w:space="0" w:color="auto"/>
              <w:right w:val="single" w:sz="4" w:space="0" w:color="auto"/>
            </w:tcBorders>
            <w:shd w:val="clear" w:color="auto" w:fill="auto"/>
            <w:vAlign w:val="center"/>
            <w:hideMark/>
          </w:tcPr>
          <w:p w14:paraId="21E7366F"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18.738.037</w:t>
            </w:r>
          </w:p>
        </w:tc>
        <w:tc>
          <w:tcPr>
            <w:tcW w:w="1194" w:type="dxa"/>
            <w:tcBorders>
              <w:top w:val="nil"/>
              <w:left w:val="nil"/>
              <w:bottom w:val="single" w:sz="4" w:space="0" w:color="auto"/>
              <w:right w:val="nil"/>
            </w:tcBorders>
            <w:shd w:val="clear" w:color="auto" w:fill="auto"/>
            <w:vAlign w:val="center"/>
            <w:hideMark/>
          </w:tcPr>
          <w:p w14:paraId="3E1FF91F"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17.920.502</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BA4E7F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18.839.828</w:t>
            </w:r>
          </w:p>
        </w:tc>
        <w:tc>
          <w:tcPr>
            <w:tcW w:w="1097" w:type="dxa"/>
            <w:tcBorders>
              <w:top w:val="nil"/>
              <w:left w:val="nil"/>
              <w:bottom w:val="single" w:sz="4" w:space="0" w:color="auto"/>
              <w:right w:val="single" w:sz="4" w:space="0" w:color="auto"/>
            </w:tcBorders>
            <w:shd w:val="clear" w:color="auto" w:fill="auto"/>
            <w:vAlign w:val="center"/>
            <w:hideMark/>
          </w:tcPr>
          <w:p w14:paraId="3063B012"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95,6</w:t>
            </w:r>
          </w:p>
        </w:tc>
        <w:tc>
          <w:tcPr>
            <w:tcW w:w="1097" w:type="dxa"/>
            <w:tcBorders>
              <w:top w:val="nil"/>
              <w:left w:val="nil"/>
              <w:bottom w:val="single" w:sz="4" w:space="0" w:color="auto"/>
              <w:right w:val="single" w:sz="4" w:space="0" w:color="auto"/>
            </w:tcBorders>
            <w:shd w:val="clear" w:color="auto" w:fill="auto"/>
            <w:vAlign w:val="center"/>
            <w:hideMark/>
          </w:tcPr>
          <w:p w14:paraId="7B6664FF"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100,5</w:t>
            </w:r>
          </w:p>
        </w:tc>
        <w:tc>
          <w:tcPr>
            <w:tcW w:w="1097" w:type="dxa"/>
            <w:tcBorders>
              <w:top w:val="nil"/>
              <w:left w:val="nil"/>
              <w:bottom w:val="single" w:sz="4" w:space="0" w:color="auto"/>
              <w:right w:val="single" w:sz="4" w:space="0" w:color="auto"/>
            </w:tcBorders>
            <w:shd w:val="clear" w:color="auto" w:fill="auto"/>
            <w:vAlign w:val="center"/>
            <w:hideMark/>
          </w:tcPr>
          <w:p w14:paraId="223D8F4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105,1</w:t>
            </w:r>
          </w:p>
        </w:tc>
      </w:tr>
      <w:tr w:rsidR="00A155A2" w:rsidRPr="0087421A" w14:paraId="39068715" w14:textId="77777777" w:rsidTr="001C77D2">
        <w:trPr>
          <w:trHeight w:val="329"/>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B5071F9" w14:textId="77777777" w:rsidR="00A155A2" w:rsidRPr="0087421A" w:rsidRDefault="00A155A2" w:rsidP="001C77D2">
            <w:pPr>
              <w:spacing w:after="0" w:line="240" w:lineRule="auto"/>
              <w:rPr>
                <w:rFonts w:ascii="Arial" w:eastAsia="Times New Roman" w:hAnsi="Arial" w:cs="Arial"/>
                <w:i/>
                <w:iCs/>
                <w:sz w:val="16"/>
                <w:szCs w:val="16"/>
                <w:lang w:eastAsia="sl-SI"/>
              </w:rPr>
            </w:pPr>
            <w:r w:rsidRPr="0087421A">
              <w:rPr>
                <w:rFonts w:ascii="Arial" w:eastAsia="Times New Roman" w:hAnsi="Arial" w:cs="Arial"/>
                <w:i/>
                <w:iCs/>
                <w:sz w:val="16"/>
                <w:szCs w:val="16"/>
                <w:lang w:eastAsia="sl-SI"/>
              </w:rPr>
              <w:t>Dohodnina od nenapovedanih dohodkov</w:t>
            </w:r>
          </w:p>
        </w:tc>
        <w:tc>
          <w:tcPr>
            <w:tcW w:w="1126" w:type="dxa"/>
            <w:tcBorders>
              <w:top w:val="nil"/>
              <w:left w:val="nil"/>
              <w:bottom w:val="single" w:sz="4" w:space="0" w:color="auto"/>
              <w:right w:val="single" w:sz="4" w:space="0" w:color="auto"/>
            </w:tcBorders>
            <w:shd w:val="clear" w:color="auto" w:fill="auto"/>
            <w:vAlign w:val="center"/>
            <w:hideMark/>
          </w:tcPr>
          <w:p w14:paraId="3831398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41.295.009</w:t>
            </w:r>
          </w:p>
        </w:tc>
        <w:tc>
          <w:tcPr>
            <w:tcW w:w="1194" w:type="dxa"/>
            <w:tcBorders>
              <w:top w:val="nil"/>
              <w:left w:val="nil"/>
              <w:bottom w:val="single" w:sz="4" w:space="0" w:color="auto"/>
              <w:right w:val="nil"/>
            </w:tcBorders>
            <w:shd w:val="clear" w:color="auto" w:fill="auto"/>
            <w:vAlign w:val="center"/>
            <w:hideMark/>
          </w:tcPr>
          <w:p w14:paraId="53796C6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36.368.013</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74407C43"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39.698.348</w:t>
            </w:r>
          </w:p>
        </w:tc>
        <w:tc>
          <w:tcPr>
            <w:tcW w:w="1097" w:type="dxa"/>
            <w:tcBorders>
              <w:top w:val="nil"/>
              <w:left w:val="nil"/>
              <w:bottom w:val="single" w:sz="4" w:space="0" w:color="auto"/>
              <w:right w:val="single" w:sz="4" w:space="0" w:color="auto"/>
            </w:tcBorders>
            <w:shd w:val="clear" w:color="auto" w:fill="auto"/>
            <w:vAlign w:val="center"/>
            <w:hideMark/>
          </w:tcPr>
          <w:p w14:paraId="68EC162A"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88,1</w:t>
            </w:r>
          </w:p>
        </w:tc>
        <w:tc>
          <w:tcPr>
            <w:tcW w:w="1097" w:type="dxa"/>
            <w:tcBorders>
              <w:top w:val="nil"/>
              <w:left w:val="nil"/>
              <w:bottom w:val="single" w:sz="4" w:space="0" w:color="auto"/>
              <w:right w:val="single" w:sz="4" w:space="0" w:color="auto"/>
            </w:tcBorders>
            <w:shd w:val="clear" w:color="auto" w:fill="auto"/>
            <w:vAlign w:val="center"/>
            <w:hideMark/>
          </w:tcPr>
          <w:p w14:paraId="441B44F7"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96,1</w:t>
            </w:r>
          </w:p>
        </w:tc>
        <w:tc>
          <w:tcPr>
            <w:tcW w:w="1097" w:type="dxa"/>
            <w:tcBorders>
              <w:top w:val="nil"/>
              <w:left w:val="nil"/>
              <w:bottom w:val="single" w:sz="4" w:space="0" w:color="auto"/>
              <w:right w:val="single" w:sz="4" w:space="0" w:color="auto"/>
            </w:tcBorders>
            <w:shd w:val="clear" w:color="auto" w:fill="auto"/>
            <w:vAlign w:val="center"/>
            <w:hideMark/>
          </w:tcPr>
          <w:p w14:paraId="65318D4C"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109,2</w:t>
            </w:r>
          </w:p>
        </w:tc>
      </w:tr>
      <w:tr w:rsidR="00A155A2" w:rsidRPr="0087421A" w14:paraId="7A9691DD"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A790EBD"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Davek od dohodkov pravnih oseb</w:t>
            </w:r>
          </w:p>
        </w:tc>
        <w:tc>
          <w:tcPr>
            <w:tcW w:w="1126" w:type="dxa"/>
            <w:tcBorders>
              <w:top w:val="nil"/>
              <w:left w:val="nil"/>
              <w:bottom w:val="single" w:sz="4" w:space="0" w:color="auto"/>
              <w:right w:val="single" w:sz="4" w:space="0" w:color="auto"/>
            </w:tcBorders>
            <w:shd w:val="clear" w:color="auto" w:fill="auto"/>
            <w:vAlign w:val="center"/>
            <w:hideMark/>
          </w:tcPr>
          <w:p w14:paraId="213747E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40.710.877</w:t>
            </w:r>
          </w:p>
        </w:tc>
        <w:tc>
          <w:tcPr>
            <w:tcW w:w="1194" w:type="dxa"/>
            <w:tcBorders>
              <w:top w:val="nil"/>
              <w:left w:val="nil"/>
              <w:bottom w:val="single" w:sz="4" w:space="0" w:color="auto"/>
              <w:right w:val="nil"/>
            </w:tcBorders>
            <w:shd w:val="clear" w:color="auto" w:fill="auto"/>
            <w:vAlign w:val="center"/>
            <w:hideMark/>
          </w:tcPr>
          <w:p w14:paraId="60CDF0D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44.947.339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579E0B80"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47.538.863</w:t>
            </w:r>
          </w:p>
        </w:tc>
        <w:tc>
          <w:tcPr>
            <w:tcW w:w="1097" w:type="dxa"/>
            <w:tcBorders>
              <w:top w:val="nil"/>
              <w:left w:val="nil"/>
              <w:bottom w:val="single" w:sz="4" w:space="0" w:color="auto"/>
              <w:right w:val="single" w:sz="4" w:space="0" w:color="auto"/>
            </w:tcBorders>
            <w:shd w:val="clear" w:color="auto" w:fill="auto"/>
            <w:vAlign w:val="center"/>
            <w:hideMark/>
          </w:tcPr>
          <w:p w14:paraId="652C16B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110,4</w:t>
            </w:r>
          </w:p>
        </w:tc>
        <w:tc>
          <w:tcPr>
            <w:tcW w:w="1097" w:type="dxa"/>
            <w:tcBorders>
              <w:top w:val="nil"/>
              <w:left w:val="nil"/>
              <w:bottom w:val="single" w:sz="4" w:space="0" w:color="auto"/>
              <w:right w:val="single" w:sz="4" w:space="0" w:color="auto"/>
            </w:tcBorders>
            <w:shd w:val="clear" w:color="auto" w:fill="auto"/>
            <w:vAlign w:val="center"/>
            <w:hideMark/>
          </w:tcPr>
          <w:p w14:paraId="676FABC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116,8</w:t>
            </w:r>
          </w:p>
        </w:tc>
        <w:tc>
          <w:tcPr>
            <w:tcW w:w="1097" w:type="dxa"/>
            <w:tcBorders>
              <w:top w:val="nil"/>
              <w:left w:val="nil"/>
              <w:bottom w:val="single" w:sz="4" w:space="0" w:color="auto"/>
              <w:right w:val="single" w:sz="4" w:space="0" w:color="auto"/>
            </w:tcBorders>
            <w:shd w:val="clear" w:color="auto" w:fill="auto"/>
            <w:vAlign w:val="center"/>
            <w:hideMark/>
          </w:tcPr>
          <w:p w14:paraId="421D56C5"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105,8</w:t>
            </w:r>
          </w:p>
        </w:tc>
      </w:tr>
      <w:tr w:rsidR="00A155A2" w:rsidRPr="0087421A" w14:paraId="7B85F2C2"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D66C45E"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Drugi davki na dohodek in dobiček</w:t>
            </w:r>
          </w:p>
        </w:tc>
        <w:tc>
          <w:tcPr>
            <w:tcW w:w="1126" w:type="dxa"/>
            <w:tcBorders>
              <w:top w:val="nil"/>
              <w:left w:val="nil"/>
              <w:bottom w:val="single" w:sz="4" w:space="0" w:color="auto"/>
              <w:right w:val="single" w:sz="4" w:space="0" w:color="auto"/>
            </w:tcBorders>
            <w:shd w:val="clear" w:color="auto" w:fill="auto"/>
            <w:vAlign w:val="center"/>
            <w:hideMark/>
          </w:tcPr>
          <w:p w14:paraId="6A88385E"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26.151</w:t>
            </w:r>
          </w:p>
        </w:tc>
        <w:tc>
          <w:tcPr>
            <w:tcW w:w="1194" w:type="dxa"/>
            <w:tcBorders>
              <w:top w:val="nil"/>
              <w:left w:val="nil"/>
              <w:bottom w:val="single" w:sz="4" w:space="0" w:color="auto"/>
              <w:right w:val="nil"/>
            </w:tcBorders>
            <w:shd w:val="clear" w:color="auto" w:fill="auto"/>
            <w:vAlign w:val="center"/>
            <w:hideMark/>
          </w:tcPr>
          <w:p w14:paraId="06E74F7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4.445</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72E0F9A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97.057</w:t>
            </w:r>
          </w:p>
        </w:tc>
        <w:tc>
          <w:tcPr>
            <w:tcW w:w="1097" w:type="dxa"/>
            <w:tcBorders>
              <w:top w:val="nil"/>
              <w:left w:val="nil"/>
              <w:bottom w:val="single" w:sz="4" w:space="0" w:color="auto"/>
              <w:right w:val="single" w:sz="4" w:space="0" w:color="auto"/>
            </w:tcBorders>
            <w:shd w:val="clear" w:color="auto" w:fill="auto"/>
            <w:vAlign w:val="center"/>
            <w:hideMark/>
          </w:tcPr>
          <w:p w14:paraId="3BD63896"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17,0</w:t>
            </w:r>
          </w:p>
        </w:tc>
        <w:tc>
          <w:tcPr>
            <w:tcW w:w="1097" w:type="dxa"/>
            <w:tcBorders>
              <w:top w:val="nil"/>
              <w:left w:val="nil"/>
              <w:bottom w:val="single" w:sz="4" w:space="0" w:color="auto"/>
              <w:right w:val="single" w:sz="4" w:space="0" w:color="auto"/>
            </w:tcBorders>
            <w:shd w:val="clear" w:color="auto" w:fill="auto"/>
            <w:vAlign w:val="center"/>
            <w:hideMark/>
          </w:tcPr>
          <w:p w14:paraId="24459FE5"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371,1</w:t>
            </w:r>
          </w:p>
        </w:tc>
        <w:tc>
          <w:tcPr>
            <w:tcW w:w="1097" w:type="dxa"/>
            <w:tcBorders>
              <w:top w:val="nil"/>
              <w:left w:val="nil"/>
              <w:bottom w:val="single" w:sz="4" w:space="0" w:color="auto"/>
              <w:right w:val="single" w:sz="4" w:space="0" w:color="auto"/>
            </w:tcBorders>
            <w:shd w:val="clear" w:color="auto" w:fill="auto"/>
            <w:vAlign w:val="center"/>
            <w:hideMark/>
          </w:tcPr>
          <w:p w14:paraId="1E13E005"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2.183,5</w:t>
            </w:r>
          </w:p>
        </w:tc>
      </w:tr>
      <w:tr w:rsidR="00A155A2" w:rsidRPr="0087421A" w14:paraId="002451F0"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CBEFF9A"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PRISPEVKI ZA SOCIALNO VARNOST</w:t>
            </w:r>
          </w:p>
        </w:tc>
        <w:tc>
          <w:tcPr>
            <w:tcW w:w="1126" w:type="dxa"/>
            <w:tcBorders>
              <w:top w:val="nil"/>
              <w:left w:val="nil"/>
              <w:bottom w:val="single" w:sz="4" w:space="0" w:color="auto"/>
              <w:right w:val="single" w:sz="4" w:space="0" w:color="auto"/>
            </w:tcBorders>
            <w:shd w:val="clear" w:color="auto" w:fill="auto"/>
            <w:vAlign w:val="center"/>
            <w:hideMark/>
          </w:tcPr>
          <w:p w14:paraId="26608BFE"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255.542.927</w:t>
            </w:r>
          </w:p>
        </w:tc>
        <w:tc>
          <w:tcPr>
            <w:tcW w:w="1194" w:type="dxa"/>
            <w:tcBorders>
              <w:top w:val="nil"/>
              <w:left w:val="nil"/>
              <w:bottom w:val="single" w:sz="4" w:space="0" w:color="auto"/>
              <w:right w:val="nil"/>
            </w:tcBorders>
            <w:shd w:val="clear" w:color="auto" w:fill="auto"/>
            <w:vAlign w:val="center"/>
            <w:hideMark/>
          </w:tcPr>
          <w:p w14:paraId="60E748F7"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238.080.798</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23E726B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239.253.899</w:t>
            </w:r>
          </w:p>
        </w:tc>
        <w:tc>
          <w:tcPr>
            <w:tcW w:w="1097" w:type="dxa"/>
            <w:tcBorders>
              <w:top w:val="nil"/>
              <w:left w:val="nil"/>
              <w:bottom w:val="single" w:sz="4" w:space="0" w:color="auto"/>
              <w:right w:val="single" w:sz="4" w:space="0" w:color="auto"/>
            </w:tcBorders>
            <w:shd w:val="clear" w:color="auto" w:fill="auto"/>
            <w:vAlign w:val="center"/>
            <w:hideMark/>
          </w:tcPr>
          <w:p w14:paraId="75C40A8C"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93,2</w:t>
            </w:r>
          </w:p>
        </w:tc>
        <w:tc>
          <w:tcPr>
            <w:tcW w:w="1097" w:type="dxa"/>
            <w:tcBorders>
              <w:top w:val="nil"/>
              <w:left w:val="nil"/>
              <w:bottom w:val="single" w:sz="4" w:space="0" w:color="auto"/>
              <w:right w:val="single" w:sz="4" w:space="0" w:color="auto"/>
            </w:tcBorders>
            <w:shd w:val="clear" w:color="auto" w:fill="auto"/>
            <w:vAlign w:val="center"/>
            <w:hideMark/>
          </w:tcPr>
          <w:p w14:paraId="7CD58A2D"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93,6</w:t>
            </w:r>
          </w:p>
        </w:tc>
        <w:tc>
          <w:tcPr>
            <w:tcW w:w="1097" w:type="dxa"/>
            <w:tcBorders>
              <w:top w:val="nil"/>
              <w:left w:val="nil"/>
              <w:bottom w:val="single" w:sz="4" w:space="0" w:color="auto"/>
              <w:right w:val="single" w:sz="4" w:space="0" w:color="auto"/>
            </w:tcBorders>
            <w:shd w:val="clear" w:color="auto" w:fill="auto"/>
            <w:vAlign w:val="center"/>
            <w:hideMark/>
          </w:tcPr>
          <w:p w14:paraId="2722E127"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100,5</w:t>
            </w:r>
          </w:p>
        </w:tc>
      </w:tr>
      <w:tr w:rsidR="00A155A2" w:rsidRPr="0087421A" w14:paraId="6E57539D"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C682395"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Prispevek za zaposlovanje</w:t>
            </w:r>
          </w:p>
        </w:tc>
        <w:tc>
          <w:tcPr>
            <w:tcW w:w="1126" w:type="dxa"/>
            <w:tcBorders>
              <w:top w:val="nil"/>
              <w:left w:val="nil"/>
              <w:bottom w:val="single" w:sz="4" w:space="0" w:color="auto"/>
              <w:right w:val="single" w:sz="4" w:space="0" w:color="auto"/>
            </w:tcBorders>
            <w:shd w:val="clear" w:color="auto" w:fill="auto"/>
            <w:vAlign w:val="center"/>
            <w:hideMark/>
          </w:tcPr>
          <w:p w14:paraId="1229B1DF"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1.095.378</w:t>
            </w:r>
          </w:p>
        </w:tc>
        <w:tc>
          <w:tcPr>
            <w:tcW w:w="1194" w:type="dxa"/>
            <w:tcBorders>
              <w:top w:val="nil"/>
              <w:left w:val="nil"/>
              <w:bottom w:val="single" w:sz="4" w:space="0" w:color="auto"/>
              <w:right w:val="nil"/>
            </w:tcBorders>
            <w:shd w:val="clear" w:color="auto" w:fill="auto"/>
            <w:vAlign w:val="center"/>
            <w:hideMark/>
          </w:tcPr>
          <w:p w14:paraId="6499765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1.043.394</w:t>
            </w:r>
          </w:p>
        </w:tc>
        <w:tc>
          <w:tcPr>
            <w:tcW w:w="1157" w:type="dxa"/>
            <w:tcBorders>
              <w:top w:val="nil"/>
              <w:left w:val="single" w:sz="8" w:space="0" w:color="auto"/>
              <w:bottom w:val="single" w:sz="4" w:space="0" w:color="auto"/>
              <w:right w:val="single" w:sz="4" w:space="0" w:color="auto"/>
            </w:tcBorders>
            <w:shd w:val="clear" w:color="auto" w:fill="auto"/>
            <w:noWrap/>
            <w:vAlign w:val="center"/>
            <w:hideMark/>
          </w:tcPr>
          <w:p w14:paraId="6E5DDD5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1.020.959</w:t>
            </w:r>
          </w:p>
        </w:tc>
        <w:tc>
          <w:tcPr>
            <w:tcW w:w="1097" w:type="dxa"/>
            <w:tcBorders>
              <w:top w:val="nil"/>
              <w:left w:val="nil"/>
              <w:bottom w:val="single" w:sz="4" w:space="0" w:color="auto"/>
              <w:right w:val="single" w:sz="4" w:space="0" w:color="auto"/>
            </w:tcBorders>
            <w:shd w:val="clear" w:color="auto" w:fill="auto"/>
            <w:vAlign w:val="center"/>
            <w:hideMark/>
          </w:tcPr>
          <w:p w14:paraId="2201C3E0"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95,3</w:t>
            </w:r>
          </w:p>
        </w:tc>
        <w:tc>
          <w:tcPr>
            <w:tcW w:w="1097" w:type="dxa"/>
            <w:tcBorders>
              <w:top w:val="nil"/>
              <w:left w:val="nil"/>
              <w:bottom w:val="single" w:sz="4" w:space="0" w:color="auto"/>
              <w:right w:val="single" w:sz="4" w:space="0" w:color="auto"/>
            </w:tcBorders>
            <w:shd w:val="clear" w:color="auto" w:fill="auto"/>
            <w:vAlign w:val="center"/>
            <w:hideMark/>
          </w:tcPr>
          <w:p w14:paraId="38C43DB8"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93,2</w:t>
            </w:r>
          </w:p>
        </w:tc>
        <w:tc>
          <w:tcPr>
            <w:tcW w:w="1097" w:type="dxa"/>
            <w:tcBorders>
              <w:top w:val="nil"/>
              <w:left w:val="nil"/>
              <w:bottom w:val="single" w:sz="4" w:space="0" w:color="auto"/>
              <w:right w:val="single" w:sz="4" w:space="0" w:color="auto"/>
            </w:tcBorders>
            <w:shd w:val="clear" w:color="auto" w:fill="auto"/>
            <w:vAlign w:val="center"/>
            <w:hideMark/>
          </w:tcPr>
          <w:p w14:paraId="5B809169"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97,8</w:t>
            </w:r>
          </w:p>
        </w:tc>
      </w:tr>
      <w:tr w:rsidR="00A155A2" w:rsidRPr="0087421A" w14:paraId="6EDD7AC3"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72FB283"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Prispevek za starševsko varstvo</w:t>
            </w:r>
          </w:p>
        </w:tc>
        <w:tc>
          <w:tcPr>
            <w:tcW w:w="1126" w:type="dxa"/>
            <w:tcBorders>
              <w:top w:val="nil"/>
              <w:left w:val="nil"/>
              <w:bottom w:val="single" w:sz="4" w:space="0" w:color="auto"/>
              <w:right w:val="single" w:sz="4" w:space="0" w:color="auto"/>
            </w:tcBorders>
            <w:shd w:val="clear" w:color="auto" w:fill="auto"/>
            <w:vAlign w:val="center"/>
            <w:hideMark/>
          </w:tcPr>
          <w:p w14:paraId="6BE0047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1.200.520</w:t>
            </w:r>
          </w:p>
        </w:tc>
        <w:tc>
          <w:tcPr>
            <w:tcW w:w="1194" w:type="dxa"/>
            <w:tcBorders>
              <w:top w:val="nil"/>
              <w:left w:val="nil"/>
              <w:bottom w:val="single" w:sz="4" w:space="0" w:color="auto"/>
              <w:right w:val="nil"/>
            </w:tcBorders>
            <w:shd w:val="clear" w:color="auto" w:fill="auto"/>
            <w:vAlign w:val="center"/>
            <w:hideMark/>
          </w:tcPr>
          <w:p w14:paraId="0C17F78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1.155.158</w:t>
            </w:r>
          </w:p>
        </w:tc>
        <w:tc>
          <w:tcPr>
            <w:tcW w:w="1157" w:type="dxa"/>
            <w:tcBorders>
              <w:top w:val="nil"/>
              <w:left w:val="single" w:sz="8" w:space="0" w:color="auto"/>
              <w:bottom w:val="single" w:sz="4" w:space="0" w:color="auto"/>
              <w:right w:val="single" w:sz="4" w:space="0" w:color="auto"/>
            </w:tcBorders>
            <w:shd w:val="clear" w:color="auto" w:fill="auto"/>
            <w:noWrap/>
            <w:vAlign w:val="center"/>
            <w:hideMark/>
          </w:tcPr>
          <w:p w14:paraId="0E80268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1.133.630</w:t>
            </w:r>
          </w:p>
        </w:tc>
        <w:tc>
          <w:tcPr>
            <w:tcW w:w="1097" w:type="dxa"/>
            <w:tcBorders>
              <w:top w:val="nil"/>
              <w:left w:val="nil"/>
              <w:bottom w:val="single" w:sz="4" w:space="0" w:color="auto"/>
              <w:right w:val="single" w:sz="4" w:space="0" w:color="auto"/>
            </w:tcBorders>
            <w:shd w:val="clear" w:color="auto" w:fill="auto"/>
            <w:vAlign w:val="center"/>
            <w:hideMark/>
          </w:tcPr>
          <w:p w14:paraId="6551CD45"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96,2</w:t>
            </w:r>
          </w:p>
        </w:tc>
        <w:tc>
          <w:tcPr>
            <w:tcW w:w="1097" w:type="dxa"/>
            <w:tcBorders>
              <w:top w:val="nil"/>
              <w:left w:val="nil"/>
              <w:bottom w:val="single" w:sz="4" w:space="0" w:color="auto"/>
              <w:right w:val="single" w:sz="4" w:space="0" w:color="auto"/>
            </w:tcBorders>
            <w:shd w:val="clear" w:color="auto" w:fill="auto"/>
            <w:vAlign w:val="center"/>
            <w:hideMark/>
          </w:tcPr>
          <w:p w14:paraId="0E3CC8EE"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94,4</w:t>
            </w:r>
          </w:p>
        </w:tc>
        <w:tc>
          <w:tcPr>
            <w:tcW w:w="1097" w:type="dxa"/>
            <w:tcBorders>
              <w:top w:val="nil"/>
              <w:left w:val="nil"/>
              <w:bottom w:val="single" w:sz="4" w:space="0" w:color="auto"/>
              <w:right w:val="single" w:sz="4" w:space="0" w:color="auto"/>
            </w:tcBorders>
            <w:shd w:val="clear" w:color="auto" w:fill="auto"/>
            <w:vAlign w:val="center"/>
            <w:hideMark/>
          </w:tcPr>
          <w:p w14:paraId="4CF50569"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98,1</w:t>
            </w:r>
          </w:p>
        </w:tc>
      </w:tr>
      <w:tr w:rsidR="00A155A2" w:rsidRPr="0087421A" w14:paraId="5DBFA3D8" w14:textId="77777777" w:rsidTr="001C77D2">
        <w:trPr>
          <w:trHeight w:val="387"/>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1BB8114"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Prispevki za pokojninsko in invalidsko zavarovanje</w:t>
            </w:r>
          </w:p>
        </w:tc>
        <w:tc>
          <w:tcPr>
            <w:tcW w:w="1126" w:type="dxa"/>
            <w:tcBorders>
              <w:top w:val="nil"/>
              <w:left w:val="nil"/>
              <w:bottom w:val="single" w:sz="4" w:space="0" w:color="auto"/>
              <w:right w:val="single" w:sz="4" w:space="0" w:color="auto"/>
            </w:tcBorders>
            <w:shd w:val="clear" w:color="auto" w:fill="auto"/>
            <w:vAlign w:val="center"/>
            <w:hideMark/>
          </w:tcPr>
          <w:p w14:paraId="5153A80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168.735.578</w:t>
            </w:r>
          </w:p>
        </w:tc>
        <w:tc>
          <w:tcPr>
            <w:tcW w:w="1194" w:type="dxa"/>
            <w:tcBorders>
              <w:top w:val="nil"/>
              <w:left w:val="nil"/>
              <w:bottom w:val="single" w:sz="4" w:space="0" w:color="auto"/>
              <w:right w:val="nil"/>
            </w:tcBorders>
            <w:shd w:val="clear" w:color="auto" w:fill="auto"/>
            <w:vAlign w:val="center"/>
            <w:hideMark/>
          </w:tcPr>
          <w:p w14:paraId="116193C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155.951.987</w:t>
            </w:r>
          </w:p>
        </w:tc>
        <w:tc>
          <w:tcPr>
            <w:tcW w:w="1157" w:type="dxa"/>
            <w:tcBorders>
              <w:top w:val="nil"/>
              <w:left w:val="single" w:sz="8" w:space="0" w:color="auto"/>
              <w:bottom w:val="single" w:sz="4" w:space="0" w:color="auto"/>
              <w:right w:val="single" w:sz="4" w:space="0" w:color="auto"/>
            </w:tcBorders>
            <w:shd w:val="clear" w:color="auto" w:fill="auto"/>
            <w:noWrap/>
            <w:vAlign w:val="center"/>
            <w:hideMark/>
          </w:tcPr>
          <w:p w14:paraId="676FB3A0"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154.807.761</w:t>
            </w:r>
          </w:p>
        </w:tc>
        <w:tc>
          <w:tcPr>
            <w:tcW w:w="1097" w:type="dxa"/>
            <w:tcBorders>
              <w:top w:val="nil"/>
              <w:left w:val="nil"/>
              <w:bottom w:val="single" w:sz="4" w:space="0" w:color="auto"/>
              <w:right w:val="single" w:sz="4" w:space="0" w:color="auto"/>
            </w:tcBorders>
            <w:shd w:val="clear" w:color="auto" w:fill="auto"/>
            <w:vAlign w:val="center"/>
            <w:hideMark/>
          </w:tcPr>
          <w:p w14:paraId="434AFC02"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92,4</w:t>
            </w:r>
          </w:p>
        </w:tc>
        <w:tc>
          <w:tcPr>
            <w:tcW w:w="1097" w:type="dxa"/>
            <w:tcBorders>
              <w:top w:val="nil"/>
              <w:left w:val="nil"/>
              <w:bottom w:val="single" w:sz="4" w:space="0" w:color="auto"/>
              <w:right w:val="single" w:sz="4" w:space="0" w:color="auto"/>
            </w:tcBorders>
            <w:shd w:val="clear" w:color="auto" w:fill="auto"/>
            <w:vAlign w:val="center"/>
            <w:hideMark/>
          </w:tcPr>
          <w:p w14:paraId="2EB2AE5F"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91,7</w:t>
            </w:r>
          </w:p>
        </w:tc>
        <w:tc>
          <w:tcPr>
            <w:tcW w:w="1097" w:type="dxa"/>
            <w:tcBorders>
              <w:top w:val="nil"/>
              <w:left w:val="nil"/>
              <w:bottom w:val="single" w:sz="4" w:space="0" w:color="auto"/>
              <w:right w:val="single" w:sz="4" w:space="0" w:color="auto"/>
            </w:tcBorders>
            <w:shd w:val="clear" w:color="auto" w:fill="auto"/>
            <w:vAlign w:val="center"/>
            <w:hideMark/>
          </w:tcPr>
          <w:p w14:paraId="17D83D98"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99,3</w:t>
            </w:r>
          </w:p>
        </w:tc>
      </w:tr>
      <w:tr w:rsidR="00A155A2" w:rsidRPr="0087421A" w14:paraId="3D4AB2F7"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BFD7514"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Prispevki za zdravstveno zavarovanje</w:t>
            </w:r>
          </w:p>
        </w:tc>
        <w:tc>
          <w:tcPr>
            <w:tcW w:w="1126" w:type="dxa"/>
            <w:tcBorders>
              <w:top w:val="nil"/>
              <w:left w:val="nil"/>
              <w:bottom w:val="single" w:sz="4" w:space="0" w:color="auto"/>
              <w:right w:val="single" w:sz="4" w:space="0" w:color="auto"/>
            </w:tcBorders>
            <w:shd w:val="clear" w:color="auto" w:fill="auto"/>
            <w:vAlign w:val="center"/>
            <w:hideMark/>
          </w:tcPr>
          <w:p w14:paraId="65815169"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84.511.451</w:t>
            </w:r>
          </w:p>
        </w:tc>
        <w:tc>
          <w:tcPr>
            <w:tcW w:w="1194" w:type="dxa"/>
            <w:tcBorders>
              <w:top w:val="nil"/>
              <w:left w:val="nil"/>
              <w:bottom w:val="single" w:sz="4" w:space="0" w:color="auto"/>
              <w:right w:val="nil"/>
            </w:tcBorders>
            <w:shd w:val="clear" w:color="auto" w:fill="auto"/>
            <w:vAlign w:val="center"/>
            <w:hideMark/>
          </w:tcPr>
          <w:p w14:paraId="2D1D1E7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79.930.259</w:t>
            </w:r>
          </w:p>
        </w:tc>
        <w:tc>
          <w:tcPr>
            <w:tcW w:w="1157" w:type="dxa"/>
            <w:tcBorders>
              <w:top w:val="nil"/>
              <w:left w:val="single" w:sz="8" w:space="0" w:color="auto"/>
              <w:bottom w:val="single" w:sz="4" w:space="0" w:color="auto"/>
              <w:right w:val="single" w:sz="4" w:space="0" w:color="auto"/>
            </w:tcBorders>
            <w:shd w:val="clear" w:color="auto" w:fill="auto"/>
            <w:noWrap/>
            <w:vAlign w:val="center"/>
            <w:hideMark/>
          </w:tcPr>
          <w:p w14:paraId="51273FC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82.291.549</w:t>
            </w:r>
          </w:p>
        </w:tc>
        <w:tc>
          <w:tcPr>
            <w:tcW w:w="1097" w:type="dxa"/>
            <w:tcBorders>
              <w:top w:val="nil"/>
              <w:left w:val="nil"/>
              <w:bottom w:val="single" w:sz="4" w:space="0" w:color="auto"/>
              <w:right w:val="single" w:sz="4" w:space="0" w:color="auto"/>
            </w:tcBorders>
            <w:shd w:val="clear" w:color="auto" w:fill="auto"/>
            <w:vAlign w:val="center"/>
            <w:hideMark/>
          </w:tcPr>
          <w:p w14:paraId="69C5BE9B"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94,6</w:t>
            </w:r>
          </w:p>
        </w:tc>
        <w:tc>
          <w:tcPr>
            <w:tcW w:w="1097" w:type="dxa"/>
            <w:tcBorders>
              <w:top w:val="nil"/>
              <w:left w:val="nil"/>
              <w:bottom w:val="single" w:sz="4" w:space="0" w:color="auto"/>
              <w:right w:val="single" w:sz="4" w:space="0" w:color="auto"/>
            </w:tcBorders>
            <w:shd w:val="clear" w:color="auto" w:fill="auto"/>
            <w:vAlign w:val="center"/>
            <w:hideMark/>
          </w:tcPr>
          <w:p w14:paraId="622E24EF"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97,4</w:t>
            </w:r>
          </w:p>
        </w:tc>
        <w:tc>
          <w:tcPr>
            <w:tcW w:w="1097" w:type="dxa"/>
            <w:tcBorders>
              <w:top w:val="nil"/>
              <w:left w:val="nil"/>
              <w:bottom w:val="single" w:sz="4" w:space="0" w:color="auto"/>
              <w:right w:val="single" w:sz="4" w:space="0" w:color="auto"/>
            </w:tcBorders>
            <w:shd w:val="clear" w:color="auto" w:fill="auto"/>
            <w:vAlign w:val="center"/>
            <w:hideMark/>
          </w:tcPr>
          <w:p w14:paraId="1F4BE2DB"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103,0</w:t>
            </w:r>
          </w:p>
        </w:tc>
      </w:tr>
      <w:tr w:rsidR="00A155A2" w:rsidRPr="0087421A" w14:paraId="70DA2173" w14:textId="77777777" w:rsidTr="001C77D2">
        <w:trPr>
          <w:trHeight w:val="416"/>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5C08B8A"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DAVKI NA PLAČILNO LISTO IN DELOVNO SILO</w:t>
            </w:r>
          </w:p>
        </w:tc>
        <w:tc>
          <w:tcPr>
            <w:tcW w:w="1126" w:type="dxa"/>
            <w:tcBorders>
              <w:top w:val="nil"/>
              <w:left w:val="nil"/>
              <w:bottom w:val="single" w:sz="4" w:space="0" w:color="auto"/>
              <w:right w:val="single" w:sz="4" w:space="0" w:color="auto"/>
            </w:tcBorders>
            <w:shd w:val="clear" w:color="auto" w:fill="auto"/>
            <w:vAlign w:val="center"/>
            <w:hideMark/>
          </w:tcPr>
          <w:p w14:paraId="76B616DB"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346.454</w:t>
            </w:r>
          </w:p>
        </w:tc>
        <w:tc>
          <w:tcPr>
            <w:tcW w:w="1194" w:type="dxa"/>
            <w:tcBorders>
              <w:top w:val="nil"/>
              <w:left w:val="nil"/>
              <w:bottom w:val="single" w:sz="4" w:space="0" w:color="auto"/>
              <w:right w:val="nil"/>
            </w:tcBorders>
            <w:shd w:val="clear" w:color="auto" w:fill="auto"/>
            <w:vAlign w:val="center"/>
            <w:hideMark/>
          </w:tcPr>
          <w:p w14:paraId="4297B4C9"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381.157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50FF6C25"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219.294</w:t>
            </w:r>
          </w:p>
        </w:tc>
        <w:tc>
          <w:tcPr>
            <w:tcW w:w="1097" w:type="dxa"/>
            <w:tcBorders>
              <w:top w:val="nil"/>
              <w:left w:val="nil"/>
              <w:bottom w:val="single" w:sz="4" w:space="0" w:color="auto"/>
              <w:right w:val="single" w:sz="4" w:space="0" w:color="auto"/>
            </w:tcBorders>
            <w:shd w:val="clear" w:color="auto" w:fill="auto"/>
            <w:vAlign w:val="center"/>
            <w:hideMark/>
          </w:tcPr>
          <w:p w14:paraId="71E49B35"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110,0</w:t>
            </w:r>
          </w:p>
        </w:tc>
        <w:tc>
          <w:tcPr>
            <w:tcW w:w="1097" w:type="dxa"/>
            <w:tcBorders>
              <w:top w:val="nil"/>
              <w:left w:val="nil"/>
              <w:bottom w:val="single" w:sz="4" w:space="0" w:color="auto"/>
              <w:right w:val="single" w:sz="4" w:space="0" w:color="auto"/>
            </w:tcBorders>
            <w:shd w:val="clear" w:color="auto" w:fill="auto"/>
            <w:vAlign w:val="center"/>
            <w:hideMark/>
          </w:tcPr>
          <w:p w14:paraId="6A23434D"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63,3</w:t>
            </w:r>
          </w:p>
        </w:tc>
        <w:tc>
          <w:tcPr>
            <w:tcW w:w="1097" w:type="dxa"/>
            <w:tcBorders>
              <w:top w:val="nil"/>
              <w:left w:val="nil"/>
              <w:bottom w:val="single" w:sz="4" w:space="0" w:color="auto"/>
              <w:right w:val="single" w:sz="4" w:space="0" w:color="auto"/>
            </w:tcBorders>
            <w:shd w:val="clear" w:color="auto" w:fill="auto"/>
            <w:vAlign w:val="center"/>
            <w:hideMark/>
          </w:tcPr>
          <w:p w14:paraId="65D9D556"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57,5</w:t>
            </w:r>
          </w:p>
        </w:tc>
      </w:tr>
      <w:tr w:rsidR="00A155A2" w:rsidRPr="0087421A" w14:paraId="7CB5CFAB"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B42377A"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Posebni davek na določene prejemke</w:t>
            </w:r>
          </w:p>
        </w:tc>
        <w:tc>
          <w:tcPr>
            <w:tcW w:w="1126" w:type="dxa"/>
            <w:tcBorders>
              <w:top w:val="nil"/>
              <w:left w:val="nil"/>
              <w:bottom w:val="single" w:sz="4" w:space="0" w:color="auto"/>
              <w:right w:val="single" w:sz="4" w:space="0" w:color="auto"/>
            </w:tcBorders>
            <w:shd w:val="clear" w:color="auto" w:fill="auto"/>
            <w:vAlign w:val="center"/>
            <w:hideMark/>
          </w:tcPr>
          <w:p w14:paraId="3657498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346.454</w:t>
            </w:r>
          </w:p>
        </w:tc>
        <w:tc>
          <w:tcPr>
            <w:tcW w:w="1194" w:type="dxa"/>
            <w:tcBorders>
              <w:top w:val="nil"/>
              <w:left w:val="nil"/>
              <w:bottom w:val="single" w:sz="4" w:space="0" w:color="auto"/>
              <w:right w:val="nil"/>
            </w:tcBorders>
            <w:shd w:val="clear" w:color="auto" w:fill="auto"/>
            <w:vAlign w:val="center"/>
            <w:hideMark/>
          </w:tcPr>
          <w:p w14:paraId="4DAC331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381.157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230763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219.294</w:t>
            </w:r>
          </w:p>
        </w:tc>
        <w:tc>
          <w:tcPr>
            <w:tcW w:w="1097" w:type="dxa"/>
            <w:tcBorders>
              <w:top w:val="nil"/>
              <w:left w:val="nil"/>
              <w:bottom w:val="single" w:sz="4" w:space="0" w:color="auto"/>
              <w:right w:val="single" w:sz="4" w:space="0" w:color="auto"/>
            </w:tcBorders>
            <w:shd w:val="clear" w:color="auto" w:fill="auto"/>
            <w:vAlign w:val="center"/>
            <w:hideMark/>
          </w:tcPr>
          <w:p w14:paraId="7833B754"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110,0</w:t>
            </w:r>
          </w:p>
        </w:tc>
        <w:tc>
          <w:tcPr>
            <w:tcW w:w="1097" w:type="dxa"/>
            <w:tcBorders>
              <w:top w:val="nil"/>
              <w:left w:val="nil"/>
              <w:bottom w:val="single" w:sz="4" w:space="0" w:color="auto"/>
              <w:right w:val="single" w:sz="4" w:space="0" w:color="auto"/>
            </w:tcBorders>
            <w:shd w:val="clear" w:color="auto" w:fill="auto"/>
            <w:vAlign w:val="center"/>
            <w:hideMark/>
          </w:tcPr>
          <w:p w14:paraId="730CF6D1"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63,3</w:t>
            </w:r>
          </w:p>
        </w:tc>
        <w:tc>
          <w:tcPr>
            <w:tcW w:w="1097" w:type="dxa"/>
            <w:tcBorders>
              <w:top w:val="nil"/>
              <w:left w:val="nil"/>
              <w:bottom w:val="single" w:sz="4" w:space="0" w:color="auto"/>
              <w:right w:val="single" w:sz="4" w:space="0" w:color="auto"/>
            </w:tcBorders>
            <w:shd w:val="clear" w:color="auto" w:fill="auto"/>
            <w:vAlign w:val="center"/>
            <w:hideMark/>
          </w:tcPr>
          <w:p w14:paraId="53659FF1"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57,5</w:t>
            </w:r>
          </w:p>
        </w:tc>
      </w:tr>
      <w:tr w:rsidR="00A155A2" w:rsidRPr="0087421A" w14:paraId="1795CC36"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5ECBB45"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DAVKI NA PREMOŽENJE</w:t>
            </w:r>
          </w:p>
        </w:tc>
        <w:tc>
          <w:tcPr>
            <w:tcW w:w="1126" w:type="dxa"/>
            <w:tcBorders>
              <w:top w:val="nil"/>
              <w:left w:val="nil"/>
              <w:bottom w:val="single" w:sz="4" w:space="0" w:color="auto"/>
              <w:right w:val="single" w:sz="4" w:space="0" w:color="auto"/>
            </w:tcBorders>
            <w:shd w:val="clear" w:color="auto" w:fill="auto"/>
            <w:vAlign w:val="center"/>
            <w:hideMark/>
          </w:tcPr>
          <w:p w14:paraId="45D9327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23.445.583</w:t>
            </w:r>
          </w:p>
        </w:tc>
        <w:tc>
          <w:tcPr>
            <w:tcW w:w="1194" w:type="dxa"/>
            <w:tcBorders>
              <w:top w:val="nil"/>
              <w:left w:val="nil"/>
              <w:bottom w:val="single" w:sz="4" w:space="0" w:color="auto"/>
              <w:right w:val="nil"/>
            </w:tcBorders>
            <w:shd w:val="clear" w:color="auto" w:fill="auto"/>
            <w:vAlign w:val="center"/>
            <w:hideMark/>
          </w:tcPr>
          <w:p w14:paraId="3872B8E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21.645.819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242B76EB"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21.124.724</w:t>
            </w:r>
          </w:p>
        </w:tc>
        <w:tc>
          <w:tcPr>
            <w:tcW w:w="1097" w:type="dxa"/>
            <w:tcBorders>
              <w:top w:val="nil"/>
              <w:left w:val="nil"/>
              <w:bottom w:val="single" w:sz="4" w:space="0" w:color="auto"/>
              <w:right w:val="single" w:sz="4" w:space="0" w:color="auto"/>
            </w:tcBorders>
            <w:shd w:val="clear" w:color="auto" w:fill="auto"/>
            <w:vAlign w:val="center"/>
            <w:hideMark/>
          </w:tcPr>
          <w:p w14:paraId="327DCD6B"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92,3</w:t>
            </w:r>
          </w:p>
        </w:tc>
        <w:tc>
          <w:tcPr>
            <w:tcW w:w="1097" w:type="dxa"/>
            <w:tcBorders>
              <w:top w:val="nil"/>
              <w:left w:val="nil"/>
              <w:bottom w:val="single" w:sz="4" w:space="0" w:color="auto"/>
              <w:right w:val="single" w:sz="4" w:space="0" w:color="auto"/>
            </w:tcBorders>
            <w:shd w:val="clear" w:color="auto" w:fill="auto"/>
            <w:vAlign w:val="center"/>
            <w:hideMark/>
          </w:tcPr>
          <w:p w14:paraId="1F3E569E"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90,1</w:t>
            </w:r>
          </w:p>
        </w:tc>
        <w:tc>
          <w:tcPr>
            <w:tcW w:w="1097" w:type="dxa"/>
            <w:tcBorders>
              <w:top w:val="nil"/>
              <w:left w:val="nil"/>
              <w:bottom w:val="single" w:sz="4" w:space="0" w:color="auto"/>
              <w:right w:val="single" w:sz="4" w:space="0" w:color="auto"/>
            </w:tcBorders>
            <w:shd w:val="clear" w:color="auto" w:fill="auto"/>
            <w:vAlign w:val="center"/>
            <w:hideMark/>
          </w:tcPr>
          <w:p w14:paraId="358DAF96" w14:textId="77777777" w:rsidR="00A155A2" w:rsidRPr="0087421A" w:rsidRDefault="00A155A2" w:rsidP="001C77D2">
            <w:pPr>
              <w:spacing w:after="0" w:line="240" w:lineRule="auto"/>
              <w:jc w:val="center"/>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97,6</w:t>
            </w:r>
          </w:p>
        </w:tc>
      </w:tr>
      <w:tr w:rsidR="00A155A2" w:rsidRPr="0087421A" w14:paraId="02B10612"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8C7E85D"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Davki na nepremičnine</w:t>
            </w:r>
          </w:p>
        </w:tc>
        <w:tc>
          <w:tcPr>
            <w:tcW w:w="1126" w:type="dxa"/>
            <w:tcBorders>
              <w:top w:val="nil"/>
              <w:left w:val="nil"/>
              <w:bottom w:val="single" w:sz="4" w:space="0" w:color="auto"/>
              <w:right w:val="single" w:sz="4" w:space="0" w:color="auto"/>
            </w:tcBorders>
            <w:shd w:val="clear" w:color="auto" w:fill="auto"/>
            <w:vAlign w:val="center"/>
            <w:hideMark/>
          </w:tcPr>
          <w:p w14:paraId="582A333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20.991.239</w:t>
            </w:r>
          </w:p>
        </w:tc>
        <w:tc>
          <w:tcPr>
            <w:tcW w:w="1194" w:type="dxa"/>
            <w:tcBorders>
              <w:top w:val="nil"/>
              <w:left w:val="nil"/>
              <w:bottom w:val="single" w:sz="4" w:space="0" w:color="auto"/>
              <w:right w:val="nil"/>
            </w:tcBorders>
            <w:shd w:val="clear" w:color="auto" w:fill="auto"/>
            <w:vAlign w:val="center"/>
            <w:hideMark/>
          </w:tcPr>
          <w:p w14:paraId="65FABED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19.157.106</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5F78D28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18.480.174</w:t>
            </w:r>
          </w:p>
        </w:tc>
        <w:tc>
          <w:tcPr>
            <w:tcW w:w="1097" w:type="dxa"/>
            <w:tcBorders>
              <w:top w:val="nil"/>
              <w:left w:val="nil"/>
              <w:bottom w:val="single" w:sz="4" w:space="0" w:color="auto"/>
              <w:right w:val="single" w:sz="4" w:space="0" w:color="auto"/>
            </w:tcBorders>
            <w:shd w:val="clear" w:color="auto" w:fill="auto"/>
            <w:vAlign w:val="center"/>
            <w:hideMark/>
          </w:tcPr>
          <w:p w14:paraId="3930EE91"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91,3</w:t>
            </w:r>
          </w:p>
        </w:tc>
        <w:tc>
          <w:tcPr>
            <w:tcW w:w="1097" w:type="dxa"/>
            <w:tcBorders>
              <w:top w:val="nil"/>
              <w:left w:val="nil"/>
              <w:bottom w:val="single" w:sz="4" w:space="0" w:color="auto"/>
              <w:right w:val="single" w:sz="4" w:space="0" w:color="auto"/>
            </w:tcBorders>
            <w:shd w:val="clear" w:color="auto" w:fill="auto"/>
            <w:vAlign w:val="center"/>
            <w:hideMark/>
          </w:tcPr>
          <w:p w14:paraId="253CF7A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88,0</w:t>
            </w:r>
          </w:p>
        </w:tc>
        <w:tc>
          <w:tcPr>
            <w:tcW w:w="1097" w:type="dxa"/>
            <w:tcBorders>
              <w:top w:val="nil"/>
              <w:left w:val="nil"/>
              <w:bottom w:val="single" w:sz="4" w:space="0" w:color="auto"/>
              <w:right w:val="single" w:sz="4" w:space="0" w:color="auto"/>
            </w:tcBorders>
            <w:shd w:val="clear" w:color="auto" w:fill="auto"/>
            <w:vAlign w:val="center"/>
            <w:hideMark/>
          </w:tcPr>
          <w:p w14:paraId="2EF4DC37"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96,5</w:t>
            </w:r>
          </w:p>
        </w:tc>
      </w:tr>
      <w:tr w:rsidR="00A155A2" w:rsidRPr="0087421A" w14:paraId="5EA593E6"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C429D14"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Davki na premičnine</w:t>
            </w:r>
          </w:p>
        </w:tc>
        <w:tc>
          <w:tcPr>
            <w:tcW w:w="1126" w:type="dxa"/>
            <w:tcBorders>
              <w:top w:val="nil"/>
              <w:left w:val="nil"/>
              <w:bottom w:val="single" w:sz="4" w:space="0" w:color="auto"/>
              <w:right w:val="single" w:sz="4" w:space="0" w:color="auto"/>
            </w:tcBorders>
            <w:shd w:val="clear" w:color="auto" w:fill="auto"/>
            <w:vAlign w:val="center"/>
            <w:hideMark/>
          </w:tcPr>
          <w:p w14:paraId="0290FF7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42.492</w:t>
            </w:r>
          </w:p>
        </w:tc>
        <w:tc>
          <w:tcPr>
            <w:tcW w:w="1194" w:type="dxa"/>
            <w:tcBorders>
              <w:top w:val="nil"/>
              <w:left w:val="nil"/>
              <w:bottom w:val="single" w:sz="4" w:space="0" w:color="auto"/>
              <w:right w:val="nil"/>
            </w:tcBorders>
            <w:shd w:val="clear" w:color="auto" w:fill="auto"/>
            <w:vAlign w:val="center"/>
            <w:hideMark/>
          </w:tcPr>
          <w:p w14:paraId="0FA5DBC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36.079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8EDA083"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34.800</w:t>
            </w:r>
          </w:p>
        </w:tc>
        <w:tc>
          <w:tcPr>
            <w:tcW w:w="1097" w:type="dxa"/>
            <w:tcBorders>
              <w:top w:val="nil"/>
              <w:left w:val="nil"/>
              <w:bottom w:val="single" w:sz="4" w:space="0" w:color="auto"/>
              <w:right w:val="single" w:sz="4" w:space="0" w:color="auto"/>
            </w:tcBorders>
            <w:shd w:val="clear" w:color="auto" w:fill="auto"/>
            <w:vAlign w:val="center"/>
            <w:hideMark/>
          </w:tcPr>
          <w:p w14:paraId="7F33A10C"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84,9</w:t>
            </w:r>
          </w:p>
        </w:tc>
        <w:tc>
          <w:tcPr>
            <w:tcW w:w="1097" w:type="dxa"/>
            <w:tcBorders>
              <w:top w:val="nil"/>
              <w:left w:val="nil"/>
              <w:bottom w:val="single" w:sz="4" w:space="0" w:color="auto"/>
              <w:right w:val="single" w:sz="4" w:space="0" w:color="auto"/>
            </w:tcBorders>
            <w:shd w:val="clear" w:color="auto" w:fill="auto"/>
            <w:vAlign w:val="center"/>
            <w:hideMark/>
          </w:tcPr>
          <w:p w14:paraId="7AB632EE"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81,9</w:t>
            </w:r>
          </w:p>
        </w:tc>
        <w:tc>
          <w:tcPr>
            <w:tcW w:w="1097" w:type="dxa"/>
            <w:tcBorders>
              <w:top w:val="nil"/>
              <w:left w:val="nil"/>
              <w:bottom w:val="single" w:sz="4" w:space="0" w:color="auto"/>
              <w:right w:val="single" w:sz="4" w:space="0" w:color="auto"/>
            </w:tcBorders>
            <w:shd w:val="clear" w:color="auto" w:fill="auto"/>
            <w:vAlign w:val="center"/>
            <w:hideMark/>
          </w:tcPr>
          <w:p w14:paraId="3ACCD21E"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96,5</w:t>
            </w:r>
          </w:p>
        </w:tc>
      </w:tr>
      <w:tr w:rsidR="00A155A2" w:rsidRPr="0087421A" w14:paraId="5460D977"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127D7F1"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Davki na dediščine in darila</w:t>
            </w:r>
          </w:p>
        </w:tc>
        <w:tc>
          <w:tcPr>
            <w:tcW w:w="1126" w:type="dxa"/>
            <w:tcBorders>
              <w:top w:val="nil"/>
              <w:left w:val="nil"/>
              <w:bottom w:val="single" w:sz="4" w:space="0" w:color="auto"/>
              <w:right w:val="single" w:sz="4" w:space="0" w:color="auto"/>
            </w:tcBorders>
            <w:shd w:val="clear" w:color="auto" w:fill="auto"/>
            <w:vAlign w:val="center"/>
            <w:hideMark/>
          </w:tcPr>
          <w:p w14:paraId="4093F5E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2.041.549</w:t>
            </w:r>
          </w:p>
        </w:tc>
        <w:tc>
          <w:tcPr>
            <w:tcW w:w="1194" w:type="dxa"/>
            <w:tcBorders>
              <w:top w:val="nil"/>
              <w:left w:val="nil"/>
              <w:bottom w:val="single" w:sz="4" w:space="0" w:color="auto"/>
              <w:right w:val="nil"/>
            </w:tcBorders>
            <w:shd w:val="clear" w:color="auto" w:fill="auto"/>
            <w:vAlign w:val="center"/>
            <w:hideMark/>
          </w:tcPr>
          <w:p w14:paraId="074E092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2.074.302</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57C1A2F0"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2.120.016</w:t>
            </w:r>
          </w:p>
        </w:tc>
        <w:tc>
          <w:tcPr>
            <w:tcW w:w="1097" w:type="dxa"/>
            <w:tcBorders>
              <w:top w:val="nil"/>
              <w:left w:val="nil"/>
              <w:bottom w:val="single" w:sz="4" w:space="0" w:color="auto"/>
              <w:right w:val="single" w:sz="4" w:space="0" w:color="auto"/>
            </w:tcBorders>
            <w:shd w:val="clear" w:color="auto" w:fill="auto"/>
            <w:vAlign w:val="center"/>
            <w:hideMark/>
          </w:tcPr>
          <w:p w14:paraId="3A94AA81"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101,6</w:t>
            </w:r>
          </w:p>
        </w:tc>
        <w:tc>
          <w:tcPr>
            <w:tcW w:w="1097" w:type="dxa"/>
            <w:tcBorders>
              <w:top w:val="nil"/>
              <w:left w:val="nil"/>
              <w:bottom w:val="single" w:sz="4" w:space="0" w:color="auto"/>
              <w:right w:val="single" w:sz="4" w:space="0" w:color="auto"/>
            </w:tcBorders>
            <w:shd w:val="clear" w:color="auto" w:fill="auto"/>
            <w:vAlign w:val="center"/>
            <w:hideMark/>
          </w:tcPr>
          <w:p w14:paraId="745DDE1E"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103,8</w:t>
            </w:r>
          </w:p>
        </w:tc>
        <w:tc>
          <w:tcPr>
            <w:tcW w:w="1097" w:type="dxa"/>
            <w:tcBorders>
              <w:top w:val="nil"/>
              <w:left w:val="nil"/>
              <w:bottom w:val="single" w:sz="4" w:space="0" w:color="auto"/>
              <w:right w:val="single" w:sz="4" w:space="0" w:color="auto"/>
            </w:tcBorders>
            <w:shd w:val="clear" w:color="auto" w:fill="auto"/>
            <w:vAlign w:val="center"/>
            <w:hideMark/>
          </w:tcPr>
          <w:p w14:paraId="501F1B22"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102,2</w:t>
            </w:r>
          </w:p>
        </w:tc>
      </w:tr>
      <w:tr w:rsidR="00A155A2" w:rsidRPr="0087421A" w14:paraId="108172BE"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2839C93"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Davek na promet nepremičnin</w:t>
            </w:r>
          </w:p>
        </w:tc>
        <w:tc>
          <w:tcPr>
            <w:tcW w:w="1126" w:type="dxa"/>
            <w:tcBorders>
              <w:top w:val="nil"/>
              <w:left w:val="nil"/>
              <w:bottom w:val="single" w:sz="4" w:space="0" w:color="auto"/>
              <w:right w:val="single" w:sz="4" w:space="0" w:color="auto"/>
            </w:tcBorders>
            <w:shd w:val="clear" w:color="auto" w:fill="auto"/>
            <w:vAlign w:val="center"/>
            <w:hideMark/>
          </w:tcPr>
          <w:p w14:paraId="2E1A6DE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370.303</w:t>
            </w:r>
          </w:p>
        </w:tc>
        <w:tc>
          <w:tcPr>
            <w:tcW w:w="1194" w:type="dxa"/>
            <w:tcBorders>
              <w:top w:val="nil"/>
              <w:left w:val="nil"/>
              <w:bottom w:val="single" w:sz="4" w:space="0" w:color="auto"/>
              <w:right w:val="nil"/>
            </w:tcBorders>
            <w:shd w:val="clear" w:color="auto" w:fill="auto"/>
            <w:vAlign w:val="center"/>
            <w:hideMark/>
          </w:tcPr>
          <w:p w14:paraId="46F7CB4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378.332</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2B3D5242"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489.734</w:t>
            </w:r>
          </w:p>
        </w:tc>
        <w:tc>
          <w:tcPr>
            <w:tcW w:w="1097" w:type="dxa"/>
            <w:tcBorders>
              <w:top w:val="nil"/>
              <w:left w:val="nil"/>
              <w:bottom w:val="single" w:sz="4" w:space="0" w:color="auto"/>
              <w:right w:val="single" w:sz="4" w:space="0" w:color="auto"/>
            </w:tcBorders>
            <w:shd w:val="clear" w:color="auto" w:fill="auto"/>
            <w:vAlign w:val="center"/>
            <w:hideMark/>
          </w:tcPr>
          <w:p w14:paraId="6A89790D"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0,0</w:t>
            </w:r>
          </w:p>
        </w:tc>
        <w:tc>
          <w:tcPr>
            <w:tcW w:w="1097" w:type="dxa"/>
            <w:tcBorders>
              <w:top w:val="nil"/>
              <w:left w:val="nil"/>
              <w:bottom w:val="single" w:sz="4" w:space="0" w:color="auto"/>
              <w:right w:val="single" w:sz="4" w:space="0" w:color="auto"/>
            </w:tcBorders>
            <w:shd w:val="clear" w:color="auto" w:fill="auto"/>
            <w:vAlign w:val="center"/>
            <w:hideMark/>
          </w:tcPr>
          <w:p w14:paraId="36F5E813"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0,0</w:t>
            </w:r>
          </w:p>
        </w:tc>
        <w:tc>
          <w:tcPr>
            <w:tcW w:w="1097" w:type="dxa"/>
            <w:tcBorders>
              <w:top w:val="nil"/>
              <w:left w:val="nil"/>
              <w:bottom w:val="single" w:sz="4" w:space="0" w:color="auto"/>
              <w:right w:val="single" w:sz="4" w:space="0" w:color="auto"/>
            </w:tcBorders>
            <w:shd w:val="clear" w:color="auto" w:fill="auto"/>
            <w:vAlign w:val="center"/>
            <w:hideMark/>
          </w:tcPr>
          <w:p w14:paraId="12D50084" w14:textId="77777777" w:rsidR="00A155A2" w:rsidRPr="0087421A" w:rsidRDefault="00A155A2" w:rsidP="001C77D2">
            <w:pPr>
              <w:spacing w:after="0" w:line="240" w:lineRule="auto"/>
              <w:jc w:val="center"/>
              <w:rPr>
                <w:rFonts w:ascii="Arial" w:eastAsia="Times New Roman" w:hAnsi="Arial" w:cs="Arial"/>
                <w:sz w:val="16"/>
                <w:szCs w:val="16"/>
                <w:lang w:eastAsia="sl-SI"/>
              </w:rPr>
            </w:pPr>
            <w:r w:rsidRPr="0087421A">
              <w:rPr>
                <w:rFonts w:ascii="Arial" w:eastAsia="Times New Roman" w:hAnsi="Arial" w:cs="Arial"/>
                <w:sz w:val="16"/>
                <w:szCs w:val="16"/>
                <w:lang w:eastAsia="sl-SI"/>
              </w:rPr>
              <w:t>0,0</w:t>
            </w:r>
          </w:p>
        </w:tc>
      </w:tr>
      <w:tr w:rsidR="00A155A2" w:rsidRPr="0087421A" w14:paraId="40C4140E" w14:textId="77777777" w:rsidTr="001C77D2">
        <w:trPr>
          <w:trHeight w:val="416"/>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11B8BA2"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lastRenderedPageBreak/>
              <w:t>DOMAČI DAVKI NA BLAGO IN STORITVE</w:t>
            </w:r>
          </w:p>
        </w:tc>
        <w:tc>
          <w:tcPr>
            <w:tcW w:w="1126" w:type="dxa"/>
            <w:tcBorders>
              <w:top w:val="nil"/>
              <w:left w:val="nil"/>
              <w:bottom w:val="single" w:sz="4" w:space="0" w:color="auto"/>
              <w:right w:val="single" w:sz="4" w:space="0" w:color="auto"/>
            </w:tcBorders>
            <w:shd w:val="clear" w:color="auto" w:fill="auto"/>
            <w:vAlign w:val="center"/>
            <w:hideMark/>
          </w:tcPr>
          <w:p w14:paraId="28C8B0E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301.464.304</w:t>
            </w:r>
          </w:p>
        </w:tc>
        <w:tc>
          <w:tcPr>
            <w:tcW w:w="1194" w:type="dxa"/>
            <w:tcBorders>
              <w:top w:val="nil"/>
              <w:left w:val="nil"/>
              <w:bottom w:val="single" w:sz="4" w:space="0" w:color="auto"/>
              <w:right w:val="nil"/>
            </w:tcBorders>
            <w:shd w:val="clear" w:color="auto" w:fill="auto"/>
            <w:vAlign w:val="center"/>
            <w:hideMark/>
          </w:tcPr>
          <w:p w14:paraId="36383D3B"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270.638.708</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2691BEB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311.198.258</w:t>
            </w:r>
          </w:p>
        </w:tc>
        <w:tc>
          <w:tcPr>
            <w:tcW w:w="1097" w:type="dxa"/>
            <w:tcBorders>
              <w:top w:val="nil"/>
              <w:left w:val="nil"/>
              <w:bottom w:val="single" w:sz="4" w:space="0" w:color="auto"/>
              <w:right w:val="single" w:sz="4" w:space="0" w:color="auto"/>
            </w:tcBorders>
            <w:shd w:val="clear" w:color="auto" w:fill="auto"/>
            <w:vAlign w:val="center"/>
            <w:hideMark/>
          </w:tcPr>
          <w:p w14:paraId="404DB0B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89,8</w:t>
            </w:r>
          </w:p>
        </w:tc>
        <w:tc>
          <w:tcPr>
            <w:tcW w:w="1097" w:type="dxa"/>
            <w:tcBorders>
              <w:top w:val="nil"/>
              <w:left w:val="nil"/>
              <w:bottom w:val="single" w:sz="4" w:space="0" w:color="auto"/>
              <w:right w:val="single" w:sz="4" w:space="0" w:color="auto"/>
            </w:tcBorders>
            <w:shd w:val="clear" w:color="auto" w:fill="auto"/>
            <w:vAlign w:val="center"/>
            <w:hideMark/>
          </w:tcPr>
          <w:p w14:paraId="7F80641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103,2</w:t>
            </w:r>
          </w:p>
        </w:tc>
        <w:tc>
          <w:tcPr>
            <w:tcW w:w="1097" w:type="dxa"/>
            <w:tcBorders>
              <w:top w:val="nil"/>
              <w:left w:val="nil"/>
              <w:bottom w:val="single" w:sz="4" w:space="0" w:color="auto"/>
              <w:right w:val="single" w:sz="4" w:space="0" w:color="auto"/>
            </w:tcBorders>
            <w:shd w:val="clear" w:color="auto" w:fill="auto"/>
            <w:vAlign w:val="center"/>
            <w:hideMark/>
          </w:tcPr>
          <w:p w14:paraId="7B8BE459"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115,0</w:t>
            </w:r>
          </w:p>
        </w:tc>
      </w:tr>
      <w:tr w:rsidR="00A155A2" w:rsidRPr="0087421A" w14:paraId="4C207E29"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D424251"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Davek na dodano vrednost</w:t>
            </w:r>
          </w:p>
        </w:tc>
        <w:tc>
          <w:tcPr>
            <w:tcW w:w="1126" w:type="dxa"/>
            <w:tcBorders>
              <w:top w:val="nil"/>
              <w:left w:val="nil"/>
              <w:bottom w:val="single" w:sz="4" w:space="0" w:color="auto"/>
              <w:right w:val="single" w:sz="4" w:space="0" w:color="auto"/>
            </w:tcBorders>
            <w:shd w:val="clear" w:color="auto" w:fill="auto"/>
            <w:vAlign w:val="center"/>
            <w:hideMark/>
          </w:tcPr>
          <w:p w14:paraId="31F6E01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298.539.342</w:t>
            </w:r>
          </w:p>
        </w:tc>
        <w:tc>
          <w:tcPr>
            <w:tcW w:w="1194" w:type="dxa"/>
            <w:tcBorders>
              <w:top w:val="nil"/>
              <w:left w:val="nil"/>
              <w:bottom w:val="single" w:sz="4" w:space="0" w:color="auto"/>
              <w:right w:val="nil"/>
            </w:tcBorders>
            <w:shd w:val="clear" w:color="auto" w:fill="auto"/>
            <w:vAlign w:val="center"/>
            <w:hideMark/>
          </w:tcPr>
          <w:p w14:paraId="6700855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269.149.128</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1A08150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285.680.620</w:t>
            </w:r>
          </w:p>
        </w:tc>
        <w:tc>
          <w:tcPr>
            <w:tcW w:w="1097" w:type="dxa"/>
            <w:tcBorders>
              <w:top w:val="nil"/>
              <w:left w:val="nil"/>
              <w:bottom w:val="single" w:sz="4" w:space="0" w:color="auto"/>
              <w:right w:val="single" w:sz="4" w:space="0" w:color="auto"/>
            </w:tcBorders>
            <w:shd w:val="clear" w:color="auto" w:fill="auto"/>
            <w:vAlign w:val="center"/>
            <w:hideMark/>
          </w:tcPr>
          <w:p w14:paraId="431C614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90,2</w:t>
            </w:r>
          </w:p>
        </w:tc>
        <w:tc>
          <w:tcPr>
            <w:tcW w:w="1097" w:type="dxa"/>
            <w:tcBorders>
              <w:top w:val="nil"/>
              <w:left w:val="nil"/>
              <w:bottom w:val="single" w:sz="4" w:space="0" w:color="auto"/>
              <w:right w:val="single" w:sz="4" w:space="0" w:color="auto"/>
            </w:tcBorders>
            <w:shd w:val="clear" w:color="auto" w:fill="auto"/>
            <w:vAlign w:val="center"/>
            <w:hideMark/>
          </w:tcPr>
          <w:p w14:paraId="32CC9432"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95,7</w:t>
            </w:r>
          </w:p>
        </w:tc>
        <w:tc>
          <w:tcPr>
            <w:tcW w:w="1097" w:type="dxa"/>
            <w:tcBorders>
              <w:top w:val="nil"/>
              <w:left w:val="nil"/>
              <w:bottom w:val="single" w:sz="4" w:space="0" w:color="auto"/>
              <w:right w:val="single" w:sz="4" w:space="0" w:color="auto"/>
            </w:tcBorders>
            <w:shd w:val="clear" w:color="auto" w:fill="auto"/>
            <w:vAlign w:val="center"/>
            <w:hideMark/>
          </w:tcPr>
          <w:p w14:paraId="6D5E0CD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106,1</w:t>
            </w:r>
          </w:p>
        </w:tc>
      </w:tr>
      <w:tr w:rsidR="00A155A2" w:rsidRPr="0087421A" w14:paraId="180E4122"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594B8BF"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Drugi davki na blago in storitve (CO</w:t>
            </w:r>
            <w:r w:rsidRPr="005B3988">
              <w:rPr>
                <w:rFonts w:ascii="Arial" w:eastAsia="Times New Roman" w:hAnsi="Arial" w:cs="Arial"/>
                <w:sz w:val="16"/>
                <w:szCs w:val="16"/>
                <w:vertAlign w:val="subscript"/>
                <w:lang w:eastAsia="sl-SI"/>
              </w:rPr>
              <w:t>2</w:t>
            </w:r>
            <w:r w:rsidRPr="0087421A">
              <w:rPr>
                <w:rFonts w:ascii="Arial" w:eastAsia="Times New Roman" w:hAnsi="Arial" w:cs="Arial"/>
                <w:sz w:val="16"/>
                <w:szCs w:val="16"/>
                <w:lang w:eastAsia="sl-SI"/>
              </w:rPr>
              <w:t>)</w:t>
            </w:r>
          </w:p>
        </w:tc>
        <w:tc>
          <w:tcPr>
            <w:tcW w:w="1126" w:type="dxa"/>
            <w:tcBorders>
              <w:top w:val="nil"/>
              <w:left w:val="nil"/>
              <w:bottom w:val="single" w:sz="4" w:space="0" w:color="auto"/>
              <w:right w:val="single" w:sz="4" w:space="0" w:color="auto"/>
            </w:tcBorders>
            <w:shd w:val="clear" w:color="auto" w:fill="auto"/>
            <w:vAlign w:val="center"/>
            <w:hideMark/>
          </w:tcPr>
          <w:p w14:paraId="058046A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13.648</w:t>
            </w:r>
          </w:p>
        </w:tc>
        <w:tc>
          <w:tcPr>
            <w:tcW w:w="1194" w:type="dxa"/>
            <w:tcBorders>
              <w:top w:val="nil"/>
              <w:left w:val="nil"/>
              <w:bottom w:val="single" w:sz="4" w:space="0" w:color="auto"/>
              <w:right w:val="nil"/>
            </w:tcBorders>
            <w:shd w:val="clear" w:color="auto" w:fill="auto"/>
            <w:vAlign w:val="center"/>
            <w:hideMark/>
          </w:tcPr>
          <w:p w14:paraId="2523A1F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68.859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6309D2D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71.377</w:t>
            </w:r>
          </w:p>
        </w:tc>
        <w:tc>
          <w:tcPr>
            <w:tcW w:w="1097" w:type="dxa"/>
            <w:tcBorders>
              <w:top w:val="nil"/>
              <w:left w:val="nil"/>
              <w:bottom w:val="single" w:sz="4" w:space="0" w:color="auto"/>
              <w:right w:val="single" w:sz="4" w:space="0" w:color="auto"/>
            </w:tcBorders>
            <w:shd w:val="clear" w:color="auto" w:fill="auto"/>
            <w:vAlign w:val="center"/>
            <w:hideMark/>
          </w:tcPr>
          <w:p w14:paraId="0AE9F52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504,5</w:t>
            </w:r>
          </w:p>
        </w:tc>
        <w:tc>
          <w:tcPr>
            <w:tcW w:w="1097" w:type="dxa"/>
            <w:tcBorders>
              <w:top w:val="nil"/>
              <w:left w:val="nil"/>
              <w:bottom w:val="single" w:sz="4" w:space="0" w:color="auto"/>
              <w:right w:val="single" w:sz="4" w:space="0" w:color="auto"/>
            </w:tcBorders>
            <w:shd w:val="clear" w:color="auto" w:fill="auto"/>
            <w:vAlign w:val="center"/>
            <w:hideMark/>
          </w:tcPr>
          <w:p w14:paraId="4C6E560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523,0</w:t>
            </w:r>
          </w:p>
        </w:tc>
        <w:tc>
          <w:tcPr>
            <w:tcW w:w="1097" w:type="dxa"/>
            <w:tcBorders>
              <w:top w:val="nil"/>
              <w:left w:val="nil"/>
              <w:bottom w:val="single" w:sz="4" w:space="0" w:color="auto"/>
              <w:right w:val="single" w:sz="4" w:space="0" w:color="auto"/>
            </w:tcBorders>
            <w:shd w:val="clear" w:color="auto" w:fill="auto"/>
            <w:vAlign w:val="center"/>
            <w:hideMark/>
          </w:tcPr>
          <w:p w14:paraId="3FE6E5E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103,7</w:t>
            </w:r>
          </w:p>
        </w:tc>
      </w:tr>
      <w:tr w:rsidR="00A155A2" w:rsidRPr="0087421A" w14:paraId="0343D0C8"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5E57F01"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 xml:space="preserve">Trošarine </w:t>
            </w:r>
          </w:p>
        </w:tc>
        <w:tc>
          <w:tcPr>
            <w:tcW w:w="1126" w:type="dxa"/>
            <w:tcBorders>
              <w:top w:val="nil"/>
              <w:left w:val="nil"/>
              <w:bottom w:val="single" w:sz="4" w:space="0" w:color="auto"/>
              <w:right w:val="single" w:sz="4" w:space="0" w:color="auto"/>
            </w:tcBorders>
            <w:shd w:val="clear" w:color="auto" w:fill="auto"/>
            <w:vAlign w:val="center"/>
            <w:hideMark/>
          </w:tcPr>
          <w:p w14:paraId="00463869"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1.874.208</w:t>
            </w:r>
          </w:p>
        </w:tc>
        <w:tc>
          <w:tcPr>
            <w:tcW w:w="1194" w:type="dxa"/>
            <w:tcBorders>
              <w:top w:val="nil"/>
              <w:left w:val="nil"/>
              <w:bottom w:val="single" w:sz="4" w:space="0" w:color="auto"/>
              <w:right w:val="nil"/>
            </w:tcBorders>
            <w:shd w:val="clear" w:color="auto" w:fill="auto"/>
            <w:vAlign w:val="center"/>
            <w:hideMark/>
          </w:tcPr>
          <w:p w14:paraId="20EECF1E"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639.789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048C6382"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24.378.067</w:t>
            </w:r>
          </w:p>
        </w:tc>
        <w:tc>
          <w:tcPr>
            <w:tcW w:w="1097" w:type="dxa"/>
            <w:tcBorders>
              <w:top w:val="nil"/>
              <w:left w:val="nil"/>
              <w:bottom w:val="single" w:sz="4" w:space="0" w:color="auto"/>
              <w:right w:val="single" w:sz="4" w:space="0" w:color="auto"/>
            </w:tcBorders>
            <w:shd w:val="clear" w:color="auto" w:fill="auto"/>
            <w:vAlign w:val="center"/>
            <w:hideMark/>
          </w:tcPr>
          <w:p w14:paraId="18D2172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34,1</w:t>
            </w:r>
          </w:p>
        </w:tc>
        <w:tc>
          <w:tcPr>
            <w:tcW w:w="1097" w:type="dxa"/>
            <w:tcBorders>
              <w:top w:val="nil"/>
              <w:left w:val="nil"/>
              <w:bottom w:val="single" w:sz="4" w:space="0" w:color="auto"/>
              <w:right w:val="single" w:sz="4" w:space="0" w:color="auto"/>
            </w:tcBorders>
            <w:shd w:val="clear" w:color="auto" w:fill="auto"/>
            <w:vAlign w:val="center"/>
            <w:hideMark/>
          </w:tcPr>
          <w:p w14:paraId="4ECF952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1.300,7</w:t>
            </w:r>
          </w:p>
        </w:tc>
        <w:tc>
          <w:tcPr>
            <w:tcW w:w="1097" w:type="dxa"/>
            <w:tcBorders>
              <w:top w:val="nil"/>
              <w:left w:val="nil"/>
              <w:bottom w:val="single" w:sz="4" w:space="0" w:color="auto"/>
              <w:right w:val="single" w:sz="4" w:space="0" w:color="auto"/>
            </w:tcBorders>
            <w:shd w:val="clear" w:color="auto" w:fill="auto"/>
            <w:vAlign w:val="center"/>
            <w:hideMark/>
          </w:tcPr>
          <w:p w14:paraId="0C99CC6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3.810,3</w:t>
            </w:r>
          </w:p>
        </w:tc>
      </w:tr>
      <w:tr w:rsidR="00A155A2" w:rsidRPr="0087421A" w14:paraId="6E2D7F17"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BAD4D10"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Davki na posebne storitve</w:t>
            </w:r>
          </w:p>
        </w:tc>
        <w:tc>
          <w:tcPr>
            <w:tcW w:w="1126" w:type="dxa"/>
            <w:tcBorders>
              <w:top w:val="nil"/>
              <w:left w:val="nil"/>
              <w:bottom w:val="single" w:sz="4" w:space="0" w:color="auto"/>
              <w:right w:val="single" w:sz="4" w:space="0" w:color="auto"/>
            </w:tcBorders>
            <w:shd w:val="clear" w:color="auto" w:fill="auto"/>
            <w:vAlign w:val="center"/>
            <w:hideMark/>
          </w:tcPr>
          <w:p w14:paraId="227258C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396.665</w:t>
            </w:r>
          </w:p>
        </w:tc>
        <w:tc>
          <w:tcPr>
            <w:tcW w:w="1194" w:type="dxa"/>
            <w:tcBorders>
              <w:top w:val="nil"/>
              <w:left w:val="nil"/>
              <w:bottom w:val="single" w:sz="4" w:space="0" w:color="auto"/>
              <w:right w:val="nil"/>
            </w:tcBorders>
            <w:shd w:val="clear" w:color="auto" w:fill="auto"/>
            <w:vAlign w:val="center"/>
            <w:hideMark/>
          </w:tcPr>
          <w:p w14:paraId="17C56FD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360.651</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0C613E6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376.623</w:t>
            </w:r>
          </w:p>
        </w:tc>
        <w:tc>
          <w:tcPr>
            <w:tcW w:w="1097" w:type="dxa"/>
            <w:tcBorders>
              <w:top w:val="nil"/>
              <w:left w:val="nil"/>
              <w:bottom w:val="single" w:sz="4" w:space="0" w:color="auto"/>
              <w:right w:val="single" w:sz="4" w:space="0" w:color="auto"/>
            </w:tcBorders>
            <w:shd w:val="clear" w:color="auto" w:fill="auto"/>
            <w:vAlign w:val="center"/>
            <w:hideMark/>
          </w:tcPr>
          <w:p w14:paraId="09A33249"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90,9</w:t>
            </w:r>
          </w:p>
        </w:tc>
        <w:tc>
          <w:tcPr>
            <w:tcW w:w="1097" w:type="dxa"/>
            <w:tcBorders>
              <w:top w:val="nil"/>
              <w:left w:val="nil"/>
              <w:bottom w:val="single" w:sz="4" w:space="0" w:color="auto"/>
              <w:right w:val="single" w:sz="4" w:space="0" w:color="auto"/>
            </w:tcBorders>
            <w:shd w:val="clear" w:color="auto" w:fill="auto"/>
            <w:vAlign w:val="center"/>
            <w:hideMark/>
          </w:tcPr>
          <w:p w14:paraId="54CCD796"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94,9</w:t>
            </w:r>
          </w:p>
        </w:tc>
        <w:tc>
          <w:tcPr>
            <w:tcW w:w="1097" w:type="dxa"/>
            <w:tcBorders>
              <w:top w:val="nil"/>
              <w:left w:val="nil"/>
              <w:bottom w:val="single" w:sz="4" w:space="0" w:color="auto"/>
              <w:right w:val="single" w:sz="4" w:space="0" w:color="auto"/>
            </w:tcBorders>
            <w:shd w:val="clear" w:color="auto" w:fill="auto"/>
            <w:vAlign w:val="center"/>
            <w:hideMark/>
          </w:tcPr>
          <w:p w14:paraId="517770C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104,4</w:t>
            </w:r>
          </w:p>
        </w:tc>
      </w:tr>
      <w:tr w:rsidR="00A155A2" w:rsidRPr="0087421A" w14:paraId="3E415637"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2719388"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Drugi davki na uporabo blaga in storitev</w:t>
            </w:r>
          </w:p>
        </w:tc>
        <w:tc>
          <w:tcPr>
            <w:tcW w:w="1126" w:type="dxa"/>
            <w:tcBorders>
              <w:top w:val="nil"/>
              <w:left w:val="nil"/>
              <w:bottom w:val="single" w:sz="4" w:space="0" w:color="auto"/>
              <w:right w:val="single" w:sz="4" w:space="0" w:color="auto"/>
            </w:tcBorders>
            <w:shd w:val="clear" w:color="auto" w:fill="auto"/>
            <w:vAlign w:val="center"/>
            <w:hideMark/>
          </w:tcPr>
          <w:p w14:paraId="3A35C41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452.421</w:t>
            </w:r>
          </w:p>
        </w:tc>
        <w:tc>
          <w:tcPr>
            <w:tcW w:w="1194" w:type="dxa"/>
            <w:tcBorders>
              <w:top w:val="nil"/>
              <w:left w:val="nil"/>
              <w:bottom w:val="single" w:sz="4" w:space="0" w:color="auto"/>
              <w:right w:val="nil"/>
            </w:tcBorders>
            <w:shd w:val="clear" w:color="auto" w:fill="auto"/>
            <w:vAlign w:val="center"/>
            <w:hideMark/>
          </w:tcPr>
          <w:p w14:paraId="3BB1621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326.479</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1F0D69E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377.063</w:t>
            </w:r>
          </w:p>
        </w:tc>
        <w:tc>
          <w:tcPr>
            <w:tcW w:w="1097" w:type="dxa"/>
            <w:tcBorders>
              <w:top w:val="nil"/>
              <w:left w:val="nil"/>
              <w:bottom w:val="single" w:sz="4" w:space="0" w:color="auto"/>
              <w:right w:val="single" w:sz="4" w:space="0" w:color="auto"/>
            </w:tcBorders>
            <w:shd w:val="clear" w:color="auto" w:fill="auto"/>
            <w:vAlign w:val="center"/>
            <w:hideMark/>
          </w:tcPr>
          <w:p w14:paraId="60A53A7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72,2</w:t>
            </w:r>
          </w:p>
        </w:tc>
        <w:tc>
          <w:tcPr>
            <w:tcW w:w="1097" w:type="dxa"/>
            <w:tcBorders>
              <w:top w:val="nil"/>
              <w:left w:val="nil"/>
              <w:bottom w:val="single" w:sz="4" w:space="0" w:color="auto"/>
              <w:right w:val="single" w:sz="4" w:space="0" w:color="auto"/>
            </w:tcBorders>
            <w:shd w:val="clear" w:color="auto" w:fill="auto"/>
            <w:vAlign w:val="center"/>
            <w:hideMark/>
          </w:tcPr>
          <w:p w14:paraId="3DC15FE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83,3</w:t>
            </w:r>
          </w:p>
        </w:tc>
        <w:tc>
          <w:tcPr>
            <w:tcW w:w="1097" w:type="dxa"/>
            <w:tcBorders>
              <w:top w:val="nil"/>
              <w:left w:val="nil"/>
              <w:bottom w:val="single" w:sz="4" w:space="0" w:color="auto"/>
              <w:right w:val="single" w:sz="4" w:space="0" w:color="auto"/>
            </w:tcBorders>
            <w:shd w:val="clear" w:color="auto" w:fill="auto"/>
            <w:vAlign w:val="center"/>
            <w:hideMark/>
          </w:tcPr>
          <w:p w14:paraId="3E898F0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115,5</w:t>
            </w:r>
          </w:p>
        </w:tc>
      </w:tr>
      <w:tr w:rsidR="00A155A2" w:rsidRPr="0087421A" w14:paraId="18DE89A1"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B953ED0"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Davki na motorna vozila</w:t>
            </w:r>
          </w:p>
        </w:tc>
        <w:tc>
          <w:tcPr>
            <w:tcW w:w="1126" w:type="dxa"/>
            <w:tcBorders>
              <w:top w:val="nil"/>
              <w:left w:val="nil"/>
              <w:bottom w:val="single" w:sz="4" w:space="0" w:color="auto"/>
              <w:right w:val="single" w:sz="4" w:space="0" w:color="auto"/>
            </w:tcBorders>
            <w:shd w:val="clear" w:color="auto" w:fill="auto"/>
            <w:vAlign w:val="center"/>
            <w:hideMark/>
          </w:tcPr>
          <w:p w14:paraId="5797B2AA"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188.020</w:t>
            </w:r>
          </w:p>
        </w:tc>
        <w:tc>
          <w:tcPr>
            <w:tcW w:w="1194" w:type="dxa"/>
            <w:tcBorders>
              <w:top w:val="nil"/>
              <w:left w:val="nil"/>
              <w:bottom w:val="single" w:sz="4" w:space="0" w:color="auto"/>
              <w:right w:val="nil"/>
            </w:tcBorders>
            <w:shd w:val="clear" w:color="auto" w:fill="auto"/>
            <w:vAlign w:val="center"/>
            <w:hideMark/>
          </w:tcPr>
          <w:p w14:paraId="71ADFC6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93.802</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3AB8AA53"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314.508</w:t>
            </w:r>
          </w:p>
        </w:tc>
        <w:tc>
          <w:tcPr>
            <w:tcW w:w="1097" w:type="dxa"/>
            <w:tcBorders>
              <w:top w:val="nil"/>
              <w:left w:val="nil"/>
              <w:bottom w:val="single" w:sz="4" w:space="0" w:color="auto"/>
              <w:right w:val="single" w:sz="4" w:space="0" w:color="auto"/>
            </w:tcBorders>
            <w:shd w:val="clear" w:color="auto" w:fill="auto"/>
            <w:vAlign w:val="center"/>
            <w:hideMark/>
          </w:tcPr>
          <w:p w14:paraId="596B00E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49,9</w:t>
            </w:r>
          </w:p>
        </w:tc>
        <w:tc>
          <w:tcPr>
            <w:tcW w:w="1097" w:type="dxa"/>
            <w:tcBorders>
              <w:top w:val="nil"/>
              <w:left w:val="nil"/>
              <w:bottom w:val="single" w:sz="4" w:space="0" w:color="auto"/>
              <w:right w:val="single" w:sz="4" w:space="0" w:color="auto"/>
            </w:tcBorders>
            <w:shd w:val="clear" w:color="auto" w:fill="auto"/>
            <w:vAlign w:val="center"/>
            <w:hideMark/>
          </w:tcPr>
          <w:p w14:paraId="790E7415"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167,3</w:t>
            </w:r>
          </w:p>
        </w:tc>
        <w:tc>
          <w:tcPr>
            <w:tcW w:w="1097" w:type="dxa"/>
            <w:tcBorders>
              <w:top w:val="nil"/>
              <w:left w:val="nil"/>
              <w:bottom w:val="single" w:sz="4" w:space="0" w:color="auto"/>
              <w:right w:val="single" w:sz="4" w:space="0" w:color="auto"/>
            </w:tcBorders>
            <w:shd w:val="clear" w:color="auto" w:fill="auto"/>
            <w:vAlign w:val="center"/>
            <w:hideMark/>
          </w:tcPr>
          <w:p w14:paraId="3A88457C"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335,3</w:t>
            </w:r>
          </w:p>
        </w:tc>
      </w:tr>
      <w:tr w:rsidR="00A155A2" w:rsidRPr="0087421A" w14:paraId="2D3A1AA5" w14:textId="77777777" w:rsidTr="001C77D2">
        <w:trPr>
          <w:trHeight w:val="444"/>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C52A853"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DAVKI NA MEDNARODNO TRGOVINO IN TRANSAKCIJE</w:t>
            </w:r>
          </w:p>
        </w:tc>
        <w:tc>
          <w:tcPr>
            <w:tcW w:w="1126" w:type="dxa"/>
            <w:tcBorders>
              <w:top w:val="nil"/>
              <w:left w:val="nil"/>
              <w:bottom w:val="single" w:sz="4" w:space="0" w:color="auto"/>
              <w:right w:val="single" w:sz="4" w:space="0" w:color="auto"/>
            </w:tcBorders>
            <w:shd w:val="clear" w:color="auto" w:fill="auto"/>
            <w:vAlign w:val="center"/>
            <w:hideMark/>
          </w:tcPr>
          <w:p w14:paraId="7A1052E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3.724.791</w:t>
            </w:r>
          </w:p>
        </w:tc>
        <w:tc>
          <w:tcPr>
            <w:tcW w:w="1194" w:type="dxa"/>
            <w:tcBorders>
              <w:top w:val="nil"/>
              <w:left w:val="nil"/>
              <w:bottom w:val="single" w:sz="4" w:space="0" w:color="auto"/>
              <w:right w:val="nil"/>
            </w:tcBorders>
            <w:shd w:val="clear" w:color="auto" w:fill="auto"/>
            <w:vAlign w:val="center"/>
            <w:hideMark/>
          </w:tcPr>
          <w:p w14:paraId="5F48CD64"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1.931.667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06FC6A25"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2.011.635</w:t>
            </w:r>
          </w:p>
        </w:tc>
        <w:tc>
          <w:tcPr>
            <w:tcW w:w="1097" w:type="dxa"/>
            <w:tcBorders>
              <w:top w:val="nil"/>
              <w:left w:val="nil"/>
              <w:bottom w:val="single" w:sz="4" w:space="0" w:color="auto"/>
              <w:right w:val="single" w:sz="4" w:space="0" w:color="auto"/>
            </w:tcBorders>
            <w:shd w:val="clear" w:color="auto" w:fill="auto"/>
            <w:vAlign w:val="center"/>
            <w:hideMark/>
          </w:tcPr>
          <w:p w14:paraId="1C80C7BD"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51,9</w:t>
            </w:r>
          </w:p>
        </w:tc>
        <w:tc>
          <w:tcPr>
            <w:tcW w:w="1097" w:type="dxa"/>
            <w:tcBorders>
              <w:top w:val="nil"/>
              <w:left w:val="nil"/>
              <w:bottom w:val="single" w:sz="4" w:space="0" w:color="auto"/>
              <w:right w:val="single" w:sz="4" w:space="0" w:color="auto"/>
            </w:tcBorders>
            <w:shd w:val="clear" w:color="auto" w:fill="auto"/>
            <w:vAlign w:val="center"/>
            <w:hideMark/>
          </w:tcPr>
          <w:p w14:paraId="137B5D4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54,0</w:t>
            </w:r>
          </w:p>
        </w:tc>
        <w:tc>
          <w:tcPr>
            <w:tcW w:w="1097" w:type="dxa"/>
            <w:tcBorders>
              <w:top w:val="nil"/>
              <w:left w:val="nil"/>
              <w:bottom w:val="single" w:sz="4" w:space="0" w:color="auto"/>
              <w:right w:val="single" w:sz="4" w:space="0" w:color="auto"/>
            </w:tcBorders>
            <w:shd w:val="clear" w:color="auto" w:fill="auto"/>
            <w:vAlign w:val="center"/>
            <w:hideMark/>
          </w:tcPr>
          <w:p w14:paraId="7EB6286F"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104,1</w:t>
            </w:r>
          </w:p>
        </w:tc>
      </w:tr>
      <w:tr w:rsidR="00A155A2" w:rsidRPr="0087421A" w14:paraId="3391CB1C"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91CEA35" w14:textId="77777777" w:rsidR="00A155A2" w:rsidRPr="0087421A" w:rsidRDefault="00A155A2" w:rsidP="001C77D2">
            <w:pPr>
              <w:spacing w:after="0" w:line="240" w:lineRule="auto"/>
              <w:rPr>
                <w:rFonts w:ascii="Arial" w:eastAsia="Times New Roman" w:hAnsi="Arial" w:cs="Arial"/>
                <w:sz w:val="16"/>
                <w:szCs w:val="16"/>
                <w:lang w:eastAsia="sl-SI"/>
              </w:rPr>
            </w:pPr>
            <w:r w:rsidRPr="0087421A">
              <w:rPr>
                <w:rFonts w:ascii="Arial" w:eastAsia="Times New Roman" w:hAnsi="Arial" w:cs="Arial"/>
                <w:sz w:val="16"/>
                <w:szCs w:val="16"/>
                <w:lang w:eastAsia="sl-SI"/>
              </w:rPr>
              <w:t>Carine</w:t>
            </w:r>
          </w:p>
        </w:tc>
        <w:tc>
          <w:tcPr>
            <w:tcW w:w="1126" w:type="dxa"/>
            <w:tcBorders>
              <w:top w:val="nil"/>
              <w:left w:val="nil"/>
              <w:bottom w:val="single" w:sz="4" w:space="0" w:color="auto"/>
              <w:right w:val="single" w:sz="4" w:space="0" w:color="auto"/>
            </w:tcBorders>
            <w:shd w:val="clear" w:color="auto" w:fill="auto"/>
            <w:vAlign w:val="center"/>
            <w:hideMark/>
          </w:tcPr>
          <w:p w14:paraId="5551CAEB"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3.724.791</w:t>
            </w:r>
          </w:p>
        </w:tc>
        <w:tc>
          <w:tcPr>
            <w:tcW w:w="1194" w:type="dxa"/>
            <w:tcBorders>
              <w:top w:val="nil"/>
              <w:left w:val="nil"/>
              <w:bottom w:val="single" w:sz="4" w:space="0" w:color="auto"/>
              <w:right w:val="nil"/>
            </w:tcBorders>
            <w:shd w:val="clear" w:color="auto" w:fill="auto"/>
            <w:vAlign w:val="center"/>
            <w:hideMark/>
          </w:tcPr>
          <w:p w14:paraId="3DE2872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1.931.667</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36674DE4"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2.011.635</w:t>
            </w:r>
          </w:p>
        </w:tc>
        <w:tc>
          <w:tcPr>
            <w:tcW w:w="1097" w:type="dxa"/>
            <w:tcBorders>
              <w:top w:val="nil"/>
              <w:left w:val="nil"/>
              <w:bottom w:val="single" w:sz="4" w:space="0" w:color="auto"/>
              <w:right w:val="single" w:sz="4" w:space="0" w:color="auto"/>
            </w:tcBorders>
            <w:shd w:val="clear" w:color="auto" w:fill="auto"/>
            <w:vAlign w:val="center"/>
            <w:hideMark/>
          </w:tcPr>
          <w:p w14:paraId="3423E731"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51,9</w:t>
            </w:r>
          </w:p>
        </w:tc>
        <w:tc>
          <w:tcPr>
            <w:tcW w:w="1097" w:type="dxa"/>
            <w:tcBorders>
              <w:top w:val="nil"/>
              <w:left w:val="nil"/>
              <w:bottom w:val="single" w:sz="4" w:space="0" w:color="auto"/>
              <w:right w:val="single" w:sz="4" w:space="0" w:color="auto"/>
            </w:tcBorders>
            <w:shd w:val="clear" w:color="auto" w:fill="auto"/>
            <w:vAlign w:val="center"/>
            <w:hideMark/>
          </w:tcPr>
          <w:p w14:paraId="60690197"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54,0</w:t>
            </w:r>
          </w:p>
        </w:tc>
        <w:tc>
          <w:tcPr>
            <w:tcW w:w="1097" w:type="dxa"/>
            <w:tcBorders>
              <w:top w:val="nil"/>
              <w:left w:val="nil"/>
              <w:bottom w:val="single" w:sz="4" w:space="0" w:color="auto"/>
              <w:right w:val="single" w:sz="4" w:space="0" w:color="auto"/>
            </w:tcBorders>
            <w:shd w:val="clear" w:color="auto" w:fill="auto"/>
            <w:vAlign w:val="center"/>
            <w:hideMark/>
          </w:tcPr>
          <w:p w14:paraId="376EDFF0" w14:textId="77777777" w:rsidR="00A155A2" w:rsidRPr="0087421A" w:rsidRDefault="00A155A2" w:rsidP="001C77D2">
            <w:pPr>
              <w:spacing w:after="0" w:line="240" w:lineRule="auto"/>
              <w:jc w:val="right"/>
              <w:rPr>
                <w:rFonts w:ascii="Arial" w:eastAsia="Times New Roman" w:hAnsi="Arial" w:cs="Arial"/>
                <w:sz w:val="16"/>
                <w:szCs w:val="16"/>
                <w:lang w:eastAsia="sl-SI"/>
              </w:rPr>
            </w:pPr>
            <w:r w:rsidRPr="0087421A">
              <w:rPr>
                <w:rFonts w:ascii="Arial" w:eastAsia="Times New Roman" w:hAnsi="Arial" w:cs="Arial"/>
                <w:sz w:val="16"/>
                <w:szCs w:val="16"/>
                <w:lang w:eastAsia="sl-SI"/>
              </w:rPr>
              <w:t>104,1</w:t>
            </w:r>
          </w:p>
        </w:tc>
      </w:tr>
      <w:tr w:rsidR="00A155A2" w:rsidRPr="0087421A" w14:paraId="22FA2297" w14:textId="77777777" w:rsidTr="001C77D2">
        <w:trPr>
          <w:trHeight w:val="27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B29D19A"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DRUGI DAVKI</w:t>
            </w:r>
          </w:p>
        </w:tc>
        <w:tc>
          <w:tcPr>
            <w:tcW w:w="1126" w:type="dxa"/>
            <w:tcBorders>
              <w:top w:val="nil"/>
              <w:left w:val="nil"/>
              <w:bottom w:val="single" w:sz="4" w:space="0" w:color="auto"/>
              <w:right w:val="single" w:sz="4" w:space="0" w:color="auto"/>
            </w:tcBorders>
            <w:shd w:val="clear" w:color="auto" w:fill="auto"/>
            <w:vAlign w:val="center"/>
            <w:hideMark/>
          </w:tcPr>
          <w:p w14:paraId="0E5AF86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235.174</w:t>
            </w:r>
          </w:p>
        </w:tc>
        <w:tc>
          <w:tcPr>
            <w:tcW w:w="1194" w:type="dxa"/>
            <w:tcBorders>
              <w:top w:val="nil"/>
              <w:left w:val="nil"/>
              <w:bottom w:val="single" w:sz="4" w:space="0" w:color="auto"/>
              <w:right w:val="nil"/>
            </w:tcBorders>
            <w:shd w:val="clear" w:color="auto" w:fill="auto"/>
            <w:vAlign w:val="center"/>
            <w:hideMark/>
          </w:tcPr>
          <w:p w14:paraId="52F78FC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215.788</w:t>
            </w:r>
          </w:p>
        </w:tc>
        <w:tc>
          <w:tcPr>
            <w:tcW w:w="1157" w:type="dxa"/>
            <w:tcBorders>
              <w:top w:val="nil"/>
              <w:left w:val="single" w:sz="8" w:space="0" w:color="auto"/>
              <w:bottom w:val="single" w:sz="4" w:space="0" w:color="auto"/>
              <w:right w:val="single" w:sz="8" w:space="0" w:color="auto"/>
            </w:tcBorders>
            <w:shd w:val="clear" w:color="auto" w:fill="auto"/>
            <w:vAlign w:val="center"/>
            <w:hideMark/>
          </w:tcPr>
          <w:p w14:paraId="7E52DC3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215.478</w:t>
            </w:r>
          </w:p>
        </w:tc>
        <w:tc>
          <w:tcPr>
            <w:tcW w:w="1097" w:type="dxa"/>
            <w:tcBorders>
              <w:top w:val="nil"/>
              <w:left w:val="nil"/>
              <w:bottom w:val="single" w:sz="4" w:space="0" w:color="auto"/>
              <w:right w:val="single" w:sz="4" w:space="0" w:color="auto"/>
            </w:tcBorders>
            <w:shd w:val="clear" w:color="auto" w:fill="auto"/>
            <w:vAlign w:val="center"/>
            <w:hideMark/>
          </w:tcPr>
          <w:p w14:paraId="4BD81D66"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91,8</w:t>
            </w:r>
          </w:p>
        </w:tc>
        <w:tc>
          <w:tcPr>
            <w:tcW w:w="1097" w:type="dxa"/>
            <w:tcBorders>
              <w:top w:val="nil"/>
              <w:left w:val="nil"/>
              <w:bottom w:val="single" w:sz="4" w:space="0" w:color="auto"/>
              <w:right w:val="single" w:sz="4" w:space="0" w:color="auto"/>
            </w:tcBorders>
            <w:shd w:val="clear" w:color="auto" w:fill="auto"/>
            <w:vAlign w:val="center"/>
            <w:hideMark/>
          </w:tcPr>
          <w:p w14:paraId="3CECBB08"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91,6</w:t>
            </w:r>
          </w:p>
        </w:tc>
        <w:tc>
          <w:tcPr>
            <w:tcW w:w="1097" w:type="dxa"/>
            <w:tcBorders>
              <w:top w:val="nil"/>
              <w:left w:val="nil"/>
              <w:bottom w:val="single" w:sz="4" w:space="0" w:color="auto"/>
              <w:right w:val="single" w:sz="4" w:space="0" w:color="auto"/>
            </w:tcBorders>
            <w:shd w:val="clear" w:color="auto" w:fill="auto"/>
            <w:vAlign w:val="center"/>
            <w:hideMark/>
          </w:tcPr>
          <w:p w14:paraId="60CFE7B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99,9</w:t>
            </w:r>
          </w:p>
        </w:tc>
      </w:tr>
      <w:tr w:rsidR="00A155A2" w:rsidRPr="0087421A" w14:paraId="7AC2A8E8"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DCE6F1"/>
            <w:vAlign w:val="center"/>
            <w:hideMark/>
          </w:tcPr>
          <w:p w14:paraId="710DC807"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B. Nedavčni prihodki</w:t>
            </w:r>
          </w:p>
        </w:tc>
        <w:tc>
          <w:tcPr>
            <w:tcW w:w="1126" w:type="dxa"/>
            <w:tcBorders>
              <w:top w:val="nil"/>
              <w:left w:val="nil"/>
              <w:bottom w:val="single" w:sz="4" w:space="0" w:color="auto"/>
              <w:right w:val="single" w:sz="4" w:space="0" w:color="auto"/>
            </w:tcBorders>
            <w:shd w:val="clear" w:color="000000" w:fill="DCE6F1"/>
            <w:vAlign w:val="center"/>
            <w:hideMark/>
          </w:tcPr>
          <w:p w14:paraId="38BFB83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54.405.838</w:t>
            </w:r>
          </w:p>
        </w:tc>
        <w:tc>
          <w:tcPr>
            <w:tcW w:w="1194" w:type="dxa"/>
            <w:tcBorders>
              <w:top w:val="nil"/>
              <w:left w:val="nil"/>
              <w:bottom w:val="single" w:sz="4" w:space="0" w:color="auto"/>
              <w:right w:val="nil"/>
            </w:tcBorders>
            <w:shd w:val="clear" w:color="000000" w:fill="DCE6F1"/>
            <w:vAlign w:val="center"/>
            <w:hideMark/>
          </w:tcPr>
          <w:p w14:paraId="2E0A0F30"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53.867.712</w:t>
            </w:r>
          </w:p>
        </w:tc>
        <w:tc>
          <w:tcPr>
            <w:tcW w:w="1157" w:type="dxa"/>
            <w:tcBorders>
              <w:top w:val="nil"/>
              <w:left w:val="single" w:sz="8" w:space="0" w:color="auto"/>
              <w:bottom w:val="single" w:sz="4" w:space="0" w:color="auto"/>
              <w:right w:val="single" w:sz="8" w:space="0" w:color="auto"/>
            </w:tcBorders>
            <w:shd w:val="clear" w:color="000000" w:fill="DCE6F1"/>
            <w:vAlign w:val="center"/>
            <w:hideMark/>
          </w:tcPr>
          <w:p w14:paraId="52F560AE"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57.636.571</w:t>
            </w:r>
          </w:p>
        </w:tc>
        <w:tc>
          <w:tcPr>
            <w:tcW w:w="1097" w:type="dxa"/>
            <w:tcBorders>
              <w:top w:val="nil"/>
              <w:left w:val="nil"/>
              <w:bottom w:val="single" w:sz="4" w:space="0" w:color="auto"/>
              <w:right w:val="single" w:sz="4" w:space="0" w:color="auto"/>
            </w:tcBorders>
            <w:shd w:val="clear" w:color="000000" w:fill="DCE6F1"/>
            <w:vAlign w:val="center"/>
            <w:hideMark/>
          </w:tcPr>
          <w:p w14:paraId="2A8ACE8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99,0</w:t>
            </w:r>
          </w:p>
        </w:tc>
        <w:tc>
          <w:tcPr>
            <w:tcW w:w="1097" w:type="dxa"/>
            <w:tcBorders>
              <w:top w:val="nil"/>
              <w:left w:val="nil"/>
              <w:bottom w:val="single" w:sz="4" w:space="0" w:color="auto"/>
              <w:right w:val="single" w:sz="4" w:space="0" w:color="auto"/>
            </w:tcBorders>
            <w:shd w:val="clear" w:color="000000" w:fill="DCE6F1"/>
            <w:vAlign w:val="center"/>
            <w:hideMark/>
          </w:tcPr>
          <w:p w14:paraId="2A22BACF"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105,9</w:t>
            </w:r>
          </w:p>
        </w:tc>
        <w:tc>
          <w:tcPr>
            <w:tcW w:w="1097" w:type="dxa"/>
            <w:tcBorders>
              <w:top w:val="nil"/>
              <w:left w:val="nil"/>
              <w:bottom w:val="single" w:sz="4" w:space="0" w:color="auto"/>
              <w:right w:val="single" w:sz="4" w:space="0" w:color="auto"/>
            </w:tcBorders>
            <w:shd w:val="clear" w:color="000000" w:fill="DCE6F1"/>
            <w:vAlign w:val="center"/>
            <w:hideMark/>
          </w:tcPr>
          <w:p w14:paraId="11656AE6"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107,0</w:t>
            </w:r>
          </w:p>
        </w:tc>
      </w:tr>
      <w:tr w:rsidR="00A155A2" w:rsidRPr="0087421A" w14:paraId="37E3E5FB"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DCE6F1"/>
            <w:vAlign w:val="center"/>
            <w:hideMark/>
          </w:tcPr>
          <w:p w14:paraId="18D6C4B2"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C. Transferni prihodki</w:t>
            </w:r>
          </w:p>
        </w:tc>
        <w:tc>
          <w:tcPr>
            <w:tcW w:w="1126" w:type="dxa"/>
            <w:tcBorders>
              <w:top w:val="nil"/>
              <w:left w:val="nil"/>
              <w:bottom w:val="single" w:sz="4" w:space="0" w:color="auto"/>
              <w:right w:val="single" w:sz="4" w:space="0" w:color="auto"/>
            </w:tcBorders>
            <w:shd w:val="clear" w:color="000000" w:fill="DCE6F1"/>
            <w:vAlign w:val="center"/>
            <w:hideMark/>
          </w:tcPr>
          <w:p w14:paraId="0244903F"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5.974</w:t>
            </w:r>
          </w:p>
        </w:tc>
        <w:tc>
          <w:tcPr>
            <w:tcW w:w="1194" w:type="dxa"/>
            <w:tcBorders>
              <w:top w:val="nil"/>
              <w:left w:val="nil"/>
              <w:bottom w:val="single" w:sz="4" w:space="0" w:color="auto"/>
              <w:right w:val="nil"/>
            </w:tcBorders>
            <w:shd w:val="clear" w:color="000000" w:fill="DCE6F1"/>
            <w:vAlign w:val="center"/>
            <w:hideMark/>
          </w:tcPr>
          <w:p w14:paraId="1B5E817A"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691</w:t>
            </w:r>
          </w:p>
        </w:tc>
        <w:tc>
          <w:tcPr>
            <w:tcW w:w="1157" w:type="dxa"/>
            <w:tcBorders>
              <w:top w:val="nil"/>
              <w:left w:val="single" w:sz="8" w:space="0" w:color="auto"/>
              <w:bottom w:val="single" w:sz="4" w:space="0" w:color="auto"/>
              <w:right w:val="single" w:sz="8" w:space="0" w:color="auto"/>
            </w:tcBorders>
            <w:shd w:val="clear" w:color="000000" w:fill="DCE6F1"/>
            <w:vAlign w:val="center"/>
            <w:hideMark/>
          </w:tcPr>
          <w:p w14:paraId="1399EED5"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51.469</w:t>
            </w:r>
          </w:p>
        </w:tc>
        <w:tc>
          <w:tcPr>
            <w:tcW w:w="1097" w:type="dxa"/>
            <w:tcBorders>
              <w:top w:val="nil"/>
              <w:left w:val="nil"/>
              <w:bottom w:val="single" w:sz="4" w:space="0" w:color="auto"/>
              <w:right w:val="single" w:sz="4" w:space="0" w:color="auto"/>
            </w:tcBorders>
            <w:shd w:val="clear" w:color="000000" w:fill="DCE6F1"/>
            <w:vAlign w:val="center"/>
            <w:hideMark/>
          </w:tcPr>
          <w:p w14:paraId="136C0CC4"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11,6</w:t>
            </w:r>
          </w:p>
        </w:tc>
        <w:tc>
          <w:tcPr>
            <w:tcW w:w="1097" w:type="dxa"/>
            <w:tcBorders>
              <w:top w:val="nil"/>
              <w:left w:val="nil"/>
              <w:bottom w:val="single" w:sz="4" w:space="0" w:color="auto"/>
              <w:right w:val="single" w:sz="4" w:space="0" w:color="auto"/>
            </w:tcBorders>
            <w:shd w:val="clear" w:color="000000" w:fill="DCE6F1"/>
            <w:vAlign w:val="center"/>
            <w:hideMark/>
          </w:tcPr>
          <w:p w14:paraId="3332753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861,6</w:t>
            </w:r>
          </w:p>
        </w:tc>
        <w:tc>
          <w:tcPr>
            <w:tcW w:w="1097" w:type="dxa"/>
            <w:tcBorders>
              <w:top w:val="nil"/>
              <w:left w:val="nil"/>
              <w:bottom w:val="single" w:sz="4" w:space="0" w:color="auto"/>
              <w:right w:val="single" w:sz="4" w:space="0" w:color="auto"/>
            </w:tcBorders>
            <w:shd w:val="clear" w:color="000000" w:fill="DCE6F1"/>
            <w:vAlign w:val="center"/>
            <w:hideMark/>
          </w:tcPr>
          <w:p w14:paraId="31C6EFA2"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7.448,5</w:t>
            </w:r>
          </w:p>
        </w:tc>
      </w:tr>
      <w:tr w:rsidR="00A155A2" w:rsidRPr="0087421A" w14:paraId="2DC5F142"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DCE6F1"/>
            <w:vAlign w:val="center"/>
            <w:hideMark/>
          </w:tcPr>
          <w:p w14:paraId="3CFA96A4"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 xml:space="preserve">D. </w:t>
            </w:r>
            <w:r>
              <w:rPr>
                <w:rFonts w:ascii="Arial" w:eastAsia="Times New Roman" w:hAnsi="Arial" w:cs="Arial"/>
                <w:b/>
                <w:bCs/>
                <w:sz w:val="16"/>
                <w:szCs w:val="16"/>
                <w:lang w:eastAsia="sl-SI"/>
              </w:rPr>
              <w:t>Pre</w:t>
            </w:r>
            <w:r w:rsidRPr="0087421A">
              <w:rPr>
                <w:rFonts w:ascii="Arial" w:eastAsia="Times New Roman" w:hAnsi="Arial" w:cs="Arial"/>
                <w:b/>
                <w:bCs/>
                <w:sz w:val="16"/>
                <w:szCs w:val="16"/>
                <w:lang w:eastAsia="sl-SI"/>
              </w:rPr>
              <w:t xml:space="preserve">stalo </w:t>
            </w:r>
          </w:p>
        </w:tc>
        <w:tc>
          <w:tcPr>
            <w:tcW w:w="1126" w:type="dxa"/>
            <w:tcBorders>
              <w:top w:val="nil"/>
              <w:left w:val="nil"/>
              <w:bottom w:val="single" w:sz="4" w:space="0" w:color="auto"/>
              <w:right w:val="single" w:sz="4" w:space="0" w:color="auto"/>
            </w:tcBorders>
            <w:shd w:val="clear" w:color="000000" w:fill="DCE6F1"/>
            <w:vAlign w:val="center"/>
            <w:hideMark/>
          </w:tcPr>
          <w:p w14:paraId="7471DDDA"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6.023</w:t>
            </w:r>
          </w:p>
        </w:tc>
        <w:tc>
          <w:tcPr>
            <w:tcW w:w="1194" w:type="dxa"/>
            <w:tcBorders>
              <w:top w:val="nil"/>
              <w:left w:val="nil"/>
              <w:bottom w:val="single" w:sz="4" w:space="0" w:color="auto"/>
              <w:right w:val="nil"/>
            </w:tcBorders>
            <w:shd w:val="clear" w:color="000000" w:fill="DCE6F1"/>
            <w:vAlign w:val="center"/>
            <w:hideMark/>
          </w:tcPr>
          <w:p w14:paraId="4F58F0F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2.858</w:t>
            </w:r>
          </w:p>
        </w:tc>
        <w:tc>
          <w:tcPr>
            <w:tcW w:w="1157" w:type="dxa"/>
            <w:tcBorders>
              <w:top w:val="nil"/>
              <w:left w:val="single" w:sz="8" w:space="0" w:color="auto"/>
              <w:bottom w:val="single" w:sz="4" w:space="0" w:color="auto"/>
              <w:right w:val="single" w:sz="8" w:space="0" w:color="auto"/>
            </w:tcBorders>
            <w:shd w:val="clear" w:color="000000" w:fill="DCE6F1"/>
            <w:vAlign w:val="center"/>
            <w:hideMark/>
          </w:tcPr>
          <w:p w14:paraId="222084C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234</w:t>
            </w:r>
          </w:p>
        </w:tc>
        <w:tc>
          <w:tcPr>
            <w:tcW w:w="1097" w:type="dxa"/>
            <w:tcBorders>
              <w:top w:val="nil"/>
              <w:left w:val="nil"/>
              <w:bottom w:val="single" w:sz="4" w:space="0" w:color="auto"/>
              <w:right w:val="single" w:sz="4" w:space="0" w:color="auto"/>
            </w:tcBorders>
            <w:shd w:val="clear" w:color="000000" w:fill="DCE6F1"/>
            <w:vAlign w:val="center"/>
            <w:hideMark/>
          </w:tcPr>
          <w:p w14:paraId="549197DC"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47,5</w:t>
            </w:r>
          </w:p>
        </w:tc>
        <w:tc>
          <w:tcPr>
            <w:tcW w:w="1097" w:type="dxa"/>
            <w:tcBorders>
              <w:top w:val="nil"/>
              <w:left w:val="nil"/>
              <w:bottom w:val="single" w:sz="4" w:space="0" w:color="auto"/>
              <w:right w:val="single" w:sz="4" w:space="0" w:color="auto"/>
            </w:tcBorders>
            <w:shd w:val="clear" w:color="000000" w:fill="DCE6F1"/>
            <w:vAlign w:val="center"/>
            <w:hideMark/>
          </w:tcPr>
          <w:p w14:paraId="707BB227"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3,9</w:t>
            </w:r>
          </w:p>
        </w:tc>
        <w:tc>
          <w:tcPr>
            <w:tcW w:w="1097" w:type="dxa"/>
            <w:tcBorders>
              <w:top w:val="nil"/>
              <w:left w:val="nil"/>
              <w:bottom w:val="single" w:sz="4" w:space="0" w:color="auto"/>
              <w:right w:val="single" w:sz="4" w:space="0" w:color="auto"/>
            </w:tcBorders>
            <w:shd w:val="clear" w:color="000000" w:fill="DCE6F1"/>
            <w:vAlign w:val="center"/>
            <w:hideMark/>
          </w:tcPr>
          <w:p w14:paraId="546E7D33"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8,2</w:t>
            </w:r>
          </w:p>
        </w:tc>
      </w:tr>
      <w:tr w:rsidR="00A155A2" w:rsidRPr="0087421A" w14:paraId="70D9E7A3"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B8CCE4"/>
            <w:vAlign w:val="center"/>
            <w:hideMark/>
          </w:tcPr>
          <w:p w14:paraId="1DC541C0"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E. Skupaj davčni dolg (A</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B</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C</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w:t>
            </w:r>
            <w:r>
              <w:rPr>
                <w:rFonts w:ascii="Arial" w:eastAsia="Times New Roman" w:hAnsi="Arial" w:cs="Arial"/>
                <w:b/>
                <w:bCs/>
                <w:sz w:val="16"/>
                <w:szCs w:val="16"/>
                <w:lang w:eastAsia="sl-SI"/>
              </w:rPr>
              <w:t xml:space="preserve"> </w:t>
            </w:r>
            <w:r w:rsidRPr="0087421A">
              <w:rPr>
                <w:rFonts w:ascii="Arial" w:eastAsia="Times New Roman" w:hAnsi="Arial" w:cs="Arial"/>
                <w:b/>
                <w:bCs/>
                <w:sz w:val="16"/>
                <w:szCs w:val="16"/>
                <w:lang w:eastAsia="sl-SI"/>
              </w:rPr>
              <w:t>D)</w:t>
            </w:r>
          </w:p>
        </w:tc>
        <w:tc>
          <w:tcPr>
            <w:tcW w:w="1126" w:type="dxa"/>
            <w:tcBorders>
              <w:top w:val="nil"/>
              <w:left w:val="nil"/>
              <w:bottom w:val="single" w:sz="4" w:space="0" w:color="auto"/>
              <w:right w:val="single" w:sz="4" w:space="0" w:color="auto"/>
            </w:tcBorders>
            <w:shd w:val="clear" w:color="000000" w:fill="B8CCE4"/>
            <w:vAlign w:val="center"/>
            <w:hideMark/>
          </w:tcPr>
          <w:p w14:paraId="3378353F"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894.034.872</w:t>
            </w:r>
          </w:p>
        </w:tc>
        <w:tc>
          <w:tcPr>
            <w:tcW w:w="1194" w:type="dxa"/>
            <w:tcBorders>
              <w:top w:val="nil"/>
              <w:left w:val="nil"/>
              <w:bottom w:val="single" w:sz="4" w:space="0" w:color="auto"/>
              <w:right w:val="nil"/>
            </w:tcBorders>
            <w:shd w:val="clear" w:color="000000" w:fill="B8CCE4"/>
            <w:vAlign w:val="center"/>
            <w:hideMark/>
          </w:tcPr>
          <w:p w14:paraId="259F8B34"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839.010.531</w:t>
            </w:r>
          </w:p>
        </w:tc>
        <w:tc>
          <w:tcPr>
            <w:tcW w:w="1157" w:type="dxa"/>
            <w:tcBorders>
              <w:top w:val="nil"/>
              <w:left w:val="single" w:sz="8" w:space="0" w:color="auto"/>
              <w:bottom w:val="single" w:sz="4" w:space="0" w:color="auto"/>
              <w:right w:val="single" w:sz="8" w:space="0" w:color="auto"/>
            </w:tcBorders>
            <w:shd w:val="clear" w:color="000000" w:fill="B8CCE4"/>
            <w:vAlign w:val="center"/>
            <w:hideMark/>
          </w:tcPr>
          <w:p w14:paraId="74AC1125"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895.737.049</w:t>
            </w:r>
          </w:p>
        </w:tc>
        <w:tc>
          <w:tcPr>
            <w:tcW w:w="1097" w:type="dxa"/>
            <w:tcBorders>
              <w:top w:val="nil"/>
              <w:left w:val="nil"/>
              <w:bottom w:val="single" w:sz="4" w:space="0" w:color="auto"/>
              <w:right w:val="single" w:sz="4" w:space="0" w:color="auto"/>
            </w:tcBorders>
            <w:shd w:val="clear" w:color="000000" w:fill="B8CCE4"/>
            <w:vAlign w:val="center"/>
            <w:hideMark/>
          </w:tcPr>
          <w:p w14:paraId="081AAEAF"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93,8</w:t>
            </w:r>
          </w:p>
        </w:tc>
        <w:tc>
          <w:tcPr>
            <w:tcW w:w="1097" w:type="dxa"/>
            <w:tcBorders>
              <w:top w:val="nil"/>
              <w:left w:val="nil"/>
              <w:bottom w:val="single" w:sz="4" w:space="0" w:color="auto"/>
              <w:right w:val="single" w:sz="4" w:space="0" w:color="auto"/>
            </w:tcBorders>
            <w:shd w:val="clear" w:color="000000" w:fill="B8CCE4"/>
            <w:vAlign w:val="center"/>
            <w:hideMark/>
          </w:tcPr>
          <w:p w14:paraId="02AC14F8"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100,2</w:t>
            </w:r>
          </w:p>
        </w:tc>
        <w:tc>
          <w:tcPr>
            <w:tcW w:w="1097" w:type="dxa"/>
            <w:tcBorders>
              <w:top w:val="nil"/>
              <w:left w:val="nil"/>
              <w:bottom w:val="single" w:sz="4" w:space="0" w:color="auto"/>
              <w:right w:val="single" w:sz="4" w:space="0" w:color="auto"/>
            </w:tcBorders>
            <w:shd w:val="clear" w:color="000000" w:fill="B8CCE4"/>
            <w:vAlign w:val="center"/>
            <w:hideMark/>
          </w:tcPr>
          <w:p w14:paraId="1EAD13B6"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106,8</w:t>
            </w:r>
          </w:p>
        </w:tc>
      </w:tr>
      <w:tr w:rsidR="00A155A2" w:rsidRPr="0087421A" w14:paraId="7965A7DF" w14:textId="77777777" w:rsidTr="001C77D2">
        <w:trPr>
          <w:trHeight w:val="270"/>
        </w:trPr>
        <w:tc>
          <w:tcPr>
            <w:tcW w:w="2721" w:type="dxa"/>
            <w:tcBorders>
              <w:top w:val="nil"/>
              <w:left w:val="single" w:sz="4" w:space="0" w:color="auto"/>
              <w:bottom w:val="single" w:sz="4" w:space="0" w:color="auto"/>
              <w:right w:val="single" w:sz="4" w:space="0" w:color="auto"/>
            </w:tcBorders>
            <w:shd w:val="clear" w:color="000000" w:fill="DCE6F1"/>
            <w:vAlign w:val="center"/>
            <w:hideMark/>
          </w:tcPr>
          <w:p w14:paraId="729843BC"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F. Druge terjatve</w:t>
            </w:r>
          </w:p>
        </w:tc>
        <w:tc>
          <w:tcPr>
            <w:tcW w:w="1126" w:type="dxa"/>
            <w:tcBorders>
              <w:top w:val="nil"/>
              <w:left w:val="nil"/>
              <w:bottom w:val="single" w:sz="4" w:space="0" w:color="auto"/>
              <w:right w:val="single" w:sz="4" w:space="0" w:color="auto"/>
            </w:tcBorders>
            <w:shd w:val="clear" w:color="000000" w:fill="DCE6F1"/>
            <w:vAlign w:val="center"/>
            <w:hideMark/>
          </w:tcPr>
          <w:p w14:paraId="566B7650"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2.315.118</w:t>
            </w:r>
          </w:p>
        </w:tc>
        <w:tc>
          <w:tcPr>
            <w:tcW w:w="1194" w:type="dxa"/>
            <w:tcBorders>
              <w:top w:val="nil"/>
              <w:left w:val="nil"/>
              <w:bottom w:val="single" w:sz="4" w:space="0" w:color="auto"/>
              <w:right w:val="nil"/>
            </w:tcBorders>
            <w:shd w:val="clear" w:color="000000" w:fill="DCE6F1"/>
            <w:vAlign w:val="center"/>
            <w:hideMark/>
          </w:tcPr>
          <w:p w14:paraId="73A6AE0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2.798.263</w:t>
            </w:r>
          </w:p>
        </w:tc>
        <w:tc>
          <w:tcPr>
            <w:tcW w:w="1157" w:type="dxa"/>
            <w:tcBorders>
              <w:top w:val="nil"/>
              <w:left w:val="single" w:sz="8" w:space="0" w:color="auto"/>
              <w:bottom w:val="single" w:sz="4" w:space="0" w:color="auto"/>
              <w:right w:val="single" w:sz="8" w:space="0" w:color="auto"/>
            </w:tcBorders>
            <w:shd w:val="clear" w:color="000000" w:fill="DCE6F1"/>
            <w:vAlign w:val="center"/>
            <w:hideMark/>
          </w:tcPr>
          <w:p w14:paraId="5C6E5F7D"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6.200.208</w:t>
            </w:r>
          </w:p>
        </w:tc>
        <w:tc>
          <w:tcPr>
            <w:tcW w:w="1097" w:type="dxa"/>
            <w:tcBorders>
              <w:top w:val="nil"/>
              <w:left w:val="nil"/>
              <w:bottom w:val="single" w:sz="4" w:space="0" w:color="auto"/>
              <w:right w:val="single" w:sz="4" w:space="0" w:color="auto"/>
            </w:tcBorders>
            <w:shd w:val="clear" w:color="000000" w:fill="DCE6F1"/>
            <w:vAlign w:val="center"/>
            <w:hideMark/>
          </w:tcPr>
          <w:p w14:paraId="11521375"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120,9</w:t>
            </w:r>
          </w:p>
        </w:tc>
        <w:tc>
          <w:tcPr>
            <w:tcW w:w="1097" w:type="dxa"/>
            <w:tcBorders>
              <w:top w:val="nil"/>
              <w:left w:val="nil"/>
              <w:bottom w:val="single" w:sz="4" w:space="0" w:color="auto"/>
              <w:right w:val="single" w:sz="4" w:space="0" w:color="auto"/>
            </w:tcBorders>
            <w:shd w:val="clear" w:color="000000" w:fill="DCE6F1"/>
            <w:vAlign w:val="center"/>
            <w:hideMark/>
          </w:tcPr>
          <w:p w14:paraId="14C12934"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267,8</w:t>
            </w:r>
          </w:p>
        </w:tc>
        <w:tc>
          <w:tcPr>
            <w:tcW w:w="1097" w:type="dxa"/>
            <w:tcBorders>
              <w:top w:val="nil"/>
              <w:left w:val="nil"/>
              <w:bottom w:val="single" w:sz="4" w:space="0" w:color="auto"/>
              <w:right w:val="single" w:sz="4" w:space="0" w:color="auto"/>
            </w:tcBorders>
            <w:shd w:val="clear" w:color="000000" w:fill="DCE6F1"/>
            <w:vAlign w:val="center"/>
            <w:hideMark/>
          </w:tcPr>
          <w:p w14:paraId="51565E1F"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221,6</w:t>
            </w:r>
          </w:p>
        </w:tc>
      </w:tr>
      <w:tr w:rsidR="00A155A2" w:rsidRPr="0087421A" w14:paraId="16D1809A" w14:textId="77777777" w:rsidTr="001C77D2">
        <w:trPr>
          <w:trHeight w:val="416"/>
        </w:trPr>
        <w:tc>
          <w:tcPr>
            <w:tcW w:w="2721" w:type="dxa"/>
            <w:tcBorders>
              <w:top w:val="nil"/>
              <w:left w:val="single" w:sz="4" w:space="0" w:color="auto"/>
              <w:bottom w:val="single" w:sz="4" w:space="0" w:color="auto"/>
              <w:right w:val="single" w:sz="4" w:space="0" w:color="auto"/>
            </w:tcBorders>
            <w:shd w:val="clear" w:color="000000" w:fill="B8CCE4"/>
            <w:vAlign w:val="center"/>
            <w:hideMark/>
          </w:tcPr>
          <w:p w14:paraId="4BE60355" w14:textId="77777777" w:rsidR="00A155A2" w:rsidRPr="0087421A" w:rsidRDefault="00A155A2" w:rsidP="001C77D2">
            <w:pPr>
              <w:spacing w:after="0" w:line="240" w:lineRule="auto"/>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Skupaj davčni dolg in druge terjatve (E + F)</w:t>
            </w:r>
          </w:p>
        </w:tc>
        <w:tc>
          <w:tcPr>
            <w:tcW w:w="1126" w:type="dxa"/>
            <w:tcBorders>
              <w:top w:val="nil"/>
              <w:left w:val="nil"/>
              <w:bottom w:val="single" w:sz="4" w:space="0" w:color="auto"/>
              <w:right w:val="single" w:sz="4" w:space="0" w:color="auto"/>
            </w:tcBorders>
            <w:shd w:val="clear" w:color="000000" w:fill="B8CCE4"/>
            <w:vAlign w:val="center"/>
            <w:hideMark/>
          </w:tcPr>
          <w:p w14:paraId="521AAE5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896.349.990</w:t>
            </w:r>
          </w:p>
        </w:tc>
        <w:tc>
          <w:tcPr>
            <w:tcW w:w="1194" w:type="dxa"/>
            <w:tcBorders>
              <w:top w:val="nil"/>
              <w:left w:val="nil"/>
              <w:bottom w:val="single" w:sz="4" w:space="0" w:color="auto"/>
              <w:right w:val="nil"/>
            </w:tcBorders>
            <w:shd w:val="clear" w:color="000000" w:fill="B8CCE4"/>
            <w:vAlign w:val="center"/>
            <w:hideMark/>
          </w:tcPr>
          <w:p w14:paraId="649E3C7B"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841.808.794</w:t>
            </w:r>
          </w:p>
        </w:tc>
        <w:tc>
          <w:tcPr>
            <w:tcW w:w="1157" w:type="dxa"/>
            <w:tcBorders>
              <w:top w:val="nil"/>
              <w:left w:val="single" w:sz="8" w:space="0" w:color="auto"/>
              <w:bottom w:val="single" w:sz="8" w:space="0" w:color="auto"/>
              <w:right w:val="single" w:sz="8" w:space="0" w:color="auto"/>
            </w:tcBorders>
            <w:shd w:val="clear" w:color="000000" w:fill="B8CCE4"/>
            <w:vAlign w:val="center"/>
            <w:hideMark/>
          </w:tcPr>
          <w:p w14:paraId="25831978"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901.937.257</w:t>
            </w:r>
          </w:p>
        </w:tc>
        <w:tc>
          <w:tcPr>
            <w:tcW w:w="1097" w:type="dxa"/>
            <w:tcBorders>
              <w:top w:val="nil"/>
              <w:left w:val="nil"/>
              <w:bottom w:val="single" w:sz="4" w:space="0" w:color="auto"/>
              <w:right w:val="single" w:sz="4" w:space="0" w:color="auto"/>
            </w:tcBorders>
            <w:shd w:val="clear" w:color="000000" w:fill="B8CCE4"/>
            <w:vAlign w:val="center"/>
            <w:hideMark/>
          </w:tcPr>
          <w:p w14:paraId="3174E1D1"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93,9</w:t>
            </w:r>
          </w:p>
        </w:tc>
        <w:tc>
          <w:tcPr>
            <w:tcW w:w="1097" w:type="dxa"/>
            <w:tcBorders>
              <w:top w:val="nil"/>
              <w:left w:val="nil"/>
              <w:bottom w:val="single" w:sz="4" w:space="0" w:color="auto"/>
              <w:right w:val="single" w:sz="4" w:space="0" w:color="auto"/>
            </w:tcBorders>
            <w:shd w:val="clear" w:color="000000" w:fill="B8CCE4"/>
            <w:vAlign w:val="center"/>
            <w:hideMark/>
          </w:tcPr>
          <w:p w14:paraId="6C07E4DE"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100,6</w:t>
            </w:r>
          </w:p>
        </w:tc>
        <w:tc>
          <w:tcPr>
            <w:tcW w:w="1097" w:type="dxa"/>
            <w:tcBorders>
              <w:top w:val="nil"/>
              <w:left w:val="nil"/>
              <w:bottom w:val="single" w:sz="4" w:space="0" w:color="auto"/>
              <w:right w:val="single" w:sz="4" w:space="0" w:color="auto"/>
            </w:tcBorders>
            <w:shd w:val="clear" w:color="000000" w:fill="B8CCE4"/>
            <w:vAlign w:val="center"/>
            <w:hideMark/>
          </w:tcPr>
          <w:p w14:paraId="05E3FF9B" w14:textId="77777777" w:rsidR="00A155A2" w:rsidRPr="0087421A" w:rsidRDefault="00A155A2" w:rsidP="001C77D2">
            <w:pPr>
              <w:spacing w:after="0" w:line="240" w:lineRule="auto"/>
              <w:jc w:val="right"/>
              <w:rPr>
                <w:rFonts w:ascii="Arial" w:eastAsia="Times New Roman" w:hAnsi="Arial" w:cs="Arial"/>
                <w:b/>
                <w:bCs/>
                <w:sz w:val="16"/>
                <w:szCs w:val="16"/>
                <w:lang w:eastAsia="sl-SI"/>
              </w:rPr>
            </w:pPr>
            <w:r w:rsidRPr="0087421A">
              <w:rPr>
                <w:rFonts w:ascii="Arial" w:eastAsia="Times New Roman" w:hAnsi="Arial" w:cs="Arial"/>
                <w:b/>
                <w:bCs/>
                <w:sz w:val="16"/>
                <w:szCs w:val="16"/>
                <w:lang w:eastAsia="sl-SI"/>
              </w:rPr>
              <w:t>107,1</w:t>
            </w:r>
          </w:p>
        </w:tc>
      </w:tr>
    </w:tbl>
    <w:p w14:paraId="7E3F5C9F" w14:textId="77777777" w:rsidR="00A155A2" w:rsidRDefault="00A155A2" w:rsidP="00A155A2">
      <w:pPr>
        <w:rPr>
          <w:rFonts w:ascii="Arial" w:hAnsi="Arial" w:cs="Arial"/>
          <w:i/>
          <w:sz w:val="20"/>
          <w:szCs w:val="20"/>
        </w:rPr>
      </w:pPr>
      <w:r>
        <w:rPr>
          <w:rFonts w:ascii="Arial" w:hAnsi="Arial" w:cs="Arial"/>
          <w:i/>
          <w:sz w:val="20"/>
          <w:szCs w:val="20"/>
        </w:rPr>
        <w:t>V</w:t>
      </w:r>
      <w:r w:rsidRPr="006512EC">
        <w:rPr>
          <w:rFonts w:ascii="Arial" w:hAnsi="Arial" w:cs="Arial"/>
          <w:i/>
          <w:sz w:val="20"/>
          <w:szCs w:val="20"/>
        </w:rPr>
        <w:t>ir: FURS</w:t>
      </w:r>
    </w:p>
    <w:p w14:paraId="5FD1474E" w14:textId="77777777" w:rsidR="00A155A2" w:rsidRDefault="00A155A2" w:rsidP="00A155A2">
      <w:pPr>
        <w:pStyle w:val="Brezrazmikov"/>
        <w:rPr>
          <w:rFonts w:ascii="Arial" w:hAnsi="Arial" w:cs="Arial"/>
          <w:b/>
          <w:sz w:val="20"/>
          <w:szCs w:val="20"/>
        </w:rPr>
      </w:pPr>
      <w:r w:rsidRPr="00DD5591">
        <w:rPr>
          <w:rFonts w:ascii="Arial" w:hAnsi="Arial" w:cs="Arial"/>
          <w:b/>
          <w:sz w:val="20"/>
          <w:szCs w:val="20"/>
        </w:rPr>
        <w:t>4.5   Davčni dolg po vrsti dajatve</w:t>
      </w:r>
    </w:p>
    <w:p w14:paraId="7AA96BCD" w14:textId="77777777" w:rsidR="00A155A2" w:rsidRPr="0052764D" w:rsidRDefault="00A155A2" w:rsidP="00A155A2">
      <w:pPr>
        <w:pStyle w:val="Brezrazmikov"/>
        <w:rPr>
          <w:rFonts w:ascii="Arial" w:hAnsi="Arial" w:cs="Arial"/>
          <w:b/>
          <w:sz w:val="20"/>
          <w:szCs w:val="20"/>
        </w:rPr>
      </w:pPr>
    </w:p>
    <w:p w14:paraId="509989F6" w14:textId="77777777" w:rsidR="00A155A2" w:rsidRPr="00D21F0C" w:rsidRDefault="00A155A2" w:rsidP="00A155A2">
      <w:pPr>
        <w:jc w:val="both"/>
        <w:rPr>
          <w:rFonts w:ascii="Arial" w:hAnsi="Arial" w:cs="Arial"/>
          <w:sz w:val="20"/>
          <w:szCs w:val="20"/>
        </w:rPr>
      </w:pPr>
      <w:r w:rsidRPr="00D41C58">
        <w:rPr>
          <w:rFonts w:ascii="Arial" w:hAnsi="Arial" w:cs="Arial"/>
          <w:sz w:val="20"/>
          <w:szCs w:val="20"/>
        </w:rPr>
        <w:t>V okviru davčnih prihodkov imajo največji delež dolga domači davki na blago in storitve, in sicer 3</w:t>
      </w:r>
      <w:r>
        <w:rPr>
          <w:rFonts w:ascii="Arial" w:hAnsi="Arial" w:cs="Arial"/>
          <w:sz w:val="20"/>
          <w:szCs w:val="20"/>
        </w:rPr>
        <w:t>7</w:t>
      </w:r>
      <w:r w:rsidRPr="00D41C58">
        <w:rPr>
          <w:rFonts w:ascii="Arial" w:hAnsi="Arial" w:cs="Arial"/>
          <w:sz w:val="20"/>
          <w:szCs w:val="20"/>
        </w:rPr>
        <w:t>,</w:t>
      </w:r>
      <w:r>
        <w:rPr>
          <w:rFonts w:ascii="Arial" w:hAnsi="Arial" w:cs="Arial"/>
          <w:sz w:val="20"/>
          <w:szCs w:val="20"/>
        </w:rPr>
        <w:t>2</w:t>
      </w:r>
      <w:r w:rsidRPr="00D41C58">
        <w:rPr>
          <w:rFonts w:ascii="Arial" w:hAnsi="Arial" w:cs="Arial"/>
          <w:sz w:val="20"/>
          <w:szCs w:val="20"/>
        </w:rPr>
        <w:t xml:space="preserve"> odstotka. Davki na dohodek in dobiček </w:t>
      </w:r>
      <w:r>
        <w:rPr>
          <w:rFonts w:ascii="Arial" w:hAnsi="Arial" w:cs="Arial"/>
          <w:sz w:val="20"/>
          <w:szCs w:val="20"/>
        </w:rPr>
        <w:t xml:space="preserve">obsegajo 31,6 </w:t>
      </w:r>
      <w:r w:rsidRPr="00D41C58">
        <w:rPr>
          <w:rFonts w:ascii="Arial" w:hAnsi="Arial" w:cs="Arial"/>
          <w:sz w:val="20"/>
          <w:szCs w:val="20"/>
        </w:rPr>
        <w:t>odstot</w:t>
      </w:r>
      <w:r>
        <w:rPr>
          <w:rFonts w:ascii="Arial" w:hAnsi="Arial" w:cs="Arial"/>
          <w:sz w:val="20"/>
          <w:szCs w:val="20"/>
        </w:rPr>
        <w:t>ka</w:t>
      </w:r>
      <w:r w:rsidRPr="00D41C58">
        <w:rPr>
          <w:rFonts w:ascii="Arial" w:hAnsi="Arial" w:cs="Arial"/>
          <w:sz w:val="20"/>
          <w:szCs w:val="20"/>
        </w:rPr>
        <w:t xml:space="preserve">, prispevki za socialno varnost </w:t>
      </w:r>
      <w:r>
        <w:rPr>
          <w:rFonts w:ascii="Arial" w:hAnsi="Arial" w:cs="Arial"/>
          <w:sz w:val="20"/>
          <w:szCs w:val="20"/>
        </w:rPr>
        <w:t xml:space="preserve">28,5 </w:t>
      </w:r>
      <w:r w:rsidRPr="00D41C58">
        <w:rPr>
          <w:rFonts w:ascii="Arial" w:hAnsi="Arial" w:cs="Arial"/>
          <w:sz w:val="20"/>
          <w:szCs w:val="20"/>
        </w:rPr>
        <w:t>odstot</w:t>
      </w:r>
      <w:r>
        <w:rPr>
          <w:rFonts w:ascii="Arial" w:hAnsi="Arial" w:cs="Arial"/>
          <w:sz w:val="20"/>
          <w:szCs w:val="20"/>
        </w:rPr>
        <w:t>ka</w:t>
      </w:r>
      <w:r w:rsidRPr="00D41C58">
        <w:rPr>
          <w:rFonts w:ascii="Arial" w:hAnsi="Arial" w:cs="Arial"/>
          <w:sz w:val="20"/>
          <w:szCs w:val="20"/>
        </w:rPr>
        <w:t xml:space="preserve">, davki na premoženje </w:t>
      </w:r>
      <w:r>
        <w:rPr>
          <w:rFonts w:ascii="Arial" w:hAnsi="Arial" w:cs="Arial"/>
          <w:sz w:val="20"/>
          <w:szCs w:val="20"/>
        </w:rPr>
        <w:t>zajemajo 2,5</w:t>
      </w:r>
      <w:r w:rsidRPr="00D41C58">
        <w:rPr>
          <w:rFonts w:ascii="Arial" w:hAnsi="Arial" w:cs="Arial"/>
          <w:sz w:val="20"/>
          <w:szCs w:val="20"/>
        </w:rPr>
        <w:t>-odstotni delež</w:t>
      </w:r>
      <w:r>
        <w:rPr>
          <w:rFonts w:ascii="Arial" w:hAnsi="Arial" w:cs="Arial"/>
          <w:sz w:val="20"/>
          <w:szCs w:val="20"/>
        </w:rPr>
        <w:t xml:space="preserve"> dolga</w:t>
      </w:r>
      <w:r w:rsidRPr="00D41C58">
        <w:rPr>
          <w:rFonts w:ascii="Arial" w:hAnsi="Arial" w:cs="Arial"/>
          <w:sz w:val="20"/>
          <w:szCs w:val="20"/>
        </w:rPr>
        <w:t xml:space="preserve"> ter davki na mednarodno trgovino in transakcije 0,</w:t>
      </w:r>
      <w:r>
        <w:rPr>
          <w:rFonts w:ascii="Arial" w:hAnsi="Arial" w:cs="Arial"/>
          <w:sz w:val="20"/>
          <w:szCs w:val="20"/>
        </w:rPr>
        <w:t>2</w:t>
      </w:r>
      <w:r w:rsidRPr="00D41C58">
        <w:rPr>
          <w:rFonts w:ascii="Arial" w:hAnsi="Arial" w:cs="Arial"/>
          <w:sz w:val="20"/>
          <w:szCs w:val="20"/>
        </w:rPr>
        <w:t xml:space="preserve">-odstotni delež. </w:t>
      </w:r>
    </w:p>
    <w:p w14:paraId="2D4E9130" w14:textId="77777777" w:rsidR="00A155A2" w:rsidRDefault="00A155A2" w:rsidP="00A155A2">
      <w:pPr>
        <w:jc w:val="both"/>
        <w:rPr>
          <w:rFonts w:ascii="Arial" w:hAnsi="Arial" w:cs="Arial"/>
          <w:i/>
          <w:sz w:val="20"/>
          <w:szCs w:val="20"/>
        </w:rPr>
      </w:pPr>
      <w:r w:rsidRPr="007233B0">
        <w:rPr>
          <w:rFonts w:ascii="Arial" w:hAnsi="Arial" w:cs="Arial"/>
          <w:i/>
          <w:sz w:val="20"/>
          <w:szCs w:val="20"/>
        </w:rPr>
        <w:t>Slika 8: Struktura davčnega dolga iz davčnih prihodkov</w:t>
      </w:r>
    </w:p>
    <w:p w14:paraId="3A24AAB7" w14:textId="77777777" w:rsidR="00A155A2" w:rsidRPr="00D0393D" w:rsidRDefault="00A155A2" w:rsidP="00A155A2">
      <w:pPr>
        <w:jc w:val="both"/>
        <w:rPr>
          <w:rFonts w:ascii="Arial" w:hAnsi="Arial" w:cs="Arial"/>
          <w:i/>
          <w:color w:val="FFFFFF" w:themeColor="background1"/>
          <w:sz w:val="20"/>
          <w:szCs w:val="20"/>
          <w14:textFill>
            <w14:noFill/>
          </w14:textFill>
        </w:rPr>
      </w:pPr>
      <w:r>
        <w:rPr>
          <w:noProof/>
          <w:lang w:eastAsia="sl-SI"/>
        </w:rPr>
        <w:drawing>
          <wp:inline distT="0" distB="0" distL="0" distR="0" wp14:anchorId="1BCC46E9" wp14:editId="06C9212E">
            <wp:extent cx="4059936" cy="3182112"/>
            <wp:effectExtent l="0" t="0" r="0" b="0"/>
            <wp:docPr id="1" name="Grafikon 1">
              <a:extLst xmlns:a="http://schemas.openxmlformats.org/drawingml/2006/main">
                <a:ext uri="{FF2B5EF4-FFF2-40B4-BE49-F238E27FC236}">
                  <a16:creationId xmlns:a16="http://schemas.microsoft.com/office/drawing/2014/main" id="{568F0050-3474-D71B-B3CD-F01662676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B604E0" w14:textId="77777777" w:rsidR="00A155A2" w:rsidRPr="007233B0" w:rsidRDefault="00A155A2" w:rsidP="00A155A2">
      <w:pPr>
        <w:jc w:val="both"/>
        <w:rPr>
          <w:rFonts w:ascii="Arial" w:hAnsi="Arial" w:cs="Arial"/>
          <w:iCs/>
          <w:sz w:val="20"/>
          <w:szCs w:val="20"/>
        </w:rPr>
      </w:pPr>
    </w:p>
    <w:p w14:paraId="00E5C96A" w14:textId="77777777" w:rsidR="00A155A2" w:rsidRPr="00F42A36" w:rsidRDefault="00A155A2" w:rsidP="00A155A2">
      <w:pPr>
        <w:jc w:val="both"/>
        <w:rPr>
          <w:rFonts w:ascii="Arial" w:hAnsi="Arial" w:cs="Arial"/>
          <w:i/>
          <w:color w:val="000000"/>
          <w:sz w:val="20"/>
          <w:szCs w:val="20"/>
        </w:rPr>
      </w:pPr>
      <w:r>
        <w:rPr>
          <w:rFonts w:ascii="Arial" w:hAnsi="Arial" w:cs="Arial"/>
          <w:i/>
          <w:color w:val="000000"/>
          <w:sz w:val="20"/>
          <w:szCs w:val="20"/>
        </w:rPr>
        <w:t>V</w:t>
      </w:r>
      <w:r w:rsidRPr="00F42A36">
        <w:rPr>
          <w:rFonts w:ascii="Arial" w:hAnsi="Arial" w:cs="Arial"/>
          <w:i/>
          <w:color w:val="000000"/>
          <w:sz w:val="20"/>
          <w:szCs w:val="20"/>
        </w:rPr>
        <w:t>ir: FURS</w:t>
      </w:r>
    </w:p>
    <w:p w14:paraId="0A6C984A" w14:textId="77777777" w:rsidR="00A155A2" w:rsidRPr="00D1486C" w:rsidRDefault="00A155A2" w:rsidP="00A155A2">
      <w:pPr>
        <w:pStyle w:val="Odstavekseznama1"/>
        <w:spacing w:line="276" w:lineRule="auto"/>
        <w:ind w:left="0"/>
        <w:rPr>
          <w:rFonts w:ascii="Arial" w:hAnsi="Arial" w:cs="Arial"/>
          <w:sz w:val="20"/>
          <w:szCs w:val="20"/>
        </w:rPr>
      </w:pPr>
      <w:r w:rsidRPr="00D1486C">
        <w:rPr>
          <w:rFonts w:ascii="Arial" w:hAnsi="Arial" w:cs="Arial"/>
          <w:sz w:val="20"/>
          <w:szCs w:val="20"/>
        </w:rPr>
        <w:lastRenderedPageBreak/>
        <w:t xml:space="preserve">Analiza gibanja davčnega dolga po vrstah davkov kaže, da </w:t>
      </w:r>
      <w:r>
        <w:rPr>
          <w:rFonts w:ascii="Arial" w:hAnsi="Arial" w:cs="Arial"/>
          <w:sz w:val="20"/>
          <w:szCs w:val="20"/>
        </w:rPr>
        <w:t xml:space="preserve">se </w:t>
      </w:r>
      <w:r w:rsidRPr="00D1486C">
        <w:rPr>
          <w:rFonts w:ascii="Arial" w:hAnsi="Arial" w:cs="Arial"/>
          <w:sz w:val="20"/>
          <w:szCs w:val="20"/>
        </w:rPr>
        <w:t>je v letu 2024:</w:t>
      </w:r>
    </w:p>
    <w:p w14:paraId="031B0BE1" w14:textId="77777777" w:rsidR="00A155A2" w:rsidRPr="00D1486C" w:rsidRDefault="00A155A2" w:rsidP="00A155A2">
      <w:pPr>
        <w:pStyle w:val="Odstavekseznama1"/>
        <w:numPr>
          <w:ilvl w:val="0"/>
          <w:numId w:val="28"/>
        </w:numPr>
        <w:spacing w:line="276" w:lineRule="auto"/>
        <w:jc w:val="both"/>
        <w:rPr>
          <w:rFonts w:ascii="Arial" w:hAnsi="Arial" w:cs="Arial"/>
          <w:sz w:val="20"/>
          <w:szCs w:val="20"/>
        </w:rPr>
      </w:pPr>
      <w:r>
        <w:rPr>
          <w:rFonts w:ascii="Arial" w:hAnsi="Arial" w:cs="Arial"/>
          <w:i/>
          <w:iCs/>
          <w:sz w:val="20"/>
          <w:szCs w:val="20"/>
        </w:rPr>
        <w:t>povečal</w:t>
      </w:r>
      <w:r w:rsidRPr="00D1486C">
        <w:rPr>
          <w:rFonts w:ascii="Arial" w:hAnsi="Arial" w:cs="Arial"/>
          <w:i/>
          <w:iCs/>
          <w:sz w:val="20"/>
          <w:szCs w:val="20"/>
        </w:rPr>
        <w:t xml:space="preserve"> dolg </w:t>
      </w:r>
      <w:r w:rsidRPr="00D1486C">
        <w:rPr>
          <w:rFonts w:ascii="Arial" w:hAnsi="Arial" w:cs="Arial"/>
          <w:sz w:val="20"/>
          <w:szCs w:val="20"/>
        </w:rPr>
        <w:t xml:space="preserve">pri domačih davkih na blago in storitve za 40.559.550 EUR </w:t>
      </w:r>
      <w:r>
        <w:rPr>
          <w:rFonts w:ascii="Arial" w:hAnsi="Arial" w:cs="Arial"/>
          <w:sz w:val="20"/>
          <w:szCs w:val="20"/>
        </w:rPr>
        <w:t xml:space="preserve">ali </w:t>
      </w:r>
      <w:r w:rsidRPr="00D1486C">
        <w:rPr>
          <w:rFonts w:ascii="Arial" w:hAnsi="Arial" w:cs="Arial"/>
          <w:sz w:val="20"/>
          <w:szCs w:val="20"/>
        </w:rPr>
        <w:t>15 odstotk</w:t>
      </w:r>
      <w:r>
        <w:rPr>
          <w:rFonts w:ascii="Arial" w:hAnsi="Arial" w:cs="Arial"/>
          <w:sz w:val="20"/>
          <w:szCs w:val="20"/>
        </w:rPr>
        <w:t>ov</w:t>
      </w:r>
      <w:r w:rsidRPr="00D1486C">
        <w:rPr>
          <w:rFonts w:ascii="Arial" w:hAnsi="Arial" w:cs="Arial"/>
          <w:sz w:val="20"/>
          <w:szCs w:val="20"/>
        </w:rPr>
        <w:t xml:space="preserve">, </w:t>
      </w:r>
      <w:r w:rsidRPr="00D1486C">
        <w:rPr>
          <w:rFonts w:ascii="Arial" w:hAnsi="Arial" w:cs="Arial"/>
          <w:iCs/>
          <w:sz w:val="20"/>
          <w:szCs w:val="20"/>
        </w:rPr>
        <w:t>p</w:t>
      </w:r>
      <w:r w:rsidRPr="00D1486C">
        <w:rPr>
          <w:rFonts w:ascii="Arial" w:hAnsi="Arial" w:cs="Arial"/>
          <w:sz w:val="20"/>
          <w:szCs w:val="20"/>
        </w:rPr>
        <w:t xml:space="preserve">ri davkih na dohodek in dobiček za 11.780.154 EUR </w:t>
      </w:r>
      <w:r>
        <w:rPr>
          <w:rFonts w:ascii="Arial" w:hAnsi="Arial" w:cs="Arial"/>
          <w:sz w:val="20"/>
          <w:szCs w:val="20"/>
        </w:rPr>
        <w:t xml:space="preserve">ali </w:t>
      </w:r>
      <w:r w:rsidRPr="00D1486C">
        <w:rPr>
          <w:rFonts w:ascii="Arial" w:hAnsi="Arial" w:cs="Arial"/>
          <w:sz w:val="20"/>
          <w:szCs w:val="20"/>
        </w:rPr>
        <w:t xml:space="preserve">4,7 odstotka, pri prispevkih za socialno varnost za 1.173.101 EUR </w:t>
      </w:r>
      <w:r>
        <w:rPr>
          <w:rFonts w:ascii="Arial" w:hAnsi="Arial" w:cs="Arial"/>
          <w:sz w:val="20"/>
          <w:szCs w:val="20"/>
        </w:rPr>
        <w:t xml:space="preserve">ali </w:t>
      </w:r>
      <w:r w:rsidRPr="00D1486C">
        <w:rPr>
          <w:rFonts w:ascii="Arial" w:hAnsi="Arial" w:cs="Arial"/>
          <w:sz w:val="20"/>
          <w:szCs w:val="20"/>
        </w:rPr>
        <w:t xml:space="preserve">0,5 odstotka ter pri mednarodni trgovini in transakcijah za 79.968 EUR </w:t>
      </w:r>
      <w:r>
        <w:rPr>
          <w:rFonts w:ascii="Arial" w:hAnsi="Arial" w:cs="Arial"/>
          <w:sz w:val="20"/>
          <w:szCs w:val="20"/>
        </w:rPr>
        <w:t xml:space="preserve">ali </w:t>
      </w:r>
      <w:r w:rsidRPr="00D1486C">
        <w:rPr>
          <w:rFonts w:ascii="Arial" w:hAnsi="Arial" w:cs="Arial"/>
          <w:sz w:val="20"/>
          <w:szCs w:val="20"/>
        </w:rPr>
        <w:t xml:space="preserve">4,1 odstotka; </w:t>
      </w:r>
    </w:p>
    <w:p w14:paraId="3FA3702C" w14:textId="77777777" w:rsidR="00A155A2" w:rsidRPr="00D1486C" w:rsidRDefault="00A155A2" w:rsidP="00A155A2">
      <w:pPr>
        <w:pStyle w:val="Odstavekseznama1"/>
        <w:numPr>
          <w:ilvl w:val="0"/>
          <w:numId w:val="28"/>
        </w:numPr>
        <w:spacing w:line="276" w:lineRule="auto"/>
        <w:jc w:val="both"/>
        <w:rPr>
          <w:rFonts w:ascii="Arial" w:hAnsi="Arial" w:cs="Arial"/>
          <w:b/>
          <w:sz w:val="20"/>
          <w:szCs w:val="20"/>
        </w:rPr>
      </w:pPr>
      <w:r>
        <w:rPr>
          <w:rFonts w:ascii="Arial" w:hAnsi="Arial" w:cs="Arial"/>
          <w:i/>
          <w:iCs/>
          <w:sz w:val="20"/>
          <w:szCs w:val="20"/>
        </w:rPr>
        <w:t>zmanjšal</w:t>
      </w:r>
      <w:r w:rsidRPr="00D1486C">
        <w:rPr>
          <w:rFonts w:ascii="Arial" w:hAnsi="Arial" w:cs="Arial"/>
          <w:i/>
          <w:iCs/>
          <w:sz w:val="20"/>
          <w:szCs w:val="20"/>
        </w:rPr>
        <w:t xml:space="preserve"> dolg </w:t>
      </w:r>
      <w:r w:rsidRPr="00D1486C">
        <w:rPr>
          <w:rFonts w:ascii="Arial" w:hAnsi="Arial" w:cs="Arial"/>
          <w:sz w:val="20"/>
          <w:szCs w:val="20"/>
        </w:rPr>
        <w:t>pri davkih na premoženje za</w:t>
      </w:r>
      <w:r w:rsidRPr="00D1486C">
        <w:t xml:space="preserve"> </w:t>
      </w:r>
      <w:r w:rsidRPr="00D1486C">
        <w:rPr>
          <w:rFonts w:ascii="Arial" w:hAnsi="Arial" w:cs="Arial"/>
          <w:sz w:val="20"/>
          <w:szCs w:val="20"/>
        </w:rPr>
        <w:t xml:space="preserve">521.095 EUR </w:t>
      </w:r>
      <w:r>
        <w:rPr>
          <w:rFonts w:ascii="Arial" w:hAnsi="Arial" w:cs="Arial"/>
          <w:sz w:val="20"/>
          <w:szCs w:val="20"/>
        </w:rPr>
        <w:t xml:space="preserve">ali </w:t>
      </w:r>
      <w:r w:rsidRPr="00D1486C">
        <w:rPr>
          <w:rFonts w:ascii="Arial" w:hAnsi="Arial" w:cs="Arial"/>
          <w:sz w:val="20"/>
          <w:szCs w:val="20"/>
        </w:rPr>
        <w:t xml:space="preserve">2,4 odstotka </w:t>
      </w:r>
      <w:r>
        <w:rPr>
          <w:rFonts w:ascii="Arial" w:hAnsi="Arial" w:cs="Arial"/>
          <w:sz w:val="20"/>
          <w:szCs w:val="20"/>
        </w:rPr>
        <w:t>ter</w:t>
      </w:r>
      <w:r w:rsidRPr="00D1486C">
        <w:rPr>
          <w:rFonts w:ascii="Arial" w:hAnsi="Arial" w:cs="Arial"/>
          <w:sz w:val="20"/>
          <w:szCs w:val="20"/>
        </w:rPr>
        <w:t xml:space="preserve"> pri davkih na plačilno listo in delovno silo za 161.863 EUR </w:t>
      </w:r>
      <w:r>
        <w:rPr>
          <w:rFonts w:ascii="Arial" w:hAnsi="Arial" w:cs="Arial"/>
          <w:sz w:val="20"/>
          <w:szCs w:val="20"/>
        </w:rPr>
        <w:t xml:space="preserve">ali </w:t>
      </w:r>
      <w:r w:rsidRPr="00D1486C">
        <w:rPr>
          <w:rFonts w:ascii="Arial" w:hAnsi="Arial" w:cs="Arial"/>
          <w:sz w:val="20"/>
          <w:szCs w:val="20"/>
        </w:rPr>
        <w:t xml:space="preserve">42,5 odstotka. </w:t>
      </w:r>
    </w:p>
    <w:p w14:paraId="7C13175F" w14:textId="77777777" w:rsidR="00A155A2" w:rsidRDefault="00A155A2" w:rsidP="00A155A2">
      <w:pPr>
        <w:pStyle w:val="Odstavekseznama1"/>
        <w:spacing w:before="100" w:beforeAutospacing="1" w:line="276" w:lineRule="auto"/>
        <w:ind w:left="0"/>
        <w:rPr>
          <w:rFonts w:ascii="Arial" w:hAnsi="Arial" w:cs="Arial"/>
          <w:i/>
          <w:iCs/>
          <w:sz w:val="20"/>
          <w:szCs w:val="20"/>
        </w:rPr>
      </w:pPr>
    </w:p>
    <w:p w14:paraId="03748656" w14:textId="77777777" w:rsidR="00A155A2" w:rsidRPr="006461B2" w:rsidRDefault="00A155A2" w:rsidP="00A155A2">
      <w:pPr>
        <w:pStyle w:val="Odstavekseznama1"/>
        <w:spacing w:before="100" w:beforeAutospacing="1" w:line="276" w:lineRule="auto"/>
        <w:ind w:left="0"/>
        <w:rPr>
          <w:rFonts w:ascii="Arial" w:hAnsi="Arial" w:cs="Arial"/>
          <w:b/>
          <w:sz w:val="20"/>
          <w:szCs w:val="20"/>
        </w:rPr>
      </w:pPr>
      <w:r w:rsidRPr="00251F7F">
        <w:rPr>
          <w:rFonts w:ascii="Arial" w:hAnsi="Arial" w:cs="Arial"/>
          <w:b/>
          <w:sz w:val="20"/>
          <w:szCs w:val="20"/>
        </w:rPr>
        <w:t>4.6    Davčni dolg po starosti</w:t>
      </w:r>
      <w:r w:rsidRPr="006461B2">
        <w:rPr>
          <w:rFonts w:ascii="Arial" w:hAnsi="Arial" w:cs="Arial"/>
          <w:b/>
          <w:sz w:val="20"/>
          <w:szCs w:val="20"/>
        </w:rPr>
        <w:t xml:space="preserve"> </w:t>
      </w:r>
    </w:p>
    <w:p w14:paraId="2852373C" w14:textId="77777777" w:rsidR="00A155A2" w:rsidRPr="00C77D14" w:rsidRDefault="00A155A2" w:rsidP="00A155A2">
      <w:pPr>
        <w:spacing w:before="100" w:beforeAutospacing="1"/>
        <w:jc w:val="both"/>
        <w:rPr>
          <w:rFonts w:ascii="Arial" w:hAnsi="Arial" w:cs="Arial"/>
          <w:sz w:val="20"/>
          <w:szCs w:val="20"/>
        </w:rPr>
      </w:pPr>
      <w:r>
        <w:rPr>
          <w:rFonts w:ascii="Arial" w:hAnsi="Arial" w:cs="Arial"/>
          <w:sz w:val="20"/>
          <w:szCs w:val="20"/>
        </w:rPr>
        <w:t>Vrednosti</w:t>
      </w:r>
      <w:r w:rsidRPr="00251F7F">
        <w:rPr>
          <w:rFonts w:ascii="Arial" w:hAnsi="Arial" w:cs="Arial"/>
          <w:sz w:val="20"/>
          <w:szCs w:val="20"/>
        </w:rPr>
        <w:t xml:space="preserve"> davčnega dolga po blagajnah in letu njegovega nastanka glede na datum zapadlosti </w:t>
      </w:r>
      <w:r>
        <w:rPr>
          <w:rFonts w:ascii="Arial" w:hAnsi="Arial" w:cs="Arial"/>
          <w:sz w:val="20"/>
          <w:szCs w:val="20"/>
        </w:rPr>
        <w:t>so</w:t>
      </w:r>
      <w:r w:rsidRPr="00251F7F">
        <w:rPr>
          <w:rFonts w:ascii="Arial" w:hAnsi="Arial" w:cs="Arial"/>
          <w:sz w:val="20"/>
          <w:szCs w:val="20"/>
        </w:rPr>
        <w:t xml:space="preserve"> razvidne</w:t>
      </w:r>
      <w:r w:rsidRPr="00FB007E">
        <w:rPr>
          <w:rFonts w:ascii="Arial" w:hAnsi="Arial" w:cs="Arial"/>
          <w:sz w:val="20"/>
          <w:szCs w:val="20"/>
        </w:rPr>
        <w:t xml:space="preserve"> iz</w:t>
      </w:r>
      <w:r w:rsidRPr="00C77D14">
        <w:rPr>
          <w:rFonts w:ascii="Arial" w:hAnsi="Arial" w:cs="Arial"/>
          <w:sz w:val="20"/>
          <w:szCs w:val="20"/>
        </w:rPr>
        <w:t xml:space="preserve"> preglednice 8. </w:t>
      </w:r>
    </w:p>
    <w:p w14:paraId="751DAFCB" w14:textId="77777777" w:rsidR="00A155A2" w:rsidRPr="00C77D14" w:rsidRDefault="00A155A2" w:rsidP="00A155A2">
      <w:pPr>
        <w:jc w:val="both"/>
        <w:rPr>
          <w:rFonts w:ascii="Arial" w:hAnsi="Arial" w:cs="Arial"/>
          <w:sz w:val="20"/>
          <w:szCs w:val="20"/>
        </w:rPr>
      </w:pPr>
      <w:r w:rsidRPr="00C77D14">
        <w:rPr>
          <w:rFonts w:ascii="Arial" w:hAnsi="Arial" w:cs="Arial"/>
          <w:sz w:val="20"/>
          <w:szCs w:val="20"/>
        </w:rPr>
        <w:t xml:space="preserve">Dolg z zapadlostjo v letu 2024 po stanju na dan 31. </w:t>
      </w:r>
      <w:r>
        <w:rPr>
          <w:rFonts w:ascii="Arial" w:hAnsi="Arial" w:cs="Arial"/>
          <w:sz w:val="20"/>
          <w:szCs w:val="20"/>
        </w:rPr>
        <w:t>december</w:t>
      </w:r>
      <w:r w:rsidRPr="00C77D14">
        <w:rPr>
          <w:rFonts w:ascii="Arial" w:hAnsi="Arial" w:cs="Arial"/>
          <w:sz w:val="20"/>
          <w:szCs w:val="20"/>
        </w:rPr>
        <w:t xml:space="preserve"> 2024 </w:t>
      </w:r>
      <w:r>
        <w:rPr>
          <w:rFonts w:ascii="Arial" w:hAnsi="Arial" w:cs="Arial"/>
          <w:sz w:val="20"/>
          <w:szCs w:val="20"/>
        </w:rPr>
        <w:t>je bil</w:t>
      </w:r>
      <w:r w:rsidRPr="00C77D14">
        <w:rPr>
          <w:rFonts w:ascii="Arial" w:hAnsi="Arial" w:cs="Arial"/>
          <w:sz w:val="20"/>
          <w:szCs w:val="20"/>
        </w:rPr>
        <w:t xml:space="preserve"> 297.124.913 EUR (32,9 odstotk</w:t>
      </w:r>
      <w:r>
        <w:rPr>
          <w:rFonts w:ascii="Arial" w:hAnsi="Arial" w:cs="Arial"/>
          <w:sz w:val="20"/>
          <w:szCs w:val="20"/>
        </w:rPr>
        <w:t>a</w:t>
      </w:r>
      <w:r w:rsidRPr="00C77D14">
        <w:rPr>
          <w:rFonts w:ascii="Arial" w:hAnsi="Arial" w:cs="Arial"/>
          <w:sz w:val="20"/>
          <w:szCs w:val="20"/>
        </w:rPr>
        <w:t xml:space="preserve">), ob sestavi poročila na dan </w:t>
      </w:r>
      <w:r>
        <w:rPr>
          <w:rFonts w:ascii="Arial" w:hAnsi="Arial" w:cs="Arial"/>
          <w:sz w:val="20"/>
          <w:szCs w:val="20"/>
        </w:rPr>
        <w:t>31</w:t>
      </w:r>
      <w:r w:rsidRPr="00C77D14">
        <w:rPr>
          <w:rFonts w:ascii="Arial" w:hAnsi="Arial" w:cs="Arial"/>
          <w:sz w:val="20"/>
          <w:szCs w:val="20"/>
        </w:rPr>
        <w:t xml:space="preserve">. </w:t>
      </w:r>
      <w:r>
        <w:rPr>
          <w:rFonts w:ascii="Arial" w:hAnsi="Arial" w:cs="Arial"/>
          <w:sz w:val="20"/>
          <w:szCs w:val="20"/>
        </w:rPr>
        <w:t>marec</w:t>
      </w:r>
      <w:r w:rsidRPr="00C77D14">
        <w:rPr>
          <w:rFonts w:ascii="Arial" w:hAnsi="Arial" w:cs="Arial"/>
          <w:sz w:val="20"/>
          <w:szCs w:val="20"/>
        </w:rPr>
        <w:t xml:space="preserve"> 202</w:t>
      </w:r>
      <w:r>
        <w:rPr>
          <w:rFonts w:ascii="Arial" w:hAnsi="Arial" w:cs="Arial"/>
          <w:sz w:val="20"/>
          <w:szCs w:val="20"/>
        </w:rPr>
        <w:t>5</w:t>
      </w:r>
      <w:r w:rsidRPr="00C77D14">
        <w:rPr>
          <w:rFonts w:ascii="Arial" w:hAnsi="Arial" w:cs="Arial"/>
          <w:sz w:val="20"/>
          <w:szCs w:val="20"/>
        </w:rPr>
        <w:t xml:space="preserve"> </w:t>
      </w:r>
      <w:r>
        <w:rPr>
          <w:rFonts w:ascii="Arial" w:hAnsi="Arial" w:cs="Arial"/>
          <w:sz w:val="20"/>
          <w:szCs w:val="20"/>
        </w:rPr>
        <w:t>pa je obsegal</w:t>
      </w:r>
      <w:r w:rsidRPr="00C77D14">
        <w:rPr>
          <w:rFonts w:ascii="Arial" w:hAnsi="Arial" w:cs="Arial"/>
          <w:sz w:val="20"/>
          <w:szCs w:val="20"/>
        </w:rPr>
        <w:t xml:space="preserve"> </w:t>
      </w:r>
      <w:r>
        <w:rPr>
          <w:rFonts w:ascii="Arial" w:hAnsi="Arial" w:cs="Arial"/>
          <w:sz w:val="20"/>
          <w:szCs w:val="20"/>
        </w:rPr>
        <w:t>151.147.823</w:t>
      </w:r>
      <w:r w:rsidRPr="00C77D14">
        <w:rPr>
          <w:rFonts w:ascii="Arial" w:hAnsi="Arial" w:cs="Arial"/>
          <w:sz w:val="20"/>
          <w:szCs w:val="20"/>
        </w:rPr>
        <w:t xml:space="preserve"> EUR (1</w:t>
      </w:r>
      <w:r>
        <w:rPr>
          <w:rFonts w:ascii="Arial" w:hAnsi="Arial" w:cs="Arial"/>
          <w:sz w:val="20"/>
          <w:szCs w:val="20"/>
        </w:rPr>
        <w:t>7</w:t>
      </w:r>
      <w:r w:rsidRPr="00C77D14">
        <w:rPr>
          <w:rFonts w:ascii="Arial" w:hAnsi="Arial" w:cs="Arial"/>
          <w:sz w:val="20"/>
          <w:szCs w:val="20"/>
        </w:rPr>
        <w:t>,</w:t>
      </w:r>
      <w:r>
        <w:rPr>
          <w:rFonts w:ascii="Arial" w:hAnsi="Arial" w:cs="Arial"/>
          <w:sz w:val="20"/>
          <w:szCs w:val="20"/>
        </w:rPr>
        <w:t>6</w:t>
      </w:r>
      <w:r w:rsidRPr="00C77D14">
        <w:rPr>
          <w:rFonts w:ascii="Arial" w:hAnsi="Arial" w:cs="Arial"/>
          <w:sz w:val="20"/>
          <w:szCs w:val="20"/>
        </w:rPr>
        <w:t xml:space="preserve"> odstotka). Preostali dolg je iz prejšnjih let. </w:t>
      </w:r>
    </w:p>
    <w:p w14:paraId="0EEDE507" w14:textId="77777777" w:rsidR="00A155A2" w:rsidRDefault="00A155A2" w:rsidP="00A155A2">
      <w:pPr>
        <w:pStyle w:val="Brezrazmikov"/>
        <w:rPr>
          <w:rFonts w:ascii="Arial" w:hAnsi="Arial" w:cs="Arial"/>
          <w:i/>
          <w:sz w:val="20"/>
          <w:szCs w:val="20"/>
        </w:rPr>
      </w:pPr>
      <w:r w:rsidRPr="00E26F75">
        <w:rPr>
          <w:rFonts w:ascii="Arial" w:hAnsi="Arial" w:cs="Arial"/>
          <w:i/>
          <w:sz w:val="20"/>
          <w:szCs w:val="20"/>
        </w:rPr>
        <w:t>Preglednica 8</w:t>
      </w:r>
      <w:r>
        <w:rPr>
          <w:rFonts w:ascii="Arial" w:hAnsi="Arial" w:cs="Arial"/>
          <w:i/>
          <w:sz w:val="20"/>
          <w:szCs w:val="20"/>
        </w:rPr>
        <w:t xml:space="preserve">: </w:t>
      </w:r>
      <w:r w:rsidRPr="00E26F75">
        <w:rPr>
          <w:rFonts w:ascii="Arial" w:hAnsi="Arial" w:cs="Arial"/>
          <w:i/>
          <w:sz w:val="20"/>
          <w:szCs w:val="20"/>
        </w:rPr>
        <w:t xml:space="preserve">Davčni dolg po javnofinančnih blagajnah glede na </w:t>
      </w:r>
      <w:r w:rsidRPr="00672209">
        <w:rPr>
          <w:rFonts w:ascii="Arial" w:hAnsi="Arial" w:cs="Arial"/>
          <w:i/>
          <w:sz w:val="20"/>
          <w:szCs w:val="20"/>
        </w:rPr>
        <w:t xml:space="preserve">zapadlost </w:t>
      </w:r>
      <w:r>
        <w:rPr>
          <w:rFonts w:ascii="Arial" w:hAnsi="Arial" w:cs="Arial"/>
          <w:i/>
          <w:sz w:val="20"/>
          <w:szCs w:val="20"/>
        </w:rPr>
        <w:t>(</w:t>
      </w:r>
      <w:r w:rsidRPr="00672209">
        <w:rPr>
          <w:rFonts w:ascii="Arial" w:hAnsi="Arial" w:cs="Arial"/>
          <w:i/>
          <w:sz w:val="20"/>
          <w:szCs w:val="20"/>
        </w:rPr>
        <w:t>v EUR</w:t>
      </w:r>
      <w:r>
        <w:rPr>
          <w:rFonts w:ascii="Arial" w:hAnsi="Arial" w:cs="Arial"/>
          <w:i/>
          <w:sz w:val="20"/>
          <w:szCs w:val="20"/>
        </w:rPr>
        <w:t>)</w:t>
      </w:r>
    </w:p>
    <w:p w14:paraId="5777EEC5" w14:textId="77777777" w:rsidR="00A155A2" w:rsidRDefault="00A155A2" w:rsidP="00A155A2">
      <w:pPr>
        <w:pStyle w:val="Brezrazmikov"/>
        <w:rPr>
          <w:rFonts w:ascii="Arial" w:hAnsi="Arial" w:cs="Arial"/>
          <w:i/>
          <w:sz w:val="20"/>
          <w:szCs w:val="20"/>
        </w:rPr>
      </w:pPr>
    </w:p>
    <w:tbl>
      <w:tblPr>
        <w:tblW w:w="9301" w:type="dxa"/>
        <w:tblCellMar>
          <w:left w:w="70" w:type="dxa"/>
          <w:right w:w="70" w:type="dxa"/>
        </w:tblCellMar>
        <w:tblLook w:val="04A0" w:firstRow="1" w:lastRow="0" w:firstColumn="1" w:lastColumn="0" w:noHBand="0" w:noVBand="1"/>
      </w:tblPr>
      <w:tblGrid>
        <w:gridCol w:w="1437"/>
        <w:gridCol w:w="1167"/>
        <w:gridCol w:w="1083"/>
        <w:gridCol w:w="1114"/>
        <w:gridCol w:w="1132"/>
        <w:gridCol w:w="1059"/>
        <w:gridCol w:w="1167"/>
        <w:gridCol w:w="1142"/>
      </w:tblGrid>
      <w:tr w:rsidR="00A155A2" w:rsidRPr="00CF5DFF" w14:paraId="2304C599" w14:textId="77777777" w:rsidTr="001C77D2">
        <w:trPr>
          <w:trHeight w:val="678"/>
        </w:trPr>
        <w:tc>
          <w:tcPr>
            <w:tcW w:w="1437" w:type="dxa"/>
            <w:tcBorders>
              <w:top w:val="single" w:sz="4" w:space="0" w:color="auto"/>
              <w:left w:val="single" w:sz="4" w:space="0" w:color="auto"/>
              <w:bottom w:val="nil"/>
              <w:right w:val="single" w:sz="4" w:space="0" w:color="auto"/>
            </w:tcBorders>
            <w:shd w:val="clear" w:color="000000" w:fill="B8CCE4"/>
            <w:vAlign w:val="center"/>
            <w:hideMark/>
          </w:tcPr>
          <w:p w14:paraId="2F0FE25F"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Davčni dolg po javnofinančnih blagajnah</w:t>
            </w:r>
          </w:p>
        </w:tc>
        <w:tc>
          <w:tcPr>
            <w:tcW w:w="1167" w:type="dxa"/>
            <w:tcBorders>
              <w:top w:val="single" w:sz="4" w:space="0" w:color="auto"/>
              <w:left w:val="nil"/>
              <w:bottom w:val="nil"/>
              <w:right w:val="single" w:sz="4" w:space="0" w:color="auto"/>
            </w:tcBorders>
            <w:shd w:val="clear" w:color="000000" w:fill="B8CCE4"/>
            <w:vAlign w:val="center"/>
            <w:hideMark/>
          </w:tcPr>
          <w:p w14:paraId="0F6C1215"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2019</w:t>
            </w:r>
          </w:p>
        </w:tc>
        <w:tc>
          <w:tcPr>
            <w:tcW w:w="1081" w:type="dxa"/>
            <w:tcBorders>
              <w:top w:val="single" w:sz="4" w:space="0" w:color="auto"/>
              <w:left w:val="nil"/>
              <w:bottom w:val="nil"/>
              <w:right w:val="single" w:sz="4" w:space="0" w:color="auto"/>
            </w:tcBorders>
            <w:shd w:val="clear" w:color="000000" w:fill="B8CCE4"/>
            <w:vAlign w:val="center"/>
            <w:hideMark/>
          </w:tcPr>
          <w:p w14:paraId="3FFE729D"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2020</w:t>
            </w:r>
          </w:p>
        </w:tc>
        <w:tc>
          <w:tcPr>
            <w:tcW w:w="1114" w:type="dxa"/>
            <w:tcBorders>
              <w:top w:val="single" w:sz="4" w:space="0" w:color="auto"/>
              <w:left w:val="nil"/>
              <w:bottom w:val="nil"/>
              <w:right w:val="single" w:sz="4" w:space="0" w:color="auto"/>
            </w:tcBorders>
            <w:shd w:val="clear" w:color="000000" w:fill="B8CCE4"/>
            <w:vAlign w:val="center"/>
            <w:hideMark/>
          </w:tcPr>
          <w:p w14:paraId="1F7FD9B6"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2021</w:t>
            </w:r>
          </w:p>
        </w:tc>
        <w:tc>
          <w:tcPr>
            <w:tcW w:w="1132" w:type="dxa"/>
            <w:tcBorders>
              <w:top w:val="single" w:sz="4" w:space="0" w:color="auto"/>
              <w:left w:val="nil"/>
              <w:bottom w:val="nil"/>
              <w:right w:val="single" w:sz="4" w:space="0" w:color="auto"/>
            </w:tcBorders>
            <w:shd w:val="clear" w:color="000000" w:fill="B8CCE4"/>
            <w:vAlign w:val="center"/>
            <w:hideMark/>
          </w:tcPr>
          <w:p w14:paraId="06CFEB72"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2022</w:t>
            </w:r>
          </w:p>
        </w:tc>
        <w:tc>
          <w:tcPr>
            <w:tcW w:w="1059" w:type="dxa"/>
            <w:tcBorders>
              <w:top w:val="single" w:sz="4" w:space="0" w:color="auto"/>
              <w:left w:val="nil"/>
              <w:bottom w:val="nil"/>
              <w:right w:val="single" w:sz="4" w:space="0" w:color="auto"/>
            </w:tcBorders>
            <w:shd w:val="clear" w:color="000000" w:fill="B8CCE4"/>
            <w:vAlign w:val="center"/>
            <w:hideMark/>
          </w:tcPr>
          <w:p w14:paraId="71881D19"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2023</w:t>
            </w:r>
          </w:p>
        </w:tc>
        <w:tc>
          <w:tcPr>
            <w:tcW w:w="1167" w:type="dxa"/>
            <w:tcBorders>
              <w:top w:val="single" w:sz="4" w:space="0" w:color="auto"/>
              <w:left w:val="nil"/>
              <w:bottom w:val="nil"/>
              <w:right w:val="single" w:sz="4" w:space="0" w:color="auto"/>
            </w:tcBorders>
            <w:shd w:val="clear" w:color="000000" w:fill="B8CCE4"/>
            <w:vAlign w:val="center"/>
            <w:hideMark/>
          </w:tcPr>
          <w:p w14:paraId="0DD13A20"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Zapadlost dolga v letu 2024</w:t>
            </w:r>
          </w:p>
        </w:tc>
        <w:tc>
          <w:tcPr>
            <w:tcW w:w="1141" w:type="dxa"/>
            <w:tcBorders>
              <w:top w:val="single" w:sz="4" w:space="0" w:color="auto"/>
              <w:left w:val="nil"/>
              <w:bottom w:val="nil"/>
              <w:right w:val="single" w:sz="4" w:space="0" w:color="auto"/>
            </w:tcBorders>
            <w:shd w:val="clear" w:color="000000" w:fill="B8CCE4"/>
            <w:vAlign w:val="center"/>
            <w:hideMark/>
          </w:tcPr>
          <w:p w14:paraId="2EAFA2C9" w14:textId="77777777" w:rsidR="00A155A2" w:rsidRPr="00CF5DFF" w:rsidRDefault="00A155A2" w:rsidP="001C77D2">
            <w:pPr>
              <w:spacing w:after="0" w:line="240" w:lineRule="auto"/>
              <w:jc w:val="center"/>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Skupaj stanje dolga </w:t>
            </w:r>
          </w:p>
        </w:tc>
      </w:tr>
      <w:tr w:rsidR="00A155A2" w:rsidRPr="00CF5DFF" w14:paraId="43BF50F6" w14:textId="77777777" w:rsidTr="001C77D2">
        <w:trPr>
          <w:trHeight w:val="253"/>
        </w:trPr>
        <w:tc>
          <w:tcPr>
            <w:tcW w:w="9301" w:type="dxa"/>
            <w:gridSpan w:val="8"/>
            <w:tcBorders>
              <w:top w:val="single" w:sz="4" w:space="0" w:color="auto"/>
              <w:left w:val="single" w:sz="4" w:space="0" w:color="auto"/>
              <w:bottom w:val="single" w:sz="4" w:space="0" w:color="auto"/>
              <w:right w:val="single" w:sz="4" w:space="0" w:color="000000"/>
            </w:tcBorders>
            <w:shd w:val="clear" w:color="000000" w:fill="DCE6F1"/>
            <w:vAlign w:val="center"/>
            <w:hideMark/>
          </w:tcPr>
          <w:p w14:paraId="091D4A7D"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Državni proračun </w:t>
            </w:r>
          </w:p>
        </w:tc>
      </w:tr>
      <w:tr w:rsidR="00A155A2" w:rsidRPr="00CF5DFF" w14:paraId="7C73826A"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1D91C603"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Aktivni dolg </w:t>
            </w:r>
          </w:p>
        </w:tc>
        <w:tc>
          <w:tcPr>
            <w:tcW w:w="1167" w:type="dxa"/>
            <w:tcBorders>
              <w:top w:val="nil"/>
              <w:left w:val="nil"/>
              <w:bottom w:val="single" w:sz="4" w:space="0" w:color="auto"/>
              <w:right w:val="single" w:sz="4" w:space="0" w:color="auto"/>
            </w:tcBorders>
            <w:shd w:val="clear" w:color="auto" w:fill="auto"/>
            <w:vAlign w:val="center"/>
            <w:hideMark/>
          </w:tcPr>
          <w:p w14:paraId="7C660FFE"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60.703.314</w:t>
            </w:r>
          </w:p>
        </w:tc>
        <w:tc>
          <w:tcPr>
            <w:tcW w:w="1081" w:type="dxa"/>
            <w:tcBorders>
              <w:top w:val="nil"/>
              <w:left w:val="nil"/>
              <w:bottom w:val="single" w:sz="4" w:space="0" w:color="auto"/>
              <w:right w:val="single" w:sz="4" w:space="0" w:color="auto"/>
            </w:tcBorders>
            <w:shd w:val="clear" w:color="auto" w:fill="auto"/>
            <w:vAlign w:val="center"/>
            <w:hideMark/>
          </w:tcPr>
          <w:p w14:paraId="7280783C"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10.498.578</w:t>
            </w:r>
          </w:p>
        </w:tc>
        <w:tc>
          <w:tcPr>
            <w:tcW w:w="1114" w:type="dxa"/>
            <w:tcBorders>
              <w:top w:val="nil"/>
              <w:left w:val="nil"/>
              <w:bottom w:val="single" w:sz="4" w:space="0" w:color="auto"/>
              <w:right w:val="single" w:sz="4" w:space="0" w:color="auto"/>
            </w:tcBorders>
            <w:shd w:val="clear" w:color="auto" w:fill="auto"/>
            <w:vAlign w:val="center"/>
            <w:hideMark/>
          </w:tcPr>
          <w:p w14:paraId="45918477"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17.240.820</w:t>
            </w:r>
          </w:p>
        </w:tc>
        <w:tc>
          <w:tcPr>
            <w:tcW w:w="1132" w:type="dxa"/>
            <w:tcBorders>
              <w:top w:val="nil"/>
              <w:left w:val="nil"/>
              <w:bottom w:val="single" w:sz="4" w:space="0" w:color="auto"/>
              <w:right w:val="single" w:sz="4" w:space="0" w:color="auto"/>
            </w:tcBorders>
            <w:shd w:val="clear" w:color="auto" w:fill="auto"/>
            <w:vAlign w:val="center"/>
            <w:hideMark/>
          </w:tcPr>
          <w:p w14:paraId="7A93AE0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20.035.675</w:t>
            </w:r>
          </w:p>
        </w:tc>
        <w:tc>
          <w:tcPr>
            <w:tcW w:w="1059" w:type="dxa"/>
            <w:tcBorders>
              <w:top w:val="nil"/>
              <w:left w:val="nil"/>
              <w:bottom w:val="single" w:sz="4" w:space="0" w:color="auto"/>
              <w:right w:val="single" w:sz="4" w:space="0" w:color="auto"/>
            </w:tcBorders>
            <w:shd w:val="clear" w:color="auto" w:fill="auto"/>
            <w:vAlign w:val="center"/>
            <w:hideMark/>
          </w:tcPr>
          <w:p w14:paraId="0E876855"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32.176.383</w:t>
            </w:r>
          </w:p>
        </w:tc>
        <w:tc>
          <w:tcPr>
            <w:tcW w:w="1167" w:type="dxa"/>
            <w:tcBorders>
              <w:top w:val="nil"/>
              <w:left w:val="nil"/>
              <w:bottom w:val="single" w:sz="4" w:space="0" w:color="auto"/>
              <w:right w:val="single" w:sz="4" w:space="0" w:color="auto"/>
            </w:tcBorders>
            <w:shd w:val="clear" w:color="auto" w:fill="auto"/>
            <w:vAlign w:val="center"/>
            <w:hideMark/>
          </w:tcPr>
          <w:p w14:paraId="7BBA440A"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196.458.922</w:t>
            </w:r>
          </w:p>
        </w:tc>
        <w:tc>
          <w:tcPr>
            <w:tcW w:w="1141" w:type="dxa"/>
            <w:tcBorders>
              <w:top w:val="nil"/>
              <w:left w:val="nil"/>
              <w:bottom w:val="single" w:sz="4" w:space="0" w:color="auto"/>
              <w:right w:val="single" w:sz="4" w:space="0" w:color="auto"/>
            </w:tcBorders>
            <w:shd w:val="clear" w:color="auto" w:fill="auto"/>
            <w:vAlign w:val="center"/>
            <w:hideMark/>
          </w:tcPr>
          <w:p w14:paraId="33D1388F"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337.113.692</w:t>
            </w:r>
          </w:p>
        </w:tc>
      </w:tr>
      <w:tr w:rsidR="00A155A2" w:rsidRPr="00CF5DFF" w14:paraId="714449F2" w14:textId="77777777" w:rsidTr="001C77D2">
        <w:trPr>
          <w:trHeight w:val="380"/>
        </w:trPr>
        <w:tc>
          <w:tcPr>
            <w:tcW w:w="1437" w:type="dxa"/>
            <w:tcBorders>
              <w:top w:val="nil"/>
              <w:left w:val="single" w:sz="4" w:space="0" w:color="auto"/>
              <w:bottom w:val="nil"/>
              <w:right w:val="single" w:sz="4" w:space="0" w:color="auto"/>
            </w:tcBorders>
            <w:shd w:val="clear" w:color="auto" w:fill="auto"/>
            <w:vAlign w:val="center"/>
            <w:hideMark/>
          </w:tcPr>
          <w:p w14:paraId="765F0CBF"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Pogojno izterljivi dolg </w:t>
            </w:r>
          </w:p>
        </w:tc>
        <w:tc>
          <w:tcPr>
            <w:tcW w:w="1167" w:type="dxa"/>
            <w:tcBorders>
              <w:top w:val="nil"/>
              <w:left w:val="nil"/>
              <w:bottom w:val="nil"/>
              <w:right w:val="single" w:sz="4" w:space="0" w:color="auto"/>
            </w:tcBorders>
            <w:shd w:val="clear" w:color="auto" w:fill="auto"/>
            <w:vAlign w:val="center"/>
            <w:hideMark/>
          </w:tcPr>
          <w:p w14:paraId="3778FF7C"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169.430.929</w:t>
            </w:r>
          </w:p>
        </w:tc>
        <w:tc>
          <w:tcPr>
            <w:tcW w:w="1081" w:type="dxa"/>
            <w:tcBorders>
              <w:top w:val="nil"/>
              <w:left w:val="nil"/>
              <w:bottom w:val="nil"/>
              <w:right w:val="single" w:sz="4" w:space="0" w:color="auto"/>
            </w:tcBorders>
            <w:shd w:val="clear" w:color="auto" w:fill="auto"/>
            <w:vAlign w:val="center"/>
            <w:hideMark/>
          </w:tcPr>
          <w:p w14:paraId="37EE1AE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22.126.360</w:t>
            </w:r>
          </w:p>
        </w:tc>
        <w:tc>
          <w:tcPr>
            <w:tcW w:w="1114" w:type="dxa"/>
            <w:tcBorders>
              <w:top w:val="nil"/>
              <w:left w:val="nil"/>
              <w:bottom w:val="nil"/>
              <w:right w:val="single" w:sz="4" w:space="0" w:color="auto"/>
            </w:tcBorders>
            <w:shd w:val="clear" w:color="auto" w:fill="auto"/>
            <w:vAlign w:val="center"/>
            <w:hideMark/>
          </w:tcPr>
          <w:p w14:paraId="4489F39E"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18.933.074</w:t>
            </w:r>
          </w:p>
        </w:tc>
        <w:tc>
          <w:tcPr>
            <w:tcW w:w="1132" w:type="dxa"/>
            <w:tcBorders>
              <w:top w:val="nil"/>
              <w:left w:val="nil"/>
              <w:bottom w:val="single" w:sz="4" w:space="0" w:color="auto"/>
              <w:right w:val="single" w:sz="4" w:space="0" w:color="auto"/>
            </w:tcBorders>
            <w:shd w:val="clear" w:color="auto" w:fill="auto"/>
            <w:vAlign w:val="center"/>
            <w:hideMark/>
          </w:tcPr>
          <w:p w14:paraId="7B53D1FB"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28.472.579</w:t>
            </w:r>
          </w:p>
        </w:tc>
        <w:tc>
          <w:tcPr>
            <w:tcW w:w="1059" w:type="dxa"/>
            <w:tcBorders>
              <w:top w:val="nil"/>
              <w:left w:val="nil"/>
              <w:bottom w:val="single" w:sz="4" w:space="0" w:color="auto"/>
              <w:right w:val="single" w:sz="4" w:space="0" w:color="auto"/>
            </w:tcBorders>
            <w:shd w:val="clear" w:color="auto" w:fill="auto"/>
            <w:vAlign w:val="center"/>
            <w:hideMark/>
          </w:tcPr>
          <w:p w14:paraId="59AB855D"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34.624.606</w:t>
            </w:r>
          </w:p>
        </w:tc>
        <w:tc>
          <w:tcPr>
            <w:tcW w:w="1167" w:type="dxa"/>
            <w:tcBorders>
              <w:top w:val="nil"/>
              <w:left w:val="nil"/>
              <w:bottom w:val="single" w:sz="4" w:space="0" w:color="auto"/>
              <w:right w:val="single" w:sz="4" w:space="0" w:color="auto"/>
            </w:tcBorders>
            <w:shd w:val="clear" w:color="auto" w:fill="auto"/>
            <w:vAlign w:val="center"/>
            <w:hideMark/>
          </w:tcPr>
          <w:p w14:paraId="2428324E"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26.821.843</w:t>
            </w:r>
          </w:p>
        </w:tc>
        <w:tc>
          <w:tcPr>
            <w:tcW w:w="1141" w:type="dxa"/>
            <w:tcBorders>
              <w:top w:val="nil"/>
              <w:left w:val="nil"/>
              <w:bottom w:val="single" w:sz="4" w:space="0" w:color="auto"/>
              <w:right w:val="single" w:sz="4" w:space="0" w:color="auto"/>
            </w:tcBorders>
            <w:shd w:val="clear" w:color="auto" w:fill="auto"/>
            <w:vAlign w:val="center"/>
            <w:hideMark/>
          </w:tcPr>
          <w:p w14:paraId="351E94EE"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300.409.391</w:t>
            </w:r>
          </w:p>
        </w:tc>
      </w:tr>
      <w:tr w:rsidR="00A155A2" w:rsidRPr="00CF5DFF" w14:paraId="1655ECBC" w14:textId="77777777" w:rsidTr="001C77D2">
        <w:trPr>
          <w:trHeight w:val="232"/>
        </w:trPr>
        <w:tc>
          <w:tcPr>
            <w:tcW w:w="143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63D5C0CC"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Skupaj država</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1A5243EE"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230.134.243</w:t>
            </w:r>
          </w:p>
        </w:tc>
        <w:tc>
          <w:tcPr>
            <w:tcW w:w="1081" w:type="dxa"/>
            <w:tcBorders>
              <w:top w:val="double" w:sz="6" w:space="0" w:color="auto"/>
              <w:left w:val="nil"/>
              <w:bottom w:val="double" w:sz="6" w:space="0" w:color="auto"/>
              <w:right w:val="single" w:sz="4" w:space="0" w:color="auto"/>
            </w:tcBorders>
            <w:shd w:val="clear" w:color="auto" w:fill="auto"/>
            <w:vAlign w:val="center"/>
            <w:hideMark/>
          </w:tcPr>
          <w:p w14:paraId="6104B190"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32.624.938</w:t>
            </w:r>
          </w:p>
        </w:tc>
        <w:tc>
          <w:tcPr>
            <w:tcW w:w="1114" w:type="dxa"/>
            <w:tcBorders>
              <w:top w:val="double" w:sz="6" w:space="0" w:color="auto"/>
              <w:left w:val="nil"/>
              <w:bottom w:val="double" w:sz="6" w:space="0" w:color="auto"/>
              <w:right w:val="single" w:sz="4" w:space="0" w:color="auto"/>
            </w:tcBorders>
            <w:shd w:val="clear" w:color="auto" w:fill="auto"/>
            <w:vAlign w:val="center"/>
            <w:hideMark/>
          </w:tcPr>
          <w:p w14:paraId="0C1CD2AF"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36.173.894</w:t>
            </w:r>
          </w:p>
        </w:tc>
        <w:tc>
          <w:tcPr>
            <w:tcW w:w="1132" w:type="dxa"/>
            <w:tcBorders>
              <w:top w:val="double" w:sz="6" w:space="0" w:color="auto"/>
              <w:left w:val="nil"/>
              <w:bottom w:val="double" w:sz="6" w:space="0" w:color="auto"/>
              <w:right w:val="single" w:sz="4" w:space="0" w:color="auto"/>
            </w:tcBorders>
            <w:shd w:val="clear" w:color="auto" w:fill="auto"/>
            <w:vAlign w:val="center"/>
            <w:hideMark/>
          </w:tcPr>
          <w:p w14:paraId="48CB303B"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48.508.254</w:t>
            </w:r>
          </w:p>
        </w:tc>
        <w:tc>
          <w:tcPr>
            <w:tcW w:w="1059" w:type="dxa"/>
            <w:tcBorders>
              <w:top w:val="double" w:sz="6" w:space="0" w:color="auto"/>
              <w:left w:val="nil"/>
              <w:bottom w:val="double" w:sz="6" w:space="0" w:color="auto"/>
              <w:right w:val="single" w:sz="4" w:space="0" w:color="auto"/>
            </w:tcBorders>
            <w:shd w:val="clear" w:color="auto" w:fill="auto"/>
            <w:vAlign w:val="center"/>
            <w:hideMark/>
          </w:tcPr>
          <w:p w14:paraId="36062B2A"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66.800.989</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25B2BB08"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223.280.765</w:t>
            </w:r>
          </w:p>
        </w:tc>
        <w:tc>
          <w:tcPr>
            <w:tcW w:w="1141" w:type="dxa"/>
            <w:tcBorders>
              <w:top w:val="double" w:sz="6" w:space="0" w:color="auto"/>
              <w:left w:val="nil"/>
              <w:bottom w:val="double" w:sz="6" w:space="0" w:color="auto"/>
              <w:right w:val="single" w:sz="4" w:space="0" w:color="auto"/>
            </w:tcBorders>
            <w:shd w:val="clear" w:color="auto" w:fill="auto"/>
            <w:vAlign w:val="center"/>
            <w:hideMark/>
          </w:tcPr>
          <w:p w14:paraId="54BDF467"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637.523.083</w:t>
            </w:r>
          </w:p>
        </w:tc>
      </w:tr>
      <w:tr w:rsidR="00A155A2" w:rsidRPr="00CF5DFF" w14:paraId="19C6AA76" w14:textId="77777777" w:rsidTr="001C77D2">
        <w:trPr>
          <w:trHeight w:val="275"/>
        </w:trPr>
        <w:tc>
          <w:tcPr>
            <w:tcW w:w="9301" w:type="dxa"/>
            <w:gridSpan w:val="8"/>
            <w:tcBorders>
              <w:top w:val="double" w:sz="6" w:space="0" w:color="auto"/>
              <w:left w:val="single" w:sz="4" w:space="0" w:color="auto"/>
              <w:bottom w:val="single" w:sz="4" w:space="0" w:color="auto"/>
              <w:right w:val="single" w:sz="4" w:space="0" w:color="000000"/>
            </w:tcBorders>
            <w:shd w:val="clear" w:color="000000" w:fill="DCE6F1"/>
            <w:noWrap/>
            <w:vAlign w:val="center"/>
            <w:hideMark/>
          </w:tcPr>
          <w:p w14:paraId="7967AF8D"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Zavod za pokojninsko in invalidsko zavarovanje</w:t>
            </w:r>
            <w:r>
              <w:rPr>
                <w:rFonts w:ascii="Arial" w:eastAsia="Times New Roman" w:hAnsi="Arial" w:cs="Arial"/>
                <w:b/>
                <w:bCs/>
                <w:sz w:val="18"/>
                <w:szCs w:val="18"/>
                <w:lang w:eastAsia="sl-SI"/>
              </w:rPr>
              <w:t xml:space="preserve"> Slovenije</w:t>
            </w:r>
            <w:r w:rsidRPr="00CF5DFF">
              <w:rPr>
                <w:rFonts w:ascii="Arial" w:eastAsia="Times New Roman" w:hAnsi="Arial" w:cs="Arial"/>
                <w:b/>
                <w:bCs/>
                <w:sz w:val="18"/>
                <w:szCs w:val="18"/>
                <w:lang w:eastAsia="sl-SI"/>
              </w:rPr>
              <w:t xml:space="preserve"> </w:t>
            </w:r>
          </w:p>
        </w:tc>
      </w:tr>
      <w:tr w:rsidR="00A155A2" w:rsidRPr="00CF5DFF" w14:paraId="1C6636BA"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75863C9E"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Aktivni dolg </w:t>
            </w:r>
          </w:p>
        </w:tc>
        <w:tc>
          <w:tcPr>
            <w:tcW w:w="1167" w:type="dxa"/>
            <w:tcBorders>
              <w:top w:val="nil"/>
              <w:left w:val="nil"/>
              <w:bottom w:val="single" w:sz="4" w:space="0" w:color="auto"/>
              <w:right w:val="single" w:sz="4" w:space="0" w:color="auto"/>
            </w:tcBorders>
            <w:shd w:val="clear" w:color="auto" w:fill="auto"/>
            <w:vAlign w:val="center"/>
            <w:hideMark/>
          </w:tcPr>
          <w:p w14:paraId="39D06BBD"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25.299.258</w:t>
            </w:r>
          </w:p>
        </w:tc>
        <w:tc>
          <w:tcPr>
            <w:tcW w:w="1081" w:type="dxa"/>
            <w:tcBorders>
              <w:top w:val="nil"/>
              <w:left w:val="nil"/>
              <w:bottom w:val="single" w:sz="4" w:space="0" w:color="auto"/>
              <w:right w:val="single" w:sz="4" w:space="0" w:color="auto"/>
            </w:tcBorders>
            <w:shd w:val="clear" w:color="auto" w:fill="auto"/>
            <w:vAlign w:val="center"/>
            <w:hideMark/>
          </w:tcPr>
          <w:p w14:paraId="0BC212B2"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3.194.006</w:t>
            </w:r>
          </w:p>
        </w:tc>
        <w:tc>
          <w:tcPr>
            <w:tcW w:w="1114" w:type="dxa"/>
            <w:tcBorders>
              <w:top w:val="nil"/>
              <w:left w:val="nil"/>
              <w:bottom w:val="single" w:sz="4" w:space="0" w:color="auto"/>
              <w:right w:val="single" w:sz="4" w:space="0" w:color="auto"/>
            </w:tcBorders>
            <w:shd w:val="clear" w:color="auto" w:fill="auto"/>
            <w:vAlign w:val="center"/>
            <w:hideMark/>
          </w:tcPr>
          <w:p w14:paraId="2F53F2C2"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4.043.625</w:t>
            </w:r>
          </w:p>
        </w:tc>
        <w:tc>
          <w:tcPr>
            <w:tcW w:w="1132" w:type="dxa"/>
            <w:tcBorders>
              <w:top w:val="nil"/>
              <w:left w:val="nil"/>
              <w:bottom w:val="single" w:sz="4" w:space="0" w:color="auto"/>
              <w:right w:val="single" w:sz="4" w:space="0" w:color="auto"/>
            </w:tcBorders>
            <w:shd w:val="clear" w:color="auto" w:fill="auto"/>
            <w:vAlign w:val="center"/>
            <w:hideMark/>
          </w:tcPr>
          <w:p w14:paraId="4294C9E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4.588.328</w:t>
            </w:r>
          </w:p>
        </w:tc>
        <w:tc>
          <w:tcPr>
            <w:tcW w:w="1059" w:type="dxa"/>
            <w:tcBorders>
              <w:top w:val="nil"/>
              <w:left w:val="nil"/>
              <w:bottom w:val="single" w:sz="4" w:space="0" w:color="auto"/>
              <w:right w:val="single" w:sz="4" w:space="0" w:color="auto"/>
            </w:tcBorders>
            <w:shd w:val="clear" w:color="auto" w:fill="auto"/>
            <w:vAlign w:val="center"/>
            <w:hideMark/>
          </w:tcPr>
          <w:p w14:paraId="61118890"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7.779.374</w:t>
            </w:r>
          </w:p>
        </w:tc>
        <w:tc>
          <w:tcPr>
            <w:tcW w:w="1167" w:type="dxa"/>
            <w:tcBorders>
              <w:top w:val="nil"/>
              <w:left w:val="nil"/>
              <w:bottom w:val="single" w:sz="4" w:space="0" w:color="auto"/>
              <w:right w:val="single" w:sz="4" w:space="0" w:color="auto"/>
            </w:tcBorders>
            <w:shd w:val="clear" w:color="auto" w:fill="auto"/>
            <w:vAlign w:val="center"/>
            <w:hideMark/>
          </w:tcPr>
          <w:p w14:paraId="78B0F59E"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37.389.053</w:t>
            </w:r>
          </w:p>
        </w:tc>
        <w:tc>
          <w:tcPr>
            <w:tcW w:w="1141" w:type="dxa"/>
            <w:tcBorders>
              <w:top w:val="nil"/>
              <w:left w:val="nil"/>
              <w:bottom w:val="single" w:sz="4" w:space="0" w:color="auto"/>
              <w:right w:val="single" w:sz="4" w:space="0" w:color="auto"/>
            </w:tcBorders>
            <w:shd w:val="clear" w:color="auto" w:fill="auto"/>
            <w:vAlign w:val="center"/>
            <w:hideMark/>
          </w:tcPr>
          <w:p w14:paraId="37CBB186"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82.293.644</w:t>
            </w:r>
          </w:p>
        </w:tc>
      </w:tr>
      <w:tr w:rsidR="00A155A2" w:rsidRPr="00CF5DFF" w14:paraId="1E7CDE99"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184E3745"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Pogojno izterljivi dolg </w:t>
            </w:r>
          </w:p>
        </w:tc>
        <w:tc>
          <w:tcPr>
            <w:tcW w:w="1167" w:type="dxa"/>
            <w:tcBorders>
              <w:top w:val="nil"/>
              <w:left w:val="nil"/>
              <w:bottom w:val="single" w:sz="4" w:space="0" w:color="auto"/>
              <w:right w:val="single" w:sz="4" w:space="0" w:color="auto"/>
            </w:tcBorders>
            <w:shd w:val="clear" w:color="auto" w:fill="auto"/>
            <w:vAlign w:val="center"/>
            <w:hideMark/>
          </w:tcPr>
          <w:p w14:paraId="0BAB004D"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53.905.895</w:t>
            </w:r>
          </w:p>
        </w:tc>
        <w:tc>
          <w:tcPr>
            <w:tcW w:w="1081" w:type="dxa"/>
            <w:tcBorders>
              <w:top w:val="nil"/>
              <w:left w:val="nil"/>
              <w:bottom w:val="single" w:sz="4" w:space="0" w:color="auto"/>
              <w:right w:val="single" w:sz="4" w:space="0" w:color="auto"/>
            </w:tcBorders>
            <w:shd w:val="clear" w:color="auto" w:fill="auto"/>
            <w:vAlign w:val="center"/>
            <w:hideMark/>
          </w:tcPr>
          <w:p w14:paraId="3A374039"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3.620.461</w:t>
            </w:r>
          </w:p>
        </w:tc>
        <w:tc>
          <w:tcPr>
            <w:tcW w:w="1114" w:type="dxa"/>
            <w:tcBorders>
              <w:top w:val="nil"/>
              <w:left w:val="nil"/>
              <w:bottom w:val="single" w:sz="4" w:space="0" w:color="auto"/>
              <w:right w:val="single" w:sz="4" w:space="0" w:color="auto"/>
            </w:tcBorders>
            <w:shd w:val="clear" w:color="auto" w:fill="auto"/>
            <w:vAlign w:val="center"/>
            <w:hideMark/>
          </w:tcPr>
          <w:p w14:paraId="74A791A9"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3.712.867</w:t>
            </w:r>
          </w:p>
        </w:tc>
        <w:tc>
          <w:tcPr>
            <w:tcW w:w="1132" w:type="dxa"/>
            <w:tcBorders>
              <w:top w:val="nil"/>
              <w:left w:val="nil"/>
              <w:bottom w:val="single" w:sz="4" w:space="0" w:color="auto"/>
              <w:right w:val="single" w:sz="4" w:space="0" w:color="auto"/>
            </w:tcBorders>
            <w:shd w:val="clear" w:color="auto" w:fill="auto"/>
            <w:vAlign w:val="center"/>
            <w:hideMark/>
          </w:tcPr>
          <w:p w14:paraId="5B8C011F"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4.081.405</w:t>
            </w:r>
          </w:p>
        </w:tc>
        <w:tc>
          <w:tcPr>
            <w:tcW w:w="1059" w:type="dxa"/>
            <w:tcBorders>
              <w:top w:val="nil"/>
              <w:left w:val="nil"/>
              <w:bottom w:val="single" w:sz="4" w:space="0" w:color="auto"/>
              <w:right w:val="single" w:sz="4" w:space="0" w:color="auto"/>
            </w:tcBorders>
            <w:shd w:val="clear" w:color="auto" w:fill="auto"/>
            <w:vAlign w:val="center"/>
            <w:hideMark/>
          </w:tcPr>
          <w:p w14:paraId="2513DE80"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4.691.756</w:t>
            </w:r>
          </w:p>
        </w:tc>
        <w:tc>
          <w:tcPr>
            <w:tcW w:w="1167" w:type="dxa"/>
            <w:tcBorders>
              <w:top w:val="nil"/>
              <w:left w:val="nil"/>
              <w:bottom w:val="single" w:sz="4" w:space="0" w:color="auto"/>
              <w:right w:val="single" w:sz="4" w:space="0" w:color="auto"/>
            </w:tcBorders>
            <w:shd w:val="clear" w:color="auto" w:fill="auto"/>
            <w:vAlign w:val="center"/>
            <w:hideMark/>
          </w:tcPr>
          <w:p w14:paraId="064B9EFC"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2.552.620</w:t>
            </w:r>
          </w:p>
        </w:tc>
        <w:tc>
          <w:tcPr>
            <w:tcW w:w="1141" w:type="dxa"/>
            <w:tcBorders>
              <w:top w:val="nil"/>
              <w:left w:val="nil"/>
              <w:bottom w:val="single" w:sz="4" w:space="0" w:color="auto"/>
              <w:right w:val="single" w:sz="4" w:space="0" w:color="auto"/>
            </w:tcBorders>
            <w:shd w:val="clear" w:color="auto" w:fill="auto"/>
            <w:vAlign w:val="center"/>
            <w:hideMark/>
          </w:tcPr>
          <w:p w14:paraId="1E1ECBCB"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72.565.004</w:t>
            </w:r>
          </w:p>
        </w:tc>
      </w:tr>
      <w:tr w:rsidR="00A155A2" w:rsidRPr="00CF5DFF" w14:paraId="5086ACE2" w14:textId="77777777" w:rsidTr="001C77D2">
        <w:trPr>
          <w:trHeight w:val="232"/>
        </w:trPr>
        <w:tc>
          <w:tcPr>
            <w:tcW w:w="143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377461BC"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Skupaj ZPIZ </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06D62E16"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79.205.153</w:t>
            </w:r>
          </w:p>
        </w:tc>
        <w:tc>
          <w:tcPr>
            <w:tcW w:w="1081" w:type="dxa"/>
            <w:tcBorders>
              <w:top w:val="double" w:sz="6" w:space="0" w:color="auto"/>
              <w:left w:val="nil"/>
              <w:bottom w:val="double" w:sz="6" w:space="0" w:color="auto"/>
              <w:right w:val="single" w:sz="4" w:space="0" w:color="auto"/>
            </w:tcBorders>
            <w:shd w:val="clear" w:color="auto" w:fill="auto"/>
            <w:vAlign w:val="center"/>
            <w:hideMark/>
          </w:tcPr>
          <w:p w14:paraId="61B2ABBA"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6.814.467</w:t>
            </w:r>
          </w:p>
        </w:tc>
        <w:tc>
          <w:tcPr>
            <w:tcW w:w="1114" w:type="dxa"/>
            <w:tcBorders>
              <w:top w:val="double" w:sz="6" w:space="0" w:color="auto"/>
              <w:left w:val="nil"/>
              <w:bottom w:val="double" w:sz="6" w:space="0" w:color="auto"/>
              <w:right w:val="single" w:sz="4" w:space="0" w:color="auto"/>
            </w:tcBorders>
            <w:shd w:val="clear" w:color="auto" w:fill="auto"/>
            <w:vAlign w:val="center"/>
            <w:hideMark/>
          </w:tcPr>
          <w:p w14:paraId="1E72DF15"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7.756.492</w:t>
            </w:r>
          </w:p>
        </w:tc>
        <w:tc>
          <w:tcPr>
            <w:tcW w:w="1132" w:type="dxa"/>
            <w:tcBorders>
              <w:top w:val="double" w:sz="6" w:space="0" w:color="auto"/>
              <w:left w:val="nil"/>
              <w:bottom w:val="double" w:sz="6" w:space="0" w:color="auto"/>
              <w:right w:val="single" w:sz="4" w:space="0" w:color="auto"/>
            </w:tcBorders>
            <w:shd w:val="clear" w:color="auto" w:fill="auto"/>
            <w:vAlign w:val="center"/>
            <w:hideMark/>
          </w:tcPr>
          <w:p w14:paraId="37E4DA4F"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8.669.733</w:t>
            </w:r>
          </w:p>
        </w:tc>
        <w:tc>
          <w:tcPr>
            <w:tcW w:w="1059" w:type="dxa"/>
            <w:tcBorders>
              <w:top w:val="double" w:sz="6" w:space="0" w:color="auto"/>
              <w:left w:val="nil"/>
              <w:bottom w:val="double" w:sz="6" w:space="0" w:color="auto"/>
              <w:right w:val="single" w:sz="4" w:space="0" w:color="auto"/>
            </w:tcBorders>
            <w:shd w:val="clear" w:color="auto" w:fill="auto"/>
            <w:vAlign w:val="center"/>
            <w:hideMark/>
          </w:tcPr>
          <w:p w14:paraId="6197CC95"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12.471.130</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17905FB3"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39.941.673</w:t>
            </w:r>
          </w:p>
        </w:tc>
        <w:tc>
          <w:tcPr>
            <w:tcW w:w="1141" w:type="dxa"/>
            <w:tcBorders>
              <w:top w:val="double" w:sz="6" w:space="0" w:color="auto"/>
              <w:left w:val="nil"/>
              <w:bottom w:val="double" w:sz="6" w:space="0" w:color="auto"/>
              <w:right w:val="single" w:sz="4" w:space="0" w:color="auto"/>
            </w:tcBorders>
            <w:shd w:val="clear" w:color="auto" w:fill="auto"/>
            <w:vAlign w:val="center"/>
            <w:hideMark/>
          </w:tcPr>
          <w:p w14:paraId="18B41B44"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154.858.648</w:t>
            </w:r>
          </w:p>
        </w:tc>
      </w:tr>
      <w:tr w:rsidR="00A155A2" w:rsidRPr="00CF5DFF" w14:paraId="305D6E42" w14:textId="77777777" w:rsidTr="001C77D2">
        <w:trPr>
          <w:trHeight w:val="283"/>
        </w:trPr>
        <w:tc>
          <w:tcPr>
            <w:tcW w:w="3687" w:type="dxa"/>
            <w:gridSpan w:val="3"/>
            <w:tcBorders>
              <w:top w:val="double" w:sz="6" w:space="0" w:color="auto"/>
              <w:left w:val="single" w:sz="4" w:space="0" w:color="auto"/>
              <w:bottom w:val="single" w:sz="4" w:space="0" w:color="auto"/>
              <w:right w:val="nil"/>
            </w:tcBorders>
            <w:shd w:val="clear" w:color="000000" w:fill="DCE6F1"/>
            <w:noWrap/>
            <w:vAlign w:val="center"/>
            <w:hideMark/>
          </w:tcPr>
          <w:p w14:paraId="59A3483F"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Zavod za zdravstveno zavarovanje Slovenije </w:t>
            </w:r>
          </w:p>
        </w:tc>
        <w:tc>
          <w:tcPr>
            <w:tcW w:w="1114" w:type="dxa"/>
            <w:tcBorders>
              <w:top w:val="nil"/>
              <w:left w:val="nil"/>
              <w:bottom w:val="single" w:sz="4" w:space="0" w:color="auto"/>
              <w:right w:val="nil"/>
            </w:tcBorders>
            <w:shd w:val="clear" w:color="000000" w:fill="DCE6F1"/>
            <w:noWrap/>
            <w:vAlign w:val="center"/>
            <w:hideMark/>
          </w:tcPr>
          <w:p w14:paraId="6817732C"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c>
          <w:tcPr>
            <w:tcW w:w="4500" w:type="dxa"/>
            <w:gridSpan w:val="4"/>
            <w:tcBorders>
              <w:top w:val="double" w:sz="6" w:space="0" w:color="auto"/>
              <w:left w:val="nil"/>
              <w:bottom w:val="single" w:sz="4" w:space="0" w:color="auto"/>
              <w:right w:val="single" w:sz="4" w:space="0" w:color="000000"/>
            </w:tcBorders>
            <w:shd w:val="clear" w:color="000000" w:fill="DCE6F1"/>
            <w:noWrap/>
            <w:vAlign w:val="center"/>
            <w:hideMark/>
          </w:tcPr>
          <w:p w14:paraId="66AA5A77" w14:textId="77777777" w:rsidR="00A155A2" w:rsidRPr="00CF5DFF" w:rsidRDefault="00A155A2" w:rsidP="001C77D2">
            <w:pPr>
              <w:spacing w:after="0" w:line="240" w:lineRule="auto"/>
              <w:jc w:val="center"/>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r>
      <w:tr w:rsidR="00A155A2" w:rsidRPr="00CF5DFF" w14:paraId="5FBBFE23"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0B5BAA74"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Aktivni dolg </w:t>
            </w:r>
          </w:p>
        </w:tc>
        <w:tc>
          <w:tcPr>
            <w:tcW w:w="1167" w:type="dxa"/>
            <w:tcBorders>
              <w:top w:val="nil"/>
              <w:left w:val="nil"/>
              <w:bottom w:val="single" w:sz="4" w:space="0" w:color="auto"/>
              <w:right w:val="single" w:sz="4" w:space="0" w:color="auto"/>
            </w:tcBorders>
            <w:shd w:val="clear" w:color="auto" w:fill="auto"/>
            <w:vAlign w:val="center"/>
            <w:hideMark/>
          </w:tcPr>
          <w:p w14:paraId="56A6DAC3"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13.258.592</w:t>
            </w:r>
          </w:p>
        </w:tc>
        <w:tc>
          <w:tcPr>
            <w:tcW w:w="1081" w:type="dxa"/>
            <w:tcBorders>
              <w:top w:val="nil"/>
              <w:left w:val="nil"/>
              <w:bottom w:val="single" w:sz="4" w:space="0" w:color="auto"/>
              <w:right w:val="single" w:sz="4" w:space="0" w:color="auto"/>
            </w:tcBorders>
            <w:shd w:val="clear" w:color="auto" w:fill="auto"/>
            <w:vAlign w:val="center"/>
            <w:hideMark/>
          </w:tcPr>
          <w:p w14:paraId="5A2354A3"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1.697.061</w:t>
            </w:r>
          </w:p>
        </w:tc>
        <w:tc>
          <w:tcPr>
            <w:tcW w:w="1114" w:type="dxa"/>
            <w:tcBorders>
              <w:top w:val="nil"/>
              <w:left w:val="nil"/>
              <w:bottom w:val="single" w:sz="4" w:space="0" w:color="auto"/>
              <w:right w:val="single" w:sz="4" w:space="0" w:color="auto"/>
            </w:tcBorders>
            <w:shd w:val="clear" w:color="auto" w:fill="auto"/>
            <w:vAlign w:val="center"/>
            <w:hideMark/>
          </w:tcPr>
          <w:p w14:paraId="1872DD57"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1.956.141</w:t>
            </w:r>
          </w:p>
        </w:tc>
        <w:tc>
          <w:tcPr>
            <w:tcW w:w="1132" w:type="dxa"/>
            <w:tcBorders>
              <w:top w:val="nil"/>
              <w:left w:val="nil"/>
              <w:bottom w:val="single" w:sz="4" w:space="0" w:color="auto"/>
              <w:right w:val="single" w:sz="4" w:space="0" w:color="auto"/>
            </w:tcBorders>
            <w:shd w:val="clear" w:color="auto" w:fill="auto"/>
            <w:vAlign w:val="center"/>
            <w:hideMark/>
          </w:tcPr>
          <w:p w14:paraId="09A20A35"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2.347.170</w:t>
            </w:r>
          </w:p>
        </w:tc>
        <w:tc>
          <w:tcPr>
            <w:tcW w:w="1059" w:type="dxa"/>
            <w:tcBorders>
              <w:top w:val="nil"/>
              <w:left w:val="nil"/>
              <w:bottom w:val="single" w:sz="4" w:space="0" w:color="auto"/>
              <w:right w:val="single" w:sz="4" w:space="0" w:color="auto"/>
            </w:tcBorders>
            <w:shd w:val="clear" w:color="auto" w:fill="auto"/>
            <w:vAlign w:val="center"/>
            <w:hideMark/>
          </w:tcPr>
          <w:p w14:paraId="286E3E3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3.944.323</w:t>
            </w:r>
          </w:p>
        </w:tc>
        <w:tc>
          <w:tcPr>
            <w:tcW w:w="1167" w:type="dxa"/>
            <w:tcBorders>
              <w:top w:val="nil"/>
              <w:left w:val="nil"/>
              <w:bottom w:val="single" w:sz="4" w:space="0" w:color="auto"/>
              <w:right w:val="single" w:sz="4" w:space="0" w:color="auto"/>
            </w:tcBorders>
            <w:shd w:val="clear" w:color="auto" w:fill="auto"/>
            <w:vAlign w:val="center"/>
            <w:hideMark/>
          </w:tcPr>
          <w:p w14:paraId="2854945A"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22.594.592</w:t>
            </w:r>
          </w:p>
        </w:tc>
        <w:tc>
          <w:tcPr>
            <w:tcW w:w="1141" w:type="dxa"/>
            <w:tcBorders>
              <w:top w:val="nil"/>
              <w:left w:val="nil"/>
              <w:bottom w:val="single" w:sz="4" w:space="0" w:color="auto"/>
              <w:right w:val="single" w:sz="4" w:space="0" w:color="auto"/>
            </w:tcBorders>
            <w:shd w:val="clear" w:color="auto" w:fill="auto"/>
            <w:vAlign w:val="center"/>
            <w:hideMark/>
          </w:tcPr>
          <w:p w14:paraId="4FCBFD29"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45.797.879</w:t>
            </w:r>
          </w:p>
        </w:tc>
      </w:tr>
      <w:tr w:rsidR="00A155A2" w:rsidRPr="00CF5DFF" w14:paraId="7E41ED9E"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4A11624D"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Pogojno izterljivi dolg </w:t>
            </w:r>
          </w:p>
        </w:tc>
        <w:tc>
          <w:tcPr>
            <w:tcW w:w="1167" w:type="dxa"/>
            <w:tcBorders>
              <w:top w:val="nil"/>
              <w:left w:val="nil"/>
              <w:bottom w:val="single" w:sz="4" w:space="0" w:color="auto"/>
              <w:right w:val="single" w:sz="4" w:space="0" w:color="auto"/>
            </w:tcBorders>
            <w:shd w:val="clear" w:color="auto" w:fill="auto"/>
            <w:vAlign w:val="center"/>
            <w:hideMark/>
          </w:tcPr>
          <w:p w14:paraId="17F4F8CB"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26.615.744</w:t>
            </w:r>
          </w:p>
        </w:tc>
        <w:tc>
          <w:tcPr>
            <w:tcW w:w="1081" w:type="dxa"/>
            <w:tcBorders>
              <w:top w:val="nil"/>
              <w:left w:val="nil"/>
              <w:bottom w:val="single" w:sz="4" w:space="0" w:color="auto"/>
              <w:right w:val="single" w:sz="4" w:space="0" w:color="auto"/>
            </w:tcBorders>
            <w:shd w:val="clear" w:color="auto" w:fill="auto"/>
            <w:vAlign w:val="center"/>
            <w:hideMark/>
          </w:tcPr>
          <w:p w14:paraId="2BF94EE7"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2.008.175</w:t>
            </w:r>
          </w:p>
        </w:tc>
        <w:tc>
          <w:tcPr>
            <w:tcW w:w="1114" w:type="dxa"/>
            <w:tcBorders>
              <w:top w:val="nil"/>
              <w:left w:val="nil"/>
              <w:bottom w:val="single" w:sz="4" w:space="0" w:color="auto"/>
              <w:right w:val="single" w:sz="4" w:space="0" w:color="auto"/>
            </w:tcBorders>
            <w:shd w:val="clear" w:color="auto" w:fill="auto"/>
            <w:vAlign w:val="center"/>
            <w:hideMark/>
          </w:tcPr>
          <w:p w14:paraId="1654AE84"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1.952.366</w:t>
            </w:r>
          </w:p>
        </w:tc>
        <w:tc>
          <w:tcPr>
            <w:tcW w:w="1132" w:type="dxa"/>
            <w:tcBorders>
              <w:top w:val="nil"/>
              <w:left w:val="nil"/>
              <w:bottom w:val="single" w:sz="4" w:space="0" w:color="auto"/>
              <w:right w:val="single" w:sz="4" w:space="0" w:color="auto"/>
            </w:tcBorders>
            <w:shd w:val="clear" w:color="auto" w:fill="auto"/>
            <w:vAlign w:val="center"/>
            <w:hideMark/>
          </w:tcPr>
          <w:p w14:paraId="49B7B314"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2.145.469</w:t>
            </w:r>
          </w:p>
        </w:tc>
        <w:tc>
          <w:tcPr>
            <w:tcW w:w="1059" w:type="dxa"/>
            <w:tcBorders>
              <w:top w:val="nil"/>
              <w:left w:val="nil"/>
              <w:bottom w:val="single" w:sz="4" w:space="0" w:color="auto"/>
              <w:right w:val="single" w:sz="4" w:space="0" w:color="auto"/>
            </w:tcBorders>
            <w:shd w:val="clear" w:color="auto" w:fill="auto"/>
            <w:vAlign w:val="center"/>
            <w:hideMark/>
          </w:tcPr>
          <w:p w14:paraId="275DD7CA"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2.372.965</w:t>
            </w:r>
          </w:p>
        </w:tc>
        <w:tc>
          <w:tcPr>
            <w:tcW w:w="1167" w:type="dxa"/>
            <w:tcBorders>
              <w:top w:val="nil"/>
              <w:left w:val="nil"/>
              <w:bottom w:val="single" w:sz="4" w:space="0" w:color="auto"/>
              <w:right w:val="single" w:sz="4" w:space="0" w:color="auto"/>
            </w:tcBorders>
            <w:shd w:val="clear" w:color="auto" w:fill="auto"/>
            <w:vAlign w:val="center"/>
            <w:hideMark/>
          </w:tcPr>
          <w:p w14:paraId="562C2BD6"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1.399.510</w:t>
            </w:r>
          </w:p>
        </w:tc>
        <w:tc>
          <w:tcPr>
            <w:tcW w:w="1141" w:type="dxa"/>
            <w:tcBorders>
              <w:top w:val="nil"/>
              <w:left w:val="nil"/>
              <w:bottom w:val="single" w:sz="4" w:space="0" w:color="auto"/>
              <w:right w:val="single" w:sz="4" w:space="0" w:color="auto"/>
            </w:tcBorders>
            <w:shd w:val="clear" w:color="auto" w:fill="auto"/>
            <w:vAlign w:val="center"/>
            <w:hideMark/>
          </w:tcPr>
          <w:p w14:paraId="779A8735"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36.494.229</w:t>
            </w:r>
          </w:p>
        </w:tc>
      </w:tr>
      <w:tr w:rsidR="00A155A2" w:rsidRPr="00CF5DFF" w14:paraId="676F7E64" w14:textId="77777777" w:rsidTr="001C77D2">
        <w:trPr>
          <w:trHeight w:val="232"/>
        </w:trPr>
        <w:tc>
          <w:tcPr>
            <w:tcW w:w="143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4245BFDB"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Skupaj ZZZS</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08DE1F56"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39.874.336</w:t>
            </w:r>
          </w:p>
        </w:tc>
        <w:tc>
          <w:tcPr>
            <w:tcW w:w="1081" w:type="dxa"/>
            <w:tcBorders>
              <w:top w:val="double" w:sz="6" w:space="0" w:color="auto"/>
              <w:left w:val="nil"/>
              <w:bottom w:val="double" w:sz="6" w:space="0" w:color="auto"/>
              <w:right w:val="single" w:sz="4" w:space="0" w:color="auto"/>
            </w:tcBorders>
            <w:shd w:val="clear" w:color="auto" w:fill="auto"/>
            <w:vAlign w:val="center"/>
            <w:hideMark/>
          </w:tcPr>
          <w:p w14:paraId="4C64D380"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3.705.236</w:t>
            </w:r>
          </w:p>
        </w:tc>
        <w:tc>
          <w:tcPr>
            <w:tcW w:w="1114" w:type="dxa"/>
            <w:tcBorders>
              <w:top w:val="double" w:sz="6" w:space="0" w:color="auto"/>
              <w:left w:val="nil"/>
              <w:bottom w:val="double" w:sz="6" w:space="0" w:color="auto"/>
              <w:right w:val="single" w:sz="4" w:space="0" w:color="auto"/>
            </w:tcBorders>
            <w:shd w:val="clear" w:color="auto" w:fill="auto"/>
            <w:vAlign w:val="center"/>
            <w:hideMark/>
          </w:tcPr>
          <w:p w14:paraId="5312A440"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3.908.507</w:t>
            </w:r>
          </w:p>
        </w:tc>
        <w:tc>
          <w:tcPr>
            <w:tcW w:w="1132" w:type="dxa"/>
            <w:tcBorders>
              <w:top w:val="double" w:sz="6" w:space="0" w:color="auto"/>
              <w:left w:val="nil"/>
              <w:bottom w:val="double" w:sz="6" w:space="0" w:color="auto"/>
              <w:right w:val="single" w:sz="4" w:space="0" w:color="auto"/>
            </w:tcBorders>
            <w:shd w:val="clear" w:color="auto" w:fill="auto"/>
            <w:vAlign w:val="center"/>
            <w:hideMark/>
          </w:tcPr>
          <w:p w14:paraId="0D34016C"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4.492.639</w:t>
            </w:r>
          </w:p>
        </w:tc>
        <w:tc>
          <w:tcPr>
            <w:tcW w:w="1059" w:type="dxa"/>
            <w:tcBorders>
              <w:top w:val="double" w:sz="6" w:space="0" w:color="auto"/>
              <w:left w:val="nil"/>
              <w:bottom w:val="double" w:sz="6" w:space="0" w:color="auto"/>
              <w:right w:val="single" w:sz="4" w:space="0" w:color="auto"/>
            </w:tcBorders>
            <w:shd w:val="clear" w:color="auto" w:fill="auto"/>
            <w:vAlign w:val="center"/>
            <w:hideMark/>
          </w:tcPr>
          <w:p w14:paraId="1F273B5E"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6.317.288</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3F1D424A"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23.994.102</w:t>
            </w:r>
          </w:p>
        </w:tc>
        <w:tc>
          <w:tcPr>
            <w:tcW w:w="1141" w:type="dxa"/>
            <w:tcBorders>
              <w:top w:val="double" w:sz="6" w:space="0" w:color="auto"/>
              <w:left w:val="nil"/>
              <w:bottom w:val="double" w:sz="6" w:space="0" w:color="auto"/>
              <w:right w:val="single" w:sz="4" w:space="0" w:color="auto"/>
            </w:tcBorders>
            <w:shd w:val="clear" w:color="auto" w:fill="auto"/>
            <w:vAlign w:val="center"/>
            <w:hideMark/>
          </w:tcPr>
          <w:p w14:paraId="6084F31D"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82.292.108</w:t>
            </w:r>
          </w:p>
        </w:tc>
      </w:tr>
      <w:tr w:rsidR="00A155A2" w:rsidRPr="00CF5DFF" w14:paraId="1DA22CF9" w14:textId="77777777" w:rsidTr="001C77D2">
        <w:trPr>
          <w:trHeight w:val="275"/>
        </w:trPr>
        <w:tc>
          <w:tcPr>
            <w:tcW w:w="1437" w:type="dxa"/>
            <w:tcBorders>
              <w:top w:val="nil"/>
              <w:left w:val="single" w:sz="4" w:space="0" w:color="auto"/>
              <w:bottom w:val="single" w:sz="4" w:space="0" w:color="auto"/>
              <w:right w:val="nil"/>
            </w:tcBorders>
            <w:shd w:val="clear" w:color="000000" w:fill="DCE6F1"/>
            <w:noWrap/>
            <w:vAlign w:val="center"/>
            <w:hideMark/>
          </w:tcPr>
          <w:p w14:paraId="3B50C0E2"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Proračun</w:t>
            </w:r>
            <w:r w:rsidRPr="008E607D">
              <w:rPr>
                <w:rFonts w:ascii="Arial" w:eastAsia="Times New Roman" w:hAnsi="Arial" w:cs="Arial"/>
                <w:b/>
                <w:bCs/>
                <w:sz w:val="18"/>
                <w:szCs w:val="18"/>
                <w:lang w:eastAsia="sl-SI"/>
              </w:rPr>
              <w:t>i</w:t>
            </w:r>
            <w:r w:rsidRPr="00CF5DFF">
              <w:rPr>
                <w:rFonts w:ascii="Arial" w:eastAsia="Times New Roman" w:hAnsi="Arial" w:cs="Arial"/>
                <w:b/>
                <w:bCs/>
                <w:sz w:val="18"/>
                <w:szCs w:val="18"/>
                <w:lang w:eastAsia="sl-SI"/>
              </w:rPr>
              <w:t xml:space="preserve"> občin</w:t>
            </w:r>
          </w:p>
        </w:tc>
        <w:tc>
          <w:tcPr>
            <w:tcW w:w="1167" w:type="dxa"/>
            <w:tcBorders>
              <w:top w:val="nil"/>
              <w:left w:val="nil"/>
              <w:bottom w:val="single" w:sz="4" w:space="0" w:color="auto"/>
              <w:right w:val="nil"/>
            </w:tcBorders>
            <w:shd w:val="clear" w:color="000000" w:fill="DCE6F1"/>
            <w:noWrap/>
            <w:vAlign w:val="center"/>
            <w:hideMark/>
          </w:tcPr>
          <w:p w14:paraId="24046FED"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c>
          <w:tcPr>
            <w:tcW w:w="1081" w:type="dxa"/>
            <w:tcBorders>
              <w:top w:val="nil"/>
              <w:left w:val="nil"/>
              <w:bottom w:val="single" w:sz="4" w:space="0" w:color="auto"/>
              <w:right w:val="nil"/>
            </w:tcBorders>
            <w:shd w:val="clear" w:color="000000" w:fill="DCE6F1"/>
            <w:noWrap/>
            <w:vAlign w:val="center"/>
            <w:hideMark/>
          </w:tcPr>
          <w:p w14:paraId="5946980F"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c>
          <w:tcPr>
            <w:tcW w:w="1114" w:type="dxa"/>
            <w:tcBorders>
              <w:top w:val="nil"/>
              <w:left w:val="nil"/>
              <w:bottom w:val="single" w:sz="4" w:space="0" w:color="auto"/>
              <w:right w:val="nil"/>
            </w:tcBorders>
            <w:shd w:val="clear" w:color="000000" w:fill="DCE6F1"/>
            <w:noWrap/>
            <w:vAlign w:val="center"/>
            <w:hideMark/>
          </w:tcPr>
          <w:p w14:paraId="044463CD"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c>
          <w:tcPr>
            <w:tcW w:w="4500" w:type="dxa"/>
            <w:gridSpan w:val="4"/>
            <w:tcBorders>
              <w:top w:val="double" w:sz="6" w:space="0" w:color="auto"/>
              <w:left w:val="nil"/>
              <w:bottom w:val="single" w:sz="4" w:space="0" w:color="auto"/>
              <w:right w:val="single" w:sz="4" w:space="0" w:color="000000"/>
            </w:tcBorders>
            <w:shd w:val="clear" w:color="000000" w:fill="DCE6F1"/>
            <w:noWrap/>
            <w:vAlign w:val="center"/>
            <w:hideMark/>
          </w:tcPr>
          <w:p w14:paraId="4EB5559C" w14:textId="77777777" w:rsidR="00A155A2" w:rsidRPr="00CF5DFF" w:rsidRDefault="00A155A2" w:rsidP="001C77D2">
            <w:pPr>
              <w:spacing w:after="0" w:line="240" w:lineRule="auto"/>
              <w:jc w:val="center"/>
              <w:rPr>
                <w:rFonts w:ascii="Arial" w:eastAsia="Times New Roman" w:hAnsi="Arial" w:cs="Arial"/>
                <w:sz w:val="18"/>
                <w:szCs w:val="18"/>
                <w:lang w:eastAsia="sl-SI"/>
              </w:rPr>
            </w:pPr>
            <w:r w:rsidRPr="00CF5DFF">
              <w:rPr>
                <w:rFonts w:ascii="Arial" w:eastAsia="Times New Roman" w:hAnsi="Arial" w:cs="Arial"/>
                <w:sz w:val="18"/>
                <w:szCs w:val="18"/>
                <w:lang w:eastAsia="sl-SI"/>
              </w:rPr>
              <w:t> </w:t>
            </w:r>
          </w:p>
        </w:tc>
      </w:tr>
      <w:tr w:rsidR="00A155A2" w:rsidRPr="00CF5DFF" w14:paraId="7BB33DB8"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71A40420"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Aktivni dolg </w:t>
            </w:r>
          </w:p>
        </w:tc>
        <w:tc>
          <w:tcPr>
            <w:tcW w:w="1167" w:type="dxa"/>
            <w:tcBorders>
              <w:top w:val="nil"/>
              <w:left w:val="nil"/>
              <w:bottom w:val="single" w:sz="4" w:space="0" w:color="auto"/>
              <w:right w:val="single" w:sz="4" w:space="0" w:color="auto"/>
            </w:tcBorders>
            <w:shd w:val="clear" w:color="auto" w:fill="auto"/>
            <w:vAlign w:val="center"/>
            <w:hideMark/>
          </w:tcPr>
          <w:p w14:paraId="3C3F3E4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3.217.708</w:t>
            </w:r>
          </w:p>
        </w:tc>
        <w:tc>
          <w:tcPr>
            <w:tcW w:w="1081" w:type="dxa"/>
            <w:tcBorders>
              <w:top w:val="nil"/>
              <w:left w:val="nil"/>
              <w:bottom w:val="single" w:sz="4" w:space="0" w:color="auto"/>
              <w:right w:val="single" w:sz="4" w:space="0" w:color="auto"/>
            </w:tcBorders>
            <w:shd w:val="clear" w:color="auto" w:fill="auto"/>
            <w:vAlign w:val="center"/>
            <w:hideMark/>
          </w:tcPr>
          <w:p w14:paraId="61441C8D"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415.220</w:t>
            </w:r>
          </w:p>
        </w:tc>
        <w:tc>
          <w:tcPr>
            <w:tcW w:w="1114" w:type="dxa"/>
            <w:tcBorders>
              <w:top w:val="nil"/>
              <w:left w:val="nil"/>
              <w:bottom w:val="single" w:sz="4" w:space="0" w:color="auto"/>
              <w:right w:val="single" w:sz="4" w:space="0" w:color="auto"/>
            </w:tcBorders>
            <w:shd w:val="clear" w:color="auto" w:fill="auto"/>
            <w:vAlign w:val="center"/>
            <w:hideMark/>
          </w:tcPr>
          <w:p w14:paraId="0D083E5E"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692.419</w:t>
            </w:r>
          </w:p>
        </w:tc>
        <w:tc>
          <w:tcPr>
            <w:tcW w:w="1132" w:type="dxa"/>
            <w:tcBorders>
              <w:top w:val="nil"/>
              <w:left w:val="nil"/>
              <w:bottom w:val="single" w:sz="4" w:space="0" w:color="auto"/>
              <w:right w:val="single" w:sz="4" w:space="0" w:color="auto"/>
            </w:tcBorders>
            <w:shd w:val="clear" w:color="auto" w:fill="auto"/>
            <w:vAlign w:val="center"/>
            <w:hideMark/>
          </w:tcPr>
          <w:p w14:paraId="104D5A44"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728.434</w:t>
            </w:r>
          </w:p>
        </w:tc>
        <w:tc>
          <w:tcPr>
            <w:tcW w:w="1059" w:type="dxa"/>
            <w:tcBorders>
              <w:top w:val="nil"/>
              <w:left w:val="nil"/>
              <w:bottom w:val="single" w:sz="4" w:space="0" w:color="auto"/>
              <w:right w:val="single" w:sz="4" w:space="0" w:color="auto"/>
            </w:tcBorders>
            <w:shd w:val="clear" w:color="auto" w:fill="auto"/>
            <w:vAlign w:val="center"/>
            <w:hideMark/>
          </w:tcPr>
          <w:p w14:paraId="028CAC70"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930.259</w:t>
            </w:r>
          </w:p>
        </w:tc>
        <w:tc>
          <w:tcPr>
            <w:tcW w:w="1167" w:type="dxa"/>
            <w:tcBorders>
              <w:top w:val="nil"/>
              <w:left w:val="nil"/>
              <w:bottom w:val="single" w:sz="4" w:space="0" w:color="auto"/>
              <w:right w:val="single" w:sz="4" w:space="0" w:color="auto"/>
            </w:tcBorders>
            <w:shd w:val="clear" w:color="auto" w:fill="auto"/>
            <w:vAlign w:val="center"/>
            <w:hideMark/>
          </w:tcPr>
          <w:p w14:paraId="69BFEDF9"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4.428.395</w:t>
            </w:r>
          </w:p>
        </w:tc>
        <w:tc>
          <w:tcPr>
            <w:tcW w:w="1141" w:type="dxa"/>
            <w:tcBorders>
              <w:top w:val="nil"/>
              <w:left w:val="nil"/>
              <w:bottom w:val="single" w:sz="4" w:space="0" w:color="auto"/>
              <w:right w:val="single" w:sz="4" w:space="0" w:color="auto"/>
            </w:tcBorders>
            <w:shd w:val="clear" w:color="auto" w:fill="auto"/>
            <w:vAlign w:val="center"/>
            <w:hideMark/>
          </w:tcPr>
          <w:p w14:paraId="03194686"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10.412.435</w:t>
            </w:r>
          </w:p>
        </w:tc>
      </w:tr>
      <w:tr w:rsidR="00A155A2" w:rsidRPr="00CF5DFF" w14:paraId="6E49FB81"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2653C125"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Pogojno izterljivi dolg </w:t>
            </w:r>
          </w:p>
        </w:tc>
        <w:tc>
          <w:tcPr>
            <w:tcW w:w="1167" w:type="dxa"/>
            <w:tcBorders>
              <w:top w:val="nil"/>
              <w:left w:val="nil"/>
              <w:bottom w:val="single" w:sz="4" w:space="0" w:color="auto"/>
              <w:right w:val="single" w:sz="4" w:space="0" w:color="auto"/>
            </w:tcBorders>
            <w:shd w:val="clear" w:color="auto" w:fill="auto"/>
            <w:vAlign w:val="center"/>
            <w:hideMark/>
          </w:tcPr>
          <w:p w14:paraId="7625783D"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9.612.237</w:t>
            </w:r>
          </w:p>
        </w:tc>
        <w:tc>
          <w:tcPr>
            <w:tcW w:w="1081" w:type="dxa"/>
            <w:tcBorders>
              <w:top w:val="nil"/>
              <w:left w:val="nil"/>
              <w:bottom w:val="single" w:sz="4" w:space="0" w:color="auto"/>
              <w:right w:val="single" w:sz="4" w:space="0" w:color="auto"/>
            </w:tcBorders>
            <w:shd w:val="clear" w:color="auto" w:fill="auto"/>
            <w:vAlign w:val="center"/>
            <w:hideMark/>
          </w:tcPr>
          <w:p w14:paraId="1682A729"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244.300</w:t>
            </w:r>
          </w:p>
        </w:tc>
        <w:tc>
          <w:tcPr>
            <w:tcW w:w="1114" w:type="dxa"/>
            <w:tcBorders>
              <w:top w:val="nil"/>
              <w:left w:val="nil"/>
              <w:bottom w:val="single" w:sz="4" w:space="0" w:color="auto"/>
              <w:right w:val="single" w:sz="4" w:space="0" w:color="auto"/>
            </w:tcBorders>
            <w:shd w:val="clear" w:color="auto" w:fill="auto"/>
            <w:vAlign w:val="center"/>
            <w:hideMark/>
          </w:tcPr>
          <w:p w14:paraId="2D53920F"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248.986</w:t>
            </w:r>
          </w:p>
        </w:tc>
        <w:tc>
          <w:tcPr>
            <w:tcW w:w="1132" w:type="dxa"/>
            <w:tcBorders>
              <w:top w:val="nil"/>
              <w:left w:val="nil"/>
              <w:bottom w:val="single" w:sz="4" w:space="0" w:color="auto"/>
              <w:right w:val="single" w:sz="4" w:space="0" w:color="auto"/>
            </w:tcBorders>
            <w:shd w:val="clear" w:color="auto" w:fill="auto"/>
            <w:vAlign w:val="center"/>
            <w:hideMark/>
          </w:tcPr>
          <w:p w14:paraId="7A170BD5"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167.240</w:t>
            </w:r>
          </w:p>
        </w:tc>
        <w:tc>
          <w:tcPr>
            <w:tcW w:w="1059" w:type="dxa"/>
            <w:tcBorders>
              <w:top w:val="nil"/>
              <w:left w:val="nil"/>
              <w:bottom w:val="single" w:sz="4" w:space="0" w:color="auto"/>
              <w:right w:val="single" w:sz="4" w:space="0" w:color="auto"/>
            </w:tcBorders>
            <w:shd w:val="clear" w:color="auto" w:fill="auto"/>
            <w:vAlign w:val="center"/>
            <w:hideMark/>
          </w:tcPr>
          <w:p w14:paraId="612DE808"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202.661</w:t>
            </w:r>
          </w:p>
        </w:tc>
        <w:tc>
          <w:tcPr>
            <w:tcW w:w="1167" w:type="dxa"/>
            <w:tcBorders>
              <w:top w:val="nil"/>
              <w:left w:val="nil"/>
              <w:bottom w:val="single" w:sz="4" w:space="0" w:color="auto"/>
              <w:right w:val="single" w:sz="4" w:space="0" w:color="auto"/>
            </w:tcBorders>
            <w:shd w:val="clear" w:color="auto" w:fill="auto"/>
            <w:vAlign w:val="center"/>
            <w:hideMark/>
          </w:tcPr>
          <w:p w14:paraId="392B6C46"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175.351</w:t>
            </w:r>
          </w:p>
        </w:tc>
        <w:tc>
          <w:tcPr>
            <w:tcW w:w="1141" w:type="dxa"/>
            <w:tcBorders>
              <w:top w:val="nil"/>
              <w:left w:val="nil"/>
              <w:bottom w:val="single" w:sz="4" w:space="0" w:color="auto"/>
              <w:right w:val="single" w:sz="4" w:space="0" w:color="auto"/>
            </w:tcBorders>
            <w:shd w:val="clear" w:color="auto" w:fill="auto"/>
            <w:vAlign w:val="center"/>
            <w:hideMark/>
          </w:tcPr>
          <w:p w14:paraId="51E58C73"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10.650.775</w:t>
            </w:r>
          </w:p>
        </w:tc>
      </w:tr>
      <w:tr w:rsidR="00A155A2" w:rsidRPr="00CF5DFF" w14:paraId="20BDD798" w14:textId="77777777" w:rsidTr="001C77D2">
        <w:trPr>
          <w:trHeight w:val="232"/>
        </w:trPr>
        <w:tc>
          <w:tcPr>
            <w:tcW w:w="143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27427B00"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Skupaj občine</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3C7581A5"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12.829.945</w:t>
            </w:r>
          </w:p>
        </w:tc>
        <w:tc>
          <w:tcPr>
            <w:tcW w:w="1081" w:type="dxa"/>
            <w:tcBorders>
              <w:top w:val="double" w:sz="6" w:space="0" w:color="auto"/>
              <w:left w:val="nil"/>
              <w:bottom w:val="double" w:sz="6" w:space="0" w:color="auto"/>
              <w:right w:val="single" w:sz="4" w:space="0" w:color="auto"/>
            </w:tcBorders>
            <w:shd w:val="clear" w:color="auto" w:fill="auto"/>
            <w:vAlign w:val="center"/>
            <w:hideMark/>
          </w:tcPr>
          <w:p w14:paraId="02FB7E32"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659.520</w:t>
            </w:r>
          </w:p>
        </w:tc>
        <w:tc>
          <w:tcPr>
            <w:tcW w:w="1114" w:type="dxa"/>
            <w:tcBorders>
              <w:top w:val="double" w:sz="6" w:space="0" w:color="auto"/>
              <w:left w:val="nil"/>
              <w:bottom w:val="double" w:sz="6" w:space="0" w:color="auto"/>
              <w:right w:val="single" w:sz="4" w:space="0" w:color="auto"/>
            </w:tcBorders>
            <w:shd w:val="clear" w:color="auto" w:fill="auto"/>
            <w:vAlign w:val="center"/>
            <w:hideMark/>
          </w:tcPr>
          <w:p w14:paraId="0525032F"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941.405</w:t>
            </w:r>
          </w:p>
        </w:tc>
        <w:tc>
          <w:tcPr>
            <w:tcW w:w="1132" w:type="dxa"/>
            <w:tcBorders>
              <w:top w:val="double" w:sz="6" w:space="0" w:color="auto"/>
              <w:left w:val="nil"/>
              <w:bottom w:val="double" w:sz="6" w:space="0" w:color="auto"/>
              <w:right w:val="single" w:sz="4" w:space="0" w:color="auto"/>
            </w:tcBorders>
            <w:shd w:val="clear" w:color="auto" w:fill="auto"/>
            <w:vAlign w:val="center"/>
            <w:hideMark/>
          </w:tcPr>
          <w:p w14:paraId="77F7CC55"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895.674</w:t>
            </w:r>
          </w:p>
        </w:tc>
        <w:tc>
          <w:tcPr>
            <w:tcW w:w="1059" w:type="dxa"/>
            <w:tcBorders>
              <w:top w:val="double" w:sz="6" w:space="0" w:color="auto"/>
              <w:left w:val="nil"/>
              <w:bottom w:val="double" w:sz="6" w:space="0" w:color="auto"/>
              <w:right w:val="single" w:sz="4" w:space="0" w:color="auto"/>
            </w:tcBorders>
            <w:shd w:val="clear" w:color="auto" w:fill="auto"/>
            <w:vAlign w:val="center"/>
            <w:hideMark/>
          </w:tcPr>
          <w:p w14:paraId="7866DACB"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1.132.920</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1CE48D77"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4.603.746</w:t>
            </w:r>
          </w:p>
        </w:tc>
        <w:tc>
          <w:tcPr>
            <w:tcW w:w="1141" w:type="dxa"/>
            <w:tcBorders>
              <w:top w:val="double" w:sz="6" w:space="0" w:color="auto"/>
              <w:left w:val="nil"/>
              <w:bottom w:val="double" w:sz="6" w:space="0" w:color="auto"/>
              <w:right w:val="single" w:sz="4" w:space="0" w:color="auto"/>
            </w:tcBorders>
            <w:shd w:val="clear" w:color="auto" w:fill="auto"/>
            <w:vAlign w:val="center"/>
            <w:hideMark/>
          </w:tcPr>
          <w:p w14:paraId="0713E17B" w14:textId="77777777" w:rsidR="00A155A2" w:rsidRPr="00CF5DFF" w:rsidRDefault="00A155A2" w:rsidP="001C77D2">
            <w:pPr>
              <w:spacing w:after="0" w:line="240" w:lineRule="auto"/>
              <w:jc w:val="right"/>
              <w:rPr>
                <w:rFonts w:ascii="Arial" w:eastAsia="Times New Roman" w:hAnsi="Arial" w:cs="Arial"/>
                <w:b/>
                <w:bCs/>
                <w:i/>
                <w:iCs/>
                <w:sz w:val="18"/>
                <w:szCs w:val="18"/>
                <w:lang w:eastAsia="sl-SI"/>
              </w:rPr>
            </w:pPr>
            <w:r w:rsidRPr="00CF5DFF">
              <w:rPr>
                <w:rFonts w:ascii="Arial" w:eastAsia="Times New Roman" w:hAnsi="Arial" w:cs="Arial"/>
                <w:b/>
                <w:bCs/>
                <w:i/>
                <w:iCs/>
                <w:sz w:val="18"/>
                <w:szCs w:val="18"/>
                <w:lang w:eastAsia="sl-SI"/>
              </w:rPr>
              <w:t>21.063.210</w:t>
            </w:r>
          </w:p>
        </w:tc>
      </w:tr>
      <w:tr w:rsidR="00A155A2" w:rsidRPr="00CF5DFF" w14:paraId="0379421D" w14:textId="77777777" w:rsidTr="001C77D2">
        <w:trPr>
          <w:trHeight w:val="275"/>
        </w:trPr>
        <w:tc>
          <w:tcPr>
            <w:tcW w:w="9301" w:type="dxa"/>
            <w:gridSpan w:val="8"/>
            <w:tcBorders>
              <w:top w:val="double" w:sz="6" w:space="0" w:color="auto"/>
              <w:left w:val="single" w:sz="4" w:space="0" w:color="auto"/>
              <w:bottom w:val="single" w:sz="4" w:space="0" w:color="auto"/>
              <w:right w:val="single" w:sz="4" w:space="0" w:color="000000"/>
            </w:tcBorders>
            <w:shd w:val="clear" w:color="000000" w:fill="DCE6F1"/>
            <w:vAlign w:val="center"/>
            <w:hideMark/>
          </w:tcPr>
          <w:p w14:paraId="2E04A6A1" w14:textId="77777777" w:rsidR="00A155A2" w:rsidRPr="00CF5DFF" w:rsidRDefault="00A155A2" w:rsidP="001C77D2">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Drugo</w:t>
            </w:r>
          </w:p>
        </w:tc>
      </w:tr>
      <w:tr w:rsidR="00A155A2" w:rsidRPr="00CF5DFF" w14:paraId="1A077D24"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5DE9FAEC"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Aktivni dolg </w:t>
            </w:r>
          </w:p>
        </w:tc>
        <w:tc>
          <w:tcPr>
            <w:tcW w:w="1167" w:type="dxa"/>
            <w:tcBorders>
              <w:top w:val="nil"/>
              <w:left w:val="nil"/>
              <w:bottom w:val="single" w:sz="4" w:space="0" w:color="auto"/>
              <w:right w:val="single" w:sz="4" w:space="0" w:color="auto"/>
            </w:tcBorders>
            <w:shd w:val="clear" w:color="auto" w:fill="auto"/>
            <w:vAlign w:val="center"/>
            <w:hideMark/>
          </w:tcPr>
          <w:p w14:paraId="744C05E6"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169</w:t>
            </w:r>
          </w:p>
        </w:tc>
        <w:tc>
          <w:tcPr>
            <w:tcW w:w="1081" w:type="dxa"/>
            <w:tcBorders>
              <w:top w:val="nil"/>
              <w:left w:val="nil"/>
              <w:bottom w:val="single" w:sz="4" w:space="0" w:color="auto"/>
              <w:right w:val="single" w:sz="4" w:space="0" w:color="auto"/>
            </w:tcBorders>
            <w:shd w:val="clear" w:color="auto" w:fill="auto"/>
            <w:vAlign w:val="center"/>
            <w:hideMark/>
          </w:tcPr>
          <w:p w14:paraId="238B446A"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377</w:t>
            </w:r>
          </w:p>
        </w:tc>
        <w:tc>
          <w:tcPr>
            <w:tcW w:w="1114" w:type="dxa"/>
            <w:tcBorders>
              <w:top w:val="nil"/>
              <w:left w:val="nil"/>
              <w:bottom w:val="single" w:sz="4" w:space="0" w:color="auto"/>
              <w:right w:val="single" w:sz="4" w:space="0" w:color="auto"/>
            </w:tcBorders>
            <w:shd w:val="clear" w:color="auto" w:fill="auto"/>
            <w:vAlign w:val="center"/>
            <w:hideMark/>
          </w:tcPr>
          <w:p w14:paraId="30CC53BA"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56.835</w:t>
            </w:r>
          </w:p>
        </w:tc>
        <w:tc>
          <w:tcPr>
            <w:tcW w:w="1132" w:type="dxa"/>
            <w:tcBorders>
              <w:top w:val="nil"/>
              <w:left w:val="nil"/>
              <w:bottom w:val="single" w:sz="4" w:space="0" w:color="auto"/>
              <w:right w:val="single" w:sz="4" w:space="0" w:color="auto"/>
            </w:tcBorders>
            <w:shd w:val="clear" w:color="auto" w:fill="auto"/>
            <w:vAlign w:val="center"/>
            <w:hideMark/>
          </w:tcPr>
          <w:p w14:paraId="29B4C968"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315.634</w:t>
            </w:r>
          </w:p>
        </w:tc>
        <w:tc>
          <w:tcPr>
            <w:tcW w:w="1059" w:type="dxa"/>
            <w:tcBorders>
              <w:top w:val="nil"/>
              <w:left w:val="nil"/>
              <w:bottom w:val="single" w:sz="4" w:space="0" w:color="auto"/>
              <w:right w:val="single" w:sz="4" w:space="0" w:color="auto"/>
            </w:tcBorders>
            <w:shd w:val="clear" w:color="auto" w:fill="auto"/>
            <w:vAlign w:val="center"/>
            <w:hideMark/>
          </w:tcPr>
          <w:p w14:paraId="179F7586"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522.566</w:t>
            </w:r>
          </w:p>
        </w:tc>
        <w:tc>
          <w:tcPr>
            <w:tcW w:w="1167" w:type="dxa"/>
            <w:tcBorders>
              <w:top w:val="nil"/>
              <w:left w:val="nil"/>
              <w:bottom w:val="single" w:sz="4" w:space="0" w:color="auto"/>
              <w:right w:val="single" w:sz="4" w:space="0" w:color="auto"/>
            </w:tcBorders>
            <w:shd w:val="clear" w:color="auto" w:fill="auto"/>
            <w:vAlign w:val="center"/>
            <w:hideMark/>
          </w:tcPr>
          <w:p w14:paraId="5B6C47E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5.304.627</w:t>
            </w:r>
          </w:p>
        </w:tc>
        <w:tc>
          <w:tcPr>
            <w:tcW w:w="1141" w:type="dxa"/>
            <w:tcBorders>
              <w:top w:val="nil"/>
              <w:left w:val="nil"/>
              <w:bottom w:val="single" w:sz="4" w:space="0" w:color="auto"/>
              <w:right w:val="single" w:sz="4" w:space="0" w:color="auto"/>
            </w:tcBorders>
            <w:shd w:val="clear" w:color="auto" w:fill="auto"/>
            <w:vAlign w:val="center"/>
            <w:hideMark/>
          </w:tcPr>
          <w:p w14:paraId="640E7766"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6.200.208</w:t>
            </w:r>
          </w:p>
        </w:tc>
      </w:tr>
      <w:tr w:rsidR="00A155A2" w:rsidRPr="00CF5DFF" w14:paraId="1E19179D" w14:textId="77777777" w:rsidTr="001C77D2">
        <w:trPr>
          <w:trHeight w:val="380"/>
        </w:trPr>
        <w:tc>
          <w:tcPr>
            <w:tcW w:w="1437" w:type="dxa"/>
            <w:tcBorders>
              <w:top w:val="nil"/>
              <w:left w:val="single" w:sz="4" w:space="0" w:color="auto"/>
              <w:bottom w:val="single" w:sz="4" w:space="0" w:color="auto"/>
              <w:right w:val="single" w:sz="4" w:space="0" w:color="auto"/>
            </w:tcBorders>
            <w:shd w:val="clear" w:color="auto" w:fill="auto"/>
            <w:vAlign w:val="center"/>
            <w:hideMark/>
          </w:tcPr>
          <w:p w14:paraId="2C5895F0"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Pogojno izterljivi dolg </w:t>
            </w:r>
          </w:p>
        </w:tc>
        <w:tc>
          <w:tcPr>
            <w:tcW w:w="1167" w:type="dxa"/>
            <w:tcBorders>
              <w:top w:val="nil"/>
              <w:left w:val="nil"/>
              <w:bottom w:val="single" w:sz="4" w:space="0" w:color="auto"/>
              <w:right w:val="single" w:sz="4" w:space="0" w:color="auto"/>
            </w:tcBorders>
            <w:shd w:val="clear" w:color="auto" w:fill="auto"/>
            <w:vAlign w:val="center"/>
            <w:hideMark/>
          </w:tcPr>
          <w:p w14:paraId="5D7CD314"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0</w:t>
            </w:r>
          </w:p>
        </w:tc>
        <w:tc>
          <w:tcPr>
            <w:tcW w:w="1081" w:type="dxa"/>
            <w:tcBorders>
              <w:top w:val="nil"/>
              <w:left w:val="nil"/>
              <w:bottom w:val="single" w:sz="4" w:space="0" w:color="auto"/>
              <w:right w:val="single" w:sz="4" w:space="0" w:color="auto"/>
            </w:tcBorders>
            <w:shd w:val="clear" w:color="auto" w:fill="auto"/>
            <w:vAlign w:val="center"/>
            <w:hideMark/>
          </w:tcPr>
          <w:p w14:paraId="18BA9DA1"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0</w:t>
            </w:r>
          </w:p>
        </w:tc>
        <w:tc>
          <w:tcPr>
            <w:tcW w:w="1114" w:type="dxa"/>
            <w:tcBorders>
              <w:top w:val="nil"/>
              <w:left w:val="nil"/>
              <w:bottom w:val="single" w:sz="4" w:space="0" w:color="auto"/>
              <w:right w:val="single" w:sz="4" w:space="0" w:color="auto"/>
            </w:tcBorders>
            <w:shd w:val="clear" w:color="auto" w:fill="auto"/>
            <w:vAlign w:val="center"/>
            <w:hideMark/>
          </w:tcPr>
          <w:p w14:paraId="4A3DEA87" w14:textId="77777777" w:rsidR="00A155A2" w:rsidRPr="00CF5DFF" w:rsidRDefault="00A155A2" w:rsidP="001C77D2">
            <w:pPr>
              <w:spacing w:after="0" w:line="240" w:lineRule="auto"/>
              <w:jc w:val="right"/>
              <w:rPr>
                <w:rFonts w:ascii="Arial" w:eastAsia="Times New Roman" w:hAnsi="Arial" w:cs="Arial"/>
                <w:i/>
                <w:iCs/>
                <w:sz w:val="18"/>
                <w:szCs w:val="18"/>
                <w:lang w:eastAsia="sl-SI"/>
              </w:rPr>
            </w:pPr>
            <w:r w:rsidRPr="00CF5DFF">
              <w:rPr>
                <w:rFonts w:ascii="Arial" w:eastAsia="Times New Roman" w:hAnsi="Arial" w:cs="Arial"/>
                <w:i/>
                <w:iCs/>
                <w:sz w:val="18"/>
                <w:szCs w:val="18"/>
                <w:lang w:eastAsia="sl-SI"/>
              </w:rPr>
              <w:t>0</w:t>
            </w:r>
          </w:p>
        </w:tc>
        <w:tc>
          <w:tcPr>
            <w:tcW w:w="1132" w:type="dxa"/>
            <w:tcBorders>
              <w:top w:val="nil"/>
              <w:left w:val="nil"/>
              <w:bottom w:val="single" w:sz="4" w:space="0" w:color="auto"/>
              <w:right w:val="single" w:sz="4" w:space="0" w:color="auto"/>
            </w:tcBorders>
            <w:shd w:val="clear" w:color="auto" w:fill="auto"/>
            <w:vAlign w:val="center"/>
            <w:hideMark/>
          </w:tcPr>
          <w:p w14:paraId="445B09FF"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0</w:t>
            </w:r>
          </w:p>
        </w:tc>
        <w:tc>
          <w:tcPr>
            <w:tcW w:w="1059" w:type="dxa"/>
            <w:tcBorders>
              <w:top w:val="nil"/>
              <w:left w:val="nil"/>
              <w:bottom w:val="nil"/>
              <w:right w:val="single" w:sz="4" w:space="0" w:color="auto"/>
            </w:tcBorders>
            <w:shd w:val="clear" w:color="auto" w:fill="auto"/>
            <w:vAlign w:val="center"/>
            <w:hideMark/>
          </w:tcPr>
          <w:p w14:paraId="739B4404"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0</w:t>
            </w:r>
          </w:p>
        </w:tc>
        <w:tc>
          <w:tcPr>
            <w:tcW w:w="1167" w:type="dxa"/>
            <w:tcBorders>
              <w:top w:val="nil"/>
              <w:left w:val="nil"/>
              <w:bottom w:val="nil"/>
              <w:right w:val="single" w:sz="4" w:space="0" w:color="auto"/>
            </w:tcBorders>
            <w:shd w:val="clear" w:color="auto" w:fill="auto"/>
            <w:vAlign w:val="center"/>
            <w:hideMark/>
          </w:tcPr>
          <w:p w14:paraId="268D3921" w14:textId="77777777" w:rsidR="00A155A2" w:rsidRPr="00CF5DFF" w:rsidRDefault="00A155A2" w:rsidP="001C77D2">
            <w:pPr>
              <w:spacing w:after="0" w:line="240" w:lineRule="auto"/>
              <w:jc w:val="right"/>
              <w:rPr>
                <w:rFonts w:ascii="Arial" w:eastAsia="Times New Roman" w:hAnsi="Arial" w:cs="Arial"/>
                <w:sz w:val="18"/>
                <w:szCs w:val="18"/>
                <w:lang w:eastAsia="sl-SI"/>
              </w:rPr>
            </w:pPr>
            <w:r w:rsidRPr="00CF5DFF">
              <w:rPr>
                <w:rFonts w:ascii="Arial" w:eastAsia="Times New Roman" w:hAnsi="Arial" w:cs="Arial"/>
                <w:sz w:val="18"/>
                <w:szCs w:val="18"/>
                <w:lang w:eastAsia="sl-SI"/>
              </w:rPr>
              <w:t>0</w:t>
            </w:r>
          </w:p>
        </w:tc>
        <w:tc>
          <w:tcPr>
            <w:tcW w:w="1141" w:type="dxa"/>
            <w:tcBorders>
              <w:top w:val="nil"/>
              <w:left w:val="nil"/>
              <w:bottom w:val="single" w:sz="4" w:space="0" w:color="auto"/>
              <w:right w:val="single" w:sz="4" w:space="0" w:color="auto"/>
            </w:tcBorders>
            <w:shd w:val="clear" w:color="auto" w:fill="auto"/>
            <w:vAlign w:val="center"/>
            <w:hideMark/>
          </w:tcPr>
          <w:p w14:paraId="12D55B37" w14:textId="77777777" w:rsidR="00A155A2" w:rsidRPr="00CF5DFF" w:rsidRDefault="00A155A2" w:rsidP="001C77D2">
            <w:pPr>
              <w:spacing w:after="0" w:line="240" w:lineRule="auto"/>
              <w:jc w:val="right"/>
              <w:rPr>
                <w:rFonts w:ascii="Arial" w:eastAsia="Times New Roman" w:hAnsi="Arial" w:cs="Arial"/>
                <w:color w:val="000000"/>
                <w:sz w:val="18"/>
                <w:szCs w:val="18"/>
                <w:lang w:eastAsia="sl-SI"/>
              </w:rPr>
            </w:pPr>
            <w:r w:rsidRPr="00CF5DFF">
              <w:rPr>
                <w:rFonts w:ascii="Arial" w:eastAsia="Times New Roman" w:hAnsi="Arial" w:cs="Arial"/>
                <w:color w:val="000000"/>
                <w:sz w:val="18"/>
                <w:szCs w:val="18"/>
                <w:lang w:eastAsia="sl-SI"/>
              </w:rPr>
              <w:t>0</w:t>
            </w:r>
          </w:p>
        </w:tc>
      </w:tr>
      <w:tr w:rsidR="00A155A2" w:rsidRPr="00CF5DFF" w14:paraId="17681AE7" w14:textId="77777777" w:rsidTr="001C77D2">
        <w:trPr>
          <w:trHeight w:val="232"/>
        </w:trPr>
        <w:tc>
          <w:tcPr>
            <w:tcW w:w="143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43AB9237"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Skupaj </w:t>
            </w:r>
            <w:r>
              <w:rPr>
                <w:rFonts w:ascii="Arial" w:eastAsia="Times New Roman" w:hAnsi="Arial" w:cs="Arial"/>
                <w:b/>
                <w:bCs/>
                <w:sz w:val="18"/>
                <w:szCs w:val="18"/>
                <w:lang w:eastAsia="sl-SI"/>
              </w:rPr>
              <w:t>drugo</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281519F4"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169 </w:t>
            </w:r>
          </w:p>
        </w:tc>
        <w:tc>
          <w:tcPr>
            <w:tcW w:w="1081" w:type="dxa"/>
            <w:tcBorders>
              <w:top w:val="double" w:sz="6" w:space="0" w:color="auto"/>
              <w:left w:val="nil"/>
              <w:bottom w:val="double" w:sz="6" w:space="0" w:color="auto"/>
              <w:right w:val="single" w:sz="4" w:space="0" w:color="auto"/>
            </w:tcBorders>
            <w:shd w:val="clear" w:color="auto" w:fill="auto"/>
            <w:vAlign w:val="center"/>
            <w:hideMark/>
          </w:tcPr>
          <w:p w14:paraId="4C91748A"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377 </w:t>
            </w:r>
          </w:p>
        </w:tc>
        <w:tc>
          <w:tcPr>
            <w:tcW w:w="1114" w:type="dxa"/>
            <w:tcBorders>
              <w:top w:val="double" w:sz="6" w:space="0" w:color="auto"/>
              <w:left w:val="nil"/>
              <w:bottom w:val="double" w:sz="6" w:space="0" w:color="auto"/>
              <w:right w:val="single" w:sz="4" w:space="0" w:color="auto"/>
            </w:tcBorders>
            <w:shd w:val="clear" w:color="auto" w:fill="auto"/>
            <w:vAlign w:val="center"/>
            <w:hideMark/>
          </w:tcPr>
          <w:p w14:paraId="0330B63E"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56.835 </w:t>
            </w:r>
          </w:p>
        </w:tc>
        <w:tc>
          <w:tcPr>
            <w:tcW w:w="1132" w:type="dxa"/>
            <w:tcBorders>
              <w:top w:val="double" w:sz="6" w:space="0" w:color="auto"/>
              <w:left w:val="nil"/>
              <w:bottom w:val="double" w:sz="6" w:space="0" w:color="auto"/>
              <w:right w:val="single" w:sz="4" w:space="0" w:color="auto"/>
            </w:tcBorders>
            <w:shd w:val="clear" w:color="auto" w:fill="auto"/>
            <w:vAlign w:val="center"/>
            <w:hideMark/>
          </w:tcPr>
          <w:p w14:paraId="7ECC0F68"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315.634 </w:t>
            </w:r>
          </w:p>
        </w:tc>
        <w:tc>
          <w:tcPr>
            <w:tcW w:w="1059" w:type="dxa"/>
            <w:tcBorders>
              <w:top w:val="double" w:sz="6" w:space="0" w:color="auto"/>
              <w:left w:val="nil"/>
              <w:bottom w:val="double" w:sz="6" w:space="0" w:color="auto"/>
              <w:right w:val="single" w:sz="4" w:space="0" w:color="auto"/>
            </w:tcBorders>
            <w:shd w:val="clear" w:color="auto" w:fill="auto"/>
            <w:vAlign w:val="center"/>
            <w:hideMark/>
          </w:tcPr>
          <w:p w14:paraId="75781366"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522.566 </w:t>
            </w:r>
          </w:p>
        </w:tc>
        <w:tc>
          <w:tcPr>
            <w:tcW w:w="1167" w:type="dxa"/>
            <w:tcBorders>
              <w:top w:val="double" w:sz="6" w:space="0" w:color="auto"/>
              <w:left w:val="nil"/>
              <w:bottom w:val="double" w:sz="6" w:space="0" w:color="auto"/>
              <w:right w:val="single" w:sz="4" w:space="0" w:color="auto"/>
            </w:tcBorders>
            <w:shd w:val="clear" w:color="auto" w:fill="auto"/>
            <w:vAlign w:val="center"/>
            <w:hideMark/>
          </w:tcPr>
          <w:p w14:paraId="1A8D2253"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5.304.627 </w:t>
            </w:r>
          </w:p>
        </w:tc>
        <w:tc>
          <w:tcPr>
            <w:tcW w:w="1141" w:type="dxa"/>
            <w:tcBorders>
              <w:top w:val="double" w:sz="6" w:space="0" w:color="auto"/>
              <w:left w:val="nil"/>
              <w:bottom w:val="double" w:sz="6" w:space="0" w:color="auto"/>
              <w:right w:val="single" w:sz="4" w:space="0" w:color="auto"/>
            </w:tcBorders>
            <w:shd w:val="clear" w:color="auto" w:fill="auto"/>
            <w:vAlign w:val="center"/>
            <w:hideMark/>
          </w:tcPr>
          <w:p w14:paraId="336A7DC7"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 xml:space="preserve">       6.200.208 </w:t>
            </w:r>
          </w:p>
        </w:tc>
      </w:tr>
      <w:tr w:rsidR="00A155A2" w:rsidRPr="00CF5DFF" w14:paraId="6DA4A03A" w14:textId="77777777" w:rsidTr="001C77D2">
        <w:trPr>
          <w:trHeight w:val="412"/>
        </w:trPr>
        <w:tc>
          <w:tcPr>
            <w:tcW w:w="1437" w:type="dxa"/>
            <w:tcBorders>
              <w:top w:val="nil"/>
              <w:left w:val="single" w:sz="4" w:space="0" w:color="auto"/>
              <w:bottom w:val="single" w:sz="4" w:space="0" w:color="auto"/>
              <w:right w:val="single" w:sz="4" w:space="0" w:color="auto"/>
            </w:tcBorders>
            <w:shd w:val="clear" w:color="000000" w:fill="B8CCE4"/>
            <w:vAlign w:val="center"/>
            <w:hideMark/>
          </w:tcPr>
          <w:p w14:paraId="0FDCE112"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SKUPAJ AKTIVNI DOLG</w:t>
            </w:r>
          </w:p>
        </w:tc>
        <w:tc>
          <w:tcPr>
            <w:tcW w:w="1167" w:type="dxa"/>
            <w:tcBorders>
              <w:top w:val="nil"/>
              <w:left w:val="nil"/>
              <w:bottom w:val="single" w:sz="4" w:space="0" w:color="auto"/>
              <w:right w:val="single" w:sz="4" w:space="0" w:color="auto"/>
            </w:tcBorders>
            <w:shd w:val="clear" w:color="000000" w:fill="B8CCE4"/>
            <w:vAlign w:val="center"/>
            <w:hideMark/>
          </w:tcPr>
          <w:p w14:paraId="27B31827"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102.479.041</w:t>
            </w:r>
          </w:p>
        </w:tc>
        <w:tc>
          <w:tcPr>
            <w:tcW w:w="1081" w:type="dxa"/>
            <w:tcBorders>
              <w:top w:val="nil"/>
              <w:left w:val="nil"/>
              <w:bottom w:val="single" w:sz="4" w:space="0" w:color="auto"/>
              <w:right w:val="single" w:sz="4" w:space="0" w:color="auto"/>
            </w:tcBorders>
            <w:shd w:val="clear" w:color="000000" w:fill="B8CCE4"/>
            <w:vAlign w:val="center"/>
            <w:hideMark/>
          </w:tcPr>
          <w:p w14:paraId="1CB254E1"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15.805.242</w:t>
            </w:r>
          </w:p>
        </w:tc>
        <w:tc>
          <w:tcPr>
            <w:tcW w:w="1114" w:type="dxa"/>
            <w:tcBorders>
              <w:top w:val="nil"/>
              <w:left w:val="nil"/>
              <w:bottom w:val="single" w:sz="4" w:space="0" w:color="auto"/>
              <w:right w:val="single" w:sz="4" w:space="0" w:color="auto"/>
            </w:tcBorders>
            <w:shd w:val="clear" w:color="000000" w:fill="B8CCE4"/>
            <w:vAlign w:val="center"/>
            <w:hideMark/>
          </w:tcPr>
          <w:p w14:paraId="006F04DF"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23.989.840</w:t>
            </w:r>
          </w:p>
        </w:tc>
        <w:tc>
          <w:tcPr>
            <w:tcW w:w="1132" w:type="dxa"/>
            <w:tcBorders>
              <w:top w:val="nil"/>
              <w:left w:val="nil"/>
              <w:bottom w:val="single" w:sz="4" w:space="0" w:color="auto"/>
              <w:right w:val="single" w:sz="4" w:space="0" w:color="auto"/>
            </w:tcBorders>
            <w:shd w:val="clear" w:color="000000" w:fill="B8CCE4"/>
            <w:vAlign w:val="center"/>
            <w:hideMark/>
          </w:tcPr>
          <w:p w14:paraId="3E1A9D47"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28.015.241</w:t>
            </w:r>
          </w:p>
        </w:tc>
        <w:tc>
          <w:tcPr>
            <w:tcW w:w="1059" w:type="dxa"/>
            <w:tcBorders>
              <w:top w:val="nil"/>
              <w:left w:val="nil"/>
              <w:bottom w:val="single" w:sz="4" w:space="0" w:color="auto"/>
              <w:right w:val="single" w:sz="4" w:space="0" w:color="auto"/>
            </w:tcBorders>
            <w:shd w:val="clear" w:color="000000" w:fill="B8CCE4"/>
            <w:vAlign w:val="center"/>
            <w:hideMark/>
          </w:tcPr>
          <w:p w14:paraId="1E108476"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45.352.905</w:t>
            </w:r>
          </w:p>
        </w:tc>
        <w:tc>
          <w:tcPr>
            <w:tcW w:w="1167" w:type="dxa"/>
            <w:tcBorders>
              <w:top w:val="nil"/>
              <w:left w:val="nil"/>
              <w:bottom w:val="single" w:sz="4" w:space="0" w:color="auto"/>
              <w:right w:val="single" w:sz="4" w:space="0" w:color="auto"/>
            </w:tcBorders>
            <w:shd w:val="clear" w:color="000000" w:fill="B8CCE4"/>
            <w:vAlign w:val="center"/>
            <w:hideMark/>
          </w:tcPr>
          <w:p w14:paraId="7AB675BC"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266.175.589</w:t>
            </w:r>
          </w:p>
        </w:tc>
        <w:tc>
          <w:tcPr>
            <w:tcW w:w="1141" w:type="dxa"/>
            <w:tcBorders>
              <w:top w:val="nil"/>
              <w:left w:val="nil"/>
              <w:bottom w:val="single" w:sz="4" w:space="0" w:color="auto"/>
              <w:right w:val="single" w:sz="4" w:space="0" w:color="auto"/>
            </w:tcBorders>
            <w:shd w:val="clear" w:color="000000" w:fill="B8CCE4"/>
            <w:vAlign w:val="center"/>
            <w:hideMark/>
          </w:tcPr>
          <w:p w14:paraId="44CFA974"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481.817.858</w:t>
            </w:r>
          </w:p>
        </w:tc>
      </w:tr>
      <w:tr w:rsidR="00A155A2" w:rsidRPr="00CF5DFF" w14:paraId="1A8EBA39" w14:textId="77777777" w:rsidTr="001C77D2">
        <w:trPr>
          <w:trHeight w:val="509"/>
        </w:trPr>
        <w:tc>
          <w:tcPr>
            <w:tcW w:w="1437" w:type="dxa"/>
            <w:tcBorders>
              <w:top w:val="nil"/>
              <w:left w:val="single" w:sz="4" w:space="0" w:color="auto"/>
              <w:bottom w:val="single" w:sz="4" w:space="0" w:color="auto"/>
              <w:right w:val="single" w:sz="4" w:space="0" w:color="auto"/>
            </w:tcBorders>
            <w:shd w:val="clear" w:color="000000" w:fill="B8CCE4"/>
            <w:vAlign w:val="center"/>
            <w:hideMark/>
          </w:tcPr>
          <w:p w14:paraId="5FA3D026" w14:textId="77777777" w:rsidR="00A155A2" w:rsidRPr="00CF5DFF" w:rsidRDefault="00A155A2" w:rsidP="001C77D2">
            <w:pPr>
              <w:spacing w:after="0" w:line="240" w:lineRule="auto"/>
              <w:rPr>
                <w:rFonts w:ascii="Arial" w:eastAsia="Times New Roman" w:hAnsi="Arial" w:cs="Arial"/>
                <w:sz w:val="18"/>
                <w:szCs w:val="18"/>
                <w:lang w:eastAsia="sl-SI"/>
              </w:rPr>
            </w:pPr>
            <w:r w:rsidRPr="00CF5DFF">
              <w:rPr>
                <w:rFonts w:ascii="Arial" w:eastAsia="Times New Roman" w:hAnsi="Arial" w:cs="Arial"/>
                <w:sz w:val="18"/>
                <w:szCs w:val="18"/>
                <w:lang w:eastAsia="sl-SI"/>
              </w:rPr>
              <w:t xml:space="preserve">SKUPAJ POGOJNO </w:t>
            </w:r>
            <w:r w:rsidRPr="00CF5DFF">
              <w:rPr>
                <w:rFonts w:ascii="Arial" w:eastAsia="Times New Roman" w:hAnsi="Arial" w:cs="Arial"/>
                <w:sz w:val="18"/>
                <w:szCs w:val="18"/>
                <w:lang w:eastAsia="sl-SI"/>
              </w:rPr>
              <w:lastRenderedPageBreak/>
              <w:t>IZTERLJIVI DOLG</w:t>
            </w:r>
          </w:p>
        </w:tc>
        <w:tc>
          <w:tcPr>
            <w:tcW w:w="1167" w:type="dxa"/>
            <w:tcBorders>
              <w:top w:val="nil"/>
              <w:left w:val="nil"/>
              <w:bottom w:val="single" w:sz="4" w:space="0" w:color="auto"/>
              <w:right w:val="single" w:sz="4" w:space="0" w:color="auto"/>
            </w:tcBorders>
            <w:shd w:val="clear" w:color="000000" w:fill="B8CCE4"/>
            <w:vAlign w:val="center"/>
            <w:hideMark/>
          </w:tcPr>
          <w:p w14:paraId="2A751E0B"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lastRenderedPageBreak/>
              <w:t>259.564.805</w:t>
            </w:r>
          </w:p>
        </w:tc>
        <w:tc>
          <w:tcPr>
            <w:tcW w:w="1081" w:type="dxa"/>
            <w:tcBorders>
              <w:top w:val="nil"/>
              <w:left w:val="nil"/>
              <w:bottom w:val="single" w:sz="4" w:space="0" w:color="auto"/>
              <w:right w:val="single" w:sz="4" w:space="0" w:color="auto"/>
            </w:tcBorders>
            <w:shd w:val="clear" w:color="000000" w:fill="B8CCE4"/>
            <w:vAlign w:val="center"/>
            <w:hideMark/>
          </w:tcPr>
          <w:p w14:paraId="6A0E5679"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27.999.296</w:t>
            </w:r>
          </w:p>
        </w:tc>
        <w:tc>
          <w:tcPr>
            <w:tcW w:w="1114" w:type="dxa"/>
            <w:tcBorders>
              <w:top w:val="nil"/>
              <w:left w:val="nil"/>
              <w:bottom w:val="single" w:sz="4" w:space="0" w:color="auto"/>
              <w:right w:val="single" w:sz="4" w:space="0" w:color="auto"/>
            </w:tcBorders>
            <w:shd w:val="clear" w:color="000000" w:fill="B8CCE4"/>
            <w:vAlign w:val="center"/>
            <w:hideMark/>
          </w:tcPr>
          <w:p w14:paraId="43184EED"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24.847.293</w:t>
            </w:r>
          </w:p>
        </w:tc>
        <w:tc>
          <w:tcPr>
            <w:tcW w:w="1132" w:type="dxa"/>
            <w:tcBorders>
              <w:top w:val="nil"/>
              <w:left w:val="nil"/>
              <w:bottom w:val="single" w:sz="4" w:space="0" w:color="auto"/>
              <w:right w:val="single" w:sz="4" w:space="0" w:color="auto"/>
            </w:tcBorders>
            <w:shd w:val="clear" w:color="000000" w:fill="B8CCE4"/>
            <w:vAlign w:val="center"/>
            <w:hideMark/>
          </w:tcPr>
          <w:p w14:paraId="1698B450"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34.866.693</w:t>
            </w:r>
          </w:p>
        </w:tc>
        <w:tc>
          <w:tcPr>
            <w:tcW w:w="1059" w:type="dxa"/>
            <w:tcBorders>
              <w:top w:val="nil"/>
              <w:left w:val="nil"/>
              <w:bottom w:val="single" w:sz="4" w:space="0" w:color="auto"/>
              <w:right w:val="single" w:sz="4" w:space="0" w:color="auto"/>
            </w:tcBorders>
            <w:shd w:val="clear" w:color="000000" w:fill="B8CCE4"/>
            <w:vAlign w:val="center"/>
            <w:hideMark/>
          </w:tcPr>
          <w:p w14:paraId="7B4A2F36"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41.891.988</w:t>
            </w:r>
          </w:p>
        </w:tc>
        <w:tc>
          <w:tcPr>
            <w:tcW w:w="1167" w:type="dxa"/>
            <w:tcBorders>
              <w:top w:val="nil"/>
              <w:left w:val="nil"/>
              <w:bottom w:val="single" w:sz="4" w:space="0" w:color="auto"/>
              <w:right w:val="single" w:sz="4" w:space="0" w:color="auto"/>
            </w:tcBorders>
            <w:shd w:val="clear" w:color="000000" w:fill="B8CCE4"/>
            <w:vAlign w:val="center"/>
            <w:hideMark/>
          </w:tcPr>
          <w:p w14:paraId="680215C3"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30.949.324</w:t>
            </w:r>
          </w:p>
        </w:tc>
        <w:tc>
          <w:tcPr>
            <w:tcW w:w="1141" w:type="dxa"/>
            <w:tcBorders>
              <w:top w:val="nil"/>
              <w:left w:val="nil"/>
              <w:bottom w:val="single" w:sz="4" w:space="0" w:color="auto"/>
              <w:right w:val="single" w:sz="4" w:space="0" w:color="auto"/>
            </w:tcBorders>
            <w:shd w:val="clear" w:color="000000" w:fill="B8CCE4"/>
            <w:vAlign w:val="center"/>
            <w:hideMark/>
          </w:tcPr>
          <w:p w14:paraId="3309D074"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420.119.399</w:t>
            </w:r>
          </w:p>
        </w:tc>
      </w:tr>
      <w:tr w:rsidR="00A155A2" w:rsidRPr="00CF5DFF" w14:paraId="5F81A98F" w14:textId="77777777" w:rsidTr="001C77D2">
        <w:trPr>
          <w:trHeight w:val="509"/>
        </w:trPr>
        <w:tc>
          <w:tcPr>
            <w:tcW w:w="1437" w:type="dxa"/>
            <w:tcBorders>
              <w:top w:val="nil"/>
              <w:left w:val="single" w:sz="4" w:space="0" w:color="auto"/>
              <w:bottom w:val="single" w:sz="4" w:space="0" w:color="auto"/>
              <w:right w:val="single" w:sz="4" w:space="0" w:color="auto"/>
            </w:tcBorders>
            <w:shd w:val="clear" w:color="000000" w:fill="B8CCE4"/>
            <w:vAlign w:val="center"/>
            <w:hideMark/>
          </w:tcPr>
          <w:p w14:paraId="708AEC81" w14:textId="77777777" w:rsidR="00A155A2" w:rsidRPr="00CF5DFF" w:rsidRDefault="00A155A2" w:rsidP="001C77D2">
            <w:pPr>
              <w:spacing w:after="0" w:line="240" w:lineRule="auto"/>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SKUPAJ DAVČNI DOLG</w:t>
            </w:r>
          </w:p>
        </w:tc>
        <w:tc>
          <w:tcPr>
            <w:tcW w:w="1167" w:type="dxa"/>
            <w:tcBorders>
              <w:top w:val="nil"/>
              <w:left w:val="nil"/>
              <w:bottom w:val="single" w:sz="4" w:space="0" w:color="auto"/>
              <w:right w:val="single" w:sz="4" w:space="0" w:color="auto"/>
            </w:tcBorders>
            <w:shd w:val="clear" w:color="000000" w:fill="B8CCE4"/>
            <w:vAlign w:val="center"/>
            <w:hideMark/>
          </w:tcPr>
          <w:p w14:paraId="1C9FFBDD"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362.043.846</w:t>
            </w:r>
          </w:p>
        </w:tc>
        <w:tc>
          <w:tcPr>
            <w:tcW w:w="1081" w:type="dxa"/>
            <w:tcBorders>
              <w:top w:val="nil"/>
              <w:left w:val="nil"/>
              <w:bottom w:val="single" w:sz="4" w:space="0" w:color="auto"/>
              <w:right w:val="single" w:sz="4" w:space="0" w:color="auto"/>
            </w:tcBorders>
            <w:shd w:val="clear" w:color="000000" w:fill="B8CCE4"/>
            <w:vAlign w:val="center"/>
            <w:hideMark/>
          </w:tcPr>
          <w:p w14:paraId="408E0F72"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43.804.538</w:t>
            </w:r>
          </w:p>
        </w:tc>
        <w:tc>
          <w:tcPr>
            <w:tcW w:w="1114" w:type="dxa"/>
            <w:tcBorders>
              <w:top w:val="nil"/>
              <w:left w:val="nil"/>
              <w:bottom w:val="single" w:sz="4" w:space="0" w:color="auto"/>
              <w:right w:val="single" w:sz="4" w:space="0" w:color="auto"/>
            </w:tcBorders>
            <w:shd w:val="clear" w:color="000000" w:fill="B8CCE4"/>
            <w:vAlign w:val="center"/>
            <w:hideMark/>
          </w:tcPr>
          <w:p w14:paraId="24F3712A"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48.837.133</w:t>
            </w:r>
          </w:p>
        </w:tc>
        <w:tc>
          <w:tcPr>
            <w:tcW w:w="1132" w:type="dxa"/>
            <w:tcBorders>
              <w:top w:val="nil"/>
              <w:left w:val="nil"/>
              <w:bottom w:val="single" w:sz="4" w:space="0" w:color="auto"/>
              <w:right w:val="single" w:sz="4" w:space="0" w:color="auto"/>
            </w:tcBorders>
            <w:shd w:val="clear" w:color="000000" w:fill="B8CCE4"/>
            <w:vAlign w:val="center"/>
            <w:hideMark/>
          </w:tcPr>
          <w:p w14:paraId="2A492F8D"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62.881.934</w:t>
            </w:r>
          </w:p>
        </w:tc>
        <w:tc>
          <w:tcPr>
            <w:tcW w:w="1059" w:type="dxa"/>
            <w:tcBorders>
              <w:top w:val="nil"/>
              <w:left w:val="nil"/>
              <w:bottom w:val="single" w:sz="4" w:space="0" w:color="auto"/>
              <w:right w:val="single" w:sz="4" w:space="0" w:color="auto"/>
            </w:tcBorders>
            <w:shd w:val="clear" w:color="000000" w:fill="B8CCE4"/>
            <w:vAlign w:val="center"/>
            <w:hideMark/>
          </w:tcPr>
          <w:p w14:paraId="54B1FF26"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87.244.893</w:t>
            </w:r>
          </w:p>
        </w:tc>
        <w:tc>
          <w:tcPr>
            <w:tcW w:w="1167" w:type="dxa"/>
            <w:tcBorders>
              <w:top w:val="nil"/>
              <w:left w:val="nil"/>
              <w:bottom w:val="single" w:sz="4" w:space="0" w:color="auto"/>
              <w:right w:val="single" w:sz="4" w:space="0" w:color="auto"/>
            </w:tcBorders>
            <w:shd w:val="clear" w:color="000000" w:fill="B8CCE4"/>
            <w:vAlign w:val="center"/>
            <w:hideMark/>
          </w:tcPr>
          <w:p w14:paraId="4B964738"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297.124.913</w:t>
            </w:r>
          </w:p>
        </w:tc>
        <w:tc>
          <w:tcPr>
            <w:tcW w:w="1141" w:type="dxa"/>
            <w:tcBorders>
              <w:top w:val="nil"/>
              <w:left w:val="nil"/>
              <w:bottom w:val="single" w:sz="4" w:space="0" w:color="auto"/>
              <w:right w:val="single" w:sz="4" w:space="0" w:color="auto"/>
            </w:tcBorders>
            <w:shd w:val="clear" w:color="000000" w:fill="B8CCE4"/>
            <w:vAlign w:val="center"/>
            <w:hideMark/>
          </w:tcPr>
          <w:p w14:paraId="5F371731" w14:textId="77777777" w:rsidR="00A155A2" w:rsidRPr="00CF5DFF" w:rsidRDefault="00A155A2" w:rsidP="001C77D2">
            <w:pPr>
              <w:spacing w:after="0" w:line="240" w:lineRule="auto"/>
              <w:jc w:val="right"/>
              <w:rPr>
                <w:rFonts w:ascii="Arial" w:eastAsia="Times New Roman" w:hAnsi="Arial" w:cs="Arial"/>
                <w:b/>
                <w:bCs/>
                <w:sz w:val="18"/>
                <w:szCs w:val="18"/>
                <w:lang w:eastAsia="sl-SI"/>
              </w:rPr>
            </w:pPr>
            <w:r w:rsidRPr="00CF5DFF">
              <w:rPr>
                <w:rFonts w:ascii="Arial" w:eastAsia="Times New Roman" w:hAnsi="Arial" w:cs="Arial"/>
                <w:b/>
                <w:bCs/>
                <w:sz w:val="18"/>
                <w:szCs w:val="18"/>
                <w:lang w:eastAsia="sl-SI"/>
              </w:rPr>
              <w:t>901.937.257</w:t>
            </w:r>
          </w:p>
        </w:tc>
      </w:tr>
    </w:tbl>
    <w:p w14:paraId="0C52CF55" w14:textId="77777777" w:rsidR="00A155A2" w:rsidRPr="00A33E86" w:rsidRDefault="00A155A2" w:rsidP="00A155A2">
      <w:pPr>
        <w:spacing w:after="0"/>
        <w:jc w:val="both"/>
        <w:rPr>
          <w:rFonts w:ascii="Arial" w:hAnsi="Arial" w:cs="Arial"/>
          <w:sz w:val="16"/>
          <w:szCs w:val="16"/>
        </w:rPr>
      </w:pPr>
      <w:r w:rsidRPr="00251F7F">
        <w:rPr>
          <w:rFonts w:ascii="Arial" w:hAnsi="Arial" w:cs="Arial"/>
          <w:sz w:val="16"/>
          <w:szCs w:val="16"/>
          <w:u w:val="single"/>
        </w:rPr>
        <w:t>Opomba:</w:t>
      </w:r>
      <w:r w:rsidRPr="00251F7F">
        <w:rPr>
          <w:rFonts w:ascii="Arial" w:hAnsi="Arial" w:cs="Arial"/>
          <w:sz w:val="16"/>
          <w:szCs w:val="16"/>
        </w:rPr>
        <w:t xml:space="preserve"> Absolutno zastaranje davčnega dolga</w:t>
      </w:r>
      <w:r w:rsidRPr="008E607D">
        <w:rPr>
          <w:rFonts w:ascii="Arial" w:hAnsi="Arial" w:cs="Arial"/>
          <w:sz w:val="16"/>
          <w:szCs w:val="16"/>
        </w:rPr>
        <w:t xml:space="preserve"> nastane po desetih letih, zaradi nekaterih postopkov se v skladu s predpisi rok zastaranja</w:t>
      </w:r>
      <w:r w:rsidRPr="00A33E86">
        <w:rPr>
          <w:rFonts w:ascii="Arial" w:hAnsi="Arial" w:cs="Arial"/>
          <w:sz w:val="16"/>
          <w:szCs w:val="16"/>
        </w:rPr>
        <w:t xml:space="preserve"> podaljša, zato je del dolga tudi starejši od </w:t>
      </w:r>
      <w:r>
        <w:rPr>
          <w:rFonts w:ascii="Arial" w:hAnsi="Arial" w:cs="Arial"/>
          <w:sz w:val="16"/>
          <w:szCs w:val="16"/>
        </w:rPr>
        <w:t>desetih</w:t>
      </w:r>
      <w:r w:rsidRPr="00A33E86">
        <w:rPr>
          <w:rFonts w:ascii="Arial" w:hAnsi="Arial" w:cs="Arial"/>
          <w:sz w:val="16"/>
          <w:szCs w:val="16"/>
        </w:rPr>
        <w:t xml:space="preserve"> let (znesek je vključen v stolpec »zapadlost dolga do leta 201</w:t>
      </w:r>
      <w:r>
        <w:rPr>
          <w:rFonts w:ascii="Arial" w:hAnsi="Arial" w:cs="Arial"/>
          <w:sz w:val="16"/>
          <w:szCs w:val="16"/>
        </w:rPr>
        <w:t>9</w:t>
      </w:r>
      <w:r w:rsidRPr="00A33E86">
        <w:rPr>
          <w:rFonts w:ascii="Arial" w:hAnsi="Arial" w:cs="Arial"/>
          <w:sz w:val="16"/>
          <w:szCs w:val="16"/>
        </w:rPr>
        <w:t>«).</w:t>
      </w:r>
    </w:p>
    <w:p w14:paraId="5FE8B76F"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7DD20911" w14:textId="77777777" w:rsidR="00A155A2" w:rsidRPr="00F60CAB" w:rsidRDefault="00A155A2" w:rsidP="00A155A2">
      <w:pPr>
        <w:jc w:val="both"/>
        <w:rPr>
          <w:rFonts w:ascii="Arial" w:hAnsi="Arial" w:cs="Arial"/>
          <w:sz w:val="20"/>
          <w:szCs w:val="20"/>
        </w:rPr>
      </w:pPr>
      <w:r w:rsidRPr="00F60CAB">
        <w:rPr>
          <w:rFonts w:ascii="Arial" w:hAnsi="Arial" w:cs="Arial"/>
          <w:sz w:val="20"/>
          <w:szCs w:val="20"/>
        </w:rPr>
        <w:t xml:space="preserve">Delež aktivnega dolga z zapadlostjo v letu 2024 </w:t>
      </w:r>
      <w:r>
        <w:rPr>
          <w:rFonts w:ascii="Arial" w:hAnsi="Arial" w:cs="Arial"/>
          <w:sz w:val="20"/>
          <w:szCs w:val="20"/>
        </w:rPr>
        <w:t>obsega</w:t>
      </w:r>
      <w:r w:rsidRPr="00F60CAB">
        <w:rPr>
          <w:rFonts w:ascii="Arial" w:hAnsi="Arial" w:cs="Arial"/>
          <w:sz w:val="20"/>
          <w:szCs w:val="20"/>
        </w:rPr>
        <w:t xml:space="preserve"> 55,2 odstotka, pogojno izterljivega pa 7,4 odstotka. Dolg iz leta 2024 je predmet izvršb s sistemskimi ukrepi (sklepi o davčni izvršbi na denarne prejemke in sredstva na računih), dolg pred </w:t>
      </w:r>
      <w:r>
        <w:rPr>
          <w:rFonts w:ascii="Arial" w:hAnsi="Arial" w:cs="Arial"/>
          <w:sz w:val="20"/>
          <w:szCs w:val="20"/>
        </w:rPr>
        <w:t xml:space="preserve">tem </w:t>
      </w:r>
      <w:r w:rsidRPr="00F60CAB">
        <w:rPr>
          <w:rFonts w:ascii="Arial" w:hAnsi="Arial" w:cs="Arial"/>
          <w:sz w:val="20"/>
          <w:szCs w:val="20"/>
        </w:rPr>
        <w:t>letom pa zahteva individualno obravnavo v postopkih glede na sredstva, ki so lahko predmet izvršbe (terjatve, premičnine</w:t>
      </w:r>
      <w:r>
        <w:rPr>
          <w:rFonts w:ascii="Arial" w:hAnsi="Arial" w:cs="Arial"/>
          <w:sz w:val="20"/>
          <w:szCs w:val="20"/>
        </w:rPr>
        <w:t xml:space="preserve"> in</w:t>
      </w:r>
      <w:r w:rsidRPr="00F60CAB">
        <w:rPr>
          <w:rFonts w:ascii="Arial" w:hAnsi="Arial" w:cs="Arial"/>
          <w:sz w:val="20"/>
          <w:szCs w:val="20"/>
        </w:rPr>
        <w:t xml:space="preserve"> nepremičnine).</w:t>
      </w:r>
    </w:p>
    <w:p w14:paraId="7DB2D904" w14:textId="77777777" w:rsidR="00A155A2" w:rsidRDefault="00A155A2" w:rsidP="00A155A2">
      <w:pPr>
        <w:spacing w:after="0" w:line="240" w:lineRule="auto"/>
        <w:rPr>
          <w:rFonts w:ascii="Arial" w:hAnsi="Arial" w:cs="Arial"/>
          <w:sz w:val="20"/>
          <w:szCs w:val="20"/>
        </w:rPr>
      </w:pPr>
      <w:r>
        <w:rPr>
          <w:rFonts w:ascii="Arial" w:hAnsi="Arial" w:cs="Arial"/>
          <w:sz w:val="20"/>
          <w:szCs w:val="20"/>
        </w:rPr>
        <w:br w:type="page"/>
      </w:r>
    </w:p>
    <w:p w14:paraId="513C7ACB" w14:textId="77777777" w:rsidR="00A155A2" w:rsidRDefault="00A155A2" w:rsidP="00A155A2">
      <w:pPr>
        <w:rPr>
          <w:rFonts w:ascii="Arial" w:hAnsi="Arial" w:cs="Arial"/>
          <w:i/>
          <w:sz w:val="20"/>
          <w:szCs w:val="20"/>
        </w:rPr>
      </w:pPr>
      <w:r w:rsidRPr="009838E2">
        <w:rPr>
          <w:rFonts w:ascii="Arial" w:hAnsi="Arial" w:cs="Arial"/>
          <w:i/>
          <w:sz w:val="20"/>
          <w:szCs w:val="20"/>
        </w:rPr>
        <w:lastRenderedPageBreak/>
        <w:t xml:space="preserve">Preglednica 9: </w:t>
      </w:r>
      <w:r>
        <w:rPr>
          <w:rFonts w:ascii="Arial" w:hAnsi="Arial" w:cs="Arial"/>
          <w:i/>
          <w:sz w:val="20"/>
          <w:szCs w:val="20"/>
        </w:rPr>
        <w:t xml:space="preserve">Delež davčnega dolga v strukturi dolga </w:t>
      </w:r>
      <w:r w:rsidRPr="009463F3">
        <w:rPr>
          <w:rFonts w:ascii="Arial" w:hAnsi="Arial" w:cs="Arial"/>
          <w:i/>
          <w:sz w:val="20"/>
          <w:szCs w:val="20"/>
        </w:rPr>
        <w:t xml:space="preserve">glede na </w:t>
      </w:r>
      <w:r w:rsidRPr="001757FA">
        <w:rPr>
          <w:rFonts w:ascii="Arial" w:hAnsi="Arial" w:cs="Arial"/>
          <w:i/>
          <w:sz w:val="20"/>
          <w:szCs w:val="20"/>
        </w:rPr>
        <w:t xml:space="preserve">zapadlost </w:t>
      </w:r>
      <w:r>
        <w:rPr>
          <w:rFonts w:ascii="Arial" w:hAnsi="Arial" w:cs="Arial"/>
          <w:i/>
          <w:sz w:val="20"/>
          <w:szCs w:val="20"/>
        </w:rPr>
        <w:t>(</w:t>
      </w:r>
      <w:r w:rsidRPr="001757FA">
        <w:rPr>
          <w:rFonts w:ascii="Arial" w:hAnsi="Arial" w:cs="Arial"/>
          <w:i/>
          <w:sz w:val="20"/>
          <w:szCs w:val="20"/>
        </w:rPr>
        <w:t>v odstotkih</w:t>
      </w:r>
      <w:r>
        <w:rPr>
          <w:rFonts w:ascii="Arial" w:hAnsi="Arial" w:cs="Arial"/>
          <w:i/>
          <w:sz w:val="20"/>
          <w:szCs w:val="20"/>
        </w:rPr>
        <w:t>)</w:t>
      </w:r>
    </w:p>
    <w:tbl>
      <w:tblPr>
        <w:tblW w:w="8626" w:type="dxa"/>
        <w:tblCellMar>
          <w:left w:w="70" w:type="dxa"/>
          <w:right w:w="70" w:type="dxa"/>
        </w:tblCellMar>
        <w:tblLook w:val="04A0" w:firstRow="1" w:lastRow="0" w:firstColumn="1" w:lastColumn="0" w:noHBand="0" w:noVBand="1"/>
      </w:tblPr>
      <w:tblGrid>
        <w:gridCol w:w="1294"/>
        <w:gridCol w:w="1078"/>
        <w:gridCol w:w="1038"/>
        <w:gridCol w:w="1038"/>
        <w:gridCol w:w="1049"/>
        <w:gridCol w:w="1038"/>
        <w:gridCol w:w="1078"/>
        <w:gridCol w:w="1013"/>
      </w:tblGrid>
      <w:tr w:rsidR="00A155A2" w:rsidRPr="00F60CAB" w14:paraId="2B006786" w14:textId="77777777" w:rsidTr="001C77D2">
        <w:trPr>
          <w:trHeight w:val="692"/>
        </w:trPr>
        <w:tc>
          <w:tcPr>
            <w:tcW w:w="1294"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83F9FD4"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Delež davčnega dolga v strukturi dolga glede na zapadlost</w:t>
            </w:r>
          </w:p>
        </w:tc>
        <w:tc>
          <w:tcPr>
            <w:tcW w:w="1078" w:type="dxa"/>
            <w:tcBorders>
              <w:top w:val="single" w:sz="4" w:space="0" w:color="auto"/>
              <w:left w:val="nil"/>
              <w:bottom w:val="nil"/>
              <w:right w:val="single" w:sz="4" w:space="0" w:color="auto"/>
            </w:tcBorders>
            <w:shd w:val="clear" w:color="000000" w:fill="B8CCE4"/>
            <w:vAlign w:val="center"/>
            <w:hideMark/>
          </w:tcPr>
          <w:p w14:paraId="5BE358F0"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2019</w:t>
            </w:r>
          </w:p>
        </w:tc>
        <w:tc>
          <w:tcPr>
            <w:tcW w:w="1038" w:type="dxa"/>
            <w:tcBorders>
              <w:top w:val="single" w:sz="4" w:space="0" w:color="auto"/>
              <w:left w:val="nil"/>
              <w:bottom w:val="nil"/>
              <w:right w:val="single" w:sz="4" w:space="0" w:color="auto"/>
            </w:tcBorders>
            <w:shd w:val="clear" w:color="000000" w:fill="B8CCE4"/>
            <w:vAlign w:val="center"/>
            <w:hideMark/>
          </w:tcPr>
          <w:p w14:paraId="3BD7CF9F"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2020</w:t>
            </w:r>
          </w:p>
        </w:tc>
        <w:tc>
          <w:tcPr>
            <w:tcW w:w="1038" w:type="dxa"/>
            <w:tcBorders>
              <w:top w:val="single" w:sz="4" w:space="0" w:color="auto"/>
              <w:left w:val="nil"/>
              <w:bottom w:val="nil"/>
              <w:right w:val="single" w:sz="4" w:space="0" w:color="auto"/>
            </w:tcBorders>
            <w:shd w:val="clear" w:color="000000" w:fill="B8CCE4"/>
            <w:vAlign w:val="center"/>
            <w:hideMark/>
          </w:tcPr>
          <w:p w14:paraId="6144D7D5"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2021</w:t>
            </w:r>
          </w:p>
        </w:tc>
        <w:tc>
          <w:tcPr>
            <w:tcW w:w="1049" w:type="dxa"/>
            <w:tcBorders>
              <w:top w:val="single" w:sz="4" w:space="0" w:color="auto"/>
              <w:left w:val="nil"/>
              <w:bottom w:val="nil"/>
              <w:right w:val="single" w:sz="4" w:space="0" w:color="auto"/>
            </w:tcBorders>
            <w:shd w:val="clear" w:color="000000" w:fill="B8CCE4"/>
            <w:vAlign w:val="center"/>
            <w:hideMark/>
          </w:tcPr>
          <w:p w14:paraId="2918F4C0"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2022</w:t>
            </w:r>
          </w:p>
        </w:tc>
        <w:tc>
          <w:tcPr>
            <w:tcW w:w="1038" w:type="dxa"/>
            <w:tcBorders>
              <w:top w:val="single" w:sz="4" w:space="0" w:color="auto"/>
              <w:left w:val="nil"/>
              <w:bottom w:val="nil"/>
              <w:right w:val="single" w:sz="4" w:space="0" w:color="auto"/>
            </w:tcBorders>
            <w:shd w:val="clear" w:color="000000" w:fill="B8CCE4"/>
            <w:vAlign w:val="center"/>
            <w:hideMark/>
          </w:tcPr>
          <w:p w14:paraId="3D723295"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2023</w:t>
            </w:r>
          </w:p>
        </w:tc>
        <w:tc>
          <w:tcPr>
            <w:tcW w:w="1078" w:type="dxa"/>
            <w:tcBorders>
              <w:top w:val="single" w:sz="4" w:space="0" w:color="auto"/>
              <w:left w:val="nil"/>
              <w:bottom w:val="nil"/>
              <w:right w:val="single" w:sz="4" w:space="0" w:color="auto"/>
            </w:tcBorders>
            <w:shd w:val="clear" w:color="000000" w:fill="B8CCE4"/>
            <w:vAlign w:val="center"/>
            <w:hideMark/>
          </w:tcPr>
          <w:p w14:paraId="610B46E2" w14:textId="77777777" w:rsidR="00A155A2" w:rsidRPr="00F60CAB" w:rsidRDefault="00A155A2" w:rsidP="001C77D2">
            <w:pPr>
              <w:spacing w:after="0" w:line="240" w:lineRule="auto"/>
              <w:jc w:val="center"/>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Zapadlost dolga v letu 2024</w:t>
            </w:r>
          </w:p>
        </w:tc>
        <w:tc>
          <w:tcPr>
            <w:tcW w:w="1013" w:type="dxa"/>
            <w:tcBorders>
              <w:top w:val="single" w:sz="4" w:space="0" w:color="auto"/>
              <w:left w:val="nil"/>
              <w:bottom w:val="single" w:sz="4" w:space="0" w:color="auto"/>
              <w:right w:val="single" w:sz="4" w:space="0" w:color="auto"/>
            </w:tcBorders>
            <w:shd w:val="clear" w:color="000000" w:fill="B8CCE4"/>
            <w:vAlign w:val="center"/>
            <w:hideMark/>
          </w:tcPr>
          <w:p w14:paraId="08AB3441" w14:textId="77777777" w:rsidR="00A155A2" w:rsidRPr="00F60CAB" w:rsidRDefault="00A155A2" w:rsidP="001C77D2">
            <w:pPr>
              <w:spacing w:after="0" w:line="240" w:lineRule="auto"/>
              <w:jc w:val="center"/>
              <w:rPr>
                <w:rFonts w:ascii="Arial" w:eastAsia="Times New Roman" w:hAnsi="Arial" w:cs="Arial"/>
                <w:b/>
                <w:bCs/>
                <w:color w:val="000000"/>
                <w:sz w:val="18"/>
                <w:szCs w:val="18"/>
                <w:lang w:eastAsia="sl-SI"/>
              </w:rPr>
            </w:pPr>
            <w:r w:rsidRPr="00F60CAB">
              <w:rPr>
                <w:rFonts w:ascii="Arial" w:eastAsia="Times New Roman" w:hAnsi="Arial" w:cs="Arial"/>
                <w:b/>
                <w:bCs/>
                <w:color w:val="000000"/>
                <w:sz w:val="18"/>
                <w:szCs w:val="18"/>
                <w:lang w:eastAsia="sl-SI"/>
              </w:rPr>
              <w:t>Skupaj delež dolga</w:t>
            </w:r>
          </w:p>
        </w:tc>
      </w:tr>
      <w:tr w:rsidR="00A155A2" w:rsidRPr="00F60CAB" w14:paraId="6D46C599" w14:textId="77777777" w:rsidTr="001C77D2">
        <w:trPr>
          <w:trHeight w:val="298"/>
        </w:trPr>
        <w:tc>
          <w:tcPr>
            <w:tcW w:w="1294" w:type="dxa"/>
            <w:tcBorders>
              <w:top w:val="nil"/>
              <w:left w:val="single" w:sz="4" w:space="0" w:color="auto"/>
              <w:bottom w:val="single" w:sz="4" w:space="0" w:color="auto"/>
              <w:right w:val="single" w:sz="4" w:space="0" w:color="auto"/>
            </w:tcBorders>
            <w:shd w:val="clear" w:color="auto" w:fill="auto"/>
            <w:vAlign w:val="center"/>
            <w:hideMark/>
          </w:tcPr>
          <w:p w14:paraId="49904536" w14:textId="77777777" w:rsidR="00A155A2" w:rsidRPr="00F60CAB" w:rsidRDefault="00A155A2" w:rsidP="001C77D2">
            <w:pPr>
              <w:spacing w:after="0" w:line="240" w:lineRule="auto"/>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Aktivni dolg</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3EBC1809"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21,3</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0F2EEEE"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3,3</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12C4FC40"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5,0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A0DEA49"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5,8</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72E1AD7C"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9,4</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56C96C60"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55,2</w:t>
            </w:r>
          </w:p>
        </w:tc>
        <w:tc>
          <w:tcPr>
            <w:tcW w:w="1013" w:type="dxa"/>
            <w:tcBorders>
              <w:top w:val="nil"/>
              <w:left w:val="nil"/>
              <w:bottom w:val="single" w:sz="4" w:space="0" w:color="auto"/>
              <w:right w:val="single" w:sz="4" w:space="0" w:color="auto"/>
            </w:tcBorders>
            <w:shd w:val="clear" w:color="auto" w:fill="auto"/>
            <w:vAlign w:val="center"/>
            <w:hideMark/>
          </w:tcPr>
          <w:p w14:paraId="084F824F"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100,0</w:t>
            </w:r>
          </w:p>
        </w:tc>
      </w:tr>
      <w:tr w:rsidR="00A155A2" w:rsidRPr="00F60CAB" w14:paraId="1735B09B" w14:textId="77777777" w:rsidTr="001C77D2">
        <w:trPr>
          <w:trHeight w:val="327"/>
        </w:trPr>
        <w:tc>
          <w:tcPr>
            <w:tcW w:w="1294" w:type="dxa"/>
            <w:tcBorders>
              <w:top w:val="nil"/>
              <w:left w:val="single" w:sz="4" w:space="0" w:color="auto"/>
              <w:bottom w:val="single" w:sz="4" w:space="0" w:color="auto"/>
              <w:right w:val="single" w:sz="4" w:space="0" w:color="auto"/>
            </w:tcBorders>
            <w:shd w:val="clear" w:color="auto" w:fill="auto"/>
            <w:vAlign w:val="center"/>
            <w:hideMark/>
          </w:tcPr>
          <w:p w14:paraId="4F176190" w14:textId="77777777" w:rsidR="00A155A2" w:rsidRPr="00F60CAB" w:rsidRDefault="00A155A2" w:rsidP="001C77D2">
            <w:pPr>
              <w:spacing w:after="0" w:line="240" w:lineRule="auto"/>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 xml:space="preserve">Pogojno izterljivi dolg </w:t>
            </w:r>
          </w:p>
        </w:tc>
        <w:tc>
          <w:tcPr>
            <w:tcW w:w="1078" w:type="dxa"/>
            <w:tcBorders>
              <w:top w:val="nil"/>
              <w:left w:val="nil"/>
              <w:bottom w:val="single" w:sz="4" w:space="0" w:color="auto"/>
              <w:right w:val="single" w:sz="4" w:space="0" w:color="auto"/>
            </w:tcBorders>
            <w:shd w:val="clear" w:color="auto" w:fill="auto"/>
            <w:vAlign w:val="center"/>
            <w:hideMark/>
          </w:tcPr>
          <w:p w14:paraId="4F06A934"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61,7</w:t>
            </w:r>
          </w:p>
        </w:tc>
        <w:tc>
          <w:tcPr>
            <w:tcW w:w="1038" w:type="dxa"/>
            <w:tcBorders>
              <w:top w:val="nil"/>
              <w:left w:val="nil"/>
              <w:bottom w:val="single" w:sz="4" w:space="0" w:color="auto"/>
              <w:right w:val="single" w:sz="4" w:space="0" w:color="auto"/>
            </w:tcBorders>
            <w:shd w:val="clear" w:color="auto" w:fill="auto"/>
            <w:vAlign w:val="center"/>
            <w:hideMark/>
          </w:tcPr>
          <w:p w14:paraId="4D960C34"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6,7</w:t>
            </w:r>
          </w:p>
        </w:tc>
        <w:tc>
          <w:tcPr>
            <w:tcW w:w="1038" w:type="dxa"/>
            <w:tcBorders>
              <w:top w:val="nil"/>
              <w:left w:val="nil"/>
              <w:bottom w:val="single" w:sz="4" w:space="0" w:color="auto"/>
              <w:right w:val="single" w:sz="4" w:space="0" w:color="auto"/>
            </w:tcBorders>
            <w:shd w:val="clear" w:color="auto" w:fill="auto"/>
            <w:vAlign w:val="center"/>
            <w:hideMark/>
          </w:tcPr>
          <w:p w14:paraId="105EF857"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5,9</w:t>
            </w:r>
          </w:p>
        </w:tc>
        <w:tc>
          <w:tcPr>
            <w:tcW w:w="1049" w:type="dxa"/>
            <w:tcBorders>
              <w:top w:val="nil"/>
              <w:left w:val="nil"/>
              <w:bottom w:val="single" w:sz="4" w:space="0" w:color="auto"/>
              <w:right w:val="single" w:sz="4" w:space="0" w:color="auto"/>
            </w:tcBorders>
            <w:shd w:val="clear" w:color="auto" w:fill="auto"/>
            <w:vAlign w:val="center"/>
            <w:hideMark/>
          </w:tcPr>
          <w:p w14:paraId="2669E618"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8,3</w:t>
            </w:r>
          </w:p>
        </w:tc>
        <w:tc>
          <w:tcPr>
            <w:tcW w:w="1038" w:type="dxa"/>
            <w:tcBorders>
              <w:top w:val="nil"/>
              <w:left w:val="nil"/>
              <w:bottom w:val="single" w:sz="4" w:space="0" w:color="auto"/>
              <w:right w:val="single" w:sz="4" w:space="0" w:color="auto"/>
            </w:tcBorders>
            <w:shd w:val="clear" w:color="auto" w:fill="auto"/>
            <w:vAlign w:val="center"/>
            <w:hideMark/>
          </w:tcPr>
          <w:p w14:paraId="47ACDAF2"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10,0</w:t>
            </w:r>
          </w:p>
        </w:tc>
        <w:tc>
          <w:tcPr>
            <w:tcW w:w="1078" w:type="dxa"/>
            <w:tcBorders>
              <w:top w:val="nil"/>
              <w:left w:val="nil"/>
              <w:bottom w:val="single" w:sz="4" w:space="0" w:color="auto"/>
              <w:right w:val="single" w:sz="4" w:space="0" w:color="auto"/>
            </w:tcBorders>
            <w:shd w:val="clear" w:color="auto" w:fill="auto"/>
            <w:vAlign w:val="center"/>
            <w:hideMark/>
          </w:tcPr>
          <w:p w14:paraId="4D58408B"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7,4</w:t>
            </w:r>
          </w:p>
        </w:tc>
        <w:tc>
          <w:tcPr>
            <w:tcW w:w="1013" w:type="dxa"/>
            <w:tcBorders>
              <w:top w:val="nil"/>
              <w:left w:val="nil"/>
              <w:bottom w:val="single" w:sz="4" w:space="0" w:color="auto"/>
              <w:right w:val="single" w:sz="4" w:space="0" w:color="auto"/>
            </w:tcBorders>
            <w:shd w:val="clear" w:color="auto" w:fill="auto"/>
            <w:vAlign w:val="center"/>
            <w:hideMark/>
          </w:tcPr>
          <w:p w14:paraId="4DB0EB0A" w14:textId="77777777" w:rsidR="00A155A2" w:rsidRPr="00F60CAB" w:rsidRDefault="00A155A2" w:rsidP="001C77D2">
            <w:pPr>
              <w:spacing w:after="0" w:line="240" w:lineRule="auto"/>
              <w:jc w:val="right"/>
              <w:rPr>
                <w:rFonts w:ascii="Arial" w:eastAsia="Times New Roman" w:hAnsi="Arial" w:cs="Arial"/>
                <w:sz w:val="18"/>
                <w:szCs w:val="18"/>
                <w:lang w:eastAsia="sl-SI"/>
              </w:rPr>
            </w:pPr>
            <w:r w:rsidRPr="00F60CAB">
              <w:rPr>
                <w:rFonts w:ascii="Arial" w:eastAsia="Times New Roman" w:hAnsi="Arial" w:cs="Arial"/>
                <w:sz w:val="18"/>
                <w:szCs w:val="18"/>
                <w:lang w:eastAsia="sl-SI"/>
              </w:rPr>
              <w:t>100,0</w:t>
            </w:r>
          </w:p>
        </w:tc>
      </w:tr>
      <w:tr w:rsidR="00A155A2" w:rsidRPr="00F60CAB" w14:paraId="3F4F9E1E" w14:textId="77777777" w:rsidTr="001C77D2">
        <w:trPr>
          <w:trHeight w:val="306"/>
        </w:trPr>
        <w:tc>
          <w:tcPr>
            <w:tcW w:w="1294" w:type="dxa"/>
            <w:tcBorders>
              <w:top w:val="nil"/>
              <w:left w:val="single" w:sz="4" w:space="0" w:color="auto"/>
              <w:bottom w:val="single" w:sz="4" w:space="0" w:color="auto"/>
              <w:right w:val="single" w:sz="4" w:space="0" w:color="auto"/>
            </w:tcBorders>
            <w:shd w:val="clear" w:color="000000" w:fill="B8CCE4"/>
            <w:vAlign w:val="center"/>
            <w:hideMark/>
          </w:tcPr>
          <w:p w14:paraId="01C4F936" w14:textId="77777777" w:rsidR="00A155A2" w:rsidRPr="00F60CAB" w:rsidRDefault="00A155A2" w:rsidP="001C77D2">
            <w:pPr>
              <w:spacing w:after="0" w:line="240" w:lineRule="auto"/>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SKUPAJ DAVČNI DOLG</w:t>
            </w:r>
          </w:p>
        </w:tc>
        <w:tc>
          <w:tcPr>
            <w:tcW w:w="1078" w:type="dxa"/>
            <w:tcBorders>
              <w:top w:val="nil"/>
              <w:left w:val="nil"/>
              <w:bottom w:val="single" w:sz="4" w:space="0" w:color="auto"/>
              <w:right w:val="single" w:sz="4" w:space="0" w:color="auto"/>
            </w:tcBorders>
            <w:shd w:val="clear" w:color="000000" w:fill="B8CCE4"/>
            <w:vAlign w:val="center"/>
            <w:hideMark/>
          </w:tcPr>
          <w:p w14:paraId="7C994A5B"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40,1</w:t>
            </w:r>
          </w:p>
        </w:tc>
        <w:tc>
          <w:tcPr>
            <w:tcW w:w="1038" w:type="dxa"/>
            <w:tcBorders>
              <w:top w:val="nil"/>
              <w:left w:val="nil"/>
              <w:bottom w:val="single" w:sz="4" w:space="0" w:color="auto"/>
              <w:right w:val="single" w:sz="4" w:space="0" w:color="auto"/>
            </w:tcBorders>
            <w:shd w:val="clear" w:color="000000" w:fill="B8CCE4"/>
            <w:vAlign w:val="center"/>
            <w:hideMark/>
          </w:tcPr>
          <w:p w14:paraId="1FC678AD"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4,9</w:t>
            </w:r>
          </w:p>
        </w:tc>
        <w:tc>
          <w:tcPr>
            <w:tcW w:w="1038" w:type="dxa"/>
            <w:tcBorders>
              <w:top w:val="nil"/>
              <w:left w:val="nil"/>
              <w:bottom w:val="single" w:sz="4" w:space="0" w:color="auto"/>
              <w:right w:val="single" w:sz="4" w:space="0" w:color="auto"/>
            </w:tcBorders>
            <w:shd w:val="clear" w:color="000000" w:fill="B8CCE4"/>
            <w:vAlign w:val="center"/>
            <w:hideMark/>
          </w:tcPr>
          <w:p w14:paraId="1C1059BE"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5,4</w:t>
            </w:r>
          </w:p>
        </w:tc>
        <w:tc>
          <w:tcPr>
            <w:tcW w:w="1049" w:type="dxa"/>
            <w:tcBorders>
              <w:top w:val="nil"/>
              <w:left w:val="nil"/>
              <w:bottom w:val="single" w:sz="4" w:space="0" w:color="auto"/>
              <w:right w:val="single" w:sz="4" w:space="0" w:color="auto"/>
            </w:tcBorders>
            <w:shd w:val="clear" w:color="000000" w:fill="B8CCE4"/>
            <w:vAlign w:val="center"/>
            <w:hideMark/>
          </w:tcPr>
          <w:p w14:paraId="3A4FA025"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7,0</w:t>
            </w:r>
          </w:p>
        </w:tc>
        <w:tc>
          <w:tcPr>
            <w:tcW w:w="1038" w:type="dxa"/>
            <w:tcBorders>
              <w:top w:val="nil"/>
              <w:left w:val="nil"/>
              <w:bottom w:val="single" w:sz="4" w:space="0" w:color="auto"/>
              <w:right w:val="single" w:sz="4" w:space="0" w:color="auto"/>
            </w:tcBorders>
            <w:shd w:val="clear" w:color="000000" w:fill="B8CCE4"/>
            <w:vAlign w:val="center"/>
            <w:hideMark/>
          </w:tcPr>
          <w:p w14:paraId="1BBF8848"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9,7</w:t>
            </w:r>
          </w:p>
        </w:tc>
        <w:tc>
          <w:tcPr>
            <w:tcW w:w="1078" w:type="dxa"/>
            <w:tcBorders>
              <w:top w:val="nil"/>
              <w:left w:val="nil"/>
              <w:bottom w:val="single" w:sz="4" w:space="0" w:color="auto"/>
              <w:right w:val="single" w:sz="4" w:space="0" w:color="auto"/>
            </w:tcBorders>
            <w:shd w:val="clear" w:color="000000" w:fill="B8CCE4"/>
            <w:vAlign w:val="center"/>
            <w:hideMark/>
          </w:tcPr>
          <w:p w14:paraId="1DDBE7A8"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32,9</w:t>
            </w:r>
          </w:p>
        </w:tc>
        <w:tc>
          <w:tcPr>
            <w:tcW w:w="1013" w:type="dxa"/>
            <w:tcBorders>
              <w:top w:val="nil"/>
              <w:left w:val="nil"/>
              <w:bottom w:val="single" w:sz="4" w:space="0" w:color="auto"/>
              <w:right w:val="single" w:sz="4" w:space="0" w:color="auto"/>
            </w:tcBorders>
            <w:shd w:val="clear" w:color="000000" w:fill="B8CCE4"/>
            <w:vAlign w:val="center"/>
            <w:hideMark/>
          </w:tcPr>
          <w:p w14:paraId="1852E609" w14:textId="77777777" w:rsidR="00A155A2" w:rsidRPr="00F60CAB" w:rsidRDefault="00A155A2" w:rsidP="001C77D2">
            <w:pPr>
              <w:spacing w:after="0" w:line="240" w:lineRule="auto"/>
              <w:jc w:val="right"/>
              <w:rPr>
                <w:rFonts w:ascii="Arial" w:eastAsia="Times New Roman" w:hAnsi="Arial" w:cs="Arial"/>
                <w:b/>
                <w:bCs/>
                <w:sz w:val="18"/>
                <w:szCs w:val="18"/>
                <w:lang w:eastAsia="sl-SI"/>
              </w:rPr>
            </w:pPr>
            <w:r w:rsidRPr="00F60CAB">
              <w:rPr>
                <w:rFonts w:ascii="Arial" w:eastAsia="Times New Roman" w:hAnsi="Arial" w:cs="Arial"/>
                <w:b/>
                <w:bCs/>
                <w:sz w:val="18"/>
                <w:szCs w:val="18"/>
                <w:lang w:eastAsia="sl-SI"/>
              </w:rPr>
              <w:t>100,0</w:t>
            </w:r>
          </w:p>
        </w:tc>
      </w:tr>
    </w:tbl>
    <w:p w14:paraId="6C71BD3D" w14:textId="77777777" w:rsidR="00A155A2" w:rsidRPr="00815C36" w:rsidRDefault="00A155A2" w:rsidP="00A155A2">
      <w:pPr>
        <w:rPr>
          <w:rFonts w:ascii="Arial" w:hAnsi="Arial" w:cs="Arial"/>
          <w:i/>
          <w:sz w:val="20"/>
          <w:szCs w:val="20"/>
        </w:rPr>
      </w:pPr>
      <w:r w:rsidRPr="00815C36">
        <w:rPr>
          <w:rFonts w:ascii="Arial" w:hAnsi="Arial" w:cs="Arial"/>
          <w:i/>
          <w:sz w:val="20"/>
          <w:szCs w:val="20"/>
        </w:rPr>
        <w:t>Vir: FURS</w:t>
      </w:r>
    </w:p>
    <w:p w14:paraId="6275ACEB" w14:textId="77777777" w:rsidR="00A155A2" w:rsidRPr="00AC7C2A" w:rsidRDefault="00A155A2" w:rsidP="00A155A2">
      <w:pPr>
        <w:pStyle w:val="Odstavekseznama1"/>
        <w:spacing w:before="100" w:beforeAutospacing="1"/>
        <w:ind w:left="0"/>
        <w:rPr>
          <w:rFonts w:ascii="Arial" w:hAnsi="Arial" w:cs="Arial"/>
          <w:b/>
          <w:bCs/>
          <w:sz w:val="20"/>
          <w:szCs w:val="20"/>
        </w:rPr>
      </w:pPr>
      <w:r w:rsidRPr="006B4A58">
        <w:rPr>
          <w:rFonts w:ascii="Arial" w:hAnsi="Arial" w:cs="Arial"/>
          <w:b/>
          <w:bCs/>
          <w:sz w:val="20"/>
          <w:szCs w:val="20"/>
        </w:rPr>
        <w:t>4.7 Odpis davčnih obveznosti</w:t>
      </w:r>
    </w:p>
    <w:p w14:paraId="5777929B" w14:textId="77777777" w:rsidR="00A155A2" w:rsidRPr="00D32CBE" w:rsidRDefault="00A155A2" w:rsidP="00A155A2">
      <w:pPr>
        <w:spacing w:before="100" w:beforeAutospacing="1"/>
        <w:jc w:val="both"/>
        <w:rPr>
          <w:rFonts w:ascii="Arial" w:hAnsi="Arial" w:cs="Arial"/>
          <w:sz w:val="20"/>
          <w:szCs w:val="20"/>
        </w:rPr>
      </w:pPr>
      <w:r w:rsidRPr="00081276">
        <w:rPr>
          <w:rFonts w:ascii="Arial" w:hAnsi="Arial" w:cs="Arial"/>
          <w:sz w:val="20"/>
          <w:szCs w:val="20"/>
        </w:rPr>
        <w:t>Davčni organ v skladu z določbami 101., 105., 106. in 107. člen</w:t>
      </w:r>
      <w:r>
        <w:rPr>
          <w:rFonts w:ascii="Arial" w:hAnsi="Arial" w:cs="Arial"/>
          <w:sz w:val="20"/>
          <w:szCs w:val="20"/>
        </w:rPr>
        <w:t>a</w:t>
      </w:r>
      <w:r w:rsidRPr="00081276">
        <w:rPr>
          <w:rFonts w:ascii="Arial" w:hAnsi="Arial" w:cs="Arial"/>
          <w:sz w:val="20"/>
          <w:szCs w:val="20"/>
        </w:rPr>
        <w:t xml:space="preserve"> ZDavP-2 odpiše davek </w:t>
      </w:r>
      <w:r>
        <w:rPr>
          <w:rFonts w:ascii="Arial" w:hAnsi="Arial" w:cs="Arial"/>
          <w:sz w:val="20"/>
          <w:szCs w:val="20"/>
        </w:rPr>
        <w:t>ali</w:t>
      </w:r>
      <w:r w:rsidRPr="00081276">
        <w:rPr>
          <w:rFonts w:ascii="Arial" w:hAnsi="Arial" w:cs="Arial"/>
          <w:sz w:val="20"/>
          <w:szCs w:val="20"/>
        </w:rPr>
        <w:t xml:space="preserve"> del davka</w:t>
      </w:r>
      <w:r w:rsidRPr="00D32CBE">
        <w:rPr>
          <w:rFonts w:ascii="Arial" w:hAnsi="Arial" w:cs="Arial"/>
          <w:sz w:val="20"/>
          <w:szCs w:val="20"/>
        </w:rPr>
        <w:t xml:space="preserve"> zaradi </w:t>
      </w:r>
      <w:r>
        <w:rPr>
          <w:rFonts w:ascii="Arial" w:hAnsi="Arial" w:cs="Arial"/>
          <w:sz w:val="20"/>
          <w:szCs w:val="20"/>
        </w:rPr>
        <w:t>te</w:t>
      </w:r>
      <w:r w:rsidRPr="00D32CBE">
        <w:rPr>
          <w:rFonts w:ascii="Arial" w:hAnsi="Arial" w:cs="Arial"/>
          <w:sz w:val="20"/>
          <w:szCs w:val="20"/>
        </w:rPr>
        <w:t xml:space="preserve">h razlogov: </w:t>
      </w:r>
    </w:p>
    <w:p w14:paraId="214018FB" w14:textId="77777777" w:rsidR="00A155A2" w:rsidRPr="00E374C3" w:rsidRDefault="00A155A2" w:rsidP="00A155A2">
      <w:pPr>
        <w:pStyle w:val="Brezrazmikov"/>
        <w:numPr>
          <w:ilvl w:val="0"/>
          <w:numId w:val="19"/>
        </w:numPr>
        <w:spacing w:line="276" w:lineRule="auto"/>
        <w:ind w:left="714" w:hanging="357"/>
        <w:jc w:val="both"/>
        <w:rPr>
          <w:rFonts w:ascii="Arial" w:hAnsi="Arial" w:cs="Arial"/>
          <w:sz w:val="20"/>
          <w:szCs w:val="20"/>
        </w:rPr>
      </w:pPr>
      <w:r w:rsidRPr="00E374C3">
        <w:rPr>
          <w:rFonts w:ascii="Arial" w:hAnsi="Arial" w:cs="Arial"/>
          <w:sz w:val="20"/>
          <w:szCs w:val="20"/>
        </w:rPr>
        <w:t xml:space="preserve">odpisi davka pri stečajih in prisilnih poravnavah – </w:t>
      </w:r>
      <w:r>
        <w:rPr>
          <w:rFonts w:ascii="Arial" w:hAnsi="Arial" w:cs="Arial"/>
          <w:sz w:val="20"/>
          <w:szCs w:val="20"/>
        </w:rPr>
        <w:t>konec</w:t>
      </w:r>
      <w:r w:rsidRPr="00E374C3">
        <w:rPr>
          <w:rFonts w:ascii="Arial" w:hAnsi="Arial" w:cs="Arial"/>
          <w:sz w:val="20"/>
          <w:szCs w:val="20"/>
        </w:rPr>
        <w:t xml:space="preserve"> stečaja, prisilne poravnave, poenostavljene prisilne poravnave in stečaja zapuščine (</w:t>
      </w:r>
      <w:r w:rsidRPr="00FE3840">
        <w:rPr>
          <w:rFonts w:ascii="Arial" w:hAnsi="Arial" w:cs="Arial"/>
          <w:sz w:val="20"/>
          <w:szCs w:val="20"/>
        </w:rPr>
        <w:t>prvi</w:t>
      </w:r>
      <w:r w:rsidRPr="00E374C3">
        <w:rPr>
          <w:rFonts w:ascii="Arial" w:hAnsi="Arial" w:cs="Arial"/>
          <w:sz w:val="20"/>
          <w:szCs w:val="20"/>
        </w:rPr>
        <w:t xml:space="preserve"> stolpec v preglednici 10), </w:t>
      </w:r>
    </w:p>
    <w:p w14:paraId="330B1267" w14:textId="77777777" w:rsidR="00A155A2" w:rsidRPr="00E374C3" w:rsidRDefault="00A155A2" w:rsidP="00A155A2">
      <w:pPr>
        <w:pStyle w:val="Brezrazmikov"/>
        <w:numPr>
          <w:ilvl w:val="0"/>
          <w:numId w:val="19"/>
        </w:numPr>
        <w:spacing w:line="276" w:lineRule="auto"/>
        <w:ind w:left="714" w:hanging="357"/>
        <w:jc w:val="both"/>
        <w:rPr>
          <w:rFonts w:ascii="Arial" w:hAnsi="Arial" w:cs="Arial"/>
          <w:sz w:val="20"/>
          <w:szCs w:val="20"/>
        </w:rPr>
      </w:pPr>
      <w:r w:rsidRPr="00E374C3">
        <w:rPr>
          <w:rFonts w:ascii="Arial" w:hAnsi="Arial" w:cs="Arial"/>
          <w:sz w:val="20"/>
          <w:szCs w:val="20"/>
        </w:rPr>
        <w:t>če je pravica do izterjave zastarala, razen v primerih, ko je davčni dolg zavarovan s hipoteko in je pred potekom roka za zastaranje vložen predlog za izvršbo na nepremičnine (</w:t>
      </w:r>
      <w:r w:rsidRPr="00FE3840">
        <w:rPr>
          <w:rFonts w:ascii="Arial" w:hAnsi="Arial" w:cs="Arial"/>
          <w:sz w:val="20"/>
          <w:szCs w:val="20"/>
        </w:rPr>
        <w:t>drugi</w:t>
      </w:r>
      <w:r w:rsidRPr="00E374C3">
        <w:rPr>
          <w:rFonts w:ascii="Arial" w:hAnsi="Arial" w:cs="Arial"/>
          <w:sz w:val="20"/>
          <w:szCs w:val="20"/>
        </w:rPr>
        <w:t xml:space="preserve"> stolpec v preglednici 10), </w:t>
      </w:r>
    </w:p>
    <w:p w14:paraId="4ACDBC41" w14:textId="77777777" w:rsidR="00A155A2" w:rsidRPr="009C5FA1" w:rsidRDefault="00A155A2" w:rsidP="00A155A2">
      <w:pPr>
        <w:pStyle w:val="Brezrazmikov"/>
        <w:numPr>
          <w:ilvl w:val="0"/>
          <w:numId w:val="19"/>
        </w:numPr>
        <w:spacing w:line="276" w:lineRule="auto"/>
        <w:ind w:left="714" w:hanging="357"/>
        <w:jc w:val="both"/>
        <w:rPr>
          <w:rFonts w:ascii="Arial" w:hAnsi="Arial" w:cs="Arial"/>
          <w:sz w:val="20"/>
          <w:szCs w:val="20"/>
        </w:rPr>
      </w:pPr>
      <w:r w:rsidRPr="00E374C3">
        <w:rPr>
          <w:rFonts w:ascii="Arial" w:hAnsi="Arial" w:cs="Arial"/>
          <w:sz w:val="20"/>
          <w:szCs w:val="20"/>
        </w:rPr>
        <w:t>odpisi zaradi ogrožanja preživljanja davčnega zavezanca in njegovih družinskih članov (</w:t>
      </w:r>
      <w:r w:rsidRPr="00FE3840">
        <w:rPr>
          <w:rFonts w:ascii="Arial" w:hAnsi="Arial" w:cs="Arial"/>
          <w:sz w:val="20"/>
          <w:szCs w:val="20"/>
        </w:rPr>
        <w:t>tretji</w:t>
      </w:r>
      <w:r w:rsidRPr="00E374C3">
        <w:rPr>
          <w:rFonts w:ascii="Arial" w:hAnsi="Arial" w:cs="Arial"/>
          <w:sz w:val="20"/>
          <w:szCs w:val="20"/>
        </w:rPr>
        <w:t xml:space="preserve"> stolpec v preglednici 10), </w:t>
      </w:r>
    </w:p>
    <w:p w14:paraId="51BBE45A" w14:textId="77777777" w:rsidR="00A155A2" w:rsidRPr="009C5FA1" w:rsidRDefault="00A155A2" w:rsidP="00A155A2">
      <w:pPr>
        <w:pStyle w:val="Brezrazmikov"/>
        <w:numPr>
          <w:ilvl w:val="0"/>
          <w:numId w:val="19"/>
        </w:numPr>
        <w:spacing w:line="276" w:lineRule="auto"/>
        <w:ind w:left="714" w:hanging="357"/>
        <w:jc w:val="both"/>
        <w:rPr>
          <w:rFonts w:ascii="Arial" w:hAnsi="Arial" w:cs="Arial"/>
          <w:sz w:val="20"/>
          <w:szCs w:val="20"/>
        </w:rPr>
      </w:pPr>
      <w:r w:rsidRPr="009C5FA1">
        <w:rPr>
          <w:rFonts w:ascii="Arial" w:hAnsi="Arial" w:cs="Arial"/>
          <w:sz w:val="20"/>
          <w:szCs w:val="20"/>
        </w:rPr>
        <w:t xml:space="preserve">odpisi po višini neplačanega davka do </w:t>
      </w:r>
      <w:r>
        <w:rPr>
          <w:rFonts w:ascii="Arial" w:hAnsi="Arial" w:cs="Arial"/>
          <w:sz w:val="20"/>
          <w:szCs w:val="20"/>
        </w:rPr>
        <w:t>enega</w:t>
      </w:r>
      <w:r w:rsidRPr="009C5FA1">
        <w:rPr>
          <w:rFonts w:ascii="Arial" w:hAnsi="Arial" w:cs="Arial"/>
          <w:sz w:val="20"/>
          <w:szCs w:val="20"/>
        </w:rPr>
        <w:t xml:space="preserve"> evr</w:t>
      </w:r>
      <w:r>
        <w:rPr>
          <w:rFonts w:ascii="Arial" w:hAnsi="Arial" w:cs="Arial"/>
          <w:sz w:val="20"/>
          <w:szCs w:val="20"/>
        </w:rPr>
        <w:t>a</w:t>
      </w:r>
      <w:r w:rsidRPr="009C5FA1">
        <w:rPr>
          <w:rFonts w:ascii="Arial" w:hAnsi="Arial" w:cs="Arial"/>
          <w:sz w:val="20"/>
          <w:szCs w:val="20"/>
        </w:rPr>
        <w:t xml:space="preserve"> (</w:t>
      </w:r>
      <w:r w:rsidRPr="00FE3840">
        <w:rPr>
          <w:rFonts w:ascii="Arial" w:hAnsi="Arial" w:cs="Arial"/>
          <w:sz w:val="20"/>
          <w:szCs w:val="20"/>
        </w:rPr>
        <w:t>tretji</w:t>
      </w:r>
      <w:r w:rsidRPr="009C5FA1">
        <w:rPr>
          <w:rFonts w:ascii="Arial" w:hAnsi="Arial" w:cs="Arial"/>
          <w:sz w:val="20"/>
          <w:szCs w:val="20"/>
        </w:rPr>
        <w:t xml:space="preserve"> stolpec v preglednici 10), </w:t>
      </w:r>
    </w:p>
    <w:p w14:paraId="30342943" w14:textId="77777777" w:rsidR="00A155A2" w:rsidRPr="009C5FA1" w:rsidRDefault="00A155A2" w:rsidP="00A155A2">
      <w:pPr>
        <w:pStyle w:val="Brezrazmikov"/>
        <w:numPr>
          <w:ilvl w:val="0"/>
          <w:numId w:val="19"/>
        </w:numPr>
        <w:spacing w:line="276" w:lineRule="auto"/>
        <w:ind w:left="714" w:hanging="357"/>
        <w:jc w:val="both"/>
        <w:rPr>
          <w:rFonts w:ascii="Arial" w:hAnsi="Arial" w:cs="Arial"/>
          <w:sz w:val="20"/>
          <w:szCs w:val="20"/>
        </w:rPr>
      </w:pPr>
      <w:r w:rsidRPr="009C5FA1">
        <w:rPr>
          <w:rFonts w:ascii="Arial" w:hAnsi="Arial" w:cs="Arial"/>
          <w:sz w:val="20"/>
          <w:szCs w:val="20"/>
        </w:rPr>
        <w:t>odpisi, če je davčni zavezanec umrl in ni zapustil premoženja, če ga ni mogoče izterjati od pravne osebe, zavezanca za davek, niti iz morebitnega predloženega instrumenta zavarovanja niti od njenega pravnega naslednika (</w:t>
      </w:r>
      <w:r w:rsidRPr="00FE3840">
        <w:rPr>
          <w:rFonts w:ascii="Arial" w:hAnsi="Arial" w:cs="Arial"/>
          <w:sz w:val="20"/>
          <w:szCs w:val="20"/>
        </w:rPr>
        <w:t>tretji</w:t>
      </w:r>
      <w:r w:rsidRPr="009C5FA1">
        <w:rPr>
          <w:rFonts w:ascii="Arial" w:hAnsi="Arial" w:cs="Arial"/>
          <w:sz w:val="20"/>
          <w:szCs w:val="20"/>
        </w:rPr>
        <w:t xml:space="preserve"> stolpec v preglednici 10), </w:t>
      </w:r>
    </w:p>
    <w:p w14:paraId="5C1FBDA3" w14:textId="77777777" w:rsidR="00A155A2" w:rsidRPr="009C5FA1" w:rsidRDefault="00A155A2" w:rsidP="00A155A2">
      <w:pPr>
        <w:pStyle w:val="Brezrazmikov"/>
        <w:numPr>
          <w:ilvl w:val="0"/>
          <w:numId w:val="19"/>
        </w:numPr>
        <w:spacing w:line="276" w:lineRule="auto"/>
        <w:ind w:left="714" w:hanging="357"/>
        <w:jc w:val="both"/>
        <w:rPr>
          <w:rFonts w:ascii="Arial" w:hAnsi="Arial" w:cs="Arial"/>
          <w:sz w:val="20"/>
          <w:szCs w:val="20"/>
        </w:rPr>
      </w:pPr>
      <w:r w:rsidRPr="009C5FA1">
        <w:rPr>
          <w:rFonts w:ascii="Arial" w:hAnsi="Arial" w:cs="Arial"/>
          <w:sz w:val="20"/>
          <w:szCs w:val="20"/>
        </w:rPr>
        <w:t>v drugih primerih, določenih z zakonom (</w:t>
      </w:r>
      <w:r w:rsidRPr="00FE3840">
        <w:rPr>
          <w:rFonts w:ascii="Arial" w:hAnsi="Arial" w:cs="Arial"/>
          <w:sz w:val="20"/>
          <w:szCs w:val="20"/>
        </w:rPr>
        <w:t>tretji</w:t>
      </w:r>
      <w:r w:rsidRPr="009C5FA1">
        <w:rPr>
          <w:rFonts w:ascii="Arial" w:hAnsi="Arial" w:cs="Arial"/>
          <w:sz w:val="20"/>
          <w:szCs w:val="20"/>
        </w:rPr>
        <w:t xml:space="preserve"> stolpec v preglednici 10).</w:t>
      </w:r>
    </w:p>
    <w:p w14:paraId="48BB0F4C" w14:textId="77777777" w:rsidR="00A155A2" w:rsidRDefault="00A155A2" w:rsidP="00A155A2">
      <w:pPr>
        <w:pStyle w:val="Brezrazmikov"/>
      </w:pPr>
    </w:p>
    <w:p w14:paraId="4B46C4D4" w14:textId="77777777" w:rsidR="00A155A2" w:rsidRPr="005B16DA" w:rsidRDefault="00A155A2" w:rsidP="00A155A2">
      <w:pPr>
        <w:pStyle w:val="Brezrazmikov"/>
        <w:spacing w:line="276" w:lineRule="auto"/>
        <w:jc w:val="both"/>
        <w:rPr>
          <w:rFonts w:ascii="Arial" w:hAnsi="Arial" w:cs="Arial"/>
          <w:sz w:val="20"/>
          <w:szCs w:val="20"/>
        </w:rPr>
      </w:pPr>
      <w:r w:rsidRPr="005B16DA">
        <w:rPr>
          <w:rFonts w:ascii="Arial" w:hAnsi="Arial" w:cs="Arial"/>
          <w:sz w:val="20"/>
          <w:szCs w:val="20"/>
        </w:rPr>
        <w:t>Z odpisom davčna obveznost preneha. Davčni organ odpisani davek izbriše iz evidenc, ki izkazujejo terjatve do posameznega zavezanca za davek.</w:t>
      </w:r>
    </w:p>
    <w:p w14:paraId="74F9DA45" w14:textId="77777777" w:rsidR="00A155A2" w:rsidRPr="005B16DA" w:rsidRDefault="00A155A2" w:rsidP="00A155A2">
      <w:pPr>
        <w:pStyle w:val="Brezrazmikov"/>
        <w:spacing w:line="276" w:lineRule="auto"/>
        <w:rPr>
          <w:rFonts w:ascii="Arial" w:hAnsi="Arial" w:cs="Arial"/>
          <w:sz w:val="20"/>
          <w:szCs w:val="20"/>
        </w:rPr>
      </w:pPr>
    </w:p>
    <w:p w14:paraId="3037806E" w14:textId="77777777" w:rsidR="00A155A2" w:rsidRPr="008B6401" w:rsidRDefault="00A155A2" w:rsidP="00A155A2">
      <w:pPr>
        <w:rPr>
          <w:rFonts w:ascii="Arial" w:hAnsi="Arial" w:cs="Arial"/>
          <w:sz w:val="20"/>
          <w:szCs w:val="20"/>
        </w:rPr>
      </w:pPr>
      <w:bookmarkStart w:id="13" w:name="_Hlk128387387"/>
      <w:bookmarkStart w:id="14" w:name="_Hlk99718294"/>
      <w:r w:rsidRPr="004E3E10">
        <w:rPr>
          <w:rFonts w:ascii="Arial" w:hAnsi="Arial" w:cs="Arial"/>
          <w:sz w:val="20"/>
          <w:szCs w:val="20"/>
        </w:rPr>
        <w:t xml:space="preserve">V letu 2024 je bilo odpisanih za 110.941.531 EUR davčnih obveznosti. Največ obveznosti, in sicer v </w:t>
      </w:r>
      <w:r>
        <w:rPr>
          <w:rFonts w:ascii="Arial" w:hAnsi="Arial" w:cs="Arial"/>
          <w:sz w:val="20"/>
          <w:szCs w:val="20"/>
        </w:rPr>
        <w:t>znesku</w:t>
      </w:r>
      <w:r w:rsidRPr="004E3E10">
        <w:rPr>
          <w:rFonts w:ascii="Arial" w:hAnsi="Arial" w:cs="Arial"/>
          <w:sz w:val="20"/>
          <w:szCs w:val="20"/>
        </w:rPr>
        <w:t xml:space="preserve"> 64.269.172 EUR </w:t>
      </w:r>
      <w:r>
        <w:rPr>
          <w:rFonts w:ascii="Arial" w:hAnsi="Arial" w:cs="Arial"/>
          <w:sz w:val="20"/>
          <w:szCs w:val="20"/>
        </w:rPr>
        <w:t>ali</w:t>
      </w:r>
      <w:r w:rsidRPr="004E3E10">
        <w:rPr>
          <w:rFonts w:ascii="Arial" w:hAnsi="Arial" w:cs="Arial"/>
          <w:sz w:val="20"/>
          <w:szCs w:val="20"/>
        </w:rPr>
        <w:t xml:space="preserve"> </w:t>
      </w:r>
      <w:r>
        <w:rPr>
          <w:rFonts w:ascii="Arial" w:hAnsi="Arial" w:cs="Arial"/>
          <w:sz w:val="20"/>
          <w:szCs w:val="20"/>
        </w:rPr>
        <w:t xml:space="preserve">skupno </w:t>
      </w:r>
      <w:r w:rsidRPr="004E3E10">
        <w:rPr>
          <w:rFonts w:ascii="Arial" w:hAnsi="Arial" w:cs="Arial"/>
          <w:sz w:val="20"/>
          <w:szCs w:val="20"/>
        </w:rPr>
        <w:t>57,9 odstotka</w:t>
      </w:r>
      <w:r>
        <w:rPr>
          <w:rFonts w:ascii="Arial" w:hAnsi="Arial" w:cs="Arial"/>
          <w:sz w:val="20"/>
          <w:szCs w:val="20"/>
        </w:rPr>
        <w:t>,</w:t>
      </w:r>
      <w:r w:rsidRPr="004E3E10">
        <w:rPr>
          <w:rFonts w:ascii="Arial" w:hAnsi="Arial" w:cs="Arial"/>
          <w:sz w:val="20"/>
          <w:szCs w:val="20"/>
        </w:rPr>
        <w:t xml:space="preserve"> je bilo </w:t>
      </w:r>
      <w:r w:rsidRPr="000E5F05">
        <w:rPr>
          <w:rFonts w:ascii="Arial" w:hAnsi="Arial" w:cs="Arial"/>
          <w:sz w:val="20"/>
          <w:szCs w:val="20"/>
        </w:rPr>
        <w:t xml:space="preserve">odpisanih </w:t>
      </w:r>
      <w:r w:rsidRPr="008E51EB">
        <w:rPr>
          <w:rFonts w:ascii="Arial" w:hAnsi="Arial" w:cs="Arial"/>
          <w:sz w:val="20"/>
          <w:szCs w:val="20"/>
        </w:rPr>
        <w:t>iz razloga</w:t>
      </w:r>
      <w:r w:rsidRPr="007021DC">
        <w:rPr>
          <w:rFonts w:ascii="Arial" w:hAnsi="Arial" w:cs="Arial"/>
          <w:sz w:val="20"/>
          <w:szCs w:val="20"/>
        </w:rPr>
        <w:t xml:space="preserve"> </w:t>
      </w:r>
      <w:r w:rsidRPr="000E5F05">
        <w:rPr>
          <w:rFonts w:ascii="Arial" w:hAnsi="Arial" w:cs="Arial"/>
          <w:sz w:val="20"/>
          <w:szCs w:val="20"/>
        </w:rPr>
        <w:t>zaključenih postopkov zaradi insolventnosti. Od tega je pri le desetih zavezancih, pri katerih je bil pravomočno končan postopek stečaja, skupno odpisani dolg obsegal 13.106</w:t>
      </w:r>
      <w:r w:rsidRPr="008B6401">
        <w:rPr>
          <w:rFonts w:ascii="Arial" w:hAnsi="Arial" w:cs="Arial"/>
          <w:sz w:val="20"/>
          <w:szCs w:val="20"/>
        </w:rPr>
        <w:t xml:space="preserve">.645 EUR </w:t>
      </w:r>
      <w:r>
        <w:rPr>
          <w:rFonts w:ascii="Arial" w:hAnsi="Arial" w:cs="Arial"/>
          <w:sz w:val="20"/>
          <w:szCs w:val="20"/>
        </w:rPr>
        <w:t>ali</w:t>
      </w:r>
      <w:r w:rsidRPr="008B6401">
        <w:rPr>
          <w:rFonts w:ascii="Arial" w:hAnsi="Arial" w:cs="Arial"/>
          <w:sz w:val="20"/>
          <w:szCs w:val="20"/>
        </w:rPr>
        <w:t xml:space="preserve"> 20,4 odstotka. Največji odpis </w:t>
      </w:r>
      <w:r>
        <w:rPr>
          <w:rFonts w:ascii="Arial" w:hAnsi="Arial" w:cs="Arial"/>
          <w:sz w:val="20"/>
          <w:szCs w:val="20"/>
        </w:rPr>
        <w:t xml:space="preserve">ob </w:t>
      </w:r>
      <w:r w:rsidRPr="008B6401">
        <w:rPr>
          <w:rFonts w:ascii="Arial" w:hAnsi="Arial" w:cs="Arial"/>
          <w:sz w:val="20"/>
          <w:szCs w:val="20"/>
        </w:rPr>
        <w:t>zaključk</w:t>
      </w:r>
      <w:r>
        <w:rPr>
          <w:rFonts w:ascii="Arial" w:hAnsi="Arial" w:cs="Arial"/>
          <w:sz w:val="20"/>
          <w:szCs w:val="20"/>
        </w:rPr>
        <w:t>u</w:t>
      </w:r>
      <w:r w:rsidRPr="008B6401">
        <w:rPr>
          <w:rFonts w:ascii="Arial" w:hAnsi="Arial" w:cs="Arial"/>
          <w:sz w:val="20"/>
          <w:szCs w:val="20"/>
        </w:rPr>
        <w:t xml:space="preserve"> stečaj</w:t>
      </w:r>
      <w:r>
        <w:rPr>
          <w:rFonts w:ascii="Arial" w:hAnsi="Arial" w:cs="Arial"/>
          <w:sz w:val="20"/>
          <w:szCs w:val="20"/>
        </w:rPr>
        <w:t>neg</w:t>
      </w:r>
      <w:r w:rsidRPr="008B6401">
        <w:rPr>
          <w:rFonts w:ascii="Arial" w:hAnsi="Arial" w:cs="Arial"/>
          <w:sz w:val="20"/>
          <w:szCs w:val="20"/>
        </w:rPr>
        <w:t>a</w:t>
      </w:r>
      <w:r>
        <w:rPr>
          <w:rFonts w:ascii="Arial" w:hAnsi="Arial" w:cs="Arial"/>
          <w:sz w:val="20"/>
          <w:szCs w:val="20"/>
        </w:rPr>
        <w:t xml:space="preserve"> postopka</w:t>
      </w:r>
      <w:r w:rsidRPr="008B6401">
        <w:rPr>
          <w:rFonts w:ascii="Arial" w:hAnsi="Arial" w:cs="Arial"/>
          <w:sz w:val="20"/>
          <w:szCs w:val="20"/>
        </w:rPr>
        <w:t xml:space="preserve"> je bil izveden v </w:t>
      </w:r>
      <w:r>
        <w:rPr>
          <w:rFonts w:ascii="Arial" w:hAnsi="Arial" w:cs="Arial"/>
          <w:sz w:val="20"/>
          <w:szCs w:val="20"/>
        </w:rPr>
        <w:t>vrednosti</w:t>
      </w:r>
      <w:r w:rsidRPr="008B6401">
        <w:rPr>
          <w:rFonts w:ascii="Arial" w:hAnsi="Arial" w:cs="Arial"/>
          <w:sz w:val="20"/>
          <w:szCs w:val="20"/>
        </w:rPr>
        <w:t xml:space="preserve"> 2.879.642 EUR. </w:t>
      </w:r>
    </w:p>
    <w:bookmarkEnd w:id="13"/>
    <w:bookmarkEnd w:id="14"/>
    <w:p w14:paraId="5C46BD12" w14:textId="77777777" w:rsidR="00A155A2" w:rsidRDefault="00A155A2" w:rsidP="00A155A2">
      <w:pPr>
        <w:rPr>
          <w:rFonts w:ascii="Arial" w:hAnsi="Arial" w:cs="Arial"/>
          <w:i/>
          <w:sz w:val="20"/>
          <w:szCs w:val="20"/>
        </w:rPr>
      </w:pPr>
      <w:r w:rsidRPr="00843477">
        <w:rPr>
          <w:rFonts w:ascii="Arial" w:hAnsi="Arial" w:cs="Arial"/>
          <w:i/>
          <w:sz w:val="20"/>
          <w:szCs w:val="20"/>
        </w:rPr>
        <w:t xml:space="preserve">Preglednica </w:t>
      </w:r>
      <w:r>
        <w:rPr>
          <w:rFonts w:ascii="Arial" w:hAnsi="Arial" w:cs="Arial"/>
          <w:i/>
          <w:sz w:val="20"/>
          <w:szCs w:val="20"/>
        </w:rPr>
        <w:t xml:space="preserve">10: </w:t>
      </w:r>
      <w:r w:rsidRPr="00843477">
        <w:rPr>
          <w:rFonts w:ascii="Arial" w:hAnsi="Arial" w:cs="Arial"/>
          <w:i/>
          <w:sz w:val="20"/>
          <w:szCs w:val="20"/>
        </w:rPr>
        <w:t xml:space="preserve">Odpisi davčnih obveznosti po </w:t>
      </w:r>
      <w:r w:rsidRPr="00295FAD">
        <w:rPr>
          <w:rFonts w:ascii="Arial" w:hAnsi="Arial" w:cs="Arial"/>
          <w:i/>
          <w:sz w:val="20"/>
          <w:szCs w:val="20"/>
        </w:rPr>
        <w:t xml:space="preserve">razlogih </w:t>
      </w:r>
      <w:r>
        <w:rPr>
          <w:rFonts w:ascii="Arial" w:hAnsi="Arial" w:cs="Arial"/>
          <w:i/>
          <w:sz w:val="20"/>
          <w:szCs w:val="20"/>
        </w:rPr>
        <w:t>(</w:t>
      </w:r>
      <w:r w:rsidRPr="00295FAD">
        <w:rPr>
          <w:rFonts w:ascii="Arial" w:hAnsi="Arial" w:cs="Arial"/>
          <w:i/>
          <w:sz w:val="20"/>
          <w:szCs w:val="20"/>
        </w:rPr>
        <w:t>v EUR</w:t>
      </w:r>
      <w:r>
        <w:rPr>
          <w:rFonts w:ascii="Arial" w:hAnsi="Arial" w:cs="Arial"/>
          <w:i/>
          <w:sz w:val="20"/>
          <w:szCs w:val="20"/>
        </w:rPr>
        <w:t>)</w:t>
      </w:r>
    </w:p>
    <w:tbl>
      <w:tblPr>
        <w:tblW w:w="8748" w:type="dxa"/>
        <w:tblCellMar>
          <w:left w:w="70" w:type="dxa"/>
          <w:right w:w="70" w:type="dxa"/>
        </w:tblCellMar>
        <w:tblLook w:val="04A0" w:firstRow="1" w:lastRow="0" w:firstColumn="1" w:lastColumn="0" w:noHBand="0" w:noVBand="1"/>
      </w:tblPr>
      <w:tblGrid>
        <w:gridCol w:w="1805"/>
        <w:gridCol w:w="1944"/>
        <w:gridCol w:w="1898"/>
        <w:gridCol w:w="1504"/>
        <w:gridCol w:w="1597"/>
      </w:tblGrid>
      <w:tr w:rsidR="00A155A2" w:rsidRPr="004E3E10" w14:paraId="5FC29A13" w14:textId="77777777" w:rsidTr="001C77D2">
        <w:trPr>
          <w:trHeight w:val="736"/>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55D3"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LETO</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737943E9"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Odpisan</w:t>
            </w:r>
            <w:r>
              <w:rPr>
                <w:rFonts w:ascii="Arial" w:eastAsia="Times New Roman" w:hAnsi="Arial" w:cs="Arial"/>
                <w:b/>
                <w:bCs/>
                <w:sz w:val="18"/>
                <w:szCs w:val="18"/>
                <w:lang w:eastAsia="sl-SI"/>
              </w:rPr>
              <w:t>i</w:t>
            </w:r>
            <w:r w:rsidRPr="004E3E10">
              <w:rPr>
                <w:rFonts w:ascii="Arial" w:eastAsia="Times New Roman" w:hAnsi="Arial" w:cs="Arial"/>
                <w:b/>
                <w:bCs/>
                <w:sz w:val="18"/>
                <w:szCs w:val="18"/>
                <w:lang w:eastAsia="sl-SI"/>
              </w:rPr>
              <w:t xml:space="preserve"> znesek </w:t>
            </w:r>
            <w:r>
              <w:rPr>
                <w:rFonts w:ascii="Arial" w:eastAsia="Times New Roman" w:hAnsi="Arial" w:cs="Arial"/>
                <w:b/>
                <w:bCs/>
                <w:sz w:val="18"/>
                <w:szCs w:val="18"/>
                <w:lang w:eastAsia="sl-SI"/>
              </w:rPr>
              <w:t>–</w:t>
            </w:r>
            <w:r w:rsidRPr="004E3E10">
              <w:rPr>
                <w:rFonts w:ascii="Arial" w:eastAsia="Times New Roman" w:hAnsi="Arial" w:cs="Arial"/>
                <w:b/>
                <w:bCs/>
                <w:sz w:val="18"/>
                <w:szCs w:val="18"/>
                <w:lang w:eastAsia="sl-SI"/>
              </w:rPr>
              <w:t xml:space="preserve">insolventnost </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0E2F2DB2"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Odpisan</w:t>
            </w:r>
            <w:r>
              <w:rPr>
                <w:rFonts w:ascii="Arial" w:eastAsia="Times New Roman" w:hAnsi="Arial" w:cs="Arial"/>
                <w:b/>
                <w:bCs/>
                <w:sz w:val="18"/>
                <w:szCs w:val="18"/>
                <w:lang w:eastAsia="sl-SI"/>
              </w:rPr>
              <w:t>i</w:t>
            </w:r>
            <w:r w:rsidRPr="004E3E10">
              <w:rPr>
                <w:rFonts w:ascii="Arial" w:eastAsia="Times New Roman" w:hAnsi="Arial" w:cs="Arial"/>
                <w:b/>
                <w:bCs/>
                <w:sz w:val="18"/>
                <w:szCs w:val="18"/>
                <w:lang w:eastAsia="sl-SI"/>
              </w:rPr>
              <w:t xml:space="preserve"> znesek </w:t>
            </w:r>
            <w:r>
              <w:rPr>
                <w:rFonts w:ascii="Arial" w:eastAsia="Times New Roman" w:hAnsi="Arial" w:cs="Arial"/>
                <w:b/>
                <w:bCs/>
                <w:sz w:val="18"/>
                <w:szCs w:val="18"/>
                <w:lang w:eastAsia="sl-SI"/>
              </w:rPr>
              <w:t>–</w:t>
            </w:r>
            <w:r w:rsidRPr="004E3E10">
              <w:rPr>
                <w:rFonts w:ascii="Arial" w:eastAsia="Times New Roman" w:hAnsi="Arial" w:cs="Arial"/>
                <w:b/>
                <w:bCs/>
                <w:sz w:val="18"/>
                <w:szCs w:val="18"/>
                <w:lang w:eastAsia="sl-SI"/>
              </w:rPr>
              <w:t xml:space="preserve">zastaranje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F8B671"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Odpisan</w:t>
            </w:r>
            <w:r>
              <w:rPr>
                <w:rFonts w:ascii="Arial" w:eastAsia="Times New Roman" w:hAnsi="Arial" w:cs="Arial"/>
                <w:b/>
                <w:bCs/>
                <w:sz w:val="18"/>
                <w:szCs w:val="18"/>
                <w:lang w:eastAsia="sl-SI"/>
              </w:rPr>
              <w:t>i</w:t>
            </w:r>
            <w:r w:rsidRPr="004E3E10">
              <w:rPr>
                <w:rFonts w:ascii="Arial" w:eastAsia="Times New Roman" w:hAnsi="Arial" w:cs="Arial"/>
                <w:b/>
                <w:bCs/>
                <w:sz w:val="18"/>
                <w:szCs w:val="18"/>
                <w:lang w:eastAsia="sl-SI"/>
              </w:rPr>
              <w:t xml:space="preserve"> znesek </w:t>
            </w:r>
            <w:r>
              <w:rPr>
                <w:rFonts w:ascii="Arial" w:eastAsia="Times New Roman" w:hAnsi="Arial" w:cs="Arial"/>
                <w:b/>
                <w:bCs/>
                <w:sz w:val="18"/>
                <w:szCs w:val="18"/>
                <w:lang w:eastAsia="sl-SI"/>
              </w:rPr>
              <w:t>–</w:t>
            </w:r>
            <w:r w:rsidRPr="004E3E10">
              <w:rPr>
                <w:rFonts w:ascii="Arial" w:eastAsia="Times New Roman" w:hAnsi="Arial" w:cs="Arial"/>
                <w:b/>
                <w:bCs/>
                <w:sz w:val="18"/>
                <w:szCs w:val="18"/>
                <w:lang w:eastAsia="sl-SI"/>
              </w:rPr>
              <w:t xml:space="preserve"> </w:t>
            </w:r>
            <w:r>
              <w:rPr>
                <w:rFonts w:ascii="Arial" w:eastAsia="Times New Roman" w:hAnsi="Arial" w:cs="Arial"/>
                <w:b/>
                <w:bCs/>
                <w:sz w:val="18"/>
                <w:szCs w:val="18"/>
                <w:lang w:eastAsia="sl-SI"/>
              </w:rPr>
              <w:t>drugo</w:t>
            </w:r>
            <w:r w:rsidRPr="004E3E10">
              <w:rPr>
                <w:rFonts w:ascii="Arial" w:eastAsia="Times New Roman" w:hAnsi="Arial" w:cs="Arial"/>
                <w:b/>
                <w:bCs/>
                <w:sz w:val="18"/>
                <w:szCs w:val="18"/>
                <w:lang w:eastAsia="sl-SI"/>
              </w:rPr>
              <w:t xml:space="preserve">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5A7BF068"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Odpisan</w:t>
            </w:r>
            <w:r>
              <w:rPr>
                <w:rFonts w:ascii="Arial" w:eastAsia="Times New Roman" w:hAnsi="Arial" w:cs="Arial"/>
                <w:b/>
                <w:bCs/>
                <w:sz w:val="18"/>
                <w:szCs w:val="18"/>
                <w:lang w:eastAsia="sl-SI"/>
              </w:rPr>
              <w:t>i</w:t>
            </w:r>
            <w:r w:rsidRPr="004E3E10">
              <w:rPr>
                <w:rFonts w:ascii="Arial" w:eastAsia="Times New Roman" w:hAnsi="Arial" w:cs="Arial"/>
                <w:b/>
                <w:bCs/>
                <w:sz w:val="18"/>
                <w:szCs w:val="18"/>
                <w:lang w:eastAsia="sl-SI"/>
              </w:rPr>
              <w:t xml:space="preserve"> znesek dajatev </w:t>
            </w:r>
            <w:r>
              <w:rPr>
                <w:rFonts w:ascii="Arial" w:eastAsia="Times New Roman" w:hAnsi="Arial" w:cs="Arial"/>
                <w:b/>
                <w:bCs/>
                <w:sz w:val="18"/>
                <w:szCs w:val="18"/>
                <w:lang w:eastAsia="sl-SI"/>
              </w:rPr>
              <w:t>–</w:t>
            </w:r>
            <w:r w:rsidRPr="004E3E10">
              <w:rPr>
                <w:rFonts w:ascii="Arial" w:eastAsia="Times New Roman" w:hAnsi="Arial" w:cs="Arial"/>
                <w:b/>
                <w:bCs/>
                <w:sz w:val="18"/>
                <w:szCs w:val="18"/>
                <w:lang w:eastAsia="sl-SI"/>
              </w:rPr>
              <w:t xml:space="preserve"> SKUPAJ </w:t>
            </w:r>
          </w:p>
        </w:tc>
      </w:tr>
      <w:tr w:rsidR="00A155A2" w:rsidRPr="004E3E10" w14:paraId="35214358"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479DB201"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2019</w:t>
            </w:r>
          </w:p>
        </w:tc>
        <w:tc>
          <w:tcPr>
            <w:tcW w:w="1944" w:type="dxa"/>
            <w:tcBorders>
              <w:top w:val="nil"/>
              <w:left w:val="nil"/>
              <w:bottom w:val="single" w:sz="4" w:space="0" w:color="auto"/>
              <w:right w:val="single" w:sz="4" w:space="0" w:color="auto"/>
            </w:tcBorders>
            <w:shd w:val="clear" w:color="000000" w:fill="FFFFFF"/>
            <w:vAlign w:val="center"/>
            <w:hideMark/>
          </w:tcPr>
          <w:p w14:paraId="07C2A7CF"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137.919.176</w:t>
            </w:r>
          </w:p>
        </w:tc>
        <w:tc>
          <w:tcPr>
            <w:tcW w:w="1898" w:type="dxa"/>
            <w:tcBorders>
              <w:top w:val="nil"/>
              <w:left w:val="nil"/>
              <w:bottom w:val="single" w:sz="4" w:space="0" w:color="auto"/>
              <w:right w:val="single" w:sz="4" w:space="0" w:color="auto"/>
            </w:tcBorders>
            <w:shd w:val="clear" w:color="000000" w:fill="FFFFFF"/>
            <w:vAlign w:val="center"/>
            <w:hideMark/>
          </w:tcPr>
          <w:p w14:paraId="51AC62B3"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36.195.219</w:t>
            </w:r>
          </w:p>
        </w:tc>
        <w:tc>
          <w:tcPr>
            <w:tcW w:w="1504" w:type="dxa"/>
            <w:tcBorders>
              <w:top w:val="nil"/>
              <w:left w:val="nil"/>
              <w:bottom w:val="single" w:sz="4" w:space="0" w:color="auto"/>
              <w:right w:val="single" w:sz="4" w:space="0" w:color="auto"/>
            </w:tcBorders>
            <w:shd w:val="clear" w:color="000000" w:fill="FFFFFF"/>
            <w:vAlign w:val="center"/>
            <w:hideMark/>
          </w:tcPr>
          <w:p w14:paraId="5D535733"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14.800.879</w:t>
            </w:r>
          </w:p>
        </w:tc>
        <w:tc>
          <w:tcPr>
            <w:tcW w:w="1597" w:type="dxa"/>
            <w:tcBorders>
              <w:top w:val="nil"/>
              <w:left w:val="nil"/>
              <w:bottom w:val="single" w:sz="4" w:space="0" w:color="auto"/>
              <w:right w:val="single" w:sz="4" w:space="0" w:color="auto"/>
            </w:tcBorders>
            <w:shd w:val="clear" w:color="000000" w:fill="FFFFFF"/>
            <w:vAlign w:val="center"/>
            <w:hideMark/>
          </w:tcPr>
          <w:p w14:paraId="61452820"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188.915.274</w:t>
            </w:r>
          </w:p>
        </w:tc>
      </w:tr>
      <w:tr w:rsidR="00A155A2" w:rsidRPr="004E3E10" w14:paraId="277F561F"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58215A23"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2020</w:t>
            </w:r>
          </w:p>
        </w:tc>
        <w:tc>
          <w:tcPr>
            <w:tcW w:w="1944" w:type="dxa"/>
            <w:tcBorders>
              <w:top w:val="nil"/>
              <w:left w:val="nil"/>
              <w:bottom w:val="single" w:sz="4" w:space="0" w:color="auto"/>
              <w:right w:val="single" w:sz="4" w:space="0" w:color="auto"/>
            </w:tcBorders>
            <w:shd w:val="clear" w:color="000000" w:fill="FFFFFF"/>
            <w:vAlign w:val="center"/>
            <w:hideMark/>
          </w:tcPr>
          <w:p w14:paraId="128BE26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161.003.981</w:t>
            </w:r>
          </w:p>
        </w:tc>
        <w:tc>
          <w:tcPr>
            <w:tcW w:w="1898" w:type="dxa"/>
            <w:tcBorders>
              <w:top w:val="nil"/>
              <w:left w:val="nil"/>
              <w:bottom w:val="single" w:sz="4" w:space="0" w:color="auto"/>
              <w:right w:val="single" w:sz="4" w:space="0" w:color="auto"/>
            </w:tcBorders>
            <w:shd w:val="clear" w:color="000000" w:fill="FFFFFF"/>
            <w:vAlign w:val="center"/>
            <w:hideMark/>
          </w:tcPr>
          <w:p w14:paraId="1B78922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26.476.791</w:t>
            </w:r>
          </w:p>
        </w:tc>
        <w:tc>
          <w:tcPr>
            <w:tcW w:w="1504" w:type="dxa"/>
            <w:tcBorders>
              <w:top w:val="nil"/>
              <w:left w:val="nil"/>
              <w:bottom w:val="single" w:sz="4" w:space="0" w:color="auto"/>
              <w:right w:val="single" w:sz="4" w:space="0" w:color="auto"/>
            </w:tcBorders>
            <w:shd w:val="clear" w:color="000000" w:fill="FFFFFF"/>
            <w:vAlign w:val="center"/>
            <w:hideMark/>
          </w:tcPr>
          <w:p w14:paraId="7B8AF59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22.214.061</w:t>
            </w:r>
          </w:p>
        </w:tc>
        <w:tc>
          <w:tcPr>
            <w:tcW w:w="1597" w:type="dxa"/>
            <w:tcBorders>
              <w:top w:val="nil"/>
              <w:left w:val="nil"/>
              <w:bottom w:val="single" w:sz="4" w:space="0" w:color="auto"/>
              <w:right w:val="single" w:sz="4" w:space="0" w:color="auto"/>
            </w:tcBorders>
            <w:shd w:val="clear" w:color="000000" w:fill="FFFFFF"/>
            <w:vAlign w:val="center"/>
            <w:hideMark/>
          </w:tcPr>
          <w:p w14:paraId="1CFCC0DB"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209.694.833</w:t>
            </w:r>
          </w:p>
        </w:tc>
      </w:tr>
      <w:tr w:rsidR="00A155A2" w:rsidRPr="004E3E10" w14:paraId="1780397E"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5B179E74"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2021</w:t>
            </w:r>
          </w:p>
        </w:tc>
        <w:tc>
          <w:tcPr>
            <w:tcW w:w="1944" w:type="dxa"/>
            <w:tcBorders>
              <w:top w:val="nil"/>
              <w:left w:val="nil"/>
              <w:bottom w:val="single" w:sz="4" w:space="0" w:color="auto"/>
              <w:right w:val="single" w:sz="4" w:space="0" w:color="auto"/>
            </w:tcBorders>
            <w:shd w:val="clear" w:color="000000" w:fill="FFFFFF"/>
            <w:vAlign w:val="center"/>
            <w:hideMark/>
          </w:tcPr>
          <w:p w14:paraId="3426B503"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119.650.637</w:t>
            </w:r>
          </w:p>
        </w:tc>
        <w:tc>
          <w:tcPr>
            <w:tcW w:w="1898" w:type="dxa"/>
            <w:tcBorders>
              <w:top w:val="nil"/>
              <w:left w:val="nil"/>
              <w:bottom w:val="single" w:sz="4" w:space="0" w:color="auto"/>
              <w:right w:val="single" w:sz="4" w:space="0" w:color="auto"/>
            </w:tcBorders>
            <w:shd w:val="clear" w:color="000000" w:fill="FFFFFF"/>
            <w:vAlign w:val="center"/>
            <w:hideMark/>
          </w:tcPr>
          <w:p w14:paraId="4BFB0B0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39.045.370</w:t>
            </w:r>
          </w:p>
        </w:tc>
        <w:tc>
          <w:tcPr>
            <w:tcW w:w="1504" w:type="dxa"/>
            <w:tcBorders>
              <w:top w:val="nil"/>
              <w:left w:val="nil"/>
              <w:bottom w:val="single" w:sz="4" w:space="0" w:color="auto"/>
              <w:right w:val="single" w:sz="4" w:space="0" w:color="auto"/>
            </w:tcBorders>
            <w:shd w:val="clear" w:color="000000" w:fill="FFFFFF"/>
            <w:vAlign w:val="center"/>
            <w:hideMark/>
          </w:tcPr>
          <w:p w14:paraId="78E21A2C"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21.938.411</w:t>
            </w:r>
          </w:p>
        </w:tc>
        <w:tc>
          <w:tcPr>
            <w:tcW w:w="1597" w:type="dxa"/>
            <w:tcBorders>
              <w:top w:val="nil"/>
              <w:left w:val="nil"/>
              <w:bottom w:val="single" w:sz="4" w:space="0" w:color="auto"/>
              <w:right w:val="single" w:sz="4" w:space="0" w:color="auto"/>
            </w:tcBorders>
            <w:shd w:val="clear" w:color="000000" w:fill="FFFFFF"/>
            <w:vAlign w:val="center"/>
            <w:hideMark/>
          </w:tcPr>
          <w:p w14:paraId="1513110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180.634.418</w:t>
            </w:r>
          </w:p>
        </w:tc>
      </w:tr>
      <w:tr w:rsidR="00A155A2" w:rsidRPr="004E3E10" w14:paraId="6160CBA7"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2D2A605B"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2022</w:t>
            </w:r>
          </w:p>
        </w:tc>
        <w:tc>
          <w:tcPr>
            <w:tcW w:w="1944" w:type="dxa"/>
            <w:tcBorders>
              <w:top w:val="nil"/>
              <w:left w:val="nil"/>
              <w:bottom w:val="single" w:sz="4" w:space="0" w:color="auto"/>
              <w:right w:val="single" w:sz="4" w:space="0" w:color="auto"/>
            </w:tcBorders>
            <w:shd w:val="clear" w:color="000000" w:fill="FFFFFF"/>
            <w:vAlign w:val="center"/>
            <w:hideMark/>
          </w:tcPr>
          <w:p w14:paraId="4DBF44C5"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105.621.864</w:t>
            </w:r>
          </w:p>
        </w:tc>
        <w:tc>
          <w:tcPr>
            <w:tcW w:w="1898" w:type="dxa"/>
            <w:tcBorders>
              <w:top w:val="nil"/>
              <w:left w:val="nil"/>
              <w:bottom w:val="single" w:sz="4" w:space="0" w:color="auto"/>
              <w:right w:val="single" w:sz="4" w:space="0" w:color="auto"/>
            </w:tcBorders>
            <w:shd w:val="clear" w:color="000000" w:fill="FFFFFF"/>
            <w:vAlign w:val="center"/>
            <w:hideMark/>
          </w:tcPr>
          <w:p w14:paraId="3DBE1EDF"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28.826.573</w:t>
            </w:r>
          </w:p>
        </w:tc>
        <w:tc>
          <w:tcPr>
            <w:tcW w:w="1504" w:type="dxa"/>
            <w:tcBorders>
              <w:top w:val="nil"/>
              <w:left w:val="nil"/>
              <w:bottom w:val="single" w:sz="4" w:space="0" w:color="auto"/>
              <w:right w:val="single" w:sz="4" w:space="0" w:color="auto"/>
            </w:tcBorders>
            <w:shd w:val="clear" w:color="000000" w:fill="FFFFFF"/>
            <w:vAlign w:val="center"/>
            <w:hideMark/>
          </w:tcPr>
          <w:p w14:paraId="41B31AAB"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10.195.104</w:t>
            </w:r>
          </w:p>
        </w:tc>
        <w:tc>
          <w:tcPr>
            <w:tcW w:w="1597" w:type="dxa"/>
            <w:tcBorders>
              <w:top w:val="nil"/>
              <w:left w:val="nil"/>
              <w:bottom w:val="single" w:sz="4" w:space="0" w:color="auto"/>
              <w:right w:val="single" w:sz="4" w:space="0" w:color="auto"/>
            </w:tcBorders>
            <w:shd w:val="clear" w:color="000000" w:fill="FFFFFF"/>
            <w:vAlign w:val="center"/>
            <w:hideMark/>
          </w:tcPr>
          <w:p w14:paraId="0F12DACE"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144.643.540</w:t>
            </w:r>
          </w:p>
        </w:tc>
      </w:tr>
      <w:tr w:rsidR="00A155A2" w:rsidRPr="004E3E10" w14:paraId="05D596FB"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5971B60F"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2023</w:t>
            </w:r>
          </w:p>
        </w:tc>
        <w:tc>
          <w:tcPr>
            <w:tcW w:w="1944" w:type="dxa"/>
            <w:tcBorders>
              <w:top w:val="nil"/>
              <w:left w:val="nil"/>
              <w:bottom w:val="single" w:sz="4" w:space="0" w:color="auto"/>
              <w:right w:val="single" w:sz="4" w:space="0" w:color="auto"/>
            </w:tcBorders>
            <w:shd w:val="clear" w:color="000000" w:fill="FFFFFF"/>
            <w:vAlign w:val="center"/>
            <w:hideMark/>
          </w:tcPr>
          <w:p w14:paraId="7A6248F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127.903.558</w:t>
            </w:r>
          </w:p>
        </w:tc>
        <w:tc>
          <w:tcPr>
            <w:tcW w:w="1898" w:type="dxa"/>
            <w:tcBorders>
              <w:top w:val="nil"/>
              <w:left w:val="nil"/>
              <w:bottom w:val="single" w:sz="4" w:space="0" w:color="auto"/>
              <w:right w:val="single" w:sz="4" w:space="0" w:color="auto"/>
            </w:tcBorders>
            <w:shd w:val="clear" w:color="000000" w:fill="FFFFFF"/>
            <w:vAlign w:val="center"/>
            <w:hideMark/>
          </w:tcPr>
          <w:p w14:paraId="27964509"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37.372.456</w:t>
            </w:r>
          </w:p>
        </w:tc>
        <w:tc>
          <w:tcPr>
            <w:tcW w:w="1504" w:type="dxa"/>
            <w:tcBorders>
              <w:top w:val="nil"/>
              <w:left w:val="nil"/>
              <w:bottom w:val="single" w:sz="4" w:space="0" w:color="auto"/>
              <w:right w:val="single" w:sz="4" w:space="0" w:color="auto"/>
            </w:tcBorders>
            <w:shd w:val="clear" w:color="000000" w:fill="FFFFFF"/>
            <w:vAlign w:val="center"/>
            <w:hideMark/>
          </w:tcPr>
          <w:p w14:paraId="4AE3365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13.431.781</w:t>
            </w:r>
          </w:p>
        </w:tc>
        <w:tc>
          <w:tcPr>
            <w:tcW w:w="1597" w:type="dxa"/>
            <w:tcBorders>
              <w:top w:val="nil"/>
              <w:left w:val="nil"/>
              <w:bottom w:val="single" w:sz="4" w:space="0" w:color="auto"/>
              <w:right w:val="single" w:sz="4" w:space="0" w:color="auto"/>
            </w:tcBorders>
            <w:shd w:val="clear" w:color="000000" w:fill="FFFFFF"/>
            <w:vAlign w:val="center"/>
            <w:hideMark/>
          </w:tcPr>
          <w:p w14:paraId="09A7CFA5"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178.707.795</w:t>
            </w:r>
          </w:p>
        </w:tc>
      </w:tr>
      <w:tr w:rsidR="00A155A2" w:rsidRPr="004E3E10" w14:paraId="5AB91F2D" w14:textId="77777777" w:rsidTr="001C77D2">
        <w:trPr>
          <w:trHeight w:val="216"/>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6E0DCAD6"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2024</w:t>
            </w:r>
          </w:p>
        </w:tc>
        <w:tc>
          <w:tcPr>
            <w:tcW w:w="1944" w:type="dxa"/>
            <w:tcBorders>
              <w:top w:val="nil"/>
              <w:left w:val="nil"/>
              <w:bottom w:val="single" w:sz="4" w:space="0" w:color="auto"/>
              <w:right w:val="single" w:sz="4" w:space="0" w:color="auto"/>
            </w:tcBorders>
            <w:shd w:val="clear" w:color="000000" w:fill="FFFFFF"/>
            <w:vAlign w:val="center"/>
            <w:hideMark/>
          </w:tcPr>
          <w:p w14:paraId="222B61AA"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64.269.172</w:t>
            </w:r>
          </w:p>
        </w:tc>
        <w:tc>
          <w:tcPr>
            <w:tcW w:w="1898" w:type="dxa"/>
            <w:tcBorders>
              <w:top w:val="nil"/>
              <w:left w:val="nil"/>
              <w:bottom w:val="single" w:sz="4" w:space="0" w:color="auto"/>
              <w:right w:val="single" w:sz="4" w:space="0" w:color="auto"/>
            </w:tcBorders>
            <w:shd w:val="clear" w:color="000000" w:fill="FFFFFF"/>
            <w:vAlign w:val="center"/>
            <w:hideMark/>
          </w:tcPr>
          <w:p w14:paraId="754E7C37"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30.026.586</w:t>
            </w:r>
          </w:p>
        </w:tc>
        <w:tc>
          <w:tcPr>
            <w:tcW w:w="1504" w:type="dxa"/>
            <w:tcBorders>
              <w:top w:val="nil"/>
              <w:left w:val="nil"/>
              <w:bottom w:val="single" w:sz="4" w:space="0" w:color="auto"/>
              <w:right w:val="single" w:sz="4" w:space="0" w:color="auto"/>
            </w:tcBorders>
            <w:shd w:val="clear" w:color="000000" w:fill="FFFFFF"/>
            <w:vAlign w:val="center"/>
            <w:hideMark/>
          </w:tcPr>
          <w:p w14:paraId="5F00326E"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16.645.773</w:t>
            </w:r>
          </w:p>
        </w:tc>
        <w:tc>
          <w:tcPr>
            <w:tcW w:w="1597" w:type="dxa"/>
            <w:tcBorders>
              <w:top w:val="nil"/>
              <w:left w:val="nil"/>
              <w:bottom w:val="single" w:sz="4" w:space="0" w:color="auto"/>
              <w:right w:val="single" w:sz="4" w:space="0" w:color="auto"/>
            </w:tcBorders>
            <w:shd w:val="clear" w:color="000000" w:fill="FFFFFF"/>
            <w:vAlign w:val="center"/>
            <w:hideMark/>
          </w:tcPr>
          <w:p w14:paraId="259B87E5"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110.941.531</w:t>
            </w:r>
          </w:p>
        </w:tc>
      </w:tr>
    </w:tbl>
    <w:p w14:paraId="0AEDEA07"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6437B880" w14:textId="77777777" w:rsidR="00A155A2" w:rsidRPr="005263B6" w:rsidRDefault="00A155A2" w:rsidP="00A155A2">
      <w:pPr>
        <w:jc w:val="both"/>
        <w:rPr>
          <w:rFonts w:ascii="Arial" w:hAnsi="Arial" w:cs="Arial"/>
          <w:sz w:val="20"/>
          <w:szCs w:val="20"/>
        </w:rPr>
      </w:pPr>
      <w:r>
        <w:rPr>
          <w:rFonts w:ascii="Arial" w:hAnsi="Arial" w:cs="Arial"/>
          <w:sz w:val="20"/>
          <w:szCs w:val="20"/>
        </w:rPr>
        <w:lastRenderedPageBreak/>
        <w:t>P</w:t>
      </w:r>
      <w:r w:rsidRPr="005263B6">
        <w:rPr>
          <w:rFonts w:ascii="Arial" w:hAnsi="Arial" w:cs="Arial"/>
          <w:sz w:val="20"/>
          <w:szCs w:val="20"/>
        </w:rPr>
        <w:t>odatki o odpisanih davčnih obveznostih po blaga</w:t>
      </w:r>
      <w:r>
        <w:rPr>
          <w:rFonts w:ascii="Arial" w:hAnsi="Arial" w:cs="Arial"/>
          <w:sz w:val="20"/>
          <w:szCs w:val="20"/>
        </w:rPr>
        <w:t>jnah javnega financiranja so prikazani v preglednici 11.</w:t>
      </w:r>
    </w:p>
    <w:p w14:paraId="48ADFBEA" w14:textId="77777777" w:rsidR="00A155A2" w:rsidRDefault="00A155A2" w:rsidP="00A155A2">
      <w:pPr>
        <w:rPr>
          <w:rFonts w:ascii="Arial" w:hAnsi="Arial" w:cs="Arial"/>
          <w:i/>
          <w:sz w:val="20"/>
          <w:szCs w:val="20"/>
        </w:rPr>
      </w:pPr>
      <w:r w:rsidRPr="002C0730">
        <w:rPr>
          <w:rFonts w:ascii="Arial" w:hAnsi="Arial" w:cs="Arial"/>
          <w:i/>
          <w:sz w:val="20"/>
          <w:szCs w:val="20"/>
        </w:rPr>
        <w:t xml:space="preserve">Preglednica 11: Odpisi davčnih obveznosti po blagajnah javnega </w:t>
      </w:r>
      <w:r w:rsidRPr="00295FAD">
        <w:rPr>
          <w:rFonts w:ascii="Arial" w:hAnsi="Arial" w:cs="Arial"/>
          <w:i/>
          <w:sz w:val="20"/>
          <w:szCs w:val="20"/>
        </w:rPr>
        <w:t xml:space="preserve">financiranja </w:t>
      </w:r>
      <w:r>
        <w:rPr>
          <w:rFonts w:ascii="Arial" w:hAnsi="Arial" w:cs="Arial"/>
          <w:i/>
          <w:sz w:val="20"/>
          <w:szCs w:val="20"/>
        </w:rPr>
        <w:t>(</w:t>
      </w:r>
      <w:r w:rsidRPr="00295FAD">
        <w:rPr>
          <w:rFonts w:ascii="Arial" w:hAnsi="Arial" w:cs="Arial"/>
          <w:i/>
          <w:sz w:val="20"/>
          <w:szCs w:val="20"/>
        </w:rPr>
        <w:t>v EUR</w:t>
      </w:r>
      <w:r>
        <w:rPr>
          <w:rFonts w:ascii="Arial" w:hAnsi="Arial" w:cs="Arial"/>
          <w:i/>
          <w:sz w:val="20"/>
          <w:szCs w:val="20"/>
        </w:rPr>
        <w:t>)</w:t>
      </w:r>
    </w:p>
    <w:tbl>
      <w:tblPr>
        <w:tblW w:w="9217" w:type="dxa"/>
        <w:tblCellMar>
          <w:left w:w="70" w:type="dxa"/>
          <w:right w:w="70" w:type="dxa"/>
        </w:tblCellMar>
        <w:tblLook w:val="04A0" w:firstRow="1" w:lastRow="0" w:firstColumn="1" w:lastColumn="0" w:noHBand="0" w:noVBand="1"/>
      </w:tblPr>
      <w:tblGrid>
        <w:gridCol w:w="1508"/>
        <w:gridCol w:w="1376"/>
        <w:gridCol w:w="1338"/>
        <w:gridCol w:w="1414"/>
        <w:gridCol w:w="1093"/>
        <w:gridCol w:w="1263"/>
        <w:gridCol w:w="1225"/>
      </w:tblGrid>
      <w:tr w:rsidR="00A155A2" w:rsidRPr="004E3E10" w14:paraId="657A789C" w14:textId="77777777" w:rsidTr="001C77D2">
        <w:trPr>
          <w:trHeight w:val="91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60BAF"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Leto odpisa</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5E1B23F2"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 xml:space="preserve">Državni proračun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23EDFEB"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Zavod za pokojninsko in invalidsko zavarovanje</w:t>
            </w:r>
            <w:r>
              <w:rPr>
                <w:rFonts w:ascii="Arial" w:eastAsia="Times New Roman" w:hAnsi="Arial" w:cs="Arial"/>
                <w:b/>
                <w:bCs/>
                <w:i/>
                <w:iCs/>
                <w:color w:val="000000"/>
                <w:sz w:val="18"/>
                <w:szCs w:val="18"/>
                <w:lang w:eastAsia="sl-SI"/>
              </w:rPr>
              <w:t xml:space="preserve"> Slovenije</w:t>
            </w:r>
            <w:r w:rsidRPr="004E3E10">
              <w:rPr>
                <w:rFonts w:ascii="Arial" w:eastAsia="Times New Roman" w:hAnsi="Arial" w:cs="Arial"/>
                <w:b/>
                <w:bCs/>
                <w:i/>
                <w:iCs/>
                <w:color w:val="000000"/>
                <w:sz w:val="18"/>
                <w:szCs w:val="18"/>
                <w:lang w:eastAsia="sl-SI"/>
              </w:rPr>
              <w:t xml:space="preserve">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1210E84"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 xml:space="preserve">Zavod za zdravstveno zavarovanje Slovenije </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7C36B71D"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Prora</w:t>
            </w:r>
            <w:r w:rsidRPr="008E51EB">
              <w:rPr>
                <w:rFonts w:ascii="Arial" w:eastAsia="Times New Roman" w:hAnsi="Arial" w:cs="Arial"/>
                <w:b/>
                <w:bCs/>
                <w:i/>
                <w:iCs/>
                <w:color w:val="000000"/>
                <w:sz w:val="18"/>
                <w:szCs w:val="18"/>
                <w:lang w:eastAsia="sl-SI"/>
              </w:rPr>
              <w:t>čuni</w:t>
            </w:r>
            <w:r w:rsidRPr="004E3E10">
              <w:rPr>
                <w:rFonts w:ascii="Arial" w:eastAsia="Times New Roman" w:hAnsi="Arial" w:cs="Arial"/>
                <w:b/>
                <w:bCs/>
                <w:i/>
                <w:iCs/>
                <w:color w:val="000000"/>
                <w:sz w:val="18"/>
                <w:szCs w:val="18"/>
                <w:lang w:eastAsia="sl-SI"/>
              </w:rPr>
              <w:t xml:space="preserve"> občin</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5A1BD995"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Pr>
                <w:rFonts w:ascii="Arial" w:eastAsia="Times New Roman" w:hAnsi="Arial" w:cs="Arial"/>
                <w:b/>
                <w:bCs/>
                <w:i/>
                <w:iCs/>
                <w:color w:val="000000"/>
                <w:sz w:val="18"/>
                <w:szCs w:val="18"/>
                <w:lang w:eastAsia="sl-SI"/>
              </w:rPr>
              <w:t>Drug</w:t>
            </w:r>
            <w:r w:rsidRPr="004E3E10">
              <w:rPr>
                <w:rFonts w:ascii="Arial" w:eastAsia="Times New Roman" w:hAnsi="Arial" w:cs="Arial"/>
                <w:b/>
                <w:bCs/>
                <w:i/>
                <w:iCs/>
                <w:color w:val="000000"/>
                <w:sz w:val="18"/>
                <w:szCs w:val="18"/>
                <w:lang w:eastAsia="sl-SI"/>
              </w:rPr>
              <w:t>o</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79770151" w14:textId="77777777" w:rsidR="00A155A2" w:rsidRPr="004E3E10" w:rsidRDefault="00A155A2" w:rsidP="001C77D2">
            <w:pPr>
              <w:spacing w:after="0" w:line="240" w:lineRule="auto"/>
              <w:jc w:val="center"/>
              <w:rPr>
                <w:rFonts w:ascii="Arial" w:eastAsia="Times New Roman" w:hAnsi="Arial" w:cs="Arial"/>
                <w:b/>
                <w:bCs/>
                <w:i/>
                <w:iCs/>
                <w:color w:val="000000"/>
                <w:sz w:val="18"/>
                <w:szCs w:val="18"/>
                <w:lang w:eastAsia="sl-SI"/>
              </w:rPr>
            </w:pPr>
            <w:r w:rsidRPr="004E3E10">
              <w:rPr>
                <w:rFonts w:ascii="Arial" w:eastAsia="Times New Roman" w:hAnsi="Arial" w:cs="Arial"/>
                <w:b/>
                <w:bCs/>
                <w:i/>
                <w:iCs/>
                <w:color w:val="000000"/>
                <w:sz w:val="18"/>
                <w:szCs w:val="18"/>
                <w:lang w:eastAsia="sl-SI"/>
              </w:rPr>
              <w:t>SKUPAJ</w:t>
            </w:r>
          </w:p>
        </w:tc>
      </w:tr>
      <w:tr w:rsidR="00A155A2" w:rsidRPr="004E3E10" w14:paraId="2B634CAE"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2671E000"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2019</w:t>
            </w:r>
          </w:p>
        </w:tc>
        <w:tc>
          <w:tcPr>
            <w:tcW w:w="1376" w:type="dxa"/>
            <w:tcBorders>
              <w:top w:val="nil"/>
              <w:left w:val="nil"/>
              <w:bottom w:val="single" w:sz="4" w:space="0" w:color="auto"/>
              <w:right w:val="single" w:sz="4" w:space="0" w:color="auto"/>
            </w:tcBorders>
            <w:shd w:val="clear" w:color="auto" w:fill="auto"/>
            <w:vAlign w:val="center"/>
            <w:hideMark/>
          </w:tcPr>
          <w:p w14:paraId="79AB25FB"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136.113.653</w:t>
            </w:r>
          </w:p>
        </w:tc>
        <w:tc>
          <w:tcPr>
            <w:tcW w:w="1338" w:type="dxa"/>
            <w:tcBorders>
              <w:top w:val="nil"/>
              <w:left w:val="nil"/>
              <w:bottom w:val="single" w:sz="4" w:space="0" w:color="auto"/>
              <w:right w:val="single" w:sz="4" w:space="0" w:color="auto"/>
            </w:tcBorders>
            <w:shd w:val="clear" w:color="auto" w:fill="auto"/>
            <w:vAlign w:val="center"/>
            <w:hideMark/>
          </w:tcPr>
          <w:p w14:paraId="35DD010D"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32.748.637</w:t>
            </w:r>
          </w:p>
        </w:tc>
        <w:tc>
          <w:tcPr>
            <w:tcW w:w="1414" w:type="dxa"/>
            <w:tcBorders>
              <w:top w:val="nil"/>
              <w:left w:val="nil"/>
              <w:bottom w:val="single" w:sz="4" w:space="0" w:color="auto"/>
              <w:right w:val="single" w:sz="4" w:space="0" w:color="auto"/>
            </w:tcBorders>
            <w:shd w:val="clear" w:color="auto" w:fill="auto"/>
            <w:vAlign w:val="center"/>
            <w:hideMark/>
          </w:tcPr>
          <w:p w14:paraId="7A7E14BA"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16.421.408</w:t>
            </w:r>
          </w:p>
        </w:tc>
        <w:tc>
          <w:tcPr>
            <w:tcW w:w="1093" w:type="dxa"/>
            <w:tcBorders>
              <w:top w:val="nil"/>
              <w:left w:val="nil"/>
              <w:bottom w:val="single" w:sz="4" w:space="0" w:color="auto"/>
              <w:right w:val="single" w:sz="4" w:space="0" w:color="auto"/>
            </w:tcBorders>
            <w:shd w:val="clear" w:color="auto" w:fill="auto"/>
            <w:vAlign w:val="center"/>
            <w:hideMark/>
          </w:tcPr>
          <w:p w14:paraId="51EE2EF0"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3.631.575</w:t>
            </w:r>
          </w:p>
        </w:tc>
        <w:tc>
          <w:tcPr>
            <w:tcW w:w="1263" w:type="dxa"/>
            <w:tcBorders>
              <w:top w:val="nil"/>
              <w:left w:val="nil"/>
              <w:bottom w:val="single" w:sz="4" w:space="0" w:color="auto"/>
              <w:right w:val="single" w:sz="4" w:space="0" w:color="auto"/>
            </w:tcBorders>
            <w:shd w:val="clear" w:color="auto" w:fill="auto"/>
            <w:vAlign w:val="center"/>
            <w:hideMark/>
          </w:tcPr>
          <w:p w14:paraId="398B8155"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0</w:t>
            </w:r>
          </w:p>
        </w:tc>
        <w:tc>
          <w:tcPr>
            <w:tcW w:w="1225" w:type="dxa"/>
            <w:tcBorders>
              <w:top w:val="nil"/>
              <w:left w:val="nil"/>
              <w:bottom w:val="single" w:sz="4" w:space="0" w:color="auto"/>
              <w:right w:val="single" w:sz="4" w:space="0" w:color="auto"/>
            </w:tcBorders>
            <w:shd w:val="clear" w:color="auto" w:fill="auto"/>
            <w:vAlign w:val="center"/>
            <w:hideMark/>
          </w:tcPr>
          <w:p w14:paraId="37ED730B"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188.915.274</w:t>
            </w:r>
          </w:p>
        </w:tc>
      </w:tr>
      <w:tr w:rsidR="00A155A2" w:rsidRPr="004E3E10" w14:paraId="71F5C51C"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vAlign w:val="center"/>
            <w:hideMark/>
          </w:tcPr>
          <w:p w14:paraId="1B818754"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2020</w:t>
            </w:r>
          </w:p>
        </w:tc>
        <w:tc>
          <w:tcPr>
            <w:tcW w:w="1376" w:type="dxa"/>
            <w:tcBorders>
              <w:top w:val="nil"/>
              <w:left w:val="nil"/>
              <w:bottom w:val="single" w:sz="4" w:space="0" w:color="auto"/>
              <w:right w:val="single" w:sz="4" w:space="0" w:color="auto"/>
            </w:tcBorders>
            <w:shd w:val="clear" w:color="auto" w:fill="auto"/>
            <w:vAlign w:val="center"/>
            <w:hideMark/>
          </w:tcPr>
          <w:p w14:paraId="53316C5E"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168.617.302</w:t>
            </w:r>
          </w:p>
        </w:tc>
        <w:tc>
          <w:tcPr>
            <w:tcW w:w="1338" w:type="dxa"/>
            <w:tcBorders>
              <w:top w:val="nil"/>
              <w:left w:val="nil"/>
              <w:bottom w:val="single" w:sz="4" w:space="0" w:color="auto"/>
              <w:right w:val="single" w:sz="4" w:space="0" w:color="auto"/>
            </w:tcBorders>
            <w:shd w:val="clear" w:color="auto" w:fill="auto"/>
            <w:vAlign w:val="center"/>
            <w:hideMark/>
          </w:tcPr>
          <w:p w14:paraId="2A173D99"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25.398.543</w:t>
            </w:r>
          </w:p>
        </w:tc>
        <w:tc>
          <w:tcPr>
            <w:tcW w:w="1414" w:type="dxa"/>
            <w:tcBorders>
              <w:top w:val="nil"/>
              <w:left w:val="nil"/>
              <w:bottom w:val="single" w:sz="4" w:space="0" w:color="auto"/>
              <w:right w:val="single" w:sz="4" w:space="0" w:color="auto"/>
            </w:tcBorders>
            <w:shd w:val="clear" w:color="auto" w:fill="auto"/>
            <w:vAlign w:val="center"/>
            <w:hideMark/>
          </w:tcPr>
          <w:p w14:paraId="58A2DC30"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12.666.562</w:t>
            </w:r>
          </w:p>
        </w:tc>
        <w:tc>
          <w:tcPr>
            <w:tcW w:w="1093" w:type="dxa"/>
            <w:tcBorders>
              <w:top w:val="nil"/>
              <w:left w:val="nil"/>
              <w:bottom w:val="single" w:sz="4" w:space="0" w:color="auto"/>
              <w:right w:val="single" w:sz="4" w:space="0" w:color="auto"/>
            </w:tcBorders>
            <w:shd w:val="clear" w:color="auto" w:fill="auto"/>
            <w:vAlign w:val="center"/>
            <w:hideMark/>
          </w:tcPr>
          <w:p w14:paraId="7AE613D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3.012.426</w:t>
            </w:r>
          </w:p>
        </w:tc>
        <w:tc>
          <w:tcPr>
            <w:tcW w:w="1263" w:type="dxa"/>
            <w:tcBorders>
              <w:top w:val="nil"/>
              <w:left w:val="nil"/>
              <w:bottom w:val="single" w:sz="4" w:space="0" w:color="auto"/>
              <w:right w:val="single" w:sz="4" w:space="0" w:color="auto"/>
            </w:tcBorders>
            <w:shd w:val="clear" w:color="auto" w:fill="auto"/>
            <w:vAlign w:val="center"/>
            <w:hideMark/>
          </w:tcPr>
          <w:p w14:paraId="67935F31"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0</w:t>
            </w:r>
          </w:p>
        </w:tc>
        <w:tc>
          <w:tcPr>
            <w:tcW w:w="1225" w:type="dxa"/>
            <w:tcBorders>
              <w:top w:val="nil"/>
              <w:left w:val="nil"/>
              <w:bottom w:val="single" w:sz="4" w:space="0" w:color="auto"/>
              <w:right w:val="single" w:sz="4" w:space="0" w:color="auto"/>
            </w:tcBorders>
            <w:shd w:val="clear" w:color="auto" w:fill="auto"/>
            <w:vAlign w:val="center"/>
            <w:hideMark/>
          </w:tcPr>
          <w:p w14:paraId="1BB7B70A"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209.694.833</w:t>
            </w:r>
          </w:p>
        </w:tc>
      </w:tr>
      <w:tr w:rsidR="00A155A2" w:rsidRPr="004E3E10" w14:paraId="4B13867E"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7C97B223"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2021</w:t>
            </w:r>
          </w:p>
        </w:tc>
        <w:tc>
          <w:tcPr>
            <w:tcW w:w="1376" w:type="dxa"/>
            <w:tcBorders>
              <w:top w:val="nil"/>
              <w:left w:val="nil"/>
              <w:bottom w:val="single" w:sz="4" w:space="0" w:color="auto"/>
              <w:right w:val="single" w:sz="4" w:space="0" w:color="auto"/>
            </w:tcBorders>
            <w:shd w:val="clear" w:color="auto" w:fill="auto"/>
            <w:vAlign w:val="center"/>
            <w:hideMark/>
          </w:tcPr>
          <w:p w14:paraId="6299E95D"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141.284.904</w:t>
            </w:r>
          </w:p>
        </w:tc>
        <w:tc>
          <w:tcPr>
            <w:tcW w:w="1338" w:type="dxa"/>
            <w:tcBorders>
              <w:top w:val="nil"/>
              <w:left w:val="nil"/>
              <w:bottom w:val="single" w:sz="4" w:space="0" w:color="auto"/>
              <w:right w:val="single" w:sz="4" w:space="0" w:color="auto"/>
            </w:tcBorders>
            <w:shd w:val="clear" w:color="auto" w:fill="auto"/>
            <w:vAlign w:val="center"/>
            <w:hideMark/>
          </w:tcPr>
          <w:p w14:paraId="459A905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23.600.155</w:t>
            </w:r>
          </w:p>
        </w:tc>
        <w:tc>
          <w:tcPr>
            <w:tcW w:w="1414" w:type="dxa"/>
            <w:tcBorders>
              <w:top w:val="nil"/>
              <w:left w:val="nil"/>
              <w:bottom w:val="single" w:sz="4" w:space="0" w:color="auto"/>
              <w:right w:val="single" w:sz="4" w:space="0" w:color="auto"/>
            </w:tcBorders>
            <w:shd w:val="clear" w:color="auto" w:fill="auto"/>
            <w:vAlign w:val="center"/>
            <w:hideMark/>
          </w:tcPr>
          <w:p w14:paraId="55A04799"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11.772.464</w:t>
            </w:r>
          </w:p>
        </w:tc>
        <w:tc>
          <w:tcPr>
            <w:tcW w:w="1093" w:type="dxa"/>
            <w:tcBorders>
              <w:top w:val="nil"/>
              <w:left w:val="nil"/>
              <w:bottom w:val="single" w:sz="4" w:space="0" w:color="auto"/>
              <w:right w:val="single" w:sz="4" w:space="0" w:color="auto"/>
            </w:tcBorders>
            <w:shd w:val="clear" w:color="auto" w:fill="auto"/>
            <w:vAlign w:val="center"/>
            <w:hideMark/>
          </w:tcPr>
          <w:p w14:paraId="00E7AB4D"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3.973.309</w:t>
            </w:r>
          </w:p>
        </w:tc>
        <w:tc>
          <w:tcPr>
            <w:tcW w:w="1263" w:type="dxa"/>
            <w:tcBorders>
              <w:top w:val="nil"/>
              <w:left w:val="nil"/>
              <w:bottom w:val="single" w:sz="4" w:space="0" w:color="auto"/>
              <w:right w:val="single" w:sz="4" w:space="0" w:color="auto"/>
            </w:tcBorders>
            <w:shd w:val="clear" w:color="auto" w:fill="auto"/>
            <w:vAlign w:val="center"/>
            <w:hideMark/>
          </w:tcPr>
          <w:p w14:paraId="52A35FF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3.586</w:t>
            </w:r>
          </w:p>
        </w:tc>
        <w:tc>
          <w:tcPr>
            <w:tcW w:w="1225" w:type="dxa"/>
            <w:tcBorders>
              <w:top w:val="nil"/>
              <w:left w:val="nil"/>
              <w:bottom w:val="single" w:sz="4" w:space="0" w:color="auto"/>
              <w:right w:val="single" w:sz="4" w:space="0" w:color="auto"/>
            </w:tcBorders>
            <w:shd w:val="clear" w:color="auto" w:fill="auto"/>
            <w:vAlign w:val="center"/>
            <w:hideMark/>
          </w:tcPr>
          <w:p w14:paraId="60A5935F"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180.634.418</w:t>
            </w:r>
          </w:p>
        </w:tc>
      </w:tr>
      <w:tr w:rsidR="00A155A2" w:rsidRPr="004E3E10" w14:paraId="67E3946B"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471B6797"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2022</w:t>
            </w:r>
          </w:p>
        </w:tc>
        <w:tc>
          <w:tcPr>
            <w:tcW w:w="1376" w:type="dxa"/>
            <w:tcBorders>
              <w:top w:val="nil"/>
              <w:left w:val="nil"/>
              <w:bottom w:val="single" w:sz="4" w:space="0" w:color="auto"/>
              <w:right w:val="single" w:sz="4" w:space="0" w:color="auto"/>
            </w:tcBorders>
            <w:shd w:val="clear" w:color="auto" w:fill="auto"/>
            <w:vAlign w:val="center"/>
            <w:hideMark/>
          </w:tcPr>
          <w:p w14:paraId="0161E134"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108.099.962</w:t>
            </w:r>
          </w:p>
        </w:tc>
        <w:tc>
          <w:tcPr>
            <w:tcW w:w="1338" w:type="dxa"/>
            <w:tcBorders>
              <w:top w:val="nil"/>
              <w:left w:val="nil"/>
              <w:bottom w:val="single" w:sz="4" w:space="0" w:color="auto"/>
              <w:right w:val="single" w:sz="4" w:space="0" w:color="auto"/>
            </w:tcBorders>
            <w:shd w:val="clear" w:color="auto" w:fill="auto"/>
            <w:vAlign w:val="center"/>
            <w:hideMark/>
          </w:tcPr>
          <w:p w14:paraId="23093719"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22.154.237</w:t>
            </w:r>
          </w:p>
        </w:tc>
        <w:tc>
          <w:tcPr>
            <w:tcW w:w="1414" w:type="dxa"/>
            <w:tcBorders>
              <w:top w:val="nil"/>
              <w:left w:val="nil"/>
              <w:bottom w:val="single" w:sz="4" w:space="0" w:color="auto"/>
              <w:right w:val="single" w:sz="4" w:space="0" w:color="auto"/>
            </w:tcBorders>
            <w:shd w:val="clear" w:color="auto" w:fill="auto"/>
            <w:vAlign w:val="center"/>
            <w:hideMark/>
          </w:tcPr>
          <w:p w14:paraId="33937E3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10.628.648</w:t>
            </w:r>
          </w:p>
        </w:tc>
        <w:tc>
          <w:tcPr>
            <w:tcW w:w="1093" w:type="dxa"/>
            <w:tcBorders>
              <w:top w:val="nil"/>
              <w:left w:val="nil"/>
              <w:bottom w:val="single" w:sz="4" w:space="0" w:color="auto"/>
              <w:right w:val="single" w:sz="4" w:space="0" w:color="auto"/>
            </w:tcBorders>
            <w:shd w:val="clear" w:color="auto" w:fill="auto"/>
            <w:vAlign w:val="center"/>
            <w:hideMark/>
          </w:tcPr>
          <w:p w14:paraId="3C5D076A"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3.234.080</w:t>
            </w:r>
          </w:p>
        </w:tc>
        <w:tc>
          <w:tcPr>
            <w:tcW w:w="1263" w:type="dxa"/>
            <w:tcBorders>
              <w:top w:val="nil"/>
              <w:left w:val="nil"/>
              <w:bottom w:val="single" w:sz="4" w:space="0" w:color="auto"/>
              <w:right w:val="single" w:sz="4" w:space="0" w:color="auto"/>
            </w:tcBorders>
            <w:shd w:val="clear" w:color="auto" w:fill="auto"/>
            <w:vAlign w:val="center"/>
            <w:hideMark/>
          </w:tcPr>
          <w:p w14:paraId="57F23507"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526.613</w:t>
            </w:r>
          </w:p>
        </w:tc>
        <w:tc>
          <w:tcPr>
            <w:tcW w:w="1225" w:type="dxa"/>
            <w:tcBorders>
              <w:top w:val="nil"/>
              <w:left w:val="nil"/>
              <w:bottom w:val="single" w:sz="4" w:space="0" w:color="auto"/>
              <w:right w:val="single" w:sz="4" w:space="0" w:color="auto"/>
            </w:tcBorders>
            <w:shd w:val="clear" w:color="auto" w:fill="auto"/>
            <w:vAlign w:val="center"/>
            <w:hideMark/>
          </w:tcPr>
          <w:p w14:paraId="01E922AA"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144.643.540</w:t>
            </w:r>
          </w:p>
        </w:tc>
      </w:tr>
      <w:tr w:rsidR="00A155A2" w:rsidRPr="004E3E10" w14:paraId="4E2046E3"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20C1C3B6"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2023</w:t>
            </w:r>
          </w:p>
        </w:tc>
        <w:tc>
          <w:tcPr>
            <w:tcW w:w="1376" w:type="dxa"/>
            <w:tcBorders>
              <w:top w:val="nil"/>
              <w:left w:val="nil"/>
              <w:bottom w:val="single" w:sz="4" w:space="0" w:color="auto"/>
              <w:right w:val="single" w:sz="4" w:space="0" w:color="auto"/>
            </w:tcBorders>
            <w:shd w:val="clear" w:color="000000" w:fill="FFFFFF"/>
            <w:vAlign w:val="center"/>
            <w:hideMark/>
          </w:tcPr>
          <w:p w14:paraId="447DEABE"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131.275.830</w:t>
            </w:r>
          </w:p>
        </w:tc>
        <w:tc>
          <w:tcPr>
            <w:tcW w:w="1338" w:type="dxa"/>
            <w:tcBorders>
              <w:top w:val="nil"/>
              <w:left w:val="nil"/>
              <w:bottom w:val="single" w:sz="4" w:space="0" w:color="auto"/>
              <w:right w:val="single" w:sz="4" w:space="0" w:color="auto"/>
            </w:tcBorders>
            <w:shd w:val="clear" w:color="000000" w:fill="FFFFFF"/>
            <w:vAlign w:val="center"/>
            <w:hideMark/>
          </w:tcPr>
          <w:p w14:paraId="2DA35BC2"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29.465.952</w:t>
            </w:r>
          </w:p>
        </w:tc>
        <w:tc>
          <w:tcPr>
            <w:tcW w:w="1414" w:type="dxa"/>
            <w:tcBorders>
              <w:top w:val="nil"/>
              <w:left w:val="nil"/>
              <w:bottom w:val="single" w:sz="4" w:space="0" w:color="auto"/>
              <w:right w:val="single" w:sz="4" w:space="0" w:color="auto"/>
            </w:tcBorders>
            <w:shd w:val="clear" w:color="000000" w:fill="FFFFFF"/>
            <w:vAlign w:val="center"/>
            <w:hideMark/>
          </w:tcPr>
          <w:p w14:paraId="6F03E80E"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13.001.388</w:t>
            </w:r>
          </w:p>
        </w:tc>
        <w:tc>
          <w:tcPr>
            <w:tcW w:w="1093" w:type="dxa"/>
            <w:tcBorders>
              <w:top w:val="nil"/>
              <w:left w:val="nil"/>
              <w:bottom w:val="single" w:sz="4" w:space="0" w:color="auto"/>
              <w:right w:val="single" w:sz="4" w:space="0" w:color="auto"/>
            </w:tcBorders>
            <w:shd w:val="clear" w:color="000000" w:fill="FFFFFF"/>
            <w:vAlign w:val="center"/>
            <w:hideMark/>
          </w:tcPr>
          <w:p w14:paraId="03EA6557"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2.769.302</w:t>
            </w:r>
          </w:p>
        </w:tc>
        <w:tc>
          <w:tcPr>
            <w:tcW w:w="1263" w:type="dxa"/>
            <w:tcBorders>
              <w:top w:val="nil"/>
              <w:left w:val="nil"/>
              <w:bottom w:val="single" w:sz="4" w:space="0" w:color="auto"/>
              <w:right w:val="single" w:sz="4" w:space="0" w:color="auto"/>
            </w:tcBorders>
            <w:shd w:val="clear" w:color="000000" w:fill="FFFFFF"/>
            <w:vAlign w:val="center"/>
            <w:hideMark/>
          </w:tcPr>
          <w:p w14:paraId="523E5EA5"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2.195.323</w:t>
            </w:r>
          </w:p>
        </w:tc>
        <w:tc>
          <w:tcPr>
            <w:tcW w:w="1225" w:type="dxa"/>
            <w:tcBorders>
              <w:top w:val="nil"/>
              <w:left w:val="nil"/>
              <w:bottom w:val="single" w:sz="4" w:space="0" w:color="auto"/>
              <w:right w:val="single" w:sz="4" w:space="0" w:color="auto"/>
            </w:tcBorders>
            <w:shd w:val="clear" w:color="auto" w:fill="auto"/>
            <w:vAlign w:val="center"/>
            <w:hideMark/>
          </w:tcPr>
          <w:p w14:paraId="3DC1C7F1"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178.707.795</w:t>
            </w:r>
          </w:p>
        </w:tc>
      </w:tr>
      <w:tr w:rsidR="00A155A2" w:rsidRPr="004E3E10" w14:paraId="2EE2C130" w14:textId="77777777" w:rsidTr="001C77D2">
        <w:trPr>
          <w:trHeight w:val="267"/>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474C403E" w14:textId="77777777" w:rsidR="00A155A2" w:rsidRPr="004E3E10" w:rsidRDefault="00A155A2" w:rsidP="001C77D2">
            <w:pPr>
              <w:spacing w:after="0" w:line="240" w:lineRule="auto"/>
              <w:jc w:val="center"/>
              <w:rPr>
                <w:rFonts w:ascii="Arial" w:eastAsia="Times New Roman" w:hAnsi="Arial" w:cs="Arial"/>
                <w:b/>
                <w:bCs/>
                <w:sz w:val="18"/>
                <w:szCs w:val="18"/>
                <w:lang w:eastAsia="sl-SI"/>
              </w:rPr>
            </w:pPr>
            <w:r w:rsidRPr="004E3E10">
              <w:rPr>
                <w:rFonts w:ascii="Arial" w:eastAsia="Times New Roman" w:hAnsi="Arial" w:cs="Arial"/>
                <w:b/>
                <w:bCs/>
                <w:sz w:val="18"/>
                <w:szCs w:val="18"/>
                <w:lang w:eastAsia="sl-SI"/>
              </w:rPr>
              <w:t>2024</w:t>
            </w:r>
          </w:p>
        </w:tc>
        <w:tc>
          <w:tcPr>
            <w:tcW w:w="1376" w:type="dxa"/>
            <w:tcBorders>
              <w:top w:val="nil"/>
              <w:left w:val="nil"/>
              <w:bottom w:val="single" w:sz="4" w:space="0" w:color="auto"/>
              <w:right w:val="single" w:sz="4" w:space="0" w:color="auto"/>
            </w:tcBorders>
            <w:shd w:val="clear" w:color="000000" w:fill="FFFFFF"/>
            <w:vAlign w:val="center"/>
            <w:hideMark/>
          </w:tcPr>
          <w:p w14:paraId="534952D4"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84.006.406</w:t>
            </w:r>
          </w:p>
        </w:tc>
        <w:tc>
          <w:tcPr>
            <w:tcW w:w="1338" w:type="dxa"/>
            <w:tcBorders>
              <w:top w:val="nil"/>
              <w:left w:val="nil"/>
              <w:bottom w:val="single" w:sz="4" w:space="0" w:color="auto"/>
              <w:right w:val="single" w:sz="4" w:space="0" w:color="auto"/>
            </w:tcBorders>
            <w:shd w:val="clear" w:color="000000" w:fill="FFFFFF"/>
            <w:vAlign w:val="center"/>
            <w:hideMark/>
          </w:tcPr>
          <w:p w14:paraId="3EFB73B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16.496.658</w:t>
            </w:r>
          </w:p>
        </w:tc>
        <w:tc>
          <w:tcPr>
            <w:tcW w:w="1414" w:type="dxa"/>
            <w:tcBorders>
              <w:top w:val="nil"/>
              <w:left w:val="nil"/>
              <w:bottom w:val="single" w:sz="4" w:space="0" w:color="auto"/>
              <w:right w:val="single" w:sz="4" w:space="0" w:color="auto"/>
            </w:tcBorders>
            <w:shd w:val="clear" w:color="000000" w:fill="FFFFFF"/>
            <w:vAlign w:val="center"/>
            <w:hideMark/>
          </w:tcPr>
          <w:p w14:paraId="4F93387A"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8.472.685</w:t>
            </w:r>
          </w:p>
        </w:tc>
        <w:tc>
          <w:tcPr>
            <w:tcW w:w="1093" w:type="dxa"/>
            <w:tcBorders>
              <w:top w:val="nil"/>
              <w:left w:val="nil"/>
              <w:bottom w:val="single" w:sz="4" w:space="0" w:color="auto"/>
              <w:right w:val="single" w:sz="4" w:space="0" w:color="auto"/>
            </w:tcBorders>
            <w:shd w:val="clear" w:color="000000" w:fill="FFFFFF"/>
            <w:vAlign w:val="center"/>
            <w:hideMark/>
          </w:tcPr>
          <w:p w14:paraId="5DEA89F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1.965.722</w:t>
            </w:r>
          </w:p>
        </w:tc>
        <w:tc>
          <w:tcPr>
            <w:tcW w:w="1263" w:type="dxa"/>
            <w:tcBorders>
              <w:top w:val="nil"/>
              <w:left w:val="nil"/>
              <w:bottom w:val="single" w:sz="4" w:space="0" w:color="auto"/>
              <w:right w:val="single" w:sz="4" w:space="0" w:color="auto"/>
            </w:tcBorders>
            <w:shd w:val="clear" w:color="000000" w:fill="FFFFFF"/>
            <w:vAlign w:val="center"/>
            <w:hideMark/>
          </w:tcPr>
          <w:p w14:paraId="09BBCD48" w14:textId="77777777" w:rsidR="00A155A2" w:rsidRPr="004E3E10" w:rsidRDefault="00A155A2" w:rsidP="001C77D2">
            <w:pPr>
              <w:spacing w:after="0" w:line="240" w:lineRule="auto"/>
              <w:jc w:val="center"/>
              <w:rPr>
                <w:rFonts w:ascii="Arial" w:eastAsia="Times New Roman" w:hAnsi="Arial" w:cs="Arial"/>
                <w:color w:val="000000"/>
                <w:sz w:val="18"/>
                <w:szCs w:val="18"/>
                <w:lang w:eastAsia="sl-SI"/>
              </w:rPr>
            </w:pPr>
            <w:r w:rsidRPr="004E3E10">
              <w:rPr>
                <w:rFonts w:ascii="Arial" w:eastAsia="Times New Roman" w:hAnsi="Arial" w:cs="Arial"/>
                <w:color w:val="000000"/>
                <w:sz w:val="18"/>
                <w:szCs w:val="18"/>
                <w:lang w:eastAsia="sl-SI"/>
              </w:rPr>
              <w:t>60</w:t>
            </w:r>
          </w:p>
        </w:tc>
        <w:tc>
          <w:tcPr>
            <w:tcW w:w="1225" w:type="dxa"/>
            <w:tcBorders>
              <w:top w:val="nil"/>
              <w:left w:val="nil"/>
              <w:bottom w:val="single" w:sz="4" w:space="0" w:color="auto"/>
              <w:right w:val="single" w:sz="4" w:space="0" w:color="auto"/>
            </w:tcBorders>
            <w:shd w:val="clear" w:color="auto" w:fill="auto"/>
            <w:vAlign w:val="center"/>
            <w:hideMark/>
          </w:tcPr>
          <w:p w14:paraId="04BF0300" w14:textId="77777777" w:rsidR="00A155A2" w:rsidRPr="004E3E10" w:rsidRDefault="00A155A2" w:rsidP="001C77D2">
            <w:pPr>
              <w:spacing w:after="0" w:line="240" w:lineRule="auto"/>
              <w:jc w:val="center"/>
              <w:rPr>
                <w:rFonts w:ascii="Arial" w:eastAsia="Times New Roman" w:hAnsi="Arial" w:cs="Arial"/>
                <w:b/>
                <w:bCs/>
                <w:color w:val="000000"/>
                <w:sz w:val="18"/>
                <w:szCs w:val="18"/>
                <w:lang w:eastAsia="sl-SI"/>
              </w:rPr>
            </w:pPr>
            <w:r w:rsidRPr="004E3E10">
              <w:rPr>
                <w:rFonts w:ascii="Arial" w:eastAsia="Times New Roman" w:hAnsi="Arial" w:cs="Arial"/>
                <w:b/>
                <w:bCs/>
                <w:color w:val="000000"/>
                <w:sz w:val="18"/>
                <w:szCs w:val="18"/>
                <w:lang w:eastAsia="sl-SI"/>
              </w:rPr>
              <w:t>110.941.531</w:t>
            </w:r>
          </w:p>
        </w:tc>
      </w:tr>
    </w:tbl>
    <w:p w14:paraId="4C1A0C07" w14:textId="77777777" w:rsidR="00A155A2" w:rsidRDefault="00A155A2" w:rsidP="00A155A2">
      <w:pPr>
        <w:rPr>
          <w:rFonts w:ascii="Arial" w:hAnsi="Arial" w:cs="Arial"/>
          <w:i/>
          <w:sz w:val="20"/>
          <w:szCs w:val="20"/>
        </w:rPr>
      </w:pPr>
      <w:r w:rsidRPr="00534703">
        <w:rPr>
          <w:rFonts w:ascii="Arial" w:hAnsi="Arial" w:cs="Arial"/>
          <w:i/>
          <w:sz w:val="20"/>
          <w:szCs w:val="20"/>
        </w:rPr>
        <w:t>Vir: FURS</w:t>
      </w:r>
    </w:p>
    <w:p w14:paraId="1E4C4E39" w14:textId="77777777" w:rsidR="00A155A2" w:rsidRDefault="00A155A2" w:rsidP="00A155A2">
      <w:pPr>
        <w:rPr>
          <w:rFonts w:ascii="Arial" w:hAnsi="Arial" w:cs="Arial"/>
          <w:b/>
        </w:rPr>
      </w:pPr>
      <w:r w:rsidRPr="004B59CA">
        <w:rPr>
          <w:rFonts w:ascii="Arial" w:hAnsi="Arial" w:cs="Arial"/>
          <w:b/>
        </w:rPr>
        <w:t xml:space="preserve">5      </w:t>
      </w:r>
      <w:bookmarkStart w:id="15" w:name="_Hlk193274426"/>
      <w:bookmarkStart w:id="16" w:name="_Hlk99717015"/>
      <w:r w:rsidRPr="004B59CA">
        <w:rPr>
          <w:rFonts w:ascii="Arial" w:hAnsi="Arial" w:cs="Arial"/>
          <w:b/>
        </w:rPr>
        <w:t>Plačilne ugodnosti</w:t>
      </w:r>
      <w:r w:rsidRPr="00163E99">
        <w:rPr>
          <w:rFonts w:ascii="Arial" w:hAnsi="Arial" w:cs="Arial"/>
          <w:b/>
        </w:rPr>
        <w:t xml:space="preserve"> </w:t>
      </w:r>
    </w:p>
    <w:p w14:paraId="7061A6D6" w14:textId="77777777" w:rsidR="00A155A2" w:rsidRDefault="00A155A2" w:rsidP="00A155A2">
      <w:pPr>
        <w:pStyle w:val="FURSNavaden"/>
        <w:spacing w:line="276" w:lineRule="auto"/>
        <w:rPr>
          <w:rFonts w:cs="Arial"/>
          <w:szCs w:val="20"/>
          <w:lang w:eastAsia="en-US"/>
        </w:rPr>
      </w:pPr>
      <w:r w:rsidRPr="006C6CC5">
        <w:rPr>
          <w:rFonts w:cs="Arial"/>
          <w:szCs w:val="20"/>
          <w:lang w:eastAsia="en-US"/>
        </w:rPr>
        <w:t xml:space="preserve">Odobritev plačilnih ugodnosti ima zaradi </w:t>
      </w:r>
      <w:r>
        <w:rPr>
          <w:rFonts w:cs="Arial"/>
          <w:szCs w:val="20"/>
          <w:lang w:eastAsia="en-US"/>
        </w:rPr>
        <w:t>preložitve</w:t>
      </w:r>
      <w:r w:rsidRPr="006C6CC5">
        <w:rPr>
          <w:rFonts w:cs="Arial"/>
          <w:szCs w:val="20"/>
          <w:lang w:eastAsia="en-US"/>
        </w:rPr>
        <w:t xml:space="preserve"> roka zapadlosti posredno vpliv na davčni dolg. Zavezanci, ki s</w:t>
      </w:r>
      <w:r>
        <w:rPr>
          <w:rFonts w:cs="Arial"/>
          <w:szCs w:val="20"/>
          <w:lang w:eastAsia="en-US"/>
        </w:rPr>
        <w:t>o</w:t>
      </w:r>
      <w:r w:rsidRPr="006C6CC5">
        <w:rPr>
          <w:rFonts w:cs="Arial"/>
          <w:szCs w:val="20"/>
          <w:lang w:eastAsia="en-US"/>
        </w:rPr>
        <w:t xml:space="preserve"> v finančni stiski, imajo v skladu z zakonodajo pravico do obročnega </w:t>
      </w:r>
      <w:r>
        <w:rPr>
          <w:rFonts w:cs="Arial"/>
          <w:szCs w:val="20"/>
          <w:lang w:eastAsia="en-US"/>
        </w:rPr>
        <w:t>plačila</w:t>
      </w:r>
      <w:r w:rsidRPr="006C6CC5">
        <w:rPr>
          <w:rFonts w:cs="Arial"/>
          <w:szCs w:val="20"/>
          <w:lang w:eastAsia="en-US"/>
        </w:rPr>
        <w:t>, odloga ali celo odpisa davka.</w:t>
      </w:r>
    </w:p>
    <w:p w14:paraId="6D4A608B" w14:textId="77777777" w:rsidR="00A155A2" w:rsidRPr="00C272D5" w:rsidRDefault="00A155A2" w:rsidP="00A155A2">
      <w:pPr>
        <w:pStyle w:val="FURSNavaden"/>
        <w:spacing w:line="276" w:lineRule="auto"/>
        <w:rPr>
          <w:rFonts w:cs="Arial"/>
          <w:szCs w:val="20"/>
          <w:lang w:eastAsia="en-US"/>
        </w:rPr>
      </w:pPr>
    </w:p>
    <w:p w14:paraId="596697A0" w14:textId="77777777" w:rsidR="00A155A2" w:rsidRDefault="00A155A2" w:rsidP="00A155A2">
      <w:pPr>
        <w:pStyle w:val="FURSNavaden"/>
        <w:spacing w:line="276" w:lineRule="auto"/>
      </w:pPr>
      <w:r w:rsidRPr="00843477">
        <w:t>Institut odloga oziroma obročnega plačevanja davka je urejen v 101., 102., 103., 104. in 110. členu ZDavP-2, podrobnejš</w:t>
      </w:r>
      <w:r>
        <w:t>a merila</w:t>
      </w:r>
      <w:r w:rsidRPr="00843477">
        <w:t xml:space="preserve"> pa določa Pravilnik o izvajanju Zakona o davčnem postopku</w:t>
      </w:r>
      <w:r>
        <w:t>.</w:t>
      </w:r>
      <w:r>
        <w:rPr>
          <w:rStyle w:val="Sprotnaopomba-sklic"/>
          <w:rFonts w:cs="Arial"/>
          <w:szCs w:val="20"/>
        </w:rPr>
        <w:footnoteReference w:id="11"/>
      </w:r>
    </w:p>
    <w:p w14:paraId="4FD3BAF4" w14:textId="77777777" w:rsidR="00A155A2" w:rsidRDefault="00A155A2" w:rsidP="00A155A2">
      <w:pPr>
        <w:pStyle w:val="FURSNavaden"/>
        <w:spacing w:line="276" w:lineRule="auto"/>
      </w:pPr>
    </w:p>
    <w:p w14:paraId="08B7F6B7" w14:textId="77777777" w:rsidR="00A155A2" w:rsidRPr="00843477" w:rsidRDefault="00A155A2" w:rsidP="00A155A2">
      <w:pPr>
        <w:pStyle w:val="FURSNavaden"/>
        <w:spacing w:line="276" w:lineRule="auto"/>
      </w:pPr>
      <w:r w:rsidRPr="00843477">
        <w:t>F</w:t>
      </w:r>
      <w:r>
        <w:t>U</w:t>
      </w:r>
      <w:r w:rsidRPr="00843477">
        <w:t xml:space="preserve">RS lahko fizičnim osebam na podlagi 101. člena ZDavP-2 dovoli odpis, delni odpis </w:t>
      </w:r>
      <w:r>
        <w:t>ali</w:t>
      </w:r>
      <w:r w:rsidRPr="00843477">
        <w:t xml:space="preserve"> odlog plačila</w:t>
      </w:r>
      <w:r>
        <w:rPr>
          <w:rStyle w:val="Sprotnaopomba-sklic"/>
        </w:rPr>
        <w:footnoteReference w:id="12"/>
      </w:r>
      <w:r w:rsidRPr="00843477">
        <w:t xml:space="preserve"> davka za do dve let</w:t>
      </w:r>
      <w:r>
        <w:t>i</w:t>
      </w:r>
      <w:r w:rsidRPr="00843477">
        <w:t xml:space="preserve"> </w:t>
      </w:r>
      <w:r>
        <w:t>ali</w:t>
      </w:r>
      <w:r w:rsidRPr="00843477">
        <w:t xml:space="preserve"> dovoli plačilo davka v največ 24 mesečnih obrokih v obdobju 24 mesecev, če bi </w:t>
      </w:r>
      <w:r>
        <w:t>bilo</w:t>
      </w:r>
      <w:r w:rsidRPr="00843477">
        <w:t xml:space="preserve"> </w:t>
      </w:r>
      <w:r>
        <w:t>zaradi</w:t>
      </w:r>
      <w:r w:rsidRPr="00843477">
        <w:t xml:space="preserve"> plačil</w:t>
      </w:r>
      <w:r>
        <w:t>a</w:t>
      </w:r>
      <w:r w:rsidRPr="00843477">
        <w:t xml:space="preserve"> davčne obveznosti lahko ogro</w:t>
      </w:r>
      <w:r>
        <w:t>ženo</w:t>
      </w:r>
      <w:r w:rsidRPr="00843477">
        <w:t xml:space="preserve"> preživljanje davčnega zavezanca in njegovih družinskih članov. </w:t>
      </w:r>
    </w:p>
    <w:p w14:paraId="14807651" w14:textId="77777777" w:rsidR="00A155A2" w:rsidRDefault="00A155A2" w:rsidP="00A155A2">
      <w:pPr>
        <w:pStyle w:val="FURSNavaden"/>
        <w:spacing w:line="276" w:lineRule="auto"/>
        <w:rPr>
          <w:rFonts w:cs="Arial"/>
          <w:szCs w:val="20"/>
        </w:rPr>
      </w:pPr>
    </w:p>
    <w:p w14:paraId="1F47BEDF" w14:textId="77777777" w:rsidR="00A155A2" w:rsidRDefault="00A155A2" w:rsidP="00A155A2">
      <w:pPr>
        <w:pStyle w:val="FURSNavaden"/>
        <w:spacing w:line="276" w:lineRule="auto"/>
        <w:rPr>
          <w:rFonts w:cs="Arial"/>
          <w:szCs w:val="20"/>
        </w:rPr>
      </w:pPr>
      <w:r w:rsidRPr="00843477">
        <w:rPr>
          <w:rFonts w:cs="Arial"/>
          <w:szCs w:val="20"/>
        </w:rPr>
        <w:t xml:space="preserve">V skladu s 102. členom ZDavP-2 se poslovnim subjektom lahko </w:t>
      </w:r>
      <w:r>
        <w:rPr>
          <w:rFonts w:cs="Arial"/>
          <w:szCs w:val="20"/>
        </w:rPr>
        <w:t>dovoli</w:t>
      </w:r>
      <w:r w:rsidRPr="00843477">
        <w:rPr>
          <w:rFonts w:cs="Arial"/>
          <w:szCs w:val="20"/>
        </w:rPr>
        <w:t xml:space="preserve"> odlog plačila davka za največ 24 mesecev</w:t>
      </w:r>
      <w:r>
        <w:rPr>
          <w:rStyle w:val="Sprotnaopomba-sklic"/>
          <w:rFonts w:cs="Arial"/>
          <w:szCs w:val="20"/>
        </w:rPr>
        <w:footnoteReference w:id="13"/>
      </w:r>
      <w:r w:rsidRPr="00843477">
        <w:rPr>
          <w:rFonts w:cs="Arial"/>
          <w:szCs w:val="20"/>
        </w:rPr>
        <w:t xml:space="preserve"> ali obročno plačilo v največ 24 mesečnih obrokih, če bi jim zaradi trajnejše nelikvidnosti ali izgube sposobnosti pridobivanja prihodkov iz razlogov, na katere</w:t>
      </w:r>
      <w:r>
        <w:rPr>
          <w:rFonts w:cs="Arial"/>
          <w:szCs w:val="20"/>
        </w:rPr>
        <w:t xml:space="preserve"> </w:t>
      </w:r>
      <w:r w:rsidRPr="00C92301">
        <w:rPr>
          <w:rFonts w:cs="Arial"/>
          <w:szCs w:val="20"/>
        </w:rPr>
        <w:t xml:space="preserve">davčni zavezanec ni mogel vplivati, nastala hujša gospodarska škoda </w:t>
      </w:r>
      <w:r>
        <w:rPr>
          <w:rFonts w:cs="Arial"/>
          <w:szCs w:val="20"/>
        </w:rPr>
        <w:t>ter</w:t>
      </w:r>
      <w:r w:rsidRPr="00C92301">
        <w:rPr>
          <w:rFonts w:cs="Arial"/>
          <w:szCs w:val="20"/>
        </w:rPr>
        <w:t xml:space="preserve"> bi davčnemu zavezancu odlog in obročno plačevanje davka omogočil</w:t>
      </w:r>
      <w:r>
        <w:rPr>
          <w:rFonts w:cs="Arial"/>
          <w:szCs w:val="20"/>
        </w:rPr>
        <w:t>a</w:t>
      </w:r>
      <w:r w:rsidRPr="00C92301">
        <w:rPr>
          <w:rFonts w:cs="Arial"/>
          <w:szCs w:val="20"/>
        </w:rPr>
        <w:t xml:space="preserve"> preprečitev hujše gospodarske škode.</w:t>
      </w:r>
      <w:r>
        <w:rPr>
          <w:rFonts w:cs="Arial"/>
          <w:szCs w:val="20"/>
        </w:rPr>
        <w:t xml:space="preserve"> V skladu z drugim odstavkom </w:t>
      </w:r>
      <w:r w:rsidRPr="00C92301">
        <w:rPr>
          <w:rFonts w:cs="Arial"/>
          <w:szCs w:val="20"/>
        </w:rPr>
        <w:t>102. člena ZDavP-2</w:t>
      </w:r>
      <w:r>
        <w:rPr>
          <w:rFonts w:cs="Arial"/>
          <w:szCs w:val="20"/>
        </w:rPr>
        <w:t xml:space="preserve"> pa se lahko dovoli </w:t>
      </w:r>
      <w:r w:rsidRPr="00C92301">
        <w:rPr>
          <w:rFonts w:cs="Arial"/>
          <w:szCs w:val="20"/>
        </w:rPr>
        <w:t xml:space="preserve">plačilo davka v največ 60 mesečnih obrokih, če </w:t>
      </w:r>
      <w:r>
        <w:rPr>
          <w:rFonts w:cs="Arial"/>
          <w:szCs w:val="20"/>
        </w:rPr>
        <w:t>davčni zavezanec</w:t>
      </w:r>
      <w:r w:rsidRPr="00C92301">
        <w:rPr>
          <w:rFonts w:cs="Arial"/>
          <w:szCs w:val="20"/>
        </w:rPr>
        <w:t xml:space="preserve"> predloži pravnomočni sklep, s katerim je na podlagi zakona, ki ureja finančno poslovanje, postopke zaradi insolventnosti in postopke prisilnega prenehanja, potrjen sporazum o finančnem prestrukturiranju</w:t>
      </w:r>
      <w:r>
        <w:rPr>
          <w:rFonts w:cs="Arial"/>
          <w:szCs w:val="20"/>
        </w:rPr>
        <w:t>,</w:t>
      </w:r>
      <w:r w:rsidRPr="00C92301">
        <w:rPr>
          <w:rFonts w:cs="Arial"/>
          <w:szCs w:val="20"/>
        </w:rPr>
        <w:t xml:space="preserve"> ali sklep o potrjeni poenostavljeni prisilni poravnavi.</w:t>
      </w:r>
    </w:p>
    <w:p w14:paraId="1E722264" w14:textId="77777777" w:rsidR="00A155A2" w:rsidRDefault="00A155A2" w:rsidP="00A155A2">
      <w:pPr>
        <w:pStyle w:val="FURSNavaden"/>
        <w:spacing w:line="276" w:lineRule="auto"/>
        <w:rPr>
          <w:rFonts w:cs="Arial"/>
          <w:szCs w:val="20"/>
        </w:rPr>
      </w:pPr>
    </w:p>
    <w:p w14:paraId="1B9E24B5" w14:textId="77777777" w:rsidR="00A155A2" w:rsidRDefault="00A155A2" w:rsidP="00A155A2">
      <w:pPr>
        <w:pStyle w:val="FURSNavaden"/>
        <w:spacing w:line="276" w:lineRule="auto"/>
      </w:pPr>
      <w:r w:rsidRPr="00C92301">
        <w:t>Ne glede na izpolnjevanje pogojev iz 101. in 102. člena ZDavP-2</w:t>
      </w:r>
      <w:r>
        <w:t xml:space="preserve"> se</w:t>
      </w:r>
      <w:r w:rsidRPr="00C92301">
        <w:t xml:space="preserve"> lahko v skladu s prvim odstavkom 103. člena ZDavP-2 dovoli plačilo davka v največ 24 mesečnih obrokih ali odlog</w:t>
      </w:r>
      <w:r>
        <w:t xml:space="preserve"> plačila</w:t>
      </w:r>
      <w:r w:rsidRPr="00C92301">
        <w:t xml:space="preserve"> za največ 24 mesecev davčnemu zavezancu, ki predloži ustrezn</w:t>
      </w:r>
      <w:r>
        <w:t>i</w:t>
      </w:r>
      <w:r w:rsidRPr="00C92301">
        <w:t xml:space="preserve"> instrument zavarovanja iz 117. člena </w:t>
      </w:r>
      <w:r w:rsidRPr="007144F7">
        <w:t>ZDavP-2 ali dovoli vknjižbo zastavne pravice v ustrezni register.</w:t>
      </w:r>
    </w:p>
    <w:p w14:paraId="1CF2E715" w14:textId="77777777" w:rsidR="00A155A2" w:rsidRDefault="00A155A2" w:rsidP="00A155A2">
      <w:pPr>
        <w:pStyle w:val="FURSNavaden"/>
        <w:rPr>
          <w:rFonts w:cs="Arial"/>
          <w:szCs w:val="20"/>
        </w:rPr>
      </w:pPr>
    </w:p>
    <w:p w14:paraId="2D97D45E" w14:textId="77777777" w:rsidR="00A155A2" w:rsidRDefault="00A155A2" w:rsidP="00A155A2">
      <w:pPr>
        <w:pStyle w:val="FURSNavaden"/>
        <w:spacing w:line="276" w:lineRule="auto"/>
      </w:pPr>
      <w:r w:rsidRPr="007144F7">
        <w:t xml:space="preserve">Na podlagi drugega odstavka 103. člena ZDavP-2 se lahko fizični osebi odobri obročno plačilo davka v največ treh mesečnih obrokih, če gre za davek, ki se ne nanaša na opravljanje dejavnosti. </w:t>
      </w:r>
      <w:r>
        <w:t>Večina</w:t>
      </w:r>
      <w:r w:rsidRPr="00087025">
        <w:t xml:space="preserve"> obročnih plačil se odobri po tej pravni podlagi</w:t>
      </w:r>
      <w:r>
        <w:t xml:space="preserve"> </w:t>
      </w:r>
      <w:r w:rsidRPr="00087025">
        <w:t xml:space="preserve">za </w:t>
      </w:r>
      <w:r>
        <w:t>obveznosti od letne odmere dohodnine.</w:t>
      </w:r>
    </w:p>
    <w:p w14:paraId="34BAD56B" w14:textId="77777777" w:rsidR="00A155A2" w:rsidRPr="00087025" w:rsidRDefault="00A155A2" w:rsidP="00A155A2">
      <w:pPr>
        <w:pStyle w:val="FURSNavaden"/>
        <w:spacing w:line="276" w:lineRule="auto"/>
      </w:pPr>
    </w:p>
    <w:p w14:paraId="7E9A3758" w14:textId="77777777" w:rsidR="00A155A2" w:rsidRPr="004634D3" w:rsidRDefault="00A155A2" w:rsidP="00A155A2">
      <w:pPr>
        <w:pStyle w:val="FURSNavaden"/>
        <w:spacing w:line="276" w:lineRule="auto"/>
      </w:pPr>
      <w:r w:rsidRPr="004634D3">
        <w:t>K</w:t>
      </w:r>
      <w:r>
        <w:t>akor</w:t>
      </w:r>
      <w:r w:rsidRPr="004634D3">
        <w:t xml:space="preserve"> je razvidno iz preglednice 12, </w:t>
      </w:r>
      <w:r>
        <w:t xml:space="preserve">se </w:t>
      </w:r>
      <w:r w:rsidRPr="004634D3">
        <w:t xml:space="preserve">je v letu 2024 število odobrenih zahtevkov za odlog plačila </w:t>
      </w:r>
      <w:r>
        <w:t>na letni ravni</w:t>
      </w:r>
      <w:r w:rsidRPr="004634D3">
        <w:t xml:space="preserve"> </w:t>
      </w:r>
      <w:r>
        <w:t>po</w:t>
      </w:r>
      <w:r w:rsidRPr="004634D3">
        <w:t>več</w:t>
      </w:r>
      <w:r>
        <w:t>alo</w:t>
      </w:r>
      <w:r w:rsidRPr="004634D3">
        <w:t xml:space="preserve"> za </w:t>
      </w:r>
      <w:r>
        <w:t>pet</w:t>
      </w:r>
      <w:r w:rsidRPr="004634D3">
        <w:t xml:space="preserve"> zahtevkov </w:t>
      </w:r>
      <w:r>
        <w:t xml:space="preserve">ali </w:t>
      </w:r>
      <w:r w:rsidRPr="004634D3">
        <w:t xml:space="preserve">3,5 odstotka, število odobrenih zahtevkov za obročno plačilo pa za 1.195 zahtevkov </w:t>
      </w:r>
      <w:r>
        <w:t>ali</w:t>
      </w:r>
      <w:r w:rsidRPr="004634D3">
        <w:t xml:space="preserve"> 1</w:t>
      </w:r>
      <w:r>
        <w:t>3,5</w:t>
      </w:r>
      <w:r w:rsidRPr="004634D3">
        <w:t xml:space="preserve"> odstotka. </w:t>
      </w:r>
    </w:p>
    <w:p w14:paraId="7D4A2420" w14:textId="77777777" w:rsidR="00A155A2" w:rsidRPr="00DC4334" w:rsidRDefault="00A155A2" w:rsidP="00A155A2">
      <w:pPr>
        <w:pStyle w:val="FURSNavaden"/>
        <w:spacing w:line="276" w:lineRule="auto"/>
        <w:rPr>
          <w:highlight w:val="yellow"/>
        </w:rPr>
      </w:pPr>
    </w:p>
    <w:p w14:paraId="2058D4E4" w14:textId="77777777" w:rsidR="00A155A2" w:rsidRDefault="00A155A2" w:rsidP="00A155A2">
      <w:pPr>
        <w:pStyle w:val="FURSNavaden"/>
        <w:spacing w:line="276" w:lineRule="auto"/>
        <w:rPr>
          <w:rFonts w:cs="Arial"/>
          <w:szCs w:val="20"/>
        </w:rPr>
      </w:pPr>
      <w:r w:rsidRPr="004634D3">
        <w:t xml:space="preserve">Znesek odloženih davčnih obveznosti se je v primerjavi z letom 2023 zmanjšal za 1.604.451 EUR </w:t>
      </w:r>
      <w:r>
        <w:t xml:space="preserve">ali </w:t>
      </w:r>
      <w:r w:rsidRPr="004634D3">
        <w:t xml:space="preserve">31,1 odstotka, znesek odobrenih obročnih plačil pa se je povečal za 3.690.724 EUR </w:t>
      </w:r>
      <w:r>
        <w:t xml:space="preserve">ali </w:t>
      </w:r>
      <w:r w:rsidRPr="004634D3">
        <w:t>10,9 odstotka.</w:t>
      </w:r>
    </w:p>
    <w:p w14:paraId="0AEBECA6" w14:textId="77777777" w:rsidR="00A155A2" w:rsidRDefault="00A155A2" w:rsidP="00A155A2">
      <w:pPr>
        <w:pStyle w:val="FURSNavaden"/>
        <w:spacing w:line="276" w:lineRule="auto"/>
        <w:rPr>
          <w:rFonts w:cs="Arial"/>
          <w:szCs w:val="20"/>
          <w:highlight w:val="yellow"/>
          <w:lang w:eastAsia="en-US"/>
        </w:rPr>
      </w:pPr>
    </w:p>
    <w:p w14:paraId="17E24A2A" w14:textId="77777777" w:rsidR="00A155A2" w:rsidRPr="006E7FB2" w:rsidRDefault="00A155A2" w:rsidP="00A155A2">
      <w:pPr>
        <w:pStyle w:val="FURSNavaden"/>
        <w:rPr>
          <w:color w:val="FF0000"/>
        </w:rPr>
      </w:pPr>
    </w:p>
    <w:p w14:paraId="5F43E707" w14:textId="77777777" w:rsidR="00A155A2" w:rsidRDefault="00A155A2" w:rsidP="00A155A2">
      <w:pPr>
        <w:pStyle w:val="FURSNavaden"/>
        <w:tabs>
          <w:tab w:val="left" w:pos="6466"/>
        </w:tabs>
        <w:jc w:val="left"/>
        <w:rPr>
          <w:rFonts w:cs="Arial"/>
          <w:i/>
          <w:iCs/>
          <w:szCs w:val="20"/>
          <w:lang w:eastAsia="en-US"/>
        </w:rPr>
      </w:pPr>
      <w:r w:rsidRPr="00907842">
        <w:rPr>
          <w:rFonts w:cs="Arial"/>
          <w:i/>
          <w:iCs/>
          <w:szCs w:val="20"/>
          <w:lang w:eastAsia="en-US"/>
        </w:rPr>
        <w:t>Preglednica 12: Odlogi in obročno plačilo davka po ZDavP-2</w:t>
      </w:r>
    </w:p>
    <w:p w14:paraId="4B02D31B" w14:textId="77777777" w:rsidR="00A155A2" w:rsidRDefault="00A155A2" w:rsidP="00A155A2">
      <w:pPr>
        <w:pStyle w:val="FURSNavaden"/>
        <w:tabs>
          <w:tab w:val="left" w:pos="6466"/>
        </w:tabs>
        <w:jc w:val="left"/>
        <w:rPr>
          <w:rFonts w:cs="Arial"/>
          <w:i/>
          <w:iCs/>
          <w:szCs w:val="20"/>
          <w:lang w:eastAsia="en-US"/>
        </w:rPr>
      </w:pPr>
    </w:p>
    <w:tbl>
      <w:tblPr>
        <w:tblW w:w="9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1204"/>
        <w:gridCol w:w="1234"/>
        <w:gridCol w:w="1204"/>
        <w:gridCol w:w="1234"/>
        <w:gridCol w:w="901"/>
        <w:gridCol w:w="1225"/>
      </w:tblGrid>
      <w:tr w:rsidR="00A155A2" w:rsidRPr="006F18F7" w14:paraId="1487C7BB" w14:textId="77777777" w:rsidTr="001C77D2">
        <w:trPr>
          <w:trHeight w:val="196"/>
        </w:trPr>
        <w:tc>
          <w:tcPr>
            <w:tcW w:w="2023" w:type="dxa"/>
            <w:vMerge w:val="restart"/>
            <w:shd w:val="clear" w:color="auto" w:fill="auto"/>
            <w:noWrap/>
            <w:vAlign w:val="center"/>
            <w:hideMark/>
          </w:tcPr>
          <w:p w14:paraId="46698B4D"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Vrsta zahtevka</w:t>
            </w:r>
          </w:p>
        </w:tc>
        <w:tc>
          <w:tcPr>
            <w:tcW w:w="2438" w:type="dxa"/>
            <w:gridSpan w:val="2"/>
            <w:shd w:val="clear" w:color="auto" w:fill="auto"/>
            <w:noWrap/>
            <w:vAlign w:val="center"/>
            <w:hideMark/>
          </w:tcPr>
          <w:p w14:paraId="5A11D04E"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202</w:t>
            </w:r>
            <w:r>
              <w:rPr>
                <w:rFonts w:ascii="Arial" w:eastAsia="Times New Roman" w:hAnsi="Arial" w:cs="Arial"/>
                <w:b/>
                <w:bCs/>
                <w:sz w:val="18"/>
                <w:szCs w:val="18"/>
                <w:lang w:eastAsia="sl-SI"/>
              </w:rPr>
              <w:t>3</w:t>
            </w:r>
          </w:p>
        </w:tc>
        <w:tc>
          <w:tcPr>
            <w:tcW w:w="2438" w:type="dxa"/>
            <w:gridSpan w:val="2"/>
            <w:shd w:val="clear" w:color="auto" w:fill="auto"/>
            <w:noWrap/>
            <w:vAlign w:val="center"/>
            <w:hideMark/>
          </w:tcPr>
          <w:p w14:paraId="7871172D"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202</w:t>
            </w:r>
            <w:r>
              <w:rPr>
                <w:rFonts w:ascii="Arial" w:eastAsia="Times New Roman" w:hAnsi="Arial" w:cs="Arial"/>
                <w:b/>
                <w:bCs/>
                <w:sz w:val="18"/>
                <w:szCs w:val="18"/>
                <w:lang w:eastAsia="sl-SI"/>
              </w:rPr>
              <w:t>4</w:t>
            </w:r>
          </w:p>
        </w:tc>
        <w:tc>
          <w:tcPr>
            <w:tcW w:w="2126" w:type="dxa"/>
            <w:gridSpan w:val="2"/>
            <w:shd w:val="clear" w:color="auto" w:fill="auto"/>
            <w:vAlign w:val="center"/>
            <w:hideMark/>
          </w:tcPr>
          <w:p w14:paraId="25930732"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Indeks 202</w:t>
            </w:r>
            <w:r>
              <w:rPr>
                <w:rFonts w:ascii="Arial" w:eastAsia="Times New Roman" w:hAnsi="Arial" w:cs="Arial"/>
                <w:b/>
                <w:bCs/>
                <w:sz w:val="18"/>
                <w:szCs w:val="18"/>
                <w:lang w:eastAsia="sl-SI"/>
              </w:rPr>
              <w:t xml:space="preserve">4 </w:t>
            </w:r>
            <w:r w:rsidRPr="006F18F7">
              <w:rPr>
                <w:rFonts w:ascii="Arial" w:eastAsia="Times New Roman" w:hAnsi="Arial" w:cs="Arial"/>
                <w:b/>
                <w:bCs/>
                <w:sz w:val="18"/>
                <w:szCs w:val="18"/>
                <w:lang w:eastAsia="sl-SI"/>
              </w:rPr>
              <w:t>/</w:t>
            </w:r>
            <w:r>
              <w:rPr>
                <w:rFonts w:ascii="Arial" w:eastAsia="Times New Roman" w:hAnsi="Arial" w:cs="Arial"/>
                <w:b/>
                <w:bCs/>
                <w:sz w:val="18"/>
                <w:szCs w:val="18"/>
                <w:lang w:eastAsia="sl-SI"/>
              </w:rPr>
              <w:t xml:space="preserve"> </w:t>
            </w:r>
            <w:r w:rsidRPr="006F18F7">
              <w:rPr>
                <w:rFonts w:ascii="Arial" w:eastAsia="Times New Roman" w:hAnsi="Arial" w:cs="Arial"/>
                <w:b/>
                <w:bCs/>
                <w:sz w:val="18"/>
                <w:szCs w:val="18"/>
                <w:lang w:eastAsia="sl-SI"/>
              </w:rPr>
              <w:t>202</w:t>
            </w:r>
            <w:r>
              <w:rPr>
                <w:rFonts w:ascii="Arial" w:eastAsia="Times New Roman" w:hAnsi="Arial" w:cs="Arial"/>
                <w:b/>
                <w:bCs/>
                <w:sz w:val="18"/>
                <w:szCs w:val="18"/>
                <w:lang w:eastAsia="sl-SI"/>
              </w:rPr>
              <w:t>3</w:t>
            </w:r>
          </w:p>
        </w:tc>
      </w:tr>
      <w:tr w:rsidR="00A155A2" w:rsidRPr="006F18F7" w14:paraId="076ECB04" w14:textId="77777777" w:rsidTr="001C77D2">
        <w:trPr>
          <w:trHeight w:val="676"/>
        </w:trPr>
        <w:tc>
          <w:tcPr>
            <w:tcW w:w="2023" w:type="dxa"/>
            <w:vMerge/>
            <w:tcBorders>
              <w:bottom w:val="single" w:sz="4" w:space="0" w:color="auto"/>
            </w:tcBorders>
            <w:vAlign w:val="center"/>
            <w:hideMark/>
          </w:tcPr>
          <w:p w14:paraId="38061E1C" w14:textId="77777777" w:rsidR="00A155A2" w:rsidRPr="006F18F7" w:rsidRDefault="00A155A2" w:rsidP="001C77D2">
            <w:pPr>
              <w:spacing w:after="0" w:line="240" w:lineRule="auto"/>
              <w:rPr>
                <w:rFonts w:ascii="Arial" w:eastAsia="Times New Roman" w:hAnsi="Arial" w:cs="Arial"/>
                <w:b/>
                <w:bCs/>
                <w:sz w:val="18"/>
                <w:szCs w:val="18"/>
                <w:lang w:eastAsia="sl-SI"/>
              </w:rPr>
            </w:pPr>
          </w:p>
        </w:tc>
        <w:tc>
          <w:tcPr>
            <w:tcW w:w="1204" w:type="dxa"/>
            <w:tcBorders>
              <w:bottom w:val="single" w:sz="4" w:space="0" w:color="auto"/>
            </w:tcBorders>
            <w:shd w:val="clear" w:color="auto" w:fill="auto"/>
            <w:vAlign w:val="center"/>
            <w:hideMark/>
          </w:tcPr>
          <w:p w14:paraId="5DBDF575"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 xml:space="preserve">Število odobrenih zahtevkov </w:t>
            </w:r>
          </w:p>
        </w:tc>
        <w:tc>
          <w:tcPr>
            <w:tcW w:w="1234" w:type="dxa"/>
            <w:tcBorders>
              <w:bottom w:val="single" w:sz="4" w:space="0" w:color="auto"/>
            </w:tcBorders>
            <w:shd w:val="clear" w:color="auto" w:fill="auto"/>
            <w:vAlign w:val="center"/>
            <w:hideMark/>
          </w:tcPr>
          <w:p w14:paraId="5B7E68D0" w14:textId="77777777" w:rsidR="00A155A2"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 xml:space="preserve">Znesek odobrenih zahtevkov </w:t>
            </w:r>
          </w:p>
          <w:p w14:paraId="1B87CF34"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(v EUR)</w:t>
            </w:r>
          </w:p>
        </w:tc>
        <w:tc>
          <w:tcPr>
            <w:tcW w:w="1204" w:type="dxa"/>
            <w:tcBorders>
              <w:bottom w:val="single" w:sz="4" w:space="0" w:color="auto"/>
            </w:tcBorders>
            <w:shd w:val="clear" w:color="auto" w:fill="auto"/>
            <w:vAlign w:val="center"/>
            <w:hideMark/>
          </w:tcPr>
          <w:p w14:paraId="4424B6FC" w14:textId="77777777" w:rsidR="00A155A2" w:rsidRPr="00DC4334" w:rsidRDefault="00A155A2" w:rsidP="001C77D2">
            <w:pPr>
              <w:spacing w:after="0" w:line="240" w:lineRule="auto"/>
              <w:jc w:val="center"/>
              <w:rPr>
                <w:rFonts w:ascii="Arial" w:eastAsia="Times New Roman" w:hAnsi="Arial" w:cs="Arial"/>
                <w:b/>
                <w:bCs/>
                <w:sz w:val="18"/>
                <w:szCs w:val="18"/>
                <w:lang w:eastAsia="sl-SI"/>
              </w:rPr>
            </w:pPr>
            <w:r w:rsidRPr="00DC4334">
              <w:rPr>
                <w:rFonts w:ascii="Arial" w:eastAsia="Times New Roman" w:hAnsi="Arial" w:cs="Arial"/>
                <w:b/>
                <w:bCs/>
                <w:sz w:val="18"/>
                <w:szCs w:val="18"/>
                <w:lang w:eastAsia="sl-SI"/>
              </w:rPr>
              <w:t xml:space="preserve">Število odobrenih zahtevkov </w:t>
            </w:r>
          </w:p>
        </w:tc>
        <w:tc>
          <w:tcPr>
            <w:tcW w:w="1234" w:type="dxa"/>
            <w:tcBorders>
              <w:bottom w:val="single" w:sz="4" w:space="0" w:color="auto"/>
            </w:tcBorders>
            <w:shd w:val="clear" w:color="auto" w:fill="auto"/>
            <w:vAlign w:val="center"/>
            <w:hideMark/>
          </w:tcPr>
          <w:p w14:paraId="4F8CCB1F" w14:textId="77777777" w:rsidR="00A155A2"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Znesek odobrenih zahtevkov</w:t>
            </w:r>
            <w:r>
              <w:rPr>
                <w:rFonts w:ascii="Arial" w:eastAsia="Times New Roman" w:hAnsi="Arial" w:cs="Arial"/>
                <w:b/>
                <w:bCs/>
                <w:sz w:val="18"/>
                <w:szCs w:val="18"/>
                <w:lang w:eastAsia="sl-SI"/>
              </w:rPr>
              <w:t xml:space="preserve"> </w:t>
            </w:r>
          </w:p>
          <w:p w14:paraId="67593B7A"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(v EUR)</w:t>
            </w:r>
          </w:p>
        </w:tc>
        <w:tc>
          <w:tcPr>
            <w:tcW w:w="901" w:type="dxa"/>
            <w:tcBorders>
              <w:bottom w:val="single" w:sz="4" w:space="0" w:color="auto"/>
            </w:tcBorders>
            <w:shd w:val="clear" w:color="auto" w:fill="auto"/>
            <w:noWrap/>
            <w:vAlign w:val="center"/>
            <w:hideMark/>
          </w:tcPr>
          <w:p w14:paraId="654BA1A4"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Število</w:t>
            </w:r>
          </w:p>
        </w:tc>
        <w:tc>
          <w:tcPr>
            <w:tcW w:w="1225" w:type="dxa"/>
            <w:tcBorders>
              <w:bottom w:val="single" w:sz="4" w:space="0" w:color="auto"/>
            </w:tcBorders>
            <w:shd w:val="clear" w:color="auto" w:fill="auto"/>
            <w:noWrap/>
            <w:vAlign w:val="center"/>
            <w:hideMark/>
          </w:tcPr>
          <w:p w14:paraId="2185071E" w14:textId="77777777" w:rsidR="00A155A2" w:rsidRPr="006F18F7" w:rsidRDefault="00A155A2" w:rsidP="001C77D2">
            <w:pPr>
              <w:spacing w:after="0" w:line="240" w:lineRule="auto"/>
              <w:jc w:val="center"/>
              <w:rPr>
                <w:rFonts w:ascii="Arial" w:eastAsia="Times New Roman" w:hAnsi="Arial" w:cs="Arial"/>
                <w:b/>
                <w:bCs/>
                <w:sz w:val="18"/>
                <w:szCs w:val="18"/>
                <w:lang w:eastAsia="sl-SI"/>
              </w:rPr>
            </w:pPr>
            <w:r w:rsidRPr="006F18F7">
              <w:rPr>
                <w:rFonts w:ascii="Arial" w:eastAsia="Times New Roman" w:hAnsi="Arial" w:cs="Arial"/>
                <w:b/>
                <w:bCs/>
                <w:sz w:val="18"/>
                <w:szCs w:val="18"/>
                <w:lang w:eastAsia="sl-SI"/>
              </w:rPr>
              <w:t>Znesek</w:t>
            </w:r>
          </w:p>
        </w:tc>
      </w:tr>
      <w:tr w:rsidR="00A155A2" w:rsidRPr="006F18F7" w14:paraId="63723BF1" w14:textId="77777777" w:rsidTr="001C77D2">
        <w:trPr>
          <w:trHeight w:val="196"/>
        </w:trPr>
        <w:tc>
          <w:tcPr>
            <w:tcW w:w="2023" w:type="dxa"/>
            <w:shd w:val="clear" w:color="auto" w:fill="D86DCB" w:themeFill="accent5" w:themeFillTint="99"/>
            <w:noWrap/>
            <w:vAlign w:val="center"/>
            <w:hideMark/>
          </w:tcPr>
          <w:p w14:paraId="406F0603" w14:textId="77777777" w:rsidR="00A155A2" w:rsidRPr="00A75ACE" w:rsidRDefault="00A155A2" w:rsidP="001C77D2">
            <w:pPr>
              <w:spacing w:after="0" w:line="240" w:lineRule="auto"/>
              <w:rPr>
                <w:rFonts w:ascii="Arial" w:eastAsia="Times New Roman" w:hAnsi="Arial" w:cs="Arial"/>
                <w:b/>
                <w:bCs/>
                <w:sz w:val="18"/>
                <w:szCs w:val="18"/>
                <w:lang w:eastAsia="sl-SI"/>
              </w:rPr>
            </w:pPr>
            <w:r w:rsidRPr="00A75ACE">
              <w:rPr>
                <w:rFonts w:ascii="Arial" w:eastAsia="Times New Roman" w:hAnsi="Arial" w:cs="Arial"/>
                <w:b/>
                <w:bCs/>
                <w:sz w:val="18"/>
                <w:szCs w:val="18"/>
                <w:lang w:eastAsia="sl-SI"/>
              </w:rPr>
              <w:t>Odlog plačila</w:t>
            </w:r>
          </w:p>
        </w:tc>
        <w:tc>
          <w:tcPr>
            <w:tcW w:w="1204" w:type="dxa"/>
            <w:shd w:val="clear" w:color="auto" w:fill="D86DCB" w:themeFill="accent5" w:themeFillTint="99"/>
            <w:noWrap/>
            <w:vAlign w:val="center"/>
            <w:hideMark/>
          </w:tcPr>
          <w:p w14:paraId="7E466559" w14:textId="77777777" w:rsidR="00A155A2" w:rsidRPr="00DC4334" w:rsidRDefault="00A155A2" w:rsidP="001C77D2">
            <w:pPr>
              <w:spacing w:after="0" w:line="240" w:lineRule="auto"/>
              <w:jc w:val="center"/>
              <w:rPr>
                <w:rFonts w:ascii="Arial" w:eastAsia="Times New Roman" w:hAnsi="Arial" w:cs="Arial"/>
                <w:color w:val="C00000"/>
                <w:sz w:val="18"/>
                <w:szCs w:val="16"/>
              </w:rPr>
            </w:pPr>
            <w:r w:rsidRPr="00DD42F2">
              <w:rPr>
                <w:rFonts w:ascii="Arial" w:hAnsi="Arial" w:cs="Arial"/>
                <w:b/>
                <w:bCs/>
                <w:sz w:val="18"/>
                <w:szCs w:val="16"/>
              </w:rPr>
              <w:t>143</w:t>
            </w:r>
          </w:p>
        </w:tc>
        <w:tc>
          <w:tcPr>
            <w:tcW w:w="1234" w:type="dxa"/>
            <w:shd w:val="clear" w:color="auto" w:fill="D86DCB" w:themeFill="accent5" w:themeFillTint="99"/>
            <w:noWrap/>
            <w:vAlign w:val="center"/>
            <w:hideMark/>
          </w:tcPr>
          <w:p w14:paraId="6DAAF360" w14:textId="77777777" w:rsidR="00A155A2" w:rsidRPr="00DC4334" w:rsidRDefault="00A155A2" w:rsidP="001C77D2">
            <w:pPr>
              <w:jc w:val="center"/>
              <w:rPr>
                <w:rFonts w:ascii="Arial" w:hAnsi="Arial" w:cs="Arial"/>
                <w:color w:val="C00000"/>
                <w:sz w:val="18"/>
                <w:szCs w:val="16"/>
              </w:rPr>
            </w:pPr>
            <w:r w:rsidRPr="00DD42F2">
              <w:rPr>
                <w:rFonts w:ascii="Arial" w:hAnsi="Arial" w:cs="Arial"/>
                <w:b/>
                <w:bCs/>
                <w:sz w:val="18"/>
                <w:szCs w:val="16"/>
              </w:rPr>
              <w:t>5.150.282</w:t>
            </w:r>
          </w:p>
        </w:tc>
        <w:tc>
          <w:tcPr>
            <w:tcW w:w="1204" w:type="dxa"/>
            <w:shd w:val="clear" w:color="auto" w:fill="D86DCB" w:themeFill="accent5" w:themeFillTint="99"/>
            <w:noWrap/>
            <w:vAlign w:val="center"/>
          </w:tcPr>
          <w:p w14:paraId="5247A761" w14:textId="77777777" w:rsidR="00A155A2" w:rsidRPr="00DC4334" w:rsidRDefault="00A155A2" w:rsidP="001C77D2">
            <w:pPr>
              <w:jc w:val="center"/>
              <w:rPr>
                <w:rFonts w:ascii="Arial" w:hAnsi="Arial" w:cs="Arial"/>
                <w:b/>
                <w:bCs/>
                <w:sz w:val="18"/>
                <w:szCs w:val="16"/>
              </w:rPr>
            </w:pPr>
            <w:r w:rsidRPr="00DC4334">
              <w:rPr>
                <w:rFonts w:ascii="Arial" w:hAnsi="Arial" w:cs="Arial"/>
                <w:b/>
                <w:bCs/>
                <w:sz w:val="18"/>
                <w:szCs w:val="16"/>
              </w:rPr>
              <w:t>148</w:t>
            </w:r>
          </w:p>
        </w:tc>
        <w:tc>
          <w:tcPr>
            <w:tcW w:w="1234" w:type="dxa"/>
            <w:shd w:val="clear" w:color="auto" w:fill="D86DCB" w:themeFill="accent5" w:themeFillTint="99"/>
            <w:noWrap/>
            <w:vAlign w:val="center"/>
          </w:tcPr>
          <w:p w14:paraId="21ED17AC" w14:textId="77777777" w:rsidR="00A155A2" w:rsidRPr="00DD42F2" w:rsidRDefault="00A155A2" w:rsidP="001C77D2">
            <w:pPr>
              <w:jc w:val="center"/>
              <w:rPr>
                <w:rFonts w:ascii="Arial" w:hAnsi="Arial" w:cs="Arial"/>
                <w:b/>
                <w:bCs/>
                <w:color w:val="C00000"/>
                <w:sz w:val="18"/>
                <w:szCs w:val="16"/>
              </w:rPr>
            </w:pPr>
            <w:r w:rsidRPr="00DC4334">
              <w:rPr>
                <w:rFonts w:ascii="Arial" w:hAnsi="Arial" w:cs="Arial"/>
                <w:b/>
                <w:bCs/>
                <w:sz w:val="18"/>
                <w:szCs w:val="16"/>
              </w:rPr>
              <w:t>3.545.831</w:t>
            </w:r>
          </w:p>
        </w:tc>
        <w:tc>
          <w:tcPr>
            <w:tcW w:w="901" w:type="dxa"/>
            <w:shd w:val="clear" w:color="auto" w:fill="D86DCB" w:themeFill="accent5" w:themeFillTint="99"/>
            <w:noWrap/>
            <w:hideMark/>
          </w:tcPr>
          <w:p w14:paraId="1FB1D663" w14:textId="77777777" w:rsidR="00A155A2" w:rsidRPr="00DC4334" w:rsidRDefault="00A155A2" w:rsidP="001C77D2">
            <w:pPr>
              <w:jc w:val="center"/>
              <w:rPr>
                <w:rFonts w:ascii="Arial" w:hAnsi="Arial" w:cs="Arial"/>
                <w:b/>
                <w:bCs/>
                <w:sz w:val="18"/>
                <w:szCs w:val="18"/>
              </w:rPr>
            </w:pPr>
            <w:r w:rsidRPr="00DC4334">
              <w:rPr>
                <w:rFonts w:ascii="Arial" w:hAnsi="Arial" w:cs="Arial"/>
                <w:b/>
                <w:bCs/>
                <w:sz w:val="18"/>
                <w:szCs w:val="18"/>
              </w:rPr>
              <w:t>103,5</w:t>
            </w:r>
          </w:p>
        </w:tc>
        <w:tc>
          <w:tcPr>
            <w:tcW w:w="1225" w:type="dxa"/>
            <w:shd w:val="clear" w:color="auto" w:fill="D86DCB" w:themeFill="accent5" w:themeFillTint="99"/>
            <w:noWrap/>
            <w:hideMark/>
          </w:tcPr>
          <w:p w14:paraId="047A5096" w14:textId="77777777" w:rsidR="00A155A2" w:rsidRPr="00DC4334" w:rsidRDefault="00A155A2" w:rsidP="001C77D2">
            <w:pPr>
              <w:jc w:val="center"/>
              <w:rPr>
                <w:rFonts w:ascii="Arial" w:hAnsi="Arial" w:cs="Arial"/>
                <w:b/>
                <w:bCs/>
                <w:sz w:val="18"/>
                <w:szCs w:val="18"/>
              </w:rPr>
            </w:pPr>
            <w:r w:rsidRPr="00DC4334">
              <w:rPr>
                <w:rFonts w:ascii="Arial" w:hAnsi="Arial" w:cs="Arial"/>
                <w:b/>
                <w:bCs/>
                <w:sz w:val="18"/>
                <w:szCs w:val="18"/>
              </w:rPr>
              <w:t>68,9</w:t>
            </w:r>
          </w:p>
        </w:tc>
      </w:tr>
      <w:tr w:rsidR="00A155A2" w:rsidRPr="006F18F7" w14:paraId="5E98C0DA" w14:textId="77777777" w:rsidTr="001C77D2">
        <w:trPr>
          <w:trHeight w:val="196"/>
        </w:trPr>
        <w:tc>
          <w:tcPr>
            <w:tcW w:w="2023" w:type="dxa"/>
            <w:tcBorders>
              <w:bottom w:val="single" w:sz="4" w:space="0" w:color="auto"/>
            </w:tcBorders>
            <w:shd w:val="clear" w:color="auto" w:fill="auto"/>
            <w:noWrap/>
            <w:vAlign w:val="center"/>
            <w:hideMark/>
          </w:tcPr>
          <w:p w14:paraId="30728842" w14:textId="77777777" w:rsidR="00A155A2" w:rsidRPr="00A75ACE" w:rsidRDefault="00A155A2" w:rsidP="001C77D2">
            <w:pPr>
              <w:spacing w:after="0" w:line="240" w:lineRule="auto"/>
              <w:rPr>
                <w:rFonts w:ascii="Arial" w:eastAsia="Times New Roman" w:hAnsi="Arial" w:cs="Arial"/>
                <w:b/>
                <w:bCs/>
                <w:sz w:val="18"/>
                <w:szCs w:val="18"/>
                <w:lang w:eastAsia="sl-SI"/>
              </w:rPr>
            </w:pPr>
            <w:r w:rsidRPr="00A75ACE">
              <w:rPr>
                <w:rFonts w:ascii="Arial" w:eastAsia="Times New Roman" w:hAnsi="Arial" w:cs="Arial"/>
                <w:b/>
                <w:bCs/>
                <w:sz w:val="18"/>
                <w:szCs w:val="18"/>
                <w:lang w:eastAsia="sl-SI"/>
              </w:rPr>
              <w:t>od tega poslovni subjekt</w:t>
            </w:r>
            <w:r>
              <w:rPr>
                <w:rFonts w:ascii="Arial" w:eastAsia="Times New Roman" w:hAnsi="Arial" w:cs="Arial"/>
                <w:b/>
                <w:bCs/>
                <w:sz w:val="18"/>
                <w:szCs w:val="18"/>
                <w:lang w:eastAsia="sl-SI"/>
              </w:rPr>
              <w:t>i</w:t>
            </w:r>
          </w:p>
        </w:tc>
        <w:tc>
          <w:tcPr>
            <w:tcW w:w="1204" w:type="dxa"/>
            <w:tcBorders>
              <w:bottom w:val="single" w:sz="4" w:space="0" w:color="auto"/>
            </w:tcBorders>
            <w:shd w:val="clear" w:color="auto" w:fill="auto"/>
            <w:noWrap/>
            <w:vAlign w:val="center"/>
            <w:hideMark/>
          </w:tcPr>
          <w:p w14:paraId="34E2218C" w14:textId="77777777" w:rsidR="00A155A2" w:rsidRPr="00DC4334" w:rsidRDefault="00A155A2" w:rsidP="001C77D2">
            <w:pPr>
              <w:jc w:val="center"/>
              <w:rPr>
                <w:rFonts w:ascii="Arial" w:hAnsi="Arial" w:cs="Arial"/>
                <w:color w:val="C00000"/>
                <w:sz w:val="18"/>
                <w:szCs w:val="18"/>
              </w:rPr>
            </w:pPr>
            <w:r w:rsidRPr="008E3111">
              <w:rPr>
                <w:rFonts w:ascii="Arial" w:hAnsi="Arial" w:cs="Arial"/>
                <w:sz w:val="18"/>
                <w:szCs w:val="18"/>
              </w:rPr>
              <w:t>57</w:t>
            </w:r>
          </w:p>
        </w:tc>
        <w:tc>
          <w:tcPr>
            <w:tcW w:w="1234" w:type="dxa"/>
            <w:tcBorders>
              <w:bottom w:val="single" w:sz="4" w:space="0" w:color="auto"/>
            </w:tcBorders>
            <w:shd w:val="clear" w:color="auto" w:fill="auto"/>
            <w:noWrap/>
            <w:vAlign w:val="center"/>
            <w:hideMark/>
          </w:tcPr>
          <w:p w14:paraId="622DBBF8" w14:textId="77777777" w:rsidR="00A155A2" w:rsidRPr="00DC4334" w:rsidRDefault="00A155A2" w:rsidP="001C77D2">
            <w:pPr>
              <w:jc w:val="center"/>
              <w:rPr>
                <w:rFonts w:ascii="Arial" w:hAnsi="Arial" w:cs="Arial"/>
                <w:color w:val="C00000"/>
                <w:sz w:val="18"/>
                <w:szCs w:val="18"/>
              </w:rPr>
            </w:pPr>
            <w:r w:rsidRPr="008E3111">
              <w:rPr>
                <w:rFonts w:ascii="Arial" w:hAnsi="Arial" w:cs="Arial"/>
                <w:sz w:val="18"/>
                <w:szCs w:val="18"/>
              </w:rPr>
              <w:t>4.413.401</w:t>
            </w:r>
          </w:p>
        </w:tc>
        <w:tc>
          <w:tcPr>
            <w:tcW w:w="1204" w:type="dxa"/>
            <w:tcBorders>
              <w:bottom w:val="single" w:sz="4" w:space="0" w:color="auto"/>
            </w:tcBorders>
            <w:shd w:val="clear" w:color="auto" w:fill="auto"/>
            <w:noWrap/>
            <w:vAlign w:val="center"/>
          </w:tcPr>
          <w:p w14:paraId="0F90F735"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64</w:t>
            </w:r>
          </w:p>
        </w:tc>
        <w:tc>
          <w:tcPr>
            <w:tcW w:w="1234" w:type="dxa"/>
            <w:tcBorders>
              <w:bottom w:val="single" w:sz="4" w:space="0" w:color="auto"/>
            </w:tcBorders>
            <w:shd w:val="clear" w:color="auto" w:fill="auto"/>
            <w:noWrap/>
            <w:vAlign w:val="center"/>
          </w:tcPr>
          <w:p w14:paraId="47686520"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2.502.246</w:t>
            </w:r>
          </w:p>
        </w:tc>
        <w:tc>
          <w:tcPr>
            <w:tcW w:w="901" w:type="dxa"/>
            <w:tcBorders>
              <w:bottom w:val="single" w:sz="4" w:space="0" w:color="auto"/>
            </w:tcBorders>
            <w:shd w:val="clear" w:color="auto" w:fill="auto"/>
            <w:noWrap/>
          </w:tcPr>
          <w:p w14:paraId="0AFC514C" w14:textId="77777777" w:rsidR="00A155A2" w:rsidRPr="008E3111" w:rsidRDefault="00A155A2" w:rsidP="001C77D2">
            <w:pPr>
              <w:jc w:val="center"/>
              <w:rPr>
                <w:rFonts w:ascii="Arial" w:hAnsi="Arial" w:cs="Arial"/>
                <w:sz w:val="18"/>
                <w:szCs w:val="18"/>
              </w:rPr>
            </w:pPr>
            <w:r>
              <w:rPr>
                <w:rFonts w:ascii="Arial" w:hAnsi="Arial" w:cs="Arial"/>
                <w:sz w:val="18"/>
                <w:szCs w:val="18"/>
              </w:rPr>
              <w:t>112,3</w:t>
            </w:r>
          </w:p>
        </w:tc>
        <w:tc>
          <w:tcPr>
            <w:tcW w:w="1225" w:type="dxa"/>
            <w:tcBorders>
              <w:bottom w:val="single" w:sz="4" w:space="0" w:color="auto"/>
            </w:tcBorders>
            <w:shd w:val="clear" w:color="auto" w:fill="auto"/>
            <w:noWrap/>
          </w:tcPr>
          <w:p w14:paraId="0CC78DD4" w14:textId="77777777" w:rsidR="00A155A2" w:rsidRPr="008E3111" w:rsidRDefault="00A155A2" w:rsidP="001C77D2">
            <w:pPr>
              <w:jc w:val="center"/>
              <w:rPr>
                <w:rFonts w:ascii="Arial" w:hAnsi="Arial" w:cs="Arial"/>
                <w:sz w:val="18"/>
                <w:szCs w:val="18"/>
              </w:rPr>
            </w:pPr>
            <w:r>
              <w:rPr>
                <w:rFonts w:ascii="Arial" w:hAnsi="Arial" w:cs="Arial"/>
                <w:sz w:val="18"/>
                <w:szCs w:val="18"/>
              </w:rPr>
              <w:t>56,7</w:t>
            </w:r>
          </w:p>
        </w:tc>
      </w:tr>
      <w:tr w:rsidR="00A155A2" w:rsidRPr="006F18F7" w14:paraId="3B06B939" w14:textId="77777777" w:rsidTr="001C77D2">
        <w:trPr>
          <w:trHeight w:val="196"/>
        </w:trPr>
        <w:tc>
          <w:tcPr>
            <w:tcW w:w="2023" w:type="dxa"/>
            <w:shd w:val="clear" w:color="auto" w:fill="D86DCB" w:themeFill="accent5" w:themeFillTint="99"/>
            <w:noWrap/>
            <w:vAlign w:val="center"/>
            <w:hideMark/>
          </w:tcPr>
          <w:p w14:paraId="252B45EF" w14:textId="77777777" w:rsidR="00A155A2" w:rsidRPr="00A75ACE" w:rsidRDefault="00A155A2" w:rsidP="001C77D2">
            <w:pPr>
              <w:spacing w:after="0" w:line="240" w:lineRule="auto"/>
              <w:rPr>
                <w:rFonts w:ascii="Arial" w:eastAsia="Times New Roman" w:hAnsi="Arial" w:cs="Arial"/>
                <w:b/>
                <w:bCs/>
                <w:sz w:val="18"/>
                <w:szCs w:val="18"/>
                <w:lang w:eastAsia="sl-SI"/>
              </w:rPr>
            </w:pPr>
            <w:r w:rsidRPr="00A75ACE">
              <w:rPr>
                <w:rFonts w:ascii="Arial" w:eastAsia="Times New Roman" w:hAnsi="Arial" w:cs="Arial"/>
                <w:b/>
                <w:bCs/>
                <w:sz w:val="18"/>
                <w:szCs w:val="18"/>
                <w:lang w:eastAsia="sl-SI"/>
              </w:rPr>
              <w:t>Obročno plačilo</w:t>
            </w:r>
          </w:p>
        </w:tc>
        <w:tc>
          <w:tcPr>
            <w:tcW w:w="1204" w:type="dxa"/>
            <w:shd w:val="clear" w:color="auto" w:fill="D86DCB" w:themeFill="accent5" w:themeFillTint="99"/>
            <w:noWrap/>
            <w:vAlign w:val="center"/>
            <w:hideMark/>
          </w:tcPr>
          <w:p w14:paraId="0826BA65" w14:textId="77777777" w:rsidR="00A155A2" w:rsidRPr="00DD42F2" w:rsidRDefault="00A155A2" w:rsidP="001C77D2">
            <w:pPr>
              <w:jc w:val="center"/>
              <w:rPr>
                <w:rFonts w:ascii="Arial" w:hAnsi="Arial" w:cs="Arial"/>
                <w:b/>
                <w:bCs/>
                <w:color w:val="C00000"/>
                <w:sz w:val="18"/>
                <w:szCs w:val="16"/>
              </w:rPr>
            </w:pPr>
            <w:r w:rsidRPr="00DD42F2">
              <w:rPr>
                <w:rFonts w:ascii="Arial" w:hAnsi="Arial" w:cs="Arial"/>
                <w:b/>
                <w:bCs/>
                <w:sz w:val="18"/>
                <w:szCs w:val="16"/>
              </w:rPr>
              <w:t>8</w:t>
            </w:r>
            <w:r>
              <w:rPr>
                <w:rFonts w:ascii="Arial" w:hAnsi="Arial" w:cs="Arial"/>
                <w:b/>
                <w:bCs/>
                <w:sz w:val="18"/>
                <w:szCs w:val="16"/>
              </w:rPr>
              <w:t>.</w:t>
            </w:r>
            <w:r w:rsidRPr="00DD42F2">
              <w:rPr>
                <w:rFonts w:ascii="Arial" w:hAnsi="Arial" w:cs="Arial"/>
                <w:b/>
                <w:bCs/>
                <w:sz w:val="18"/>
                <w:szCs w:val="16"/>
              </w:rPr>
              <w:t>863</w:t>
            </w:r>
          </w:p>
        </w:tc>
        <w:tc>
          <w:tcPr>
            <w:tcW w:w="1234" w:type="dxa"/>
            <w:shd w:val="clear" w:color="auto" w:fill="D86DCB" w:themeFill="accent5" w:themeFillTint="99"/>
            <w:noWrap/>
            <w:vAlign w:val="center"/>
            <w:hideMark/>
          </w:tcPr>
          <w:p w14:paraId="50C95CA1" w14:textId="77777777" w:rsidR="00A155A2" w:rsidRPr="00DD42F2" w:rsidRDefault="00A155A2" w:rsidP="001C77D2">
            <w:pPr>
              <w:jc w:val="center"/>
              <w:rPr>
                <w:rFonts w:ascii="Arial" w:hAnsi="Arial" w:cs="Arial"/>
                <w:b/>
                <w:bCs/>
                <w:color w:val="C00000"/>
                <w:sz w:val="18"/>
                <w:szCs w:val="16"/>
              </w:rPr>
            </w:pPr>
            <w:r w:rsidRPr="00DD42F2">
              <w:rPr>
                <w:rFonts w:ascii="Arial" w:hAnsi="Arial" w:cs="Arial"/>
                <w:b/>
                <w:bCs/>
                <w:sz w:val="18"/>
                <w:szCs w:val="16"/>
              </w:rPr>
              <w:t>32.898.483</w:t>
            </w:r>
          </w:p>
        </w:tc>
        <w:tc>
          <w:tcPr>
            <w:tcW w:w="1204" w:type="dxa"/>
            <w:shd w:val="clear" w:color="auto" w:fill="D86DCB" w:themeFill="accent5" w:themeFillTint="99"/>
            <w:noWrap/>
          </w:tcPr>
          <w:p w14:paraId="57F35F35" w14:textId="77777777" w:rsidR="00A155A2" w:rsidRPr="00DC4334" w:rsidRDefault="00A155A2" w:rsidP="001C77D2">
            <w:pPr>
              <w:jc w:val="center"/>
              <w:rPr>
                <w:rFonts w:ascii="Arial" w:hAnsi="Arial" w:cs="Arial"/>
                <w:b/>
                <w:bCs/>
                <w:color w:val="C00000"/>
                <w:sz w:val="18"/>
                <w:szCs w:val="18"/>
              </w:rPr>
            </w:pPr>
            <w:r w:rsidRPr="00DC4334">
              <w:rPr>
                <w:rFonts w:ascii="Arial" w:hAnsi="Arial" w:cs="Arial"/>
                <w:b/>
                <w:bCs/>
                <w:sz w:val="18"/>
                <w:szCs w:val="18"/>
              </w:rPr>
              <w:t>10</w:t>
            </w:r>
            <w:r>
              <w:rPr>
                <w:rFonts w:ascii="Arial" w:hAnsi="Arial" w:cs="Arial"/>
                <w:b/>
                <w:bCs/>
                <w:sz w:val="18"/>
                <w:szCs w:val="18"/>
              </w:rPr>
              <w:t>.</w:t>
            </w:r>
            <w:r w:rsidRPr="00DC4334">
              <w:rPr>
                <w:rFonts w:ascii="Arial" w:hAnsi="Arial" w:cs="Arial"/>
                <w:b/>
                <w:bCs/>
                <w:sz w:val="18"/>
                <w:szCs w:val="18"/>
              </w:rPr>
              <w:t>058</w:t>
            </w:r>
          </w:p>
        </w:tc>
        <w:tc>
          <w:tcPr>
            <w:tcW w:w="1234" w:type="dxa"/>
            <w:shd w:val="clear" w:color="auto" w:fill="D86DCB" w:themeFill="accent5" w:themeFillTint="99"/>
            <w:noWrap/>
          </w:tcPr>
          <w:p w14:paraId="2E98627A" w14:textId="77777777" w:rsidR="00A155A2" w:rsidRPr="00DC4334" w:rsidRDefault="00A155A2" w:rsidP="001C77D2">
            <w:pPr>
              <w:jc w:val="center"/>
              <w:rPr>
                <w:rFonts w:ascii="Arial" w:hAnsi="Arial" w:cs="Arial"/>
                <w:b/>
                <w:bCs/>
                <w:color w:val="C00000"/>
                <w:sz w:val="18"/>
                <w:szCs w:val="18"/>
              </w:rPr>
            </w:pPr>
            <w:r w:rsidRPr="00DC4334">
              <w:rPr>
                <w:rFonts w:ascii="Arial" w:hAnsi="Arial" w:cs="Arial"/>
                <w:b/>
                <w:bCs/>
                <w:sz w:val="18"/>
                <w:szCs w:val="18"/>
              </w:rPr>
              <w:t>36.489.207</w:t>
            </w:r>
          </w:p>
        </w:tc>
        <w:tc>
          <w:tcPr>
            <w:tcW w:w="901" w:type="dxa"/>
            <w:shd w:val="clear" w:color="auto" w:fill="D86DCB" w:themeFill="accent5" w:themeFillTint="99"/>
            <w:noWrap/>
            <w:hideMark/>
          </w:tcPr>
          <w:p w14:paraId="27069D37" w14:textId="77777777" w:rsidR="00A155A2" w:rsidRPr="00DC4334" w:rsidRDefault="00A155A2" w:rsidP="001C77D2">
            <w:pPr>
              <w:jc w:val="center"/>
              <w:rPr>
                <w:rFonts w:ascii="Arial" w:hAnsi="Arial" w:cs="Arial"/>
                <w:b/>
                <w:bCs/>
                <w:color w:val="C00000"/>
                <w:sz w:val="18"/>
                <w:szCs w:val="18"/>
              </w:rPr>
            </w:pPr>
            <w:r w:rsidRPr="00DC4334">
              <w:rPr>
                <w:rFonts w:ascii="Arial" w:hAnsi="Arial" w:cs="Arial"/>
                <w:b/>
                <w:bCs/>
                <w:sz w:val="18"/>
                <w:szCs w:val="18"/>
              </w:rPr>
              <w:t>113,5</w:t>
            </w:r>
          </w:p>
        </w:tc>
        <w:tc>
          <w:tcPr>
            <w:tcW w:w="1225" w:type="dxa"/>
            <w:shd w:val="clear" w:color="auto" w:fill="D86DCB" w:themeFill="accent5" w:themeFillTint="99"/>
            <w:noWrap/>
            <w:hideMark/>
          </w:tcPr>
          <w:p w14:paraId="43CA17FA" w14:textId="77777777" w:rsidR="00A155A2" w:rsidRPr="00DC4334" w:rsidRDefault="00A155A2" w:rsidP="001C77D2">
            <w:pPr>
              <w:jc w:val="center"/>
              <w:rPr>
                <w:rFonts w:ascii="Arial" w:hAnsi="Arial" w:cs="Arial"/>
                <w:b/>
                <w:bCs/>
                <w:color w:val="C00000"/>
                <w:sz w:val="18"/>
                <w:szCs w:val="16"/>
              </w:rPr>
            </w:pPr>
            <w:r w:rsidRPr="00DC4334">
              <w:rPr>
                <w:rFonts w:ascii="Arial" w:hAnsi="Arial" w:cs="Arial"/>
                <w:b/>
                <w:bCs/>
                <w:sz w:val="18"/>
                <w:szCs w:val="18"/>
              </w:rPr>
              <w:t>110,9</w:t>
            </w:r>
          </w:p>
        </w:tc>
      </w:tr>
      <w:tr w:rsidR="00A155A2" w:rsidRPr="006F18F7" w14:paraId="166FF2B1" w14:textId="77777777" w:rsidTr="001C77D2">
        <w:trPr>
          <w:trHeight w:val="196"/>
        </w:trPr>
        <w:tc>
          <w:tcPr>
            <w:tcW w:w="2023" w:type="dxa"/>
            <w:shd w:val="clear" w:color="auto" w:fill="auto"/>
            <w:noWrap/>
            <w:vAlign w:val="center"/>
            <w:hideMark/>
          </w:tcPr>
          <w:p w14:paraId="0BFC8CA9" w14:textId="77777777" w:rsidR="00A155A2" w:rsidRPr="00A75ACE" w:rsidRDefault="00A155A2" w:rsidP="001C77D2">
            <w:pPr>
              <w:spacing w:after="0" w:line="240" w:lineRule="auto"/>
              <w:rPr>
                <w:rFonts w:ascii="Arial" w:eastAsia="Times New Roman" w:hAnsi="Arial" w:cs="Arial"/>
                <w:b/>
                <w:bCs/>
                <w:sz w:val="18"/>
                <w:szCs w:val="18"/>
                <w:lang w:eastAsia="sl-SI"/>
              </w:rPr>
            </w:pPr>
            <w:r w:rsidRPr="00A75ACE">
              <w:rPr>
                <w:rFonts w:ascii="Arial" w:eastAsia="Times New Roman" w:hAnsi="Arial" w:cs="Arial"/>
                <w:b/>
                <w:bCs/>
                <w:sz w:val="18"/>
                <w:szCs w:val="18"/>
                <w:lang w:eastAsia="sl-SI"/>
              </w:rPr>
              <w:t>od tega poslovni subjekt</w:t>
            </w:r>
            <w:r>
              <w:rPr>
                <w:rFonts w:ascii="Arial" w:eastAsia="Times New Roman" w:hAnsi="Arial" w:cs="Arial"/>
                <w:b/>
                <w:bCs/>
                <w:sz w:val="18"/>
                <w:szCs w:val="18"/>
                <w:lang w:eastAsia="sl-SI"/>
              </w:rPr>
              <w:t>i</w:t>
            </w:r>
          </w:p>
        </w:tc>
        <w:tc>
          <w:tcPr>
            <w:tcW w:w="1204" w:type="dxa"/>
            <w:shd w:val="clear" w:color="auto" w:fill="auto"/>
            <w:noWrap/>
            <w:vAlign w:val="center"/>
            <w:hideMark/>
          </w:tcPr>
          <w:p w14:paraId="72ACF7C6" w14:textId="77777777" w:rsidR="00A155A2" w:rsidRPr="008E3111" w:rsidRDefault="00A155A2" w:rsidP="001C77D2">
            <w:pPr>
              <w:jc w:val="center"/>
              <w:rPr>
                <w:rFonts w:ascii="Arial" w:hAnsi="Arial" w:cs="Arial"/>
                <w:color w:val="C00000"/>
                <w:sz w:val="18"/>
                <w:szCs w:val="18"/>
              </w:rPr>
            </w:pPr>
            <w:r w:rsidRPr="008E3111">
              <w:rPr>
                <w:rFonts w:ascii="Arial" w:hAnsi="Arial" w:cs="Arial"/>
                <w:sz w:val="18"/>
                <w:szCs w:val="18"/>
              </w:rPr>
              <w:t>621</w:t>
            </w:r>
          </w:p>
        </w:tc>
        <w:tc>
          <w:tcPr>
            <w:tcW w:w="1234" w:type="dxa"/>
            <w:shd w:val="clear" w:color="auto" w:fill="auto"/>
            <w:noWrap/>
            <w:vAlign w:val="center"/>
            <w:hideMark/>
          </w:tcPr>
          <w:p w14:paraId="70AA5299" w14:textId="77777777" w:rsidR="00A155A2" w:rsidRPr="008E3111" w:rsidRDefault="00A155A2" w:rsidP="001C77D2">
            <w:pPr>
              <w:jc w:val="center"/>
              <w:rPr>
                <w:rFonts w:ascii="Arial" w:hAnsi="Arial" w:cs="Arial"/>
                <w:color w:val="C00000"/>
                <w:sz w:val="18"/>
                <w:szCs w:val="18"/>
              </w:rPr>
            </w:pPr>
            <w:r w:rsidRPr="008E3111">
              <w:rPr>
                <w:rFonts w:ascii="Arial" w:hAnsi="Arial" w:cs="Arial"/>
                <w:sz w:val="18"/>
                <w:szCs w:val="18"/>
              </w:rPr>
              <w:t>16.062.875</w:t>
            </w:r>
          </w:p>
        </w:tc>
        <w:tc>
          <w:tcPr>
            <w:tcW w:w="1204" w:type="dxa"/>
            <w:shd w:val="clear" w:color="auto" w:fill="auto"/>
            <w:noWrap/>
            <w:vAlign w:val="center"/>
          </w:tcPr>
          <w:p w14:paraId="512FB888"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419</w:t>
            </w:r>
          </w:p>
        </w:tc>
        <w:tc>
          <w:tcPr>
            <w:tcW w:w="1234" w:type="dxa"/>
            <w:shd w:val="clear" w:color="auto" w:fill="auto"/>
            <w:noWrap/>
            <w:vAlign w:val="center"/>
          </w:tcPr>
          <w:p w14:paraId="2EC72A79"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14.811.138</w:t>
            </w:r>
          </w:p>
        </w:tc>
        <w:tc>
          <w:tcPr>
            <w:tcW w:w="901" w:type="dxa"/>
            <w:shd w:val="clear" w:color="auto" w:fill="auto"/>
            <w:noWrap/>
          </w:tcPr>
          <w:p w14:paraId="29B54178"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67,5</w:t>
            </w:r>
          </w:p>
        </w:tc>
        <w:tc>
          <w:tcPr>
            <w:tcW w:w="1225" w:type="dxa"/>
            <w:shd w:val="clear" w:color="auto" w:fill="auto"/>
            <w:noWrap/>
          </w:tcPr>
          <w:p w14:paraId="299D6672" w14:textId="77777777" w:rsidR="00A155A2" w:rsidRPr="000A61D6" w:rsidRDefault="00A155A2" w:rsidP="001C77D2">
            <w:pPr>
              <w:jc w:val="center"/>
              <w:rPr>
                <w:rFonts w:ascii="Arial" w:hAnsi="Arial" w:cs="Arial"/>
                <w:sz w:val="18"/>
                <w:szCs w:val="18"/>
              </w:rPr>
            </w:pPr>
            <w:r w:rsidRPr="000A61D6">
              <w:rPr>
                <w:rFonts w:ascii="Arial" w:hAnsi="Arial" w:cs="Arial"/>
                <w:sz w:val="18"/>
                <w:szCs w:val="18"/>
              </w:rPr>
              <w:t>92,2</w:t>
            </w:r>
          </w:p>
        </w:tc>
      </w:tr>
    </w:tbl>
    <w:p w14:paraId="5FBE2A85" w14:textId="77777777" w:rsidR="00A155A2" w:rsidRDefault="00A155A2" w:rsidP="00A155A2">
      <w:pPr>
        <w:spacing w:after="0"/>
        <w:jc w:val="both"/>
        <w:rPr>
          <w:rFonts w:ascii="Arial" w:hAnsi="Arial" w:cs="Arial"/>
          <w:i/>
          <w:iCs/>
          <w:sz w:val="20"/>
          <w:szCs w:val="20"/>
        </w:rPr>
      </w:pPr>
      <w:r w:rsidRPr="00C92301">
        <w:rPr>
          <w:rFonts w:ascii="Arial" w:hAnsi="Arial" w:cs="Arial"/>
          <w:i/>
          <w:iCs/>
          <w:sz w:val="20"/>
          <w:szCs w:val="20"/>
        </w:rPr>
        <w:t>Vir: FURS</w:t>
      </w:r>
    </w:p>
    <w:p w14:paraId="1D720F54" w14:textId="77777777" w:rsidR="00A155A2" w:rsidRDefault="00A155A2" w:rsidP="00A155A2">
      <w:pPr>
        <w:spacing w:after="0"/>
        <w:jc w:val="both"/>
        <w:rPr>
          <w:rFonts w:ascii="Arial" w:hAnsi="Arial" w:cs="Arial"/>
          <w:i/>
          <w:iCs/>
          <w:sz w:val="20"/>
          <w:szCs w:val="20"/>
        </w:rPr>
      </w:pPr>
    </w:p>
    <w:p w14:paraId="3BC2C948" w14:textId="77777777" w:rsidR="00A155A2" w:rsidRPr="006F18F7" w:rsidRDefault="00A155A2" w:rsidP="00A155A2">
      <w:pPr>
        <w:pStyle w:val="FURSNavaden"/>
        <w:spacing w:line="276" w:lineRule="auto"/>
      </w:pPr>
      <w:r w:rsidRPr="00134F7A">
        <w:t>Odlog</w:t>
      </w:r>
      <w:r>
        <w:t>a</w:t>
      </w:r>
      <w:r w:rsidRPr="00134F7A">
        <w:t xml:space="preserve"> plačila oziroma obročn</w:t>
      </w:r>
      <w:r>
        <w:t>ega</w:t>
      </w:r>
      <w:r w:rsidRPr="00134F7A">
        <w:t xml:space="preserve"> plačil</w:t>
      </w:r>
      <w:r>
        <w:t>a</w:t>
      </w:r>
      <w:r w:rsidRPr="00134F7A">
        <w:t xml:space="preserve"> ni dovoljeno</w:t>
      </w:r>
      <w:r>
        <w:t xml:space="preserve"> odobriti</w:t>
      </w:r>
      <w:r w:rsidRPr="00134F7A">
        <w:t xml:space="preserve"> </w:t>
      </w:r>
      <w:r w:rsidRPr="006F18F7">
        <w:t>za akontacije davka, davčn</w:t>
      </w:r>
      <w:r>
        <w:t>e</w:t>
      </w:r>
      <w:r w:rsidRPr="006F18F7">
        <w:t xml:space="preserve"> odtegljaj</w:t>
      </w:r>
      <w:r>
        <w:t>e</w:t>
      </w:r>
      <w:r w:rsidRPr="006F18F7">
        <w:t xml:space="preserve">, prispevke za pokojninsko in invalidsko zavarovanje, prispevke za zdravstveno zavarovanje, globe in stroške postopka o prekršku, obveznosti, za katere davčni organ vodi samo izvršbo in ne vodi knjigovodskih evidenc, ter za obveznosti, na katere učinkuje postopek zaradi insolventnosti. </w:t>
      </w:r>
    </w:p>
    <w:p w14:paraId="3AB098BD" w14:textId="77777777" w:rsidR="00A155A2" w:rsidRPr="006F18F7" w:rsidRDefault="00A155A2" w:rsidP="00A155A2">
      <w:pPr>
        <w:pStyle w:val="FURSNavaden"/>
        <w:spacing w:line="276" w:lineRule="auto"/>
      </w:pPr>
    </w:p>
    <w:p w14:paraId="23E04C60" w14:textId="77777777" w:rsidR="00A155A2" w:rsidRPr="006F18F7" w:rsidRDefault="00A155A2" w:rsidP="00A155A2">
      <w:pPr>
        <w:pStyle w:val="FURSNavaden"/>
        <w:spacing w:line="276" w:lineRule="auto"/>
      </w:pPr>
      <w:r>
        <w:t>Za</w:t>
      </w:r>
      <w:r w:rsidRPr="006F18F7">
        <w:t xml:space="preserve"> glob</w:t>
      </w:r>
      <w:r>
        <w:t>e</w:t>
      </w:r>
      <w:r w:rsidRPr="006F18F7">
        <w:t xml:space="preserve"> in strošk</w:t>
      </w:r>
      <w:r>
        <w:t>e</w:t>
      </w:r>
      <w:r w:rsidRPr="006F18F7">
        <w:t xml:space="preserve"> postopka o prekršku se lahko </w:t>
      </w:r>
      <w:r>
        <w:t>odobri</w:t>
      </w:r>
      <w:r w:rsidRPr="006F18F7">
        <w:t xml:space="preserve"> le obročno odplačilo v skladu z določbami zakona, ki ureja prekrške. </w:t>
      </w:r>
    </w:p>
    <w:p w14:paraId="6EDEBDD0" w14:textId="77777777" w:rsidR="00A155A2" w:rsidRDefault="00A155A2" w:rsidP="00A155A2">
      <w:pPr>
        <w:pStyle w:val="FURSNavaden"/>
        <w:spacing w:line="276" w:lineRule="auto"/>
      </w:pPr>
    </w:p>
    <w:p w14:paraId="7224C494" w14:textId="77777777" w:rsidR="00A155A2" w:rsidRDefault="00A155A2" w:rsidP="00A155A2">
      <w:pPr>
        <w:spacing w:after="0"/>
        <w:jc w:val="both"/>
        <w:rPr>
          <w:rFonts w:ascii="Arial" w:hAnsi="Arial" w:cs="Arial"/>
          <w:i/>
          <w:iCs/>
          <w:sz w:val="20"/>
          <w:szCs w:val="20"/>
        </w:rPr>
      </w:pPr>
      <w:bookmarkStart w:id="17" w:name="_Hlk160091682"/>
      <w:bookmarkEnd w:id="15"/>
    </w:p>
    <w:bookmarkEnd w:id="16"/>
    <w:bookmarkEnd w:id="17"/>
    <w:p w14:paraId="079650E3" w14:textId="77777777" w:rsidR="00A155A2" w:rsidRPr="00D35294" w:rsidRDefault="00A155A2" w:rsidP="00A155A2">
      <w:pPr>
        <w:pStyle w:val="Brezrazmikov"/>
        <w:spacing w:line="276" w:lineRule="auto"/>
        <w:rPr>
          <w:rFonts w:ascii="Arial" w:hAnsi="Arial" w:cs="Arial"/>
          <w:b/>
          <w:color w:val="3A7C22" w:themeColor="accent6" w:themeShade="BF"/>
          <w:lang w:eastAsia="sl-SI"/>
        </w:rPr>
      </w:pPr>
      <w:r w:rsidRPr="00582A6A">
        <w:rPr>
          <w:rFonts w:ascii="Arial" w:hAnsi="Arial" w:cs="Arial"/>
          <w:b/>
          <w:lang w:eastAsia="sl-SI"/>
        </w:rPr>
        <w:t>6</w:t>
      </w:r>
      <w:r>
        <w:rPr>
          <w:rFonts w:ascii="Arial" w:hAnsi="Arial" w:cs="Arial"/>
          <w:b/>
          <w:lang w:eastAsia="sl-SI"/>
        </w:rPr>
        <w:tab/>
      </w:r>
      <w:r w:rsidRPr="00582A6A">
        <w:rPr>
          <w:rFonts w:ascii="Arial" w:hAnsi="Arial" w:cs="Arial"/>
          <w:b/>
          <w:lang w:eastAsia="sl-SI"/>
        </w:rPr>
        <w:t>Rezultati ukrepov izterjave</w:t>
      </w:r>
      <w:r>
        <w:rPr>
          <w:rFonts w:ascii="Arial" w:hAnsi="Arial" w:cs="Arial"/>
          <w:b/>
          <w:lang w:eastAsia="sl-SI"/>
        </w:rPr>
        <w:t xml:space="preserve"> </w:t>
      </w:r>
    </w:p>
    <w:p w14:paraId="2CA9D654" w14:textId="77777777" w:rsidR="00A155A2" w:rsidRPr="00E26F75" w:rsidRDefault="00A155A2" w:rsidP="00A155A2">
      <w:pPr>
        <w:pStyle w:val="Brezrazmikov"/>
        <w:spacing w:line="276" w:lineRule="auto"/>
        <w:rPr>
          <w:lang w:eastAsia="sl-SI"/>
        </w:rPr>
      </w:pPr>
    </w:p>
    <w:p w14:paraId="0A902165" w14:textId="77777777" w:rsidR="00A155A2" w:rsidRPr="00E008FC" w:rsidRDefault="00A155A2" w:rsidP="00A155A2">
      <w:pPr>
        <w:jc w:val="both"/>
        <w:rPr>
          <w:rFonts w:ascii="Arial" w:hAnsi="Arial" w:cs="Arial"/>
          <w:bCs/>
          <w:sz w:val="20"/>
          <w:szCs w:val="20"/>
        </w:rPr>
      </w:pPr>
      <w:r w:rsidRPr="00E008FC">
        <w:rPr>
          <w:rFonts w:ascii="Arial" w:hAnsi="Arial" w:cs="Arial"/>
          <w:bCs/>
          <w:sz w:val="20"/>
          <w:szCs w:val="20"/>
        </w:rPr>
        <w:t xml:space="preserve">FURS je </w:t>
      </w:r>
      <w:r>
        <w:rPr>
          <w:rFonts w:ascii="Arial" w:hAnsi="Arial" w:cs="Arial"/>
          <w:bCs/>
          <w:sz w:val="20"/>
          <w:szCs w:val="20"/>
        </w:rPr>
        <w:t>predvsem</w:t>
      </w:r>
      <w:r w:rsidRPr="00E008FC">
        <w:rPr>
          <w:rFonts w:ascii="Arial" w:hAnsi="Arial" w:cs="Arial"/>
          <w:bCs/>
          <w:sz w:val="20"/>
          <w:szCs w:val="20"/>
        </w:rPr>
        <w:t xml:space="preserve"> pristojen za izterjavo davkov, prispevkov in drugih obveznih dajatev, ki jih sam odmerja, izterjuje pa tudi nedavčne obveznosti drugih predlagateljev, če </w:t>
      </w:r>
      <w:r>
        <w:rPr>
          <w:rFonts w:ascii="Arial" w:hAnsi="Arial" w:cs="Arial"/>
          <w:bCs/>
          <w:sz w:val="20"/>
          <w:szCs w:val="20"/>
        </w:rPr>
        <w:t xml:space="preserve">je </w:t>
      </w:r>
      <w:r w:rsidRPr="00E008FC">
        <w:rPr>
          <w:rFonts w:ascii="Arial" w:hAnsi="Arial" w:cs="Arial"/>
          <w:bCs/>
          <w:sz w:val="20"/>
          <w:szCs w:val="20"/>
        </w:rPr>
        <w:t xml:space="preserve">za to pravna podlaga v zakonu. </w:t>
      </w:r>
    </w:p>
    <w:p w14:paraId="565DE11A" w14:textId="77777777" w:rsidR="00A155A2" w:rsidRPr="00E008FC" w:rsidRDefault="00A155A2" w:rsidP="00A155A2">
      <w:pPr>
        <w:jc w:val="both"/>
        <w:rPr>
          <w:rFonts w:ascii="Arial" w:eastAsia="Times New Roman" w:hAnsi="Arial" w:cs="Arial"/>
          <w:sz w:val="20"/>
          <w:szCs w:val="20"/>
        </w:rPr>
      </w:pPr>
      <w:r>
        <w:rPr>
          <w:rFonts w:ascii="Arial" w:eastAsia="Times New Roman" w:hAnsi="Arial" w:cs="Arial"/>
          <w:sz w:val="20"/>
          <w:szCs w:val="20"/>
        </w:rPr>
        <w:t>Čeprav</w:t>
      </w:r>
      <w:r w:rsidRPr="00E008FC">
        <w:rPr>
          <w:rFonts w:ascii="Arial" w:eastAsia="Times New Roman" w:hAnsi="Arial" w:cs="Arial"/>
          <w:sz w:val="20"/>
          <w:szCs w:val="20"/>
        </w:rPr>
        <w:t xml:space="preserve"> zakonodaja ne predpisuje obveznega opominjanja, FURS uporabnikom mobilne aplikacije </w:t>
      </w:r>
      <w:proofErr w:type="spellStart"/>
      <w:r w:rsidRPr="00E008FC">
        <w:rPr>
          <w:rFonts w:ascii="Arial" w:eastAsia="Times New Roman" w:hAnsi="Arial" w:cs="Arial"/>
          <w:sz w:val="20"/>
          <w:szCs w:val="20"/>
        </w:rPr>
        <w:t>eDavki</w:t>
      </w:r>
      <w:proofErr w:type="spellEnd"/>
      <w:r w:rsidRPr="00E008FC">
        <w:rPr>
          <w:rFonts w:ascii="Arial" w:eastAsia="Times New Roman" w:hAnsi="Arial" w:cs="Arial"/>
          <w:sz w:val="20"/>
          <w:szCs w:val="20"/>
        </w:rPr>
        <w:t xml:space="preserve"> pred zapadlostjo njihovih obveznosti omogoča obveščanje o izteku roka za plačilo davka, če so na to storitev naročeni. </w:t>
      </w:r>
    </w:p>
    <w:p w14:paraId="6A91923C" w14:textId="77777777" w:rsidR="00A155A2" w:rsidRPr="00E008FC" w:rsidRDefault="00A155A2" w:rsidP="00A155A2">
      <w:pPr>
        <w:jc w:val="both"/>
        <w:rPr>
          <w:rFonts w:ascii="Arial" w:eastAsia="Times New Roman" w:hAnsi="Arial" w:cs="Arial"/>
          <w:sz w:val="20"/>
          <w:szCs w:val="20"/>
        </w:rPr>
      </w:pPr>
      <w:r w:rsidRPr="00E008FC">
        <w:rPr>
          <w:rFonts w:ascii="Arial" w:eastAsia="Times New Roman" w:hAnsi="Arial" w:cs="Arial"/>
          <w:sz w:val="20"/>
          <w:szCs w:val="20"/>
        </w:rPr>
        <w:t>Po zapadlosti terjatev in pred začetkom davčne izvršbe FURS pozove dolžnik</w:t>
      </w:r>
      <w:r>
        <w:rPr>
          <w:rFonts w:ascii="Arial" w:eastAsia="Times New Roman" w:hAnsi="Arial" w:cs="Arial"/>
          <w:sz w:val="20"/>
          <w:szCs w:val="20"/>
        </w:rPr>
        <w:t>e</w:t>
      </w:r>
      <w:r w:rsidRPr="00E008FC">
        <w:rPr>
          <w:rFonts w:ascii="Arial" w:eastAsia="Times New Roman" w:hAnsi="Arial" w:cs="Arial"/>
          <w:sz w:val="20"/>
          <w:szCs w:val="20"/>
        </w:rPr>
        <w:t xml:space="preserve"> k prostovoljni poravnavi zapadl</w:t>
      </w:r>
      <w:r>
        <w:rPr>
          <w:rFonts w:ascii="Arial" w:eastAsia="Times New Roman" w:hAnsi="Arial" w:cs="Arial"/>
          <w:sz w:val="20"/>
          <w:szCs w:val="20"/>
        </w:rPr>
        <w:t>ih</w:t>
      </w:r>
      <w:r w:rsidRPr="00E008FC">
        <w:rPr>
          <w:rFonts w:ascii="Arial" w:eastAsia="Times New Roman" w:hAnsi="Arial" w:cs="Arial"/>
          <w:sz w:val="20"/>
          <w:szCs w:val="20"/>
        </w:rPr>
        <w:t xml:space="preserve"> obveznost</w:t>
      </w:r>
      <w:r>
        <w:rPr>
          <w:rFonts w:ascii="Arial" w:eastAsia="Times New Roman" w:hAnsi="Arial" w:cs="Arial"/>
          <w:sz w:val="20"/>
          <w:szCs w:val="20"/>
        </w:rPr>
        <w:t>i</w:t>
      </w:r>
      <w:r w:rsidRPr="00E008FC">
        <w:rPr>
          <w:rFonts w:ascii="Arial" w:eastAsia="Times New Roman" w:hAnsi="Arial" w:cs="Arial"/>
          <w:sz w:val="20"/>
          <w:szCs w:val="20"/>
        </w:rPr>
        <w:t xml:space="preserve"> z opominom, ki poleg poziva k plačilu opozori tudi na posledice neplačila dolga in stroške, ki bi </w:t>
      </w:r>
      <w:r>
        <w:rPr>
          <w:rFonts w:ascii="Arial" w:eastAsia="Times New Roman" w:hAnsi="Arial" w:cs="Arial"/>
          <w:sz w:val="20"/>
          <w:szCs w:val="20"/>
        </w:rPr>
        <w:t>jih</w:t>
      </w:r>
      <w:r w:rsidRPr="00E008FC">
        <w:rPr>
          <w:rFonts w:ascii="Arial" w:eastAsia="Times New Roman" w:hAnsi="Arial" w:cs="Arial"/>
          <w:sz w:val="20"/>
          <w:szCs w:val="20"/>
        </w:rPr>
        <w:t xml:space="preserve"> bremenili </w:t>
      </w:r>
      <w:r>
        <w:rPr>
          <w:rFonts w:ascii="Arial" w:eastAsia="Times New Roman" w:hAnsi="Arial" w:cs="Arial"/>
          <w:sz w:val="20"/>
          <w:szCs w:val="20"/>
        </w:rPr>
        <w:t>ob morebitnem</w:t>
      </w:r>
      <w:r w:rsidRPr="00E008FC">
        <w:rPr>
          <w:rFonts w:ascii="Arial" w:eastAsia="Times New Roman" w:hAnsi="Arial" w:cs="Arial"/>
          <w:sz w:val="20"/>
          <w:szCs w:val="20"/>
        </w:rPr>
        <w:t xml:space="preserve"> začetk</w:t>
      </w:r>
      <w:r>
        <w:rPr>
          <w:rFonts w:ascii="Arial" w:eastAsia="Times New Roman" w:hAnsi="Arial" w:cs="Arial"/>
          <w:sz w:val="20"/>
          <w:szCs w:val="20"/>
        </w:rPr>
        <w:t>u</w:t>
      </w:r>
      <w:r w:rsidRPr="00E008FC">
        <w:rPr>
          <w:rFonts w:ascii="Arial" w:eastAsia="Times New Roman" w:hAnsi="Arial" w:cs="Arial"/>
          <w:sz w:val="20"/>
          <w:szCs w:val="20"/>
        </w:rPr>
        <w:t xml:space="preserve"> izvršbe. </w:t>
      </w:r>
    </w:p>
    <w:p w14:paraId="6DA4084C" w14:textId="77777777" w:rsidR="00A155A2" w:rsidRPr="003E2A34" w:rsidRDefault="00A155A2" w:rsidP="00A155A2">
      <w:pPr>
        <w:jc w:val="both"/>
        <w:rPr>
          <w:rFonts w:ascii="Arial" w:hAnsi="Arial" w:cs="Arial"/>
          <w:bCs/>
          <w:sz w:val="20"/>
          <w:szCs w:val="20"/>
        </w:rPr>
      </w:pPr>
      <w:r w:rsidRPr="00E008FC">
        <w:rPr>
          <w:rFonts w:ascii="Arial" w:hAnsi="Arial" w:cs="Arial"/>
          <w:bCs/>
          <w:sz w:val="20"/>
          <w:szCs w:val="20"/>
        </w:rPr>
        <w:t xml:space="preserve">FURS poziva dolžnike k plačilu tudi z izdajo pozivov </w:t>
      </w:r>
      <w:r>
        <w:rPr>
          <w:rFonts w:ascii="Arial" w:hAnsi="Arial" w:cs="Arial"/>
          <w:bCs/>
          <w:sz w:val="20"/>
          <w:szCs w:val="20"/>
        </w:rPr>
        <w:t>k</w:t>
      </w:r>
      <w:r w:rsidRPr="00E008FC">
        <w:rPr>
          <w:rFonts w:ascii="Arial" w:hAnsi="Arial" w:cs="Arial"/>
          <w:bCs/>
          <w:sz w:val="20"/>
          <w:szCs w:val="20"/>
        </w:rPr>
        <w:t xml:space="preserve"> plačil</w:t>
      </w:r>
      <w:r>
        <w:rPr>
          <w:rFonts w:ascii="Arial" w:hAnsi="Arial" w:cs="Arial"/>
          <w:bCs/>
          <w:sz w:val="20"/>
          <w:szCs w:val="20"/>
        </w:rPr>
        <w:t>u</w:t>
      </w:r>
      <w:r w:rsidRPr="00E008FC">
        <w:rPr>
          <w:rFonts w:ascii="Arial" w:hAnsi="Arial" w:cs="Arial"/>
          <w:bCs/>
          <w:sz w:val="20"/>
          <w:szCs w:val="20"/>
        </w:rPr>
        <w:t xml:space="preserve"> in predložitv</w:t>
      </w:r>
      <w:r>
        <w:rPr>
          <w:rFonts w:ascii="Arial" w:hAnsi="Arial" w:cs="Arial"/>
          <w:bCs/>
          <w:sz w:val="20"/>
          <w:szCs w:val="20"/>
        </w:rPr>
        <w:t>i</w:t>
      </w:r>
      <w:r w:rsidRPr="00E008FC">
        <w:rPr>
          <w:rFonts w:ascii="Arial" w:hAnsi="Arial" w:cs="Arial"/>
          <w:bCs/>
          <w:sz w:val="20"/>
          <w:szCs w:val="20"/>
        </w:rPr>
        <w:t xml:space="preserve"> seznama premoženja. V skladu z načelom ekonomičnosti in sorazmernosti izvršilnih sredstev postopkov davčne izvršbe ni</w:t>
      </w:r>
      <w:r w:rsidRPr="0090615A">
        <w:rPr>
          <w:rFonts w:ascii="Arial" w:hAnsi="Arial" w:cs="Arial"/>
          <w:bCs/>
          <w:sz w:val="20"/>
          <w:szCs w:val="20"/>
        </w:rPr>
        <w:t xml:space="preserve"> mogoče oziroma smiselno začeti </w:t>
      </w:r>
      <w:r>
        <w:rPr>
          <w:rFonts w:ascii="Arial" w:hAnsi="Arial" w:cs="Arial"/>
          <w:bCs/>
          <w:sz w:val="20"/>
          <w:szCs w:val="20"/>
        </w:rPr>
        <w:t>pri</w:t>
      </w:r>
      <w:r w:rsidRPr="0090615A">
        <w:rPr>
          <w:rFonts w:ascii="Arial" w:hAnsi="Arial" w:cs="Arial"/>
          <w:bCs/>
          <w:sz w:val="20"/>
          <w:szCs w:val="20"/>
        </w:rPr>
        <w:t xml:space="preserve"> </w:t>
      </w:r>
      <w:r w:rsidRPr="0017612D">
        <w:rPr>
          <w:rFonts w:ascii="Arial" w:hAnsi="Arial" w:cs="Arial"/>
          <w:bCs/>
          <w:sz w:val="20"/>
          <w:szCs w:val="20"/>
        </w:rPr>
        <w:t>dolžnikih z nizkimi dolgovanimi</w:t>
      </w:r>
      <w:r w:rsidRPr="0090615A">
        <w:rPr>
          <w:rFonts w:ascii="Arial" w:hAnsi="Arial" w:cs="Arial"/>
          <w:bCs/>
          <w:sz w:val="20"/>
          <w:szCs w:val="20"/>
        </w:rPr>
        <w:t xml:space="preserve"> obveznostmi, ki ne dosegajo niti stroškov vodenja postopka</w:t>
      </w:r>
      <w:r>
        <w:rPr>
          <w:rFonts w:ascii="Arial" w:hAnsi="Arial" w:cs="Arial"/>
          <w:bCs/>
          <w:sz w:val="20"/>
          <w:szCs w:val="20"/>
        </w:rPr>
        <w:t>,</w:t>
      </w:r>
      <w:r w:rsidRPr="0090615A">
        <w:rPr>
          <w:rFonts w:ascii="Arial" w:hAnsi="Arial" w:cs="Arial"/>
          <w:bCs/>
          <w:sz w:val="20"/>
          <w:szCs w:val="20"/>
        </w:rPr>
        <w:t xml:space="preserve"> ali za nove obveznosti dolžnikov, ki po podatkih uradnih evidenc in/ali ob upoštevanju ugotovitev v predhodnih že izvedenih postopkih v Sloveniji nimajo </w:t>
      </w:r>
      <w:proofErr w:type="spellStart"/>
      <w:r w:rsidRPr="0090615A">
        <w:rPr>
          <w:rFonts w:ascii="Arial" w:hAnsi="Arial" w:cs="Arial"/>
          <w:bCs/>
          <w:sz w:val="20"/>
          <w:szCs w:val="20"/>
        </w:rPr>
        <w:t>rubljivega</w:t>
      </w:r>
      <w:proofErr w:type="spellEnd"/>
      <w:r w:rsidRPr="0090615A">
        <w:rPr>
          <w:rFonts w:ascii="Arial" w:hAnsi="Arial" w:cs="Arial"/>
          <w:bCs/>
          <w:sz w:val="20"/>
          <w:szCs w:val="20"/>
        </w:rPr>
        <w:t xml:space="preserve"> premoženja in/ali </w:t>
      </w:r>
      <w:r>
        <w:rPr>
          <w:rFonts w:ascii="Arial" w:hAnsi="Arial" w:cs="Arial"/>
          <w:bCs/>
          <w:sz w:val="20"/>
          <w:szCs w:val="20"/>
        </w:rPr>
        <w:t>pre</w:t>
      </w:r>
      <w:r w:rsidRPr="0090615A">
        <w:rPr>
          <w:rFonts w:ascii="Arial" w:hAnsi="Arial" w:cs="Arial"/>
          <w:bCs/>
          <w:sz w:val="20"/>
          <w:szCs w:val="20"/>
        </w:rPr>
        <w:t xml:space="preserve">bivališča oziroma so na uradno registriranem naslovu neznani ali </w:t>
      </w:r>
      <w:r>
        <w:rPr>
          <w:rFonts w:ascii="Arial" w:hAnsi="Arial" w:cs="Arial"/>
          <w:bCs/>
          <w:sz w:val="20"/>
          <w:szCs w:val="20"/>
        </w:rPr>
        <w:t xml:space="preserve">so </w:t>
      </w:r>
      <w:r w:rsidRPr="0090615A">
        <w:rPr>
          <w:rFonts w:ascii="Arial" w:hAnsi="Arial" w:cs="Arial"/>
          <w:bCs/>
          <w:sz w:val="20"/>
          <w:szCs w:val="20"/>
        </w:rPr>
        <w:t xml:space="preserve">na prestajanju zaporne </w:t>
      </w:r>
      <w:r w:rsidRPr="0090615A">
        <w:rPr>
          <w:rFonts w:ascii="Arial" w:hAnsi="Arial" w:cs="Arial"/>
          <w:bCs/>
          <w:sz w:val="20"/>
          <w:szCs w:val="20"/>
        </w:rPr>
        <w:lastRenderedPageBreak/>
        <w:t xml:space="preserve">kazni. Navedenim dolžnikom se izda poziv, ki </w:t>
      </w:r>
      <w:r>
        <w:rPr>
          <w:rFonts w:ascii="Arial" w:hAnsi="Arial" w:cs="Arial"/>
          <w:bCs/>
          <w:sz w:val="20"/>
          <w:szCs w:val="20"/>
        </w:rPr>
        <w:t>pomeni</w:t>
      </w:r>
      <w:r w:rsidRPr="0090615A">
        <w:rPr>
          <w:rFonts w:ascii="Arial" w:hAnsi="Arial" w:cs="Arial"/>
          <w:bCs/>
          <w:sz w:val="20"/>
          <w:szCs w:val="20"/>
        </w:rPr>
        <w:t xml:space="preserve"> uradno dejanje davčnega organa z namenom davčne izvršbe.</w:t>
      </w:r>
    </w:p>
    <w:p w14:paraId="48DF3928" w14:textId="77777777" w:rsidR="00A155A2" w:rsidRPr="00C92301"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C92301">
        <w:rPr>
          <w:rFonts w:ascii="Arial" w:hAnsi="Arial" w:cs="Arial"/>
          <w:bCs/>
          <w:sz w:val="20"/>
          <w:szCs w:val="20"/>
        </w:rPr>
        <w:t xml:space="preserve">Kljub ukrepom za </w:t>
      </w:r>
      <w:r>
        <w:rPr>
          <w:rFonts w:ascii="Arial" w:hAnsi="Arial" w:cs="Arial"/>
          <w:bCs/>
          <w:sz w:val="20"/>
          <w:szCs w:val="20"/>
        </w:rPr>
        <w:t>s</w:t>
      </w:r>
      <w:r w:rsidRPr="00C92301">
        <w:rPr>
          <w:rFonts w:ascii="Arial" w:hAnsi="Arial" w:cs="Arial"/>
          <w:bCs/>
          <w:sz w:val="20"/>
          <w:szCs w:val="20"/>
        </w:rPr>
        <w:t>podbujanje prostovoljnega plačevanja davkov (</w:t>
      </w:r>
      <w:r w:rsidRPr="00C92301">
        <w:rPr>
          <w:rFonts w:ascii="Arial" w:hAnsi="Arial" w:cs="Arial"/>
          <w:sz w:val="20"/>
          <w:szCs w:val="20"/>
        </w:rPr>
        <w:t>n</w:t>
      </w:r>
      <w:r>
        <w:rPr>
          <w:rFonts w:ascii="Arial" w:hAnsi="Arial" w:cs="Arial"/>
          <w:sz w:val="20"/>
          <w:szCs w:val="20"/>
        </w:rPr>
        <w:t xml:space="preserve">a </w:t>
      </w:r>
      <w:r w:rsidRPr="00C92301">
        <w:rPr>
          <w:rFonts w:ascii="Arial" w:hAnsi="Arial" w:cs="Arial"/>
          <w:sz w:val="20"/>
          <w:szCs w:val="20"/>
        </w:rPr>
        <w:t>pr</w:t>
      </w:r>
      <w:r>
        <w:rPr>
          <w:rFonts w:ascii="Arial" w:hAnsi="Arial" w:cs="Arial"/>
          <w:sz w:val="20"/>
          <w:szCs w:val="20"/>
        </w:rPr>
        <w:t>imer</w:t>
      </w:r>
      <w:r w:rsidRPr="00C92301">
        <w:rPr>
          <w:rFonts w:ascii="Arial" w:hAnsi="Arial" w:cs="Arial"/>
          <w:sz w:val="20"/>
          <w:szCs w:val="20"/>
        </w:rPr>
        <w:t xml:space="preserve"> ozaveščanje posameznih ciljnih skupin, medijske objave, pošiljanje opominov </w:t>
      </w:r>
      <w:r>
        <w:rPr>
          <w:rFonts w:ascii="Arial" w:hAnsi="Arial" w:cs="Arial"/>
          <w:sz w:val="20"/>
          <w:szCs w:val="20"/>
        </w:rPr>
        <w:t>in podobno</w:t>
      </w:r>
      <w:r w:rsidRPr="00C92301">
        <w:rPr>
          <w:rFonts w:ascii="Arial" w:hAnsi="Arial" w:cs="Arial"/>
          <w:sz w:val="20"/>
          <w:szCs w:val="20"/>
        </w:rPr>
        <w:t xml:space="preserve">) </w:t>
      </w:r>
      <w:r w:rsidRPr="00C92301">
        <w:rPr>
          <w:rFonts w:ascii="Arial" w:hAnsi="Arial" w:cs="Arial"/>
          <w:bCs/>
          <w:sz w:val="20"/>
          <w:szCs w:val="20"/>
        </w:rPr>
        <w:t>del davčnih obveznosti ostane neplačan, zato mora FURS dosledno, učinkovito in nepristransko uporabljati vsa zakonita sredstva prisile za izterjavo dolga</w:t>
      </w:r>
      <w:r>
        <w:rPr>
          <w:rFonts w:ascii="Arial" w:hAnsi="Arial" w:cs="Arial"/>
          <w:bCs/>
          <w:sz w:val="20"/>
          <w:szCs w:val="20"/>
        </w:rPr>
        <w:t>.</w:t>
      </w:r>
    </w:p>
    <w:p w14:paraId="36A07C96" w14:textId="77777777" w:rsidR="00A155A2" w:rsidRDefault="00A155A2" w:rsidP="00A155A2">
      <w:pPr>
        <w:jc w:val="both"/>
        <w:rPr>
          <w:rFonts w:ascii="Arial" w:hAnsi="Arial" w:cs="Arial"/>
          <w:bCs/>
          <w:sz w:val="20"/>
          <w:szCs w:val="20"/>
        </w:rPr>
      </w:pPr>
      <w:r w:rsidRPr="00DC377A">
        <w:rPr>
          <w:rFonts w:ascii="Arial" w:hAnsi="Arial" w:cs="Arial"/>
          <w:bCs/>
          <w:sz w:val="20"/>
          <w:szCs w:val="20"/>
        </w:rPr>
        <w:t xml:space="preserve">Postopek davčne izvršbe se začne z izdajo sklepa o davčni izvršbi. Z izvršbo po upravni poti se lahko </w:t>
      </w:r>
      <w:r w:rsidRPr="0017612D">
        <w:rPr>
          <w:rFonts w:ascii="Arial" w:hAnsi="Arial" w:cs="Arial"/>
          <w:bCs/>
          <w:sz w:val="20"/>
          <w:szCs w:val="20"/>
        </w:rPr>
        <w:t>poseže na dolžnikove</w:t>
      </w:r>
      <w:r w:rsidRPr="00DC377A">
        <w:rPr>
          <w:rFonts w:ascii="Arial" w:hAnsi="Arial" w:cs="Arial"/>
          <w:bCs/>
          <w:sz w:val="20"/>
          <w:szCs w:val="20"/>
        </w:rPr>
        <w:t xml:space="preserve"> denarne prejemke, denarna sredstva, ki jih ima dolžnik pri bankah ali hranilnicah, denarne terjatve do tretjih</w:t>
      </w:r>
      <w:r>
        <w:rPr>
          <w:rFonts w:ascii="Arial" w:hAnsi="Arial" w:cs="Arial"/>
          <w:bCs/>
          <w:sz w:val="20"/>
          <w:szCs w:val="20"/>
        </w:rPr>
        <w:t xml:space="preserve"> oseb</w:t>
      </w:r>
      <w:r w:rsidRPr="00DC377A">
        <w:rPr>
          <w:rFonts w:ascii="Arial" w:hAnsi="Arial" w:cs="Arial"/>
          <w:bCs/>
          <w:sz w:val="20"/>
          <w:szCs w:val="20"/>
        </w:rPr>
        <w:t>, vrednostne papirje in premičnine.</w:t>
      </w:r>
      <w:r>
        <w:rPr>
          <w:rFonts w:ascii="Arial" w:hAnsi="Arial" w:cs="Arial"/>
          <w:bCs/>
          <w:sz w:val="20"/>
          <w:szCs w:val="20"/>
        </w:rPr>
        <w:t xml:space="preserve"> </w:t>
      </w:r>
      <w:r w:rsidRPr="00C92301">
        <w:rPr>
          <w:rFonts w:ascii="Arial" w:hAnsi="Arial" w:cs="Arial"/>
          <w:bCs/>
          <w:sz w:val="20"/>
          <w:szCs w:val="20"/>
        </w:rPr>
        <w:t xml:space="preserve">Posebne oblike izvršbe so izvršba iz nepremičnega premoženja in deleža </w:t>
      </w:r>
      <w:r w:rsidRPr="0017612D">
        <w:rPr>
          <w:rFonts w:ascii="Arial" w:hAnsi="Arial" w:cs="Arial"/>
          <w:bCs/>
          <w:sz w:val="20"/>
          <w:szCs w:val="20"/>
        </w:rPr>
        <w:t xml:space="preserve">družbenika v družbi. Ukrepi davčne izvršbe so načrtovani </w:t>
      </w:r>
      <w:r>
        <w:rPr>
          <w:rFonts w:ascii="Arial" w:hAnsi="Arial" w:cs="Arial"/>
          <w:bCs/>
          <w:sz w:val="20"/>
          <w:szCs w:val="20"/>
        </w:rPr>
        <w:t>ob upoštevanju</w:t>
      </w:r>
      <w:r w:rsidRPr="0017612D">
        <w:rPr>
          <w:rFonts w:ascii="Arial" w:hAnsi="Arial" w:cs="Arial"/>
          <w:bCs/>
          <w:sz w:val="20"/>
          <w:szCs w:val="20"/>
        </w:rPr>
        <w:t xml:space="preserve"> sredst</w:t>
      </w:r>
      <w:r>
        <w:rPr>
          <w:rFonts w:ascii="Arial" w:hAnsi="Arial" w:cs="Arial"/>
          <w:bCs/>
          <w:sz w:val="20"/>
          <w:szCs w:val="20"/>
        </w:rPr>
        <w:t>e</w:t>
      </w:r>
      <w:r w:rsidRPr="0017612D">
        <w:rPr>
          <w:rFonts w:ascii="Arial" w:hAnsi="Arial" w:cs="Arial"/>
          <w:bCs/>
          <w:sz w:val="20"/>
          <w:szCs w:val="20"/>
        </w:rPr>
        <w:t>v dolžnika s ciljem čim lažjega poplačila dolga</w:t>
      </w:r>
      <w:r w:rsidRPr="00C92301">
        <w:rPr>
          <w:rFonts w:ascii="Arial" w:hAnsi="Arial" w:cs="Arial"/>
          <w:bCs/>
          <w:sz w:val="20"/>
          <w:szCs w:val="20"/>
        </w:rPr>
        <w:t xml:space="preserve"> </w:t>
      </w:r>
      <w:r w:rsidRPr="0017612D">
        <w:rPr>
          <w:rFonts w:ascii="Arial" w:hAnsi="Arial" w:cs="Arial"/>
          <w:bCs/>
          <w:sz w:val="20"/>
          <w:szCs w:val="20"/>
        </w:rPr>
        <w:t>in višin</w:t>
      </w:r>
      <w:r>
        <w:rPr>
          <w:rFonts w:ascii="Arial" w:hAnsi="Arial" w:cs="Arial"/>
          <w:bCs/>
          <w:sz w:val="20"/>
          <w:szCs w:val="20"/>
        </w:rPr>
        <w:t>e</w:t>
      </w:r>
      <w:r w:rsidRPr="00C92301">
        <w:rPr>
          <w:rFonts w:ascii="Arial" w:hAnsi="Arial" w:cs="Arial"/>
          <w:bCs/>
          <w:sz w:val="20"/>
          <w:szCs w:val="20"/>
        </w:rPr>
        <w:t xml:space="preserve"> stroškov, ki nastanejo v postopku izvršbe za davčni organ in zavezanca. </w:t>
      </w:r>
    </w:p>
    <w:p w14:paraId="45D86427" w14:textId="77777777" w:rsidR="00A155A2" w:rsidRPr="00914AA0"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C92301">
        <w:rPr>
          <w:rFonts w:ascii="Arial" w:hAnsi="Arial" w:cs="Arial"/>
          <w:bCs/>
          <w:sz w:val="20"/>
          <w:szCs w:val="20"/>
        </w:rPr>
        <w:t xml:space="preserve">Skrajni ukrep za poplačilo </w:t>
      </w:r>
      <w:r>
        <w:rPr>
          <w:rFonts w:ascii="Arial" w:hAnsi="Arial" w:cs="Arial"/>
          <w:bCs/>
          <w:sz w:val="20"/>
          <w:szCs w:val="20"/>
        </w:rPr>
        <w:t>ali</w:t>
      </w:r>
      <w:r w:rsidRPr="00C92301">
        <w:rPr>
          <w:rFonts w:ascii="Arial" w:hAnsi="Arial" w:cs="Arial"/>
          <w:bCs/>
          <w:sz w:val="20"/>
          <w:szCs w:val="20"/>
        </w:rPr>
        <w:t xml:space="preserve"> obvladovanje dolga je predlog davčnega organa za uvedbo </w:t>
      </w:r>
      <w:r w:rsidRPr="00914AA0">
        <w:rPr>
          <w:rFonts w:ascii="Arial" w:hAnsi="Arial" w:cs="Arial"/>
          <w:bCs/>
          <w:sz w:val="20"/>
          <w:szCs w:val="20"/>
        </w:rPr>
        <w:t xml:space="preserve">stečajnega postopka zoper dolžnika in izbris dolžnika iz Poslovnega registra Slovenije. </w:t>
      </w:r>
    </w:p>
    <w:p w14:paraId="198707F5" w14:textId="77777777" w:rsidR="00A155A2"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Pr>
          <w:rFonts w:ascii="Arial" w:hAnsi="Arial" w:cs="Arial"/>
          <w:bCs/>
          <w:sz w:val="20"/>
          <w:szCs w:val="20"/>
        </w:rPr>
        <w:t>Kadar</w:t>
      </w:r>
      <w:r w:rsidRPr="00914AA0">
        <w:rPr>
          <w:rFonts w:ascii="Arial" w:hAnsi="Arial" w:cs="Arial"/>
          <w:bCs/>
          <w:sz w:val="20"/>
          <w:szCs w:val="20"/>
        </w:rPr>
        <w:t xml:space="preserve"> zoper dolžnika </w:t>
      </w:r>
      <w:r>
        <w:rPr>
          <w:rFonts w:ascii="Arial" w:hAnsi="Arial" w:cs="Arial"/>
          <w:bCs/>
          <w:sz w:val="20"/>
          <w:szCs w:val="20"/>
        </w:rPr>
        <w:t>teče</w:t>
      </w:r>
      <w:r w:rsidRPr="00914AA0">
        <w:rPr>
          <w:rFonts w:ascii="Arial" w:hAnsi="Arial" w:cs="Arial"/>
          <w:bCs/>
          <w:sz w:val="20"/>
          <w:szCs w:val="20"/>
        </w:rPr>
        <w:t xml:space="preserve"> kateri </w:t>
      </w:r>
      <w:r>
        <w:rPr>
          <w:rFonts w:ascii="Arial" w:hAnsi="Arial" w:cs="Arial"/>
          <w:bCs/>
          <w:sz w:val="20"/>
          <w:szCs w:val="20"/>
        </w:rPr>
        <w:t>o</w:t>
      </w:r>
      <w:r w:rsidRPr="00914AA0">
        <w:rPr>
          <w:rFonts w:ascii="Arial" w:hAnsi="Arial" w:cs="Arial"/>
          <w:bCs/>
          <w:sz w:val="20"/>
          <w:szCs w:val="20"/>
        </w:rPr>
        <w:t>d postopkov zaradi insolventnosti, je pri uveljavljanju terjatev treb</w:t>
      </w:r>
      <w:r>
        <w:rPr>
          <w:rFonts w:ascii="Arial" w:hAnsi="Arial" w:cs="Arial"/>
          <w:bCs/>
          <w:sz w:val="20"/>
          <w:szCs w:val="20"/>
        </w:rPr>
        <w:t>a</w:t>
      </w:r>
      <w:r w:rsidRPr="00914AA0">
        <w:rPr>
          <w:rFonts w:ascii="Arial" w:hAnsi="Arial" w:cs="Arial"/>
          <w:bCs/>
          <w:sz w:val="20"/>
          <w:szCs w:val="20"/>
        </w:rPr>
        <w:t xml:space="preserve"> upoštevati pravila </w:t>
      </w:r>
      <w:proofErr w:type="spellStart"/>
      <w:r w:rsidRPr="00914AA0">
        <w:rPr>
          <w:rFonts w:ascii="Arial" w:hAnsi="Arial" w:cs="Arial"/>
          <w:bCs/>
          <w:sz w:val="20"/>
          <w:szCs w:val="20"/>
        </w:rPr>
        <w:t>insolvenčne</w:t>
      </w:r>
      <w:proofErr w:type="spellEnd"/>
      <w:r w:rsidRPr="00914AA0">
        <w:rPr>
          <w:rFonts w:ascii="Arial" w:hAnsi="Arial" w:cs="Arial"/>
          <w:bCs/>
          <w:sz w:val="20"/>
          <w:szCs w:val="20"/>
        </w:rPr>
        <w:t xml:space="preserve"> zakonodaje. </w:t>
      </w:r>
      <w:r>
        <w:rPr>
          <w:rFonts w:ascii="Arial" w:hAnsi="Arial" w:cs="Arial"/>
          <w:bCs/>
          <w:sz w:val="20"/>
          <w:szCs w:val="20"/>
        </w:rPr>
        <w:t>Med</w:t>
      </w:r>
      <w:r w:rsidRPr="0017612D">
        <w:rPr>
          <w:rFonts w:ascii="Arial" w:hAnsi="Arial" w:cs="Arial"/>
          <w:bCs/>
          <w:sz w:val="20"/>
          <w:szCs w:val="20"/>
        </w:rPr>
        <w:t xml:space="preserve"> postopk</w:t>
      </w:r>
      <w:r>
        <w:rPr>
          <w:rFonts w:ascii="Arial" w:hAnsi="Arial" w:cs="Arial"/>
          <w:bCs/>
          <w:sz w:val="20"/>
          <w:szCs w:val="20"/>
        </w:rPr>
        <w:t>om zaradi insolventnosti</w:t>
      </w:r>
      <w:r w:rsidRPr="00914AA0">
        <w:rPr>
          <w:rFonts w:ascii="Arial" w:hAnsi="Arial" w:cs="Arial"/>
          <w:bCs/>
          <w:sz w:val="20"/>
          <w:szCs w:val="20"/>
        </w:rPr>
        <w:t xml:space="preserve"> za dolg, na katerega učinkuje ta postopek, ni dovoljeno voditi postopka izvršbe niti zavarovanja. Terjatve </w:t>
      </w:r>
      <w:r w:rsidRPr="00BC13F8">
        <w:rPr>
          <w:rFonts w:ascii="Arial" w:hAnsi="Arial" w:cs="Arial"/>
          <w:bCs/>
          <w:sz w:val="20"/>
          <w:szCs w:val="20"/>
        </w:rPr>
        <w:t xml:space="preserve">zoper insolventnega dolžnika se lahko poplačajo le v skladu z </w:t>
      </w:r>
      <w:proofErr w:type="spellStart"/>
      <w:r w:rsidRPr="00BC13F8">
        <w:rPr>
          <w:rFonts w:ascii="Arial" w:hAnsi="Arial" w:cs="Arial"/>
          <w:bCs/>
          <w:sz w:val="20"/>
          <w:szCs w:val="20"/>
        </w:rPr>
        <w:t>insolvenčno</w:t>
      </w:r>
      <w:proofErr w:type="spellEnd"/>
      <w:r w:rsidRPr="00BC13F8">
        <w:rPr>
          <w:rFonts w:ascii="Arial" w:hAnsi="Arial" w:cs="Arial"/>
          <w:bCs/>
          <w:sz w:val="20"/>
          <w:szCs w:val="20"/>
        </w:rPr>
        <w:t xml:space="preserve"> zakonodajo, ki položaj davčnega organa izenačuje z drugimi (civilnimi) </w:t>
      </w:r>
      <w:r w:rsidRPr="003616C0">
        <w:rPr>
          <w:rFonts w:ascii="Arial" w:hAnsi="Arial" w:cs="Arial"/>
          <w:bCs/>
          <w:sz w:val="20"/>
          <w:szCs w:val="20"/>
        </w:rPr>
        <w:t xml:space="preserve">upniki. </w:t>
      </w:r>
      <w:r w:rsidRPr="00B058C6">
        <w:rPr>
          <w:rFonts w:ascii="Arial" w:hAnsi="Arial" w:cs="Arial"/>
          <w:bCs/>
          <w:sz w:val="20"/>
          <w:szCs w:val="20"/>
        </w:rPr>
        <w:t>Po stanju</w:t>
      </w:r>
      <w:r>
        <w:rPr>
          <w:rFonts w:ascii="Arial" w:hAnsi="Arial" w:cs="Arial"/>
          <w:bCs/>
          <w:sz w:val="20"/>
          <w:szCs w:val="20"/>
        </w:rPr>
        <w:t xml:space="preserve"> </w:t>
      </w:r>
      <w:r w:rsidRPr="00B058C6">
        <w:rPr>
          <w:rFonts w:ascii="Arial" w:hAnsi="Arial" w:cs="Arial"/>
          <w:bCs/>
          <w:sz w:val="20"/>
          <w:szCs w:val="20"/>
        </w:rPr>
        <w:t xml:space="preserve">31. </w:t>
      </w:r>
      <w:r>
        <w:rPr>
          <w:rFonts w:ascii="Arial" w:hAnsi="Arial" w:cs="Arial"/>
          <w:bCs/>
          <w:sz w:val="20"/>
          <w:szCs w:val="20"/>
        </w:rPr>
        <w:t>decembra</w:t>
      </w:r>
      <w:r w:rsidRPr="00B058C6">
        <w:rPr>
          <w:rFonts w:ascii="Arial" w:hAnsi="Arial" w:cs="Arial"/>
          <w:bCs/>
          <w:sz w:val="20"/>
          <w:szCs w:val="20"/>
        </w:rPr>
        <w:t xml:space="preserve"> 202</w:t>
      </w:r>
      <w:r>
        <w:rPr>
          <w:rFonts w:ascii="Arial" w:hAnsi="Arial" w:cs="Arial"/>
          <w:bCs/>
          <w:sz w:val="20"/>
          <w:szCs w:val="20"/>
        </w:rPr>
        <w:t>4</w:t>
      </w:r>
      <w:r w:rsidRPr="00B058C6">
        <w:rPr>
          <w:rFonts w:ascii="Arial" w:hAnsi="Arial" w:cs="Arial"/>
          <w:bCs/>
          <w:sz w:val="20"/>
          <w:szCs w:val="20"/>
        </w:rPr>
        <w:t xml:space="preserve"> je </w:t>
      </w:r>
      <w:r>
        <w:rPr>
          <w:rFonts w:ascii="Arial" w:hAnsi="Arial" w:cs="Arial"/>
          <w:bCs/>
          <w:sz w:val="20"/>
          <w:szCs w:val="20"/>
        </w:rPr>
        <w:t xml:space="preserve">bil </w:t>
      </w:r>
      <w:r w:rsidRPr="00B058C6">
        <w:rPr>
          <w:rFonts w:ascii="Arial" w:hAnsi="Arial" w:cs="Arial"/>
          <w:bCs/>
          <w:sz w:val="20"/>
          <w:szCs w:val="20"/>
        </w:rPr>
        <w:t>pogojno izterljiv</w:t>
      </w:r>
      <w:r>
        <w:rPr>
          <w:rFonts w:ascii="Arial" w:hAnsi="Arial" w:cs="Arial"/>
          <w:bCs/>
          <w:sz w:val="20"/>
          <w:szCs w:val="20"/>
        </w:rPr>
        <w:t>i</w:t>
      </w:r>
      <w:r w:rsidRPr="00B058C6">
        <w:rPr>
          <w:rFonts w:ascii="Arial" w:hAnsi="Arial" w:cs="Arial"/>
          <w:bCs/>
          <w:sz w:val="20"/>
          <w:szCs w:val="20"/>
        </w:rPr>
        <w:t xml:space="preserve"> dolg, prijavljen v </w:t>
      </w:r>
      <w:proofErr w:type="spellStart"/>
      <w:r w:rsidRPr="00B058C6">
        <w:rPr>
          <w:rFonts w:ascii="Arial" w:hAnsi="Arial" w:cs="Arial"/>
          <w:bCs/>
          <w:sz w:val="20"/>
          <w:szCs w:val="20"/>
        </w:rPr>
        <w:t>insolvenčne</w:t>
      </w:r>
      <w:proofErr w:type="spellEnd"/>
      <w:r w:rsidRPr="00B058C6">
        <w:rPr>
          <w:rFonts w:ascii="Arial" w:hAnsi="Arial" w:cs="Arial"/>
          <w:bCs/>
          <w:sz w:val="20"/>
          <w:szCs w:val="20"/>
        </w:rPr>
        <w:t xml:space="preserve"> postopke, ki ga davčni organ ne sme terjati v izvršbi, 2</w:t>
      </w:r>
      <w:r>
        <w:rPr>
          <w:rFonts w:ascii="Arial" w:hAnsi="Arial" w:cs="Arial"/>
          <w:bCs/>
          <w:sz w:val="20"/>
          <w:szCs w:val="20"/>
        </w:rPr>
        <w:t>53</w:t>
      </w:r>
      <w:r w:rsidRPr="00B058C6">
        <w:rPr>
          <w:rFonts w:ascii="Arial" w:hAnsi="Arial" w:cs="Arial"/>
          <w:bCs/>
          <w:sz w:val="20"/>
          <w:szCs w:val="20"/>
        </w:rPr>
        <w:t xml:space="preserve"> milijonov </w:t>
      </w:r>
      <w:r>
        <w:rPr>
          <w:rFonts w:ascii="Arial" w:hAnsi="Arial" w:cs="Arial"/>
          <w:bCs/>
          <w:sz w:val="20"/>
          <w:szCs w:val="20"/>
        </w:rPr>
        <w:t>EUR</w:t>
      </w:r>
      <w:r w:rsidRPr="00B058C6">
        <w:rPr>
          <w:rFonts w:ascii="Arial" w:hAnsi="Arial" w:cs="Arial"/>
          <w:bCs/>
          <w:sz w:val="20"/>
          <w:szCs w:val="20"/>
        </w:rPr>
        <w:t xml:space="preserve">, kar </w:t>
      </w:r>
      <w:r>
        <w:rPr>
          <w:rFonts w:ascii="Arial" w:hAnsi="Arial" w:cs="Arial"/>
          <w:bCs/>
          <w:sz w:val="20"/>
          <w:szCs w:val="20"/>
        </w:rPr>
        <w:t>je</w:t>
      </w:r>
      <w:r w:rsidRPr="00B058C6">
        <w:rPr>
          <w:rFonts w:ascii="Arial" w:hAnsi="Arial" w:cs="Arial"/>
          <w:bCs/>
          <w:sz w:val="20"/>
          <w:szCs w:val="20"/>
        </w:rPr>
        <w:t xml:space="preserve"> </w:t>
      </w:r>
      <w:r>
        <w:rPr>
          <w:rFonts w:ascii="Arial" w:hAnsi="Arial" w:cs="Arial"/>
          <w:bCs/>
          <w:sz w:val="20"/>
          <w:szCs w:val="20"/>
        </w:rPr>
        <w:t xml:space="preserve">bilo </w:t>
      </w:r>
      <w:r w:rsidRPr="00B058C6">
        <w:rPr>
          <w:rFonts w:ascii="Arial" w:hAnsi="Arial" w:cs="Arial"/>
          <w:bCs/>
          <w:sz w:val="20"/>
          <w:szCs w:val="20"/>
        </w:rPr>
        <w:t xml:space="preserve">skoraj </w:t>
      </w:r>
      <w:r>
        <w:rPr>
          <w:rFonts w:ascii="Arial" w:hAnsi="Arial" w:cs="Arial"/>
          <w:bCs/>
          <w:sz w:val="20"/>
          <w:szCs w:val="20"/>
        </w:rPr>
        <w:t>28</w:t>
      </w:r>
      <w:r w:rsidRPr="00B058C6">
        <w:rPr>
          <w:rFonts w:ascii="Arial" w:hAnsi="Arial" w:cs="Arial"/>
          <w:bCs/>
          <w:sz w:val="20"/>
          <w:szCs w:val="20"/>
        </w:rPr>
        <w:t>,</w:t>
      </w:r>
      <w:r>
        <w:rPr>
          <w:rFonts w:ascii="Arial" w:hAnsi="Arial" w:cs="Arial"/>
          <w:bCs/>
          <w:sz w:val="20"/>
          <w:szCs w:val="20"/>
        </w:rPr>
        <w:t>1</w:t>
      </w:r>
      <w:r w:rsidRPr="00B058C6">
        <w:rPr>
          <w:rFonts w:ascii="Arial" w:hAnsi="Arial" w:cs="Arial"/>
          <w:bCs/>
          <w:sz w:val="20"/>
          <w:szCs w:val="20"/>
        </w:rPr>
        <w:t xml:space="preserve"> </w:t>
      </w:r>
      <w:r>
        <w:rPr>
          <w:rFonts w:ascii="Arial" w:hAnsi="Arial" w:cs="Arial"/>
          <w:bCs/>
          <w:sz w:val="20"/>
          <w:szCs w:val="20"/>
        </w:rPr>
        <w:t xml:space="preserve">odstotka </w:t>
      </w:r>
      <w:r w:rsidRPr="00B058C6">
        <w:rPr>
          <w:rFonts w:ascii="Arial" w:hAnsi="Arial" w:cs="Arial"/>
          <w:bCs/>
          <w:sz w:val="20"/>
          <w:szCs w:val="20"/>
        </w:rPr>
        <w:t>davčnega dolga</w:t>
      </w:r>
      <w:r>
        <w:rPr>
          <w:rFonts w:ascii="Arial" w:hAnsi="Arial" w:cs="Arial"/>
          <w:bCs/>
          <w:sz w:val="20"/>
          <w:szCs w:val="20"/>
        </w:rPr>
        <w:t>.</w:t>
      </w:r>
      <w:r w:rsidRPr="00B058C6">
        <w:rPr>
          <w:rFonts w:ascii="Arial" w:hAnsi="Arial" w:cs="Arial"/>
          <w:bCs/>
          <w:sz w:val="20"/>
          <w:szCs w:val="20"/>
        </w:rPr>
        <w:t xml:space="preserve"> </w:t>
      </w:r>
    </w:p>
    <w:p w14:paraId="6C490909" w14:textId="77777777" w:rsidR="00A155A2" w:rsidRPr="00594AB0" w:rsidRDefault="00A155A2" w:rsidP="00A155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0"/>
          <w:szCs w:val="20"/>
        </w:rPr>
      </w:pPr>
      <w:r w:rsidRPr="00594AB0">
        <w:rPr>
          <w:rFonts w:ascii="Arial" w:hAnsi="Arial" w:cs="Arial"/>
          <w:bCs/>
          <w:sz w:val="20"/>
          <w:szCs w:val="20"/>
        </w:rPr>
        <w:t>V letu 2024 je bilo na podlagi izdanih opominov, pozivov in sklepov o davčni izvršbi izterjan</w:t>
      </w:r>
      <w:r>
        <w:rPr>
          <w:rFonts w:ascii="Arial" w:hAnsi="Arial" w:cs="Arial"/>
          <w:bCs/>
          <w:sz w:val="20"/>
          <w:szCs w:val="20"/>
        </w:rPr>
        <w:t>ih</w:t>
      </w:r>
      <w:r w:rsidRPr="00594AB0">
        <w:rPr>
          <w:rFonts w:ascii="Arial" w:hAnsi="Arial" w:cs="Arial"/>
          <w:bCs/>
          <w:sz w:val="20"/>
          <w:szCs w:val="20"/>
        </w:rPr>
        <w:t xml:space="preserve"> 749.</w:t>
      </w:r>
      <w:r w:rsidRPr="008F399F">
        <w:rPr>
          <w:rFonts w:ascii="Arial" w:hAnsi="Arial" w:cs="Arial"/>
          <w:bCs/>
          <w:sz w:val="20"/>
          <w:szCs w:val="20"/>
        </w:rPr>
        <w:t>590.056 EUR dolga (od tega 715.569.097 EUR od obveznih dajatev in 34.020.959 EUR od</w:t>
      </w:r>
      <w:r w:rsidRPr="00594AB0">
        <w:rPr>
          <w:rFonts w:ascii="Arial" w:hAnsi="Arial" w:cs="Arial"/>
          <w:bCs/>
          <w:sz w:val="20"/>
          <w:szCs w:val="20"/>
        </w:rPr>
        <w:t xml:space="preserve"> nedavčnih obveznosti).</w:t>
      </w:r>
      <w:r>
        <w:rPr>
          <w:rFonts w:ascii="Arial" w:hAnsi="Arial" w:cs="Arial"/>
          <w:bCs/>
          <w:sz w:val="20"/>
          <w:szCs w:val="20"/>
        </w:rPr>
        <w:t xml:space="preserve"> </w:t>
      </w:r>
      <w:r w:rsidRPr="00594AB0">
        <w:rPr>
          <w:rFonts w:ascii="Arial" w:hAnsi="Arial" w:cs="Arial"/>
          <w:bCs/>
          <w:sz w:val="20"/>
          <w:szCs w:val="20"/>
        </w:rPr>
        <w:t xml:space="preserve">Največji delež </w:t>
      </w:r>
      <w:r>
        <w:rPr>
          <w:rFonts w:ascii="Arial" w:hAnsi="Arial" w:cs="Arial"/>
          <w:bCs/>
          <w:sz w:val="20"/>
          <w:szCs w:val="20"/>
        </w:rPr>
        <w:t>imajo</w:t>
      </w:r>
      <w:r w:rsidRPr="00594AB0">
        <w:rPr>
          <w:rFonts w:ascii="Arial" w:hAnsi="Arial" w:cs="Arial"/>
          <w:bCs/>
          <w:sz w:val="20"/>
          <w:szCs w:val="20"/>
        </w:rPr>
        <w:t xml:space="preserve"> plačila </w:t>
      </w:r>
      <w:r>
        <w:rPr>
          <w:rFonts w:ascii="Arial" w:hAnsi="Arial" w:cs="Arial"/>
          <w:bCs/>
          <w:sz w:val="20"/>
          <w:szCs w:val="20"/>
        </w:rPr>
        <w:t>po</w:t>
      </w:r>
      <w:r w:rsidRPr="00594AB0">
        <w:rPr>
          <w:rFonts w:ascii="Arial" w:hAnsi="Arial" w:cs="Arial"/>
          <w:bCs/>
          <w:sz w:val="20"/>
          <w:szCs w:val="20"/>
        </w:rPr>
        <w:t xml:space="preserve"> opomin</w:t>
      </w:r>
      <w:r>
        <w:rPr>
          <w:rFonts w:ascii="Arial" w:hAnsi="Arial" w:cs="Arial"/>
          <w:bCs/>
          <w:sz w:val="20"/>
          <w:szCs w:val="20"/>
        </w:rPr>
        <w:t>ih</w:t>
      </w:r>
      <w:r w:rsidRPr="00594AB0">
        <w:rPr>
          <w:rFonts w:ascii="Arial" w:hAnsi="Arial" w:cs="Arial"/>
          <w:bCs/>
          <w:sz w:val="20"/>
          <w:szCs w:val="20"/>
        </w:rPr>
        <w:t xml:space="preserve"> in poziv</w:t>
      </w:r>
      <w:r>
        <w:rPr>
          <w:rFonts w:ascii="Arial" w:hAnsi="Arial" w:cs="Arial"/>
          <w:bCs/>
          <w:sz w:val="20"/>
          <w:szCs w:val="20"/>
        </w:rPr>
        <w:t>ih</w:t>
      </w:r>
      <w:r w:rsidRPr="00594AB0">
        <w:rPr>
          <w:rFonts w:ascii="Arial" w:hAnsi="Arial" w:cs="Arial"/>
          <w:bCs/>
          <w:sz w:val="20"/>
          <w:szCs w:val="20"/>
        </w:rPr>
        <w:t xml:space="preserve">, in sicer 70,9 </w:t>
      </w:r>
      <w:bookmarkStart w:id="18" w:name="_Hlk193960321"/>
      <w:r>
        <w:rPr>
          <w:rFonts w:ascii="Arial" w:hAnsi="Arial" w:cs="Arial"/>
          <w:bCs/>
          <w:sz w:val="20"/>
          <w:szCs w:val="20"/>
        </w:rPr>
        <w:t>odstotka</w:t>
      </w:r>
      <w:bookmarkEnd w:id="18"/>
      <w:r>
        <w:rPr>
          <w:rFonts w:ascii="Arial" w:hAnsi="Arial" w:cs="Arial"/>
          <w:bCs/>
          <w:sz w:val="20"/>
          <w:szCs w:val="20"/>
        </w:rPr>
        <w:t xml:space="preserve"> </w:t>
      </w:r>
      <w:r w:rsidRPr="00594AB0">
        <w:rPr>
          <w:rFonts w:ascii="Arial" w:hAnsi="Arial" w:cs="Arial"/>
          <w:bCs/>
          <w:sz w:val="20"/>
          <w:szCs w:val="20"/>
        </w:rPr>
        <w:t>vseh. Plačila</w:t>
      </w:r>
      <w:r>
        <w:rPr>
          <w:rFonts w:ascii="Arial" w:hAnsi="Arial" w:cs="Arial"/>
          <w:bCs/>
          <w:sz w:val="20"/>
          <w:szCs w:val="20"/>
        </w:rPr>
        <w:t>,</w:t>
      </w:r>
      <w:r w:rsidRPr="00594AB0">
        <w:rPr>
          <w:rFonts w:ascii="Arial" w:hAnsi="Arial" w:cs="Arial"/>
          <w:bCs/>
          <w:sz w:val="20"/>
          <w:szCs w:val="20"/>
        </w:rPr>
        <w:t xml:space="preserve"> prejeta </w:t>
      </w:r>
      <w:r>
        <w:rPr>
          <w:rFonts w:ascii="Arial" w:hAnsi="Arial" w:cs="Arial"/>
          <w:bCs/>
          <w:sz w:val="20"/>
          <w:szCs w:val="20"/>
        </w:rPr>
        <w:t>na podlagi</w:t>
      </w:r>
      <w:r w:rsidRPr="00594AB0">
        <w:rPr>
          <w:rFonts w:ascii="Arial" w:hAnsi="Arial" w:cs="Arial"/>
          <w:bCs/>
          <w:sz w:val="20"/>
          <w:szCs w:val="20"/>
        </w:rPr>
        <w:t xml:space="preserve"> sklep</w:t>
      </w:r>
      <w:r>
        <w:rPr>
          <w:rFonts w:ascii="Arial" w:hAnsi="Arial" w:cs="Arial"/>
          <w:bCs/>
          <w:sz w:val="20"/>
          <w:szCs w:val="20"/>
        </w:rPr>
        <w:t>ov,</w:t>
      </w:r>
      <w:r w:rsidRPr="00594AB0">
        <w:rPr>
          <w:rFonts w:ascii="Arial" w:hAnsi="Arial" w:cs="Arial"/>
          <w:bCs/>
          <w:sz w:val="20"/>
          <w:szCs w:val="20"/>
        </w:rPr>
        <w:t xml:space="preserve"> </w:t>
      </w:r>
      <w:r>
        <w:rPr>
          <w:rFonts w:ascii="Arial" w:hAnsi="Arial" w:cs="Arial"/>
          <w:bCs/>
          <w:sz w:val="20"/>
          <w:szCs w:val="20"/>
        </w:rPr>
        <w:t>obsega</w:t>
      </w:r>
      <w:r w:rsidRPr="00594AB0">
        <w:rPr>
          <w:rFonts w:ascii="Arial" w:hAnsi="Arial" w:cs="Arial"/>
          <w:bCs/>
          <w:sz w:val="20"/>
          <w:szCs w:val="20"/>
        </w:rPr>
        <w:t>jo 29,1</w:t>
      </w:r>
      <w:r>
        <w:rPr>
          <w:rFonts w:ascii="Arial" w:hAnsi="Arial" w:cs="Arial"/>
          <w:bCs/>
          <w:sz w:val="20"/>
          <w:szCs w:val="20"/>
        </w:rPr>
        <w:t xml:space="preserve">-odstotni </w:t>
      </w:r>
      <w:r w:rsidRPr="00594AB0">
        <w:rPr>
          <w:rFonts w:ascii="Arial" w:hAnsi="Arial" w:cs="Arial"/>
          <w:bCs/>
          <w:sz w:val="20"/>
          <w:szCs w:val="20"/>
        </w:rPr>
        <w:t xml:space="preserve">delež. </w:t>
      </w:r>
    </w:p>
    <w:p w14:paraId="48EC7F9A" w14:textId="77777777" w:rsidR="00A155A2" w:rsidRPr="004D292C" w:rsidRDefault="00A155A2" w:rsidP="00A155A2">
      <w:pPr>
        <w:jc w:val="both"/>
        <w:rPr>
          <w:rFonts w:ascii="Arial" w:hAnsi="Arial" w:cs="Arial"/>
          <w:bCs/>
          <w:iCs/>
          <w:sz w:val="20"/>
          <w:szCs w:val="20"/>
        </w:rPr>
      </w:pPr>
      <w:r>
        <w:rPr>
          <w:rFonts w:ascii="Arial" w:hAnsi="Arial" w:cs="Arial"/>
          <w:bCs/>
          <w:iCs/>
          <w:sz w:val="20"/>
          <w:szCs w:val="20"/>
        </w:rPr>
        <w:t>V p</w:t>
      </w:r>
      <w:r w:rsidRPr="00E04E4E">
        <w:rPr>
          <w:rFonts w:ascii="Arial" w:hAnsi="Arial" w:cs="Arial"/>
          <w:bCs/>
          <w:iCs/>
          <w:sz w:val="20"/>
          <w:szCs w:val="20"/>
        </w:rPr>
        <w:t>rimerjav</w:t>
      </w:r>
      <w:r>
        <w:rPr>
          <w:rFonts w:ascii="Arial" w:hAnsi="Arial" w:cs="Arial"/>
          <w:bCs/>
          <w:iCs/>
          <w:sz w:val="20"/>
          <w:szCs w:val="20"/>
        </w:rPr>
        <w:t>i z</w:t>
      </w:r>
      <w:r w:rsidRPr="00E04E4E">
        <w:rPr>
          <w:rFonts w:ascii="Arial" w:hAnsi="Arial" w:cs="Arial"/>
          <w:bCs/>
          <w:iCs/>
          <w:sz w:val="20"/>
          <w:szCs w:val="20"/>
        </w:rPr>
        <w:t xml:space="preserve"> letom</w:t>
      </w:r>
      <w:r>
        <w:rPr>
          <w:rFonts w:ascii="Arial" w:hAnsi="Arial" w:cs="Arial"/>
          <w:bCs/>
          <w:iCs/>
          <w:sz w:val="20"/>
          <w:szCs w:val="20"/>
        </w:rPr>
        <w:t xml:space="preserve"> prej</w:t>
      </w:r>
      <w:r w:rsidRPr="00E04E4E">
        <w:rPr>
          <w:rFonts w:ascii="Arial" w:hAnsi="Arial" w:cs="Arial"/>
          <w:bCs/>
          <w:iCs/>
          <w:sz w:val="20"/>
          <w:szCs w:val="20"/>
        </w:rPr>
        <w:t xml:space="preserve"> je bilo v letu 2024 terjanega za 233.986.873 EUR (15,8 odstotka) več dolga </w:t>
      </w:r>
      <w:r>
        <w:rPr>
          <w:rFonts w:ascii="Arial" w:hAnsi="Arial" w:cs="Arial"/>
          <w:bCs/>
          <w:iCs/>
          <w:sz w:val="20"/>
          <w:szCs w:val="20"/>
        </w:rPr>
        <w:t>in</w:t>
      </w:r>
      <w:r w:rsidRPr="00E04E4E">
        <w:rPr>
          <w:rFonts w:ascii="Arial" w:hAnsi="Arial" w:cs="Arial"/>
          <w:bCs/>
          <w:iCs/>
          <w:sz w:val="20"/>
          <w:szCs w:val="20"/>
        </w:rPr>
        <w:t xml:space="preserve"> </w:t>
      </w:r>
      <w:r>
        <w:rPr>
          <w:rFonts w:ascii="Arial" w:hAnsi="Arial" w:cs="Arial"/>
          <w:bCs/>
          <w:iCs/>
          <w:sz w:val="20"/>
          <w:szCs w:val="20"/>
        </w:rPr>
        <w:t>s tem</w:t>
      </w:r>
      <w:r w:rsidRPr="00E04E4E">
        <w:rPr>
          <w:rFonts w:ascii="Arial" w:hAnsi="Arial" w:cs="Arial"/>
          <w:bCs/>
          <w:iCs/>
          <w:sz w:val="20"/>
          <w:szCs w:val="20"/>
        </w:rPr>
        <w:t xml:space="preserve"> izterjan</w:t>
      </w:r>
      <w:r>
        <w:rPr>
          <w:rFonts w:ascii="Arial" w:hAnsi="Arial" w:cs="Arial"/>
          <w:bCs/>
          <w:iCs/>
          <w:sz w:val="20"/>
          <w:szCs w:val="20"/>
        </w:rPr>
        <w:t>ega</w:t>
      </w:r>
      <w:r w:rsidRPr="00E04E4E">
        <w:rPr>
          <w:rFonts w:ascii="Arial" w:hAnsi="Arial" w:cs="Arial"/>
          <w:bCs/>
          <w:iCs/>
          <w:sz w:val="20"/>
          <w:szCs w:val="20"/>
        </w:rPr>
        <w:t xml:space="preserve"> za 91.051.124 EUR (13,8 odstotka) več dolga. Po izdanih opominih in pozivih je bilo poplačanega za 69.642.908 EUR (15,1 odstotka) več dolga k</w:t>
      </w:r>
      <w:r>
        <w:rPr>
          <w:rFonts w:ascii="Arial" w:hAnsi="Arial" w:cs="Arial"/>
          <w:bCs/>
          <w:iCs/>
          <w:sz w:val="20"/>
          <w:szCs w:val="20"/>
        </w:rPr>
        <w:t>ak</w:t>
      </w:r>
      <w:r w:rsidRPr="00E04E4E">
        <w:rPr>
          <w:rFonts w:ascii="Arial" w:hAnsi="Arial" w:cs="Arial"/>
          <w:bCs/>
          <w:iCs/>
          <w:sz w:val="20"/>
          <w:szCs w:val="20"/>
        </w:rPr>
        <w:t>o</w:t>
      </w:r>
      <w:r>
        <w:rPr>
          <w:rFonts w:ascii="Arial" w:hAnsi="Arial" w:cs="Arial"/>
          <w:bCs/>
          <w:iCs/>
          <w:sz w:val="20"/>
          <w:szCs w:val="20"/>
        </w:rPr>
        <w:t>r</w:t>
      </w:r>
      <w:r w:rsidRPr="00E04E4E">
        <w:rPr>
          <w:rFonts w:ascii="Arial" w:hAnsi="Arial" w:cs="Arial"/>
          <w:bCs/>
          <w:iCs/>
          <w:sz w:val="20"/>
          <w:szCs w:val="20"/>
        </w:rPr>
        <w:t xml:space="preserve"> leta 2023, po izdanih sklepih o davčni izvršbi pa </w:t>
      </w:r>
      <w:r>
        <w:rPr>
          <w:rFonts w:ascii="Arial" w:hAnsi="Arial" w:cs="Arial"/>
          <w:bCs/>
          <w:iCs/>
          <w:sz w:val="20"/>
          <w:szCs w:val="20"/>
        </w:rPr>
        <w:t xml:space="preserve">za </w:t>
      </w:r>
      <w:r w:rsidRPr="00E04E4E">
        <w:rPr>
          <w:rFonts w:ascii="Arial" w:hAnsi="Arial" w:cs="Arial"/>
          <w:bCs/>
          <w:iCs/>
          <w:sz w:val="20"/>
          <w:szCs w:val="20"/>
        </w:rPr>
        <w:t>21.408.216 EUR (10,9 odstotka)</w:t>
      </w:r>
      <w:r>
        <w:rPr>
          <w:rFonts w:ascii="Arial" w:hAnsi="Arial" w:cs="Arial"/>
          <w:bCs/>
          <w:iCs/>
          <w:sz w:val="20"/>
          <w:szCs w:val="20"/>
        </w:rPr>
        <w:t xml:space="preserve"> več</w:t>
      </w:r>
      <w:r w:rsidRPr="00E04E4E">
        <w:rPr>
          <w:rFonts w:ascii="Arial" w:hAnsi="Arial" w:cs="Arial"/>
          <w:bCs/>
          <w:iCs/>
          <w:sz w:val="20"/>
          <w:szCs w:val="20"/>
        </w:rPr>
        <w:t xml:space="preserve">. </w:t>
      </w:r>
      <w:r w:rsidRPr="004D292C">
        <w:rPr>
          <w:rFonts w:ascii="Arial" w:hAnsi="Arial" w:cs="Arial"/>
          <w:bCs/>
          <w:iCs/>
          <w:sz w:val="20"/>
          <w:szCs w:val="20"/>
        </w:rPr>
        <w:t>Navedeno je mogoče pripisati zlasti temu, da je bilo v letu 2024 odmerjenih za 2,8 milijarde EUR (10,5 odstotka) več davčnih obveznosti kakor leto prej. Uveden je bil tudi novi obvezni zdravstveni prispevek, s katerim se je odpravilo dopolnilno zdravstveno zavarovanje. Tako je bilo tudi v izterjavo prejetih nekoliko več neplačanih obveznosti, za katere so bili s ciljem poplačila dolga izvedeni različni ukrepi izterjave.</w:t>
      </w:r>
    </w:p>
    <w:p w14:paraId="33E80EFD" w14:textId="77777777" w:rsidR="00A155A2" w:rsidRDefault="00A155A2" w:rsidP="00A155A2">
      <w:pPr>
        <w:jc w:val="both"/>
        <w:rPr>
          <w:rFonts w:ascii="Arial" w:hAnsi="Arial" w:cs="Arial"/>
          <w:bCs/>
          <w:i/>
          <w:sz w:val="20"/>
          <w:szCs w:val="20"/>
        </w:rPr>
      </w:pPr>
    </w:p>
    <w:p w14:paraId="6893C3CB" w14:textId="77777777" w:rsidR="00A155A2" w:rsidRDefault="00A155A2" w:rsidP="00A155A2">
      <w:pPr>
        <w:jc w:val="both"/>
        <w:rPr>
          <w:rFonts w:ascii="Arial" w:hAnsi="Arial" w:cs="Arial"/>
          <w:bCs/>
          <w:i/>
          <w:sz w:val="20"/>
          <w:szCs w:val="20"/>
        </w:rPr>
      </w:pPr>
    </w:p>
    <w:p w14:paraId="07CB3251" w14:textId="77777777" w:rsidR="00A155A2" w:rsidRDefault="00A155A2" w:rsidP="00A155A2">
      <w:pPr>
        <w:jc w:val="both"/>
        <w:rPr>
          <w:rFonts w:ascii="Arial" w:hAnsi="Arial" w:cs="Arial"/>
          <w:bCs/>
          <w:i/>
          <w:sz w:val="20"/>
          <w:szCs w:val="20"/>
        </w:rPr>
      </w:pPr>
    </w:p>
    <w:p w14:paraId="195612AA" w14:textId="77777777" w:rsidR="00A155A2" w:rsidRDefault="00A155A2" w:rsidP="00A155A2">
      <w:pPr>
        <w:jc w:val="both"/>
        <w:rPr>
          <w:rFonts w:ascii="Arial" w:hAnsi="Arial" w:cs="Arial"/>
          <w:bCs/>
          <w:i/>
          <w:sz w:val="20"/>
          <w:szCs w:val="20"/>
        </w:rPr>
      </w:pPr>
    </w:p>
    <w:p w14:paraId="1616B0F1" w14:textId="77777777" w:rsidR="00A155A2" w:rsidRDefault="00A155A2" w:rsidP="00A155A2">
      <w:pPr>
        <w:jc w:val="both"/>
        <w:rPr>
          <w:rFonts w:ascii="Arial" w:hAnsi="Arial" w:cs="Arial"/>
          <w:bCs/>
          <w:i/>
          <w:sz w:val="20"/>
          <w:szCs w:val="20"/>
        </w:rPr>
      </w:pPr>
    </w:p>
    <w:p w14:paraId="7F8ED554" w14:textId="77777777" w:rsidR="00A155A2" w:rsidRDefault="00A155A2" w:rsidP="00A155A2">
      <w:pPr>
        <w:jc w:val="both"/>
        <w:rPr>
          <w:rFonts w:ascii="Arial" w:hAnsi="Arial" w:cs="Arial"/>
          <w:bCs/>
          <w:i/>
          <w:sz w:val="20"/>
          <w:szCs w:val="20"/>
        </w:rPr>
      </w:pPr>
    </w:p>
    <w:p w14:paraId="259AF82B" w14:textId="77777777" w:rsidR="00A155A2" w:rsidRDefault="00A155A2" w:rsidP="00A155A2">
      <w:pPr>
        <w:jc w:val="both"/>
        <w:rPr>
          <w:rFonts w:ascii="Arial" w:hAnsi="Arial" w:cs="Arial"/>
          <w:bCs/>
          <w:i/>
          <w:sz w:val="20"/>
          <w:szCs w:val="20"/>
        </w:rPr>
      </w:pPr>
    </w:p>
    <w:p w14:paraId="452F5ED1" w14:textId="77777777" w:rsidR="00A155A2" w:rsidRDefault="00A155A2" w:rsidP="00A155A2">
      <w:pPr>
        <w:jc w:val="both"/>
        <w:rPr>
          <w:rFonts w:ascii="Arial" w:hAnsi="Arial" w:cs="Arial"/>
          <w:bCs/>
          <w:i/>
          <w:sz w:val="20"/>
          <w:szCs w:val="20"/>
        </w:rPr>
      </w:pPr>
    </w:p>
    <w:p w14:paraId="45553F8F" w14:textId="77777777" w:rsidR="00A155A2" w:rsidRDefault="00A155A2" w:rsidP="00A155A2">
      <w:pPr>
        <w:jc w:val="both"/>
        <w:rPr>
          <w:rFonts w:ascii="Arial" w:hAnsi="Arial" w:cs="Arial"/>
          <w:i/>
          <w:sz w:val="20"/>
          <w:szCs w:val="20"/>
        </w:rPr>
      </w:pPr>
      <w:r w:rsidRPr="003872A4">
        <w:rPr>
          <w:rFonts w:ascii="Arial" w:hAnsi="Arial" w:cs="Arial"/>
          <w:bCs/>
          <w:i/>
          <w:sz w:val="20"/>
          <w:szCs w:val="20"/>
        </w:rPr>
        <w:lastRenderedPageBreak/>
        <w:t>Preglednica</w:t>
      </w:r>
      <w:r w:rsidRPr="003872A4">
        <w:rPr>
          <w:rFonts w:ascii="Arial" w:hAnsi="Arial" w:cs="Arial"/>
          <w:i/>
          <w:sz w:val="20"/>
          <w:szCs w:val="20"/>
        </w:rPr>
        <w:t xml:space="preserve"> 1</w:t>
      </w:r>
      <w:r>
        <w:rPr>
          <w:rFonts w:ascii="Arial" w:hAnsi="Arial" w:cs="Arial"/>
          <w:i/>
          <w:sz w:val="20"/>
          <w:szCs w:val="20"/>
        </w:rPr>
        <w:t>3</w:t>
      </w:r>
      <w:r w:rsidRPr="003872A4">
        <w:rPr>
          <w:rFonts w:ascii="Arial" w:hAnsi="Arial" w:cs="Arial"/>
          <w:i/>
          <w:sz w:val="20"/>
          <w:szCs w:val="20"/>
        </w:rPr>
        <w:t xml:space="preserve">: Ukrepi izterjave davkov in drugih obveznih dajatev ter nedavčnih obveznosti </w:t>
      </w:r>
    </w:p>
    <w:tbl>
      <w:tblPr>
        <w:tblW w:w="9059" w:type="dxa"/>
        <w:tblCellMar>
          <w:left w:w="70" w:type="dxa"/>
          <w:right w:w="70" w:type="dxa"/>
        </w:tblCellMar>
        <w:tblLook w:val="04A0" w:firstRow="1" w:lastRow="0" w:firstColumn="1" w:lastColumn="0" w:noHBand="0" w:noVBand="1"/>
      </w:tblPr>
      <w:tblGrid>
        <w:gridCol w:w="2131"/>
        <w:gridCol w:w="1163"/>
        <w:gridCol w:w="1560"/>
        <w:gridCol w:w="1085"/>
        <w:gridCol w:w="1381"/>
        <w:gridCol w:w="848"/>
        <w:gridCol w:w="891"/>
      </w:tblGrid>
      <w:tr w:rsidR="00A155A2" w:rsidRPr="00594AB0" w14:paraId="301AC8D9" w14:textId="77777777" w:rsidTr="001C77D2">
        <w:trPr>
          <w:trHeight w:val="278"/>
        </w:trPr>
        <w:tc>
          <w:tcPr>
            <w:tcW w:w="2131" w:type="dxa"/>
            <w:vMerge w:val="restart"/>
            <w:tcBorders>
              <w:top w:val="single" w:sz="4" w:space="0" w:color="auto"/>
              <w:left w:val="single" w:sz="4" w:space="0" w:color="auto"/>
              <w:bottom w:val="single" w:sz="4" w:space="0" w:color="000000"/>
              <w:right w:val="single" w:sz="4" w:space="0" w:color="auto"/>
            </w:tcBorders>
            <w:shd w:val="clear" w:color="000000" w:fill="31849B"/>
            <w:vAlign w:val="center"/>
            <w:hideMark/>
          </w:tcPr>
          <w:p w14:paraId="72741D4C" w14:textId="77777777" w:rsidR="00A155A2" w:rsidRPr="00594AB0" w:rsidRDefault="00A155A2" w:rsidP="001C77D2">
            <w:pPr>
              <w:spacing w:line="240" w:lineRule="auto"/>
              <w:jc w:val="center"/>
              <w:rPr>
                <w:rFonts w:ascii="Arial" w:eastAsia="Times New Roman" w:hAnsi="Arial" w:cs="Arial"/>
                <w:b/>
                <w:bCs/>
                <w:color w:val="FFFFFF"/>
                <w:sz w:val="18"/>
                <w:szCs w:val="18"/>
                <w:lang w:eastAsia="sl-SI"/>
              </w:rPr>
            </w:pPr>
            <w:bookmarkStart w:id="19" w:name="_Hlk187910059"/>
            <w:r w:rsidRPr="00594AB0">
              <w:rPr>
                <w:rFonts w:ascii="Arial" w:eastAsia="Times New Roman" w:hAnsi="Arial" w:cs="Arial"/>
                <w:b/>
                <w:bCs/>
                <w:color w:val="FFFFFF"/>
                <w:sz w:val="18"/>
                <w:szCs w:val="18"/>
                <w:lang w:eastAsia="sl-SI"/>
              </w:rPr>
              <w:t>Ukrepi izterjave</w:t>
            </w:r>
          </w:p>
        </w:tc>
        <w:tc>
          <w:tcPr>
            <w:tcW w:w="2723" w:type="dxa"/>
            <w:gridSpan w:val="2"/>
            <w:tcBorders>
              <w:top w:val="single" w:sz="4" w:space="0" w:color="auto"/>
              <w:left w:val="nil"/>
              <w:bottom w:val="single" w:sz="4" w:space="0" w:color="auto"/>
              <w:right w:val="single" w:sz="4" w:space="0" w:color="000000"/>
            </w:tcBorders>
            <w:shd w:val="clear" w:color="000000" w:fill="31849B"/>
            <w:vAlign w:val="center"/>
            <w:hideMark/>
          </w:tcPr>
          <w:p w14:paraId="6B94F055" w14:textId="77777777" w:rsidR="00A155A2" w:rsidRPr="008F399F" w:rsidRDefault="00A155A2" w:rsidP="001C77D2">
            <w:pPr>
              <w:spacing w:line="240" w:lineRule="auto"/>
              <w:jc w:val="center"/>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2023</w:t>
            </w:r>
          </w:p>
        </w:tc>
        <w:tc>
          <w:tcPr>
            <w:tcW w:w="2466" w:type="dxa"/>
            <w:gridSpan w:val="2"/>
            <w:tcBorders>
              <w:top w:val="single" w:sz="4" w:space="0" w:color="auto"/>
              <w:left w:val="nil"/>
              <w:bottom w:val="single" w:sz="4" w:space="0" w:color="auto"/>
              <w:right w:val="single" w:sz="4" w:space="0" w:color="000000"/>
            </w:tcBorders>
            <w:shd w:val="clear" w:color="000000" w:fill="31849B"/>
            <w:vAlign w:val="center"/>
            <w:hideMark/>
          </w:tcPr>
          <w:p w14:paraId="4BD4D34E" w14:textId="77777777" w:rsidR="00A155A2" w:rsidRPr="008F399F" w:rsidRDefault="00A155A2" w:rsidP="001C77D2">
            <w:pPr>
              <w:spacing w:line="240" w:lineRule="auto"/>
              <w:jc w:val="center"/>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2024</w:t>
            </w:r>
          </w:p>
        </w:tc>
        <w:tc>
          <w:tcPr>
            <w:tcW w:w="1739" w:type="dxa"/>
            <w:gridSpan w:val="2"/>
            <w:tcBorders>
              <w:top w:val="single" w:sz="4" w:space="0" w:color="auto"/>
              <w:left w:val="nil"/>
              <w:bottom w:val="single" w:sz="4" w:space="0" w:color="auto"/>
              <w:right w:val="single" w:sz="4" w:space="0" w:color="000000"/>
            </w:tcBorders>
            <w:shd w:val="clear" w:color="000000" w:fill="31849B"/>
            <w:vAlign w:val="center"/>
            <w:hideMark/>
          </w:tcPr>
          <w:p w14:paraId="3EBB3CDD" w14:textId="77777777" w:rsidR="00A155A2" w:rsidRPr="00594AB0" w:rsidRDefault="00A155A2" w:rsidP="001C77D2">
            <w:pPr>
              <w:spacing w:line="240" w:lineRule="auto"/>
              <w:jc w:val="center"/>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594AB0">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594AB0">
              <w:rPr>
                <w:rFonts w:ascii="Arial" w:eastAsia="Times New Roman" w:hAnsi="Arial" w:cs="Arial"/>
                <w:b/>
                <w:bCs/>
                <w:color w:val="FFFFFF"/>
                <w:sz w:val="18"/>
                <w:szCs w:val="18"/>
                <w:lang w:eastAsia="sl-SI"/>
              </w:rPr>
              <w:t>2023</w:t>
            </w:r>
          </w:p>
        </w:tc>
      </w:tr>
      <w:tr w:rsidR="00A155A2" w:rsidRPr="00594AB0" w14:paraId="58F8812E" w14:textId="77777777" w:rsidTr="001C77D2">
        <w:trPr>
          <w:trHeight w:val="243"/>
        </w:trPr>
        <w:tc>
          <w:tcPr>
            <w:tcW w:w="2131" w:type="dxa"/>
            <w:vMerge/>
            <w:tcBorders>
              <w:top w:val="single" w:sz="4" w:space="0" w:color="auto"/>
              <w:left w:val="single" w:sz="4" w:space="0" w:color="auto"/>
              <w:bottom w:val="single" w:sz="4" w:space="0" w:color="000000"/>
              <w:right w:val="single" w:sz="4" w:space="0" w:color="auto"/>
            </w:tcBorders>
            <w:vAlign w:val="center"/>
            <w:hideMark/>
          </w:tcPr>
          <w:p w14:paraId="0E97E927" w14:textId="77777777" w:rsidR="00A155A2" w:rsidRPr="00594AB0" w:rsidRDefault="00A155A2" w:rsidP="001C77D2">
            <w:pPr>
              <w:spacing w:line="240" w:lineRule="auto"/>
              <w:rPr>
                <w:rFonts w:ascii="Arial" w:eastAsia="Times New Roman" w:hAnsi="Arial" w:cs="Arial"/>
                <w:b/>
                <w:bCs/>
                <w:color w:val="FFFFFF"/>
                <w:sz w:val="18"/>
                <w:szCs w:val="18"/>
                <w:lang w:eastAsia="sl-SI"/>
              </w:rPr>
            </w:pPr>
          </w:p>
        </w:tc>
        <w:tc>
          <w:tcPr>
            <w:tcW w:w="1163" w:type="dxa"/>
            <w:tcBorders>
              <w:top w:val="nil"/>
              <w:left w:val="nil"/>
              <w:bottom w:val="single" w:sz="4" w:space="0" w:color="auto"/>
              <w:right w:val="single" w:sz="4" w:space="0" w:color="auto"/>
            </w:tcBorders>
            <w:shd w:val="clear" w:color="000000" w:fill="31849B"/>
            <w:vAlign w:val="center"/>
            <w:hideMark/>
          </w:tcPr>
          <w:p w14:paraId="74D8391C" w14:textId="77777777" w:rsidR="00A155A2" w:rsidRPr="008F399F" w:rsidRDefault="00A155A2" w:rsidP="001C77D2">
            <w:pPr>
              <w:spacing w:line="240" w:lineRule="auto"/>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Število</w:t>
            </w:r>
          </w:p>
        </w:tc>
        <w:tc>
          <w:tcPr>
            <w:tcW w:w="1559" w:type="dxa"/>
            <w:tcBorders>
              <w:top w:val="nil"/>
              <w:left w:val="nil"/>
              <w:bottom w:val="single" w:sz="4" w:space="0" w:color="auto"/>
              <w:right w:val="single" w:sz="4" w:space="0" w:color="auto"/>
            </w:tcBorders>
            <w:shd w:val="clear" w:color="000000" w:fill="31849B"/>
            <w:vAlign w:val="center"/>
            <w:hideMark/>
          </w:tcPr>
          <w:p w14:paraId="2613CD00" w14:textId="77777777" w:rsidR="00A155A2" w:rsidRPr="008F399F" w:rsidRDefault="00A155A2" w:rsidP="001C77D2">
            <w:pPr>
              <w:spacing w:line="240" w:lineRule="auto"/>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8F399F">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1085" w:type="dxa"/>
            <w:tcBorders>
              <w:top w:val="nil"/>
              <w:left w:val="nil"/>
              <w:bottom w:val="single" w:sz="4" w:space="0" w:color="auto"/>
              <w:right w:val="single" w:sz="4" w:space="0" w:color="auto"/>
            </w:tcBorders>
            <w:shd w:val="clear" w:color="000000" w:fill="31849B"/>
            <w:vAlign w:val="center"/>
            <w:hideMark/>
          </w:tcPr>
          <w:p w14:paraId="60AC4D25" w14:textId="77777777" w:rsidR="00A155A2" w:rsidRPr="008F399F" w:rsidRDefault="00A155A2" w:rsidP="001C77D2">
            <w:pPr>
              <w:spacing w:line="240" w:lineRule="auto"/>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Število</w:t>
            </w:r>
          </w:p>
        </w:tc>
        <w:tc>
          <w:tcPr>
            <w:tcW w:w="1381" w:type="dxa"/>
            <w:tcBorders>
              <w:top w:val="nil"/>
              <w:left w:val="nil"/>
              <w:bottom w:val="single" w:sz="4" w:space="0" w:color="auto"/>
              <w:right w:val="single" w:sz="4" w:space="0" w:color="auto"/>
            </w:tcBorders>
            <w:shd w:val="clear" w:color="000000" w:fill="31849B"/>
            <w:vAlign w:val="center"/>
            <w:hideMark/>
          </w:tcPr>
          <w:p w14:paraId="4D185D9B" w14:textId="77777777" w:rsidR="00A155A2" w:rsidRPr="008F399F" w:rsidRDefault="00A155A2" w:rsidP="001C77D2">
            <w:pPr>
              <w:spacing w:line="240" w:lineRule="auto"/>
              <w:rPr>
                <w:rFonts w:ascii="Arial" w:eastAsia="Times New Roman" w:hAnsi="Arial" w:cs="Arial"/>
                <w:b/>
                <w:bCs/>
                <w:color w:val="FFFFFF"/>
                <w:sz w:val="18"/>
                <w:szCs w:val="18"/>
                <w:lang w:eastAsia="sl-SI"/>
              </w:rPr>
            </w:pPr>
            <w:r w:rsidRPr="008F399F">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8F399F">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48" w:type="dxa"/>
            <w:tcBorders>
              <w:top w:val="nil"/>
              <w:left w:val="nil"/>
              <w:bottom w:val="single" w:sz="4" w:space="0" w:color="auto"/>
              <w:right w:val="single" w:sz="4" w:space="0" w:color="auto"/>
            </w:tcBorders>
            <w:shd w:val="clear" w:color="000000" w:fill="31849B"/>
            <w:vAlign w:val="center"/>
            <w:hideMark/>
          </w:tcPr>
          <w:p w14:paraId="3ACBE2FE"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Število</w:t>
            </w:r>
          </w:p>
        </w:tc>
        <w:tc>
          <w:tcPr>
            <w:tcW w:w="890" w:type="dxa"/>
            <w:tcBorders>
              <w:top w:val="nil"/>
              <w:left w:val="nil"/>
              <w:bottom w:val="single" w:sz="4" w:space="0" w:color="auto"/>
              <w:right w:val="single" w:sz="4" w:space="0" w:color="auto"/>
            </w:tcBorders>
            <w:shd w:val="clear" w:color="000000" w:fill="31849B"/>
            <w:vAlign w:val="center"/>
            <w:hideMark/>
          </w:tcPr>
          <w:p w14:paraId="3AD00264"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Znesek</w:t>
            </w:r>
          </w:p>
        </w:tc>
      </w:tr>
      <w:tr w:rsidR="00A155A2" w:rsidRPr="00594AB0" w14:paraId="737FC380" w14:textId="77777777" w:rsidTr="001C77D2">
        <w:trPr>
          <w:trHeight w:val="278"/>
        </w:trPr>
        <w:tc>
          <w:tcPr>
            <w:tcW w:w="9059"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5080AD28"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 xml:space="preserve">Opomini pred začetkom davčne izvršbe </w:t>
            </w:r>
          </w:p>
        </w:tc>
      </w:tr>
      <w:tr w:rsidR="00A155A2" w:rsidRPr="00594AB0" w14:paraId="01D9B440" w14:textId="77777777" w:rsidTr="001C77D2">
        <w:trPr>
          <w:trHeight w:val="300"/>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077BFBE4"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 xml:space="preserve">Poslani opomini </w:t>
            </w:r>
          </w:p>
        </w:tc>
        <w:tc>
          <w:tcPr>
            <w:tcW w:w="1163" w:type="dxa"/>
            <w:tcBorders>
              <w:top w:val="nil"/>
              <w:left w:val="nil"/>
              <w:bottom w:val="single" w:sz="4" w:space="0" w:color="auto"/>
              <w:right w:val="single" w:sz="4" w:space="0" w:color="auto"/>
            </w:tcBorders>
            <w:shd w:val="clear" w:color="auto" w:fill="auto"/>
            <w:vAlign w:val="center"/>
            <w:hideMark/>
          </w:tcPr>
          <w:p w14:paraId="3A7B0D01"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932.532</w:t>
            </w:r>
          </w:p>
        </w:tc>
        <w:tc>
          <w:tcPr>
            <w:tcW w:w="1559" w:type="dxa"/>
            <w:tcBorders>
              <w:top w:val="nil"/>
              <w:left w:val="nil"/>
              <w:bottom w:val="single" w:sz="4" w:space="0" w:color="auto"/>
              <w:right w:val="single" w:sz="4" w:space="0" w:color="auto"/>
            </w:tcBorders>
            <w:shd w:val="clear" w:color="000000" w:fill="DAEEF3"/>
            <w:vAlign w:val="center"/>
            <w:hideMark/>
          </w:tcPr>
          <w:p w14:paraId="1DAEBB87"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759.527.255</w:t>
            </w:r>
          </w:p>
        </w:tc>
        <w:tc>
          <w:tcPr>
            <w:tcW w:w="1085" w:type="dxa"/>
            <w:tcBorders>
              <w:top w:val="nil"/>
              <w:left w:val="nil"/>
              <w:bottom w:val="single" w:sz="4" w:space="0" w:color="auto"/>
              <w:right w:val="single" w:sz="4" w:space="0" w:color="auto"/>
            </w:tcBorders>
            <w:shd w:val="clear" w:color="auto" w:fill="auto"/>
            <w:vAlign w:val="center"/>
            <w:hideMark/>
          </w:tcPr>
          <w:p w14:paraId="535CED8D"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977.559</w:t>
            </w:r>
          </w:p>
        </w:tc>
        <w:tc>
          <w:tcPr>
            <w:tcW w:w="1381" w:type="dxa"/>
            <w:tcBorders>
              <w:top w:val="nil"/>
              <w:left w:val="nil"/>
              <w:bottom w:val="single" w:sz="4" w:space="0" w:color="auto"/>
              <w:right w:val="single" w:sz="4" w:space="0" w:color="auto"/>
            </w:tcBorders>
            <w:shd w:val="clear" w:color="000000" w:fill="DAEEF3"/>
            <w:vAlign w:val="center"/>
            <w:hideMark/>
          </w:tcPr>
          <w:p w14:paraId="2F122D50"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852.732.943</w:t>
            </w:r>
          </w:p>
        </w:tc>
        <w:tc>
          <w:tcPr>
            <w:tcW w:w="848" w:type="dxa"/>
            <w:tcBorders>
              <w:top w:val="nil"/>
              <w:left w:val="nil"/>
              <w:bottom w:val="single" w:sz="4" w:space="0" w:color="auto"/>
              <w:right w:val="single" w:sz="4" w:space="0" w:color="auto"/>
            </w:tcBorders>
            <w:shd w:val="clear" w:color="auto" w:fill="auto"/>
            <w:vAlign w:val="center"/>
            <w:hideMark/>
          </w:tcPr>
          <w:p w14:paraId="67612FE6"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104,8</w:t>
            </w:r>
          </w:p>
        </w:tc>
        <w:tc>
          <w:tcPr>
            <w:tcW w:w="890" w:type="dxa"/>
            <w:tcBorders>
              <w:top w:val="nil"/>
              <w:left w:val="nil"/>
              <w:bottom w:val="single" w:sz="4" w:space="0" w:color="auto"/>
              <w:right w:val="single" w:sz="4" w:space="0" w:color="auto"/>
            </w:tcBorders>
            <w:shd w:val="clear" w:color="auto" w:fill="auto"/>
            <w:vAlign w:val="center"/>
            <w:hideMark/>
          </w:tcPr>
          <w:p w14:paraId="16778298"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112,3</w:t>
            </w:r>
          </w:p>
        </w:tc>
      </w:tr>
      <w:tr w:rsidR="00A155A2" w:rsidRPr="00594AB0" w14:paraId="68C271DC" w14:textId="77777777" w:rsidTr="001C77D2">
        <w:trPr>
          <w:trHeight w:val="361"/>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17E4A31D"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Plačila na podlagi opominov</w:t>
            </w:r>
          </w:p>
        </w:tc>
        <w:tc>
          <w:tcPr>
            <w:tcW w:w="1163" w:type="dxa"/>
            <w:tcBorders>
              <w:top w:val="nil"/>
              <w:left w:val="nil"/>
              <w:bottom w:val="single" w:sz="4" w:space="0" w:color="auto"/>
              <w:right w:val="single" w:sz="4" w:space="0" w:color="auto"/>
            </w:tcBorders>
            <w:shd w:val="clear" w:color="auto" w:fill="auto"/>
            <w:vAlign w:val="center"/>
            <w:hideMark/>
          </w:tcPr>
          <w:p w14:paraId="39525B4A"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594.289</w:t>
            </w:r>
          </w:p>
        </w:tc>
        <w:tc>
          <w:tcPr>
            <w:tcW w:w="1559" w:type="dxa"/>
            <w:tcBorders>
              <w:top w:val="nil"/>
              <w:left w:val="nil"/>
              <w:bottom w:val="single" w:sz="4" w:space="0" w:color="auto"/>
              <w:right w:val="single" w:sz="4" w:space="0" w:color="auto"/>
            </w:tcBorders>
            <w:shd w:val="clear" w:color="000000" w:fill="DAEEF3"/>
            <w:vAlign w:val="center"/>
            <w:hideMark/>
          </w:tcPr>
          <w:p w14:paraId="278508DD"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458.103.379</w:t>
            </w:r>
          </w:p>
        </w:tc>
        <w:tc>
          <w:tcPr>
            <w:tcW w:w="1085" w:type="dxa"/>
            <w:tcBorders>
              <w:top w:val="nil"/>
              <w:left w:val="nil"/>
              <w:bottom w:val="single" w:sz="4" w:space="0" w:color="auto"/>
              <w:right w:val="single" w:sz="4" w:space="0" w:color="auto"/>
            </w:tcBorders>
            <w:shd w:val="clear" w:color="auto" w:fill="auto"/>
            <w:vAlign w:val="center"/>
            <w:hideMark/>
          </w:tcPr>
          <w:p w14:paraId="35B1DE1A"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597.949</w:t>
            </w:r>
          </w:p>
        </w:tc>
        <w:tc>
          <w:tcPr>
            <w:tcW w:w="1381" w:type="dxa"/>
            <w:tcBorders>
              <w:top w:val="nil"/>
              <w:left w:val="nil"/>
              <w:bottom w:val="single" w:sz="4" w:space="0" w:color="auto"/>
              <w:right w:val="single" w:sz="4" w:space="0" w:color="auto"/>
            </w:tcBorders>
            <w:shd w:val="clear" w:color="000000" w:fill="DAEEF3"/>
            <w:vAlign w:val="center"/>
            <w:hideMark/>
          </w:tcPr>
          <w:p w14:paraId="03A260CB"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525.931.891</w:t>
            </w:r>
          </w:p>
        </w:tc>
        <w:tc>
          <w:tcPr>
            <w:tcW w:w="848" w:type="dxa"/>
            <w:tcBorders>
              <w:top w:val="nil"/>
              <w:left w:val="nil"/>
              <w:bottom w:val="single" w:sz="4" w:space="0" w:color="auto"/>
              <w:right w:val="single" w:sz="4" w:space="0" w:color="auto"/>
            </w:tcBorders>
            <w:shd w:val="clear" w:color="auto" w:fill="auto"/>
            <w:vAlign w:val="center"/>
            <w:hideMark/>
          </w:tcPr>
          <w:p w14:paraId="0767FAF4"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100,6</w:t>
            </w:r>
          </w:p>
        </w:tc>
        <w:tc>
          <w:tcPr>
            <w:tcW w:w="890" w:type="dxa"/>
            <w:tcBorders>
              <w:top w:val="nil"/>
              <w:left w:val="nil"/>
              <w:bottom w:val="single" w:sz="4" w:space="0" w:color="auto"/>
              <w:right w:val="single" w:sz="4" w:space="0" w:color="auto"/>
            </w:tcBorders>
            <w:shd w:val="clear" w:color="auto" w:fill="auto"/>
            <w:vAlign w:val="center"/>
            <w:hideMark/>
          </w:tcPr>
          <w:p w14:paraId="3B1326C0"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114,8</w:t>
            </w:r>
          </w:p>
        </w:tc>
      </w:tr>
      <w:tr w:rsidR="00A155A2" w:rsidRPr="00594AB0" w14:paraId="65BBA733" w14:textId="77777777" w:rsidTr="001C77D2">
        <w:trPr>
          <w:trHeight w:val="161"/>
        </w:trPr>
        <w:tc>
          <w:tcPr>
            <w:tcW w:w="9059"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0696E429"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9835DB">
              <w:rPr>
                <w:rFonts w:ascii="Arial" w:eastAsia="Times New Roman" w:hAnsi="Arial" w:cs="Arial"/>
                <w:b/>
                <w:bCs/>
                <w:color w:val="FFFFFF"/>
                <w:sz w:val="18"/>
                <w:szCs w:val="18"/>
                <w:lang w:eastAsia="sl-SI"/>
              </w:rPr>
              <w:t xml:space="preserve">Pozivi </w:t>
            </w:r>
            <w:r>
              <w:rPr>
                <w:rFonts w:ascii="Arial" w:eastAsia="Times New Roman" w:hAnsi="Arial" w:cs="Arial"/>
                <w:b/>
                <w:bCs/>
                <w:color w:val="FFFFFF"/>
                <w:sz w:val="18"/>
                <w:szCs w:val="18"/>
                <w:lang w:eastAsia="sl-SI"/>
              </w:rPr>
              <w:t>k</w:t>
            </w:r>
            <w:r w:rsidRPr="009835DB">
              <w:rPr>
                <w:rFonts w:ascii="Arial" w:eastAsia="Times New Roman" w:hAnsi="Arial" w:cs="Arial"/>
                <w:b/>
                <w:bCs/>
                <w:color w:val="FFFFFF"/>
                <w:sz w:val="18"/>
                <w:szCs w:val="18"/>
                <w:lang w:eastAsia="sl-SI"/>
              </w:rPr>
              <w:t xml:space="preserve"> plačil</w:t>
            </w:r>
            <w:r>
              <w:rPr>
                <w:rFonts w:ascii="Arial" w:eastAsia="Times New Roman" w:hAnsi="Arial" w:cs="Arial"/>
                <w:b/>
                <w:bCs/>
                <w:color w:val="FFFFFF"/>
                <w:sz w:val="18"/>
                <w:szCs w:val="18"/>
                <w:lang w:eastAsia="sl-SI"/>
              </w:rPr>
              <w:t>u</w:t>
            </w:r>
            <w:r w:rsidRPr="00594AB0">
              <w:rPr>
                <w:rFonts w:ascii="Arial" w:eastAsia="Times New Roman" w:hAnsi="Arial" w:cs="Arial"/>
                <w:b/>
                <w:bCs/>
                <w:color w:val="FFFFFF"/>
                <w:sz w:val="18"/>
                <w:szCs w:val="18"/>
                <w:lang w:eastAsia="sl-SI"/>
              </w:rPr>
              <w:t xml:space="preserve"> in predložitv</w:t>
            </w:r>
            <w:r>
              <w:rPr>
                <w:rFonts w:ascii="Arial" w:eastAsia="Times New Roman" w:hAnsi="Arial" w:cs="Arial"/>
                <w:b/>
                <w:bCs/>
                <w:color w:val="FFFFFF"/>
                <w:sz w:val="18"/>
                <w:szCs w:val="18"/>
                <w:lang w:eastAsia="sl-SI"/>
              </w:rPr>
              <w:t>i</w:t>
            </w:r>
            <w:r w:rsidRPr="00594AB0">
              <w:rPr>
                <w:rFonts w:ascii="Arial" w:eastAsia="Times New Roman" w:hAnsi="Arial" w:cs="Arial"/>
                <w:b/>
                <w:bCs/>
                <w:color w:val="FFFFFF"/>
                <w:sz w:val="18"/>
                <w:szCs w:val="18"/>
                <w:lang w:eastAsia="sl-SI"/>
              </w:rPr>
              <w:t xml:space="preserve"> seznama premoženja</w:t>
            </w:r>
          </w:p>
        </w:tc>
      </w:tr>
      <w:tr w:rsidR="00A155A2" w:rsidRPr="00594AB0" w14:paraId="59C17B3E" w14:textId="77777777" w:rsidTr="001C77D2">
        <w:trPr>
          <w:trHeight w:val="513"/>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6B0A331B"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 xml:space="preserve">Izdani </w:t>
            </w:r>
            <w:r w:rsidRPr="009835DB">
              <w:rPr>
                <w:rFonts w:ascii="Arial" w:eastAsia="Times New Roman" w:hAnsi="Arial" w:cs="Arial"/>
                <w:sz w:val="18"/>
                <w:szCs w:val="18"/>
                <w:lang w:eastAsia="sl-SI"/>
              </w:rPr>
              <w:t xml:space="preserve">pozivi </w:t>
            </w:r>
            <w:r>
              <w:rPr>
                <w:rFonts w:ascii="Arial" w:eastAsia="Times New Roman" w:hAnsi="Arial" w:cs="Arial"/>
                <w:sz w:val="18"/>
                <w:szCs w:val="18"/>
                <w:lang w:eastAsia="sl-SI"/>
              </w:rPr>
              <w:t>k</w:t>
            </w:r>
            <w:r w:rsidRPr="00594AB0">
              <w:rPr>
                <w:rFonts w:ascii="Arial" w:eastAsia="Times New Roman" w:hAnsi="Arial" w:cs="Arial"/>
                <w:sz w:val="18"/>
                <w:szCs w:val="18"/>
                <w:lang w:eastAsia="sl-SI"/>
              </w:rPr>
              <w:t xml:space="preserve"> plačil</w:t>
            </w:r>
            <w:r>
              <w:rPr>
                <w:rFonts w:ascii="Arial" w:eastAsia="Times New Roman" w:hAnsi="Arial" w:cs="Arial"/>
                <w:sz w:val="18"/>
                <w:szCs w:val="18"/>
                <w:lang w:eastAsia="sl-SI"/>
              </w:rPr>
              <w:t>u</w:t>
            </w:r>
            <w:r w:rsidRPr="00594AB0">
              <w:rPr>
                <w:rFonts w:ascii="Arial" w:eastAsia="Times New Roman" w:hAnsi="Arial" w:cs="Arial"/>
                <w:sz w:val="18"/>
                <w:szCs w:val="18"/>
                <w:lang w:eastAsia="sl-SI"/>
              </w:rPr>
              <w:t xml:space="preserve"> in predložitv</w:t>
            </w:r>
            <w:r>
              <w:rPr>
                <w:rFonts w:ascii="Arial" w:eastAsia="Times New Roman" w:hAnsi="Arial" w:cs="Arial"/>
                <w:sz w:val="18"/>
                <w:szCs w:val="18"/>
                <w:lang w:eastAsia="sl-SI"/>
              </w:rPr>
              <w:t>i</w:t>
            </w:r>
            <w:r w:rsidRPr="00594AB0">
              <w:rPr>
                <w:rFonts w:ascii="Arial" w:eastAsia="Times New Roman" w:hAnsi="Arial" w:cs="Arial"/>
                <w:sz w:val="18"/>
                <w:szCs w:val="18"/>
                <w:lang w:eastAsia="sl-SI"/>
              </w:rPr>
              <w:t xml:space="preserve"> seznama premoženja</w:t>
            </w:r>
          </w:p>
        </w:tc>
        <w:tc>
          <w:tcPr>
            <w:tcW w:w="1163" w:type="dxa"/>
            <w:tcBorders>
              <w:top w:val="nil"/>
              <w:left w:val="nil"/>
              <w:bottom w:val="single" w:sz="4" w:space="0" w:color="auto"/>
              <w:right w:val="single" w:sz="4" w:space="0" w:color="auto"/>
            </w:tcBorders>
            <w:shd w:val="clear" w:color="auto" w:fill="auto"/>
            <w:vAlign w:val="center"/>
            <w:hideMark/>
          </w:tcPr>
          <w:p w14:paraId="01577C03"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34.547</w:t>
            </w:r>
          </w:p>
        </w:tc>
        <w:tc>
          <w:tcPr>
            <w:tcW w:w="1559" w:type="dxa"/>
            <w:tcBorders>
              <w:top w:val="nil"/>
              <w:left w:val="nil"/>
              <w:bottom w:val="single" w:sz="4" w:space="0" w:color="auto"/>
              <w:right w:val="single" w:sz="4" w:space="0" w:color="auto"/>
            </w:tcBorders>
            <w:shd w:val="clear" w:color="000000" w:fill="DAEEF3"/>
            <w:vAlign w:val="center"/>
            <w:hideMark/>
          </w:tcPr>
          <w:p w14:paraId="143D3378"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83.742.975</w:t>
            </w:r>
          </w:p>
        </w:tc>
        <w:tc>
          <w:tcPr>
            <w:tcW w:w="1085" w:type="dxa"/>
            <w:tcBorders>
              <w:top w:val="nil"/>
              <w:left w:val="nil"/>
              <w:bottom w:val="single" w:sz="4" w:space="0" w:color="auto"/>
              <w:right w:val="single" w:sz="4" w:space="0" w:color="auto"/>
            </w:tcBorders>
            <w:shd w:val="clear" w:color="auto" w:fill="auto"/>
            <w:vAlign w:val="center"/>
            <w:hideMark/>
          </w:tcPr>
          <w:p w14:paraId="0AEC34CD"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43.369</w:t>
            </w:r>
          </w:p>
        </w:tc>
        <w:tc>
          <w:tcPr>
            <w:tcW w:w="1381" w:type="dxa"/>
            <w:tcBorders>
              <w:top w:val="nil"/>
              <w:left w:val="nil"/>
              <w:bottom w:val="single" w:sz="4" w:space="0" w:color="auto"/>
              <w:right w:val="single" w:sz="4" w:space="0" w:color="auto"/>
            </w:tcBorders>
            <w:shd w:val="clear" w:color="000000" w:fill="DAEEF3"/>
            <w:vAlign w:val="center"/>
            <w:hideMark/>
          </w:tcPr>
          <w:p w14:paraId="22B24FEA"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145.733.118</w:t>
            </w:r>
          </w:p>
        </w:tc>
        <w:tc>
          <w:tcPr>
            <w:tcW w:w="848" w:type="dxa"/>
            <w:tcBorders>
              <w:top w:val="nil"/>
              <w:left w:val="nil"/>
              <w:bottom w:val="single" w:sz="4" w:space="0" w:color="auto"/>
              <w:right w:val="single" w:sz="4" w:space="0" w:color="auto"/>
            </w:tcBorders>
            <w:shd w:val="clear" w:color="auto" w:fill="auto"/>
            <w:vAlign w:val="center"/>
            <w:hideMark/>
          </w:tcPr>
          <w:p w14:paraId="2DB07F04"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125,5</w:t>
            </w:r>
          </w:p>
        </w:tc>
        <w:tc>
          <w:tcPr>
            <w:tcW w:w="890" w:type="dxa"/>
            <w:tcBorders>
              <w:top w:val="nil"/>
              <w:left w:val="nil"/>
              <w:bottom w:val="single" w:sz="4" w:space="0" w:color="auto"/>
              <w:right w:val="single" w:sz="4" w:space="0" w:color="auto"/>
            </w:tcBorders>
            <w:shd w:val="clear" w:color="auto" w:fill="auto"/>
            <w:vAlign w:val="center"/>
            <w:hideMark/>
          </w:tcPr>
          <w:p w14:paraId="670584B8"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174,0</w:t>
            </w:r>
          </w:p>
        </w:tc>
      </w:tr>
      <w:tr w:rsidR="00A155A2" w:rsidRPr="00594AB0" w14:paraId="65DC4826" w14:textId="77777777" w:rsidTr="001C77D2">
        <w:trPr>
          <w:trHeight w:val="408"/>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6EA1ED5C"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Plačila na podlagi pozivov</w:t>
            </w:r>
          </w:p>
        </w:tc>
        <w:tc>
          <w:tcPr>
            <w:tcW w:w="1163" w:type="dxa"/>
            <w:tcBorders>
              <w:top w:val="nil"/>
              <w:left w:val="nil"/>
              <w:bottom w:val="single" w:sz="4" w:space="0" w:color="auto"/>
              <w:right w:val="single" w:sz="4" w:space="0" w:color="auto"/>
            </w:tcBorders>
            <w:shd w:val="clear" w:color="auto" w:fill="auto"/>
            <w:vAlign w:val="center"/>
            <w:hideMark/>
          </w:tcPr>
          <w:p w14:paraId="551BDB94"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17.095</w:t>
            </w:r>
          </w:p>
        </w:tc>
        <w:tc>
          <w:tcPr>
            <w:tcW w:w="1559" w:type="dxa"/>
            <w:tcBorders>
              <w:top w:val="nil"/>
              <w:left w:val="nil"/>
              <w:bottom w:val="single" w:sz="4" w:space="0" w:color="auto"/>
              <w:right w:val="single" w:sz="4" w:space="0" w:color="auto"/>
            </w:tcBorders>
            <w:shd w:val="clear" w:color="000000" w:fill="DAEEF3"/>
            <w:vAlign w:val="center"/>
            <w:hideMark/>
          </w:tcPr>
          <w:p w14:paraId="28C3B208"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3.525.259</w:t>
            </w:r>
          </w:p>
        </w:tc>
        <w:tc>
          <w:tcPr>
            <w:tcW w:w="1085" w:type="dxa"/>
            <w:tcBorders>
              <w:top w:val="nil"/>
              <w:left w:val="nil"/>
              <w:bottom w:val="single" w:sz="4" w:space="0" w:color="auto"/>
              <w:right w:val="single" w:sz="4" w:space="0" w:color="auto"/>
            </w:tcBorders>
            <w:shd w:val="clear" w:color="auto" w:fill="auto"/>
            <w:vAlign w:val="center"/>
            <w:hideMark/>
          </w:tcPr>
          <w:p w14:paraId="76919AA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11.449</w:t>
            </w:r>
          </w:p>
        </w:tc>
        <w:tc>
          <w:tcPr>
            <w:tcW w:w="1381" w:type="dxa"/>
            <w:tcBorders>
              <w:top w:val="nil"/>
              <w:left w:val="nil"/>
              <w:bottom w:val="single" w:sz="4" w:space="0" w:color="auto"/>
              <w:right w:val="single" w:sz="4" w:space="0" w:color="auto"/>
            </w:tcBorders>
            <w:shd w:val="clear" w:color="000000" w:fill="DAEEF3"/>
            <w:vAlign w:val="center"/>
            <w:hideMark/>
          </w:tcPr>
          <w:p w14:paraId="4AE69F8E"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5.339.655</w:t>
            </w:r>
          </w:p>
        </w:tc>
        <w:tc>
          <w:tcPr>
            <w:tcW w:w="848" w:type="dxa"/>
            <w:tcBorders>
              <w:top w:val="nil"/>
              <w:left w:val="nil"/>
              <w:bottom w:val="single" w:sz="4" w:space="0" w:color="auto"/>
              <w:right w:val="single" w:sz="4" w:space="0" w:color="auto"/>
            </w:tcBorders>
            <w:shd w:val="clear" w:color="auto" w:fill="auto"/>
            <w:vAlign w:val="center"/>
            <w:hideMark/>
          </w:tcPr>
          <w:p w14:paraId="0C83EEEB"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67,0</w:t>
            </w:r>
          </w:p>
        </w:tc>
        <w:tc>
          <w:tcPr>
            <w:tcW w:w="890" w:type="dxa"/>
            <w:tcBorders>
              <w:top w:val="nil"/>
              <w:left w:val="nil"/>
              <w:bottom w:val="single" w:sz="4" w:space="0" w:color="auto"/>
              <w:right w:val="single" w:sz="4" w:space="0" w:color="auto"/>
            </w:tcBorders>
            <w:shd w:val="clear" w:color="auto" w:fill="auto"/>
            <w:vAlign w:val="center"/>
            <w:hideMark/>
          </w:tcPr>
          <w:p w14:paraId="3C71692A"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151,5</w:t>
            </w:r>
          </w:p>
        </w:tc>
      </w:tr>
      <w:tr w:rsidR="00A155A2" w:rsidRPr="00594AB0" w14:paraId="04FF6E59" w14:textId="77777777" w:rsidTr="001C77D2">
        <w:trPr>
          <w:trHeight w:val="269"/>
        </w:trPr>
        <w:tc>
          <w:tcPr>
            <w:tcW w:w="9059"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4EC8B61E"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Sklep o davčni izvršbi</w:t>
            </w:r>
          </w:p>
        </w:tc>
      </w:tr>
      <w:tr w:rsidR="00A155A2" w:rsidRPr="00594AB0" w14:paraId="20F45FEF" w14:textId="77777777" w:rsidTr="001C77D2">
        <w:trPr>
          <w:trHeight w:val="243"/>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563910D1"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Izdani sklepi</w:t>
            </w:r>
          </w:p>
        </w:tc>
        <w:tc>
          <w:tcPr>
            <w:tcW w:w="1163" w:type="dxa"/>
            <w:tcBorders>
              <w:top w:val="nil"/>
              <w:left w:val="nil"/>
              <w:bottom w:val="single" w:sz="4" w:space="0" w:color="auto"/>
              <w:right w:val="single" w:sz="4" w:space="0" w:color="auto"/>
            </w:tcBorders>
            <w:shd w:val="clear" w:color="auto" w:fill="auto"/>
            <w:vAlign w:val="center"/>
            <w:hideMark/>
          </w:tcPr>
          <w:p w14:paraId="6646FC83"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309.475</w:t>
            </w:r>
          </w:p>
        </w:tc>
        <w:tc>
          <w:tcPr>
            <w:tcW w:w="1559" w:type="dxa"/>
            <w:tcBorders>
              <w:top w:val="nil"/>
              <w:left w:val="nil"/>
              <w:bottom w:val="single" w:sz="4" w:space="0" w:color="auto"/>
              <w:right w:val="single" w:sz="4" w:space="0" w:color="auto"/>
            </w:tcBorders>
            <w:shd w:val="clear" w:color="000000" w:fill="DAEEF3"/>
            <w:vAlign w:val="center"/>
            <w:hideMark/>
          </w:tcPr>
          <w:p w14:paraId="4C521E9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635.422.437</w:t>
            </w:r>
          </w:p>
        </w:tc>
        <w:tc>
          <w:tcPr>
            <w:tcW w:w="1085" w:type="dxa"/>
            <w:tcBorders>
              <w:top w:val="nil"/>
              <w:left w:val="nil"/>
              <w:bottom w:val="single" w:sz="4" w:space="0" w:color="auto"/>
              <w:right w:val="single" w:sz="4" w:space="0" w:color="auto"/>
            </w:tcBorders>
            <w:shd w:val="clear" w:color="auto" w:fill="auto"/>
            <w:vAlign w:val="center"/>
            <w:hideMark/>
          </w:tcPr>
          <w:p w14:paraId="056C10AD"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326.333</w:t>
            </w:r>
          </w:p>
        </w:tc>
        <w:tc>
          <w:tcPr>
            <w:tcW w:w="1381" w:type="dxa"/>
            <w:tcBorders>
              <w:top w:val="nil"/>
              <w:left w:val="nil"/>
              <w:bottom w:val="single" w:sz="4" w:space="0" w:color="auto"/>
              <w:right w:val="single" w:sz="4" w:space="0" w:color="auto"/>
            </w:tcBorders>
            <w:shd w:val="clear" w:color="000000" w:fill="DAEEF3"/>
            <w:vAlign w:val="center"/>
            <w:hideMark/>
          </w:tcPr>
          <w:p w14:paraId="1DC8687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714.213.479</w:t>
            </w:r>
          </w:p>
        </w:tc>
        <w:tc>
          <w:tcPr>
            <w:tcW w:w="848" w:type="dxa"/>
            <w:tcBorders>
              <w:top w:val="nil"/>
              <w:left w:val="nil"/>
              <w:bottom w:val="single" w:sz="4" w:space="0" w:color="auto"/>
              <w:right w:val="single" w:sz="4" w:space="0" w:color="auto"/>
            </w:tcBorders>
            <w:shd w:val="clear" w:color="auto" w:fill="auto"/>
            <w:vAlign w:val="center"/>
            <w:hideMark/>
          </w:tcPr>
          <w:p w14:paraId="2C5C1F68"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105,4</w:t>
            </w:r>
          </w:p>
        </w:tc>
        <w:tc>
          <w:tcPr>
            <w:tcW w:w="890" w:type="dxa"/>
            <w:tcBorders>
              <w:top w:val="nil"/>
              <w:left w:val="nil"/>
              <w:bottom w:val="single" w:sz="4" w:space="0" w:color="auto"/>
              <w:right w:val="single" w:sz="4" w:space="0" w:color="auto"/>
            </w:tcBorders>
            <w:shd w:val="clear" w:color="auto" w:fill="auto"/>
            <w:vAlign w:val="center"/>
            <w:hideMark/>
          </w:tcPr>
          <w:p w14:paraId="652D968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112,4</w:t>
            </w:r>
          </w:p>
        </w:tc>
      </w:tr>
      <w:tr w:rsidR="00A155A2" w:rsidRPr="00594AB0" w14:paraId="3EE5BE3D" w14:textId="77777777" w:rsidTr="001C77D2">
        <w:trPr>
          <w:trHeight w:val="295"/>
        </w:trPr>
        <w:tc>
          <w:tcPr>
            <w:tcW w:w="2131" w:type="dxa"/>
            <w:tcBorders>
              <w:top w:val="nil"/>
              <w:left w:val="single" w:sz="4" w:space="0" w:color="auto"/>
              <w:bottom w:val="single" w:sz="4" w:space="0" w:color="auto"/>
              <w:right w:val="single" w:sz="4" w:space="0" w:color="auto"/>
            </w:tcBorders>
            <w:shd w:val="clear" w:color="auto" w:fill="auto"/>
            <w:vAlign w:val="center"/>
            <w:hideMark/>
          </w:tcPr>
          <w:p w14:paraId="5A1111B7" w14:textId="77777777" w:rsidR="00A155A2" w:rsidRPr="00594AB0" w:rsidRDefault="00A155A2" w:rsidP="001C77D2">
            <w:pPr>
              <w:spacing w:line="240" w:lineRule="auto"/>
              <w:rPr>
                <w:rFonts w:ascii="Arial" w:eastAsia="Times New Roman" w:hAnsi="Arial" w:cs="Arial"/>
                <w:sz w:val="18"/>
                <w:szCs w:val="18"/>
                <w:lang w:eastAsia="sl-SI"/>
              </w:rPr>
            </w:pPr>
            <w:r w:rsidRPr="00594AB0">
              <w:rPr>
                <w:rFonts w:ascii="Arial" w:eastAsia="Times New Roman" w:hAnsi="Arial" w:cs="Arial"/>
                <w:sz w:val="18"/>
                <w:szCs w:val="18"/>
                <w:lang w:eastAsia="sl-SI"/>
              </w:rPr>
              <w:t>Plačila na podlagi sklepov</w:t>
            </w:r>
          </w:p>
        </w:tc>
        <w:tc>
          <w:tcPr>
            <w:tcW w:w="1163" w:type="dxa"/>
            <w:tcBorders>
              <w:top w:val="nil"/>
              <w:left w:val="nil"/>
              <w:bottom w:val="single" w:sz="4" w:space="0" w:color="auto"/>
              <w:right w:val="single" w:sz="4" w:space="0" w:color="auto"/>
            </w:tcBorders>
            <w:shd w:val="clear" w:color="auto" w:fill="auto"/>
            <w:vAlign w:val="center"/>
            <w:hideMark/>
          </w:tcPr>
          <w:p w14:paraId="5BE174AB"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344.908</w:t>
            </w:r>
          </w:p>
        </w:tc>
        <w:tc>
          <w:tcPr>
            <w:tcW w:w="1559" w:type="dxa"/>
            <w:tcBorders>
              <w:top w:val="nil"/>
              <w:left w:val="nil"/>
              <w:bottom w:val="single" w:sz="4" w:space="0" w:color="auto"/>
              <w:right w:val="single" w:sz="4" w:space="0" w:color="auto"/>
            </w:tcBorders>
            <w:shd w:val="clear" w:color="000000" w:fill="DAEEF3"/>
            <w:vAlign w:val="center"/>
            <w:hideMark/>
          </w:tcPr>
          <w:p w14:paraId="7345A021"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196.910.294</w:t>
            </w:r>
          </w:p>
        </w:tc>
        <w:tc>
          <w:tcPr>
            <w:tcW w:w="1085" w:type="dxa"/>
            <w:tcBorders>
              <w:top w:val="nil"/>
              <w:left w:val="nil"/>
              <w:bottom w:val="single" w:sz="4" w:space="0" w:color="auto"/>
              <w:right w:val="single" w:sz="4" w:space="0" w:color="auto"/>
            </w:tcBorders>
            <w:shd w:val="clear" w:color="auto" w:fill="auto"/>
            <w:vAlign w:val="center"/>
            <w:hideMark/>
          </w:tcPr>
          <w:p w14:paraId="511D144A" w14:textId="77777777" w:rsidR="00A155A2" w:rsidRPr="00594AB0" w:rsidRDefault="00A155A2" w:rsidP="001C77D2">
            <w:pPr>
              <w:spacing w:line="240" w:lineRule="auto"/>
              <w:jc w:val="right"/>
              <w:rPr>
                <w:rFonts w:ascii="Arial" w:eastAsia="Times New Roman" w:hAnsi="Arial" w:cs="Arial"/>
                <w:color w:val="000000"/>
                <w:sz w:val="18"/>
                <w:szCs w:val="18"/>
                <w:lang w:eastAsia="sl-SI"/>
              </w:rPr>
            </w:pPr>
            <w:r w:rsidRPr="00594AB0">
              <w:rPr>
                <w:rFonts w:ascii="Arial" w:eastAsia="Times New Roman" w:hAnsi="Arial" w:cs="Arial"/>
                <w:color w:val="000000"/>
                <w:sz w:val="18"/>
                <w:szCs w:val="18"/>
                <w:lang w:eastAsia="sl-SI"/>
              </w:rPr>
              <w:t>311.297</w:t>
            </w:r>
          </w:p>
        </w:tc>
        <w:tc>
          <w:tcPr>
            <w:tcW w:w="1381" w:type="dxa"/>
            <w:tcBorders>
              <w:top w:val="nil"/>
              <w:left w:val="nil"/>
              <w:bottom w:val="single" w:sz="4" w:space="0" w:color="auto"/>
              <w:right w:val="single" w:sz="4" w:space="0" w:color="auto"/>
            </w:tcBorders>
            <w:shd w:val="clear" w:color="000000" w:fill="DAEEF3"/>
            <w:vAlign w:val="center"/>
            <w:hideMark/>
          </w:tcPr>
          <w:p w14:paraId="63A02FED" w14:textId="77777777" w:rsidR="00A155A2" w:rsidRPr="00594AB0" w:rsidRDefault="00A155A2" w:rsidP="001C77D2">
            <w:pPr>
              <w:spacing w:line="240" w:lineRule="auto"/>
              <w:jc w:val="right"/>
              <w:rPr>
                <w:rFonts w:ascii="Arial" w:eastAsia="Times New Roman" w:hAnsi="Arial" w:cs="Arial"/>
                <w:color w:val="000000"/>
                <w:sz w:val="18"/>
                <w:szCs w:val="18"/>
                <w:lang w:eastAsia="sl-SI"/>
              </w:rPr>
            </w:pPr>
            <w:r w:rsidRPr="00594AB0">
              <w:rPr>
                <w:rFonts w:ascii="Arial" w:eastAsia="Times New Roman" w:hAnsi="Arial" w:cs="Arial"/>
                <w:color w:val="000000"/>
                <w:sz w:val="18"/>
                <w:szCs w:val="18"/>
                <w:lang w:eastAsia="sl-SI"/>
              </w:rPr>
              <w:t>218.318.510</w:t>
            </w:r>
          </w:p>
        </w:tc>
        <w:tc>
          <w:tcPr>
            <w:tcW w:w="848" w:type="dxa"/>
            <w:tcBorders>
              <w:top w:val="nil"/>
              <w:left w:val="nil"/>
              <w:bottom w:val="single" w:sz="4" w:space="0" w:color="auto"/>
              <w:right w:val="single" w:sz="4" w:space="0" w:color="auto"/>
            </w:tcBorders>
            <w:shd w:val="clear" w:color="auto" w:fill="auto"/>
            <w:vAlign w:val="center"/>
            <w:hideMark/>
          </w:tcPr>
          <w:p w14:paraId="135B7729"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90,3</w:t>
            </w:r>
          </w:p>
        </w:tc>
        <w:tc>
          <w:tcPr>
            <w:tcW w:w="890" w:type="dxa"/>
            <w:tcBorders>
              <w:top w:val="nil"/>
              <w:left w:val="nil"/>
              <w:bottom w:val="single" w:sz="4" w:space="0" w:color="auto"/>
              <w:right w:val="single" w:sz="4" w:space="0" w:color="auto"/>
            </w:tcBorders>
            <w:shd w:val="clear" w:color="auto" w:fill="auto"/>
            <w:vAlign w:val="center"/>
            <w:hideMark/>
          </w:tcPr>
          <w:p w14:paraId="36F70E20"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110,9</w:t>
            </w:r>
          </w:p>
        </w:tc>
      </w:tr>
      <w:tr w:rsidR="00A155A2" w:rsidRPr="00594AB0" w14:paraId="741F2026" w14:textId="77777777" w:rsidTr="001C77D2">
        <w:trPr>
          <w:trHeight w:val="440"/>
        </w:trPr>
        <w:tc>
          <w:tcPr>
            <w:tcW w:w="2131" w:type="dxa"/>
            <w:tcBorders>
              <w:top w:val="nil"/>
              <w:left w:val="single" w:sz="4" w:space="0" w:color="auto"/>
              <w:bottom w:val="single" w:sz="4" w:space="0" w:color="auto"/>
              <w:right w:val="single" w:sz="4" w:space="0" w:color="auto"/>
            </w:tcBorders>
            <w:shd w:val="clear" w:color="000000" w:fill="808080"/>
            <w:vAlign w:val="center"/>
            <w:hideMark/>
          </w:tcPr>
          <w:p w14:paraId="0EBFF11F"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 xml:space="preserve">Terjani dolg po opominih in sklepih SKUPAJ  </w:t>
            </w:r>
          </w:p>
        </w:tc>
        <w:tc>
          <w:tcPr>
            <w:tcW w:w="1163" w:type="dxa"/>
            <w:tcBorders>
              <w:top w:val="nil"/>
              <w:left w:val="nil"/>
              <w:bottom w:val="single" w:sz="4" w:space="0" w:color="auto"/>
              <w:right w:val="single" w:sz="4" w:space="0" w:color="auto"/>
            </w:tcBorders>
            <w:shd w:val="clear" w:color="000000" w:fill="808080"/>
            <w:vAlign w:val="center"/>
            <w:hideMark/>
          </w:tcPr>
          <w:p w14:paraId="7491E642"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1.276.554</w:t>
            </w:r>
          </w:p>
        </w:tc>
        <w:tc>
          <w:tcPr>
            <w:tcW w:w="1559" w:type="dxa"/>
            <w:tcBorders>
              <w:top w:val="nil"/>
              <w:left w:val="nil"/>
              <w:bottom w:val="single" w:sz="4" w:space="0" w:color="auto"/>
              <w:right w:val="single" w:sz="4" w:space="0" w:color="auto"/>
            </w:tcBorders>
            <w:shd w:val="clear" w:color="000000" w:fill="808080"/>
            <w:vAlign w:val="center"/>
            <w:hideMark/>
          </w:tcPr>
          <w:p w14:paraId="1C3B746E"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1.478.692.667</w:t>
            </w:r>
          </w:p>
        </w:tc>
        <w:tc>
          <w:tcPr>
            <w:tcW w:w="1085" w:type="dxa"/>
            <w:tcBorders>
              <w:top w:val="nil"/>
              <w:left w:val="nil"/>
              <w:bottom w:val="single" w:sz="4" w:space="0" w:color="auto"/>
              <w:right w:val="single" w:sz="4" w:space="0" w:color="auto"/>
            </w:tcBorders>
            <w:shd w:val="clear" w:color="000000" w:fill="808080"/>
            <w:vAlign w:val="center"/>
            <w:hideMark/>
          </w:tcPr>
          <w:p w14:paraId="2FEE5C94"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1.347.261</w:t>
            </w:r>
          </w:p>
        </w:tc>
        <w:tc>
          <w:tcPr>
            <w:tcW w:w="1381" w:type="dxa"/>
            <w:tcBorders>
              <w:top w:val="nil"/>
              <w:left w:val="nil"/>
              <w:bottom w:val="single" w:sz="4" w:space="0" w:color="auto"/>
              <w:right w:val="single" w:sz="4" w:space="0" w:color="auto"/>
            </w:tcBorders>
            <w:shd w:val="clear" w:color="000000" w:fill="808080"/>
            <w:vAlign w:val="center"/>
            <w:hideMark/>
          </w:tcPr>
          <w:p w14:paraId="66627194"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1.712.679.540</w:t>
            </w:r>
          </w:p>
        </w:tc>
        <w:tc>
          <w:tcPr>
            <w:tcW w:w="848" w:type="dxa"/>
            <w:tcBorders>
              <w:top w:val="nil"/>
              <w:left w:val="nil"/>
              <w:bottom w:val="single" w:sz="4" w:space="0" w:color="auto"/>
              <w:right w:val="single" w:sz="4" w:space="0" w:color="auto"/>
            </w:tcBorders>
            <w:shd w:val="clear" w:color="000000" w:fill="808080"/>
            <w:vAlign w:val="center"/>
            <w:hideMark/>
          </w:tcPr>
          <w:p w14:paraId="69AC3678"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105,5</w:t>
            </w:r>
          </w:p>
        </w:tc>
        <w:tc>
          <w:tcPr>
            <w:tcW w:w="890" w:type="dxa"/>
            <w:tcBorders>
              <w:top w:val="nil"/>
              <w:left w:val="nil"/>
              <w:bottom w:val="single" w:sz="4" w:space="0" w:color="auto"/>
              <w:right w:val="single" w:sz="4" w:space="0" w:color="auto"/>
            </w:tcBorders>
            <w:shd w:val="clear" w:color="000000" w:fill="808080"/>
            <w:vAlign w:val="center"/>
            <w:hideMark/>
          </w:tcPr>
          <w:p w14:paraId="0EB29587"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115,8</w:t>
            </w:r>
          </w:p>
        </w:tc>
      </w:tr>
      <w:tr w:rsidR="00A155A2" w:rsidRPr="00594AB0" w14:paraId="4B780630" w14:textId="77777777" w:rsidTr="001C77D2">
        <w:trPr>
          <w:trHeight w:val="474"/>
        </w:trPr>
        <w:tc>
          <w:tcPr>
            <w:tcW w:w="2131" w:type="dxa"/>
            <w:tcBorders>
              <w:top w:val="nil"/>
              <w:left w:val="single" w:sz="4" w:space="0" w:color="auto"/>
              <w:bottom w:val="single" w:sz="4" w:space="0" w:color="auto"/>
              <w:right w:val="single" w:sz="4" w:space="0" w:color="auto"/>
            </w:tcBorders>
            <w:shd w:val="clear" w:color="000000" w:fill="808080"/>
            <w:vAlign w:val="center"/>
            <w:hideMark/>
          </w:tcPr>
          <w:p w14:paraId="69215647"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Realizacija po opominih in sklepih SKUPAJ</w:t>
            </w:r>
          </w:p>
        </w:tc>
        <w:tc>
          <w:tcPr>
            <w:tcW w:w="1163" w:type="dxa"/>
            <w:tcBorders>
              <w:top w:val="nil"/>
              <w:left w:val="nil"/>
              <w:bottom w:val="single" w:sz="4" w:space="0" w:color="auto"/>
              <w:right w:val="single" w:sz="4" w:space="0" w:color="auto"/>
            </w:tcBorders>
            <w:shd w:val="clear" w:color="000000" w:fill="808080"/>
            <w:vAlign w:val="center"/>
            <w:hideMark/>
          </w:tcPr>
          <w:p w14:paraId="3EF7C107"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956.292</w:t>
            </w:r>
          </w:p>
        </w:tc>
        <w:tc>
          <w:tcPr>
            <w:tcW w:w="1559" w:type="dxa"/>
            <w:tcBorders>
              <w:top w:val="nil"/>
              <w:left w:val="nil"/>
              <w:bottom w:val="single" w:sz="4" w:space="0" w:color="auto"/>
              <w:right w:val="single" w:sz="4" w:space="0" w:color="auto"/>
            </w:tcBorders>
            <w:shd w:val="clear" w:color="000000" w:fill="808080"/>
            <w:vAlign w:val="center"/>
            <w:hideMark/>
          </w:tcPr>
          <w:p w14:paraId="41B4FE36"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658.538.932</w:t>
            </w:r>
          </w:p>
        </w:tc>
        <w:tc>
          <w:tcPr>
            <w:tcW w:w="1085" w:type="dxa"/>
            <w:tcBorders>
              <w:top w:val="nil"/>
              <w:left w:val="nil"/>
              <w:bottom w:val="single" w:sz="4" w:space="0" w:color="auto"/>
              <w:right w:val="single" w:sz="4" w:space="0" w:color="auto"/>
            </w:tcBorders>
            <w:shd w:val="clear" w:color="000000" w:fill="808080"/>
            <w:vAlign w:val="center"/>
            <w:hideMark/>
          </w:tcPr>
          <w:p w14:paraId="57894132"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920.695</w:t>
            </w:r>
          </w:p>
        </w:tc>
        <w:tc>
          <w:tcPr>
            <w:tcW w:w="1381" w:type="dxa"/>
            <w:tcBorders>
              <w:top w:val="nil"/>
              <w:left w:val="nil"/>
              <w:bottom w:val="single" w:sz="4" w:space="0" w:color="auto"/>
              <w:right w:val="single" w:sz="4" w:space="0" w:color="auto"/>
            </w:tcBorders>
            <w:shd w:val="clear" w:color="000000" w:fill="808080"/>
            <w:vAlign w:val="center"/>
            <w:hideMark/>
          </w:tcPr>
          <w:p w14:paraId="4797045D"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749.590.056</w:t>
            </w:r>
          </w:p>
        </w:tc>
        <w:tc>
          <w:tcPr>
            <w:tcW w:w="848" w:type="dxa"/>
            <w:tcBorders>
              <w:top w:val="nil"/>
              <w:left w:val="nil"/>
              <w:bottom w:val="single" w:sz="4" w:space="0" w:color="auto"/>
              <w:right w:val="single" w:sz="4" w:space="0" w:color="auto"/>
            </w:tcBorders>
            <w:shd w:val="clear" w:color="000000" w:fill="808080"/>
            <w:vAlign w:val="center"/>
            <w:hideMark/>
          </w:tcPr>
          <w:p w14:paraId="078F3E87"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96,3</w:t>
            </w:r>
          </w:p>
        </w:tc>
        <w:tc>
          <w:tcPr>
            <w:tcW w:w="890" w:type="dxa"/>
            <w:tcBorders>
              <w:top w:val="nil"/>
              <w:left w:val="nil"/>
              <w:bottom w:val="single" w:sz="4" w:space="0" w:color="auto"/>
              <w:right w:val="single" w:sz="4" w:space="0" w:color="auto"/>
            </w:tcBorders>
            <w:shd w:val="clear" w:color="000000" w:fill="808080"/>
            <w:vAlign w:val="center"/>
            <w:hideMark/>
          </w:tcPr>
          <w:p w14:paraId="1D5E733F"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113,8</w:t>
            </w:r>
          </w:p>
        </w:tc>
      </w:tr>
    </w:tbl>
    <w:bookmarkEnd w:id="19"/>
    <w:p w14:paraId="56923228" w14:textId="77777777" w:rsidR="00A155A2" w:rsidRPr="0054637F" w:rsidRDefault="00A155A2" w:rsidP="00A155A2">
      <w:pPr>
        <w:ind w:hanging="110"/>
        <w:rPr>
          <w:rFonts w:ascii="Arial" w:hAnsi="Arial" w:cs="Arial"/>
          <w:i/>
          <w:sz w:val="20"/>
          <w:szCs w:val="20"/>
        </w:rPr>
      </w:pPr>
      <w:r w:rsidRPr="0054637F">
        <w:rPr>
          <w:rFonts w:ascii="Arial" w:hAnsi="Arial" w:cs="Arial"/>
          <w:i/>
          <w:sz w:val="20"/>
          <w:szCs w:val="20"/>
        </w:rPr>
        <w:t xml:space="preserve"> Vir: FURS</w:t>
      </w:r>
    </w:p>
    <w:p w14:paraId="419B16C0" w14:textId="77777777" w:rsidR="00A155A2" w:rsidRPr="00594AB0" w:rsidRDefault="00A155A2" w:rsidP="00A155A2">
      <w:pPr>
        <w:jc w:val="both"/>
        <w:rPr>
          <w:rFonts w:ascii="Arial" w:hAnsi="Arial" w:cs="Arial"/>
          <w:bCs/>
          <w:iCs/>
          <w:sz w:val="20"/>
          <w:szCs w:val="20"/>
        </w:rPr>
      </w:pPr>
      <w:r w:rsidRPr="00594AB0">
        <w:rPr>
          <w:rFonts w:ascii="Arial" w:hAnsi="Arial" w:cs="Arial"/>
          <w:bCs/>
          <w:iCs/>
          <w:sz w:val="20"/>
          <w:szCs w:val="20"/>
        </w:rPr>
        <w:t>Pri davčnih zavezancih, ki imajo v knjigovodski evidenci izkazane neporavnane obveznosti, hkrati pa so upravičeni do vračila davka po obračunu ali odločbi, F</w:t>
      </w:r>
      <w:r>
        <w:rPr>
          <w:rFonts w:ascii="Arial" w:hAnsi="Arial" w:cs="Arial"/>
          <w:bCs/>
          <w:iCs/>
          <w:sz w:val="20"/>
          <w:szCs w:val="20"/>
        </w:rPr>
        <w:t xml:space="preserve">URS </w:t>
      </w:r>
      <w:r w:rsidRPr="00594AB0">
        <w:rPr>
          <w:rFonts w:ascii="Arial" w:hAnsi="Arial" w:cs="Arial"/>
          <w:bCs/>
          <w:iCs/>
          <w:sz w:val="20"/>
          <w:szCs w:val="20"/>
        </w:rPr>
        <w:t xml:space="preserve">izvaja pobot obveznosti. V letu 2024 je bilo izvedenih za 295.996.650 </w:t>
      </w:r>
      <w:r>
        <w:rPr>
          <w:rFonts w:ascii="Arial" w:hAnsi="Arial" w:cs="Arial"/>
          <w:bCs/>
          <w:iCs/>
          <w:sz w:val="20"/>
          <w:szCs w:val="20"/>
        </w:rPr>
        <w:t>EUR</w:t>
      </w:r>
      <w:r w:rsidRPr="00594AB0">
        <w:rPr>
          <w:rFonts w:ascii="Arial" w:hAnsi="Arial" w:cs="Arial"/>
          <w:bCs/>
          <w:iCs/>
          <w:sz w:val="20"/>
          <w:szCs w:val="20"/>
        </w:rPr>
        <w:t xml:space="preserve"> pobotov.</w:t>
      </w:r>
    </w:p>
    <w:p w14:paraId="75C4A501" w14:textId="77777777" w:rsidR="00A155A2" w:rsidRPr="00594AB0" w:rsidRDefault="00A155A2" w:rsidP="00A155A2">
      <w:pPr>
        <w:jc w:val="both"/>
        <w:rPr>
          <w:rFonts w:ascii="Arial" w:hAnsi="Arial" w:cs="Arial"/>
          <w:bCs/>
          <w:iCs/>
          <w:sz w:val="20"/>
          <w:szCs w:val="20"/>
        </w:rPr>
      </w:pPr>
      <w:r w:rsidRPr="00594AB0">
        <w:rPr>
          <w:rFonts w:ascii="Arial" w:hAnsi="Arial" w:cs="Arial"/>
          <w:bCs/>
          <w:iCs/>
          <w:sz w:val="20"/>
          <w:szCs w:val="20"/>
        </w:rPr>
        <w:t>V primeru zavarovanja davčnega dolga F</w:t>
      </w:r>
      <w:r>
        <w:rPr>
          <w:rFonts w:ascii="Arial" w:hAnsi="Arial" w:cs="Arial"/>
          <w:bCs/>
          <w:iCs/>
          <w:sz w:val="20"/>
          <w:szCs w:val="20"/>
        </w:rPr>
        <w:t xml:space="preserve">URS </w:t>
      </w:r>
      <w:r w:rsidRPr="00594AB0">
        <w:rPr>
          <w:rFonts w:ascii="Arial" w:hAnsi="Arial" w:cs="Arial"/>
          <w:bCs/>
          <w:iCs/>
          <w:sz w:val="20"/>
          <w:szCs w:val="20"/>
        </w:rPr>
        <w:t xml:space="preserve">izvede unovčitev predloženih instrumentov zavarovanja. V letu 2024 je bilo </w:t>
      </w:r>
      <w:r w:rsidRPr="00DA05F4">
        <w:rPr>
          <w:rFonts w:ascii="Arial" w:hAnsi="Arial" w:cs="Arial"/>
          <w:bCs/>
          <w:iCs/>
          <w:sz w:val="20"/>
          <w:szCs w:val="20"/>
        </w:rPr>
        <w:t>unovčenih zavarovanj za dolg v vrednosti 1.825.582</w:t>
      </w:r>
      <w:r w:rsidRPr="00594AB0">
        <w:rPr>
          <w:rFonts w:ascii="Arial" w:hAnsi="Arial" w:cs="Arial"/>
          <w:bCs/>
          <w:iCs/>
          <w:sz w:val="20"/>
          <w:szCs w:val="20"/>
        </w:rPr>
        <w:t xml:space="preserve"> </w:t>
      </w:r>
      <w:r>
        <w:rPr>
          <w:rFonts w:ascii="Arial" w:hAnsi="Arial" w:cs="Arial"/>
          <w:bCs/>
          <w:iCs/>
          <w:sz w:val="20"/>
          <w:szCs w:val="20"/>
        </w:rPr>
        <w:t>EUR</w:t>
      </w:r>
      <w:r w:rsidRPr="00594AB0">
        <w:rPr>
          <w:rFonts w:ascii="Arial" w:hAnsi="Arial" w:cs="Arial"/>
          <w:bCs/>
          <w:iCs/>
          <w:sz w:val="20"/>
          <w:szCs w:val="20"/>
        </w:rPr>
        <w:t>.</w:t>
      </w:r>
    </w:p>
    <w:p w14:paraId="13FB0EBA" w14:textId="77777777" w:rsidR="00A155A2" w:rsidRDefault="00A155A2" w:rsidP="00A155A2">
      <w:pPr>
        <w:rPr>
          <w:rFonts w:ascii="Arial" w:hAnsi="Arial" w:cs="Arial"/>
          <w:i/>
          <w:sz w:val="20"/>
          <w:szCs w:val="20"/>
        </w:rPr>
      </w:pPr>
      <w:r w:rsidRPr="00E53B72">
        <w:rPr>
          <w:rFonts w:ascii="Arial" w:hAnsi="Arial" w:cs="Arial"/>
          <w:bCs/>
          <w:i/>
          <w:sz w:val="20"/>
          <w:szCs w:val="20"/>
        </w:rPr>
        <w:t>Preglednica</w:t>
      </w:r>
      <w:r w:rsidRPr="00E53B72">
        <w:rPr>
          <w:rFonts w:ascii="Arial" w:hAnsi="Arial" w:cs="Arial"/>
          <w:i/>
          <w:sz w:val="20"/>
          <w:szCs w:val="20"/>
        </w:rPr>
        <w:t xml:space="preserve"> 1</w:t>
      </w:r>
      <w:r>
        <w:rPr>
          <w:rFonts w:ascii="Arial" w:hAnsi="Arial" w:cs="Arial"/>
          <w:i/>
          <w:sz w:val="20"/>
          <w:szCs w:val="20"/>
        </w:rPr>
        <w:t>4</w:t>
      </w:r>
      <w:r w:rsidRPr="00E53B72">
        <w:rPr>
          <w:rFonts w:ascii="Arial" w:hAnsi="Arial" w:cs="Arial"/>
          <w:i/>
          <w:sz w:val="20"/>
          <w:szCs w:val="20"/>
        </w:rPr>
        <w:t xml:space="preserve">: </w:t>
      </w:r>
      <w:r w:rsidRPr="000404D7">
        <w:rPr>
          <w:rFonts w:ascii="Arial" w:hAnsi="Arial" w:cs="Arial"/>
          <w:i/>
          <w:sz w:val="20"/>
          <w:szCs w:val="20"/>
        </w:rPr>
        <w:t xml:space="preserve">Izvedeni poboti in unovčitve </w:t>
      </w:r>
      <w:r w:rsidRPr="00377909">
        <w:rPr>
          <w:rFonts w:ascii="Arial" w:hAnsi="Arial" w:cs="Arial"/>
          <w:i/>
          <w:sz w:val="20"/>
          <w:szCs w:val="20"/>
        </w:rPr>
        <w:t xml:space="preserve">zavarovanj </w:t>
      </w:r>
      <w:r>
        <w:rPr>
          <w:rFonts w:ascii="Arial" w:hAnsi="Arial" w:cs="Arial"/>
          <w:i/>
          <w:sz w:val="20"/>
          <w:szCs w:val="20"/>
        </w:rPr>
        <w:t>(</w:t>
      </w:r>
      <w:r w:rsidRPr="00377909">
        <w:rPr>
          <w:rFonts w:ascii="Arial" w:hAnsi="Arial" w:cs="Arial"/>
          <w:i/>
          <w:sz w:val="20"/>
          <w:szCs w:val="20"/>
        </w:rPr>
        <w:t>v EUR</w:t>
      </w:r>
      <w:r>
        <w:rPr>
          <w:rFonts w:ascii="Arial" w:hAnsi="Arial" w:cs="Arial"/>
          <w:i/>
          <w:sz w:val="20"/>
          <w:szCs w:val="20"/>
        </w:rPr>
        <w:t>)</w:t>
      </w:r>
    </w:p>
    <w:tbl>
      <w:tblPr>
        <w:tblW w:w="86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962"/>
        <w:gridCol w:w="1727"/>
        <w:gridCol w:w="1614"/>
        <w:gridCol w:w="1334"/>
      </w:tblGrid>
      <w:tr w:rsidR="00A155A2" w:rsidRPr="00594AB0" w14:paraId="3F2E2286" w14:textId="77777777" w:rsidTr="001C77D2">
        <w:trPr>
          <w:trHeight w:val="426"/>
        </w:trPr>
        <w:tc>
          <w:tcPr>
            <w:tcW w:w="3962" w:type="dxa"/>
            <w:shd w:val="clear" w:color="000000" w:fill="31849B"/>
            <w:vAlign w:val="center"/>
            <w:hideMark/>
          </w:tcPr>
          <w:p w14:paraId="2170B6AF"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Ukrepi izterjave</w:t>
            </w:r>
          </w:p>
        </w:tc>
        <w:tc>
          <w:tcPr>
            <w:tcW w:w="1727" w:type="dxa"/>
            <w:shd w:val="clear" w:color="000000" w:fill="31849B"/>
            <w:vAlign w:val="center"/>
            <w:hideMark/>
          </w:tcPr>
          <w:p w14:paraId="7C1D2B7E" w14:textId="77777777" w:rsidR="00A155A2" w:rsidRPr="00594AB0" w:rsidRDefault="00A155A2" w:rsidP="001C77D2">
            <w:pPr>
              <w:spacing w:line="240" w:lineRule="auto"/>
              <w:jc w:val="center"/>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2023</w:t>
            </w:r>
          </w:p>
        </w:tc>
        <w:tc>
          <w:tcPr>
            <w:tcW w:w="1614" w:type="dxa"/>
            <w:shd w:val="clear" w:color="000000" w:fill="31849B"/>
            <w:vAlign w:val="center"/>
            <w:hideMark/>
          </w:tcPr>
          <w:p w14:paraId="061A6B66" w14:textId="77777777" w:rsidR="00A155A2" w:rsidRPr="00594AB0" w:rsidRDefault="00A155A2" w:rsidP="001C77D2">
            <w:pPr>
              <w:spacing w:line="240" w:lineRule="auto"/>
              <w:jc w:val="center"/>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2024</w:t>
            </w:r>
          </w:p>
        </w:tc>
        <w:tc>
          <w:tcPr>
            <w:tcW w:w="1334" w:type="dxa"/>
            <w:shd w:val="clear" w:color="000000" w:fill="31849B"/>
            <w:vAlign w:val="center"/>
            <w:hideMark/>
          </w:tcPr>
          <w:p w14:paraId="3E96EDD0" w14:textId="77777777" w:rsidR="00A155A2" w:rsidRPr="00594AB0" w:rsidRDefault="00A155A2" w:rsidP="001C77D2">
            <w:pPr>
              <w:spacing w:line="240" w:lineRule="auto"/>
              <w:jc w:val="center"/>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594AB0">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594AB0">
              <w:rPr>
                <w:rFonts w:ascii="Arial" w:eastAsia="Times New Roman" w:hAnsi="Arial" w:cs="Arial"/>
                <w:b/>
                <w:bCs/>
                <w:color w:val="FFFFFF"/>
                <w:sz w:val="18"/>
                <w:szCs w:val="18"/>
                <w:lang w:eastAsia="sl-SI"/>
              </w:rPr>
              <w:t>2023</w:t>
            </w:r>
          </w:p>
        </w:tc>
      </w:tr>
      <w:tr w:rsidR="00A155A2" w:rsidRPr="00594AB0" w14:paraId="185C1E38" w14:textId="77777777" w:rsidTr="001C77D2">
        <w:trPr>
          <w:trHeight w:val="319"/>
        </w:trPr>
        <w:tc>
          <w:tcPr>
            <w:tcW w:w="3962" w:type="dxa"/>
            <w:shd w:val="clear" w:color="auto" w:fill="auto"/>
            <w:vAlign w:val="center"/>
            <w:hideMark/>
          </w:tcPr>
          <w:p w14:paraId="67EF3FFA" w14:textId="77777777" w:rsidR="00A155A2" w:rsidRPr="00594AB0" w:rsidRDefault="00A155A2" w:rsidP="001C77D2">
            <w:pPr>
              <w:spacing w:line="240" w:lineRule="auto"/>
              <w:jc w:val="both"/>
              <w:rPr>
                <w:rFonts w:ascii="Arial" w:eastAsia="Times New Roman" w:hAnsi="Arial" w:cs="Arial"/>
                <w:sz w:val="18"/>
                <w:szCs w:val="18"/>
                <w:lang w:eastAsia="sl-SI"/>
              </w:rPr>
            </w:pPr>
            <w:r w:rsidRPr="00594AB0">
              <w:rPr>
                <w:rFonts w:ascii="Arial" w:eastAsia="Times New Roman" w:hAnsi="Arial" w:cs="Arial"/>
                <w:sz w:val="18"/>
                <w:szCs w:val="18"/>
                <w:lang w:eastAsia="sl-SI"/>
              </w:rPr>
              <w:t>Poboti</w:t>
            </w:r>
          </w:p>
        </w:tc>
        <w:tc>
          <w:tcPr>
            <w:tcW w:w="1727" w:type="dxa"/>
            <w:shd w:val="clear" w:color="auto" w:fill="auto"/>
            <w:vAlign w:val="center"/>
            <w:hideMark/>
          </w:tcPr>
          <w:p w14:paraId="607636BB"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272.231.672</w:t>
            </w:r>
          </w:p>
        </w:tc>
        <w:tc>
          <w:tcPr>
            <w:tcW w:w="1614" w:type="dxa"/>
            <w:shd w:val="clear" w:color="auto" w:fill="auto"/>
            <w:vAlign w:val="center"/>
            <w:hideMark/>
          </w:tcPr>
          <w:p w14:paraId="321E86C4"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295.996.650</w:t>
            </w:r>
          </w:p>
        </w:tc>
        <w:tc>
          <w:tcPr>
            <w:tcW w:w="1334" w:type="dxa"/>
            <w:shd w:val="clear" w:color="auto" w:fill="auto"/>
            <w:vAlign w:val="center"/>
            <w:hideMark/>
          </w:tcPr>
          <w:p w14:paraId="5824D71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108,7</w:t>
            </w:r>
          </w:p>
        </w:tc>
      </w:tr>
      <w:tr w:rsidR="00A155A2" w:rsidRPr="00594AB0" w14:paraId="2799A76C" w14:textId="77777777" w:rsidTr="001C77D2">
        <w:trPr>
          <w:trHeight w:val="346"/>
        </w:trPr>
        <w:tc>
          <w:tcPr>
            <w:tcW w:w="3962" w:type="dxa"/>
            <w:shd w:val="clear" w:color="auto" w:fill="auto"/>
            <w:vAlign w:val="center"/>
            <w:hideMark/>
          </w:tcPr>
          <w:p w14:paraId="20FFF8CD" w14:textId="77777777" w:rsidR="00A155A2" w:rsidRPr="00594AB0" w:rsidRDefault="00A155A2" w:rsidP="001C77D2">
            <w:pPr>
              <w:spacing w:line="240" w:lineRule="auto"/>
              <w:jc w:val="both"/>
              <w:rPr>
                <w:rFonts w:ascii="Arial" w:eastAsia="Times New Roman" w:hAnsi="Arial" w:cs="Arial"/>
                <w:sz w:val="18"/>
                <w:szCs w:val="18"/>
                <w:lang w:eastAsia="sl-SI"/>
              </w:rPr>
            </w:pPr>
            <w:r w:rsidRPr="00594AB0">
              <w:rPr>
                <w:rFonts w:ascii="Arial" w:eastAsia="Times New Roman" w:hAnsi="Arial" w:cs="Arial"/>
                <w:sz w:val="18"/>
                <w:szCs w:val="18"/>
                <w:lang w:eastAsia="sl-SI"/>
              </w:rPr>
              <w:t>Unovčitve zavarovanj</w:t>
            </w:r>
          </w:p>
        </w:tc>
        <w:tc>
          <w:tcPr>
            <w:tcW w:w="1727" w:type="dxa"/>
            <w:shd w:val="clear" w:color="auto" w:fill="auto"/>
            <w:vAlign w:val="center"/>
            <w:hideMark/>
          </w:tcPr>
          <w:p w14:paraId="16F89BA1"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7.311.135</w:t>
            </w:r>
          </w:p>
        </w:tc>
        <w:tc>
          <w:tcPr>
            <w:tcW w:w="1614" w:type="dxa"/>
            <w:shd w:val="clear" w:color="auto" w:fill="auto"/>
            <w:vAlign w:val="center"/>
            <w:hideMark/>
          </w:tcPr>
          <w:p w14:paraId="5A772A15"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1.825.582</w:t>
            </w:r>
          </w:p>
        </w:tc>
        <w:tc>
          <w:tcPr>
            <w:tcW w:w="1334" w:type="dxa"/>
            <w:shd w:val="clear" w:color="auto" w:fill="auto"/>
            <w:vAlign w:val="center"/>
            <w:hideMark/>
          </w:tcPr>
          <w:p w14:paraId="2896431E" w14:textId="77777777" w:rsidR="00A155A2" w:rsidRPr="00594AB0" w:rsidRDefault="00A155A2" w:rsidP="001C77D2">
            <w:pPr>
              <w:spacing w:line="240" w:lineRule="auto"/>
              <w:jc w:val="right"/>
              <w:rPr>
                <w:rFonts w:ascii="Arial" w:eastAsia="Times New Roman" w:hAnsi="Arial" w:cs="Arial"/>
                <w:sz w:val="18"/>
                <w:szCs w:val="18"/>
                <w:lang w:eastAsia="sl-SI"/>
              </w:rPr>
            </w:pPr>
            <w:r w:rsidRPr="00594AB0">
              <w:rPr>
                <w:rFonts w:ascii="Arial" w:eastAsia="Times New Roman" w:hAnsi="Arial" w:cs="Arial"/>
                <w:sz w:val="18"/>
                <w:szCs w:val="18"/>
                <w:lang w:eastAsia="sl-SI"/>
              </w:rPr>
              <w:t>25,0</w:t>
            </w:r>
          </w:p>
        </w:tc>
      </w:tr>
      <w:tr w:rsidR="00A155A2" w:rsidRPr="00594AB0" w14:paraId="6ED1705C" w14:textId="77777777" w:rsidTr="001C77D2">
        <w:trPr>
          <w:trHeight w:val="479"/>
        </w:trPr>
        <w:tc>
          <w:tcPr>
            <w:tcW w:w="3962" w:type="dxa"/>
            <w:shd w:val="clear" w:color="000000" w:fill="31849B"/>
            <w:vAlign w:val="center"/>
            <w:hideMark/>
          </w:tcPr>
          <w:p w14:paraId="4CB8A5B0" w14:textId="77777777" w:rsidR="00A155A2" w:rsidRPr="00594AB0" w:rsidRDefault="00A155A2" w:rsidP="001C77D2">
            <w:pPr>
              <w:spacing w:line="240" w:lineRule="auto"/>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Skupaj</w:t>
            </w:r>
          </w:p>
        </w:tc>
        <w:tc>
          <w:tcPr>
            <w:tcW w:w="1727" w:type="dxa"/>
            <w:shd w:val="clear" w:color="000000" w:fill="31849B"/>
            <w:vAlign w:val="center"/>
            <w:hideMark/>
          </w:tcPr>
          <w:p w14:paraId="62B92767"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279.542.807</w:t>
            </w:r>
          </w:p>
        </w:tc>
        <w:tc>
          <w:tcPr>
            <w:tcW w:w="1614" w:type="dxa"/>
            <w:shd w:val="clear" w:color="000000" w:fill="31849B"/>
            <w:vAlign w:val="center"/>
            <w:hideMark/>
          </w:tcPr>
          <w:p w14:paraId="74298BC8"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297.822.232</w:t>
            </w:r>
          </w:p>
        </w:tc>
        <w:tc>
          <w:tcPr>
            <w:tcW w:w="1334" w:type="dxa"/>
            <w:shd w:val="clear" w:color="000000" w:fill="31849B"/>
            <w:vAlign w:val="center"/>
            <w:hideMark/>
          </w:tcPr>
          <w:p w14:paraId="78E47109" w14:textId="77777777" w:rsidR="00A155A2" w:rsidRPr="00594AB0" w:rsidRDefault="00A155A2" w:rsidP="001C77D2">
            <w:pPr>
              <w:spacing w:line="240" w:lineRule="auto"/>
              <w:jc w:val="right"/>
              <w:rPr>
                <w:rFonts w:ascii="Arial" w:eastAsia="Times New Roman" w:hAnsi="Arial" w:cs="Arial"/>
                <w:b/>
                <w:bCs/>
                <w:color w:val="FFFFFF"/>
                <w:sz w:val="18"/>
                <w:szCs w:val="18"/>
                <w:lang w:eastAsia="sl-SI"/>
              </w:rPr>
            </w:pPr>
            <w:r w:rsidRPr="00594AB0">
              <w:rPr>
                <w:rFonts w:ascii="Arial" w:eastAsia="Times New Roman" w:hAnsi="Arial" w:cs="Arial"/>
                <w:b/>
                <w:bCs/>
                <w:color w:val="FFFFFF"/>
                <w:sz w:val="18"/>
                <w:szCs w:val="18"/>
                <w:lang w:eastAsia="sl-SI"/>
              </w:rPr>
              <w:t>106,5</w:t>
            </w:r>
          </w:p>
        </w:tc>
      </w:tr>
    </w:tbl>
    <w:p w14:paraId="73D070A1" w14:textId="77777777" w:rsidR="00A155A2" w:rsidRDefault="00A155A2" w:rsidP="00A155A2">
      <w:pPr>
        <w:rPr>
          <w:rFonts w:ascii="Arial" w:hAnsi="Arial" w:cs="Arial"/>
          <w:i/>
          <w:sz w:val="20"/>
          <w:szCs w:val="20"/>
        </w:rPr>
      </w:pPr>
      <w:r w:rsidRPr="00534703">
        <w:rPr>
          <w:rFonts w:ascii="Arial" w:hAnsi="Arial" w:cs="Arial"/>
          <w:i/>
          <w:sz w:val="20"/>
          <w:szCs w:val="20"/>
        </w:rPr>
        <w:t>Vir: FURS</w:t>
      </w:r>
    </w:p>
    <w:p w14:paraId="1E7DD065" w14:textId="77777777" w:rsidR="00A155A2" w:rsidRDefault="00A155A2" w:rsidP="00A155A2">
      <w:pPr>
        <w:rPr>
          <w:rFonts w:ascii="Arial" w:hAnsi="Arial" w:cs="Arial"/>
          <w:i/>
          <w:sz w:val="20"/>
          <w:szCs w:val="20"/>
        </w:rPr>
      </w:pPr>
    </w:p>
    <w:p w14:paraId="5BB06890" w14:textId="77777777" w:rsidR="00A155A2" w:rsidRDefault="00A155A2" w:rsidP="00A155A2">
      <w:pPr>
        <w:pStyle w:val="Naslov3"/>
        <w:rPr>
          <w:rFonts w:ascii="Arial" w:hAnsi="Arial" w:cs="Arial"/>
          <w:sz w:val="20"/>
          <w:szCs w:val="20"/>
          <w:lang w:eastAsia="sl-SI"/>
        </w:rPr>
      </w:pPr>
      <w:bookmarkStart w:id="20" w:name="_Toc475381248"/>
      <w:r w:rsidRPr="0094063C">
        <w:rPr>
          <w:rFonts w:ascii="Arial" w:hAnsi="Arial" w:cs="Arial"/>
          <w:sz w:val="20"/>
          <w:szCs w:val="20"/>
          <w:lang w:eastAsia="sl-SI"/>
        </w:rPr>
        <w:lastRenderedPageBreak/>
        <w:t>6.1</w:t>
      </w:r>
      <w:r>
        <w:rPr>
          <w:rFonts w:ascii="Arial" w:hAnsi="Arial" w:cs="Arial"/>
          <w:sz w:val="20"/>
          <w:szCs w:val="20"/>
          <w:lang w:eastAsia="sl-SI"/>
        </w:rPr>
        <w:tab/>
      </w:r>
      <w:r w:rsidRPr="0094063C">
        <w:rPr>
          <w:rFonts w:ascii="Arial" w:hAnsi="Arial" w:cs="Arial"/>
          <w:sz w:val="20"/>
          <w:szCs w:val="20"/>
          <w:lang w:eastAsia="sl-SI"/>
        </w:rPr>
        <w:t xml:space="preserve"> Izterjava davkov in drugih obveznih dajatev</w:t>
      </w:r>
      <w:bookmarkEnd w:id="20"/>
    </w:p>
    <w:p w14:paraId="19A84D28" w14:textId="77777777" w:rsidR="00A155A2" w:rsidRDefault="00A155A2" w:rsidP="00A155A2">
      <w:pPr>
        <w:spacing w:after="0" w:line="260" w:lineRule="atLeast"/>
        <w:jc w:val="both"/>
        <w:rPr>
          <w:rFonts w:ascii="Arial" w:eastAsia="Times New Roman" w:hAnsi="Arial" w:cs="Arial"/>
          <w:sz w:val="20"/>
          <w:szCs w:val="20"/>
        </w:rPr>
      </w:pPr>
    </w:p>
    <w:p w14:paraId="68A4C022" w14:textId="77777777" w:rsidR="00A155A2" w:rsidRPr="00C90EC6" w:rsidRDefault="00A155A2" w:rsidP="00A155A2">
      <w:pPr>
        <w:spacing w:after="0"/>
        <w:jc w:val="both"/>
        <w:rPr>
          <w:rFonts w:ascii="Arial" w:eastAsia="Times New Roman" w:hAnsi="Arial" w:cs="Arial"/>
          <w:sz w:val="20"/>
          <w:szCs w:val="20"/>
        </w:rPr>
      </w:pPr>
      <w:r w:rsidRPr="00C90EC6">
        <w:rPr>
          <w:rFonts w:ascii="Arial" w:eastAsia="Times New Roman" w:hAnsi="Arial" w:cs="Arial"/>
          <w:sz w:val="20"/>
          <w:szCs w:val="20"/>
        </w:rPr>
        <w:t>V letu 2024 je F</w:t>
      </w:r>
      <w:r>
        <w:rPr>
          <w:rFonts w:ascii="Arial" w:eastAsia="Times New Roman" w:hAnsi="Arial" w:cs="Arial"/>
          <w:sz w:val="20"/>
          <w:szCs w:val="20"/>
        </w:rPr>
        <w:t xml:space="preserve">URS </w:t>
      </w:r>
      <w:r w:rsidRPr="00C90EC6">
        <w:rPr>
          <w:rFonts w:ascii="Arial" w:eastAsia="Times New Roman" w:hAnsi="Arial" w:cs="Arial"/>
          <w:sz w:val="20"/>
          <w:szCs w:val="20"/>
        </w:rPr>
        <w:t xml:space="preserve">z izdanimi opomini, pozivi in sklepi o davčni izvršbi terjal za 1.542.448.852 </w:t>
      </w:r>
      <w:r>
        <w:rPr>
          <w:rFonts w:ascii="Arial" w:eastAsia="Times New Roman" w:hAnsi="Arial" w:cs="Arial"/>
          <w:sz w:val="20"/>
          <w:szCs w:val="20"/>
        </w:rPr>
        <w:t>EUR</w:t>
      </w:r>
      <w:r w:rsidRPr="00C90EC6">
        <w:rPr>
          <w:rFonts w:ascii="Arial" w:eastAsia="Times New Roman" w:hAnsi="Arial" w:cs="Arial"/>
          <w:sz w:val="20"/>
          <w:szCs w:val="20"/>
        </w:rPr>
        <w:t xml:space="preserve"> dolga </w:t>
      </w:r>
      <w:r>
        <w:rPr>
          <w:rFonts w:ascii="Arial" w:eastAsia="Times New Roman" w:hAnsi="Arial" w:cs="Arial"/>
          <w:sz w:val="20"/>
          <w:szCs w:val="20"/>
        </w:rPr>
        <w:t>od</w:t>
      </w:r>
      <w:r w:rsidRPr="00C90EC6">
        <w:rPr>
          <w:rFonts w:ascii="Arial" w:eastAsia="Times New Roman" w:hAnsi="Arial" w:cs="Arial"/>
          <w:sz w:val="20"/>
          <w:szCs w:val="20"/>
        </w:rPr>
        <w:t xml:space="preserve"> davčnih dajatev. Na podlagi izvedenih ukrepov je bilo izterjanih 715.569.097 </w:t>
      </w:r>
      <w:r>
        <w:rPr>
          <w:rFonts w:ascii="Arial" w:eastAsia="Times New Roman" w:hAnsi="Arial" w:cs="Arial"/>
          <w:sz w:val="20"/>
          <w:szCs w:val="20"/>
        </w:rPr>
        <w:t>EUR</w:t>
      </w:r>
      <w:r w:rsidRPr="00C90EC6">
        <w:rPr>
          <w:rFonts w:ascii="Arial" w:eastAsia="Times New Roman" w:hAnsi="Arial" w:cs="Arial"/>
          <w:sz w:val="20"/>
          <w:szCs w:val="20"/>
        </w:rPr>
        <w:t xml:space="preserve">. Večji delež plačil </w:t>
      </w:r>
      <w:r>
        <w:rPr>
          <w:rFonts w:ascii="Arial" w:eastAsia="Times New Roman" w:hAnsi="Arial" w:cs="Arial"/>
          <w:sz w:val="20"/>
          <w:szCs w:val="20"/>
        </w:rPr>
        <w:t>obseg</w:t>
      </w:r>
      <w:r w:rsidRPr="00C90EC6">
        <w:rPr>
          <w:rFonts w:ascii="Arial" w:eastAsia="Times New Roman" w:hAnsi="Arial" w:cs="Arial"/>
          <w:sz w:val="20"/>
          <w:szCs w:val="20"/>
        </w:rPr>
        <w:t xml:space="preserve">ajo sredstva, izterjana na podlagi opominov in pozivov, in sicer 72 </w:t>
      </w:r>
      <w:r>
        <w:rPr>
          <w:rFonts w:ascii="Arial" w:hAnsi="Arial" w:cs="Arial"/>
          <w:bCs/>
          <w:sz w:val="20"/>
          <w:szCs w:val="20"/>
        </w:rPr>
        <w:t>odstotkov</w:t>
      </w:r>
      <w:r w:rsidRPr="00C90EC6">
        <w:rPr>
          <w:rFonts w:ascii="Arial" w:eastAsia="Times New Roman" w:hAnsi="Arial" w:cs="Arial"/>
          <w:sz w:val="20"/>
          <w:szCs w:val="20"/>
        </w:rPr>
        <w:t xml:space="preserve"> vseh plačil, preostanek plačil </w:t>
      </w:r>
      <w:r>
        <w:rPr>
          <w:rFonts w:ascii="Arial" w:eastAsia="Times New Roman" w:hAnsi="Arial" w:cs="Arial"/>
          <w:sz w:val="20"/>
          <w:szCs w:val="20"/>
        </w:rPr>
        <w:t>z</w:t>
      </w:r>
      <w:r w:rsidRPr="00C90EC6">
        <w:rPr>
          <w:rFonts w:ascii="Arial" w:eastAsia="Times New Roman" w:hAnsi="Arial" w:cs="Arial"/>
          <w:sz w:val="20"/>
          <w:szCs w:val="20"/>
        </w:rPr>
        <w:t xml:space="preserve"> 28</w:t>
      </w:r>
      <w:r>
        <w:rPr>
          <w:rFonts w:ascii="Arial" w:eastAsia="Times New Roman" w:hAnsi="Arial" w:cs="Arial"/>
          <w:sz w:val="20"/>
          <w:szCs w:val="20"/>
        </w:rPr>
        <w:t>-</w:t>
      </w:r>
      <w:r>
        <w:rPr>
          <w:rFonts w:ascii="Arial" w:hAnsi="Arial" w:cs="Arial"/>
          <w:bCs/>
          <w:sz w:val="20"/>
          <w:szCs w:val="20"/>
        </w:rPr>
        <w:t>odstotnim</w:t>
      </w:r>
      <w:r w:rsidRPr="00C90EC6">
        <w:rPr>
          <w:rFonts w:ascii="Arial" w:eastAsia="Times New Roman" w:hAnsi="Arial" w:cs="Arial"/>
          <w:sz w:val="20"/>
          <w:szCs w:val="20"/>
        </w:rPr>
        <w:t xml:space="preserve"> deležem pa </w:t>
      </w:r>
      <w:r>
        <w:rPr>
          <w:rFonts w:ascii="Arial" w:eastAsia="Times New Roman" w:hAnsi="Arial" w:cs="Arial"/>
          <w:sz w:val="20"/>
          <w:szCs w:val="20"/>
        </w:rPr>
        <w:t>zajemajo</w:t>
      </w:r>
      <w:r w:rsidRPr="00C90EC6">
        <w:rPr>
          <w:rFonts w:ascii="Arial" w:eastAsia="Times New Roman" w:hAnsi="Arial" w:cs="Arial"/>
          <w:sz w:val="20"/>
          <w:szCs w:val="20"/>
        </w:rPr>
        <w:t xml:space="preserve"> izvršen</w:t>
      </w:r>
      <w:r>
        <w:rPr>
          <w:rFonts w:ascii="Arial" w:eastAsia="Times New Roman" w:hAnsi="Arial" w:cs="Arial"/>
          <w:sz w:val="20"/>
          <w:szCs w:val="20"/>
        </w:rPr>
        <w:t>i</w:t>
      </w:r>
      <w:r w:rsidRPr="00C90EC6">
        <w:rPr>
          <w:rFonts w:ascii="Arial" w:eastAsia="Times New Roman" w:hAnsi="Arial" w:cs="Arial"/>
          <w:sz w:val="20"/>
          <w:szCs w:val="20"/>
        </w:rPr>
        <w:t xml:space="preserve"> sklep</w:t>
      </w:r>
      <w:r>
        <w:rPr>
          <w:rFonts w:ascii="Arial" w:eastAsia="Times New Roman" w:hAnsi="Arial" w:cs="Arial"/>
          <w:sz w:val="20"/>
          <w:szCs w:val="20"/>
        </w:rPr>
        <w:t>i</w:t>
      </w:r>
      <w:r w:rsidRPr="00C90EC6">
        <w:rPr>
          <w:rFonts w:ascii="Arial" w:eastAsia="Times New Roman" w:hAnsi="Arial" w:cs="Arial"/>
          <w:sz w:val="20"/>
          <w:szCs w:val="20"/>
        </w:rPr>
        <w:t xml:space="preserve"> o davčni izvršbi.</w:t>
      </w:r>
    </w:p>
    <w:p w14:paraId="136BD8EE" w14:textId="77777777" w:rsidR="00A155A2" w:rsidRPr="00D0165E" w:rsidRDefault="00A155A2" w:rsidP="00A155A2">
      <w:pPr>
        <w:spacing w:after="0"/>
        <w:jc w:val="both"/>
        <w:rPr>
          <w:rFonts w:ascii="Arial" w:eastAsia="Times New Roman" w:hAnsi="Arial" w:cs="Arial"/>
          <w:sz w:val="20"/>
          <w:szCs w:val="20"/>
        </w:rPr>
      </w:pPr>
    </w:p>
    <w:p w14:paraId="2B6DF09D" w14:textId="77777777" w:rsidR="00A155A2" w:rsidRDefault="00A155A2" w:rsidP="00A155A2">
      <w:pPr>
        <w:jc w:val="both"/>
        <w:rPr>
          <w:rFonts w:ascii="Arial" w:eastAsia="Times New Roman" w:hAnsi="Arial" w:cs="Arial"/>
          <w:i/>
          <w:sz w:val="20"/>
          <w:szCs w:val="20"/>
        </w:rPr>
      </w:pPr>
      <w:r w:rsidRPr="00087025">
        <w:rPr>
          <w:rFonts w:ascii="Arial" w:eastAsia="Times New Roman" w:hAnsi="Arial" w:cs="Arial"/>
          <w:i/>
          <w:sz w:val="20"/>
          <w:szCs w:val="20"/>
          <w:lang w:eastAsia="sl-SI"/>
        </w:rPr>
        <w:t>Preglednica 1</w:t>
      </w:r>
      <w:r>
        <w:rPr>
          <w:rFonts w:ascii="Arial" w:eastAsia="Times New Roman" w:hAnsi="Arial" w:cs="Arial"/>
          <w:i/>
          <w:sz w:val="20"/>
          <w:szCs w:val="20"/>
          <w:lang w:eastAsia="sl-SI"/>
        </w:rPr>
        <w:t>5</w:t>
      </w:r>
      <w:r w:rsidRPr="00087025">
        <w:rPr>
          <w:rFonts w:ascii="Arial" w:eastAsia="Times New Roman" w:hAnsi="Arial" w:cs="Arial"/>
          <w:i/>
          <w:sz w:val="20"/>
          <w:szCs w:val="20"/>
          <w:lang w:eastAsia="sl-SI"/>
        </w:rPr>
        <w:t xml:space="preserve">: </w:t>
      </w:r>
      <w:r w:rsidRPr="00087025">
        <w:rPr>
          <w:rFonts w:ascii="Arial" w:eastAsia="Times New Roman" w:hAnsi="Arial" w:cs="Arial"/>
          <w:bCs/>
          <w:i/>
          <w:sz w:val="20"/>
          <w:szCs w:val="20"/>
        </w:rPr>
        <w:t>U</w:t>
      </w:r>
      <w:r w:rsidRPr="00087025">
        <w:rPr>
          <w:rFonts w:ascii="Arial" w:eastAsia="Times New Roman" w:hAnsi="Arial" w:cs="Arial"/>
          <w:i/>
          <w:sz w:val="20"/>
          <w:szCs w:val="20"/>
        </w:rPr>
        <w:t>krepi izterjave davkov in drugih obveznih dajatev</w:t>
      </w:r>
    </w:p>
    <w:tbl>
      <w:tblPr>
        <w:tblW w:w="9042" w:type="dxa"/>
        <w:tblCellMar>
          <w:left w:w="70" w:type="dxa"/>
          <w:right w:w="70" w:type="dxa"/>
        </w:tblCellMar>
        <w:tblLook w:val="04A0" w:firstRow="1" w:lastRow="0" w:firstColumn="1" w:lastColumn="0" w:noHBand="0" w:noVBand="1"/>
      </w:tblPr>
      <w:tblGrid>
        <w:gridCol w:w="1946"/>
        <w:gridCol w:w="1214"/>
        <w:gridCol w:w="1503"/>
        <w:gridCol w:w="1214"/>
        <w:gridCol w:w="1311"/>
        <w:gridCol w:w="925"/>
        <w:gridCol w:w="929"/>
      </w:tblGrid>
      <w:tr w:rsidR="00A155A2" w:rsidRPr="00C90EC6" w14:paraId="427C4EE3" w14:textId="77777777" w:rsidTr="001C77D2">
        <w:trPr>
          <w:trHeight w:val="337"/>
        </w:trPr>
        <w:tc>
          <w:tcPr>
            <w:tcW w:w="1946" w:type="dxa"/>
            <w:vMerge w:val="restart"/>
            <w:tcBorders>
              <w:top w:val="single" w:sz="4" w:space="0" w:color="auto"/>
              <w:left w:val="single" w:sz="4" w:space="0" w:color="auto"/>
              <w:bottom w:val="single" w:sz="4" w:space="0" w:color="000000"/>
              <w:right w:val="single" w:sz="4" w:space="0" w:color="auto"/>
            </w:tcBorders>
            <w:shd w:val="clear" w:color="000000" w:fill="31849B"/>
            <w:vAlign w:val="center"/>
            <w:hideMark/>
          </w:tcPr>
          <w:p w14:paraId="33B47BD2"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Ukrepi izterjave</w:t>
            </w:r>
          </w:p>
        </w:tc>
        <w:tc>
          <w:tcPr>
            <w:tcW w:w="2717" w:type="dxa"/>
            <w:gridSpan w:val="2"/>
            <w:tcBorders>
              <w:top w:val="single" w:sz="4" w:space="0" w:color="auto"/>
              <w:left w:val="nil"/>
              <w:bottom w:val="single" w:sz="4" w:space="0" w:color="auto"/>
              <w:right w:val="single" w:sz="4" w:space="0" w:color="000000"/>
            </w:tcBorders>
            <w:shd w:val="clear" w:color="000000" w:fill="31849B"/>
            <w:vAlign w:val="center"/>
            <w:hideMark/>
          </w:tcPr>
          <w:p w14:paraId="2DFEF764"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2023</w:t>
            </w:r>
          </w:p>
        </w:tc>
        <w:tc>
          <w:tcPr>
            <w:tcW w:w="2525" w:type="dxa"/>
            <w:gridSpan w:val="2"/>
            <w:tcBorders>
              <w:top w:val="single" w:sz="4" w:space="0" w:color="auto"/>
              <w:left w:val="nil"/>
              <w:bottom w:val="single" w:sz="4" w:space="0" w:color="auto"/>
              <w:right w:val="single" w:sz="4" w:space="0" w:color="000000"/>
            </w:tcBorders>
            <w:shd w:val="clear" w:color="000000" w:fill="31849B"/>
            <w:vAlign w:val="center"/>
            <w:hideMark/>
          </w:tcPr>
          <w:p w14:paraId="29657179"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2024</w:t>
            </w:r>
          </w:p>
        </w:tc>
        <w:tc>
          <w:tcPr>
            <w:tcW w:w="1854" w:type="dxa"/>
            <w:gridSpan w:val="2"/>
            <w:tcBorders>
              <w:top w:val="single" w:sz="4" w:space="0" w:color="auto"/>
              <w:left w:val="nil"/>
              <w:bottom w:val="single" w:sz="4" w:space="0" w:color="auto"/>
              <w:right w:val="single" w:sz="4" w:space="0" w:color="000000"/>
            </w:tcBorders>
            <w:shd w:val="clear" w:color="000000" w:fill="31849B"/>
            <w:vAlign w:val="center"/>
            <w:hideMark/>
          </w:tcPr>
          <w:p w14:paraId="33BF0700"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C90EC6">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C90EC6">
              <w:rPr>
                <w:rFonts w:ascii="Arial" w:eastAsia="Times New Roman" w:hAnsi="Arial" w:cs="Arial"/>
                <w:b/>
                <w:bCs/>
                <w:color w:val="FFFFFF"/>
                <w:sz w:val="18"/>
                <w:szCs w:val="18"/>
                <w:lang w:eastAsia="sl-SI"/>
              </w:rPr>
              <w:t>2023</w:t>
            </w:r>
          </w:p>
        </w:tc>
      </w:tr>
      <w:tr w:rsidR="00A155A2" w:rsidRPr="00C90EC6" w14:paraId="68C794E0" w14:textId="77777777" w:rsidTr="001C77D2">
        <w:trPr>
          <w:trHeight w:val="355"/>
        </w:trPr>
        <w:tc>
          <w:tcPr>
            <w:tcW w:w="1946" w:type="dxa"/>
            <w:vMerge/>
            <w:tcBorders>
              <w:top w:val="single" w:sz="4" w:space="0" w:color="auto"/>
              <w:left w:val="single" w:sz="4" w:space="0" w:color="auto"/>
              <w:bottom w:val="single" w:sz="4" w:space="0" w:color="000000"/>
              <w:right w:val="single" w:sz="4" w:space="0" w:color="auto"/>
            </w:tcBorders>
            <w:vAlign w:val="center"/>
            <w:hideMark/>
          </w:tcPr>
          <w:p w14:paraId="35EB23AC" w14:textId="77777777" w:rsidR="00A155A2" w:rsidRPr="00C90EC6" w:rsidRDefault="00A155A2" w:rsidP="001C77D2">
            <w:pPr>
              <w:spacing w:line="240" w:lineRule="auto"/>
              <w:rPr>
                <w:rFonts w:ascii="Arial" w:eastAsia="Times New Roman" w:hAnsi="Arial" w:cs="Arial"/>
                <w:b/>
                <w:bCs/>
                <w:color w:val="FFFFFF"/>
                <w:sz w:val="18"/>
                <w:szCs w:val="18"/>
                <w:lang w:eastAsia="sl-SI"/>
              </w:rPr>
            </w:pPr>
          </w:p>
        </w:tc>
        <w:tc>
          <w:tcPr>
            <w:tcW w:w="1214" w:type="dxa"/>
            <w:tcBorders>
              <w:top w:val="nil"/>
              <w:left w:val="nil"/>
              <w:bottom w:val="single" w:sz="4" w:space="0" w:color="auto"/>
              <w:right w:val="single" w:sz="4" w:space="0" w:color="auto"/>
            </w:tcBorders>
            <w:shd w:val="clear" w:color="000000" w:fill="31849B"/>
            <w:vAlign w:val="center"/>
            <w:hideMark/>
          </w:tcPr>
          <w:p w14:paraId="18C442B9"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Število</w:t>
            </w:r>
          </w:p>
        </w:tc>
        <w:tc>
          <w:tcPr>
            <w:tcW w:w="1503" w:type="dxa"/>
            <w:tcBorders>
              <w:top w:val="nil"/>
              <w:left w:val="nil"/>
              <w:bottom w:val="single" w:sz="4" w:space="0" w:color="auto"/>
              <w:right w:val="single" w:sz="4" w:space="0" w:color="auto"/>
            </w:tcBorders>
            <w:shd w:val="clear" w:color="000000" w:fill="31849B"/>
            <w:vAlign w:val="center"/>
            <w:hideMark/>
          </w:tcPr>
          <w:p w14:paraId="3C406064"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C90EC6">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1214" w:type="dxa"/>
            <w:tcBorders>
              <w:top w:val="nil"/>
              <w:left w:val="nil"/>
              <w:bottom w:val="single" w:sz="4" w:space="0" w:color="auto"/>
              <w:right w:val="single" w:sz="4" w:space="0" w:color="auto"/>
            </w:tcBorders>
            <w:shd w:val="clear" w:color="000000" w:fill="31849B"/>
            <w:vAlign w:val="center"/>
            <w:hideMark/>
          </w:tcPr>
          <w:p w14:paraId="0CBEA41D"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Število</w:t>
            </w:r>
          </w:p>
        </w:tc>
        <w:tc>
          <w:tcPr>
            <w:tcW w:w="1311" w:type="dxa"/>
            <w:tcBorders>
              <w:top w:val="nil"/>
              <w:left w:val="nil"/>
              <w:bottom w:val="single" w:sz="4" w:space="0" w:color="auto"/>
              <w:right w:val="single" w:sz="4" w:space="0" w:color="auto"/>
            </w:tcBorders>
            <w:shd w:val="clear" w:color="000000" w:fill="31849B"/>
            <w:vAlign w:val="center"/>
            <w:hideMark/>
          </w:tcPr>
          <w:p w14:paraId="08AAA077"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C90EC6">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925" w:type="dxa"/>
            <w:tcBorders>
              <w:top w:val="nil"/>
              <w:left w:val="nil"/>
              <w:bottom w:val="single" w:sz="4" w:space="0" w:color="auto"/>
              <w:right w:val="single" w:sz="4" w:space="0" w:color="auto"/>
            </w:tcBorders>
            <w:shd w:val="clear" w:color="000000" w:fill="31849B"/>
            <w:vAlign w:val="center"/>
            <w:hideMark/>
          </w:tcPr>
          <w:p w14:paraId="14DAA3FD"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Število</w:t>
            </w:r>
          </w:p>
        </w:tc>
        <w:tc>
          <w:tcPr>
            <w:tcW w:w="929" w:type="dxa"/>
            <w:tcBorders>
              <w:top w:val="nil"/>
              <w:left w:val="nil"/>
              <w:bottom w:val="single" w:sz="4" w:space="0" w:color="auto"/>
              <w:right w:val="single" w:sz="4" w:space="0" w:color="auto"/>
            </w:tcBorders>
            <w:shd w:val="clear" w:color="000000" w:fill="31849B"/>
            <w:vAlign w:val="center"/>
            <w:hideMark/>
          </w:tcPr>
          <w:p w14:paraId="22D1E193"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 xml:space="preserve">Znesek </w:t>
            </w:r>
          </w:p>
        </w:tc>
      </w:tr>
      <w:tr w:rsidR="00A155A2" w:rsidRPr="00C90EC6" w14:paraId="6843DD38" w14:textId="77777777" w:rsidTr="001C77D2">
        <w:trPr>
          <w:trHeight w:val="324"/>
        </w:trPr>
        <w:tc>
          <w:tcPr>
            <w:tcW w:w="9042"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4BA7325C"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Opomini pred začetkom davčne izvršbe</w:t>
            </w:r>
          </w:p>
        </w:tc>
      </w:tr>
      <w:tr w:rsidR="00A155A2" w:rsidRPr="00C90EC6" w14:paraId="7B194DBC" w14:textId="77777777" w:rsidTr="001C77D2">
        <w:trPr>
          <w:trHeight w:val="337"/>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0E8A9978"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 xml:space="preserve">Poslani opomini </w:t>
            </w:r>
          </w:p>
        </w:tc>
        <w:tc>
          <w:tcPr>
            <w:tcW w:w="1214" w:type="dxa"/>
            <w:tcBorders>
              <w:top w:val="nil"/>
              <w:left w:val="nil"/>
              <w:bottom w:val="single" w:sz="4" w:space="0" w:color="auto"/>
              <w:right w:val="single" w:sz="4" w:space="0" w:color="auto"/>
            </w:tcBorders>
            <w:shd w:val="clear" w:color="auto" w:fill="auto"/>
            <w:vAlign w:val="center"/>
            <w:hideMark/>
          </w:tcPr>
          <w:p w14:paraId="762E4830"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764.447</w:t>
            </w:r>
          </w:p>
        </w:tc>
        <w:tc>
          <w:tcPr>
            <w:tcW w:w="1503" w:type="dxa"/>
            <w:tcBorders>
              <w:top w:val="nil"/>
              <w:left w:val="nil"/>
              <w:bottom w:val="single" w:sz="4" w:space="0" w:color="auto"/>
              <w:right w:val="single" w:sz="4" w:space="0" w:color="auto"/>
            </w:tcBorders>
            <w:shd w:val="clear" w:color="000000" w:fill="DAEEF3"/>
            <w:vAlign w:val="center"/>
            <w:hideMark/>
          </w:tcPr>
          <w:p w14:paraId="68945119"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688.246.105</w:t>
            </w:r>
          </w:p>
        </w:tc>
        <w:tc>
          <w:tcPr>
            <w:tcW w:w="1214" w:type="dxa"/>
            <w:tcBorders>
              <w:top w:val="nil"/>
              <w:left w:val="nil"/>
              <w:bottom w:val="single" w:sz="4" w:space="0" w:color="auto"/>
              <w:right w:val="single" w:sz="4" w:space="0" w:color="auto"/>
            </w:tcBorders>
            <w:shd w:val="clear" w:color="auto" w:fill="auto"/>
            <w:vAlign w:val="bottom"/>
            <w:hideMark/>
          </w:tcPr>
          <w:p w14:paraId="1CF80912"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813.001</w:t>
            </w:r>
          </w:p>
        </w:tc>
        <w:tc>
          <w:tcPr>
            <w:tcW w:w="1311" w:type="dxa"/>
            <w:tcBorders>
              <w:top w:val="nil"/>
              <w:left w:val="nil"/>
              <w:bottom w:val="single" w:sz="4" w:space="0" w:color="auto"/>
              <w:right w:val="single" w:sz="4" w:space="0" w:color="auto"/>
            </w:tcBorders>
            <w:shd w:val="clear" w:color="000000" w:fill="DAEEF3"/>
            <w:vAlign w:val="center"/>
            <w:hideMark/>
          </w:tcPr>
          <w:p w14:paraId="7280BAF9"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808.778.270</w:t>
            </w:r>
          </w:p>
        </w:tc>
        <w:tc>
          <w:tcPr>
            <w:tcW w:w="925" w:type="dxa"/>
            <w:tcBorders>
              <w:top w:val="nil"/>
              <w:left w:val="nil"/>
              <w:bottom w:val="single" w:sz="4" w:space="0" w:color="auto"/>
              <w:right w:val="single" w:sz="4" w:space="0" w:color="auto"/>
            </w:tcBorders>
            <w:shd w:val="clear" w:color="auto" w:fill="auto"/>
            <w:vAlign w:val="center"/>
            <w:hideMark/>
          </w:tcPr>
          <w:p w14:paraId="4F91CE94"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106,4</w:t>
            </w:r>
          </w:p>
        </w:tc>
        <w:tc>
          <w:tcPr>
            <w:tcW w:w="929" w:type="dxa"/>
            <w:tcBorders>
              <w:top w:val="nil"/>
              <w:left w:val="nil"/>
              <w:bottom w:val="single" w:sz="4" w:space="0" w:color="auto"/>
              <w:right w:val="single" w:sz="4" w:space="0" w:color="auto"/>
            </w:tcBorders>
            <w:shd w:val="clear" w:color="auto" w:fill="auto"/>
            <w:vAlign w:val="center"/>
            <w:hideMark/>
          </w:tcPr>
          <w:p w14:paraId="27AEE1CD"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117,5</w:t>
            </w:r>
          </w:p>
        </w:tc>
      </w:tr>
      <w:tr w:rsidR="00A155A2" w:rsidRPr="00C90EC6" w14:paraId="72270C22" w14:textId="77777777" w:rsidTr="001C77D2">
        <w:trPr>
          <w:trHeight w:val="477"/>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14C82474"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 xml:space="preserve">Plačila na podlagi opominov </w:t>
            </w:r>
          </w:p>
        </w:tc>
        <w:tc>
          <w:tcPr>
            <w:tcW w:w="1214" w:type="dxa"/>
            <w:tcBorders>
              <w:top w:val="nil"/>
              <w:left w:val="nil"/>
              <w:bottom w:val="single" w:sz="4" w:space="0" w:color="auto"/>
              <w:right w:val="single" w:sz="4" w:space="0" w:color="auto"/>
            </w:tcBorders>
            <w:shd w:val="clear" w:color="auto" w:fill="auto"/>
            <w:vAlign w:val="center"/>
            <w:hideMark/>
          </w:tcPr>
          <w:p w14:paraId="5D2B330E"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522.992</w:t>
            </w:r>
          </w:p>
        </w:tc>
        <w:tc>
          <w:tcPr>
            <w:tcW w:w="1503" w:type="dxa"/>
            <w:tcBorders>
              <w:top w:val="nil"/>
              <w:left w:val="nil"/>
              <w:bottom w:val="single" w:sz="4" w:space="0" w:color="auto"/>
              <w:right w:val="single" w:sz="4" w:space="0" w:color="auto"/>
            </w:tcBorders>
            <w:shd w:val="clear" w:color="000000" w:fill="DAEEF3"/>
            <w:vAlign w:val="center"/>
            <w:hideMark/>
          </w:tcPr>
          <w:p w14:paraId="5D5293C6"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443.907.122</w:t>
            </w:r>
          </w:p>
        </w:tc>
        <w:tc>
          <w:tcPr>
            <w:tcW w:w="1214" w:type="dxa"/>
            <w:tcBorders>
              <w:top w:val="nil"/>
              <w:left w:val="nil"/>
              <w:bottom w:val="single" w:sz="4" w:space="0" w:color="auto"/>
              <w:right w:val="single" w:sz="4" w:space="0" w:color="auto"/>
            </w:tcBorders>
            <w:shd w:val="clear" w:color="auto" w:fill="auto"/>
            <w:vAlign w:val="center"/>
            <w:hideMark/>
          </w:tcPr>
          <w:p w14:paraId="43FBFE27"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543.662</w:t>
            </w:r>
          </w:p>
        </w:tc>
        <w:tc>
          <w:tcPr>
            <w:tcW w:w="1311" w:type="dxa"/>
            <w:tcBorders>
              <w:top w:val="nil"/>
              <w:left w:val="nil"/>
              <w:bottom w:val="single" w:sz="4" w:space="0" w:color="auto"/>
              <w:right w:val="single" w:sz="4" w:space="0" w:color="auto"/>
            </w:tcBorders>
            <w:shd w:val="clear" w:color="000000" w:fill="DAEEF3"/>
            <w:vAlign w:val="center"/>
            <w:hideMark/>
          </w:tcPr>
          <w:p w14:paraId="3551F53C"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511.012.881</w:t>
            </w:r>
          </w:p>
        </w:tc>
        <w:tc>
          <w:tcPr>
            <w:tcW w:w="925" w:type="dxa"/>
            <w:tcBorders>
              <w:top w:val="nil"/>
              <w:left w:val="nil"/>
              <w:bottom w:val="single" w:sz="4" w:space="0" w:color="auto"/>
              <w:right w:val="single" w:sz="4" w:space="0" w:color="auto"/>
            </w:tcBorders>
            <w:shd w:val="clear" w:color="auto" w:fill="auto"/>
            <w:vAlign w:val="center"/>
            <w:hideMark/>
          </w:tcPr>
          <w:p w14:paraId="2439DB2F"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104,0</w:t>
            </w:r>
          </w:p>
        </w:tc>
        <w:tc>
          <w:tcPr>
            <w:tcW w:w="929" w:type="dxa"/>
            <w:tcBorders>
              <w:top w:val="nil"/>
              <w:left w:val="nil"/>
              <w:bottom w:val="single" w:sz="4" w:space="0" w:color="auto"/>
              <w:right w:val="single" w:sz="4" w:space="0" w:color="auto"/>
            </w:tcBorders>
            <w:shd w:val="clear" w:color="auto" w:fill="auto"/>
            <w:vAlign w:val="center"/>
            <w:hideMark/>
          </w:tcPr>
          <w:p w14:paraId="5A9A727D"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115,1</w:t>
            </w:r>
          </w:p>
        </w:tc>
      </w:tr>
      <w:tr w:rsidR="00A155A2" w:rsidRPr="00C90EC6" w14:paraId="08F45B79" w14:textId="77777777" w:rsidTr="001C77D2">
        <w:trPr>
          <w:trHeight w:val="305"/>
        </w:trPr>
        <w:tc>
          <w:tcPr>
            <w:tcW w:w="9042"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5F0975AD"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 xml:space="preserve">Pozivi </w:t>
            </w:r>
            <w:r>
              <w:rPr>
                <w:rFonts w:ascii="Arial" w:eastAsia="Times New Roman" w:hAnsi="Arial" w:cs="Arial"/>
                <w:b/>
                <w:bCs/>
                <w:color w:val="FFFFFF"/>
                <w:sz w:val="18"/>
                <w:szCs w:val="18"/>
                <w:lang w:eastAsia="sl-SI"/>
              </w:rPr>
              <w:t>k</w:t>
            </w:r>
            <w:r w:rsidRPr="00C90EC6">
              <w:rPr>
                <w:rFonts w:ascii="Arial" w:eastAsia="Times New Roman" w:hAnsi="Arial" w:cs="Arial"/>
                <w:b/>
                <w:bCs/>
                <w:color w:val="FFFFFF"/>
                <w:sz w:val="18"/>
                <w:szCs w:val="18"/>
                <w:lang w:eastAsia="sl-SI"/>
              </w:rPr>
              <w:t xml:space="preserve"> plačil</w:t>
            </w:r>
            <w:r>
              <w:rPr>
                <w:rFonts w:ascii="Arial" w:eastAsia="Times New Roman" w:hAnsi="Arial" w:cs="Arial"/>
                <w:b/>
                <w:bCs/>
                <w:color w:val="FFFFFF"/>
                <w:sz w:val="18"/>
                <w:szCs w:val="18"/>
                <w:lang w:eastAsia="sl-SI"/>
              </w:rPr>
              <w:t>u</w:t>
            </w:r>
            <w:r w:rsidRPr="00C90EC6">
              <w:rPr>
                <w:rFonts w:ascii="Arial" w:eastAsia="Times New Roman" w:hAnsi="Arial" w:cs="Arial"/>
                <w:b/>
                <w:bCs/>
                <w:color w:val="FFFFFF"/>
                <w:sz w:val="18"/>
                <w:szCs w:val="18"/>
                <w:lang w:eastAsia="sl-SI"/>
              </w:rPr>
              <w:t xml:space="preserve"> in predložitv</w:t>
            </w:r>
            <w:r>
              <w:rPr>
                <w:rFonts w:ascii="Arial" w:eastAsia="Times New Roman" w:hAnsi="Arial" w:cs="Arial"/>
                <w:b/>
                <w:bCs/>
                <w:color w:val="FFFFFF"/>
                <w:sz w:val="18"/>
                <w:szCs w:val="18"/>
                <w:lang w:eastAsia="sl-SI"/>
              </w:rPr>
              <w:t>i</w:t>
            </w:r>
            <w:r w:rsidRPr="00C90EC6">
              <w:rPr>
                <w:rFonts w:ascii="Arial" w:eastAsia="Times New Roman" w:hAnsi="Arial" w:cs="Arial"/>
                <w:b/>
                <w:bCs/>
                <w:color w:val="FFFFFF"/>
                <w:sz w:val="18"/>
                <w:szCs w:val="18"/>
                <w:lang w:eastAsia="sl-SI"/>
              </w:rPr>
              <w:t xml:space="preserve"> seznama premoženja</w:t>
            </w:r>
          </w:p>
        </w:tc>
      </w:tr>
      <w:tr w:rsidR="00A155A2" w:rsidRPr="00C90EC6" w14:paraId="082554BE" w14:textId="77777777" w:rsidTr="001C77D2">
        <w:trPr>
          <w:trHeight w:val="611"/>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2165DA78"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 xml:space="preserve">Izdani </w:t>
            </w:r>
            <w:r w:rsidRPr="00ED78BD">
              <w:rPr>
                <w:rFonts w:ascii="Arial" w:eastAsia="Times New Roman" w:hAnsi="Arial" w:cs="Arial"/>
                <w:sz w:val="18"/>
                <w:szCs w:val="18"/>
                <w:lang w:eastAsia="sl-SI"/>
              </w:rPr>
              <w:t xml:space="preserve">pozivi </w:t>
            </w:r>
            <w:r>
              <w:rPr>
                <w:rFonts w:ascii="Arial" w:eastAsia="Times New Roman" w:hAnsi="Arial" w:cs="Arial"/>
                <w:sz w:val="18"/>
                <w:szCs w:val="18"/>
                <w:lang w:eastAsia="sl-SI"/>
              </w:rPr>
              <w:t>k</w:t>
            </w:r>
            <w:r w:rsidRPr="00C90EC6">
              <w:rPr>
                <w:rFonts w:ascii="Arial" w:eastAsia="Times New Roman" w:hAnsi="Arial" w:cs="Arial"/>
                <w:sz w:val="18"/>
                <w:szCs w:val="18"/>
                <w:lang w:eastAsia="sl-SI"/>
              </w:rPr>
              <w:t xml:space="preserve"> plačil</w:t>
            </w:r>
            <w:r>
              <w:rPr>
                <w:rFonts w:ascii="Arial" w:eastAsia="Times New Roman" w:hAnsi="Arial" w:cs="Arial"/>
                <w:sz w:val="18"/>
                <w:szCs w:val="18"/>
                <w:lang w:eastAsia="sl-SI"/>
              </w:rPr>
              <w:t>u</w:t>
            </w:r>
            <w:r w:rsidRPr="00C90EC6">
              <w:rPr>
                <w:rFonts w:ascii="Arial" w:eastAsia="Times New Roman" w:hAnsi="Arial" w:cs="Arial"/>
                <w:sz w:val="18"/>
                <w:szCs w:val="18"/>
                <w:lang w:eastAsia="sl-SI"/>
              </w:rPr>
              <w:t xml:space="preserve"> in predložitv</w:t>
            </w:r>
            <w:r>
              <w:rPr>
                <w:rFonts w:ascii="Arial" w:eastAsia="Times New Roman" w:hAnsi="Arial" w:cs="Arial"/>
                <w:sz w:val="18"/>
                <w:szCs w:val="18"/>
                <w:lang w:eastAsia="sl-SI"/>
              </w:rPr>
              <w:t>i</w:t>
            </w:r>
            <w:r w:rsidRPr="00C90EC6">
              <w:rPr>
                <w:rFonts w:ascii="Arial" w:eastAsia="Times New Roman" w:hAnsi="Arial" w:cs="Arial"/>
                <w:sz w:val="18"/>
                <w:szCs w:val="18"/>
                <w:lang w:eastAsia="sl-SI"/>
              </w:rPr>
              <w:t xml:space="preserve"> seznama premoženja</w:t>
            </w:r>
          </w:p>
        </w:tc>
        <w:tc>
          <w:tcPr>
            <w:tcW w:w="1214" w:type="dxa"/>
            <w:tcBorders>
              <w:top w:val="nil"/>
              <w:left w:val="nil"/>
              <w:bottom w:val="single" w:sz="4" w:space="0" w:color="auto"/>
              <w:right w:val="single" w:sz="4" w:space="0" w:color="auto"/>
            </w:tcBorders>
            <w:shd w:val="clear" w:color="auto" w:fill="auto"/>
            <w:vAlign w:val="center"/>
            <w:hideMark/>
          </w:tcPr>
          <w:p w14:paraId="5B7AF932"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12.615</w:t>
            </w:r>
          </w:p>
        </w:tc>
        <w:tc>
          <w:tcPr>
            <w:tcW w:w="1503" w:type="dxa"/>
            <w:tcBorders>
              <w:top w:val="nil"/>
              <w:left w:val="nil"/>
              <w:bottom w:val="single" w:sz="4" w:space="0" w:color="auto"/>
              <w:right w:val="single" w:sz="4" w:space="0" w:color="auto"/>
            </w:tcBorders>
            <w:shd w:val="clear" w:color="000000" w:fill="DAEEF3"/>
            <w:vAlign w:val="center"/>
            <w:hideMark/>
          </w:tcPr>
          <w:p w14:paraId="17B6D792"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65.558.179</w:t>
            </w:r>
          </w:p>
        </w:tc>
        <w:tc>
          <w:tcPr>
            <w:tcW w:w="1214" w:type="dxa"/>
            <w:tcBorders>
              <w:top w:val="nil"/>
              <w:left w:val="nil"/>
              <w:bottom w:val="single" w:sz="4" w:space="0" w:color="auto"/>
              <w:right w:val="single" w:sz="4" w:space="0" w:color="auto"/>
            </w:tcBorders>
            <w:shd w:val="clear" w:color="auto" w:fill="auto"/>
            <w:vAlign w:val="center"/>
            <w:hideMark/>
          </w:tcPr>
          <w:p w14:paraId="5C78BECC"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14.208</w:t>
            </w:r>
          </w:p>
        </w:tc>
        <w:tc>
          <w:tcPr>
            <w:tcW w:w="1311" w:type="dxa"/>
            <w:tcBorders>
              <w:top w:val="nil"/>
              <w:left w:val="nil"/>
              <w:bottom w:val="single" w:sz="4" w:space="0" w:color="auto"/>
              <w:right w:val="single" w:sz="4" w:space="0" w:color="auto"/>
            </w:tcBorders>
            <w:shd w:val="clear" w:color="000000" w:fill="DAEEF3"/>
            <w:vAlign w:val="center"/>
            <w:hideMark/>
          </w:tcPr>
          <w:p w14:paraId="1F3C923F"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104.472.030</w:t>
            </w:r>
          </w:p>
        </w:tc>
        <w:tc>
          <w:tcPr>
            <w:tcW w:w="925" w:type="dxa"/>
            <w:tcBorders>
              <w:top w:val="nil"/>
              <w:left w:val="nil"/>
              <w:bottom w:val="single" w:sz="4" w:space="0" w:color="auto"/>
              <w:right w:val="single" w:sz="4" w:space="0" w:color="auto"/>
            </w:tcBorders>
            <w:shd w:val="clear" w:color="auto" w:fill="auto"/>
            <w:vAlign w:val="center"/>
            <w:hideMark/>
          </w:tcPr>
          <w:p w14:paraId="71C33135"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112,6</w:t>
            </w:r>
          </w:p>
        </w:tc>
        <w:tc>
          <w:tcPr>
            <w:tcW w:w="929" w:type="dxa"/>
            <w:tcBorders>
              <w:top w:val="nil"/>
              <w:left w:val="nil"/>
              <w:bottom w:val="single" w:sz="4" w:space="0" w:color="auto"/>
              <w:right w:val="single" w:sz="4" w:space="0" w:color="auto"/>
            </w:tcBorders>
            <w:shd w:val="clear" w:color="auto" w:fill="auto"/>
            <w:vAlign w:val="center"/>
            <w:hideMark/>
          </w:tcPr>
          <w:p w14:paraId="6843B28A"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159,4</w:t>
            </w:r>
          </w:p>
        </w:tc>
      </w:tr>
      <w:tr w:rsidR="00A155A2" w:rsidRPr="00C90EC6" w14:paraId="1E8ACC38" w14:textId="77777777" w:rsidTr="001C77D2">
        <w:trPr>
          <w:trHeight w:val="528"/>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1B30B320"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Plačila na podlagi pozivov</w:t>
            </w:r>
          </w:p>
        </w:tc>
        <w:tc>
          <w:tcPr>
            <w:tcW w:w="1214" w:type="dxa"/>
            <w:tcBorders>
              <w:top w:val="nil"/>
              <w:left w:val="nil"/>
              <w:bottom w:val="single" w:sz="4" w:space="0" w:color="auto"/>
              <w:right w:val="single" w:sz="4" w:space="0" w:color="auto"/>
            </w:tcBorders>
            <w:shd w:val="clear" w:color="auto" w:fill="auto"/>
            <w:vAlign w:val="center"/>
            <w:hideMark/>
          </w:tcPr>
          <w:p w14:paraId="36548BA5"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11.652</w:t>
            </w:r>
          </w:p>
        </w:tc>
        <w:tc>
          <w:tcPr>
            <w:tcW w:w="1503" w:type="dxa"/>
            <w:tcBorders>
              <w:top w:val="nil"/>
              <w:left w:val="nil"/>
              <w:bottom w:val="single" w:sz="4" w:space="0" w:color="auto"/>
              <w:right w:val="single" w:sz="4" w:space="0" w:color="auto"/>
            </w:tcBorders>
            <w:shd w:val="clear" w:color="000000" w:fill="DAEEF3"/>
            <w:vAlign w:val="center"/>
            <w:hideMark/>
          </w:tcPr>
          <w:p w14:paraId="647E1B8C"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2.838.094</w:t>
            </w:r>
          </w:p>
        </w:tc>
        <w:tc>
          <w:tcPr>
            <w:tcW w:w="1214" w:type="dxa"/>
            <w:tcBorders>
              <w:top w:val="nil"/>
              <w:left w:val="nil"/>
              <w:bottom w:val="single" w:sz="4" w:space="0" w:color="auto"/>
              <w:right w:val="single" w:sz="4" w:space="0" w:color="auto"/>
            </w:tcBorders>
            <w:shd w:val="clear" w:color="auto" w:fill="auto"/>
            <w:vAlign w:val="center"/>
            <w:hideMark/>
          </w:tcPr>
          <w:p w14:paraId="54F3A532"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6.144</w:t>
            </w:r>
          </w:p>
        </w:tc>
        <w:tc>
          <w:tcPr>
            <w:tcW w:w="1311" w:type="dxa"/>
            <w:tcBorders>
              <w:top w:val="nil"/>
              <w:left w:val="nil"/>
              <w:bottom w:val="single" w:sz="4" w:space="0" w:color="auto"/>
              <w:right w:val="single" w:sz="4" w:space="0" w:color="auto"/>
            </w:tcBorders>
            <w:shd w:val="clear" w:color="000000" w:fill="DAEEF3"/>
            <w:vAlign w:val="center"/>
            <w:hideMark/>
          </w:tcPr>
          <w:p w14:paraId="2215591D"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4.514.560</w:t>
            </w:r>
          </w:p>
        </w:tc>
        <w:tc>
          <w:tcPr>
            <w:tcW w:w="925" w:type="dxa"/>
            <w:tcBorders>
              <w:top w:val="nil"/>
              <w:left w:val="nil"/>
              <w:bottom w:val="single" w:sz="4" w:space="0" w:color="auto"/>
              <w:right w:val="single" w:sz="4" w:space="0" w:color="auto"/>
            </w:tcBorders>
            <w:shd w:val="clear" w:color="auto" w:fill="auto"/>
            <w:vAlign w:val="center"/>
            <w:hideMark/>
          </w:tcPr>
          <w:p w14:paraId="2808813B"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52,7</w:t>
            </w:r>
          </w:p>
        </w:tc>
        <w:tc>
          <w:tcPr>
            <w:tcW w:w="929" w:type="dxa"/>
            <w:tcBorders>
              <w:top w:val="nil"/>
              <w:left w:val="nil"/>
              <w:bottom w:val="single" w:sz="4" w:space="0" w:color="auto"/>
              <w:right w:val="single" w:sz="4" w:space="0" w:color="auto"/>
            </w:tcBorders>
            <w:shd w:val="clear" w:color="auto" w:fill="auto"/>
            <w:vAlign w:val="center"/>
            <w:hideMark/>
          </w:tcPr>
          <w:p w14:paraId="69528A26"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159,1</w:t>
            </w:r>
          </w:p>
        </w:tc>
      </w:tr>
      <w:tr w:rsidR="00A155A2" w:rsidRPr="00C90EC6" w14:paraId="3A3D77D1" w14:textId="77777777" w:rsidTr="001C77D2">
        <w:trPr>
          <w:trHeight w:val="286"/>
        </w:trPr>
        <w:tc>
          <w:tcPr>
            <w:tcW w:w="9042" w:type="dxa"/>
            <w:gridSpan w:val="7"/>
            <w:tcBorders>
              <w:top w:val="single" w:sz="4" w:space="0" w:color="auto"/>
              <w:left w:val="single" w:sz="4" w:space="0" w:color="auto"/>
              <w:bottom w:val="single" w:sz="4" w:space="0" w:color="auto"/>
              <w:right w:val="single" w:sz="4" w:space="0" w:color="auto"/>
            </w:tcBorders>
            <w:shd w:val="clear" w:color="000000" w:fill="E36C0A"/>
            <w:vAlign w:val="center"/>
            <w:hideMark/>
          </w:tcPr>
          <w:p w14:paraId="4DC92FD9"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Sklep o davčni izvršbi</w:t>
            </w:r>
          </w:p>
        </w:tc>
      </w:tr>
      <w:tr w:rsidR="00A155A2" w:rsidRPr="00C90EC6" w14:paraId="1A67ABC2" w14:textId="77777777" w:rsidTr="001C77D2">
        <w:trPr>
          <w:trHeight w:val="375"/>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632A5A8D"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Izdani sklepi</w:t>
            </w:r>
          </w:p>
        </w:tc>
        <w:tc>
          <w:tcPr>
            <w:tcW w:w="1214" w:type="dxa"/>
            <w:tcBorders>
              <w:top w:val="nil"/>
              <w:left w:val="nil"/>
              <w:bottom w:val="single" w:sz="4" w:space="0" w:color="auto"/>
              <w:right w:val="single" w:sz="4" w:space="0" w:color="auto"/>
            </w:tcBorders>
            <w:shd w:val="clear" w:color="auto" w:fill="auto"/>
            <w:vAlign w:val="center"/>
            <w:hideMark/>
          </w:tcPr>
          <w:p w14:paraId="6AE0B3F4"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177.849</w:t>
            </w:r>
          </w:p>
        </w:tc>
        <w:tc>
          <w:tcPr>
            <w:tcW w:w="1503" w:type="dxa"/>
            <w:tcBorders>
              <w:top w:val="nil"/>
              <w:left w:val="nil"/>
              <w:bottom w:val="single" w:sz="4" w:space="0" w:color="auto"/>
              <w:right w:val="single" w:sz="4" w:space="0" w:color="auto"/>
            </w:tcBorders>
            <w:shd w:val="clear" w:color="000000" w:fill="DAEEF3"/>
            <w:vAlign w:val="center"/>
            <w:hideMark/>
          </w:tcPr>
          <w:p w14:paraId="49648496"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507.964.145</w:t>
            </w:r>
          </w:p>
        </w:tc>
        <w:tc>
          <w:tcPr>
            <w:tcW w:w="1214" w:type="dxa"/>
            <w:tcBorders>
              <w:top w:val="nil"/>
              <w:left w:val="nil"/>
              <w:bottom w:val="single" w:sz="4" w:space="0" w:color="auto"/>
              <w:right w:val="single" w:sz="4" w:space="0" w:color="auto"/>
            </w:tcBorders>
            <w:shd w:val="clear" w:color="auto" w:fill="auto"/>
            <w:vAlign w:val="center"/>
            <w:hideMark/>
          </w:tcPr>
          <w:p w14:paraId="303F4C87"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189.171</w:t>
            </w:r>
          </w:p>
        </w:tc>
        <w:tc>
          <w:tcPr>
            <w:tcW w:w="1311" w:type="dxa"/>
            <w:tcBorders>
              <w:top w:val="nil"/>
              <w:left w:val="nil"/>
              <w:bottom w:val="single" w:sz="4" w:space="0" w:color="auto"/>
              <w:right w:val="single" w:sz="4" w:space="0" w:color="auto"/>
            </w:tcBorders>
            <w:shd w:val="clear" w:color="000000" w:fill="DAEEF3"/>
            <w:vAlign w:val="center"/>
            <w:hideMark/>
          </w:tcPr>
          <w:p w14:paraId="0767AF50"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629.198.552</w:t>
            </w:r>
          </w:p>
        </w:tc>
        <w:tc>
          <w:tcPr>
            <w:tcW w:w="925" w:type="dxa"/>
            <w:tcBorders>
              <w:top w:val="nil"/>
              <w:left w:val="nil"/>
              <w:bottom w:val="single" w:sz="4" w:space="0" w:color="auto"/>
              <w:right w:val="single" w:sz="4" w:space="0" w:color="auto"/>
            </w:tcBorders>
            <w:shd w:val="clear" w:color="auto" w:fill="auto"/>
            <w:vAlign w:val="center"/>
            <w:hideMark/>
          </w:tcPr>
          <w:p w14:paraId="2FBD427E"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106,4</w:t>
            </w:r>
          </w:p>
        </w:tc>
        <w:tc>
          <w:tcPr>
            <w:tcW w:w="929" w:type="dxa"/>
            <w:tcBorders>
              <w:top w:val="nil"/>
              <w:left w:val="nil"/>
              <w:bottom w:val="single" w:sz="4" w:space="0" w:color="auto"/>
              <w:right w:val="single" w:sz="4" w:space="0" w:color="auto"/>
            </w:tcBorders>
            <w:shd w:val="clear" w:color="auto" w:fill="auto"/>
            <w:vAlign w:val="center"/>
            <w:hideMark/>
          </w:tcPr>
          <w:p w14:paraId="0AAC989E"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123,9</w:t>
            </w:r>
          </w:p>
        </w:tc>
      </w:tr>
      <w:tr w:rsidR="00A155A2" w:rsidRPr="00C90EC6" w14:paraId="1010D202" w14:textId="77777777" w:rsidTr="001C77D2">
        <w:trPr>
          <w:trHeight w:val="375"/>
        </w:trPr>
        <w:tc>
          <w:tcPr>
            <w:tcW w:w="1946" w:type="dxa"/>
            <w:tcBorders>
              <w:top w:val="nil"/>
              <w:left w:val="single" w:sz="4" w:space="0" w:color="auto"/>
              <w:bottom w:val="single" w:sz="4" w:space="0" w:color="auto"/>
              <w:right w:val="single" w:sz="4" w:space="0" w:color="auto"/>
            </w:tcBorders>
            <w:shd w:val="clear" w:color="auto" w:fill="auto"/>
            <w:vAlign w:val="center"/>
            <w:hideMark/>
          </w:tcPr>
          <w:p w14:paraId="1634FA76"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Plačila na podlagi sklepov</w:t>
            </w:r>
          </w:p>
        </w:tc>
        <w:tc>
          <w:tcPr>
            <w:tcW w:w="1214" w:type="dxa"/>
            <w:tcBorders>
              <w:top w:val="nil"/>
              <w:left w:val="nil"/>
              <w:bottom w:val="single" w:sz="4" w:space="0" w:color="auto"/>
              <w:right w:val="single" w:sz="4" w:space="0" w:color="auto"/>
            </w:tcBorders>
            <w:shd w:val="clear" w:color="auto" w:fill="auto"/>
            <w:vAlign w:val="center"/>
            <w:hideMark/>
          </w:tcPr>
          <w:p w14:paraId="09793133" w14:textId="77777777" w:rsidR="00A155A2" w:rsidRPr="00C90EC6" w:rsidRDefault="00A155A2" w:rsidP="001C77D2">
            <w:pPr>
              <w:spacing w:line="240" w:lineRule="auto"/>
              <w:jc w:val="right"/>
              <w:rPr>
                <w:rFonts w:ascii="Arial" w:eastAsia="Times New Roman" w:hAnsi="Arial" w:cs="Arial"/>
                <w:b/>
                <w:bCs/>
                <w:sz w:val="18"/>
                <w:szCs w:val="18"/>
                <w:lang w:eastAsia="sl-SI"/>
              </w:rPr>
            </w:pPr>
            <w:r w:rsidRPr="00C90EC6">
              <w:rPr>
                <w:rFonts w:ascii="Arial" w:eastAsia="Times New Roman" w:hAnsi="Arial" w:cs="Arial"/>
                <w:b/>
                <w:bCs/>
                <w:sz w:val="18"/>
                <w:szCs w:val="18"/>
                <w:lang w:eastAsia="sl-SI"/>
              </w:rPr>
              <w:t>229.794</w:t>
            </w:r>
          </w:p>
        </w:tc>
        <w:tc>
          <w:tcPr>
            <w:tcW w:w="1503" w:type="dxa"/>
            <w:tcBorders>
              <w:top w:val="nil"/>
              <w:left w:val="nil"/>
              <w:bottom w:val="single" w:sz="4" w:space="0" w:color="auto"/>
              <w:right w:val="single" w:sz="4" w:space="0" w:color="auto"/>
            </w:tcBorders>
            <w:shd w:val="clear" w:color="000000" w:fill="DAEEF3"/>
            <w:vAlign w:val="center"/>
            <w:hideMark/>
          </w:tcPr>
          <w:p w14:paraId="09612B13"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178.703.511</w:t>
            </w:r>
          </w:p>
        </w:tc>
        <w:tc>
          <w:tcPr>
            <w:tcW w:w="1214" w:type="dxa"/>
            <w:tcBorders>
              <w:top w:val="nil"/>
              <w:left w:val="nil"/>
              <w:bottom w:val="single" w:sz="4" w:space="0" w:color="auto"/>
              <w:right w:val="single" w:sz="4" w:space="0" w:color="auto"/>
            </w:tcBorders>
            <w:shd w:val="clear" w:color="auto" w:fill="auto"/>
            <w:vAlign w:val="center"/>
            <w:hideMark/>
          </w:tcPr>
          <w:p w14:paraId="6FBE3E8F" w14:textId="77777777" w:rsidR="00A155A2" w:rsidRPr="00C90EC6" w:rsidRDefault="00A155A2" w:rsidP="001C77D2">
            <w:pPr>
              <w:spacing w:line="240" w:lineRule="auto"/>
              <w:jc w:val="right"/>
              <w:rPr>
                <w:rFonts w:ascii="Arial" w:eastAsia="Times New Roman" w:hAnsi="Arial" w:cs="Arial"/>
                <w:b/>
                <w:bCs/>
                <w:color w:val="000000"/>
                <w:sz w:val="18"/>
                <w:szCs w:val="18"/>
                <w:lang w:eastAsia="sl-SI"/>
              </w:rPr>
            </w:pPr>
            <w:r w:rsidRPr="00C90EC6">
              <w:rPr>
                <w:rFonts w:ascii="Arial" w:eastAsia="Times New Roman" w:hAnsi="Arial" w:cs="Arial"/>
                <w:b/>
                <w:bCs/>
                <w:color w:val="000000"/>
                <w:sz w:val="18"/>
                <w:szCs w:val="18"/>
                <w:lang w:eastAsia="sl-SI"/>
              </w:rPr>
              <w:t>232.834</w:t>
            </w:r>
          </w:p>
        </w:tc>
        <w:tc>
          <w:tcPr>
            <w:tcW w:w="1311" w:type="dxa"/>
            <w:tcBorders>
              <w:top w:val="nil"/>
              <w:left w:val="nil"/>
              <w:bottom w:val="single" w:sz="4" w:space="0" w:color="auto"/>
              <w:right w:val="single" w:sz="4" w:space="0" w:color="auto"/>
            </w:tcBorders>
            <w:shd w:val="clear" w:color="000000" w:fill="DAEEF3"/>
            <w:vAlign w:val="center"/>
            <w:hideMark/>
          </w:tcPr>
          <w:p w14:paraId="7072D8CD" w14:textId="77777777" w:rsidR="00A155A2" w:rsidRPr="00C90EC6" w:rsidRDefault="00A155A2" w:rsidP="001C77D2">
            <w:pPr>
              <w:spacing w:line="240" w:lineRule="auto"/>
              <w:jc w:val="right"/>
              <w:rPr>
                <w:rFonts w:ascii="Arial" w:eastAsia="Times New Roman" w:hAnsi="Arial" w:cs="Arial"/>
                <w:color w:val="000000"/>
                <w:sz w:val="18"/>
                <w:szCs w:val="18"/>
                <w:lang w:eastAsia="sl-SI"/>
              </w:rPr>
            </w:pPr>
            <w:r w:rsidRPr="00C90EC6">
              <w:rPr>
                <w:rFonts w:ascii="Arial" w:eastAsia="Times New Roman" w:hAnsi="Arial" w:cs="Arial"/>
                <w:color w:val="000000"/>
                <w:sz w:val="18"/>
                <w:szCs w:val="18"/>
                <w:lang w:eastAsia="sl-SI"/>
              </w:rPr>
              <w:t>200.041.656</w:t>
            </w:r>
          </w:p>
        </w:tc>
        <w:tc>
          <w:tcPr>
            <w:tcW w:w="925" w:type="dxa"/>
            <w:tcBorders>
              <w:top w:val="nil"/>
              <w:left w:val="nil"/>
              <w:bottom w:val="single" w:sz="4" w:space="0" w:color="auto"/>
              <w:right w:val="single" w:sz="4" w:space="0" w:color="auto"/>
            </w:tcBorders>
            <w:shd w:val="clear" w:color="auto" w:fill="auto"/>
            <w:vAlign w:val="center"/>
            <w:hideMark/>
          </w:tcPr>
          <w:p w14:paraId="00F41D33"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101,3</w:t>
            </w:r>
          </w:p>
        </w:tc>
        <w:tc>
          <w:tcPr>
            <w:tcW w:w="929" w:type="dxa"/>
            <w:tcBorders>
              <w:top w:val="nil"/>
              <w:left w:val="nil"/>
              <w:bottom w:val="single" w:sz="4" w:space="0" w:color="auto"/>
              <w:right w:val="single" w:sz="4" w:space="0" w:color="auto"/>
            </w:tcBorders>
            <w:shd w:val="clear" w:color="auto" w:fill="auto"/>
            <w:vAlign w:val="center"/>
            <w:hideMark/>
          </w:tcPr>
          <w:p w14:paraId="3010D038" w14:textId="77777777" w:rsidR="00A155A2" w:rsidRPr="00C90EC6" w:rsidRDefault="00A155A2" w:rsidP="001C77D2">
            <w:pPr>
              <w:spacing w:line="240" w:lineRule="auto"/>
              <w:jc w:val="right"/>
              <w:rPr>
                <w:rFonts w:ascii="Arial" w:eastAsia="Times New Roman" w:hAnsi="Arial" w:cs="Arial"/>
                <w:sz w:val="18"/>
                <w:szCs w:val="18"/>
                <w:lang w:eastAsia="sl-SI"/>
              </w:rPr>
            </w:pPr>
            <w:r w:rsidRPr="00C90EC6">
              <w:rPr>
                <w:rFonts w:ascii="Arial" w:eastAsia="Times New Roman" w:hAnsi="Arial" w:cs="Arial"/>
                <w:sz w:val="18"/>
                <w:szCs w:val="18"/>
                <w:lang w:eastAsia="sl-SI"/>
              </w:rPr>
              <w:t>111,9</w:t>
            </w:r>
          </w:p>
        </w:tc>
      </w:tr>
      <w:tr w:rsidR="00A155A2" w:rsidRPr="00C90EC6" w14:paraId="568630D2" w14:textId="77777777" w:rsidTr="001C77D2">
        <w:trPr>
          <w:trHeight w:val="700"/>
        </w:trPr>
        <w:tc>
          <w:tcPr>
            <w:tcW w:w="1946" w:type="dxa"/>
            <w:tcBorders>
              <w:top w:val="nil"/>
              <w:left w:val="single" w:sz="4" w:space="0" w:color="auto"/>
              <w:bottom w:val="single" w:sz="4" w:space="0" w:color="auto"/>
              <w:right w:val="single" w:sz="4" w:space="0" w:color="auto"/>
            </w:tcBorders>
            <w:shd w:val="clear" w:color="000000" w:fill="808080"/>
            <w:vAlign w:val="center"/>
            <w:hideMark/>
          </w:tcPr>
          <w:p w14:paraId="705557A6"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 xml:space="preserve">Terjani dolg po opominih in sklepih SKUPAJ  </w:t>
            </w:r>
          </w:p>
        </w:tc>
        <w:tc>
          <w:tcPr>
            <w:tcW w:w="1214" w:type="dxa"/>
            <w:tcBorders>
              <w:top w:val="nil"/>
              <w:left w:val="nil"/>
              <w:bottom w:val="single" w:sz="4" w:space="0" w:color="auto"/>
              <w:right w:val="single" w:sz="4" w:space="0" w:color="auto"/>
            </w:tcBorders>
            <w:shd w:val="clear" w:color="000000" w:fill="808080"/>
            <w:vAlign w:val="center"/>
            <w:hideMark/>
          </w:tcPr>
          <w:p w14:paraId="1510775A"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954.911</w:t>
            </w:r>
          </w:p>
        </w:tc>
        <w:tc>
          <w:tcPr>
            <w:tcW w:w="1503" w:type="dxa"/>
            <w:tcBorders>
              <w:top w:val="nil"/>
              <w:left w:val="nil"/>
              <w:bottom w:val="single" w:sz="4" w:space="0" w:color="auto"/>
              <w:right w:val="single" w:sz="4" w:space="0" w:color="auto"/>
            </w:tcBorders>
            <w:shd w:val="clear" w:color="000000" w:fill="808080"/>
            <w:vAlign w:val="center"/>
            <w:hideMark/>
          </w:tcPr>
          <w:p w14:paraId="33BF731D"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1.261.768.429</w:t>
            </w:r>
          </w:p>
        </w:tc>
        <w:tc>
          <w:tcPr>
            <w:tcW w:w="1214" w:type="dxa"/>
            <w:tcBorders>
              <w:top w:val="nil"/>
              <w:left w:val="nil"/>
              <w:bottom w:val="single" w:sz="4" w:space="0" w:color="auto"/>
              <w:right w:val="single" w:sz="4" w:space="0" w:color="auto"/>
            </w:tcBorders>
            <w:shd w:val="clear" w:color="000000" w:fill="808080"/>
            <w:vAlign w:val="center"/>
            <w:hideMark/>
          </w:tcPr>
          <w:p w14:paraId="52AFFAF2"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1.016.380</w:t>
            </w:r>
          </w:p>
        </w:tc>
        <w:tc>
          <w:tcPr>
            <w:tcW w:w="1311" w:type="dxa"/>
            <w:tcBorders>
              <w:top w:val="nil"/>
              <w:left w:val="nil"/>
              <w:bottom w:val="single" w:sz="4" w:space="0" w:color="auto"/>
              <w:right w:val="single" w:sz="4" w:space="0" w:color="auto"/>
            </w:tcBorders>
            <w:shd w:val="clear" w:color="000000" w:fill="808080"/>
            <w:vAlign w:val="center"/>
            <w:hideMark/>
          </w:tcPr>
          <w:p w14:paraId="443B06D5"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1.542.448.852</w:t>
            </w:r>
          </w:p>
        </w:tc>
        <w:tc>
          <w:tcPr>
            <w:tcW w:w="925" w:type="dxa"/>
            <w:tcBorders>
              <w:top w:val="nil"/>
              <w:left w:val="nil"/>
              <w:bottom w:val="single" w:sz="4" w:space="0" w:color="auto"/>
              <w:right w:val="single" w:sz="4" w:space="0" w:color="auto"/>
            </w:tcBorders>
            <w:shd w:val="clear" w:color="000000" w:fill="808080"/>
            <w:vAlign w:val="center"/>
            <w:hideMark/>
          </w:tcPr>
          <w:p w14:paraId="2781E8F4"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106,4</w:t>
            </w:r>
          </w:p>
        </w:tc>
        <w:tc>
          <w:tcPr>
            <w:tcW w:w="929" w:type="dxa"/>
            <w:tcBorders>
              <w:top w:val="nil"/>
              <w:left w:val="nil"/>
              <w:bottom w:val="single" w:sz="4" w:space="0" w:color="auto"/>
              <w:right w:val="single" w:sz="4" w:space="0" w:color="auto"/>
            </w:tcBorders>
            <w:shd w:val="clear" w:color="000000" w:fill="808080"/>
            <w:vAlign w:val="center"/>
            <w:hideMark/>
          </w:tcPr>
          <w:p w14:paraId="3DD2AEBC"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122,2</w:t>
            </w:r>
          </w:p>
        </w:tc>
      </w:tr>
      <w:tr w:rsidR="00A155A2" w:rsidRPr="00C90EC6" w14:paraId="726018C6" w14:textId="77777777" w:rsidTr="001C77D2">
        <w:trPr>
          <w:trHeight w:val="636"/>
        </w:trPr>
        <w:tc>
          <w:tcPr>
            <w:tcW w:w="1946" w:type="dxa"/>
            <w:tcBorders>
              <w:top w:val="nil"/>
              <w:left w:val="single" w:sz="4" w:space="0" w:color="auto"/>
              <w:bottom w:val="single" w:sz="4" w:space="0" w:color="auto"/>
              <w:right w:val="single" w:sz="4" w:space="0" w:color="auto"/>
            </w:tcBorders>
            <w:shd w:val="clear" w:color="000000" w:fill="808080"/>
            <w:vAlign w:val="center"/>
            <w:hideMark/>
          </w:tcPr>
          <w:p w14:paraId="750BCFE9"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Realizacija po opominih in sklepih SKUPAJ</w:t>
            </w:r>
          </w:p>
        </w:tc>
        <w:tc>
          <w:tcPr>
            <w:tcW w:w="1214" w:type="dxa"/>
            <w:tcBorders>
              <w:top w:val="nil"/>
              <w:left w:val="nil"/>
              <w:bottom w:val="single" w:sz="4" w:space="0" w:color="auto"/>
              <w:right w:val="single" w:sz="4" w:space="0" w:color="auto"/>
            </w:tcBorders>
            <w:shd w:val="clear" w:color="000000" w:fill="808080"/>
            <w:vAlign w:val="center"/>
            <w:hideMark/>
          </w:tcPr>
          <w:p w14:paraId="613425DD"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764.438</w:t>
            </w:r>
          </w:p>
        </w:tc>
        <w:tc>
          <w:tcPr>
            <w:tcW w:w="1503" w:type="dxa"/>
            <w:tcBorders>
              <w:top w:val="nil"/>
              <w:left w:val="nil"/>
              <w:bottom w:val="single" w:sz="4" w:space="0" w:color="auto"/>
              <w:right w:val="single" w:sz="4" w:space="0" w:color="auto"/>
            </w:tcBorders>
            <w:shd w:val="clear" w:color="000000" w:fill="808080"/>
            <w:vAlign w:val="center"/>
            <w:hideMark/>
          </w:tcPr>
          <w:p w14:paraId="289D71D1"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625.448.727</w:t>
            </w:r>
          </w:p>
        </w:tc>
        <w:tc>
          <w:tcPr>
            <w:tcW w:w="1214" w:type="dxa"/>
            <w:tcBorders>
              <w:top w:val="nil"/>
              <w:left w:val="nil"/>
              <w:bottom w:val="single" w:sz="4" w:space="0" w:color="auto"/>
              <w:right w:val="single" w:sz="4" w:space="0" w:color="auto"/>
            </w:tcBorders>
            <w:shd w:val="clear" w:color="000000" w:fill="808080"/>
            <w:vAlign w:val="center"/>
            <w:hideMark/>
          </w:tcPr>
          <w:p w14:paraId="3B24334C"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782.640</w:t>
            </w:r>
          </w:p>
        </w:tc>
        <w:tc>
          <w:tcPr>
            <w:tcW w:w="1311" w:type="dxa"/>
            <w:tcBorders>
              <w:top w:val="nil"/>
              <w:left w:val="nil"/>
              <w:bottom w:val="single" w:sz="4" w:space="0" w:color="auto"/>
              <w:right w:val="single" w:sz="4" w:space="0" w:color="auto"/>
            </w:tcBorders>
            <w:shd w:val="clear" w:color="000000" w:fill="808080"/>
            <w:vAlign w:val="center"/>
            <w:hideMark/>
          </w:tcPr>
          <w:p w14:paraId="76D0B250"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715.569.097</w:t>
            </w:r>
          </w:p>
        </w:tc>
        <w:tc>
          <w:tcPr>
            <w:tcW w:w="925" w:type="dxa"/>
            <w:tcBorders>
              <w:top w:val="nil"/>
              <w:left w:val="nil"/>
              <w:bottom w:val="single" w:sz="4" w:space="0" w:color="auto"/>
              <w:right w:val="single" w:sz="4" w:space="0" w:color="auto"/>
            </w:tcBorders>
            <w:shd w:val="clear" w:color="000000" w:fill="808080"/>
            <w:vAlign w:val="center"/>
            <w:hideMark/>
          </w:tcPr>
          <w:p w14:paraId="3F55A0BF"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102,4</w:t>
            </w:r>
          </w:p>
        </w:tc>
        <w:tc>
          <w:tcPr>
            <w:tcW w:w="929" w:type="dxa"/>
            <w:tcBorders>
              <w:top w:val="nil"/>
              <w:left w:val="nil"/>
              <w:bottom w:val="single" w:sz="4" w:space="0" w:color="auto"/>
              <w:right w:val="single" w:sz="4" w:space="0" w:color="auto"/>
            </w:tcBorders>
            <w:shd w:val="clear" w:color="000000" w:fill="808080"/>
            <w:vAlign w:val="center"/>
            <w:hideMark/>
          </w:tcPr>
          <w:p w14:paraId="530498A0" w14:textId="77777777" w:rsidR="00A155A2" w:rsidRPr="00C90EC6" w:rsidRDefault="00A155A2" w:rsidP="001C77D2">
            <w:pPr>
              <w:spacing w:line="240" w:lineRule="auto"/>
              <w:jc w:val="right"/>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114,4</w:t>
            </w:r>
          </w:p>
        </w:tc>
      </w:tr>
    </w:tbl>
    <w:p w14:paraId="6BA35E49" w14:textId="77777777" w:rsidR="00A155A2" w:rsidRPr="007F7410" w:rsidRDefault="00A155A2" w:rsidP="00A155A2">
      <w:pPr>
        <w:rPr>
          <w:rFonts w:ascii="Arial" w:hAnsi="Arial" w:cs="Arial"/>
          <w:i/>
          <w:sz w:val="20"/>
          <w:szCs w:val="20"/>
        </w:rPr>
      </w:pPr>
      <w:r w:rsidRPr="007F7410">
        <w:rPr>
          <w:rFonts w:ascii="Arial" w:hAnsi="Arial" w:cs="Arial"/>
          <w:i/>
          <w:sz w:val="20"/>
          <w:szCs w:val="20"/>
        </w:rPr>
        <w:t>Vir: FURS</w:t>
      </w:r>
    </w:p>
    <w:p w14:paraId="7565082F" w14:textId="77777777" w:rsidR="00A155A2" w:rsidRDefault="00A155A2" w:rsidP="00A155A2">
      <w:pPr>
        <w:spacing w:after="0"/>
        <w:jc w:val="both"/>
        <w:rPr>
          <w:rFonts w:ascii="Arial" w:eastAsia="Times New Roman" w:hAnsi="Arial" w:cs="Arial"/>
          <w:sz w:val="20"/>
          <w:szCs w:val="20"/>
        </w:rPr>
      </w:pPr>
    </w:p>
    <w:p w14:paraId="3FF7E20B" w14:textId="77777777" w:rsidR="00A155A2" w:rsidRPr="00C90EC6" w:rsidRDefault="00A155A2" w:rsidP="00A155A2">
      <w:pPr>
        <w:spacing w:after="0"/>
        <w:jc w:val="both"/>
        <w:rPr>
          <w:rFonts w:ascii="Arial" w:eastAsia="Times New Roman" w:hAnsi="Arial" w:cs="Arial"/>
          <w:sz w:val="20"/>
          <w:szCs w:val="20"/>
        </w:rPr>
      </w:pPr>
      <w:r w:rsidRPr="00C90EC6">
        <w:rPr>
          <w:rFonts w:ascii="Arial" w:eastAsia="Times New Roman" w:hAnsi="Arial" w:cs="Arial"/>
          <w:sz w:val="20"/>
          <w:szCs w:val="20"/>
        </w:rPr>
        <w:t>V zvezi z izdanimi opomini v letu 2024 za področje davkov je F</w:t>
      </w:r>
      <w:r>
        <w:rPr>
          <w:rFonts w:ascii="Arial" w:eastAsia="Times New Roman" w:hAnsi="Arial" w:cs="Arial"/>
          <w:sz w:val="20"/>
          <w:szCs w:val="20"/>
        </w:rPr>
        <w:t>URS zagotovil</w:t>
      </w:r>
      <w:r w:rsidRPr="00C90EC6">
        <w:rPr>
          <w:rFonts w:ascii="Arial" w:eastAsia="Times New Roman" w:hAnsi="Arial" w:cs="Arial"/>
          <w:sz w:val="20"/>
          <w:szCs w:val="20"/>
        </w:rPr>
        <w:t xml:space="preserve"> 24.896 ustnih informacij zavezancem, ki so se telefonsko odzvali na opomin </w:t>
      </w:r>
      <w:r w:rsidRPr="000836FD">
        <w:rPr>
          <w:rFonts w:ascii="Arial" w:eastAsia="Times New Roman" w:hAnsi="Arial" w:cs="Arial"/>
          <w:sz w:val="20"/>
          <w:szCs w:val="20"/>
        </w:rPr>
        <w:t>po</w:t>
      </w:r>
      <w:r w:rsidRPr="00C90EC6">
        <w:rPr>
          <w:rFonts w:ascii="Arial" w:eastAsia="Times New Roman" w:hAnsi="Arial" w:cs="Arial"/>
          <w:sz w:val="20"/>
          <w:szCs w:val="20"/>
        </w:rPr>
        <w:t xml:space="preserve"> klicne</w:t>
      </w:r>
      <w:r>
        <w:rPr>
          <w:rFonts w:ascii="Arial" w:eastAsia="Times New Roman" w:hAnsi="Arial" w:cs="Arial"/>
          <w:sz w:val="20"/>
          <w:szCs w:val="20"/>
        </w:rPr>
        <w:t>m</w:t>
      </w:r>
      <w:r w:rsidRPr="00C90EC6">
        <w:rPr>
          <w:rFonts w:ascii="Arial" w:eastAsia="Times New Roman" w:hAnsi="Arial" w:cs="Arial"/>
          <w:sz w:val="20"/>
          <w:szCs w:val="20"/>
        </w:rPr>
        <w:t xml:space="preserve"> centr</w:t>
      </w:r>
      <w:r>
        <w:rPr>
          <w:rFonts w:ascii="Arial" w:eastAsia="Times New Roman" w:hAnsi="Arial" w:cs="Arial"/>
          <w:sz w:val="20"/>
          <w:szCs w:val="20"/>
        </w:rPr>
        <w:t>u</w:t>
      </w:r>
      <w:r w:rsidRPr="00C90EC6">
        <w:rPr>
          <w:rFonts w:ascii="Arial" w:eastAsia="Times New Roman" w:hAnsi="Arial" w:cs="Arial"/>
          <w:sz w:val="20"/>
          <w:szCs w:val="20"/>
        </w:rPr>
        <w:t xml:space="preserve"> za opomine</w:t>
      </w:r>
      <w:r>
        <w:rPr>
          <w:rFonts w:ascii="Arial" w:eastAsia="Times New Roman" w:hAnsi="Arial" w:cs="Arial"/>
          <w:sz w:val="20"/>
          <w:szCs w:val="20"/>
        </w:rPr>
        <w:t>,</w:t>
      </w:r>
      <w:r w:rsidRPr="00C90EC6">
        <w:rPr>
          <w:rFonts w:ascii="Arial" w:eastAsia="Times New Roman" w:hAnsi="Arial" w:cs="Arial"/>
          <w:sz w:val="20"/>
          <w:szCs w:val="20"/>
        </w:rPr>
        <w:t xml:space="preserve"> in pripravil 3.342 pisnih odgovorov zavezancem. Informacije in pojasnila, ki jih zavezanci prejmejo </w:t>
      </w:r>
      <w:r>
        <w:rPr>
          <w:rFonts w:ascii="Arial" w:eastAsia="Times New Roman" w:hAnsi="Arial" w:cs="Arial"/>
          <w:sz w:val="20"/>
          <w:szCs w:val="20"/>
        </w:rPr>
        <w:t>po tej</w:t>
      </w:r>
      <w:r w:rsidRPr="00C90EC6">
        <w:rPr>
          <w:rFonts w:ascii="Arial" w:eastAsia="Times New Roman" w:hAnsi="Arial" w:cs="Arial"/>
          <w:sz w:val="20"/>
          <w:szCs w:val="20"/>
        </w:rPr>
        <w:t xml:space="preserve"> </w:t>
      </w:r>
      <w:r>
        <w:rPr>
          <w:rFonts w:ascii="Arial" w:eastAsia="Times New Roman" w:hAnsi="Arial" w:cs="Arial"/>
          <w:sz w:val="20"/>
          <w:szCs w:val="20"/>
        </w:rPr>
        <w:t>poti</w:t>
      </w:r>
      <w:r w:rsidRPr="00C90EC6">
        <w:rPr>
          <w:rFonts w:ascii="Arial" w:eastAsia="Times New Roman" w:hAnsi="Arial" w:cs="Arial"/>
          <w:sz w:val="20"/>
          <w:szCs w:val="20"/>
        </w:rPr>
        <w:t>, so zlasti pomembn</w:t>
      </w:r>
      <w:r>
        <w:rPr>
          <w:rFonts w:ascii="Arial" w:eastAsia="Times New Roman" w:hAnsi="Arial" w:cs="Arial"/>
          <w:sz w:val="20"/>
          <w:szCs w:val="20"/>
        </w:rPr>
        <w:t>i</w:t>
      </w:r>
      <w:r w:rsidRPr="00C90EC6">
        <w:rPr>
          <w:rFonts w:ascii="Arial" w:eastAsia="Times New Roman" w:hAnsi="Arial" w:cs="Arial"/>
          <w:sz w:val="20"/>
          <w:szCs w:val="20"/>
        </w:rPr>
        <w:t xml:space="preserve"> z vidika preprečitve neupravičeno začete davčne izvršbe in uskladitve knjigovodskega stanja zavezancev.</w:t>
      </w:r>
    </w:p>
    <w:p w14:paraId="23A79A49" w14:textId="77777777" w:rsidR="00A155A2" w:rsidRPr="00C90EC6" w:rsidRDefault="00A155A2" w:rsidP="00A155A2">
      <w:pPr>
        <w:spacing w:after="0"/>
        <w:jc w:val="both"/>
        <w:rPr>
          <w:rFonts w:ascii="Arial" w:eastAsia="Times New Roman" w:hAnsi="Arial" w:cs="Arial"/>
          <w:sz w:val="20"/>
          <w:szCs w:val="20"/>
        </w:rPr>
      </w:pPr>
    </w:p>
    <w:p w14:paraId="6FD6B7A3" w14:textId="77777777" w:rsidR="00A155A2" w:rsidRDefault="00A155A2" w:rsidP="00A155A2">
      <w:pPr>
        <w:spacing w:after="0"/>
        <w:jc w:val="both"/>
        <w:rPr>
          <w:rFonts w:ascii="Arial" w:eastAsia="Times New Roman" w:hAnsi="Arial" w:cs="Arial"/>
          <w:sz w:val="20"/>
          <w:szCs w:val="20"/>
        </w:rPr>
      </w:pPr>
      <w:r w:rsidRPr="00C90EC6">
        <w:rPr>
          <w:rFonts w:ascii="Arial" w:eastAsia="Times New Roman" w:hAnsi="Arial" w:cs="Arial"/>
          <w:sz w:val="20"/>
          <w:szCs w:val="20"/>
        </w:rPr>
        <w:t xml:space="preserve">Po opominih je bilo v povprečju poplačanega 63,2 </w:t>
      </w:r>
      <w:r>
        <w:rPr>
          <w:rFonts w:ascii="Arial" w:hAnsi="Arial" w:cs="Arial"/>
          <w:bCs/>
          <w:sz w:val="20"/>
          <w:szCs w:val="20"/>
        </w:rPr>
        <w:t>odstotka</w:t>
      </w:r>
      <w:r w:rsidRPr="00C90EC6">
        <w:rPr>
          <w:rFonts w:ascii="Arial" w:eastAsia="Times New Roman" w:hAnsi="Arial" w:cs="Arial"/>
          <w:sz w:val="20"/>
          <w:szCs w:val="20"/>
        </w:rPr>
        <w:t xml:space="preserve"> dolga, po sklepih o izvršbi pa 31,8 </w:t>
      </w:r>
      <w:r>
        <w:rPr>
          <w:rFonts w:ascii="Arial" w:hAnsi="Arial" w:cs="Arial"/>
          <w:bCs/>
          <w:sz w:val="20"/>
          <w:szCs w:val="20"/>
        </w:rPr>
        <w:t>odstotka</w:t>
      </w:r>
      <w:r w:rsidRPr="00C90EC6">
        <w:rPr>
          <w:rFonts w:ascii="Arial" w:eastAsia="Times New Roman" w:hAnsi="Arial" w:cs="Arial"/>
          <w:sz w:val="20"/>
          <w:szCs w:val="20"/>
        </w:rPr>
        <w:t xml:space="preserve"> terjanega dolga.</w:t>
      </w:r>
    </w:p>
    <w:p w14:paraId="1B4FCF3E" w14:textId="77777777" w:rsidR="00A155A2" w:rsidRDefault="00A155A2" w:rsidP="00A155A2">
      <w:pPr>
        <w:spacing w:after="0" w:line="260" w:lineRule="atLeast"/>
        <w:jc w:val="both"/>
        <w:rPr>
          <w:rFonts w:ascii="Arial" w:eastAsia="Times New Roman" w:hAnsi="Arial" w:cs="Arial"/>
          <w:sz w:val="20"/>
          <w:szCs w:val="20"/>
        </w:rPr>
      </w:pPr>
    </w:p>
    <w:p w14:paraId="5FCE4E12" w14:textId="77777777" w:rsidR="00A155A2" w:rsidRPr="00C90EC6" w:rsidRDefault="00A155A2" w:rsidP="00A155A2">
      <w:pPr>
        <w:pStyle w:val="FURSNavaden"/>
        <w:rPr>
          <w:rFonts w:eastAsia="Times New Roman" w:cs="Arial"/>
          <w:szCs w:val="20"/>
        </w:rPr>
      </w:pPr>
      <w:r w:rsidRPr="00C90EC6">
        <w:rPr>
          <w:rFonts w:eastAsia="Times New Roman" w:cs="Arial"/>
          <w:szCs w:val="20"/>
        </w:rPr>
        <w:t xml:space="preserve">V letu 2024 je bilo izdanih 189.171 sklepov o davčni izvršbi, s katerimi je bil terjan dolg v znesku 629.198.552 </w:t>
      </w:r>
      <w:r>
        <w:rPr>
          <w:rFonts w:eastAsia="Times New Roman" w:cs="Arial"/>
          <w:szCs w:val="20"/>
        </w:rPr>
        <w:t>EUR</w:t>
      </w:r>
      <w:r w:rsidRPr="00C90EC6">
        <w:rPr>
          <w:rFonts w:eastAsia="Times New Roman" w:cs="Arial"/>
          <w:szCs w:val="20"/>
        </w:rPr>
        <w:t>. Na podlagi izdanih sklepov je bilo izterjan</w:t>
      </w:r>
      <w:r>
        <w:rPr>
          <w:rFonts w:eastAsia="Times New Roman" w:cs="Arial"/>
          <w:szCs w:val="20"/>
        </w:rPr>
        <w:t>ih</w:t>
      </w:r>
      <w:r w:rsidRPr="00C90EC6">
        <w:rPr>
          <w:rFonts w:eastAsia="Times New Roman" w:cs="Arial"/>
          <w:szCs w:val="20"/>
        </w:rPr>
        <w:t xml:space="preserve"> 200.041.656 </w:t>
      </w:r>
      <w:r>
        <w:rPr>
          <w:rFonts w:eastAsia="Times New Roman" w:cs="Arial"/>
          <w:szCs w:val="20"/>
        </w:rPr>
        <w:t>EUR</w:t>
      </w:r>
      <w:r w:rsidRPr="00C90EC6">
        <w:rPr>
          <w:rFonts w:eastAsia="Times New Roman" w:cs="Arial"/>
          <w:szCs w:val="20"/>
        </w:rPr>
        <w:t>.</w:t>
      </w:r>
    </w:p>
    <w:p w14:paraId="0895EC7F" w14:textId="77777777" w:rsidR="00A155A2" w:rsidRPr="00C90EC6" w:rsidRDefault="00A155A2" w:rsidP="00A155A2">
      <w:pPr>
        <w:pStyle w:val="FURSNavaden"/>
        <w:rPr>
          <w:rFonts w:eastAsia="Times New Roman" w:cs="Arial"/>
          <w:szCs w:val="20"/>
        </w:rPr>
      </w:pPr>
    </w:p>
    <w:p w14:paraId="7A9E8373" w14:textId="77777777" w:rsidR="00A155A2" w:rsidRPr="00C90EC6" w:rsidRDefault="00A155A2" w:rsidP="00A155A2">
      <w:pPr>
        <w:pStyle w:val="FURSNavaden"/>
        <w:rPr>
          <w:rFonts w:eastAsia="Times New Roman" w:cs="Arial"/>
          <w:szCs w:val="20"/>
        </w:rPr>
      </w:pPr>
      <w:r w:rsidRPr="00C90EC6">
        <w:rPr>
          <w:rFonts w:eastAsia="Times New Roman" w:cs="Arial"/>
          <w:szCs w:val="20"/>
        </w:rPr>
        <w:lastRenderedPageBreak/>
        <w:t xml:space="preserve">Največ sklepov o izvršbi je bilo izdanih na denarna sredstva pri bankah in hranilnicah, in sicer 105.787 (55,9 </w:t>
      </w:r>
      <w:r w:rsidRPr="007F4215">
        <w:rPr>
          <w:rFonts w:eastAsia="Times New Roman" w:cs="Arial"/>
          <w:szCs w:val="20"/>
        </w:rPr>
        <w:t xml:space="preserve">odstotka </w:t>
      </w:r>
      <w:r w:rsidRPr="00C90EC6">
        <w:rPr>
          <w:rFonts w:eastAsia="Times New Roman" w:cs="Arial"/>
          <w:szCs w:val="20"/>
        </w:rPr>
        <w:t>vseh). Sledi</w:t>
      </w:r>
      <w:r>
        <w:rPr>
          <w:rFonts w:eastAsia="Times New Roman" w:cs="Arial"/>
          <w:szCs w:val="20"/>
        </w:rPr>
        <w:t>li s</w:t>
      </w:r>
      <w:r w:rsidRPr="00C90EC6">
        <w:rPr>
          <w:rFonts w:eastAsia="Times New Roman" w:cs="Arial"/>
          <w:szCs w:val="20"/>
        </w:rPr>
        <w:t xml:space="preserve">o sklepi o izvršbi na denarne prejemke, </w:t>
      </w:r>
      <w:r>
        <w:rPr>
          <w:rFonts w:eastAsia="Times New Roman" w:cs="Arial"/>
          <w:szCs w:val="20"/>
        </w:rPr>
        <w:t>teh</w:t>
      </w:r>
      <w:r w:rsidRPr="00C90EC6">
        <w:rPr>
          <w:rFonts w:eastAsia="Times New Roman" w:cs="Arial"/>
          <w:szCs w:val="20"/>
        </w:rPr>
        <w:t xml:space="preserve"> je bilo izdanih 72.305 (38,2 </w:t>
      </w:r>
      <w:r w:rsidRPr="007F4215">
        <w:rPr>
          <w:rFonts w:eastAsia="Times New Roman" w:cs="Arial"/>
          <w:szCs w:val="20"/>
        </w:rPr>
        <w:t>odstotka</w:t>
      </w:r>
      <w:r w:rsidRPr="00C90EC6">
        <w:rPr>
          <w:rFonts w:eastAsia="Times New Roman" w:cs="Arial"/>
          <w:szCs w:val="20"/>
        </w:rPr>
        <w:t>). Izvršba na dolžnikove premičnine je bila začeta v 8.629 primerih (4,6</w:t>
      </w:r>
      <w:r w:rsidRPr="007F4215">
        <w:t xml:space="preserve"> </w:t>
      </w:r>
      <w:r w:rsidRPr="007F4215">
        <w:rPr>
          <w:rFonts w:eastAsia="Times New Roman" w:cs="Arial"/>
          <w:szCs w:val="20"/>
        </w:rPr>
        <w:t>odstotka</w:t>
      </w:r>
      <w:r w:rsidRPr="00C90EC6">
        <w:rPr>
          <w:rFonts w:eastAsia="Times New Roman" w:cs="Arial"/>
          <w:szCs w:val="20"/>
        </w:rPr>
        <w:t>), sledi</w:t>
      </w:r>
      <w:r>
        <w:rPr>
          <w:rFonts w:eastAsia="Times New Roman" w:cs="Arial"/>
          <w:szCs w:val="20"/>
        </w:rPr>
        <w:t>li</w:t>
      </w:r>
      <w:r w:rsidRPr="00C90EC6">
        <w:rPr>
          <w:rFonts w:eastAsia="Times New Roman" w:cs="Arial"/>
          <w:szCs w:val="20"/>
        </w:rPr>
        <w:t xml:space="preserve"> pa </w:t>
      </w:r>
      <w:r>
        <w:rPr>
          <w:rFonts w:eastAsia="Times New Roman" w:cs="Arial"/>
          <w:szCs w:val="20"/>
        </w:rPr>
        <w:t>so</w:t>
      </w:r>
      <w:r w:rsidRPr="00C90EC6">
        <w:rPr>
          <w:rFonts w:eastAsia="Times New Roman" w:cs="Arial"/>
          <w:szCs w:val="20"/>
        </w:rPr>
        <w:t xml:space="preserve"> sklepi</w:t>
      </w:r>
      <w:r>
        <w:rPr>
          <w:rFonts w:eastAsia="Times New Roman" w:cs="Arial"/>
          <w:szCs w:val="20"/>
        </w:rPr>
        <w:t>,</w:t>
      </w:r>
      <w:r w:rsidRPr="00C90EC6">
        <w:rPr>
          <w:rFonts w:eastAsia="Times New Roman" w:cs="Arial"/>
          <w:szCs w:val="20"/>
        </w:rPr>
        <w:t xml:space="preserve"> izdani na denarno </w:t>
      </w:r>
      <w:r w:rsidRPr="00DA05F4">
        <w:rPr>
          <w:rFonts w:eastAsia="Times New Roman" w:cs="Arial"/>
          <w:szCs w:val="20"/>
        </w:rPr>
        <w:t xml:space="preserve">terjatev dolžnika (2.447 ali 1,3 </w:t>
      </w:r>
      <w:r w:rsidRPr="00DA05F4">
        <w:rPr>
          <w:rFonts w:cs="Arial"/>
          <w:bCs/>
          <w:szCs w:val="20"/>
        </w:rPr>
        <w:t>odstotka</w:t>
      </w:r>
      <w:r w:rsidRPr="00DA05F4">
        <w:rPr>
          <w:rFonts w:eastAsia="Times New Roman" w:cs="Arial"/>
          <w:szCs w:val="20"/>
        </w:rPr>
        <w:t xml:space="preserve"> vseh) in </w:t>
      </w:r>
      <w:r w:rsidRPr="00C90EC6">
        <w:rPr>
          <w:rFonts w:eastAsia="Times New Roman" w:cs="Arial"/>
          <w:szCs w:val="20"/>
        </w:rPr>
        <w:t>na vrednostne papirje (</w:t>
      </w:r>
      <w:r>
        <w:rPr>
          <w:rFonts w:eastAsia="Times New Roman" w:cs="Arial"/>
          <w:szCs w:val="20"/>
        </w:rPr>
        <w:t>trije sklepi</w:t>
      </w:r>
      <w:r w:rsidRPr="00C90EC6">
        <w:rPr>
          <w:rFonts w:eastAsia="Times New Roman" w:cs="Arial"/>
          <w:szCs w:val="20"/>
        </w:rPr>
        <w:t xml:space="preserve">). </w:t>
      </w:r>
    </w:p>
    <w:p w14:paraId="2E25BF46" w14:textId="77777777" w:rsidR="00A155A2" w:rsidRPr="00C90EC6" w:rsidRDefault="00A155A2" w:rsidP="00A155A2">
      <w:pPr>
        <w:pStyle w:val="FURSNavaden"/>
        <w:rPr>
          <w:rFonts w:eastAsia="Times New Roman" w:cs="Arial"/>
          <w:szCs w:val="20"/>
        </w:rPr>
      </w:pPr>
    </w:p>
    <w:p w14:paraId="7927BADD" w14:textId="77777777" w:rsidR="00A155A2" w:rsidRPr="00721DA2" w:rsidRDefault="00A155A2" w:rsidP="00A155A2">
      <w:pPr>
        <w:pStyle w:val="FURSNavaden"/>
        <w:rPr>
          <w:rFonts w:eastAsia="Times New Roman" w:cs="Arial"/>
          <w:color w:val="156082" w:themeColor="accent1"/>
          <w:szCs w:val="20"/>
        </w:rPr>
      </w:pPr>
      <w:r w:rsidRPr="00721DA2">
        <w:rPr>
          <w:rFonts w:eastAsia="Times New Roman" w:cs="Arial"/>
          <w:szCs w:val="20"/>
        </w:rPr>
        <w:t>Število sklepov</w:t>
      </w:r>
      <w:r>
        <w:rPr>
          <w:rFonts w:eastAsia="Times New Roman" w:cs="Arial"/>
          <w:szCs w:val="20"/>
        </w:rPr>
        <w:t>,</w:t>
      </w:r>
      <w:r w:rsidRPr="00721DA2">
        <w:rPr>
          <w:rFonts w:eastAsia="Times New Roman" w:cs="Arial"/>
          <w:szCs w:val="20"/>
        </w:rPr>
        <w:t xml:space="preserve"> izdanih na denarne terjatve</w:t>
      </w:r>
      <w:r>
        <w:rPr>
          <w:rFonts w:eastAsia="Times New Roman" w:cs="Arial"/>
          <w:szCs w:val="20"/>
        </w:rPr>
        <w:t>,</w:t>
      </w:r>
      <w:r w:rsidRPr="00721DA2">
        <w:rPr>
          <w:rFonts w:eastAsia="Times New Roman" w:cs="Arial"/>
          <w:szCs w:val="20"/>
        </w:rPr>
        <w:t xml:space="preserve"> se je v primerjavi </w:t>
      </w:r>
      <w:r>
        <w:rPr>
          <w:rFonts w:eastAsia="Times New Roman" w:cs="Arial"/>
          <w:szCs w:val="20"/>
        </w:rPr>
        <w:t>z</w:t>
      </w:r>
      <w:r w:rsidRPr="00721DA2">
        <w:rPr>
          <w:rFonts w:eastAsia="Times New Roman" w:cs="Arial"/>
          <w:szCs w:val="20"/>
        </w:rPr>
        <w:t xml:space="preserve"> letom</w:t>
      </w:r>
      <w:r>
        <w:rPr>
          <w:rFonts w:eastAsia="Times New Roman" w:cs="Arial"/>
          <w:szCs w:val="20"/>
        </w:rPr>
        <w:t xml:space="preserve"> prej</w:t>
      </w:r>
      <w:r w:rsidRPr="00721DA2">
        <w:rPr>
          <w:rFonts w:eastAsia="Times New Roman" w:cs="Arial"/>
          <w:szCs w:val="20"/>
        </w:rPr>
        <w:t xml:space="preserve"> povečalo za 30,9 odstotka, kar gre pripisati tudi </w:t>
      </w:r>
      <w:r>
        <w:rPr>
          <w:rFonts w:eastAsia="Times New Roman" w:cs="Arial"/>
          <w:szCs w:val="20"/>
        </w:rPr>
        <w:t>temu</w:t>
      </w:r>
      <w:r w:rsidRPr="00721DA2">
        <w:rPr>
          <w:rFonts w:eastAsia="Times New Roman" w:cs="Arial"/>
          <w:szCs w:val="20"/>
        </w:rPr>
        <w:t xml:space="preserve">, da je davčni organ v postopkih izvršbe </w:t>
      </w:r>
      <w:r>
        <w:rPr>
          <w:rFonts w:eastAsia="Times New Roman" w:cs="Arial"/>
          <w:szCs w:val="20"/>
        </w:rPr>
        <w:t>uvedel</w:t>
      </w:r>
      <w:r w:rsidRPr="00721DA2">
        <w:rPr>
          <w:rFonts w:eastAsia="Times New Roman" w:cs="Arial"/>
          <w:szCs w:val="20"/>
        </w:rPr>
        <w:t xml:space="preserve"> elektronsko poizvedovanje po podatkih o </w:t>
      </w:r>
      <w:proofErr w:type="spellStart"/>
      <w:r w:rsidRPr="00721DA2">
        <w:rPr>
          <w:rFonts w:eastAsia="Times New Roman" w:cs="Arial"/>
          <w:szCs w:val="20"/>
        </w:rPr>
        <w:t>imetništvu</w:t>
      </w:r>
      <w:proofErr w:type="spellEnd"/>
      <w:r w:rsidRPr="00721DA2">
        <w:rPr>
          <w:rFonts w:eastAsia="Times New Roman" w:cs="Arial"/>
          <w:szCs w:val="20"/>
        </w:rPr>
        <w:t xml:space="preserve"> investicijskih kuponov dolžnikov. V letu 2024 je bilo tako izdanih 672 sklepov o izvršbi, s katerimi se </w:t>
      </w:r>
      <w:r w:rsidRPr="00DA05F4">
        <w:rPr>
          <w:rFonts w:eastAsia="Times New Roman" w:cs="Arial"/>
          <w:szCs w:val="20"/>
        </w:rPr>
        <w:t>je poseglo na denarne</w:t>
      </w:r>
      <w:r w:rsidRPr="00721DA2">
        <w:rPr>
          <w:rFonts w:eastAsia="Times New Roman" w:cs="Arial"/>
          <w:szCs w:val="20"/>
        </w:rPr>
        <w:t xml:space="preserve"> terjatve dolžnikov </w:t>
      </w:r>
      <w:r>
        <w:rPr>
          <w:rFonts w:eastAsia="Times New Roman" w:cs="Arial"/>
          <w:szCs w:val="20"/>
        </w:rPr>
        <w:t xml:space="preserve">od </w:t>
      </w:r>
      <w:proofErr w:type="spellStart"/>
      <w:r w:rsidRPr="00721DA2">
        <w:rPr>
          <w:rFonts w:eastAsia="Times New Roman" w:cs="Arial"/>
          <w:szCs w:val="20"/>
        </w:rPr>
        <w:t>imetništva</w:t>
      </w:r>
      <w:proofErr w:type="spellEnd"/>
      <w:r w:rsidRPr="00721DA2">
        <w:rPr>
          <w:rFonts w:eastAsia="Times New Roman" w:cs="Arial"/>
          <w:szCs w:val="20"/>
        </w:rPr>
        <w:t xml:space="preserve"> investicijskih kuponov. Vsako leto se povečuje tudi delež izdanih sklepov o izvršbi na denarne terjatve dolžnikov do proračunskih uporabnikov, ki izhajajo iz izdanih </w:t>
      </w:r>
      <w:proofErr w:type="spellStart"/>
      <w:r w:rsidRPr="00721DA2">
        <w:rPr>
          <w:rFonts w:eastAsia="Times New Roman" w:cs="Arial"/>
          <w:szCs w:val="20"/>
        </w:rPr>
        <w:t>eRačunov</w:t>
      </w:r>
      <w:proofErr w:type="spellEnd"/>
      <w:r w:rsidRPr="00721DA2">
        <w:rPr>
          <w:rFonts w:eastAsia="Times New Roman" w:cs="Arial"/>
          <w:szCs w:val="20"/>
        </w:rPr>
        <w:t>, ob upoštevanju podatkov evidence izdanih računov proračunskim uporabnikom, ki jo vodi Uprava R</w:t>
      </w:r>
      <w:r>
        <w:rPr>
          <w:rFonts w:eastAsia="Times New Roman" w:cs="Arial"/>
          <w:szCs w:val="20"/>
        </w:rPr>
        <w:t xml:space="preserve">epublike </w:t>
      </w:r>
      <w:r w:rsidRPr="00721DA2">
        <w:rPr>
          <w:rFonts w:eastAsia="Times New Roman" w:cs="Arial"/>
          <w:szCs w:val="20"/>
        </w:rPr>
        <w:t>S</w:t>
      </w:r>
      <w:r>
        <w:rPr>
          <w:rFonts w:eastAsia="Times New Roman" w:cs="Arial"/>
          <w:szCs w:val="20"/>
        </w:rPr>
        <w:t>lovenije</w:t>
      </w:r>
      <w:r w:rsidRPr="00721DA2">
        <w:rPr>
          <w:rFonts w:eastAsia="Times New Roman" w:cs="Arial"/>
          <w:szCs w:val="20"/>
        </w:rPr>
        <w:t xml:space="preserve"> za javna plačila. V letu 2024 je bilo izdanih 1.487 t</w:t>
      </w:r>
      <w:r>
        <w:rPr>
          <w:rFonts w:eastAsia="Times New Roman" w:cs="Arial"/>
          <w:szCs w:val="20"/>
        </w:rPr>
        <w:t>akšni</w:t>
      </w:r>
      <w:r w:rsidRPr="00721DA2">
        <w:rPr>
          <w:rFonts w:eastAsia="Times New Roman" w:cs="Arial"/>
          <w:szCs w:val="20"/>
        </w:rPr>
        <w:t>h sklepov o izvršbi.</w:t>
      </w:r>
      <w:r w:rsidRPr="00721DA2">
        <w:rPr>
          <w:rFonts w:eastAsia="Times New Roman" w:cs="Arial"/>
          <w:color w:val="156082" w:themeColor="accent1"/>
          <w:szCs w:val="20"/>
        </w:rPr>
        <w:t xml:space="preserve"> </w:t>
      </w:r>
    </w:p>
    <w:p w14:paraId="0438B9B5" w14:textId="77777777" w:rsidR="00A155A2" w:rsidRPr="00C90EC6" w:rsidRDefault="00A155A2" w:rsidP="00A155A2">
      <w:pPr>
        <w:pStyle w:val="FURSNavaden"/>
        <w:rPr>
          <w:rFonts w:eastAsia="Times New Roman" w:cs="Arial"/>
          <w:szCs w:val="20"/>
        </w:rPr>
      </w:pPr>
    </w:p>
    <w:p w14:paraId="0F390D54" w14:textId="77777777" w:rsidR="00A155A2" w:rsidRPr="00C90EC6" w:rsidRDefault="00A155A2" w:rsidP="00A155A2">
      <w:pPr>
        <w:pStyle w:val="FURSNavaden"/>
        <w:spacing w:line="276" w:lineRule="auto"/>
        <w:rPr>
          <w:rFonts w:eastAsia="Times New Roman" w:cs="Arial"/>
          <w:szCs w:val="20"/>
        </w:rPr>
      </w:pPr>
      <w:r w:rsidRPr="00C90EC6">
        <w:rPr>
          <w:rFonts w:eastAsia="Times New Roman" w:cs="Arial"/>
          <w:szCs w:val="20"/>
        </w:rPr>
        <w:t xml:space="preserve">Najučinkovitejše sredstvo izvršbe z vidika plačil je </w:t>
      </w:r>
      <w:r>
        <w:rPr>
          <w:rFonts w:eastAsia="Times New Roman" w:cs="Arial"/>
          <w:szCs w:val="20"/>
        </w:rPr>
        <w:t xml:space="preserve">bila </w:t>
      </w:r>
      <w:r w:rsidRPr="00C90EC6">
        <w:rPr>
          <w:rFonts w:eastAsia="Times New Roman" w:cs="Arial"/>
          <w:szCs w:val="20"/>
        </w:rPr>
        <w:t xml:space="preserve">izvršba na denarna sredstva dolžnika pri bankah ali hranilnicah </w:t>
      </w:r>
      <w:r>
        <w:rPr>
          <w:rFonts w:eastAsia="Times New Roman" w:cs="Arial"/>
          <w:szCs w:val="20"/>
        </w:rPr>
        <w:t>s</w:t>
      </w:r>
      <w:r w:rsidRPr="00C90EC6">
        <w:rPr>
          <w:rFonts w:eastAsia="Times New Roman" w:cs="Arial"/>
          <w:szCs w:val="20"/>
        </w:rPr>
        <w:t xml:space="preserve"> 76,5</w:t>
      </w:r>
      <w:r>
        <w:rPr>
          <w:rFonts w:eastAsia="Times New Roman" w:cs="Arial"/>
          <w:szCs w:val="20"/>
        </w:rPr>
        <w:t>-</w:t>
      </w:r>
      <w:r>
        <w:rPr>
          <w:rFonts w:cs="Arial"/>
          <w:bCs/>
          <w:szCs w:val="20"/>
        </w:rPr>
        <w:t xml:space="preserve">odstotnim </w:t>
      </w:r>
      <w:r w:rsidRPr="00C90EC6">
        <w:rPr>
          <w:rFonts w:eastAsia="Times New Roman" w:cs="Arial"/>
          <w:szCs w:val="20"/>
        </w:rPr>
        <w:t>deležem, sledi</w:t>
      </w:r>
      <w:r>
        <w:rPr>
          <w:rFonts w:eastAsia="Times New Roman" w:cs="Arial"/>
          <w:szCs w:val="20"/>
        </w:rPr>
        <w:t>la je</w:t>
      </w:r>
      <w:r w:rsidRPr="00C90EC6">
        <w:rPr>
          <w:rFonts w:eastAsia="Times New Roman" w:cs="Arial"/>
          <w:szCs w:val="20"/>
        </w:rPr>
        <w:t xml:space="preserve"> izvršba na premično premoženje </w:t>
      </w:r>
      <w:r>
        <w:rPr>
          <w:rFonts w:eastAsia="Times New Roman" w:cs="Arial"/>
          <w:szCs w:val="20"/>
        </w:rPr>
        <w:t>z</w:t>
      </w:r>
      <w:r w:rsidRPr="00C90EC6">
        <w:rPr>
          <w:rFonts w:eastAsia="Times New Roman" w:cs="Arial"/>
          <w:szCs w:val="20"/>
        </w:rPr>
        <w:t xml:space="preserve"> 12,7 </w:t>
      </w:r>
      <w:r>
        <w:rPr>
          <w:rFonts w:cs="Arial"/>
          <w:bCs/>
          <w:szCs w:val="20"/>
        </w:rPr>
        <w:t>odstotka</w:t>
      </w:r>
      <w:r w:rsidRPr="00C90EC6">
        <w:rPr>
          <w:rFonts w:eastAsia="Times New Roman" w:cs="Arial"/>
          <w:szCs w:val="20"/>
        </w:rPr>
        <w:t xml:space="preserve">, 7,7 </w:t>
      </w:r>
      <w:r>
        <w:rPr>
          <w:rFonts w:cs="Arial"/>
          <w:bCs/>
          <w:szCs w:val="20"/>
        </w:rPr>
        <w:t>odstotka</w:t>
      </w:r>
      <w:r w:rsidRPr="00C90EC6">
        <w:rPr>
          <w:rFonts w:eastAsia="Times New Roman" w:cs="Arial"/>
          <w:szCs w:val="20"/>
        </w:rPr>
        <w:t xml:space="preserve"> </w:t>
      </w:r>
      <w:r>
        <w:rPr>
          <w:rFonts w:eastAsia="Times New Roman" w:cs="Arial"/>
          <w:szCs w:val="20"/>
        </w:rPr>
        <w:t xml:space="preserve">je obsegala </w:t>
      </w:r>
      <w:r w:rsidRPr="00C90EC6">
        <w:rPr>
          <w:rFonts w:eastAsia="Times New Roman" w:cs="Arial"/>
          <w:szCs w:val="20"/>
        </w:rPr>
        <w:t>izvršb</w:t>
      </w:r>
      <w:r>
        <w:rPr>
          <w:rFonts w:eastAsia="Times New Roman" w:cs="Arial"/>
          <w:szCs w:val="20"/>
        </w:rPr>
        <w:t>a</w:t>
      </w:r>
      <w:r w:rsidRPr="00C90EC6">
        <w:rPr>
          <w:rFonts w:eastAsia="Times New Roman" w:cs="Arial"/>
          <w:szCs w:val="20"/>
        </w:rPr>
        <w:t xml:space="preserve"> na dolžnikove denarne prejemke in 3,1 </w:t>
      </w:r>
      <w:r>
        <w:rPr>
          <w:rFonts w:eastAsia="Times New Roman" w:cs="Arial"/>
          <w:szCs w:val="20"/>
        </w:rPr>
        <w:t xml:space="preserve">odstotka </w:t>
      </w:r>
      <w:r w:rsidRPr="00C90EC6">
        <w:rPr>
          <w:rFonts w:eastAsia="Times New Roman" w:cs="Arial"/>
          <w:szCs w:val="20"/>
        </w:rPr>
        <w:t>izvršb</w:t>
      </w:r>
      <w:r>
        <w:rPr>
          <w:rFonts w:eastAsia="Times New Roman" w:cs="Arial"/>
          <w:szCs w:val="20"/>
        </w:rPr>
        <w:t>a</w:t>
      </w:r>
      <w:r w:rsidRPr="00C90EC6">
        <w:rPr>
          <w:rFonts w:eastAsia="Times New Roman" w:cs="Arial"/>
          <w:szCs w:val="20"/>
        </w:rPr>
        <w:t xml:space="preserve"> na dolžnikove denarne terjatve.</w:t>
      </w:r>
    </w:p>
    <w:p w14:paraId="1AC10850" w14:textId="77777777" w:rsidR="00A155A2" w:rsidRPr="00946DF5" w:rsidRDefault="00A155A2" w:rsidP="00A155A2">
      <w:pPr>
        <w:pStyle w:val="FURSNavaden"/>
        <w:spacing w:line="260" w:lineRule="exact"/>
        <w:rPr>
          <w:rFonts w:eastAsia="Times New Roman" w:cs="Arial"/>
          <w:color w:val="FF0000"/>
          <w:szCs w:val="20"/>
        </w:rPr>
      </w:pPr>
    </w:p>
    <w:p w14:paraId="7A68B2C3" w14:textId="77777777" w:rsidR="00A155A2" w:rsidRDefault="00A155A2" w:rsidP="00A155A2">
      <w:pPr>
        <w:jc w:val="both"/>
        <w:rPr>
          <w:rFonts w:ascii="Arial" w:eastAsia="Times New Roman" w:hAnsi="Arial" w:cs="Arial"/>
          <w:i/>
          <w:sz w:val="20"/>
          <w:szCs w:val="20"/>
          <w:lang w:eastAsia="sl-SI"/>
        </w:rPr>
      </w:pPr>
      <w:r w:rsidRPr="0094063C">
        <w:rPr>
          <w:rFonts w:ascii="Arial" w:eastAsia="Times New Roman" w:hAnsi="Arial" w:cs="Arial"/>
          <w:i/>
          <w:sz w:val="20"/>
          <w:szCs w:val="20"/>
          <w:lang w:eastAsia="sl-SI"/>
        </w:rPr>
        <w:t>Preglednica 1</w:t>
      </w:r>
      <w:r>
        <w:rPr>
          <w:rFonts w:ascii="Arial" w:eastAsia="Times New Roman" w:hAnsi="Arial" w:cs="Arial"/>
          <w:i/>
          <w:sz w:val="20"/>
          <w:szCs w:val="20"/>
          <w:lang w:eastAsia="sl-SI"/>
        </w:rPr>
        <w:t>6</w:t>
      </w:r>
      <w:r w:rsidRPr="0094063C">
        <w:rPr>
          <w:rFonts w:ascii="Arial" w:eastAsia="Times New Roman" w:hAnsi="Arial" w:cs="Arial"/>
          <w:i/>
          <w:sz w:val="20"/>
          <w:szCs w:val="20"/>
          <w:lang w:eastAsia="sl-SI"/>
        </w:rPr>
        <w:t xml:space="preserve">: Sklepi o </w:t>
      </w:r>
      <w:r>
        <w:rPr>
          <w:rFonts w:ascii="Arial" w:eastAsia="Times New Roman" w:hAnsi="Arial" w:cs="Arial"/>
          <w:i/>
          <w:sz w:val="20"/>
          <w:szCs w:val="20"/>
          <w:lang w:eastAsia="sl-SI"/>
        </w:rPr>
        <w:t xml:space="preserve">davčni </w:t>
      </w:r>
      <w:r w:rsidRPr="0094063C">
        <w:rPr>
          <w:rFonts w:ascii="Arial" w:eastAsia="Times New Roman" w:hAnsi="Arial" w:cs="Arial"/>
          <w:i/>
          <w:sz w:val="20"/>
          <w:szCs w:val="20"/>
          <w:lang w:eastAsia="sl-SI"/>
        </w:rPr>
        <w:t>izvršbi po načinu</w:t>
      </w:r>
    </w:p>
    <w:tbl>
      <w:tblPr>
        <w:tblW w:w="8801" w:type="dxa"/>
        <w:tblCellMar>
          <w:left w:w="70" w:type="dxa"/>
          <w:right w:w="70" w:type="dxa"/>
        </w:tblCellMar>
        <w:tblLook w:val="04A0" w:firstRow="1" w:lastRow="0" w:firstColumn="1" w:lastColumn="0" w:noHBand="0" w:noVBand="1"/>
      </w:tblPr>
      <w:tblGrid>
        <w:gridCol w:w="950"/>
        <w:gridCol w:w="746"/>
        <w:gridCol w:w="1077"/>
        <w:gridCol w:w="1086"/>
        <w:gridCol w:w="746"/>
        <w:gridCol w:w="1077"/>
        <w:gridCol w:w="1086"/>
        <w:gridCol w:w="689"/>
        <w:gridCol w:w="665"/>
        <w:gridCol w:w="679"/>
      </w:tblGrid>
      <w:tr w:rsidR="00A155A2" w:rsidRPr="00C90EC6" w14:paraId="33D7BDC2" w14:textId="77777777" w:rsidTr="001C77D2">
        <w:trPr>
          <w:trHeight w:val="177"/>
        </w:trPr>
        <w:tc>
          <w:tcPr>
            <w:tcW w:w="965"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14:paraId="1D9ECA8B"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Način izvršbe glede na predmet</w:t>
            </w:r>
          </w:p>
        </w:tc>
        <w:tc>
          <w:tcPr>
            <w:tcW w:w="2909" w:type="dxa"/>
            <w:gridSpan w:val="3"/>
            <w:tcBorders>
              <w:top w:val="single" w:sz="4" w:space="0" w:color="auto"/>
              <w:left w:val="nil"/>
              <w:bottom w:val="single" w:sz="4" w:space="0" w:color="auto"/>
              <w:right w:val="single" w:sz="4" w:space="0" w:color="auto"/>
            </w:tcBorders>
            <w:shd w:val="clear" w:color="000000" w:fill="31869B"/>
            <w:vAlign w:val="center"/>
            <w:hideMark/>
          </w:tcPr>
          <w:p w14:paraId="6FCCF8F4"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2023</w:t>
            </w:r>
          </w:p>
        </w:tc>
        <w:tc>
          <w:tcPr>
            <w:tcW w:w="2909" w:type="dxa"/>
            <w:gridSpan w:val="3"/>
            <w:tcBorders>
              <w:top w:val="single" w:sz="4" w:space="0" w:color="auto"/>
              <w:left w:val="nil"/>
              <w:bottom w:val="single" w:sz="4" w:space="0" w:color="auto"/>
              <w:right w:val="single" w:sz="4" w:space="0" w:color="auto"/>
            </w:tcBorders>
            <w:shd w:val="clear" w:color="000000" w:fill="31869B"/>
            <w:vAlign w:val="center"/>
            <w:hideMark/>
          </w:tcPr>
          <w:p w14:paraId="2577AD44"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2024</w:t>
            </w:r>
          </w:p>
        </w:tc>
        <w:tc>
          <w:tcPr>
            <w:tcW w:w="2018" w:type="dxa"/>
            <w:gridSpan w:val="3"/>
            <w:tcBorders>
              <w:top w:val="single" w:sz="4" w:space="0" w:color="auto"/>
              <w:left w:val="nil"/>
              <w:bottom w:val="single" w:sz="4" w:space="0" w:color="auto"/>
              <w:right w:val="single" w:sz="4" w:space="0" w:color="000000"/>
            </w:tcBorders>
            <w:shd w:val="clear" w:color="000000" w:fill="31869B"/>
            <w:vAlign w:val="center"/>
            <w:hideMark/>
          </w:tcPr>
          <w:p w14:paraId="7B3ED0A8"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Indeks 2024</w:t>
            </w:r>
            <w:r>
              <w:rPr>
                <w:rFonts w:ascii="Arial" w:eastAsia="Times New Roman" w:hAnsi="Arial" w:cs="Arial"/>
                <w:b/>
                <w:bCs/>
                <w:color w:val="FFFFFF"/>
                <w:sz w:val="16"/>
                <w:szCs w:val="16"/>
                <w:lang w:eastAsia="sl-SI"/>
              </w:rPr>
              <w:t xml:space="preserve"> </w:t>
            </w:r>
            <w:r w:rsidRPr="00C90EC6">
              <w:rPr>
                <w:rFonts w:ascii="Arial" w:eastAsia="Times New Roman" w:hAnsi="Arial" w:cs="Arial"/>
                <w:b/>
                <w:bCs/>
                <w:color w:val="FFFFFF"/>
                <w:sz w:val="16"/>
                <w:szCs w:val="16"/>
                <w:lang w:eastAsia="sl-SI"/>
              </w:rPr>
              <w:t>/</w:t>
            </w:r>
            <w:r>
              <w:rPr>
                <w:rFonts w:ascii="Arial" w:eastAsia="Times New Roman" w:hAnsi="Arial" w:cs="Arial"/>
                <w:b/>
                <w:bCs/>
                <w:color w:val="FFFFFF"/>
                <w:sz w:val="16"/>
                <w:szCs w:val="16"/>
                <w:lang w:eastAsia="sl-SI"/>
              </w:rPr>
              <w:t xml:space="preserve"> </w:t>
            </w:r>
            <w:r w:rsidRPr="00C90EC6">
              <w:rPr>
                <w:rFonts w:ascii="Arial" w:eastAsia="Times New Roman" w:hAnsi="Arial" w:cs="Arial"/>
                <w:b/>
                <w:bCs/>
                <w:color w:val="FFFFFF"/>
                <w:sz w:val="16"/>
                <w:szCs w:val="16"/>
                <w:lang w:eastAsia="sl-SI"/>
              </w:rPr>
              <w:t>2023</w:t>
            </w:r>
          </w:p>
        </w:tc>
      </w:tr>
      <w:tr w:rsidR="00A155A2" w:rsidRPr="00C90EC6" w14:paraId="66580B80" w14:textId="77777777" w:rsidTr="001C77D2">
        <w:trPr>
          <w:trHeight w:val="415"/>
        </w:trPr>
        <w:tc>
          <w:tcPr>
            <w:tcW w:w="965" w:type="dxa"/>
            <w:vMerge/>
            <w:tcBorders>
              <w:top w:val="single" w:sz="4" w:space="0" w:color="auto"/>
              <w:left w:val="single" w:sz="4" w:space="0" w:color="auto"/>
              <w:bottom w:val="single" w:sz="4" w:space="0" w:color="000000"/>
              <w:right w:val="single" w:sz="4" w:space="0" w:color="auto"/>
            </w:tcBorders>
            <w:vAlign w:val="center"/>
            <w:hideMark/>
          </w:tcPr>
          <w:p w14:paraId="769797B6" w14:textId="77777777" w:rsidR="00A155A2" w:rsidRPr="00C90EC6" w:rsidRDefault="00A155A2" w:rsidP="001C77D2">
            <w:pPr>
              <w:spacing w:line="240" w:lineRule="auto"/>
              <w:rPr>
                <w:rFonts w:ascii="Arial" w:eastAsia="Times New Roman" w:hAnsi="Arial" w:cs="Arial"/>
                <w:b/>
                <w:bCs/>
                <w:color w:val="FFFFFF"/>
                <w:sz w:val="16"/>
                <w:szCs w:val="16"/>
                <w:lang w:eastAsia="sl-SI"/>
              </w:rPr>
            </w:pPr>
          </w:p>
        </w:tc>
        <w:tc>
          <w:tcPr>
            <w:tcW w:w="746" w:type="dxa"/>
            <w:tcBorders>
              <w:top w:val="nil"/>
              <w:left w:val="nil"/>
              <w:bottom w:val="single" w:sz="4" w:space="0" w:color="auto"/>
              <w:right w:val="single" w:sz="4" w:space="0" w:color="auto"/>
            </w:tcBorders>
            <w:shd w:val="clear" w:color="000000" w:fill="31869B"/>
            <w:vAlign w:val="center"/>
            <w:hideMark/>
          </w:tcPr>
          <w:p w14:paraId="30A411F6"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Število</w:t>
            </w:r>
          </w:p>
        </w:tc>
        <w:tc>
          <w:tcPr>
            <w:tcW w:w="1077" w:type="dxa"/>
            <w:tcBorders>
              <w:top w:val="nil"/>
              <w:left w:val="nil"/>
              <w:bottom w:val="single" w:sz="4" w:space="0" w:color="auto"/>
              <w:right w:val="single" w:sz="4" w:space="0" w:color="auto"/>
            </w:tcBorders>
            <w:shd w:val="clear" w:color="000000" w:fill="31869B"/>
            <w:vAlign w:val="center"/>
            <w:hideMark/>
          </w:tcPr>
          <w:p w14:paraId="2151D320"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 xml:space="preserve">Znesek terjanega dolga po izdanih </w:t>
            </w:r>
            <w:r w:rsidRPr="00DA05F4">
              <w:rPr>
                <w:rFonts w:ascii="Arial" w:eastAsia="Times New Roman" w:hAnsi="Arial" w:cs="Arial"/>
                <w:b/>
                <w:bCs/>
                <w:color w:val="FFFFFF"/>
                <w:sz w:val="16"/>
                <w:szCs w:val="16"/>
                <w:lang w:eastAsia="sl-SI"/>
              </w:rPr>
              <w:t xml:space="preserve">sklepih </w:t>
            </w:r>
            <w:r>
              <w:rPr>
                <w:rFonts w:ascii="Arial" w:eastAsia="Times New Roman" w:hAnsi="Arial" w:cs="Arial"/>
                <w:b/>
                <w:bCs/>
                <w:color w:val="FFFFFF"/>
                <w:sz w:val="16"/>
                <w:szCs w:val="16"/>
                <w:lang w:eastAsia="sl-SI"/>
              </w:rPr>
              <w:t>(</w:t>
            </w:r>
            <w:r w:rsidRPr="00DA05F4">
              <w:rPr>
                <w:rFonts w:ascii="Arial" w:eastAsia="Times New Roman" w:hAnsi="Arial" w:cs="Arial"/>
                <w:b/>
                <w:bCs/>
                <w:color w:val="FFFFFF"/>
                <w:sz w:val="16"/>
                <w:szCs w:val="16"/>
                <w:lang w:eastAsia="sl-SI"/>
              </w:rPr>
              <w:t xml:space="preserve">v </w:t>
            </w:r>
            <w:r>
              <w:rPr>
                <w:rFonts w:ascii="Arial" w:eastAsia="Times New Roman" w:hAnsi="Arial" w:cs="Arial"/>
                <w:b/>
                <w:bCs/>
                <w:color w:val="FFFFFF"/>
                <w:sz w:val="16"/>
                <w:szCs w:val="16"/>
                <w:lang w:eastAsia="sl-SI"/>
              </w:rPr>
              <w:t>EUR)</w:t>
            </w:r>
          </w:p>
        </w:tc>
        <w:tc>
          <w:tcPr>
            <w:tcW w:w="1085" w:type="dxa"/>
            <w:tcBorders>
              <w:top w:val="nil"/>
              <w:left w:val="nil"/>
              <w:bottom w:val="single" w:sz="4" w:space="0" w:color="auto"/>
              <w:right w:val="single" w:sz="4" w:space="0" w:color="auto"/>
            </w:tcBorders>
            <w:shd w:val="clear" w:color="000000" w:fill="31869B"/>
            <w:vAlign w:val="center"/>
            <w:hideMark/>
          </w:tcPr>
          <w:p w14:paraId="5B1D3469"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 xml:space="preserve">Plačila po izdanih sklepih </w:t>
            </w:r>
            <w:r>
              <w:rPr>
                <w:rFonts w:ascii="Arial" w:eastAsia="Times New Roman" w:hAnsi="Arial" w:cs="Arial"/>
                <w:b/>
                <w:bCs/>
                <w:color w:val="FFFFFF"/>
                <w:sz w:val="16"/>
                <w:szCs w:val="16"/>
                <w:lang w:eastAsia="sl-SI"/>
              </w:rPr>
              <w:t>(</w:t>
            </w:r>
            <w:r w:rsidRPr="00C90EC6">
              <w:rPr>
                <w:rFonts w:ascii="Arial" w:eastAsia="Times New Roman" w:hAnsi="Arial" w:cs="Arial"/>
                <w:b/>
                <w:bCs/>
                <w:color w:val="FFFFFF"/>
                <w:sz w:val="16"/>
                <w:szCs w:val="16"/>
                <w:lang w:eastAsia="sl-SI"/>
              </w:rPr>
              <w:t xml:space="preserve">v </w:t>
            </w:r>
            <w:r>
              <w:rPr>
                <w:rFonts w:ascii="Arial" w:eastAsia="Times New Roman" w:hAnsi="Arial" w:cs="Arial"/>
                <w:b/>
                <w:bCs/>
                <w:color w:val="FFFFFF"/>
                <w:sz w:val="16"/>
                <w:szCs w:val="16"/>
                <w:lang w:eastAsia="sl-SI"/>
              </w:rPr>
              <w:t>EUR)</w:t>
            </w:r>
          </w:p>
        </w:tc>
        <w:tc>
          <w:tcPr>
            <w:tcW w:w="746" w:type="dxa"/>
            <w:tcBorders>
              <w:top w:val="nil"/>
              <w:left w:val="nil"/>
              <w:bottom w:val="single" w:sz="4" w:space="0" w:color="auto"/>
              <w:right w:val="single" w:sz="4" w:space="0" w:color="auto"/>
            </w:tcBorders>
            <w:shd w:val="clear" w:color="000000" w:fill="31869B"/>
            <w:vAlign w:val="center"/>
            <w:hideMark/>
          </w:tcPr>
          <w:p w14:paraId="0A708C6B"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Število</w:t>
            </w:r>
          </w:p>
        </w:tc>
        <w:tc>
          <w:tcPr>
            <w:tcW w:w="1077" w:type="dxa"/>
            <w:tcBorders>
              <w:top w:val="nil"/>
              <w:left w:val="nil"/>
              <w:bottom w:val="single" w:sz="4" w:space="0" w:color="auto"/>
              <w:right w:val="single" w:sz="4" w:space="0" w:color="auto"/>
            </w:tcBorders>
            <w:shd w:val="clear" w:color="000000" w:fill="31869B"/>
            <w:vAlign w:val="center"/>
            <w:hideMark/>
          </w:tcPr>
          <w:p w14:paraId="1AC7AA68"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 xml:space="preserve">Znesek terjanega dolga po izdanih sklepih </w:t>
            </w:r>
            <w:r>
              <w:rPr>
                <w:rFonts w:ascii="Arial" w:eastAsia="Times New Roman" w:hAnsi="Arial" w:cs="Arial"/>
                <w:b/>
                <w:bCs/>
                <w:color w:val="FFFFFF"/>
                <w:sz w:val="16"/>
                <w:szCs w:val="16"/>
                <w:lang w:eastAsia="sl-SI"/>
              </w:rPr>
              <w:t>(</w:t>
            </w:r>
            <w:r w:rsidRPr="00C90EC6">
              <w:rPr>
                <w:rFonts w:ascii="Arial" w:eastAsia="Times New Roman" w:hAnsi="Arial" w:cs="Arial"/>
                <w:b/>
                <w:bCs/>
                <w:color w:val="FFFFFF"/>
                <w:sz w:val="16"/>
                <w:szCs w:val="16"/>
                <w:lang w:eastAsia="sl-SI"/>
              </w:rPr>
              <w:t xml:space="preserve">v </w:t>
            </w:r>
            <w:r>
              <w:rPr>
                <w:rFonts w:ascii="Arial" w:eastAsia="Times New Roman" w:hAnsi="Arial" w:cs="Arial"/>
                <w:b/>
                <w:bCs/>
                <w:color w:val="FFFFFF"/>
                <w:sz w:val="16"/>
                <w:szCs w:val="16"/>
                <w:lang w:eastAsia="sl-SI"/>
              </w:rPr>
              <w:t>EUR)</w:t>
            </w:r>
          </w:p>
        </w:tc>
        <w:tc>
          <w:tcPr>
            <w:tcW w:w="1085" w:type="dxa"/>
            <w:tcBorders>
              <w:top w:val="nil"/>
              <w:left w:val="nil"/>
              <w:bottom w:val="single" w:sz="4" w:space="0" w:color="auto"/>
              <w:right w:val="single" w:sz="4" w:space="0" w:color="auto"/>
            </w:tcBorders>
            <w:shd w:val="clear" w:color="000000" w:fill="31869B"/>
            <w:vAlign w:val="center"/>
            <w:hideMark/>
          </w:tcPr>
          <w:p w14:paraId="78E120D5" w14:textId="77777777" w:rsidR="00A155A2" w:rsidRPr="00C90EC6" w:rsidRDefault="00A155A2" w:rsidP="001C77D2">
            <w:pPr>
              <w:spacing w:line="240" w:lineRule="auto"/>
              <w:jc w:val="center"/>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 xml:space="preserve">Plačila po izdanih sklepih </w:t>
            </w:r>
            <w:r>
              <w:rPr>
                <w:rFonts w:ascii="Arial" w:eastAsia="Times New Roman" w:hAnsi="Arial" w:cs="Arial"/>
                <w:b/>
                <w:bCs/>
                <w:color w:val="FFFFFF"/>
                <w:sz w:val="16"/>
                <w:szCs w:val="16"/>
                <w:lang w:eastAsia="sl-SI"/>
              </w:rPr>
              <w:t>(</w:t>
            </w:r>
            <w:r w:rsidRPr="00C90EC6">
              <w:rPr>
                <w:rFonts w:ascii="Arial" w:eastAsia="Times New Roman" w:hAnsi="Arial" w:cs="Arial"/>
                <w:b/>
                <w:bCs/>
                <w:color w:val="FFFFFF"/>
                <w:sz w:val="16"/>
                <w:szCs w:val="16"/>
                <w:lang w:eastAsia="sl-SI"/>
              </w:rPr>
              <w:t xml:space="preserve">v </w:t>
            </w:r>
            <w:r>
              <w:rPr>
                <w:rFonts w:ascii="Arial" w:eastAsia="Times New Roman" w:hAnsi="Arial" w:cs="Arial"/>
                <w:b/>
                <w:bCs/>
                <w:color w:val="FFFFFF"/>
                <w:sz w:val="16"/>
                <w:szCs w:val="16"/>
                <w:lang w:eastAsia="sl-SI"/>
              </w:rPr>
              <w:t>EUR)</w:t>
            </w:r>
            <w:r w:rsidRPr="00C90EC6">
              <w:rPr>
                <w:rFonts w:ascii="Arial" w:eastAsia="Times New Roman" w:hAnsi="Arial" w:cs="Arial"/>
                <w:b/>
                <w:bCs/>
                <w:color w:val="FFFFFF"/>
                <w:sz w:val="16"/>
                <w:szCs w:val="16"/>
                <w:lang w:eastAsia="sl-SI"/>
              </w:rPr>
              <w:t xml:space="preserve"> </w:t>
            </w:r>
          </w:p>
        </w:tc>
        <w:tc>
          <w:tcPr>
            <w:tcW w:w="689" w:type="dxa"/>
            <w:tcBorders>
              <w:top w:val="nil"/>
              <w:left w:val="nil"/>
              <w:bottom w:val="single" w:sz="4" w:space="0" w:color="auto"/>
              <w:right w:val="single" w:sz="4" w:space="0" w:color="auto"/>
            </w:tcBorders>
            <w:shd w:val="clear" w:color="000000" w:fill="31869B"/>
            <w:vAlign w:val="center"/>
            <w:hideMark/>
          </w:tcPr>
          <w:p w14:paraId="6FB58F66"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Število</w:t>
            </w:r>
          </w:p>
        </w:tc>
        <w:tc>
          <w:tcPr>
            <w:tcW w:w="643" w:type="dxa"/>
            <w:tcBorders>
              <w:top w:val="nil"/>
              <w:left w:val="nil"/>
              <w:bottom w:val="single" w:sz="4" w:space="0" w:color="auto"/>
              <w:right w:val="single" w:sz="4" w:space="0" w:color="auto"/>
            </w:tcBorders>
            <w:shd w:val="clear" w:color="000000" w:fill="31869B"/>
            <w:vAlign w:val="center"/>
            <w:hideMark/>
          </w:tcPr>
          <w:p w14:paraId="234B3E5B"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Terjan</w:t>
            </w:r>
            <w:r>
              <w:rPr>
                <w:rFonts w:ascii="Arial" w:eastAsia="Times New Roman" w:hAnsi="Arial" w:cs="Arial"/>
                <w:b/>
                <w:bCs/>
                <w:color w:val="FFFFFF"/>
                <w:sz w:val="16"/>
                <w:szCs w:val="16"/>
                <w:lang w:eastAsia="sl-SI"/>
              </w:rPr>
              <w:t>i</w:t>
            </w:r>
            <w:r w:rsidRPr="00C90EC6">
              <w:rPr>
                <w:rFonts w:ascii="Arial" w:eastAsia="Times New Roman" w:hAnsi="Arial" w:cs="Arial"/>
                <w:b/>
                <w:bCs/>
                <w:color w:val="FFFFFF"/>
                <w:sz w:val="16"/>
                <w:szCs w:val="16"/>
                <w:lang w:eastAsia="sl-SI"/>
              </w:rPr>
              <w:t xml:space="preserve"> dolg</w:t>
            </w:r>
          </w:p>
        </w:tc>
        <w:tc>
          <w:tcPr>
            <w:tcW w:w="670" w:type="dxa"/>
            <w:tcBorders>
              <w:top w:val="nil"/>
              <w:left w:val="nil"/>
              <w:bottom w:val="single" w:sz="4" w:space="0" w:color="auto"/>
              <w:right w:val="single" w:sz="4" w:space="0" w:color="auto"/>
            </w:tcBorders>
            <w:shd w:val="clear" w:color="000000" w:fill="31869B"/>
            <w:vAlign w:val="center"/>
            <w:hideMark/>
          </w:tcPr>
          <w:p w14:paraId="18A3FE1B"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Plačila</w:t>
            </w:r>
          </w:p>
        </w:tc>
      </w:tr>
      <w:tr w:rsidR="00A155A2" w:rsidRPr="00C90EC6" w14:paraId="7D60C2B4" w14:textId="77777777" w:rsidTr="001C77D2">
        <w:trPr>
          <w:trHeight w:val="308"/>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ABE2875" w14:textId="77777777" w:rsidR="00A155A2" w:rsidRPr="00C90EC6" w:rsidRDefault="00A155A2" w:rsidP="001C77D2">
            <w:pPr>
              <w:spacing w:line="240" w:lineRule="auto"/>
              <w:rPr>
                <w:rFonts w:ascii="Arial" w:eastAsia="Times New Roman" w:hAnsi="Arial" w:cs="Arial"/>
                <w:sz w:val="16"/>
                <w:szCs w:val="16"/>
                <w:lang w:eastAsia="sl-SI"/>
              </w:rPr>
            </w:pPr>
            <w:r w:rsidRPr="00C90EC6">
              <w:rPr>
                <w:rFonts w:ascii="Arial" w:eastAsia="Times New Roman" w:hAnsi="Arial" w:cs="Arial"/>
                <w:sz w:val="16"/>
                <w:szCs w:val="16"/>
                <w:lang w:eastAsia="sl-SI"/>
              </w:rPr>
              <w:t xml:space="preserve">Izvršba na denarna sredstva pri bankah </w:t>
            </w:r>
            <w:r>
              <w:rPr>
                <w:rFonts w:ascii="Arial" w:eastAsia="Times New Roman" w:hAnsi="Arial" w:cs="Arial"/>
                <w:sz w:val="16"/>
                <w:szCs w:val="16"/>
                <w:lang w:eastAsia="sl-SI"/>
              </w:rPr>
              <w:t>ali</w:t>
            </w:r>
            <w:r w:rsidRPr="00C90EC6">
              <w:rPr>
                <w:rFonts w:ascii="Arial" w:eastAsia="Times New Roman" w:hAnsi="Arial" w:cs="Arial"/>
                <w:sz w:val="16"/>
                <w:szCs w:val="16"/>
                <w:lang w:eastAsia="sl-SI"/>
              </w:rPr>
              <w:t xml:space="preserve"> hranilnicah</w:t>
            </w:r>
          </w:p>
        </w:tc>
        <w:tc>
          <w:tcPr>
            <w:tcW w:w="746" w:type="dxa"/>
            <w:tcBorders>
              <w:top w:val="nil"/>
              <w:left w:val="nil"/>
              <w:bottom w:val="single" w:sz="4" w:space="0" w:color="auto"/>
              <w:right w:val="single" w:sz="4" w:space="0" w:color="auto"/>
            </w:tcBorders>
            <w:shd w:val="clear" w:color="auto" w:fill="auto"/>
            <w:vAlign w:val="bottom"/>
            <w:hideMark/>
          </w:tcPr>
          <w:p w14:paraId="4C22ED1D"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99.012</w:t>
            </w:r>
          </w:p>
        </w:tc>
        <w:tc>
          <w:tcPr>
            <w:tcW w:w="1077" w:type="dxa"/>
            <w:tcBorders>
              <w:top w:val="nil"/>
              <w:left w:val="nil"/>
              <w:bottom w:val="single" w:sz="4" w:space="0" w:color="auto"/>
              <w:right w:val="single" w:sz="4" w:space="0" w:color="auto"/>
            </w:tcBorders>
            <w:shd w:val="clear" w:color="000000" w:fill="DAEEF3"/>
            <w:noWrap/>
            <w:vAlign w:val="bottom"/>
            <w:hideMark/>
          </w:tcPr>
          <w:p w14:paraId="72EF5ED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212.285.708</w:t>
            </w:r>
          </w:p>
        </w:tc>
        <w:tc>
          <w:tcPr>
            <w:tcW w:w="1085" w:type="dxa"/>
            <w:tcBorders>
              <w:top w:val="nil"/>
              <w:left w:val="nil"/>
              <w:bottom w:val="single" w:sz="4" w:space="0" w:color="auto"/>
              <w:right w:val="single" w:sz="4" w:space="0" w:color="auto"/>
            </w:tcBorders>
            <w:shd w:val="clear" w:color="000000" w:fill="DAEEF3"/>
            <w:noWrap/>
            <w:vAlign w:val="bottom"/>
            <w:hideMark/>
          </w:tcPr>
          <w:p w14:paraId="6416D1EC"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132.711.594</w:t>
            </w:r>
          </w:p>
        </w:tc>
        <w:tc>
          <w:tcPr>
            <w:tcW w:w="746" w:type="dxa"/>
            <w:tcBorders>
              <w:top w:val="nil"/>
              <w:left w:val="nil"/>
              <w:bottom w:val="single" w:sz="4" w:space="0" w:color="auto"/>
              <w:right w:val="single" w:sz="4" w:space="0" w:color="auto"/>
            </w:tcBorders>
            <w:shd w:val="clear" w:color="auto" w:fill="auto"/>
            <w:vAlign w:val="bottom"/>
            <w:hideMark/>
          </w:tcPr>
          <w:p w14:paraId="5A8026F8"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105.787</w:t>
            </w:r>
          </w:p>
        </w:tc>
        <w:tc>
          <w:tcPr>
            <w:tcW w:w="1077" w:type="dxa"/>
            <w:tcBorders>
              <w:top w:val="nil"/>
              <w:left w:val="nil"/>
              <w:bottom w:val="single" w:sz="4" w:space="0" w:color="auto"/>
              <w:right w:val="single" w:sz="4" w:space="0" w:color="auto"/>
            </w:tcBorders>
            <w:shd w:val="clear" w:color="000000" w:fill="DAEEF3"/>
            <w:noWrap/>
            <w:vAlign w:val="bottom"/>
            <w:hideMark/>
          </w:tcPr>
          <w:p w14:paraId="0163E8F1"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259.800.170</w:t>
            </w:r>
          </w:p>
        </w:tc>
        <w:tc>
          <w:tcPr>
            <w:tcW w:w="1085" w:type="dxa"/>
            <w:tcBorders>
              <w:top w:val="nil"/>
              <w:left w:val="nil"/>
              <w:bottom w:val="single" w:sz="4" w:space="0" w:color="auto"/>
              <w:right w:val="single" w:sz="4" w:space="0" w:color="auto"/>
            </w:tcBorders>
            <w:shd w:val="clear" w:color="000000" w:fill="DAEEF3"/>
            <w:noWrap/>
            <w:vAlign w:val="bottom"/>
            <w:hideMark/>
          </w:tcPr>
          <w:p w14:paraId="70EC07C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152.982.434</w:t>
            </w:r>
          </w:p>
        </w:tc>
        <w:tc>
          <w:tcPr>
            <w:tcW w:w="689" w:type="dxa"/>
            <w:tcBorders>
              <w:top w:val="nil"/>
              <w:left w:val="nil"/>
              <w:bottom w:val="single" w:sz="4" w:space="0" w:color="auto"/>
              <w:right w:val="single" w:sz="4" w:space="0" w:color="auto"/>
            </w:tcBorders>
            <w:shd w:val="clear" w:color="auto" w:fill="auto"/>
            <w:noWrap/>
            <w:vAlign w:val="bottom"/>
            <w:hideMark/>
          </w:tcPr>
          <w:p w14:paraId="29F3D0F6"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106,8</w:t>
            </w:r>
          </w:p>
        </w:tc>
        <w:tc>
          <w:tcPr>
            <w:tcW w:w="643" w:type="dxa"/>
            <w:tcBorders>
              <w:top w:val="nil"/>
              <w:left w:val="nil"/>
              <w:bottom w:val="single" w:sz="4" w:space="0" w:color="auto"/>
              <w:right w:val="single" w:sz="4" w:space="0" w:color="auto"/>
            </w:tcBorders>
            <w:shd w:val="clear" w:color="auto" w:fill="auto"/>
            <w:noWrap/>
            <w:vAlign w:val="bottom"/>
            <w:hideMark/>
          </w:tcPr>
          <w:p w14:paraId="09A4470F"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122,4</w:t>
            </w:r>
          </w:p>
        </w:tc>
        <w:tc>
          <w:tcPr>
            <w:tcW w:w="670" w:type="dxa"/>
            <w:tcBorders>
              <w:top w:val="nil"/>
              <w:left w:val="nil"/>
              <w:bottom w:val="single" w:sz="4" w:space="0" w:color="auto"/>
              <w:right w:val="single" w:sz="4" w:space="0" w:color="auto"/>
            </w:tcBorders>
            <w:shd w:val="clear" w:color="auto" w:fill="auto"/>
            <w:noWrap/>
            <w:vAlign w:val="bottom"/>
            <w:hideMark/>
          </w:tcPr>
          <w:p w14:paraId="7E46CE2E"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115,3</w:t>
            </w:r>
          </w:p>
        </w:tc>
      </w:tr>
      <w:tr w:rsidR="00A155A2" w:rsidRPr="00C90EC6" w14:paraId="786CC3A5" w14:textId="77777777" w:rsidTr="001C77D2">
        <w:trPr>
          <w:trHeight w:val="237"/>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41A674F" w14:textId="77777777" w:rsidR="00A155A2" w:rsidRPr="00C90EC6" w:rsidRDefault="00A155A2" w:rsidP="001C77D2">
            <w:pPr>
              <w:spacing w:line="240" w:lineRule="auto"/>
              <w:rPr>
                <w:rFonts w:ascii="Arial" w:eastAsia="Times New Roman" w:hAnsi="Arial" w:cs="Arial"/>
                <w:sz w:val="16"/>
                <w:szCs w:val="16"/>
                <w:lang w:eastAsia="sl-SI"/>
              </w:rPr>
            </w:pPr>
            <w:r w:rsidRPr="00C90EC6">
              <w:rPr>
                <w:rFonts w:ascii="Arial" w:eastAsia="Times New Roman" w:hAnsi="Arial" w:cs="Arial"/>
                <w:sz w:val="16"/>
                <w:szCs w:val="16"/>
                <w:lang w:eastAsia="sl-SI"/>
              </w:rPr>
              <w:t>Izvršba na denarne prejemke</w:t>
            </w:r>
          </w:p>
        </w:tc>
        <w:tc>
          <w:tcPr>
            <w:tcW w:w="746" w:type="dxa"/>
            <w:tcBorders>
              <w:top w:val="nil"/>
              <w:left w:val="nil"/>
              <w:bottom w:val="single" w:sz="4" w:space="0" w:color="auto"/>
              <w:right w:val="single" w:sz="4" w:space="0" w:color="auto"/>
            </w:tcBorders>
            <w:shd w:val="clear" w:color="auto" w:fill="auto"/>
            <w:vAlign w:val="bottom"/>
            <w:hideMark/>
          </w:tcPr>
          <w:p w14:paraId="03F9F52E"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68.323</w:t>
            </w:r>
          </w:p>
        </w:tc>
        <w:tc>
          <w:tcPr>
            <w:tcW w:w="1077" w:type="dxa"/>
            <w:tcBorders>
              <w:top w:val="nil"/>
              <w:left w:val="nil"/>
              <w:bottom w:val="single" w:sz="4" w:space="0" w:color="auto"/>
              <w:right w:val="single" w:sz="4" w:space="0" w:color="auto"/>
            </w:tcBorders>
            <w:shd w:val="clear" w:color="000000" w:fill="DAEEF3"/>
            <w:noWrap/>
            <w:vAlign w:val="bottom"/>
            <w:hideMark/>
          </w:tcPr>
          <w:p w14:paraId="273F9105"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61.883.349</w:t>
            </w:r>
          </w:p>
        </w:tc>
        <w:tc>
          <w:tcPr>
            <w:tcW w:w="1085" w:type="dxa"/>
            <w:tcBorders>
              <w:top w:val="nil"/>
              <w:left w:val="nil"/>
              <w:bottom w:val="single" w:sz="4" w:space="0" w:color="auto"/>
              <w:right w:val="single" w:sz="4" w:space="0" w:color="auto"/>
            </w:tcBorders>
            <w:shd w:val="clear" w:color="000000" w:fill="DAEEF3"/>
            <w:noWrap/>
            <w:vAlign w:val="bottom"/>
            <w:hideMark/>
          </w:tcPr>
          <w:p w14:paraId="4CAB4635"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13.474.435</w:t>
            </w:r>
          </w:p>
        </w:tc>
        <w:tc>
          <w:tcPr>
            <w:tcW w:w="746" w:type="dxa"/>
            <w:tcBorders>
              <w:top w:val="nil"/>
              <w:left w:val="nil"/>
              <w:bottom w:val="single" w:sz="4" w:space="0" w:color="auto"/>
              <w:right w:val="single" w:sz="4" w:space="0" w:color="auto"/>
            </w:tcBorders>
            <w:shd w:val="clear" w:color="auto" w:fill="auto"/>
            <w:noWrap/>
            <w:vAlign w:val="bottom"/>
            <w:hideMark/>
          </w:tcPr>
          <w:p w14:paraId="61B12D7A"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72.305</w:t>
            </w:r>
          </w:p>
        </w:tc>
        <w:tc>
          <w:tcPr>
            <w:tcW w:w="1077" w:type="dxa"/>
            <w:tcBorders>
              <w:top w:val="nil"/>
              <w:left w:val="nil"/>
              <w:bottom w:val="single" w:sz="4" w:space="0" w:color="auto"/>
              <w:right w:val="single" w:sz="4" w:space="0" w:color="auto"/>
            </w:tcBorders>
            <w:shd w:val="clear" w:color="000000" w:fill="DAEEF3"/>
            <w:noWrap/>
            <w:vAlign w:val="bottom"/>
            <w:hideMark/>
          </w:tcPr>
          <w:p w14:paraId="652A936F"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77.916.690</w:t>
            </w:r>
          </w:p>
        </w:tc>
        <w:tc>
          <w:tcPr>
            <w:tcW w:w="1085" w:type="dxa"/>
            <w:tcBorders>
              <w:top w:val="nil"/>
              <w:left w:val="nil"/>
              <w:bottom w:val="single" w:sz="4" w:space="0" w:color="auto"/>
              <w:right w:val="single" w:sz="4" w:space="0" w:color="auto"/>
            </w:tcBorders>
            <w:shd w:val="clear" w:color="000000" w:fill="DAEEF3"/>
            <w:noWrap/>
            <w:vAlign w:val="bottom"/>
            <w:hideMark/>
          </w:tcPr>
          <w:p w14:paraId="2D66FBAB"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15.324.626</w:t>
            </w:r>
          </w:p>
        </w:tc>
        <w:tc>
          <w:tcPr>
            <w:tcW w:w="689" w:type="dxa"/>
            <w:tcBorders>
              <w:top w:val="nil"/>
              <w:left w:val="nil"/>
              <w:bottom w:val="single" w:sz="4" w:space="0" w:color="auto"/>
              <w:right w:val="single" w:sz="4" w:space="0" w:color="auto"/>
            </w:tcBorders>
            <w:shd w:val="clear" w:color="auto" w:fill="auto"/>
            <w:noWrap/>
            <w:vAlign w:val="bottom"/>
            <w:hideMark/>
          </w:tcPr>
          <w:p w14:paraId="62D189A3"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105,8</w:t>
            </w:r>
          </w:p>
        </w:tc>
        <w:tc>
          <w:tcPr>
            <w:tcW w:w="643" w:type="dxa"/>
            <w:tcBorders>
              <w:top w:val="nil"/>
              <w:left w:val="nil"/>
              <w:bottom w:val="single" w:sz="4" w:space="0" w:color="auto"/>
              <w:right w:val="single" w:sz="4" w:space="0" w:color="auto"/>
            </w:tcBorders>
            <w:shd w:val="clear" w:color="auto" w:fill="auto"/>
            <w:noWrap/>
            <w:vAlign w:val="bottom"/>
            <w:hideMark/>
          </w:tcPr>
          <w:p w14:paraId="1B9A2D1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125,9</w:t>
            </w:r>
          </w:p>
        </w:tc>
        <w:tc>
          <w:tcPr>
            <w:tcW w:w="670" w:type="dxa"/>
            <w:tcBorders>
              <w:top w:val="nil"/>
              <w:left w:val="nil"/>
              <w:bottom w:val="single" w:sz="4" w:space="0" w:color="auto"/>
              <w:right w:val="single" w:sz="4" w:space="0" w:color="auto"/>
            </w:tcBorders>
            <w:shd w:val="clear" w:color="auto" w:fill="auto"/>
            <w:noWrap/>
            <w:vAlign w:val="bottom"/>
            <w:hideMark/>
          </w:tcPr>
          <w:p w14:paraId="04C0EDBB"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113,7</w:t>
            </w:r>
          </w:p>
        </w:tc>
      </w:tr>
      <w:tr w:rsidR="00A155A2" w:rsidRPr="00C90EC6" w14:paraId="1666564D" w14:textId="77777777" w:rsidTr="001C77D2">
        <w:trPr>
          <w:trHeight w:val="194"/>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F9A914A" w14:textId="77777777" w:rsidR="00A155A2" w:rsidRPr="00C90EC6" w:rsidRDefault="00A155A2" w:rsidP="001C77D2">
            <w:pPr>
              <w:spacing w:line="240" w:lineRule="auto"/>
              <w:rPr>
                <w:rFonts w:ascii="Arial" w:eastAsia="Times New Roman" w:hAnsi="Arial" w:cs="Arial"/>
                <w:sz w:val="16"/>
                <w:szCs w:val="16"/>
                <w:lang w:eastAsia="sl-SI"/>
              </w:rPr>
            </w:pPr>
            <w:r w:rsidRPr="00C90EC6">
              <w:rPr>
                <w:rFonts w:ascii="Arial" w:eastAsia="Times New Roman" w:hAnsi="Arial" w:cs="Arial"/>
                <w:sz w:val="16"/>
                <w:szCs w:val="16"/>
                <w:lang w:eastAsia="sl-SI"/>
              </w:rPr>
              <w:t>Izvršba na premičnine</w:t>
            </w:r>
          </w:p>
        </w:tc>
        <w:tc>
          <w:tcPr>
            <w:tcW w:w="746" w:type="dxa"/>
            <w:tcBorders>
              <w:top w:val="nil"/>
              <w:left w:val="nil"/>
              <w:bottom w:val="single" w:sz="4" w:space="0" w:color="auto"/>
              <w:right w:val="single" w:sz="4" w:space="0" w:color="auto"/>
            </w:tcBorders>
            <w:shd w:val="clear" w:color="auto" w:fill="auto"/>
            <w:vAlign w:val="bottom"/>
            <w:hideMark/>
          </w:tcPr>
          <w:p w14:paraId="67C4C9ED"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8.640</w:t>
            </w:r>
          </w:p>
        </w:tc>
        <w:tc>
          <w:tcPr>
            <w:tcW w:w="1077" w:type="dxa"/>
            <w:tcBorders>
              <w:top w:val="nil"/>
              <w:left w:val="nil"/>
              <w:bottom w:val="single" w:sz="4" w:space="0" w:color="auto"/>
              <w:right w:val="single" w:sz="4" w:space="0" w:color="auto"/>
            </w:tcBorders>
            <w:shd w:val="clear" w:color="000000" w:fill="DAEEF3"/>
            <w:noWrap/>
            <w:vAlign w:val="bottom"/>
            <w:hideMark/>
          </w:tcPr>
          <w:p w14:paraId="038387A8"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193.615.096</w:t>
            </w:r>
          </w:p>
        </w:tc>
        <w:tc>
          <w:tcPr>
            <w:tcW w:w="1085" w:type="dxa"/>
            <w:tcBorders>
              <w:top w:val="nil"/>
              <w:left w:val="nil"/>
              <w:bottom w:val="single" w:sz="4" w:space="0" w:color="auto"/>
              <w:right w:val="single" w:sz="4" w:space="0" w:color="auto"/>
            </w:tcBorders>
            <w:shd w:val="clear" w:color="000000" w:fill="DAEEF3"/>
            <w:noWrap/>
            <w:vAlign w:val="bottom"/>
            <w:hideMark/>
          </w:tcPr>
          <w:p w14:paraId="67F7E37D"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27.356.978</w:t>
            </w:r>
          </w:p>
        </w:tc>
        <w:tc>
          <w:tcPr>
            <w:tcW w:w="746" w:type="dxa"/>
            <w:tcBorders>
              <w:top w:val="nil"/>
              <w:left w:val="nil"/>
              <w:bottom w:val="single" w:sz="4" w:space="0" w:color="auto"/>
              <w:right w:val="single" w:sz="4" w:space="0" w:color="auto"/>
            </w:tcBorders>
            <w:shd w:val="clear" w:color="auto" w:fill="auto"/>
            <w:noWrap/>
            <w:vAlign w:val="bottom"/>
            <w:hideMark/>
          </w:tcPr>
          <w:p w14:paraId="2BDF19BD"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8.629</w:t>
            </w:r>
          </w:p>
        </w:tc>
        <w:tc>
          <w:tcPr>
            <w:tcW w:w="1077" w:type="dxa"/>
            <w:tcBorders>
              <w:top w:val="nil"/>
              <w:left w:val="nil"/>
              <w:bottom w:val="single" w:sz="4" w:space="0" w:color="auto"/>
              <w:right w:val="single" w:sz="4" w:space="0" w:color="auto"/>
            </w:tcBorders>
            <w:shd w:val="clear" w:color="000000" w:fill="DAEEF3"/>
            <w:noWrap/>
            <w:vAlign w:val="bottom"/>
            <w:hideMark/>
          </w:tcPr>
          <w:p w14:paraId="28EB2DA5"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221.376.913</w:t>
            </w:r>
          </w:p>
        </w:tc>
        <w:tc>
          <w:tcPr>
            <w:tcW w:w="1085" w:type="dxa"/>
            <w:tcBorders>
              <w:top w:val="nil"/>
              <w:left w:val="nil"/>
              <w:bottom w:val="single" w:sz="4" w:space="0" w:color="auto"/>
              <w:right w:val="single" w:sz="4" w:space="0" w:color="auto"/>
            </w:tcBorders>
            <w:shd w:val="clear" w:color="000000" w:fill="DAEEF3"/>
            <w:noWrap/>
            <w:vAlign w:val="bottom"/>
            <w:hideMark/>
          </w:tcPr>
          <w:p w14:paraId="6142DF71"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25.318.841</w:t>
            </w:r>
          </w:p>
        </w:tc>
        <w:tc>
          <w:tcPr>
            <w:tcW w:w="689" w:type="dxa"/>
            <w:tcBorders>
              <w:top w:val="nil"/>
              <w:left w:val="nil"/>
              <w:bottom w:val="single" w:sz="4" w:space="0" w:color="auto"/>
              <w:right w:val="single" w:sz="4" w:space="0" w:color="auto"/>
            </w:tcBorders>
            <w:shd w:val="clear" w:color="auto" w:fill="auto"/>
            <w:noWrap/>
            <w:vAlign w:val="bottom"/>
            <w:hideMark/>
          </w:tcPr>
          <w:p w14:paraId="5D82DD59"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99,9</w:t>
            </w:r>
          </w:p>
        </w:tc>
        <w:tc>
          <w:tcPr>
            <w:tcW w:w="643" w:type="dxa"/>
            <w:tcBorders>
              <w:top w:val="nil"/>
              <w:left w:val="nil"/>
              <w:bottom w:val="single" w:sz="4" w:space="0" w:color="auto"/>
              <w:right w:val="single" w:sz="4" w:space="0" w:color="auto"/>
            </w:tcBorders>
            <w:shd w:val="clear" w:color="auto" w:fill="auto"/>
            <w:noWrap/>
            <w:vAlign w:val="bottom"/>
            <w:hideMark/>
          </w:tcPr>
          <w:p w14:paraId="00727D5F"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114,3</w:t>
            </w:r>
          </w:p>
        </w:tc>
        <w:tc>
          <w:tcPr>
            <w:tcW w:w="670" w:type="dxa"/>
            <w:tcBorders>
              <w:top w:val="nil"/>
              <w:left w:val="nil"/>
              <w:bottom w:val="single" w:sz="4" w:space="0" w:color="auto"/>
              <w:right w:val="single" w:sz="4" w:space="0" w:color="auto"/>
            </w:tcBorders>
            <w:shd w:val="clear" w:color="auto" w:fill="auto"/>
            <w:noWrap/>
            <w:vAlign w:val="bottom"/>
            <w:hideMark/>
          </w:tcPr>
          <w:p w14:paraId="4340576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92,5</w:t>
            </w:r>
          </w:p>
        </w:tc>
      </w:tr>
      <w:tr w:rsidR="00A155A2" w:rsidRPr="00C90EC6" w14:paraId="7ABFBDB5" w14:textId="77777777" w:rsidTr="001C77D2">
        <w:trPr>
          <w:trHeight w:val="21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F099047" w14:textId="77777777" w:rsidR="00A155A2" w:rsidRPr="00C90EC6" w:rsidRDefault="00A155A2" w:rsidP="001C77D2">
            <w:pPr>
              <w:spacing w:line="240" w:lineRule="auto"/>
              <w:rPr>
                <w:rFonts w:ascii="Arial" w:eastAsia="Times New Roman" w:hAnsi="Arial" w:cs="Arial"/>
                <w:sz w:val="16"/>
                <w:szCs w:val="16"/>
                <w:lang w:eastAsia="sl-SI"/>
              </w:rPr>
            </w:pPr>
            <w:r w:rsidRPr="00C90EC6">
              <w:rPr>
                <w:rFonts w:ascii="Arial" w:eastAsia="Times New Roman" w:hAnsi="Arial" w:cs="Arial"/>
                <w:sz w:val="16"/>
                <w:szCs w:val="16"/>
                <w:lang w:eastAsia="sl-SI"/>
              </w:rPr>
              <w:t>Izvršba na denarne terjatve</w:t>
            </w:r>
          </w:p>
        </w:tc>
        <w:tc>
          <w:tcPr>
            <w:tcW w:w="746" w:type="dxa"/>
            <w:tcBorders>
              <w:top w:val="nil"/>
              <w:left w:val="nil"/>
              <w:bottom w:val="single" w:sz="4" w:space="0" w:color="auto"/>
              <w:right w:val="single" w:sz="4" w:space="0" w:color="auto"/>
            </w:tcBorders>
            <w:shd w:val="clear" w:color="auto" w:fill="auto"/>
            <w:vAlign w:val="bottom"/>
            <w:hideMark/>
          </w:tcPr>
          <w:p w14:paraId="5CF0D87F"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1.869</w:t>
            </w:r>
          </w:p>
        </w:tc>
        <w:tc>
          <w:tcPr>
            <w:tcW w:w="1077" w:type="dxa"/>
            <w:tcBorders>
              <w:top w:val="nil"/>
              <w:left w:val="nil"/>
              <w:bottom w:val="single" w:sz="4" w:space="0" w:color="auto"/>
              <w:right w:val="single" w:sz="4" w:space="0" w:color="auto"/>
            </w:tcBorders>
            <w:shd w:val="clear" w:color="000000" w:fill="DAEEF3"/>
            <w:noWrap/>
            <w:vAlign w:val="bottom"/>
            <w:hideMark/>
          </w:tcPr>
          <w:p w14:paraId="1EAE5EC6"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39.742.122</w:t>
            </w:r>
          </w:p>
        </w:tc>
        <w:tc>
          <w:tcPr>
            <w:tcW w:w="1085" w:type="dxa"/>
            <w:tcBorders>
              <w:top w:val="nil"/>
              <w:left w:val="nil"/>
              <w:bottom w:val="single" w:sz="4" w:space="0" w:color="auto"/>
              <w:right w:val="single" w:sz="4" w:space="0" w:color="auto"/>
            </w:tcBorders>
            <w:shd w:val="clear" w:color="000000" w:fill="DAEEF3"/>
            <w:noWrap/>
            <w:vAlign w:val="bottom"/>
            <w:hideMark/>
          </w:tcPr>
          <w:p w14:paraId="22769538"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5.140.964</w:t>
            </w:r>
          </w:p>
        </w:tc>
        <w:tc>
          <w:tcPr>
            <w:tcW w:w="746" w:type="dxa"/>
            <w:tcBorders>
              <w:top w:val="nil"/>
              <w:left w:val="nil"/>
              <w:bottom w:val="single" w:sz="4" w:space="0" w:color="auto"/>
              <w:right w:val="single" w:sz="4" w:space="0" w:color="auto"/>
            </w:tcBorders>
            <w:shd w:val="clear" w:color="auto" w:fill="auto"/>
            <w:noWrap/>
            <w:vAlign w:val="bottom"/>
            <w:hideMark/>
          </w:tcPr>
          <w:p w14:paraId="3A473D2A"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2.447</w:t>
            </w:r>
          </w:p>
        </w:tc>
        <w:tc>
          <w:tcPr>
            <w:tcW w:w="1077" w:type="dxa"/>
            <w:tcBorders>
              <w:top w:val="nil"/>
              <w:left w:val="nil"/>
              <w:bottom w:val="single" w:sz="4" w:space="0" w:color="auto"/>
              <w:right w:val="single" w:sz="4" w:space="0" w:color="auto"/>
            </w:tcBorders>
            <w:shd w:val="clear" w:color="000000" w:fill="DAEEF3"/>
            <w:noWrap/>
            <w:vAlign w:val="bottom"/>
            <w:hideMark/>
          </w:tcPr>
          <w:p w14:paraId="5A025A75"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70.097.179</w:t>
            </w:r>
          </w:p>
        </w:tc>
        <w:tc>
          <w:tcPr>
            <w:tcW w:w="1085" w:type="dxa"/>
            <w:tcBorders>
              <w:top w:val="nil"/>
              <w:left w:val="nil"/>
              <w:bottom w:val="single" w:sz="4" w:space="0" w:color="auto"/>
              <w:right w:val="single" w:sz="4" w:space="0" w:color="auto"/>
            </w:tcBorders>
            <w:shd w:val="clear" w:color="000000" w:fill="DAEEF3"/>
            <w:noWrap/>
            <w:vAlign w:val="bottom"/>
            <w:hideMark/>
          </w:tcPr>
          <w:p w14:paraId="2755316B"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6.413.886</w:t>
            </w:r>
          </w:p>
        </w:tc>
        <w:tc>
          <w:tcPr>
            <w:tcW w:w="689" w:type="dxa"/>
            <w:tcBorders>
              <w:top w:val="nil"/>
              <w:left w:val="nil"/>
              <w:bottom w:val="single" w:sz="4" w:space="0" w:color="auto"/>
              <w:right w:val="single" w:sz="4" w:space="0" w:color="auto"/>
            </w:tcBorders>
            <w:shd w:val="clear" w:color="auto" w:fill="auto"/>
            <w:noWrap/>
            <w:vAlign w:val="bottom"/>
            <w:hideMark/>
          </w:tcPr>
          <w:p w14:paraId="0A559377"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130,9</w:t>
            </w:r>
          </w:p>
        </w:tc>
        <w:tc>
          <w:tcPr>
            <w:tcW w:w="643" w:type="dxa"/>
            <w:tcBorders>
              <w:top w:val="nil"/>
              <w:left w:val="nil"/>
              <w:bottom w:val="single" w:sz="4" w:space="0" w:color="auto"/>
              <w:right w:val="single" w:sz="4" w:space="0" w:color="auto"/>
            </w:tcBorders>
            <w:shd w:val="clear" w:color="auto" w:fill="auto"/>
            <w:noWrap/>
            <w:vAlign w:val="bottom"/>
            <w:hideMark/>
          </w:tcPr>
          <w:p w14:paraId="1006FB8C"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176,4</w:t>
            </w:r>
          </w:p>
        </w:tc>
        <w:tc>
          <w:tcPr>
            <w:tcW w:w="670" w:type="dxa"/>
            <w:tcBorders>
              <w:top w:val="nil"/>
              <w:left w:val="nil"/>
              <w:bottom w:val="single" w:sz="4" w:space="0" w:color="auto"/>
              <w:right w:val="single" w:sz="4" w:space="0" w:color="auto"/>
            </w:tcBorders>
            <w:shd w:val="clear" w:color="auto" w:fill="auto"/>
            <w:noWrap/>
            <w:vAlign w:val="bottom"/>
            <w:hideMark/>
          </w:tcPr>
          <w:p w14:paraId="76ECEFFD"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124,8</w:t>
            </w:r>
          </w:p>
        </w:tc>
      </w:tr>
      <w:tr w:rsidR="00A155A2" w:rsidRPr="00C90EC6" w14:paraId="4126CFF8" w14:textId="77777777" w:rsidTr="001C77D2">
        <w:trPr>
          <w:trHeight w:val="21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8DDD240" w14:textId="77777777" w:rsidR="00A155A2" w:rsidRPr="00C90EC6" w:rsidRDefault="00A155A2" w:rsidP="001C77D2">
            <w:pPr>
              <w:spacing w:line="240" w:lineRule="auto"/>
              <w:rPr>
                <w:rFonts w:ascii="Arial" w:eastAsia="Times New Roman" w:hAnsi="Arial" w:cs="Arial"/>
                <w:sz w:val="16"/>
                <w:szCs w:val="16"/>
                <w:lang w:eastAsia="sl-SI"/>
              </w:rPr>
            </w:pPr>
            <w:r w:rsidRPr="00C90EC6">
              <w:rPr>
                <w:rFonts w:ascii="Arial" w:eastAsia="Times New Roman" w:hAnsi="Arial" w:cs="Arial"/>
                <w:sz w:val="16"/>
                <w:szCs w:val="16"/>
                <w:lang w:eastAsia="sl-SI"/>
              </w:rPr>
              <w:t>Izvršba na vrednostne papirje</w:t>
            </w:r>
          </w:p>
        </w:tc>
        <w:tc>
          <w:tcPr>
            <w:tcW w:w="746" w:type="dxa"/>
            <w:tcBorders>
              <w:top w:val="nil"/>
              <w:left w:val="nil"/>
              <w:bottom w:val="single" w:sz="4" w:space="0" w:color="auto"/>
              <w:right w:val="single" w:sz="4" w:space="0" w:color="auto"/>
            </w:tcBorders>
            <w:shd w:val="clear" w:color="auto" w:fill="auto"/>
            <w:vAlign w:val="bottom"/>
            <w:hideMark/>
          </w:tcPr>
          <w:p w14:paraId="60D7A0B6"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5</w:t>
            </w:r>
          </w:p>
        </w:tc>
        <w:tc>
          <w:tcPr>
            <w:tcW w:w="1077" w:type="dxa"/>
            <w:tcBorders>
              <w:top w:val="nil"/>
              <w:left w:val="nil"/>
              <w:bottom w:val="single" w:sz="4" w:space="0" w:color="auto"/>
              <w:right w:val="single" w:sz="4" w:space="0" w:color="auto"/>
            </w:tcBorders>
            <w:shd w:val="clear" w:color="000000" w:fill="DAEEF3"/>
            <w:noWrap/>
            <w:vAlign w:val="bottom"/>
            <w:hideMark/>
          </w:tcPr>
          <w:p w14:paraId="4B3D608D"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437.870</w:t>
            </w:r>
          </w:p>
        </w:tc>
        <w:tc>
          <w:tcPr>
            <w:tcW w:w="1085" w:type="dxa"/>
            <w:tcBorders>
              <w:top w:val="nil"/>
              <w:left w:val="nil"/>
              <w:bottom w:val="single" w:sz="4" w:space="0" w:color="auto"/>
              <w:right w:val="single" w:sz="4" w:space="0" w:color="auto"/>
            </w:tcBorders>
            <w:shd w:val="clear" w:color="000000" w:fill="DAEEF3"/>
            <w:noWrap/>
            <w:vAlign w:val="bottom"/>
            <w:hideMark/>
          </w:tcPr>
          <w:p w14:paraId="0CADD36C"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19.540</w:t>
            </w:r>
          </w:p>
        </w:tc>
        <w:tc>
          <w:tcPr>
            <w:tcW w:w="746" w:type="dxa"/>
            <w:tcBorders>
              <w:top w:val="nil"/>
              <w:left w:val="nil"/>
              <w:bottom w:val="single" w:sz="4" w:space="0" w:color="auto"/>
              <w:right w:val="single" w:sz="4" w:space="0" w:color="auto"/>
            </w:tcBorders>
            <w:shd w:val="clear" w:color="auto" w:fill="auto"/>
            <w:noWrap/>
            <w:vAlign w:val="bottom"/>
            <w:hideMark/>
          </w:tcPr>
          <w:p w14:paraId="039493AE" w14:textId="77777777" w:rsidR="00A155A2" w:rsidRPr="00C90EC6" w:rsidRDefault="00A155A2" w:rsidP="001C77D2">
            <w:pPr>
              <w:spacing w:line="240" w:lineRule="auto"/>
              <w:jc w:val="right"/>
              <w:rPr>
                <w:rFonts w:ascii="Arial" w:eastAsia="Times New Roman" w:hAnsi="Arial" w:cs="Arial"/>
                <w:b/>
                <w:bCs/>
                <w:sz w:val="16"/>
                <w:szCs w:val="16"/>
                <w:lang w:eastAsia="sl-SI"/>
              </w:rPr>
            </w:pPr>
            <w:r w:rsidRPr="00C90EC6">
              <w:rPr>
                <w:rFonts w:ascii="Arial" w:eastAsia="Times New Roman" w:hAnsi="Arial" w:cs="Arial"/>
                <w:b/>
                <w:bCs/>
                <w:sz w:val="16"/>
                <w:szCs w:val="16"/>
                <w:lang w:eastAsia="sl-SI"/>
              </w:rPr>
              <w:t>3</w:t>
            </w:r>
          </w:p>
        </w:tc>
        <w:tc>
          <w:tcPr>
            <w:tcW w:w="1077" w:type="dxa"/>
            <w:tcBorders>
              <w:top w:val="nil"/>
              <w:left w:val="nil"/>
              <w:bottom w:val="single" w:sz="4" w:space="0" w:color="auto"/>
              <w:right w:val="single" w:sz="4" w:space="0" w:color="auto"/>
            </w:tcBorders>
            <w:shd w:val="clear" w:color="000000" w:fill="DAEEF3"/>
            <w:noWrap/>
            <w:vAlign w:val="bottom"/>
            <w:hideMark/>
          </w:tcPr>
          <w:p w14:paraId="75F22B96"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7.600</w:t>
            </w:r>
          </w:p>
        </w:tc>
        <w:tc>
          <w:tcPr>
            <w:tcW w:w="1085" w:type="dxa"/>
            <w:tcBorders>
              <w:top w:val="nil"/>
              <w:left w:val="nil"/>
              <w:bottom w:val="single" w:sz="4" w:space="0" w:color="auto"/>
              <w:right w:val="single" w:sz="4" w:space="0" w:color="auto"/>
            </w:tcBorders>
            <w:shd w:val="clear" w:color="000000" w:fill="DAEEF3"/>
            <w:noWrap/>
            <w:vAlign w:val="bottom"/>
            <w:hideMark/>
          </w:tcPr>
          <w:p w14:paraId="667F0E3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1.870</w:t>
            </w:r>
          </w:p>
        </w:tc>
        <w:tc>
          <w:tcPr>
            <w:tcW w:w="689" w:type="dxa"/>
            <w:tcBorders>
              <w:top w:val="nil"/>
              <w:left w:val="nil"/>
              <w:bottom w:val="single" w:sz="4" w:space="0" w:color="auto"/>
              <w:right w:val="single" w:sz="4" w:space="0" w:color="auto"/>
            </w:tcBorders>
            <w:shd w:val="clear" w:color="auto" w:fill="auto"/>
            <w:noWrap/>
            <w:vAlign w:val="bottom"/>
            <w:hideMark/>
          </w:tcPr>
          <w:p w14:paraId="3351C746"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60,0</w:t>
            </w:r>
          </w:p>
        </w:tc>
        <w:tc>
          <w:tcPr>
            <w:tcW w:w="643" w:type="dxa"/>
            <w:tcBorders>
              <w:top w:val="nil"/>
              <w:left w:val="nil"/>
              <w:bottom w:val="single" w:sz="4" w:space="0" w:color="auto"/>
              <w:right w:val="single" w:sz="4" w:space="0" w:color="auto"/>
            </w:tcBorders>
            <w:shd w:val="clear" w:color="auto" w:fill="auto"/>
            <w:noWrap/>
            <w:vAlign w:val="bottom"/>
            <w:hideMark/>
          </w:tcPr>
          <w:p w14:paraId="63569A1A"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1,7</w:t>
            </w:r>
          </w:p>
        </w:tc>
        <w:tc>
          <w:tcPr>
            <w:tcW w:w="670" w:type="dxa"/>
            <w:tcBorders>
              <w:top w:val="nil"/>
              <w:left w:val="nil"/>
              <w:bottom w:val="single" w:sz="4" w:space="0" w:color="auto"/>
              <w:right w:val="single" w:sz="4" w:space="0" w:color="auto"/>
            </w:tcBorders>
            <w:shd w:val="clear" w:color="auto" w:fill="auto"/>
            <w:noWrap/>
            <w:vAlign w:val="bottom"/>
            <w:hideMark/>
          </w:tcPr>
          <w:p w14:paraId="0C62B0D7" w14:textId="77777777" w:rsidR="00A155A2" w:rsidRPr="00C90EC6" w:rsidRDefault="00A155A2" w:rsidP="001C77D2">
            <w:pPr>
              <w:spacing w:line="240" w:lineRule="auto"/>
              <w:jc w:val="right"/>
              <w:rPr>
                <w:rFonts w:ascii="Arial" w:eastAsia="Times New Roman" w:hAnsi="Arial" w:cs="Arial"/>
                <w:sz w:val="16"/>
                <w:szCs w:val="16"/>
                <w:lang w:eastAsia="sl-SI"/>
              </w:rPr>
            </w:pPr>
            <w:r w:rsidRPr="00C90EC6">
              <w:rPr>
                <w:rFonts w:ascii="Arial" w:eastAsia="Times New Roman" w:hAnsi="Arial" w:cs="Arial"/>
                <w:sz w:val="16"/>
                <w:szCs w:val="16"/>
                <w:lang w:eastAsia="sl-SI"/>
              </w:rPr>
              <w:t>9,6</w:t>
            </w:r>
          </w:p>
        </w:tc>
      </w:tr>
      <w:tr w:rsidR="00A155A2" w:rsidRPr="00C90EC6" w14:paraId="3D600173" w14:textId="77777777" w:rsidTr="001C77D2">
        <w:trPr>
          <w:trHeight w:val="168"/>
        </w:trPr>
        <w:tc>
          <w:tcPr>
            <w:tcW w:w="965" w:type="dxa"/>
            <w:tcBorders>
              <w:top w:val="nil"/>
              <w:left w:val="single" w:sz="4" w:space="0" w:color="auto"/>
              <w:bottom w:val="single" w:sz="4" w:space="0" w:color="auto"/>
              <w:right w:val="single" w:sz="4" w:space="0" w:color="auto"/>
            </w:tcBorders>
            <w:shd w:val="clear" w:color="000000" w:fill="31869B"/>
            <w:vAlign w:val="bottom"/>
            <w:hideMark/>
          </w:tcPr>
          <w:p w14:paraId="090528DA" w14:textId="77777777" w:rsidR="00A155A2" w:rsidRPr="00C90EC6" w:rsidRDefault="00A155A2" w:rsidP="001C77D2">
            <w:pPr>
              <w:spacing w:line="240" w:lineRule="auto"/>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 xml:space="preserve">Skupaj </w:t>
            </w:r>
          </w:p>
        </w:tc>
        <w:tc>
          <w:tcPr>
            <w:tcW w:w="746" w:type="dxa"/>
            <w:tcBorders>
              <w:top w:val="nil"/>
              <w:left w:val="nil"/>
              <w:bottom w:val="single" w:sz="4" w:space="0" w:color="auto"/>
              <w:right w:val="single" w:sz="4" w:space="0" w:color="auto"/>
            </w:tcBorders>
            <w:shd w:val="clear" w:color="000000" w:fill="31869B"/>
            <w:noWrap/>
            <w:vAlign w:val="bottom"/>
            <w:hideMark/>
          </w:tcPr>
          <w:p w14:paraId="25FCD8D0"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177.849</w:t>
            </w:r>
          </w:p>
        </w:tc>
        <w:tc>
          <w:tcPr>
            <w:tcW w:w="1077" w:type="dxa"/>
            <w:tcBorders>
              <w:top w:val="nil"/>
              <w:left w:val="nil"/>
              <w:bottom w:val="single" w:sz="4" w:space="0" w:color="auto"/>
              <w:right w:val="single" w:sz="4" w:space="0" w:color="auto"/>
            </w:tcBorders>
            <w:shd w:val="clear" w:color="000000" w:fill="31869B"/>
            <w:noWrap/>
            <w:vAlign w:val="bottom"/>
            <w:hideMark/>
          </w:tcPr>
          <w:p w14:paraId="70165E14"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507.964.145</w:t>
            </w:r>
          </w:p>
        </w:tc>
        <w:tc>
          <w:tcPr>
            <w:tcW w:w="1085" w:type="dxa"/>
            <w:tcBorders>
              <w:top w:val="nil"/>
              <w:left w:val="nil"/>
              <w:bottom w:val="single" w:sz="4" w:space="0" w:color="auto"/>
              <w:right w:val="single" w:sz="4" w:space="0" w:color="auto"/>
            </w:tcBorders>
            <w:shd w:val="clear" w:color="000000" w:fill="31869B"/>
            <w:noWrap/>
            <w:vAlign w:val="bottom"/>
            <w:hideMark/>
          </w:tcPr>
          <w:p w14:paraId="25242026"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178.703.511</w:t>
            </w:r>
          </w:p>
        </w:tc>
        <w:tc>
          <w:tcPr>
            <w:tcW w:w="746" w:type="dxa"/>
            <w:tcBorders>
              <w:top w:val="nil"/>
              <w:left w:val="nil"/>
              <w:bottom w:val="single" w:sz="4" w:space="0" w:color="auto"/>
              <w:right w:val="single" w:sz="4" w:space="0" w:color="auto"/>
            </w:tcBorders>
            <w:shd w:val="clear" w:color="000000" w:fill="31869B"/>
            <w:noWrap/>
            <w:vAlign w:val="bottom"/>
            <w:hideMark/>
          </w:tcPr>
          <w:p w14:paraId="75F22772"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189.171</w:t>
            </w:r>
          </w:p>
        </w:tc>
        <w:tc>
          <w:tcPr>
            <w:tcW w:w="1077" w:type="dxa"/>
            <w:tcBorders>
              <w:top w:val="nil"/>
              <w:left w:val="nil"/>
              <w:bottom w:val="single" w:sz="4" w:space="0" w:color="auto"/>
              <w:right w:val="single" w:sz="4" w:space="0" w:color="auto"/>
            </w:tcBorders>
            <w:shd w:val="clear" w:color="000000" w:fill="31869B"/>
            <w:noWrap/>
            <w:vAlign w:val="bottom"/>
            <w:hideMark/>
          </w:tcPr>
          <w:p w14:paraId="65E031DB"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629.198.552</w:t>
            </w:r>
          </w:p>
        </w:tc>
        <w:tc>
          <w:tcPr>
            <w:tcW w:w="1085" w:type="dxa"/>
            <w:tcBorders>
              <w:top w:val="nil"/>
              <w:left w:val="nil"/>
              <w:bottom w:val="single" w:sz="4" w:space="0" w:color="auto"/>
              <w:right w:val="single" w:sz="4" w:space="0" w:color="auto"/>
            </w:tcBorders>
            <w:shd w:val="clear" w:color="000000" w:fill="31869B"/>
            <w:noWrap/>
            <w:vAlign w:val="bottom"/>
            <w:hideMark/>
          </w:tcPr>
          <w:p w14:paraId="64E578B2"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200.041.656</w:t>
            </w:r>
          </w:p>
        </w:tc>
        <w:tc>
          <w:tcPr>
            <w:tcW w:w="689" w:type="dxa"/>
            <w:tcBorders>
              <w:top w:val="nil"/>
              <w:left w:val="nil"/>
              <w:bottom w:val="single" w:sz="4" w:space="0" w:color="auto"/>
              <w:right w:val="single" w:sz="4" w:space="0" w:color="auto"/>
            </w:tcBorders>
            <w:shd w:val="clear" w:color="000000" w:fill="31869B"/>
            <w:noWrap/>
            <w:vAlign w:val="bottom"/>
            <w:hideMark/>
          </w:tcPr>
          <w:p w14:paraId="52543235"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106,4</w:t>
            </w:r>
          </w:p>
        </w:tc>
        <w:tc>
          <w:tcPr>
            <w:tcW w:w="643" w:type="dxa"/>
            <w:tcBorders>
              <w:top w:val="nil"/>
              <w:left w:val="nil"/>
              <w:bottom w:val="single" w:sz="4" w:space="0" w:color="auto"/>
              <w:right w:val="single" w:sz="4" w:space="0" w:color="auto"/>
            </w:tcBorders>
            <w:shd w:val="clear" w:color="000000" w:fill="31869B"/>
            <w:noWrap/>
            <w:vAlign w:val="bottom"/>
            <w:hideMark/>
          </w:tcPr>
          <w:p w14:paraId="03170A87"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123,9</w:t>
            </w:r>
          </w:p>
        </w:tc>
        <w:tc>
          <w:tcPr>
            <w:tcW w:w="670" w:type="dxa"/>
            <w:tcBorders>
              <w:top w:val="nil"/>
              <w:left w:val="nil"/>
              <w:bottom w:val="single" w:sz="4" w:space="0" w:color="auto"/>
              <w:right w:val="single" w:sz="4" w:space="0" w:color="auto"/>
            </w:tcBorders>
            <w:shd w:val="clear" w:color="000000" w:fill="31869B"/>
            <w:noWrap/>
            <w:vAlign w:val="bottom"/>
            <w:hideMark/>
          </w:tcPr>
          <w:p w14:paraId="25FB8668" w14:textId="77777777" w:rsidR="00A155A2" w:rsidRPr="00C90EC6" w:rsidRDefault="00A155A2" w:rsidP="001C77D2">
            <w:pPr>
              <w:spacing w:line="240" w:lineRule="auto"/>
              <w:jc w:val="right"/>
              <w:rPr>
                <w:rFonts w:ascii="Arial" w:eastAsia="Times New Roman" w:hAnsi="Arial" w:cs="Arial"/>
                <w:b/>
                <w:bCs/>
                <w:color w:val="FFFFFF"/>
                <w:sz w:val="16"/>
                <w:szCs w:val="16"/>
                <w:lang w:eastAsia="sl-SI"/>
              </w:rPr>
            </w:pPr>
            <w:r w:rsidRPr="00C90EC6">
              <w:rPr>
                <w:rFonts w:ascii="Arial" w:eastAsia="Times New Roman" w:hAnsi="Arial" w:cs="Arial"/>
                <w:b/>
                <w:bCs/>
                <w:color w:val="FFFFFF"/>
                <w:sz w:val="16"/>
                <w:szCs w:val="16"/>
                <w:lang w:eastAsia="sl-SI"/>
              </w:rPr>
              <w:t>111,9</w:t>
            </w:r>
          </w:p>
        </w:tc>
      </w:tr>
    </w:tbl>
    <w:p w14:paraId="27247611" w14:textId="77777777" w:rsidR="00A155A2" w:rsidRPr="00087025" w:rsidRDefault="00A155A2" w:rsidP="00A155A2">
      <w:pPr>
        <w:rPr>
          <w:rFonts w:ascii="Arial" w:hAnsi="Arial" w:cs="Arial"/>
          <w:i/>
          <w:sz w:val="20"/>
          <w:szCs w:val="20"/>
        </w:rPr>
      </w:pPr>
      <w:r w:rsidRPr="00087025">
        <w:rPr>
          <w:rFonts w:ascii="Arial" w:hAnsi="Arial" w:cs="Arial"/>
          <w:i/>
          <w:sz w:val="20"/>
          <w:szCs w:val="20"/>
        </w:rPr>
        <w:t>Vir: FURS</w:t>
      </w:r>
    </w:p>
    <w:p w14:paraId="3CD2231F" w14:textId="77777777" w:rsidR="00A155A2" w:rsidRDefault="00A155A2" w:rsidP="00A155A2">
      <w:pPr>
        <w:pStyle w:val="FURSNavaden"/>
        <w:spacing w:line="276" w:lineRule="auto"/>
      </w:pPr>
      <w:r w:rsidRPr="00C90EC6">
        <w:t>Glavnin</w:t>
      </w:r>
      <w:r>
        <w:t>a</w:t>
      </w:r>
      <w:r w:rsidRPr="00C90EC6">
        <w:t xml:space="preserve"> davčnega dolga, ki je bil v letu 2024 terjan s sklepi o izvršbi, </w:t>
      </w:r>
      <w:r>
        <w:t>so</w:t>
      </w:r>
      <w:r w:rsidRPr="00C90EC6">
        <w:t xml:space="preserve"> </w:t>
      </w:r>
      <w:r>
        <w:t xml:space="preserve">bile </w:t>
      </w:r>
      <w:r w:rsidRPr="00C90EC6">
        <w:t xml:space="preserve">obveznosti </w:t>
      </w:r>
      <w:r>
        <w:t>od</w:t>
      </w:r>
      <w:r w:rsidRPr="00C90EC6">
        <w:t xml:space="preserve"> davkov na dohodek in dobiček (31,9 </w:t>
      </w:r>
      <w:r>
        <w:rPr>
          <w:rFonts w:cs="Arial"/>
          <w:bCs/>
          <w:szCs w:val="20"/>
        </w:rPr>
        <w:t>odstotka</w:t>
      </w:r>
      <w:r w:rsidRPr="00C90EC6">
        <w:t xml:space="preserve">) </w:t>
      </w:r>
      <w:r>
        <w:t>ter</w:t>
      </w:r>
      <w:r w:rsidRPr="00C90EC6">
        <w:t xml:space="preserve"> prispevkov za socialno varnost (31 </w:t>
      </w:r>
      <w:r>
        <w:rPr>
          <w:rFonts w:cs="Arial"/>
          <w:bCs/>
          <w:szCs w:val="20"/>
        </w:rPr>
        <w:t>odstotkov</w:t>
      </w:r>
      <w:r w:rsidRPr="00C90EC6">
        <w:t>). Sledi</w:t>
      </w:r>
      <w:r>
        <w:t>li s</w:t>
      </w:r>
      <w:r w:rsidRPr="00C90EC6">
        <w:t xml:space="preserve">o domači davki na blago in storitve (30,4 </w:t>
      </w:r>
      <w:r>
        <w:rPr>
          <w:rFonts w:cs="Arial"/>
          <w:bCs/>
          <w:szCs w:val="20"/>
        </w:rPr>
        <w:t>odstotka</w:t>
      </w:r>
      <w:r w:rsidRPr="00C90EC6">
        <w:t xml:space="preserve">), davki na premoženje (1,4 </w:t>
      </w:r>
      <w:r>
        <w:rPr>
          <w:rFonts w:cs="Arial"/>
          <w:bCs/>
          <w:szCs w:val="20"/>
        </w:rPr>
        <w:t>odstotka</w:t>
      </w:r>
      <w:r w:rsidRPr="00C90EC6">
        <w:t xml:space="preserve">) ter obveznosti </w:t>
      </w:r>
      <w:r>
        <w:t>od</w:t>
      </w:r>
      <w:r w:rsidRPr="00C90EC6">
        <w:t xml:space="preserve"> </w:t>
      </w:r>
      <w:r>
        <w:t>drugih</w:t>
      </w:r>
      <w:r w:rsidRPr="00C90EC6">
        <w:t xml:space="preserve"> davkov (5,3 </w:t>
      </w:r>
      <w:r>
        <w:rPr>
          <w:rFonts w:cs="Arial"/>
          <w:bCs/>
          <w:szCs w:val="20"/>
        </w:rPr>
        <w:t>odstotka</w:t>
      </w:r>
      <w:r w:rsidRPr="00C90EC6">
        <w:t>).</w:t>
      </w:r>
    </w:p>
    <w:p w14:paraId="649A37E6" w14:textId="77777777" w:rsidR="00A155A2" w:rsidRDefault="00A155A2" w:rsidP="00A155A2">
      <w:pPr>
        <w:pStyle w:val="FURSNavaden"/>
        <w:spacing w:line="276" w:lineRule="auto"/>
      </w:pPr>
    </w:p>
    <w:p w14:paraId="0B5F5204" w14:textId="77777777" w:rsidR="00A155A2" w:rsidRDefault="00A155A2" w:rsidP="00A155A2">
      <w:pPr>
        <w:pStyle w:val="FURSNavaden"/>
        <w:spacing w:line="276" w:lineRule="auto"/>
      </w:pPr>
    </w:p>
    <w:p w14:paraId="62DA26A9" w14:textId="77777777" w:rsidR="00A155A2" w:rsidRDefault="00A155A2" w:rsidP="00A155A2">
      <w:pPr>
        <w:pStyle w:val="FURSNavaden"/>
        <w:spacing w:line="276" w:lineRule="auto"/>
      </w:pPr>
    </w:p>
    <w:p w14:paraId="660A1EF9" w14:textId="77777777" w:rsidR="00A155A2" w:rsidRDefault="00A155A2" w:rsidP="00A155A2">
      <w:pPr>
        <w:jc w:val="both"/>
        <w:rPr>
          <w:rFonts w:ascii="Arial" w:eastAsia="Times New Roman" w:hAnsi="Arial" w:cs="Arial"/>
          <w:i/>
          <w:sz w:val="20"/>
          <w:szCs w:val="20"/>
          <w:lang w:eastAsia="sl-SI"/>
        </w:rPr>
      </w:pPr>
      <w:r w:rsidRPr="00001AC8">
        <w:rPr>
          <w:rFonts w:ascii="Arial" w:eastAsia="Times New Roman" w:hAnsi="Arial" w:cs="Arial"/>
          <w:i/>
          <w:sz w:val="20"/>
          <w:szCs w:val="20"/>
          <w:lang w:eastAsia="sl-SI"/>
        </w:rPr>
        <w:t xml:space="preserve">Preglednica </w:t>
      </w:r>
      <w:r w:rsidRPr="00001AC8">
        <w:rPr>
          <w:rFonts w:ascii="Arial" w:eastAsia="Times New Roman" w:hAnsi="Arial" w:cs="Arial"/>
          <w:i/>
          <w:sz w:val="20"/>
          <w:szCs w:val="20"/>
        </w:rPr>
        <w:t>1</w:t>
      </w:r>
      <w:r>
        <w:rPr>
          <w:rFonts w:ascii="Arial" w:eastAsia="Times New Roman" w:hAnsi="Arial" w:cs="Arial"/>
          <w:i/>
          <w:sz w:val="20"/>
          <w:szCs w:val="20"/>
        </w:rPr>
        <w:t>7</w:t>
      </w:r>
      <w:r w:rsidRPr="00001AC8">
        <w:rPr>
          <w:rFonts w:ascii="Arial" w:eastAsia="Times New Roman" w:hAnsi="Arial" w:cs="Arial"/>
          <w:i/>
          <w:sz w:val="20"/>
          <w:szCs w:val="20"/>
          <w:lang w:eastAsia="sl-SI"/>
        </w:rPr>
        <w:t xml:space="preserve">: Učinkovitost izvršbe po vrstah dajatev v letu </w:t>
      </w:r>
      <w:r w:rsidRPr="00377909">
        <w:rPr>
          <w:rFonts w:ascii="Arial" w:eastAsia="Times New Roman" w:hAnsi="Arial" w:cs="Arial"/>
          <w:i/>
          <w:sz w:val="20"/>
          <w:szCs w:val="20"/>
          <w:lang w:eastAsia="sl-SI"/>
        </w:rPr>
        <w:t xml:space="preserve">2024 </w:t>
      </w:r>
      <w:r>
        <w:rPr>
          <w:rFonts w:ascii="Arial" w:eastAsia="Times New Roman" w:hAnsi="Arial" w:cs="Arial"/>
          <w:i/>
          <w:sz w:val="20"/>
          <w:szCs w:val="20"/>
          <w:lang w:eastAsia="sl-SI"/>
        </w:rPr>
        <w:t>(</w:t>
      </w:r>
      <w:r w:rsidRPr="00377909">
        <w:rPr>
          <w:rFonts w:ascii="Arial" w:eastAsia="Times New Roman" w:hAnsi="Arial" w:cs="Arial"/>
          <w:i/>
          <w:sz w:val="20"/>
          <w:szCs w:val="20"/>
          <w:lang w:eastAsia="sl-SI"/>
        </w:rPr>
        <w:t>v EUR</w:t>
      </w:r>
      <w:r>
        <w:rPr>
          <w:rFonts w:ascii="Arial" w:eastAsia="Times New Roman" w:hAnsi="Arial" w:cs="Arial"/>
          <w:i/>
          <w:sz w:val="20"/>
          <w:szCs w:val="20"/>
          <w:lang w:eastAsia="sl-SI"/>
        </w:rPr>
        <w:t>)</w:t>
      </w:r>
    </w:p>
    <w:tbl>
      <w:tblPr>
        <w:tblW w:w="9047" w:type="dxa"/>
        <w:tblCellMar>
          <w:left w:w="70" w:type="dxa"/>
          <w:right w:w="70" w:type="dxa"/>
        </w:tblCellMar>
        <w:tblLook w:val="04A0" w:firstRow="1" w:lastRow="0" w:firstColumn="1" w:lastColumn="0" w:noHBand="0" w:noVBand="1"/>
      </w:tblPr>
      <w:tblGrid>
        <w:gridCol w:w="2822"/>
        <w:gridCol w:w="1941"/>
        <w:gridCol w:w="1446"/>
        <w:gridCol w:w="1556"/>
        <w:gridCol w:w="1282"/>
      </w:tblGrid>
      <w:tr w:rsidR="00A155A2" w:rsidRPr="00C90EC6" w14:paraId="63816184" w14:textId="77777777" w:rsidTr="001C77D2">
        <w:trPr>
          <w:trHeight w:val="1100"/>
        </w:trPr>
        <w:tc>
          <w:tcPr>
            <w:tcW w:w="2822" w:type="dxa"/>
            <w:tcBorders>
              <w:top w:val="single" w:sz="4" w:space="0" w:color="auto"/>
              <w:left w:val="single" w:sz="4" w:space="0" w:color="auto"/>
              <w:bottom w:val="single" w:sz="4" w:space="0" w:color="auto"/>
              <w:right w:val="single" w:sz="4" w:space="0" w:color="auto"/>
            </w:tcBorders>
            <w:shd w:val="clear" w:color="000000" w:fill="31849B"/>
            <w:vAlign w:val="center"/>
            <w:hideMark/>
          </w:tcPr>
          <w:p w14:paraId="2D5320C8"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Vrsta obveznosti</w:t>
            </w:r>
          </w:p>
        </w:tc>
        <w:tc>
          <w:tcPr>
            <w:tcW w:w="1941" w:type="dxa"/>
            <w:tcBorders>
              <w:top w:val="single" w:sz="4" w:space="0" w:color="auto"/>
              <w:left w:val="nil"/>
              <w:bottom w:val="single" w:sz="4" w:space="0" w:color="auto"/>
              <w:right w:val="single" w:sz="4" w:space="0" w:color="auto"/>
            </w:tcBorders>
            <w:shd w:val="clear" w:color="000000" w:fill="31849B"/>
            <w:vAlign w:val="center"/>
            <w:hideMark/>
          </w:tcPr>
          <w:p w14:paraId="691D68D4"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Znesek terjanega dolga po izdanih sklepih</w:t>
            </w:r>
            <w:r>
              <w:rPr>
                <w:rFonts w:ascii="Arial" w:eastAsia="Times New Roman" w:hAnsi="Arial" w:cs="Arial"/>
                <w:b/>
                <w:bCs/>
                <w:color w:val="FFFFFF"/>
                <w:sz w:val="18"/>
                <w:szCs w:val="18"/>
                <w:lang w:eastAsia="sl-SI"/>
              </w:rPr>
              <w:t xml:space="preserve"> </w:t>
            </w:r>
          </w:p>
        </w:tc>
        <w:tc>
          <w:tcPr>
            <w:tcW w:w="1446" w:type="dxa"/>
            <w:tcBorders>
              <w:top w:val="single" w:sz="4" w:space="0" w:color="auto"/>
              <w:left w:val="nil"/>
              <w:bottom w:val="single" w:sz="4" w:space="0" w:color="auto"/>
              <w:right w:val="single" w:sz="4" w:space="0" w:color="auto"/>
            </w:tcBorders>
            <w:shd w:val="clear" w:color="000000" w:fill="31849B"/>
            <w:vAlign w:val="center"/>
            <w:hideMark/>
          </w:tcPr>
          <w:p w14:paraId="284B747E"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Pr>
                <w:rFonts w:ascii="Arial" w:eastAsia="Times New Roman" w:hAnsi="Arial" w:cs="Arial"/>
                <w:b/>
                <w:bCs/>
                <w:color w:val="FFFFFF"/>
                <w:sz w:val="18"/>
                <w:szCs w:val="18"/>
                <w:lang w:eastAsia="sl-SI"/>
              </w:rPr>
              <w:t>Delež</w:t>
            </w:r>
            <w:r w:rsidRPr="00DA05F4">
              <w:rPr>
                <w:rFonts w:ascii="Arial" w:eastAsia="Times New Roman" w:hAnsi="Arial" w:cs="Arial"/>
                <w:b/>
                <w:bCs/>
                <w:color w:val="FFFFFF"/>
                <w:sz w:val="18"/>
                <w:szCs w:val="18"/>
                <w:lang w:eastAsia="sl-SI"/>
              </w:rPr>
              <w:t xml:space="preserve"> v znesku</w:t>
            </w:r>
            <w:r w:rsidRPr="00C90EC6">
              <w:rPr>
                <w:rFonts w:ascii="Arial" w:eastAsia="Times New Roman" w:hAnsi="Arial" w:cs="Arial"/>
                <w:b/>
                <w:bCs/>
                <w:color w:val="FFFFFF"/>
                <w:sz w:val="18"/>
                <w:szCs w:val="18"/>
                <w:lang w:eastAsia="sl-SI"/>
              </w:rPr>
              <w:t xml:space="preserve"> dolga po izdanih sklepih</w:t>
            </w:r>
            <w:r>
              <w:rPr>
                <w:rFonts w:ascii="Arial" w:eastAsia="Times New Roman" w:hAnsi="Arial" w:cs="Arial"/>
                <w:b/>
                <w:bCs/>
                <w:color w:val="FFFFFF"/>
                <w:sz w:val="18"/>
                <w:szCs w:val="18"/>
                <w:lang w:eastAsia="sl-SI"/>
              </w:rPr>
              <w:t xml:space="preserve"> (v %)</w:t>
            </w:r>
          </w:p>
        </w:tc>
        <w:tc>
          <w:tcPr>
            <w:tcW w:w="1556" w:type="dxa"/>
            <w:tcBorders>
              <w:top w:val="single" w:sz="4" w:space="0" w:color="auto"/>
              <w:left w:val="nil"/>
              <w:bottom w:val="single" w:sz="4" w:space="0" w:color="auto"/>
              <w:right w:val="single" w:sz="4" w:space="0" w:color="auto"/>
            </w:tcBorders>
            <w:shd w:val="clear" w:color="000000" w:fill="31849B"/>
            <w:vAlign w:val="center"/>
            <w:hideMark/>
          </w:tcPr>
          <w:p w14:paraId="71C0D9B1"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Plačila po izdanih sklepih</w:t>
            </w:r>
            <w:r>
              <w:rPr>
                <w:rFonts w:ascii="Arial" w:eastAsia="Times New Roman" w:hAnsi="Arial" w:cs="Arial"/>
                <w:b/>
                <w:bCs/>
                <w:color w:val="FFFFFF"/>
                <w:sz w:val="18"/>
                <w:szCs w:val="18"/>
                <w:lang w:eastAsia="sl-SI"/>
              </w:rPr>
              <w:t xml:space="preserve"> </w:t>
            </w:r>
          </w:p>
        </w:tc>
        <w:tc>
          <w:tcPr>
            <w:tcW w:w="1282" w:type="dxa"/>
            <w:tcBorders>
              <w:top w:val="single" w:sz="4" w:space="0" w:color="auto"/>
              <w:left w:val="nil"/>
              <w:bottom w:val="single" w:sz="4" w:space="0" w:color="auto"/>
              <w:right w:val="single" w:sz="4" w:space="0" w:color="auto"/>
            </w:tcBorders>
            <w:shd w:val="clear" w:color="000000" w:fill="31849B"/>
            <w:vAlign w:val="center"/>
            <w:hideMark/>
          </w:tcPr>
          <w:p w14:paraId="0E6C45ED" w14:textId="77777777" w:rsidR="00A155A2" w:rsidRDefault="00A155A2" w:rsidP="001C77D2">
            <w:pPr>
              <w:spacing w:after="0" w:line="240" w:lineRule="auto"/>
              <w:jc w:val="center"/>
              <w:rPr>
                <w:rFonts w:ascii="Arial" w:eastAsia="Times New Roman" w:hAnsi="Arial" w:cs="Arial"/>
                <w:b/>
                <w:bCs/>
                <w:color w:val="FFFFFF"/>
                <w:sz w:val="18"/>
                <w:szCs w:val="18"/>
                <w:lang w:eastAsia="sl-SI"/>
              </w:rPr>
            </w:pPr>
            <w:r>
              <w:rPr>
                <w:rFonts w:ascii="Arial" w:eastAsia="Times New Roman" w:hAnsi="Arial" w:cs="Arial"/>
                <w:b/>
                <w:bCs/>
                <w:color w:val="FFFFFF"/>
                <w:sz w:val="18"/>
                <w:szCs w:val="18"/>
                <w:lang w:eastAsia="sl-SI"/>
              </w:rPr>
              <w:t>Delež</w:t>
            </w:r>
            <w:r w:rsidRPr="00C90EC6">
              <w:rPr>
                <w:rFonts w:ascii="Arial" w:eastAsia="Times New Roman" w:hAnsi="Arial" w:cs="Arial"/>
                <w:b/>
                <w:bCs/>
                <w:color w:val="FFFFFF"/>
                <w:sz w:val="18"/>
                <w:szCs w:val="18"/>
                <w:lang w:eastAsia="sl-SI"/>
              </w:rPr>
              <w:t xml:space="preserve"> plačil po sklepih</w:t>
            </w:r>
            <w:r>
              <w:rPr>
                <w:rFonts w:ascii="Arial" w:eastAsia="Times New Roman" w:hAnsi="Arial" w:cs="Arial"/>
                <w:b/>
                <w:bCs/>
                <w:color w:val="FFFFFF"/>
                <w:sz w:val="18"/>
                <w:szCs w:val="18"/>
                <w:lang w:eastAsia="sl-SI"/>
              </w:rPr>
              <w:t xml:space="preserve"> </w:t>
            </w:r>
          </w:p>
          <w:p w14:paraId="6AC35ADB" w14:textId="77777777" w:rsidR="00A155A2" w:rsidRPr="00C90EC6" w:rsidRDefault="00A155A2" w:rsidP="001C77D2">
            <w:pPr>
              <w:spacing w:after="0" w:line="240" w:lineRule="auto"/>
              <w:jc w:val="center"/>
              <w:rPr>
                <w:rFonts w:ascii="Arial" w:eastAsia="Times New Roman" w:hAnsi="Arial" w:cs="Arial"/>
                <w:b/>
                <w:bCs/>
                <w:color w:val="FFFFFF"/>
                <w:sz w:val="18"/>
                <w:szCs w:val="18"/>
                <w:lang w:eastAsia="sl-SI"/>
              </w:rPr>
            </w:pPr>
            <w:r>
              <w:rPr>
                <w:rFonts w:ascii="Arial" w:eastAsia="Times New Roman" w:hAnsi="Arial" w:cs="Arial"/>
                <w:b/>
                <w:bCs/>
                <w:color w:val="FFFFFF"/>
                <w:sz w:val="18"/>
                <w:szCs w:val="18"/>
                <w:lang w:eastAsia="sl-SI"/>
              </w:rPr>
              <w:t>(v %)</w:t>
            </w:r>
          </w:p>
        </w:tc>
      </w:tr>
      <w:tr w:rsidR="00A155A2" w:rsidRPr="00C90EC6" w14:paraId="3ECB4FB4" w14:textId="77777777" w:rsidTr="001C77D2">
        <w:trPr>
          <w:trHeight w:val="381"/>
        </w:trPr>
        <w:tc>
          <w:tcPr>
            <w:tcW w:w="2822" w:type="dxa"/>
            <w:tcBorders>
              <w:top w:val="nil"/>
              <w:left w:val="single" w:sz="4" w:space="0" w:color="auto"/>
              <w:bottom w:val="single" w:sz="4" w:space="0" w:color="auto"/>
              <w:right w:val="single" w:sz="4" w:space="0" w:color="auto"/>
            </w:tcBorders>
            <w:shd w:val="clear" w:color="auto" w:fill="auto"/>
            <w:vAlign w:val="center"/>
            <w:hideMark/>
          </w:tcPr>
          <w:p w14:paraId="7586FC9C"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Prispevki za socialno varnost</w:t>
            </w:r>
          </w:p>
        </w:tc>
        <w:tc>
          <w:tcPr>
            <w:tcW w:w="1941" w:type="dxa"/>
            <w:tcBorders>
              <w:top w:val="nil"/>
              <w:left w:val="nil"/>
              <w:bottom w:val="single" w:sz="4" w:space="0" w:color="auto"/>
              <w:right w:val="single" w:sz="4" w:space="0" w:color="auto"/>
            </w:tcBorders>
            <w:shd w:val="clear" w:color="000000" w:fill="DAEEF3"/>
            <w:vAlign w:val="center"/>
            <w:hideMark/>
          </w:tcPr>
          <w:p w14:paraId="5695EFF2"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195.043.588</w:t>
            </w:r>
          </w:p>
        </w:tc>
        <w:tc>
          <w:tcPr>
            <w:tcW w:w="1446" w:type="dxa"/>
            <w:tcBorders>
              <w:top w:val="nil"/>
              <w:left w:val="nil"/>
              <w:bottom w:val="single" w:sz="4" w:space="0" w:color="auto"/>
              <w:right w:val="single" w:sz="4" w:space="0" w:color="auto"/>
            </w:tcBorders>
            <w:shd w:val="clear" w:color="auto" w:fill="auto"/>
            <w:vAlign w:val="center"/>
            <w:hideMark/>
          </w:tcPr>
          <w:p w14:paraId="5122F9BE"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31,0</w:t>
            </w:r>
          </w:p>
        </w:tc>
        <w:tc>
          <w:tcPr>
            <w:tcW w:w="1556" w:type="dxa"/>
            <w:tcBorders>
              <w:top w:val="nil"/>
              <w:left w:val="nil"/>
              <w:bottom w:val="single" w:sz="4" w:space="0" w:color="auto"/>
              <w:right w:val="single" w:sz="4" w:space="0" w:color="auto"/>
            </w:tcBorders>
            <w:shd w:val="clear" w:color="000000" w:fill="DAEEF3"/>
            <w:vAlign w:val="center"/>
            <w:hideMark/>
          </w:tcPr>
          <w:p w14:paraId="45D3DE44"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86.466.150</w:t>
            </w:r>
          </w:p>
        </w:tc>
        <w:tc>
          <w:tcPr>
            <w:tcW w:w="1282" w:type="dxa"/>
            <w:tcBorders>
              <w:top w:val="nil"/>
              <w:left w:val="nil"/>
              <w:bottom w:val="single" w:sz="4" w:space="0" w:color="auto"/>
              <w:right w:val="single" w:sz="4" w:space="0" w:color="auto"/>
            </w:tcBorders>
            <w:shd w:val="clear" w:color="auto" w:fill="auto"/>
            <w:vAlign w:val="center"/>
            <w:hideMark/>
          </w:tcPr>
          <w:p w14:paraId="6C02B449"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43,2</w:t>
            </w:r>
          </w:p>
        </w:tc>
      </w:tr>
      <w:tr w:rsidR="00A155A2" w:rsidRPr="00C90EC6" w14:paraId="3C3353F7" w14:textId="77777777" w:rsidTr="001C77D2">
        <w:trPr>
          <w:trHeight w:val="381"/>
        </w:trPr>
        <w:tc>
          <w:tcPr>
            <w:tcW w:w="2822" w:type="dxa"/>
            <w:tcBorders>
              <w:top w:val="nil"/>
              <w:left w:val="single" w:sz="4" w:space="0" w:color="auto"/>
              <w:bottom w:val="single" w:sz="4" w:space="0" w:color="auto"/>
              <w:right w:val="single" w:sz="4" w:space="0" w:color="auto"/>
            </w:tcBorders>
            <w:shd w:val="clear" w:color="auto" w:fill="auto"/>
            <w:vAlign w:val="center"/>
            <w:hideMark/>
          </w:tcPr>
          <w:p w14:paraId="18BD778C"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Domači davki na blago in storitve</w:t>
            </w:r>
          </w:p>
        </w:tc>
        <w:tc>
          <w:tcPr>
            <w:tcW w:w="1941" w:type="dxa"/>
            <w:tcBorders>
              <w:top w:val="nil"/>
              <w:left w:val="nil"/>
              <w:bottom w:val="single" w:sz="4" w:space="0" w:color="auto"/>
              <w:right w:val="single" w:sz="4" w:space="0" w:color="auto"/>
            </w:tcBorders>
            <w:shd w:val="clear" w:color="000000" w:fill="DAEEF3"/>
            <w:vAlign w:val="center"/>
            <w:hideMark/>
          </w:tcPr>
          <w:p w14:paraId="379FF074"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191.504.501</w:t>
            </w:r>
          </w:p>
        </w:tc>
        <w:tc>
          <w:tcPr>
            <w:tcW w:w="1446" w:type="dxa"/>
            <w:tcBorders>
              <w:top w:val="nil"/>
              <w:left w:val="nil"/>
              <w:bottom w:val="single" w:sz="4" w:space="0" w:color="auto"/>
              <w:right w:val="single" w:sz="4" w:space="0" w:color="auto"/>
            </w:tcBorders>
            <w:shd w:val="clear" w:color="auto" w:fill="auto"/>
            <w:vAlign w:val="center"/>
            <w:hideMark/>
          </w:tcPr>
          <w:p w14:paraId="0DD86DA2"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30,4</w:t>
            </w:r>
          </w:p>
        </w:tc>
        <w:tc>
          <w:tcPr>
            <w:tcW w:w="1556" w:type="dxa"/>
            <w:tcBorders>
              <w:top w:val="nil"/>
              <w:left w:val="nil"/>
              <w:bottom w:val="single" w:sz="4" w:space="0" w:color="auto"/>
              <w:right w:val="single" w:sz="4" w:space="0" w:color="auto"/>
            </w:tcBorders>
            <w:shd w:val="clear" w:color="000000" w:fill="DAEEF3"/>
            <w:vAlign w:val="center"/>
            <w:hideMark/>
          </w:tcPr>
          <w:p w14:paraId="42F28B03"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53.369.575</w:t>
            </w:r>
          </w:p>
        </w:tc>
        <w:tc>
          <w:tcPr>
            <w:tcW w:w="1282" w:type="dxa"/>
            <w:tcBorders>
              <w:top w:val="nil"/>
              <w:left w:val="nil"/>
              <w:bottom w:val="single" w:sz="4" w:space="0" w:color="auto"/>
              <w:right w:val="single" w:sz="4" w:space="0" w:color="auto"/>
            </w:tcBorders>
            <w:shd w:val="clear" w:color="auto" w:fill="auto"/>
            <w:vAlign w:val="center"/>
            <w:hideMark/>
          </w:tcPr>
          <w:p w14:paraId="6DCBBD8A"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26,7</w:t>
            </w:r>
          </w:p>
        </w:tc>
      </w:tr>
      <w:tr w:rsidR="00A155A2" w:rsidRPr="00C90EC6" w14:paraId="07EA7859" w14:textId="77777777" w:rsidTr="001C77D2">
        <w:trPr>
          <w:trHeight w:val="368"/>
        </w:trPr>
        <w:tc>
          <w:tcPr>
            <w:tcW w:w="2822" w:type="dxa"/>
            <w:tcBorders>
              <w:top w:val="nil"/>
              <w:left w:val="single" w:sz="4" w:space="0" w:color="auto"/>
              <w:bottom w:val="single" w:sz="4" w:space="0" w:color="auto"/>
              <w:right w:val="single" w:sz="4" w:space="0" w:color="auto"/>
            </w:tcBorders>
            <w:shd w:val="clear" w:color="auto" w:fill="auto"/>
            <w:vAlign w:val="center"/>
            <w:hideMark/>
          </w:tcPr>
          <w:p w14:paraId="1828F5E3"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Davki na dohodek in dobiček</w:t>
            </w:r>
          </w:p>
        </w:tc>
        <w:tc>
          <w:tcPr>
            <w:tcW w:w="1941" w:type="dxa"/>
            <w:tcBorders>
              <w:top w:val="nil"/>
              <w:left w:val="nil"/>
              <w:bottom w:val="single" w:sz="4" w:space="0" w:color="auto"/>
              <w:right w:val="single" w:sz="4" w:space="0" w:color="auto"/>
            </w:tcBorders>
            <w:shd w:val="clear" w:color="000000" w:fill="DAEEF3"/>
            <w:vAlign w:val="center"/>
            <w:hideMark/>
          </w:tcPr>
          <w:p w14:paraId="766DC00E"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200.923.621</w:t>
            </w:r>
          </w:p>
        </w:tc>
        <w:tc>
          <w:tcPr>
            <w:tcW w:w="1446" w:type="dxa"/>
            <w:tcBorders>
              <w:top w:val="nil"/>
              <w:left w:val="nil"/>
              <w:bottom w:val="single" w:sz="4" w:space="0" w:color="auto"/>
              <w:right w:val="single" w:sz="4" w:space="0" w:color="auto"/>
            </w:tcBorders>
            <w:shd w:val="clear" w:color="auto" w:fill="auto"/>
            <w:vAlign w:val="center"/>
            <w:hideMark/>
          </w:tcPr>
          <w:p w14:paraId="6B6DDAEF"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31,9</w:t>
            </w:r>
          </w:p>
        </w:tc>
        <w:tc>
          <w:tcPr>
            <w:tcW w:w="1556" w:type="dxa"/>
            <w:tcBorders>
              <w:top w:val="nil"/>
              <w:left w:val="nil"/>
              <w:bottom w:val="single" w:sz="4" w:space="0" w:color="auto"/>
              <w:right w:val="single" w:sz="4" w:space="0" w:color="auto"/>
            </w:tcBorders>
            <w:shd w:val="clear" w:color="000000" w:fill="DAEEF3"/>
            <w:vAlign w:val="center"/>
            <w:hideMark/>
          </w:tcPr>
          <w:p w14:paraId="7074FAC8"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47.100.703</w:t>
            </w:r>
          </w:p>
        </w:tc>
        <w:tc>
          <w:tcPr>
            <w:tcW w:w="1282" w:type="dxa"/>
            <w:tcBorders>
              <w:top w:val="nil"/>
              <w:left w:val="nil"/>
              <w:bottom w:val="single" w:sz="4" w:space="0" w:color="auto"/>
              <w:right w:val="single" w:sz="4" w:space="0" w:color="auto"/>
            </w:tcBorders>
            <w:shd w:val="clear" w:color="auto" w:fill="auto"/>
            <w:vAlign w:val="center"/>
            <w:hideMark/>
          </w:tcPr>
          <w:p w14:paraId="52C5C384"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23,5</w:t>
            </w:r>
          </w:p>
        </w:tc>
      </w:tr>
      <w:tr w:rsidR="00A155A2" w:rsidRPr="00C90EC6" w14:paraId="16D84325" w14:textId="77777777" w:rsidTr="001C77D2">
        <w:trPr>
          <w:trHeight w:val="340"/>
        </w:trPr>
        <w:tc>
          <w:tcPr>
            <w:tcW w:w="2822" w:type="dxa"/>
            <w:tcBorders>
              <w:top w:val="nil"/>
              <w:left w:val="single" w:sz="4" w:space="0" w:color="auto"/>
              <w:bottom w:val="single" w:sz="4" w:space="0" w:color="auto"/>
              <w:right w:val="single" w:sz="4" w:space="0" w:color="auto"/>
            </w:tcBorders>
            <w:shd w:val="clear" w:color="auto" w:fill="auto"/>
            <w:vAlign w:val="center"/>
            <w:hideMark/>
          </w:tcPr>
          <w:p w14:paraId="49179632" w14:textId="77777777" w:rsidR="00A155A2" w:rsidRPr="00C90EC6" w:rsidRDefault="00A155A2" w:rsidP="001C77D2">
            <w:pPr>
              <w:spacing w:line="240" w:lineRule="auto"/>
              <w:rPr>
                <w:rFonts w:ascii="Arial" w:eastAsia="Times New Roman" w:hAnsi="Arial" w:cs="Arial"/>
                <w:sz w:val="18"/>
                <w:szCs w:val="18"/>
                <w:lang w:eastAsia="sl-SI"/>
              </w:rPr>
            </w:pPr>
            <w:r w:rsidRPr="00C90EC6">
              <w:rPr>
                <w:rFonts w:ascii="Arial" w:eastAsia="Times New Roman" w:hAnsi="Arial" w:cs="Arial"/>
                <w:sz w:val="18"/>
                <w:szCs w:val="18"/>
                <w:lang w:eastAsia="sl-SI"/>
              </w:rPr>
              <w:t>Davki na premoženje</w:t>
            </w:r>
          </w:p>
        </w:tc>
        <w:tc>
          <w:tcPr>
            <w:tcW w:w="1941" w:type="dxa"/>
            <w:tcBorders>
              <w:top w:val="nil"/>
              <w:left w:val="nil"/>
              <w:bottom w:val="single" w:sz="4" w:space="0" w:color="auto"/>
              <w:right w:val="single" w:sz="4" w:space="0" w:color="auto"/>
            </w:tcBorders>
            <w:shd w:val="clear" w:color="000000" w:fill="DAEEF3"/>
            <w:vAlign w:val="center"/>
            <w:hideMark/>
          </w:tcPr>
          <w:p w14:paraId="28E9C7EB"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8.911.330</w:t>
            </w:r>
          </w:p>
        </w:tc>
        <w:tc>
          <w:tcPr>
            <w:tcW w:w="1446" w:type="dxa"/>
            <w:tcBorders>
              <w:top w:val="nil"/>
              <w:left w:val="nil"/>
              <w:bottom w:val="single" w:sz="4" w:space="0" w:color="auto"/>
              <w:right w:val="single" w:sz="4" w:space="0" w:color="auto"/>
            </w:tcBorders>
            <w:shd w:val="clear" w:color="auto" w:fill="auto"/>
            <w:vAlign w:val="center"/>
            <w:hideMark/>
          </w:tcPr>
          <w:p w14:paraId="2BA74E5A"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1,4</w:t>
            </w:r>
          </w:p>
        </w:tc>
        <w:tc>
          <w:tcPr>
            <w:tcW w:w="1556" w:type="dxa"/>
            <w:tcBorders>
              <w:top w:val="nil"/>
              <w:left w:val="nil"/>
              <w:bottom w:val="single" w:sz="4" w:space="0" w:color="auto"/>
              <w:right w:val="single" w:sz="4" w:space="0" w:color="auto"/>
            </w:tcBorders>
            <w:shd w:val="clear" w:color="000000" w:fill="DAEEF3"/>
            <w:vAlign w:val="center"/>
            <w:hideMark/>
          </w:tcPr>
          <w:p w14:paraId="4C758D37"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5.075.684</w:t>
            </w:r>
          </w:p>
        </w:tc>
        <w:tc>
          <w:tcPr>
            <w:tcW w:w="1282" w:type="dxa"/>
            <w:tcBorders>
              <w:top w:val="nil"/>
              <w:left w:val="nil"/>
              <w:bottom w:val="single" w:sz="4" w:space="0" w:color="auto"/>
              <w:right w:val="single" w:sz="4" w:space="0" w:color="auto"/>
            </w:tcBorders>
            <w:shd w:val="clear" w:color="auto" w:fill="auto"/>
            <w:vAlign w:val="center"/>
            <w:hideMark/>
          </w:tcPr>
          <w:p w14:paraId="54B74B80"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2,5</w:t>
            </w:r>
          </w:p>
        </w:tc>
      </w:tr>
      <w:tr w:rsidR="00A155A2" w:rsidRPr="00C90EC6" w14:paraId="00A6F05E" w14:textId="77777777" w:rsidTr="001C77D2">
        <w:trPr>
          <w:trHeight w:val="340"/>
        </w:trPr>
        <w:tc>
          <w:tcPr>
            <w:tcW w:w="2822" w:type="dxa"/>
            <w:tcBorders>
              <w:top w:val="nil"/>
              <w:left w:val="single" w:sz="4" w:space="0" w:color="auto"/>
              <w:bottom w:val="single" w:sz="4" w:space="0" w:color="auto"/>
              <w:right w:val="single" w:sz="4" w:space="0" w:color="auto"/>
            </w:tcBorders>
            <w:shd w:val="clear" w:color="auto" w:fill="auto"/>
            <w:vAlign w:val="center"/>
            <w:hideMark/>
          </w:tcPr>
          <w:p w14:paraId="0194AD86" w14:textId="77777777" w:rsidR="00A155A2" w:rsidRPr="00C90EC6" w:rsidRDefault="00A155A2" w:rsidP="001C77D2">
            <w:pPr>
              <w:spacing w:line="240" w:lineRule="auto"/>
              <w:rPr>
                <w:rFonts w:ascii="Arial" w:eastAsia="Times New Roman" w:hAnsi="Arial" w:cs="Arial"/>
                <w:sz w:val="18"/>
                <w:szCs w:val="18"/>
                <w:lang w:eastAsia="sl-SI"/>
              </w:rPr>
            </w:pPr>
            <w:r>
              <w:rPr>
                <w:rFonts w:ascii="Arial" w:eastAsia="Times New Roman" w:hAnsi="Arial" w:cs="Arial"/>
                <w:sz w:val="18"/>
                <w:szCs w:val="18"/>
                <w:lang w:eastAsia="sl-SI"/>
              </w:rPr>
              <w:t>Drugi</w:t>
            </w:r>
            <w:r w:rsidRPr="00C90EC6">
              <w:rPr>
                <w:rFonts w:ascii="Arial" w:eastAsia="Times New Roman" w:hAnsi="Arial" w:cs="Arial"/>
                <w:sz w:val="18"/>
                <w:szCs w:val="18"/>
                <w:lang w:eastAsia="sl-SI"/>
              </w:rPr>
              <w:t xml:space="preserve"> davki</w:t>
            </w:r>
          </w:p>
        </w:tc>
        <w:tc>
          <w:tcPr>
            <w:tcW w:w="1941" w:type="dxa"/>
            <w:tcBorders>
              <w:top w:val="nil"/>
              <w:left w:val="nil"/>
              <w:bottom w:val="single" w:sz="4" w:space="0" w:color="auto"/>
              <w:right w:val="single" w:sz="4" w:space="0" w:color="auto"/>
            </w:tcBorders>
            <w:shd w:val="clear" w:color="000000" w:fill="DAEEF3"/>
            <w:vAlign w:val="center"/>
            <w:hideMark/>
          </w:tcPr>
          <w:p w14:paraId="3FD1A14E"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32.815.512</w:t>
            </w:r>
          </w:p>
        </w:tc>
        <w:tc>
          <w:tcPr>
            <w:tcW w:w="1446" w:type="dxa"/>
            <w:tcBorders>
              <w:top w:val="nil"/>
              <w:left w:val="nil"/>
              <w:bottom w:val="single" w:sz="4" w:space="0" w:color="auto"/>
              <w:right w:val="single" w:sz="4" w:space="0" w:color="auto"/>
            </w:tcBorders>
            <w:shd w:val="clear" w:color="auto" w:fill="auto"/>
            <w:vAlign w:val="center"/>
            <w:hideMark/>
          </w:tcPr>
          <w:p w14:paraId="68260CF2"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5,3</w:t>
            </w:r>
          </w:p>
        </w:tc>
        <w:tc>
          <w:tcPr>
            <w:tcW w:w="1556" w:type="dxa"/>
            <w:tcBorders>
              <w:top w:val="nil"/>
              <w:left w:val="nil"/>
              <w:bottom w:val="single" w:sz="4" w:space="0" w:color="auto"/>
              <w:right w:val="single" w:sz="4" w:space="0" w:color="auto"/>
            </w:tcBorders>
            <w:shd w:val="clear" w:color="000000" w:fill="DAEEF3"/>
            <w:vAlign w:val="center"/>
            <w:hideMark/>
          </w:tcPr>
          <w:p w14:paraId="16CB7C87"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8.029.544</w:t>
            </w:r>
          </w:p>
        </w:tc>
        <w:tc>
          <w:tcPr>
            <w:tcW w:w="1282" w:type="dxa"/>
            <w:tcBorders>
              <w:top w:val="nil"/>
              <w:left w:val="nil"/>
              <w:bottom w:val="single" w:sz="4" w:space="0" w:color="auto"/>
              <w:right w:val="single" w:sz="4" w:space="0" w:color="auto"/>
            </w:tcBorders>
            <w:shd w:val="clear" w:color="auto" w:fill="auto"/>
            <w:vAlign w:val="center"/>
            <w:hideMark/>
          </w:tcPr>
          <w:p w14:paraId="17750E01" w14:textId="77777777" w:rsidR="00A155A2" w:rsidRPr="00C90EC6" w:rsidRDefault="00A155A2" w:rsidP="001C77D2">
            <w:pPr>
              <w:spacing w:line="240" w:lineRule="auto"/>
              <w:jc w:val="center"/>
              <w:rPr>
                <w:rFonts w:ascii="Arial" w:eastAsia="Times New Roman" w:hAnsi="Arial" w:cs="Arial"/>
                <w:sz w:val="18"/>
                <w:szCs w:val="18"/>
                <w:lang w:eastAsia="sl-SI"/>
              </w:rPr>
            </w:pPr>
            <w:r w:rsidRPr="00C90EC6">
              <w:rPr>
                <w:rFonts w:ascii="Arial" w:eastAsia="Times New Roman" w:hAnsi="Arial" w:cs="Arial"/>
                <w:sz w:val="18"/>
                <w:szCs w:val="18"/>
                <w:lang w:eastAsia="sl-SI"/>
              </w:rPr>
              <w:t>4,1</w:t>
            </w:r>
          </w:p>
        </w:tc>
      </w:tr>
      <w:tr w:rsidR="00A155A2" w:rsidRPr="00C90EC6" w14:paraId="1CA8B165" w14:textId="77777777" w:rsidTr="001C77D2">
        <w:trPr>
          <w:trHeight w:val="440"/>
        </w:trPr>
        <w:tc>
          <w:tcPr>
            <w:tcW w:w="2822" w:type="dxa"/>
            <w:tcBorders>
              <w:top w:val="nil"/>
              <w:left w:val="single" w:sz="4" w:space="0" w:color="auto"/>
              <w:bottom w:val="single" w:sz="4" w:space="0" w:color="auto"/>
              <w:right w:val="single" w:sz="4" w:space="0" w:color="auto"/>
            </w:tcBorders>
            <w:shd w:val="clear" w:color="000000" w:fill="31849B"/>
            <w:vAlign w:val="center"/>
            <w:hideMark/>
          </w:tcPr>
          <w:p w14:paraId="1F5FFBE0" w14:textId="77777777" w:rsidR="00A155A2" w:rsidRPr="00C90EC6" w:rsidRDefault="00A155A2" w:rsidP="001C77D2">
            <w:pPr>
              <w:spacing w:line="240" w:lineRule="auto"/>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Skupaj</w:t>
            </w:r>
          </w:p>
        </w:tc>
        <w:tc>
          <w:tcPr>
            <w:tcW w:w="1941" w:type="dxa"/>
            <w:tcBorders>
              <w:top w:val="nil"/>
              <w:left w:val="nil"/>
              <w:bottom w:val="single" w:sz="4" w:space="0" w:color="auto"/>
              <w:right w:val="single" w:sz="4" w:space="0" w:color="auto"/>
            </w:tcBorders>
            <w:shd w:val="clear" w:color="000000" w:fill="31849B"/>
            <w:vAlign w:val="center"/>
            <w:hideMark/>
          </w:tcPr>
          <w:p w14:paraId="404E7CEB"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629.198.552</w:t>
            </w:r>
          </w:p>
        </w:tc>
        <w:tc>
          <w:tcPr>
            <w:tcW w:w="1446" w:type="dxa"/>
            <w:tcBorders>
              <w:top w:val="nil"/>
              <w:left w:val="nil"/>
              <w:bottom w:val="single" w:sz="4" w:space="0" w:color="auto"/>
              <w:right w:val="single" w:sz="4" w:space="0" w:color="auto"/>
            </w:tcBorders>
            <w:shd w:val="clear" w:color="000000" w:fill="31849B"/>
            <w:vAlign w:val="center"/>
            <w:hideMark/>
          </w:tcPr>
          <w:p w14:paraId="1E1B1FB9" w14:textId="77777777" w:rsidR="00A155A2" w:rsidRPr="00C90EC6" w:rsidRDefault="00A155A2" w:rsidP="001C77D2">
            <w:pPr>
              <w:spacing w:line="240" w:lineRule="auto"/>
              <w:jc w:val="center"/>
              <w:rPr>
                <w:rFonts w:ascii="Arial" w:eastAsia="Times New Roman" w:hAnsi="Arial" w:cs="Arial"/>
                <w:color w:val="FFFFFF"/>
                <w:sz w:val="18"/>
                <w:szCs w:val="18"/>
                <w:lang w:eastAsia="sl-SI"/>
              </w:rPr>
            </w:pPr>
          </w:p>
        </w:tc>
        <w:tc>
          <w:tcPr>
            <w:tcW w:w="1556" w:type="dxa"/>
            <w:tcBorders>
              <w:top w:val="nil"/>
              <w:left w:val="nil"/>
              <w:bottom w:val="single" w:sz="4" w:space="0" w:color="auto"/>
              <w:right w:val="single" w:sz="4" w:space="0" w:color="auto"/>
            </w:tcBorders>
            <w:shd w:val="clear" w:color="000000" w:fill="31849B"/>
            <w:vAlign w:val="center"/>
            <w:hideMark/>
          </w:tcPr>
          <w:p w14:paraId="119CBDFF" w14:textId="77777777" w:rsidR="00A155A2" w:rsidRPr="00C90EC6" w:rsidRDefault="00A155A2" w:rsidP="001C77D2">
            <w:pPr>
              <w:spacing w:line="240" w:lineRule="auto"/>
              <w:jc w:val="center"/>
              <w:rPr>
                <w:rFonts w:ascii="Arial" w:eastAsia="Times New Roman" w:hAnsi="Arial" w:cs="Arial"/>
                <w:b/>
                <w:bCs/>
                <w:color w:val="FFFFFF"/>
                <w:sz w:val="18"/>
                <w:szCs w:val="18"/>
                <w:lang w:eastAsia="sl-SI"/>
              </w:rPr>
            </w:pPr>
            <w:r w:rsidRPr="00C90EC6">
              <w:rPr>
                <w:rFonts w:ascii="Arial" w:eastAsia="Times New Roman" w:hAnsi="Arial" w:cs="Arial"/>
                <w:b/>
                <w:bCs/>
                <w:color w:val="FFFFFF"/>
                <w:sz w:val="18"/>
                <w:szCs w:val="18"/>
                <w:lang w:eastAsia="sl-SI"/>
              </w:rPr>
              <w:t>200.041.656</w:t>
            </w:r>
          </w:p>
        </w:tc>
        <w:tc>
          <w:tcPr>
            <w:tcW w:w="1282" w:type="dxa"/>
            <w:tcBorders>
              <w:top w:val="nil"/>
              <w:left w:val="nil"/>
              <w:bottom w:val="single" w:sz="4" w:space="0" w:color="auto"/>
              <w:right w:val="single" w:sz="4" w:space="0" w:color="auto"/>
            </w:tcBorders>
            <w:shd w:val="clear" w:color="000000" w:fill="31849B"/>
            <w:vAlign w:val="center"/>
            <w:hideMark/>
          </w:tcPr>
          <w:p w14:paraId="4531A58B" w14:textId="77777777" w:rsidR="00A155A2" w:rsidRPr="00C90EC6" w:rsidRDefault="00A155A2" w:rsidP="001C77D2">
            <w:pPr>
              <w:spacing w:line="240" w:lineRule="auto"/>
              <w:jc w:val="center"/>
              <w:rPr>
                <w:rFonts w:ascii="Arial" w:eastAsia="Times New Roman" w:hAnsi="Arial" w:cs="Arial"/>
                <w:color w:val="FFFFFF"/>
                <w:sz w:val="18"/>
                <w:szCs w:val="18"/>
                <w:lang w:eastAsia="sl-SI"/>
              </w:rPr>
            </w:pPr>
          </w:p>
        </w:tc>
      </w:tr>
    </w:tbl>
    <w:p w14:paraId="0EAA38C0" w14:textId="77777777" w:rsidR="00A155A2" w:rsidRDefault="00A155A2" w:rsidP="00A155A2">
      <w:pPr>
        <w:rPr>
          <w:rFonts w:ascii="Arial" w:hAnsi="Arial" w:cs="Arial"/>
          <w:i/>
          <w:sz w:val="20"/>
          <w:szCs w:val="20"/>
        </w:rPr>
      </w:pPr>
      <w:r w:rsidRPr="00534703">
        <w:rPr>
          <w:rFonts w:ascii="Arial" w:hAnsi="Arial" w:cs="Arial"/>
          <w:i/>
          <w:sz w:val="20"/>
          <w:szCs w:val="20"/>
        </w:rPr>
        <w:t>Vir: FURS</w:t>
      </w:r>
    </w:p>
    <w:p w14:paraId="334FD50C" w14:textId="77777777" w:rsidR="00A155A2" w:rsidRPr="00C90EC6" w:rsidRDefault="00A155A2" w:rsidP="00A155A2">
      <w:pPr>
        <w:jc w:val="both"/>
        <w:rPr>
          <w:rFonts w:ascii="Arial" w:eastAsia="Times New Roman" w:hAnsi="Arial" w:cs="Arial"/>
          <w:bCs/>
          <w:sz w:val="20"/>
          <w:szCs w:val="20"/>
          <w:lang w:eastAsia="sl-SI"/>
        </w:rPr>
      </w:pPr>
      <w:r w:rsidRPr="00C90EC6">
        <w:rPr>
          <w:rFonts w:ascii="Arial" w:eastAsia="Times New Roman" w:hAnsi="Arial" w:cs="Arial"/>
          <w:bCs/>
          <w:sz w:val="20"/>
          <w:szCs w:val="20"/>
          <w:lang w:eastAsia="sl-SI"/>
        </w:rPr>
        <w:t xml:space="preserve">Največji delež izterjanih sredstev po sklepih o izvršbi </w:t>
      </w:r>
      <w:r>
        <w:rPr>
          <w:rFonts w:ascii="Arial" w:eastAsia="Times New Roman" w:hAnsi="Arial" w:cs="Arial"/>
          <w:bCs/>
          <w:sz w:val="20"/>
          <w:szCs w:val="20"/>
          <w:lang w:eastAsia="sl-SI"/>
        </w:rPr>
        <w:t>so</w:t>
      </w:r>
      <w:r w:rsidRPr="00C90EC6">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 xml:space="preserve">bila </w:t>
      </w:r>
      <w:r w:rsidRPr="00C90EC6">
        <w:rPr>
          <w:rFonts w:ascii="Arial" w:eastAsia="Times New Roman" w:hAnsi="Arial" w:cs="Arial"/>
          <w:bCs/>
          <w:sz w:val="20"/>
          <w:szCs w:val="20"/>
          <w:lang w:eastAsia="sl-SI"/>
        </w:rPr>
        <w:t xml:space="preserve">plačila </w:t>
      </w:r>
      <w:r>
        <w:rPr>
          <w:rFonts w:ascii="Arial" w:eastAsia="Times New Roman" w:hAnsi="Arial" w:cs="Arial"/>
          <w:bCs/>
          <w:sz w:val="20"/>
          <w:szCs w:val="20"/>
          <w:lang w:eastAsia="sl-SI"/>
        </w:rPr>
        <w:t xml:space="preserve">od </w:t>
      </w:r>
      <w:r w:rsidRPr="00C90EC6">
        <w:rPr>
          <w:rFonts w:ascii="Arial" w:eastAsia="Times New Roman" w:hAnsi="Arial" w:cs="Arial"/>
          <w:bCs/>
          <w:sz w:val="20"/>
          <w:szCs w:val="20"/>
          <w:lang w:eastAsia="sl-SI"/>
        </w:rPr>
        <w:t xml:space="preserve">prispevkov za socialno varnost (43,2 </w:t>
      </w:r>
      <w:r>
        <w:rPr>
          <w:rFonts w:ascii="Arial" w:hAnsi="Arial" w:cs="Arial"/>
          <w:bCs/>
          <w:sz w:val="20"/>
          <w:szCs w:val="20"/>
        </w:rPr>
        <w:t>odstotka</w:t>
      </w:r>
      <w:r w:rsidRPr="00C90EC6">
        <w:rPr>
          <w:rFonts w:ascii="Arial" w:eastAsia="Times New Roman" w:hAnsi="Arial" w:cs="Arial"/>
          <w:bCs/>
          <w:sz w:val="20"/>
          <w:szCs w:val="20"/>
          <w:lang w:eastAsia="sl-SI"/>
        </w:rPr>
        <w:t>), sledi</w:t>
      </w:r>
      <w:r>
        <w:rPr>
          <w:rFonts w:ascii="Arial" w:eastAsia="Times New Roman" w:hAnsi="Arial" w:cs="Arial"/>
          <w:bCs/>
          <w:sz w:val="20"/>
          <w:szCs w:val="20"/>
          <w:lang w:eastAsia="sl-SI"/>
        </w:rPr>
        <w:t>li s</w:t>
      </w:r>
      <w:r w:rsidRPr="00C90EC6">
        <w:rPr>
          <w:rFonts w:ascii="Arial" w:eastAsia="Times New Roman" w:hAnsi="Arial" w:cs="Arial"/>
          <w:bCs/>
          <w:sz w:val="20"/>
          <w:szCs w:val="20"/>
          <w:lang w:eastAsia="sl-SI"/>
        </w:rPr>
        <w:t xml:space="preserve">o domači davki na blago in storitve (26,7 </w:t>
      </w:r>
      <w:r>
        <w:rPr>
          <w:rFonts w:ascii="Arial" w:hAnsi="Arial" w:cs="Arial"/>
          <w:bCs/>
          <w:sz w:val="20"/>
          <w:szCs w:val="20"/>
        </w:rPr>
        <w:t>odstotka</w:t>
      </w:r>
      <w:r w:rsidRPr="00C90EC6">
        <w:rPr>
          <w:rFonts w:ascii="Arial" w:eastAsia="Times New Roman" w:hAnsi="Arial" w:cs="Arial"/>
          <w:bCs/>
          <w:sz w:val="20"/>
          <w:szCs w:val="20"/>
          <w:lang w:eastAsia="sl-SI"/>
        </w:rPr>
        <w:t>), davki na dohodek in dobiček (23,5</w:t>
      </w:r>
      <w:r w:rsidRPr="007F4215">
        <w:rPr>
          <w:rFonts w:ascii="Arial" w:hAnsi="Arial" w:cs="Arial"/>
          <w:bCs/>
          <w:sz w:val="20"/>
          <w:szCs w:val="20"/>
        </w:rPr>
        <w:t xml:space="preserve"> </w:t>
      </w:r>
      <w:r>
        <w:rPr>
          <w:rFonts w:ascii="Arial" w:hAnsi="Arial" w:cs="Arial"/>
          <w:bCs/>
          <w:sz w:val="20"/>
          <w:szCs w:val="20"/>
        </w:rPr>
        <w:t>odstotka)</w:t>
      </w:r>
      <w:r w:rsidRPr="00C90EC6">
        <w:rPr>
          <w:rFonts w:ascii="Arial" w:eastAsia="Times New Roman" w:hAnsi="Arial" w:cs="Arial"/>
          <w:bCs/>
          <w:sz w:val="20"/>
          <w:szCs w:val="20"/>
          <w:lang w:eastAsia="sl-SI"/>
        </w:rPr>
        <w:t xml:space="preserve">, davki na premoženje (2,5 </w:t>
      </w:r>
      <w:r>
        <w:rPr>
          <w:rFonts w:ascii="Arial" w:hAnsi="Arial" w:cs="Arial"/>
          <w:bCs/>
          <w:sz w:val="20"/>
          <w:szCs w:val="20"/>
        </w:rPr>
        <w:t>odstotka</w:t>
      </w:r>
      <w:r w:rsidRPr="00C90EC6">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ter</w:t>
      </w:r>
      <w:r w:rsidRPr="00C90EC6">
        <w:rPr>
          <w:rFonts w:ascii="Arial" w:eastAsia="Times New Roman" w:hAnsi="Arial" w:cs="Arial"/>
          <w:bCs/>
          <w:sz w:val="20"/>
          <w:szCs w:val="20"/>
          <w:lang w:eastAsia="sl-SI"/>
        </w:rPr>
        <w:t xml:space="preserve"> plačila </w:t>
      </w:r>
      <w:r>
        <w:rPr>
          <w:rFonts w:ascii="Arial" w:eastAsia="Times New Roman" w:hAnsi="Arial" w:cs="Arial"/>
          <w:bCs/>
          <w:sz w:val="20"/>
          <w:szCs w:val="20"/>
          <w:lang w:eastAsia="sl-SI"/>
        </w:rPr>
        <w:t>drug</w:t>
      </w:r>
      <w:r w:rsidRPr="00C90EC6">
        <w:rPr>
          <w:rFonts w:ascii="Arial" w:eastAsia="Times New Roman" w:hAnsi="Arial" w:cs="Arial"/>
          <w:bCs/>
          <w:sz w:val="20"/>
          <w:szCs w:val="20"/>
          <w:lang w:eastAsia="sl-SI"/>
        </w:rPr>
        <w:t xml:space="preserve">ih davkov (4,1 </w:t>
      </w:r>
      <w:r>
        <w:rPr>
          <w:rFonts w:ascii="Arial" w:hAnsi="Arial" w:cs="Arial"/>
          <w:bCs/>
          <w:sz w:val="20"/>
          <w:szCs w:val="20"/>
        </w:rPr>
        <w:t>odstotka</w:t>
      </w:r>
      <w:r w:rsidRPr="00C90EC6">
        <w:rPr>
          <w:rFonts w:ascii="Arial" w:eastAsia="Times New Roman" w:hAnsi="Arial" w:cs="Arial"/>
          <w:bCs/>
          <w:sz w:val="20"/>
          <w:szCs w:val="20"/>
          <w:lang w:eastAsia="sl-SI"/>
        </w:rPr>
        <w:t>).</w:t>
      </w:r>
    </w:p>
    <w:p w14:paraId="18AD0926" w14:textId="77777777" w:rsidR="00A155A2" w:rsidRDefault="00A155A2" w:rsidP="00A155A2">
      <w:pPr>
        <w:jc w:val="both"/>
        <w:rPr>
          <w:rFonts w:ascii="Arial" w:eastAsia="Times New Roman" w:hAnsi="Arial" w:cs="Arial"/>
          <w:b/>
          <w:sz w:val="20"/>
          <w:szCs w:val="20"/>
          <w:lang w:eastAsia="sl-SI"/>
        </w:rPr>
      </w:pPr>
      <w:r w:rsidRPr="00823EF6">
        <w:rPr>
          <w:rFonts w:ascii="Arial" w:eastAsia="Times New Roman" w:hAnsi="Arial" w:cs="Arial"/>
          <w:b/>
          <w:sz w:val="20"/>
          <w:szCs w:val="20"/>
          <w:lang w:eastAsia="sl-SI"/>
        </w:rPr>
        <w:t>Izvršba na dolžnikove premičnine</w:t>
      </w:r>
    </w:p>
    <w:p w14:paraId="4144BDD6" w14:textId="77777777" w:rsidR="00A155A2" w:rsidRPr="00817098" w:rsidRDefault="00A155A2" w:rsidP="00A155A2">
      <w:pPr>
        <w:jc w:val="both"/>
        <w:rPr>
          <w:rFonts w:ascii="Arial" w:eastAsia="Times New Roman" w:hAnsi="Arial" w:cs="Arial"/>
          <w:sz w:val="20"/>
          <w:szCs w:val="20"/>
          <w:lang w:eastAsia="sl-SI"/>
        </w:rPr>
      </w:pPr>
      <w:r>
        <w:rPr>
          <w:rFonts w:ascii="Arial" w:eastAsia="Times New Roman" w:hAnsi="Arial" w:cs="Arial"/>
          <w:sz w:val="20"/>
          <w:szCs w:val="20"/>
          <w:lang w:eastAsia="sl-SI"/>
        </w:rPr>
        <w:t>L</w:t>
      </w:r>
      <w:r w:rsidRPr="00817098">
        <w:rPr>
          <w:rFonts w:ascii="Arial" w:eastAsia="Times New Roman" w:hAnsi="Arial" w:cs="Arial"/>
          <w:sz w:val="20"/>
          <w:szCs w:val="20"/>
          <w:lang w:eastAsia="sl-SI"/>
        </w:rPr>
        <w:t>et</w:t>
      </w:r>
      <w:r>
        <w:rPr>
          <w:rFonts w:ascii="Arial" w:eastAsia="Times New Roman" w:hAnsi="Arial" w:cs="Arial"/>
          <w:sz w:val="20"/>
          <w:szCs w:val="20"/>
          <w:lang w:eastAsia="sl-SI"/>
        </w:rPr>
        <w:t>a</w:t>
      </w:r>
      <w:r w:rsidRPr="00817098">
        <w:rPr>
          <w:rFonts w:ascii="Arial" w:eastAsia="Times New Roman" w:hAnsi="Arial" w:cs="Arial"/>
          <w:sz w:val="20"/>
          <w:szCs w:val="20"/>
          <w:lang w:eastAsia="sl-SI"/>
        </w:rPr>
        <w:t xml:space="preserve"> 2024 je bilo v postopkih davčne izvršbe zarubljenih 5.323 premičnin, ocenjenih na 18.222.121 </w:t>
      </w:r>
      <w:r>
        <w:rPr>
          <w:rFonts w:ascii="Arial" w:eastAsia="Times New Roman" w:hAnsi="Arial" w:cs="Arial"/>
          <w:sz w:val="20"/>
          <w:szCs w:val="20"/>
          <w:lang w:eastAsia="sl-SI"/>
        </w:rPr>
        <w:t>EUR</w:t>
      </w:r>
      <w:r w:rsidRPr="00817098">
        <w:rPr>
          <w:rFonts w:ascii="Arial" w:eastAsia="Times New Roman" w:hAnsi="Arial" w:cs="Arial"/>
          <w:sz w:val="20"/>
          <w:szCs w:val="20"/>
          <w:lang w:eastAsia="sl-SI"/>
        </w:rPr>
        <w:t>. Največ je bilo rubežev trgovskega blaga, in sicer 1.657 (</w:t>
      </w:r>
      <w:r>
        <w:rPr>
          <w:rFonts w:ascii="Arial" w:eastAsia="Times New Roman" w:hAnsi="Arial" w:cs="Arial"/>
          <w:sz w:val="20"/>
          <w:szCs w:val="20"/>
          <w:lang w:eastAsia="sl-SI"/>
        </w:rPr>
        <w:t xml:space="preserve">ali </w:t>
      </w:r>
      <w:r w:rsidRPr="00817098">
        <w:rPr>
          <w:rFonts w:ascii="Arial" w:eastAsia="Times New Roman" w:hAnsi="Arial" w:cs="Arial"/>
          <w:sz w:val="20"/>
          <w:szCs w:val="20"/>
          <w:lang w:eastAsia="sl-SI"/>
        </w:rPr>
        <w:t xml:space="preserve">31,1 </w:t>
      </w:r>
      <w:r w:rsidRPr="007F4215">
        <w:rPr>
          <w:rFonts w:ascii="Arial" w:eastAsia="Times New Roman" w:hAnsi="Arial" w:cs="Arial"/>
          <w:sz w:val="20"/>
          <w:szCs w:val="20"/>
          <w:lang w:eastAsia="sl-SI"/>
        </w:rPr>
        <w:t>odstotk</w:t>
      </w:r>
      <w:r>
        <w:rPr>
          <w:rFonts w:ascii="Arial" w:eastAsia="Times New Roman" w:hAnsi="Arial" w:cs="Arial"/>
          <w:sz w:val="20"/>
          <w:szCs w:val="20"/>
          <w:lang w:eastAsia="sl-SI"/>
        </w:rPr>
        <w:t>a</w:t>
      </w:r>
      <w:r w:rsidRPr="00817098">
        <w:rPr>
          <w:rFonts w:ascii="Arial" w:eastAsia="Times New Roman" w:hAnsi="Arial" w:cs="Arial"/>
          <w:sz w:val="20"/>
          <w:szCs w:val="20"/>
          <w:lang w:eastAsia="sl-SI"/>
        </w:rPr>
        <w:t>)</w:t>
      </w:r>
      <w:r>
        <w:rPr>
          <w:rFonts w:ascii="Arial" w:eastAsia="Times New Roman" w:hAnsi="Arial" w:cs="Arial"/>
          <w:sz w:val="20"/>
          <w:szCs w:val="20"/>
          <w:lang w:eastAsia="sl-SI"/>
        </w:rPr>
        <w:t>,</w:t>
      </w:r>
      <w:r w:rsidRPr="00817098">
        <w:rPr>
          <w:rFonts w:ascii="Arial" w:eastAsia="Times New Roman" w:hAnsi="Arial" w:cs="Arial"/>
          <w:sz w:val="20"/>
          <w:szCs w:val="20"/>
          <w:lang w:eastAsia="sl-SI"/>
        </w:rPr>
        <w:t xml:space="preserve"> ter </w:t>
      </w:r>
      <w:r>
        <w:rPr>
          <w:rFonts w:ascii="Arial" w:eastAsia="Times New Roman" w:hAnsi="Arial" w:cs="Arial"/>
          <w:sz w:val="20"/>
          <w:szCs w:val="20"/>
          <w:lang w:eastAsia="sl-SI"/>
        </w:rPr>
        <w:t xml:space="preserve">rubežev </w:t>
      </w:r>
      <w:r w:rsidRPr="00817098">
        <w:rPr>
          <w:rFonts w:ascii="Arial" w:eastAsia="Times New Roman" w:hAnsi="Arial" w:cs="Arial"/>
          <w:sz w:val="20"/>
          <w:szCs w:val="20"/>
          <w:lang w:eastAsia="sl-SI"/>
        </w:rPr>
        <w:t>motornih vozil, 1.553 (</w:t>
      </w:r>
      <w:r>
        <w:rPr>
          <w:rFonts w:ascii="Arial" w:eastAsia="Times New Roman" w:hAnsi="Arial" w:cs="Arial"/>
          <w:sz w:val="20"/>
          <w:szCs w:val="20"/>
          <w:lang w:eastAsia="sl-SI"/>
        </w:rPr>
        <w:t xml:space="preserve">ali </w:t>
      </w:r>
      <w:r w:rsidRPr="00817098">
        <w:rPr>
          <w:rFonts w:ascii="Arial" w:eastAsia="Times New Roman" w:hAnsi="Arial" w:cs="Arial"/>
          <w:sz w:val="20"/>
          <w:szCs w:val="20"/>
          <w:lang w:eastAsia="sl-SI"/>
        </w:rPr>
        <w:t xml:space="preserve">29,2 </w:t>
      </w:r>
      <w:r w:rsidRPr="007F4215">
        <w:rPr>
          <w:rFonts w:ascii="Arial" w:eastAsia="Times New Roman" w:hAnsi="Arial" w:cs="Arial"/>
          <w:sz w:val="20"/>
          <w:szCs w:val="20"/>
          <w:lang w:eastAsia="sl-SI"/>
        </w:rPr>
        <w:t>odstotka</w:t>
      </w:r>
      <w:r w:rsidRPr="00817098">
        <w:rPr>
          <w:rFonts w:ascii="Arial" w:eastAsia="Times New Roman" w:hAnsi="Arial" w:cs="Arial"/>
          <w:sz w:val="20"/>
          <w:szCs w:val="20"/>
          <w:lang w:eastAsia="sl-SI"/>
        </w:rPr>
        <w:t>). Rubežev osnovnih sredstev je bilo 1.224 (</w:t>
      </w:r>
      <w:r>
        <w:rPr>
          <w:rFonts w:ascii="Arial" w:eastAsia="Times New Roman" w:hAnsi="Arial" w:cs="Arial"/>
          <w:sz w:val="20"/>
          <w:szCs w:val="20"/>
          <w:lang w:eastAsia="sl-SI"/>
        </w:rPr>
        <w:t xml:space="preserve">ali </w:t>
      </w:r>
      <w:r w:rsidRPr="00817098">
        <w:rPr>
          <w:rFonts w:ascii="Arial" w:eastAsia="Times New Roman" w:hAnsi="Arial" w:cs="Arial"/>
          <w:sz w:val="20"/>
          <w:szCs w:val="20"/>
          <w:lang w:eastAsia="sl-SI"/>
        </w:rPr>
        <w:t xml:space="preserve">23 </w:t>
      </w:r>
      <w:r w:rsidRPr="007F4215">
        <w:rPr>
          <w:rFonts w:ascii="Arial" w:eastAsia="Times New Roman" w:hAnsi="Arial" w:cs="Arial"/>
          <w:sz w:val="20"/>
          <w:szCs w:val="20"/>
          <w:lang w:eastAsia="sl-SI"/>
        </w:rPr>
        <w:t>odstotk</w:t>
      </w:r>
      <w:r>
        <w:rPr>
          <w:rFonts w:ascii="Arial" w:eastAsia="Times New Roman" w:hAnsi="Arial" w:cs="Arial"/>
          <w:sz w:val="20"/>
          <w:szCs w:val="20"/>
          <w:lang w:eastAsia="sl-SI"/>
        </w:rPr>
        <w:t>ov</w:t>
      </w:r>
      <w:r w:rsidRPr="00817098">
        <w:rPr>
          <w:rFonts w:ascii="Arial" w:eastAsia="Times New Roman" w:hAnsi="Arial" w:cs="Arial"/>
          <w:sz w:val="20"/>
          <w:szCs w:val="20"/>
          <w:lang w:eastAsia="sl-SI"/>
        </w:rPr>
        <w:t>). Gotovina je bila zarubljena v 851</w:t>
      </w:r>
      <w:r>
        <w:rPr>
          <w:rFonts w:ascii="Arial" w:eastAsia="Times New Roman" w:hAnsi="Arial" w:cs="Arial"/>
          <w:sz w:val="20"/>
          <w:szCs w:val="20"/>
          <w:lang w:eastAsia="sl-SI"/>
        </w:rPr>
        <w:t xml:space="preserve"> </w:t>
      </w:r>
      <w:r w:rsidRPr="00817098">
        <w:rPr>
          <w:rFonts w:ascii="Arial" w:eastAsia="Times New Roman" w:hAnsi="Arial" w:cs="Arial"/>
          <w:sz w:val="20"/>
          <w:szCs w:val="20"/>
          <w:lang w:eastAsia="sl-SI"/>
        </w:rPr>
        <w:t xml:space="preserve">primerih (16 </w:t>
      </w:r>
      <w:r w:rsidRPr="007F4215">
        <w:rPr>
          <w:rFonts w:ascii="Arial" w:eastAsia="Times New Roman" w:hAnsi="Arial" w:cs="Arial"/>
          <w:sz w:val="20"/>
          <w:szCs w:val="20"/>
          <w:lang w:eastAsia="sl-SI"/>
        </w:rPr>
        <w:t>odstotk</w:t>
      </w:r>
      <w:r>
        <w:rPr>
          <w:rFonts w:ascii="Arial" w:eastAsia="Times New Roman" w:hAnsi="Arial" w:cs="Arial"/>
          <w:sz w:val="20"/>
          <w:szCs w:val="20"/>
          <w:lang w:eastAsia="sl-SI"/>
        </w:rPr>
        <w:t>ov</w:t>
      </w:r>
      <w:r w:rsidRPr="00817098">
        <w:rPr>
          <w:rFonts w:ascii="Arial" w:eastAsia="Times New Roman" w:hAnsi="Arial" w:cs="Arial"/>
          <w:sz w:val="20"/>
          <w:szCs w:val="20"/>
          <w:lang w:eastAsia="sl-SI"/>
        </w:rPr>
        <w:t>)</w:t>
      </w:r>
      <w:r>
        <w:rPr>
          <w:rFonts w:ascii="Arial" w:eastAsia="Times New Roman" w:hAnsi="Arial" w:cs="Arial"/>
          <w:sz w:val="20"/>
          <w:szCs w:val="20"/>
          <w:lang w:eastAsia="sl-SI"/>
        </w:rPr>
        <w:t>,</w:t>
      </w:r>
      <w:r w:rsidRPr="00817098">
        <w:rPr>
          <w:rFonts w:ascii="Arial" w:eastAsia="Times New Roman" w:hAnsi="Arial" w:cs="Arial"/>
          <w:sz w:val="20"/>
          <w:szCs w:val="20"/>
          <w:lang w:eastAsia="sl-SI"/>
        </w:rPr>
        <w:t xml:space="preserve"> 31</w:t>
      </w:r>
      <w:r>
        <w:rPr>
          <w:rFonts w:ascii="Arial" w:eastAsia="Times New Roman" w:hAnsi="Arial" w:cs="Arial"/>
          <w:sz w:val="20"/>
          <w:szCs w:val="20"/>
          <w:lang w:eastAsia="sl-SI"/>
        </w:rPr>
        <w:t xml:space="preserve"> </w:t>
      </w:r>
      <w:r w:rsidRPr="00817098">
        <w:rPr>
          <w:rFonts w:ascii="Arial" w:eastAsia="Times New Roman" w:hAnsi="Arial" w:cs="Arial"/>
          <w:sz w:val="20"/>
          <w:szCs w:val="20"/>
          <w:lang w:eastAsia="sl-SI"/>
        </w:rPr>
        <w:t>(</w:t>
      </w:r>
      <w:r>
        <w:rPr>
          <w:rFonts w:ascii="Arial" w:eastAsia="Times New Roman" w:hAnsi="Arial" w:cs="Arial"/>
          <w:sz w:val="20"/>
          <w:szCs w:val="20"/>
          <w:lang w:eastAsia="sl-SI"/>
        </w:rPr>
        <w:t xml:space="preserve">ali </w:t>
      </w:r>
      <w:r w:rsidRPr="00817098">
        <w:rPr>
          <w:rFonts w:ascii="Arial" w:eastAsia="Times New Roman" w:hAnsi="Arial" w:cs="Arial"/>
          <w:sz w:val="20"/>
          <w:szCs w:val="20"/>
          <w:lang w:eastAsia="sl-SI"/>
        </w:rPr>
        <w:t xml:space="preserve">0,6 </w:t>
      </w:r>
      <w:r w:rsidRPr="007F4215">
        <w:rPr>
          <w:rFonts w:ascii="Arial" w:eastAsia="Times New Roman" w:hAnsi="Arial" w:cs="Arial"/>
          <w:sz w:val="20"/>
          <w:szCs w:val="20"/>
          <w:lang w:eastAsia="sl-SI"/>
        </w:rPr>
        <w:t>odstotka</w:t>
      </w:r>
      <w:r w:rsidRPr="00817098">
        <w:rPr>
          <w:rFonts w:ascii="Arial" w:eastAsia="Times New Roman" w:hAnsi="Arial" w:cs="Arial"/>
          <w:sz w:val="20"/>
          <w:szCs w:val="20"/>
          <w:lang w:eastAsia="sl-SI"/>
        </w:rPr>
        <w:t xml:space="preserve">) </w:t>
      </w:r>
      <w:r>
        <w:rPr>
          <w:rFonts w:ascii="Arial" w:eastAsia="Times New Roman" w:hAnsi="Arial" w:cs="Arial"/>
          <w:sz w:val="20"/>
          <w:szCs w:val="20"/>
          <w:lang w:eastAsia="sl-SI"/>
        </w:rPr>
        <w:t>je bilo</w:t>
      </w:r>
      <w:r w:rsidRPr="00817098">
        <w:rPr>
          <w:rFonts w:ascii="Arial" w:eastAsia="Times New Roman" w:hAnsi="Arial" w:cs="Arial"/>
          <w:sz w:val="20"/>
          <w:szCs w:val="20"/>
          <w:lang w:eastAsia="sl-SI"/>
        </w:rPr>
        <w:t xml:space="preserve"> rubežev drugih premičnin </w:t>
      </w:r>
      <w:r>
        <w:rPr>
          <w:rFonts w:ascii="Arial" w:eastAsia="Times New Roman" w:hAnsi="Arial" w:cs="Arial"/>
          <w:sz w:val="20"/>
          <w:szCs w:val="20"/>
          <w:lang w:eastAsia="sl-SI"/>
        </w:rPr>
        <w:t>in</w:t>
      </w:r>
      <w:r w:rsidRPr="0081709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sedem </w:t>
      </w:r>
      <w:r w:rsidRPr="00817098">
        <w:rPr>
          <w:rFonts w:ascii="Arial" w:eastAsia="Times New Roman" w:hAnsi="Arial" w:cs="Arial"/>
          <w:sz w:val="20"/>
          <w:szCs w:val="20"/>
          <w:lang w:eastAsia="sl-SI"/>
        </w:rPr>
        <w:t>(</w:t>
      </w:r>
      <w:r>
        <w:rPr>
          <w:rFonts w:ascii="Arial" w:eastAsia="Times New Roman" w:hAnsi="Arial" w:cs="Arial"/>
          <w:sz w:val="20"/>
          <w:szCs w:val="20"/>
          <w:lang w:eastAsia="sl-SI"/>
        </w:rPr>
        <w:t xml:space="preserve">ali </w:t>
      </w:r>
      <w:r w:rsidRPr="00817098">
        <w:rPr>
          <w:rFonts w:ascii="Arial" w:eastAsia="Times New Roman" w:hAnsi="Arial" w:cs="Arial"/>
          <w:sz w:val="20"/>
          <w:szCs w:val="20"/>
          <w:lang w:eastAsia="sl-SI"/>
        </w:rPr>
        <w:t xml:space="preserve">0,1 </w:t>
      </w:r>
      <w:r>
        <w:rPr>
          <w:rFonts w:ascii="Arial" w:eastAsia="Times New Roman" w:hAnsi="Arial" w:cs="Arial"/>
          <w:sz w:val="20"/>
          <w:szCs w:val="20"/>
          <w:lang w:eastAsia="sl-SI"/>
        </w:rPr>
        <w:t>odstotka</w:t>
      </w:r>
      <w:r w:rsidRPr="00817098">
        <w:rPr>
          <w:rFonts w:ascii="Arial" w:eastAsia="Times New Roman" w:hAnsi="Arial" w:cs="Arial"/>
          <w:sz w:val="20"/>
          <w:szCs w:val="20"/>
          <w:lang w:eastAsia="sl-SI"/>
        </w:rPr>
        <w:t xml:space="preserve">) rubežev vrednostnih papirjev. </w:t>
      </w:r>
    </w:p>
    <w:p w14:paraId="05339C14" w14:textId="77777777" w:rsidR="00A155A2" w:rsidRDefault="00A155A2" w:rsidP="00A155A2">
      <w:pPr>
        <w:jc w:val="both"/>
        <w:rPr>
          <w:rFonts w:ascii="Arial" w:eastAsia="Times New Roman" w:hAnsi="Arial" w:cs="Arial"/>
          <w:sz w:val="20"/>
          <w:szCs w:val="20"/>
          <w:lang w:eastAsia="sl-SI"/>
        </w:rPr>
      </w:pPr>
      <w:r w:rsidRPr="00817098">
        <w:rPr>
          <w:rFonts w:ascii="Arial" w:eastAsia="Times New Roman" w:hAnsi="Arial" w:cs="Arial"/>
          <w:sz w:val="20"/>
          <w:szCs w:val="20"/>
          <w:lang w:eastAsia="sl-SI"/>
        </w:rPr>
        <w:t xml:space="preserve">Pri izvedbi rubežev gotovine davčni organ </w:t>
      </w:r>
      <w:r>
        <w:rPr>
          <w:rFonts w:ascii="Arial" w:eastAsia="Times New Roman" w:hAnsi="Arial" w:cs="Arial"/>
          <w:sz w:val="20"/>
          <w:szCs w:val="20"/>
          <w:lang w:eastAsia="sl-SI"/>
        </w:rPr>
        <w:t>uporablja</w:t>
      </w:r>
      <w:r w:rsidRPr="00817098">
        <w:rPr>
          <w:rFonts w:ascii="Arial" w:eastAsia="Times New Roman" w:hAnsi="Arial" w:cs="Arial"/>
          <w:sz w:val="20"/>
          <w:szCs w:val="20"/>
          <w:lang w:eastAsia="sl-SI"/>
        </w:rPr>
        <w:t xml:space="preserve"> tudi podatk</w:t>
      </w:r>
      <w:r>
        <w:rPr>
          <w:rFonts w:ascii="Arial" w:eastAsia="Times New Roman" w:hAnsi="Arial" w:cs="Arial"/>
          <w:sz w:val="20"/>
          <w:szCs w:val="20"/>
          <w:lang w:eastAsia="sl-SI"/>
        </w:rPr>
        <w:t>e</w:t>
      </w:r>
      <w:r w:rsidRPr="00817098">
        <w:rPr>
          <w:rFonts w:ascii="Arial" w:eastAsia="Times New Roman" w:hAnsi="Arial" w:cs="Arial"/>
          <w:sz w:val="20"/>
          <w:szCs w:val="20"/>
          <w:lang w:eastAsia="sl-SI"/>
        </w:rPr>
        <w:t xml:space="preserve"> o izdanih računih iz davčnih blagajn.</w:t>
      </w:r>
    </w:p>
    <w:p w14:paraId="27F75CDF" w14:textId="77777777" w:rsidR="00A155A2" w:rsidRDefault="00A155A2" w:rsidP="00A155A2">
      <w:pPr>
        <w:jc w:val="both"/>
        <w:rPr>
          <w:rFonts w:ascii="Arial" w:eastAsia="Times New Roman" w:hAnsi="Arial" w:cs="Arial"/>
          <w:i/>
          <w:sz w:val="20"/>
          <w:szCs w:val="20"/>
          <w:lang w:eastAsia="sl-SI"/>
        </w:rPr>
      </w:pPr>
      <w:r w:rsidRPr="00087025">
        <w:rPr>
          <w:rFonts w:ascii="Arial" w:eastAsia="Times New Roman" w:hAnsi="Arial" w:cs="Arial"/>
          <w:i/>
          <w:sz w:val="20"/>
          <w:szCs w:val="20"/>
          <w:lang w:eastAsia="sl-SI"/>
        </w:rPr>
        <w:t>Slika</w:t>
      </w:r>
      <w:r>
        <w:rPr>
          <w:rFonts w:ascii="Arial" w:eastAsia="Times New Roman" w:hAnsi="Arial" w:cs="Arial"/>
          <w:i/>
          <w:sz w:val="20"/>
          <w:szCs w:val="20"/>
          <w:lang w:eastAsia="sl-SI"/>
        </w:rPr>
        <w:t xml:space="preserve"> 9:</w:t>
      </w:r>
      <w:r w:rsidRPr="00087025">
        <w:rPr>
          <w:rFonts w:ascii="Arial" w:eastAsia="Times New Roman" w:hAnsi="Arial" w:cs="Arial"/>
          <w:i/>
          <w:sz w:val="20"/>
          <w:szCs w:val="20"/>
          <w:lang w:eastAsia="sl-SI"/>
        </w:rPr>
        <w:t xml:space="preserve"> Število zarubljenih </w:t>
      </w:r>
      <w:r w:rsidRPr="00DA05F4">
        <w:rPr>
          <w:rFonts w:ascii="Arial" w:eastAsia="Times New Roman" w:hAnsi="Arial" w:cs="Arial"/>
          <w:i/>
          <w:sz w:val="20"/>
          <w:szCs w:val="20"/>
          <w:lang w:eastAsia="sl-SI"/>
        </w:rPr>
        <w:t xml:space="preserve">premičnin </w:t>
      </w:r>
      <w:r w:rsidRPr="00A93ADE">
        <w:rPr>
          <w:rFonts w:ascii="Arial" w:eastAsia="Times New Roman" w:hAnsi="Arial" w:cs="Arial"/>
          <w:i/>
          <w:sz w:val="20"/>
          <w:szCs w:val="20"/>
          <w:lang w:eastAsia="sl-SI"/>
        </w:rPr>
        <w:t>po vrstah zarubljenih predmetov v letu 2024</w:t>
      </w:r>
    </w:p>
    <w:p w14:paraId="57B293ED" w14:textId="77777777" w:rsidR="00A155A2" w:rsidRDefault="00A155A2" w:rsidP="00A155A2">
      <w:pPr>
        <w:jc w:val="both"/>
        <w:rPr>
          <w:rFonts w:ascii="Arial" w:eastAsia="Times New Roman" w:hAnsi="Arial" w:cs="Arial"/>
          <w:i/>
          <w:sz w:val="20"/>
          <w:szCs w:val="20"/>
          <w:lang w:eastAsia="sl-SI"/>
        </w:rPr>
      </w:pPr>
      <w:r>
        <w:rPr>
          <w:noProof/>
          <w:lang w:eastAsia="sl-SI"/>
        </w:rPr>
        <w:drawing>
          <wp:inline distT="0" distB="0" distL="0" distR="0" wp14:anchorId="6D0A8E97" wp14:editId="490D2F7D">
            <wp:extent cx="3666795" cy="2647417"/>
            <wp:effectExtent l="0" t="0" r="0" b="635"/>
            <wp:docPr id="10" name="Grafikon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8E1DEC9" w14:textId="77777777" w:rsidR="00A155A2" w:rsidRDefault="00A155A2" w:rsidP="00A155A2">
      <w:pPr>
        <w:jc w:val="both"/>
        <w:rPr>
          <w:rFonts w:ascii="Arial" w:hAnsi="Arial" w:cs="Arial"/>
          <w:i/>
          <w:sz w:val="20"/>
          <w:szCs w:val="20"/>
        </w:rPr>
      </w:pPr>
      <w:r w:rsidRPr="00087025">
        <w:rPr>
          <w:rFonts w:ascii="Arial" w:hAnsi="Arial" w:cs="Arial"/>
          <w:i/>
          <w:sz w:val="20"/>
          <w:szCs w:val="20"/>
        </w:rPr>
        <w:t>Vir: FURS</w:t>
      </w:r>
    </w:p>
    <w:p w14:paraId="0C2CB03F" w14:textId="77777777" w:rsidR="00A155A2" w:rsidRDefault="00A155A2" w:rsidP="00A155A2">
      <w:pPr>
        <w:jc w:val="both"/>
        <w:rPr>
          <w:rFonts w:ascii="Arial" w:eastAsia="Times New Roman" w:hAnsi="Arial" w:cs="Arial"/>
          <w:iCs/>
          <w:sz w:val="20"/>
          <w:szCs w:val="20"/>
          <w:lang w:eastAsia="sl-SI"/>
        </w:rPr>
      </w:pPr>
    </w:p>
    <w:p w14:paraId="297211AB" w14:textId="77777777" w:rsidR="00A155A2" w:rsidRPr="00D66BE4" w:rsidRDefault="00A155A2" w:rsidP="00A155A2">
      <w:pPr>
        <w:jc w:val="both"/>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Da bi se izognili</w:t>
      </w:r>
      <w:r w:rsidRPr="00D66BE4">
        <w:rPr>
          <w:rFonts w:ascii="Arial" w:eastAsia="Times New Roman" w:hAnsi="Arial" w:cs="Arial"/>
          <w:iCs/>
          <w:sz w:val="20"/>
          <w:szCs w:val="20"/>
          <w:lang w:eastAsia="sl-SI"/>
        </w:rPr>
        <w:t xml:space="preserve"> prisiln</w:t>
      </w:r>
      <w:r>
        <w:rPr>
          <w:rFonts w:ascii="Arial" w:eastAsia="Times New Roman" w:hAnsi="Arial" w:cs="Arial"/>
          <w:iCs/>
          <w:sz w:val="20"/>
          <w:szCs w:val="20"/>
          <w:lang w:eastAsia="sl-SI"/>
        </w:rPr>
        <w:t>i</w:t>
      </w:r>
      <w:r w:rsidRPr="00D66BE4">
        <w:rPr>
          <w:rFonts w:ascii="Arial" w:eastAsia="Times New Roman" w:hAnsi="Arial" w:cs="Arial"/>
          <w:iCs/>
          <w:sz w:val="20"/>
          <w:szCs w:val="20"/>
          <w:lang w:eastAsia="sl-SI"/>
        </w:rPr>
        <w:t xml:space="preserve"> prodaj</w:t>
      </w:r>
      <w:r>
        <w:rPr>
          <w:rFonts w:ascii="Arial" w:eastAsia="Times New Roman" w:hAnsi="Arial" w:cs="Arial"/>
          <w:iCs/>
          <w:sz w:val="20"/>
          <w:szCs w:val="20"/>
          <w:lang w:eastAsia="sl-SI"/>
        </w:rPr>
        <w:t>i</w:t>
      </w:r>
      <w:r w:rsidRPr="00D66BE4">
        <w:rPr>
          <w:rFonts w:ascii="Arial" w:eastAsia="Times New Roman" w:hAnsi="Arial" w:cs="Arial"/>
          <w:iCs/>
          <w:sz w:val="20"/>
          <w:szCs w:val="20"/>
          <w:lang w:eastAsia="sl-SI"/>
        </w:rPr>
        <w:t xml:space="preserve"> zarubljenih premičnin</w:t>
      </w:r>
      <w:r>
        <w:rPr>
          <w:rFonts w:ascii="Arial" w:eastAsia="Times New Roman" w:hAnsi="Arial" w:cs="Arial"/>
          <w:iCs/>
          <w:sz w:val="20"/>
          <w:szCs w:val="20"/>
          <w:lang w:eastAsia="sl-SI"/>
        </w:rPr>
        <w:t>,</w:t>
      </w:r>
      <w:r w:rsidRPr="00D66BE4">
        <w:rPr>
          <w:rFonts w:ascii="Arial" w:eastAsia="Times New Roman" w:hAnsi="Arial" w:cs="Arial"/>
          <w:iCs/>
          <w:sz w:val="20"/>
          <w:szCs w:val="20"/>
          <w:lang w:eastAsia="sl-SI"/>
        </w:rPr>
        <w:t xml:space="preserve"> je </w:t>
      </w:r>
      <w:r>
        <w:rPr>
          <w:rFonts w:ascii="Arial" w:eastAsia="Times New Roman" w:hAnsi="Arial" w:cs="Arial"/>
          <w:iCs/>
          <w:sz w:val="20"/>
          <w:szCs w:val="20"/>
          <w:lang w:eastAsia="sl-SI"/>
        </w:rPr>
        <w:t>p</w:t>
      </w:r>
      <w:r w:rsidRPr="00D66BE4">
        <w:rPr>
          <w:rFonts w:ascii="Arial" w:eastAsia="Times New Roman" w:hAnsi="Arial" w:cs="Arial"/>
          <w:iCs/>
          <w:sz w:val="20"/>
          <w:szCs w:val="20"/>
          <w:lang w:eastAsia="sl-SI"/>
        </w:rPr>
        <w:t xml:space="preserve">o začetku postopka davčne izvršbe na premičnine 11.564 dolžnikov poravnalo svoj dolg v znesku 24.259.882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w:t>
      </w:r>
    </w:p>
    <w:p w14:paraId="181C8A1E"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Zarubljen</w:t>
      </w:r>
      <w:r>
        <w:rPr>
          <w:rFonts w:ascii="Arial" w:eastAsia="Times New Roman" w:hAnsi="Arial" w:cs="Arial"/>
          <w:iCs/>
          <w:sz w:val="20"/>
          <w:szCs w:val="20"/>
          <w:lang w:eastAsia="sl-SI"/>
        </w:rPr>
        <w:t>e</w:t>
      </w:r>
      <w:r w:rsidRPr="00D66BE4">
        <w:rPr>
          <w:rFonts w:ascii="Arial" w:eastAsia="Times New Roman" w:hAnsi="Arial" w:cs="Arial"/>
          <w:iCs/>
          <w:sz w:val="20"/>
          <w:szCs w:val="20"/>
          <w:lang w:eastAsia="sl-SI"/>
        </w:rPr>
        <w:t xml:space="preserve"> predmet</w:t>
      </w:r>
      <w:r>
        <w:rPr>
          <w:rFonts w:ascii="Arial" w:eastAsia="Times New Roman" w:hAnsi="Arial" w:cs="Arial"/>
          <w:iCs/>
          <w:sz w:val="20"/>
          <w:szCs w:val="20"/>
          <w:lang w:eastAsia="sl-SI"/>
        </w:rPr>
        <w:t>e</w:t>
      </w:r>
      <w:r w:rsidRPr="00D66BE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skupno</w:t>
      </w:r>
      <w:r w:rsidRPr="00D66BE4">
        <w:rPr>
          <w:rFonts w:ascii="Arial" w:eastAsia="Times New Roman" w:hAnsi="Arial" w:cs="Arial"/>
          <w:iCs/>
          <w:sz w:val="20"/>
          <w:szCs w:val="20"/>
          <w:lang w:eastAsia="sl-SI"/>
        </w:rPr>
        <w:t xml:space="preserve"> ocenjen</w:t>
      </w:r>
      <w:r>
        <w:rPr>
          <w:rFonts w:ascii="Arial" w:eastAsia="Times New Roman" w:hAnsi="Arial" w:cs="Arial"/>
          <w:iCs/>
          <w:sz w:val="20"/>
          <w:szCs w:val="20"/>
          <w:lang w:eastAsia="sl-SI"/>
        </w:rPr>
        <w:t>e</w:t>
      </w:r>
      <w:r w:rsidRPr="00D66BE4">
        <w:rPr>
          <w:rFonts w:ascii="Arial" w:eastAsia="Times New Roman" w:hAnsi="Arial" w:cs="Arial"/>
          <w:iCs/>
          <w:sz w:val="20"/>
          <w:szCs w:val="20"/>
          <w:lang w:eastAsia="sl-SI"/>
        </w:rPr>
        <w:t xml:space="preserve"> na</w:t>
      </w:r>
      <w:r>
        <w:rPr>
          <w:rFonts w:ascii="Arial" w:eastAsia="Times New Roman" w:hAnsi="Arial" w:cs="Arial"/>
          <w:iCs/>
          <w:sz w:val="20"/>
          <w:szCs w:val="20"/>
          <w:lang w:eastAsia="sl-SI"/>
        </w:rPr>
        <w:t xml:space="preserve"> </w:t>
      </w:r>
      <w:r w:rsidRPr="00D66BE4">
        <w:rPr>
          <w:rFonts w:ascii="Arial" w:eastAsia="Times New Roman" w:hAnsi="Arial" w:cs="Arial"/>
          <w:iCs/>
          <w:sz w:val="20"/>
          <w:szCs w:val="20"/>
          <w:lang w:eastAsia="sl-SI"/>
        </w:rPr>
        <w:t xml:space="preserve">3.146.875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je FURS</w:t>
      </w:r>
      <w:r w:rsidRPr="00D66BE4">
        <w:rPr>
          <w:rFonts w:ascii="Arial" w:eastAsia="Times New Roman" w:hAnsi="Arial" w:cs="Arial"/>
          <w:iCs/>
          <w:sz w:val="20"/>
          <w:szCs w:val="20"/>
          <w:lang w:eastAsia="sl-SI"/>
        </w:rPr>
        <w:t xml:space="preserve"> v letu 2024 prodaj</w:t>
      </w:r>
      <w:r>
        <w:rPr>
          <w:rFonts w:ascii="Arial" w:eastAsia="Times New Roman" w:hAnsi="Arial" w:cs="Arial"/>
          <w:iCs/>
          <w:sz w:val="20"/>
          <w:szCs w:val="20"/>
          <w:lang w:eastAsia="sl-SI"/>
        </w:rPr>
        <w:t>al</w:t>
      </w:r>
      <w:r w:rsidRPr="00D66BE4">
        <w:rPr>
          <w:rFonts w:ascii="Arial" w:eastAsia="Times New Roman" w:hAnsi="Arial" w:cs="Arial"/>
          <w:iCs/>
          <w:sz w:val="20"/>
          <w:szCs w:val="20"/>
          <w:lang w:eastAsia="sl-SI"/>
        </w:rPr>
        <w:t xml:space="preserve"> na javnih dražbah, z zbiranjem ponudb in s sklenitvijo neposrednih pogodb </w:t>
      </w:r>
      <w:r>
        <w:rPr>
          <w:rFonts w:ascii="Arial" w:eastAsia="Times New Roman" w:hAnsi="Arial" w:cs="Arial"/>
          <w:iCs/>
          <w:sz w:val="20"/>
          <w:szCs w:val="20"/>
          <w:lang w:eastAsia="sl-SI"/>
        </w:rPr>
        <w:t>ali</w:t>
      </w:r>
      <w:r w:rsidRPr="00D66BE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pa</w:t>
      </w:r>
      <w:r w:rsidRPr="00D66BE4">
        <w:rPr>
          <w:rFonts w:ascii="Arial" w:eastAsia="Times New Roman" w:hAnsi="Arial" w:cs="Arial"/>
          <w:iCs/>
          <w:sz w:val="20"/>
          <w:szCs w:val="20"/>
          <w:lang w:eastAsia="sl-SI"/>
        </w:rPr>
        <w:t xml:space="preserve"> je dolžnikom da</w:t>
      </w:r>
      <w:r>
        <w:rPr>
          <w:rFonts w:ascii="Arial" w:eastAsia="Times New Roman" w:hAnsi="Arial" w:cs="Arial"/>
          <w:iCs/>
          <w:sz w:val="20"/>
          <w:szCs w:val="20"/>
          <w:lang w:eastAsia="sl-SI"/>
        </w:rPr>
        <w:t>l</w:t>
      </w:r>
      <w:r w:rsidRPr="00D66BE4">
        <w:rPr>
          <w:rFonts w:ascii="Arial" w:eastAsia="Times New Roman" w:hAnsi="Arial" w:cs="Arial"/>
          <w:iCs/>
          <w:sz w:val="20"/>
          <w:szCs w:val="20"/>
          <w:lang w:eastAsia="sl-SI"/>
        </w:rPr>
        <w:t xml:space="preserve"> pooblastilo, da zarubljene premičnine prodajo sami. </w:t>
      </w:r>
      <w:r>
        <w:rPr>
          <w:rFonts w:ascii="Arial" w:eastAsia="Times New Roman" w:hAnsi="Arial" w:cs="Arial"/>
          <w:iCs/>
          <w:sz w:val="20"/>
          <w:szCs w:val="20"/>
          <w:lang w:eastAsia="sl-SI"/>
        </w:rPr>
        <w:t>S</w:t>
      </w:r>
      <w:r w:rsidRPr="00D66BE4">
        <w:rPr>
          <w:rFonts w:ascii="Arial" w:eastAsia="Times New Roman" w:hAnsi="Arial" w:cs="Arial"/>
          <w:iCs/>
          <w:sz w:val="20"/>
          <w:szCs w:val="20"/>
          <w:lang w:eastAsia="sl-SI"/>
        </w:rPr>
        <w:t xml:space="preserve"> prodaj</w:t>
      </w:r>
      <w:r>
        <w:rPr>
          <w:rFonts w:ascii="Arial" w:eastAsia="Times New Roman" w:hAnsi="Arial" w:cs="Arial"/>
          <w:iCs/>
          <w:sz w:val="20"/>
          <w:szCs w:val="20"/>
          <w:lang w:eastAsia="sl-SI"/>
        </w:rPr>
        <w:t>ami</w:t>
      </w:r>
      <w:r w:rsidRPr="00D66BE4">
        <w:rPr>
          <w:rFonts w:ascii="Arial" w:eastAsia="Times New Roman" w:hAnsi="Arial" w:cs="Arial"/>
          <w:iCs/>
          <w:sz w:val="20"/>
          <w:szCs w:val="20"/>
          <w:lang w:eastAsia="sl-SI"/>
        </w:rPr>
        <w:t xml:space="preserve"> zarubljenih premičnin je </w:t>
      </w:r>
      <w:r>
        <w:rPr>
          <w:rFonts w:ascii="Arial" w:eastAsia="Times New Roman" w:hAnsi="Arial" w:cs="Arial"/>
          <w:iCs/>
          <w:sz w:val="20"/>
          <w:szCs w:val="20"/>
          <w:lang w:eastAsia="sl-SI"/>
        </w:rPr>
        <w:t>pridobil</w:t>
      </w:r>
      <w:r w:rsidRPr="00D66BE4">
        <w:rPr>
          <w:rFonts w:ascii="Arial" w:eastAsia="Times New Roman" w:hAnsi="Arial" w:cs="Arial"/>
          <w:iCs/>
          <w:sz w:val="20"/>
          <w:szCs w:val="20"/>
          <w:lang w:eastAsia="sl-SI"/>
        </w:rPr>
        <w:t xml:space="preserve"> 904.082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w:t>
      </w:r>
    </w:p>
    <w:p w14:paraId="19EB4ED5"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 xml:space="preserve">Za prodajo zarubljenega premoženja je </w:t>
      </w:r>
      <w:r w:rsidRPr="00A93ADE">
        <w:rPr>
          <w:rFonts w:ascii="Arial" w:eastAsia="Times New Roman" w:hAnsi="Arial" w:cs="Arial"/>
          <w:iCs/>
          <w:sz w:val="20"/>
          <w:szCs w:val="20"/>
          <w:lang w:eastAsia="sl-SI"/>
        </w:rPr>
        <w:t>bilo leta 2024 izvedenih 286 javnih dražb, od tega</w:t>
      </w:r>
      <w:r>
        <w:rPr>
          <w:rFonts w:ascii="Arial" w:eastAsia="Times New Roman" w:hAnsi="Arial" w:cs="Arial"/>
          <w:iCs/>
          <w:sz w:val="20"/>
          <w:szCs w:val="20"/>
          <w:lang w:eastAsia="sl-SI"/>
        </w:rPr>
        <w:t xml:space="preserve"> </w:t>
      </w:r>
      <w:r w:rsidRPr="00A93ADE">
        <w:rPr>
          <w:rFonts w:ascii="Arial" w:eastAsia="Times New Roman" w:hAnsi="Arial" w:cs="Arial"/>
          <w:iCs/>
          <w:sz w:val="20"/>
          <w:szCs w:val="20"/>
          <w:lang w:eastAsia="sl-SI"/>
        </w:rPr>
        <w:t>284 spletnih javnih dražb in dve »klasični« javni</w:t>
      </w:r>
      <w:r w:rsidRPr="00D66BE4">
        <w:rPr>
          <w:rFonts w:ascii="Arial" w:eastAsia="Times New Roman" w:hAnsi="Arial" w:cs="Arial"/>
          <w:iCs/>
          <w:sz w:val="20"/>
          <w:szCs w:val="20"/>
          <w:lang w:eastAsia="sl-SI"/>
        </w:rPr>
        <w:t xml:space="preserve"> dražbi. </w:t>
      </w:r>
    </w:p>
    <w:p w14:paraId="733C021D" w14:textId="77777777" w:rsidR="00A155A2" w:rsidRPr="00D66BE4" w:rsidRDefault="00A155A2" w:rsidP="00A155A2">
      <w:pPr>
        <w:jc w:val="both"/>
        <w:rPr>
          <w:rFonts w:ascii="Arial" w:eastAsia="Times New Roman" w:hAnsi="Arial" w:cs="Arial"/>
          <w:iCs/>
          <w:sz w:val="20"/>
          <w:szCs w:val="20"/>
          <w:lang w:eastAsia="sl-SI"/>
        </w:rPr>
      </w:pPr>
      <w:r>
        <w:rPr>
          <w:rFonts w:ascii="Arial" w:eastAsia="Times New Roman" w:hAnsi="Arial" w:cs="Arial"/>
          <w:iCs/>
          <w:sz w:val="20"/>
          <w:szCs w:val="20"/>
          <w:lang w:eastAsia="sl-SI"/>
        </w:rPr>
        <w:t>Na</w:t>
      </w:r>
      <w:r w:rsidRPr="00D66BE4">
        <w:rPr>
          <w:rFonts w:ascii="Arial" w:eastAsia="Times New Roman" w:hAnsi="Arial" w:cs="Arial"/>
          <w:iCs/>
          <w:sz w:val="20"/>
          <w:szCs w:val="20"/>
          <w:lang w:eastAsia="sl-SI"/>
        </w:rPr>
        <w:t xml:space="preserve"> portal</w:t>
      </w:r>
      <w:r>
        <w:rPr>
          <w:rFonts w:ascii="Arial" w:eastAsia="Times New Roman" w:hAnsi="Arial" w:cs="Arial"/>
          <w:iCs/>
          <w:sz w:val="20"/>
          <w:szCs w:val="20"/>
          <w:lang w:eastAsia="sl-SI"/>
        </w:rPr>
        <w:t>u</w:t>
      </w:r>
      <w:r w:rsidRPr="00D66BE4">
        <w:rPr>
          <w:rFonts w:ascii="Arial" w:eastAsia="Times New Roman" w:hAnsi="Arial" w:cs="Arial"/>
          <w:iCs/>
          <w:sz w:val="20"/>
          <w:szCs w:val="20"/>
          <w:lang w:eastAsia="sl-SI"/>
        </w:rPr>
        <w:t xml:space="preserve"> </w:t>
      </w:r>
      <w:proofErr w:type="spellStart"/>
      <w:r w:rsidRPr="00D66BE4">
        <w:rPr>
          <w:rFonts w:ascii="Arial" w:eastAsia="Times New Roman" w:hAnsi="Arial" w:cs="Arial"/>
          <w:iCs/>
          <w:sz w:val="20"/>
          <w:szCs w:val="20"/>
          <w:lang w:eastAsia="sl-SI"/>
        </w:rPr>
        <w:t>eDražbe</w:t>
      </w:r>
      <w:proofErr w:type="spellEnd"/>
      <w:r w:rsidRPr="00D66BE4">
        <w:rPr>
          <w:rFonts w:ascii="Arial" w:eastAsia="Times New Roman" w:hAnsi="Arial" w:cs="Arial"/>
          <w:iCs/>
          <w:sz w:val="20"/>
          <w:szCs w:val="20"/>
          <w:lang w:eastAsia="sl-SI"/>
        </w:rPr>
        <w:t xml:space="preserve"> F</w:t>
      </w:r>
      <w:r>
        <w:rPr>
          <w:rFonts w:ascii="Arial" w:eastAsia="Times New Roman" w:hAnsi="Arial" w:cs="Arial"/>
          <w:iCs/>
          <w:sz w:val="20"/>
          <w:szCs w:val="20"/>
          <w:lang w:eastAsia="sl-SI"/>
        </w:rPr>
        <w:t xml:space="preserve">URS </w:t>
      </w:r>
      <w:r w:rsidRPr="00D66BE4">
        <w:rPr>
          <w:rFonts w:ascii="Arial" w:eastAsia="Times New Roman" w:hAnsi="Arial" w:cs="Arial"/>
          <w:iCs/>
          <w:sz w:val="20"/>
          <w:szCs w:val="20"/>
          <w:lang w:eastAsia="sl-SI"/>
        </w:rPr>
        <w:t xml:space="preserve">so se na spletnih javnih dražbah prodajale premičnine, katerih izklicna cena je </w:t>
      </w:r>
      <w:r>
        <w:rPr>
          <w:rFonts w:ascii="Arial" w:eastAsia="Times New Roman" w:hAnsi="Arial" w:cs="Arial"/>
          <w:iCs/>
          <w:sz w:val="20"/>
          <w:szCs w:val="20"/>
          <w:lang w:eastAsia="sl-SI"/>
        </w:rPr>
        <w:t>bila</w:t>
      </w:r>
      <w:r w:rsidRPr="00D66BE4">
        <w:rPr>
          <w:rFonts w:ascii="Arial" w:eastAsia="Times New Roman" w:hAnsi="Arial" w:cs="Arial"/>
          <w:iCs/>
          <w:sz w:val="20"/>
          <w:szCs w:val="20"/>
          <w:lang w:eastAsia="sl-SI"/>
        </w:rPr>
        <w:t xml:space="preserve"> 1.255.228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U</w:t>
      </w:r>
      <w:r w:rsidRPr="00D66BE4">
        <w:rPr>
          <w:rFonts w:ascii="Arial" w:eastAsia="Times New Roman" w:hAnsi="Arial" w:cs="Arial"/>
          <w:iCs/>
          <w:sz w:val="20"/>
          <w:szCs w:val="20"/>
          <w:lang w:eastAsia="sl-SI"/>
        </w:rPr>
        <w:t xml:space="preserve">spešnih je bilo 92 dražb, </w:t>
      </w:r>
      <w:r>
        <w:rPr>
          <w:rFonts w:ascii="Arial" w:eastAsia="Times New Roman" w:hAnsi="Arial" w:cs="Arial"/>
          <w:iCs/>
          <w:sz w:val="20"/>
          <w:szCs w:val="20"/>
          <w:lang w:eastAsia="sl-SI"/>
        </w:rPr>
        <w:t>s čimer je bilo poplačanega</w:t>
      </w:r>
      <w:r w:rsidRPr="00D66BE4">
        <w:rPr>
          <w:rFonts w:ascii="Arial" w:eastAsia="Times New Roman" w:hAnsi="Arial" w:cs="Arial"/>
          <w:iCs/>
          <w:sz w:val="20"/>
          <w:szCs w:val="20"/>
          <w:lang w:eastAsia="sl-SI"/>
        </w:rPr>
        <w:t xml:space="preserve"> 362.752 </w:t>
      </w:r>
      <w:r>
        <w:rPr>
          <w:rFonts w:ascii="Arial" w:eastAsia="Times New Roman" w:hAnsi="Arial" w:cs="Arial"/>
          <w:iCs/>
          <w:sz w:val="20"/>
          <w:szCs w:val="20"/>
          <w:lang w:eastAsia="sl-SI"/>
        </w:rPr>
        <w:t>EUR davčnega dolga</w:t>
      </w:r>
      <w:r w:rsidRPr="00D66BE4">
        <w:rPr>
          <w:rFonts w:ascii="Arial" w:eastAsia="Times New Roman" w:hAnsi="Arial" w:cs="Arial"/>
          <w:iCs/>
          <w:sz w:val="20"/>
          <w:szCs w:val="20"/>
          <w:lang w:eastAsia="sl-SI"/>
        </w:rPr>
        <w:t xml:space="preserve">. </w:t>
      </w:r>
    </w:p>
    <w:p w14:paraId="602A1057"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 xml:space="preserve">Na </w:t>
      </w:r>
      <w:r w:rsidRPr="00A93ADE">
        <w:rPr>
          <w:rFonts w:ascii="Arial" w:eastAsia="Times New Roman" w:hAnsi="Arial" w:cs="Arial"/>
          <w:iCs/>
          <w:sz w:val="20"/>
          <w:szCs w:val="20"/>
          <w:lang w:eastAsia="sl-SI"/>
        </w:rPr>
        <w:t>dveh »klasičnih«</w:t>
      </w:r>
      <w:r w:rsidRPr="00D66BE4">
        <w:rPr>
          <w:rFonts w:ascii="Arial" w:eastAsia="Times New Roman" w:hAnsi="Arial" w:cs="Arial"/>
          <w:iCs/>
          <w:sz w:val="20"/>
          <w:szCs w:val="20"/>
          <w:lang w:eastAsia="sl-SI"/>
        </w:rPr>
        <w:t xml:space="preserve"> javnih dražbah so </w:t>
      </w:r>
      <w:r>
        <w:rPr>
          <w:rFonts w:ascii="Arial" w:eastAsia="Times New Roman" w:hAnsi="Arial" w:cs="Arial"/>
          <w:iCs/>
          <w:sz w:val="20"/>
          <w:szCs w:val="20"/>
          <w:lang w:eastAsia="sl-SI"/>
        </w:rPr>
        <w:t>se</w:t>
      </w:r>
      <w:r w:rsidRPr="00D66BE4">
        <w:rPr>
          <w:rFonts w:ascii="Arial" w:eastAsia="Times New Roman" w:hAnsi="Arial" w:cs="Arial"/>
          <w:iCs/>
          <w:sz w:val="20"/>
          <w:szCs w:val="20"/>
          <w:lang w:eastAsia="sl-SI"/>
        </w:rPr>
        <w:t xml:space="preserve"> prodaja</w:t>
      </w:r>
      <w:r>
        <w:rPr>
          <w:rFonts w:ascii="Arial" w:eastAsia="Times New Roman" w:hAnsi="Arial" w:cs="Arial"/>
          <w:iCs/>
          <w:sz w:val="20"/>
          <w:szCs w:val="20"/>
          <w:lang w:eastAsia="sl-SI"/>
        </w:rPr>
        <w:t>l</w:t>
      </w:r>
      <w:r w:rsidRPr="00D66BE4">
        <w:rPr>
          <w:rFonts w:ascii="Arial" w:eastAsia="Times New Roman" w:hAnsi="Arial" w:cs="Arial"/>
          <w:iCs/>
          <w:sz w:val="20"/>
          <w:szCs w:val="20"/>
          <w:lang w:eastAsia="sl-SI"/>
        </w:rPr>
        <w:t>e premičnine</w:t>
      </w:r>
      <w:r>
        <w:rPr>
          <w:rFonts w:ascii="Arial" w:eastAsia="Times New Roman" w:hAnsi="Arial" w:cs="Arial"/>
          <w:iCs/>
          <w:sz w:val="20"/>
          <w:szCs w:val="20"/>
          <w:lang w:eastAsia="sl-SI"/>
        </w:rPr>
        <w:t xml:space="preserve"> po</w:t>
      </w:r>
      <w:r w:rsidRPr="00D66BE4">
        <w:rPr>
          <w:rFonts w:ascii="Arial" w:eastAsia="Times New Roman" w:hAnsi="Arial" w:cs="Arial"/>
          <w:iCs/>
          <w:sz w:val="20"/>
          <w:szCs w:val="20"/>
          <w:lang w:eastAsia="sl-SI"/>
        </w:rPr>
        <w:t xml:space="preserve"> izklicn</w:t>
      </w:r>
      <w:r>
        <w:rPr>
          <w:rFonts w:ascii="Arial" w:eastAsia="Times New Roman" w:hAnsi="Arial" w:cs="Arial"/>
          <w:iCs/>
          <w:sz w:val="20"/>
          <w:szCs w:val="20"/>
          <w:lang w:eastAsia="sl-SI"/>
        </w:rPr>
        <w:t>i</w:t>
      </w:r>
      <w:r w:rsidRPr="00D66BE4">
        <w:rPr>
          <w:rFonts w:ascii="Arial" w:eastAsia="Times New Roman" w:hAnsi="Arial" w:cs="Arial"/>
          <w:iCs/>
          <w:sz w:val="20"/>
          <w:szCs w:val="20"/>
          <w:lang w:eastAsia="sl-SI"/>
        </w:rPr>
        <w:t xml:space="preserve"> cen</w:t>
      </w:r>
      <w:r>
        <w:rPr>
          <w:rFonts w:ascii="Arial" w:eastAsia="Times New Roman" w:hAnsi="Arial" w:cs="Arial"/>
          <w:iCs/>
          <w:sz w:val="20"/>
          <w:szCs w:val="20"/>
          <w:lang w:eastAsia="sl-SI"/>
        </w:rPr>
        <w:t>i</w:t>
      </w:r>
      <w:r w:rsidRPr="00D66BE4">
        <w:rPr>
          <w:rFonts w:ascii="Arial" w:eastAsia="Times New Roman" w:hAnsi="Arial" w:cs="Arial"/>
          <w:iCs/>
          <w:sz w:val="20"/>
          <w:szCs w:val="20"/>
          <w:lang w:eastAsia="sl-SI"/>
        </w:rPr>
        <w:t xml:space="preserve"> 11.815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Dražbi sta </w:t>
      </w:r>
      <w:r>
        <w:rPr>
          <w:rFonts w:ascii="Arial" w:eastAsia="Times New Roman" w:hAnsi="Arial" w:cs="Arial"/>
          <w:iCs/>
          <w:sz w:val="20"/>
          <w:szCs w:val="20"/>
          <w:lang w:eastAsia="sl-SI"/>
        </w:rPr>
        <w:t>se končali</w:t>
      </w:r>
      <w:r w:rsidRPr="00D66BE4">
        <w:rPr>
          <w:rFonts w:ascii="Arial" w:eastAsia="Times New Roman" w:hAnsi="Arial" w:cs="Arial"/>
          <w:iCs/>
          <w:sz w:val="20"/>
          <w:szCs w:val="20"/>
          <w:lang w:eastAsia="sl-SI"/>
        </w:rPr>
        <w:t xml:space="preserve"> neuspešno. </w:t>
      </w:r>
    </w:p>
    <w:p w14:paraId="48C1B28C"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V letu 2024 je bilo za zarubljene predmete, ocenjen</w:t>
      </w:r>
      <w:r>
        <w:rPr>
          <w:rFonts w:ascii="Arial" w:eastAsia="Times New Roman" w:hAnsi="Arial" w:cs="Arial"/>
          <w:iCs/>
          <w:sz w:val="20"/>
          <w:szCs w:val="20"/>
          <w:lang w:eastAsia="sl-SI"/>
        </w:rPr>
        <w:t>e</w:t>
      </w:r>
      <w:r w:rsidRPr="00D66BE4">
        <w:rPr>
          <w:rFonts w:ascii="Arial" w:eastAsia="Times New Roman" w:hAnsi="Arial" w:cs="Arial"/>
          <w:iCs/>
          <w:sz w:val="20"/>
          <w:szCs w:val="20"/>
          <w:lang w:eastAsia="sl-SI"/>
        </w:rPr>
        <w:t xml:space="preserve"> na 124.392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izvedenih tudi 18 postopkov prodaje z zbiranjem ponudb. S prodajo je bilo poplačanega za 38.386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dolga. </w:t>
      </w:r>
    </w:p>
    <w:p w14:paraId="49EB6FA3"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Zarubljene premičnine se lahko prodajo tudi z neposredno pogodbo. Sklenitev takšne pogodbe je dovoljena pri prodaj</w:t>
      </w:r>
      <w:r>
        <w:rPr>
          <w:rFonts w:ascii="Arial" w:eastAsia="Times New Roman" w:hAnsi="Arial" w:cs="Arial"/>
          <w:iCs/>
          <w:sz w:val="20"/>
          <w:szCs w:val="20"/>
          <w:lang w:eastAsia="sl-SI"/>
        </w:rPr>
        <w:t>i</w:t>
      </w:r>
      <w:r w:rsidRPr="00D66BE4">
        <w:rPr>
          <w:rFonts w:ascii="Arial" w:eastAsia="Times New Roman" w:hAnsi="Arial" w:cs="Arial"/>
          <w:iCs/>
          <w:sz w:val="20"/>
          <w:szCs w:val="20"/>
          <w:lang w:eastAsia="sl-SI"/>
        </w:rPr>
        <w:t xml:space="preserve"> živali, hitro pokvarljivega blaga, premičnin, katerih hramba je povezana z velikimi stroški</w:t>
      </w:r>
      <w:r>
        <w:rPr>
          <w:rFonts w:ascii="Arial" w:eastAsia="Times New Roman" w:hAnsi="Arial" w:cs="Arial"/>
          <w:iCs/>
          <w:sz w:val="20"/>
          <w:szCs w:val="20"/>
          <w:lang w:eastAsia="sl-SI"/>
        </w:rPr>
        <w:t>,</w:t>
      </w:r>
      <w:r w:rsidRPr="00D66BE4">
        <w:rPr>
          <w:rFonts w:ascii="Arial" w:eastAsia="Times New Roman" w:hAnsi="Arial" w:cs="Arial"/>
          <w:iCs/>
          <w:sz w:val="20"/>
          <w:szCs w:val="20"/>
          <w:lang w:eastAsia="sl-SI"/>
        </w:rPr>
        <w:t xml:space="preserve"> ter premičnin, za katere ni večjega povpraševanja. V letu 2024 je bilo sklenjenih 48 neposrednih pogodb</w:t>
      </w:r>
      <w:r>
        <w:rPr>
          <w:rFonts w:ascii="Arial" w:eastAsia="Times New Roman" w:hAnsi="Arial" w:cs="Arial"/>
          <w:iCs/>
          <w:sz w:val="20"/>
          <w:szCs w:val="20"/>
          <w:lang w:eastAsia="sl-SI"/>
        </w:rPr>
        <w:t xml:space="preserve"> za</w:t>
      </w:r>
      <w:r w:rsidRPr="00D66BE4">
        <w:rPr>
          <w:rFonts w:ascii="Arial" w:eastAsia="Times New Roman" w:hAnsi="Arial" w:cs="Arial"/>
          <w:iCs/>
          <w:sz w:val="20"/>
          <w:szCs w:val="20"/>
          <w:lang w:eastAsia="sl-SI"/>
        </w:rPr>
        <w:t xml:space="preserve"> prodaj</w:t>
      </w:r>
      <w:r>
        <w:rPr>
          <w:rFonts w:ascii="Arial" w:eastAsia="Times New Roman" w:hAnsi="Arial" w:cs="Arial"/>
          <w:iCs/>
          <w:sz w:val="20"/>
          <w:szCs w:val="20"/>
          <w:lang w:eastAsia="sl-SI"/>
        </w:rPr>
        <w:t>o</w:t>
      </w:r>
      <w:r w:rsidRPr="00D66BE4">
        <w:rPr>
          <w:rFonts w:ascii="Arial" w:eastAsia="Times New Roman" w:hAnsi="Arial" w:cs="Arial"/>
          <w:iCs/>
          <w:sz w:val="20"/>
          <w:szCs w:val="20"/>
          <w:lang w:eastAsia="sl-SI"/>
        </w:rPr>
        <w:t xml:space="preserve"> premičnin, ocenjen</w:t>
      </w:r>
      <w:r>
        <w:rPr>
          <w:rFonts w:ascii="Arial" w:eastAsia="Times New Roman" w:hAnsi="Arial" w:cs="Arial"/>
          <w:iCs/>
          <w:sz w:val="20"/>
          <w:szCs w:val="20"/>
          <w:lang w:eastAsia="sl-SI"/>
        </w:rPr>
        <w:t>ih</w:t>
      </w:r>
      <w:r w:rsidRPr="00D66BE4">
        <w:rPr>
          <w:rFonts w:ascii="Arial" w:eastAsia="Times New Roman" w:hAnsi="Arial" w:cs="Arial"/>
          <w:iCs/>
          <w:sz w:val="20"/>
          <w:szCs w:val="20"/>
          <w:lang w:eastAsia="sl-SI"/>
        </w:rPr>
        <w:t xml:space="preserve"> na 88.581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Izkupiček navedenih prodaj je </w:t>
      </w:r>
      <w:r>
        <w:rPr>
          <w:rFonts w:ascii="Arial" w:eastAsia="Times New Roman" w:hAnsi="Arial" w:cs="Arial"/>
          <w:iCs/>
          <w:sz w:val="20"/>
          <w:szCs w:val="20"/>
          <w:lang w:eastAsia="sl-SI"/>
        </w:rPr>
        <w:t>dosegel</w:t>
      </w:r>
      <w:r w:rsidRPr="00D66BE4">
        <w:rPr>
          <w:rFonts w:ascii="Arial" w:eastAsia="Times New Roman" w:hAnsi="Arial" w:cs="Arial"/>
          <w:iCs/>
          <w:sz w:val="20"/>
          <w:szCs w:val="20"/>
          <w:lang w:eastAsia="sl-SI"/>
        </w:rPr>
        <w:t xml:space="preserve"> 86.767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w:t>
      </w:r>
    </w:p>
    <w:p w14:paraId="6826A4B1" w14:textId="77777777" w:rsidR="00A155A2" w:rsidRPr="00D66BE4" w:rsidRDefault="00A155A2" w:rsidP="00A155A2">
      <w:pPr>
        <w:jc w:val="both"/>
        <w:rPr>
          <w:rFonts w:ascii="Arial" w:eastAsia="Times New Roman" w:hAnsi="Arial" w:cs="Arial"/>
          <w:iCs/>
          <w:sz w:val="20"/>
          <w:szCs w:val="20"/>
          <w:lang w:eastAsia="sl-SI"/>
        </w:rPr>
      </w:pPr>
      <w:r w:rsidRPr="00D66BE4">
        <w:rPr>
          <w:rFonts w:ascii="Arial" w:eastAsia="Times New Roman" w:hAnsi="Arial" w:cs="Arial"/>
          <w:iCs/>
          <w:sz w:val="20"/>
          <w:szCs w:val="20"/>
          <w:lang w:eastAsia="sl-SI"/>
        </w:rPr>
        <w:t>V 223 primerih je zarubljene premičnine po pooblastilu prodajal</w:t>
      </w:r>
      <w:r w:rsidRPr="0097074A">
        <w:rPr>
          <w:rFonts w:ascii="Arial" w:eastAsia="Times New Roman" w:hAnsi="Arial" w:cs="Arial"/>
          <w:iCs/>
          <w:sz w:val="20"/>
          <w:szCs w:val="20"/>
          <w:lang w:eastAsia="sl-SI"/>
        </w:rPr>
        <w:t xml:space="preserve"> </w:t>
      </w:r>
      <w:r w:rsidRPr="00D66BE4">
        <w:rPr>
          <w:rFonts w:ascii="Arial" w:eastAsia="Times New Roman" w:hAnsi="Arial" w:cs="Arial"/>
          <w:iCs/>
          <w:sz w:val="20"/>
          <w:szCs w:val="20"/>
          <w:lang w:eastAsia="sl-SI"/>
        </w:rPr>
        <w:t xml:space="preserve">dolžnik sam. To premoženje je bilo ocenjeno na 1.666.859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 xml:space="preserve">. V </w:t>
      </w:r>
      <w:r>
        <w:rPr>
          <w:rFonts w:ascii="Arial" w:eastAsia="Times New Roman" w:hAnsi="Arial" w:cs="Arial"/>
          <w:iCs/>
          <w:sz w:val="20"/>
          <w:szCs w:val="20"/>
          <w:lang w:eastAsia="sl-SI"/>
        </w:rPr>
        <w:t>stotih</w:t>
      </w:r>
      <w:r w:rsidRPr="00D66BE4">
        <w:rPr>
          <w:rFonts w:ascii="Arial" w:eastAsia="Times New Roman" w:hAnsi="Arial" w:cs="Arial"/>
          <w:iCs/>
          <w:sz w:val="20"/>
          <w:szCs w:val="20"/>
          <w:lang w:eastAsia="sl-SI"/>
        </w:rPr>
        <w:t xml:space="preserve"> primerih je bila prodaja uspešna</w:t>
      </w:r>
      <w:r>
        <w:rPr>
          <w:rFonts w:ascii="Arial" w:eastAsia="Times New Roman" w:hAnsi="Arial" w:cs="Arial"/>
          <w:iCs/>
          <w:sz w:val="20"/>
          <w:szCs w:val="20"/>
          <w:lang w:eastAsia="sl-SI"/>
        </w:rPr>
        <w:t>,</w:t>
      </w:r>
      <w:r w:rsidRPr="00D66BE4">
        <w:rPr>
          <w:rFonts w:ascii="Arial" w:eastAsia="Times New Roman" w:hAnsi="Arial" w:cs="Arial"/>
          <w:iCs/>
          <w:sz w:val="20"/>
          <w:szCs w:val="20"/>
          <w:lang w:eastAsia="sl-SI"/>
        </w:rPr>
        <w:t xml:space="preserve"> iz tega </w:t>
      </w:r>
      <w:r>
        <w:rPr>
          <w:rFonts w:ascii="Arial" w:eastAsia="Times New Roman" w:hAnsi="Arial" w:cs="Arial"/>
          <w:iCs/>
          <w:sz w:val="20"/>
          <w:szCs w:val="20"/>
          <w:lang w:eastAsia="sl-SI"/>
        </w:rPr>
        <w:t>vira je bila</w:t>
      </w:r>
      <w:r w:rsidRPr="00D66BE4">
        <w:rPr>
          <w:rFonts w:ascii="Arial" w:eastAsia="Times New Roman" w:hAnsi="Arial" w:cs="Arial"/>
          <w:iCs/>
          <w:sz w:val="20"/>
          <w:szCs w:val="20"/>
          <w:lang w:eastAsia="sl-SI"/>
        </w:rPr>
        <w:t xml:space="preserve"> dosežena kupnina 416.177 </w:t>
      </w:r>
      <w:r>
        <w:rPr>
          <w:rFonts w:ascii="Arial" w:eastAsia="Times New Roman" w:hAnsi="Arial" w:cs="Arial"/>
          <w:iCs/>
          <w:sz w:val="20"/>
          <w:szCs w:val="20"/>
          <w:lang w:eastAsia="sl-SI"/>
        </w:rPr>
        <w:t>EUR</w:t>
      </w:r>
      <w:r w:rsidRPr="00D66BE4">
        <w:rPr>
          <w:rFonts w:ascii="Arial" w:eastAsia="Times New Roman" w:hAnsi="Arial" w:cs="Arial"/>
          <w:iCs/>
          <w:sz w:val="20"/>
          <w:szCs w:val="20"/>
          <w:lang w:eastAsia="sl-SI"/>
        </w:rPr>
        <w:t>.</w:t>
      </w:r>
    </w:p>
    <w:p w14:paraId="2D890A65" w14:textId="77777777" w:rsidR="00A155A2" w:rsidRPr="00087025" w:rsidRDefault="00A155A2" w:rsidP="00A155A2">
      <w:pPr>
        <w:jc w:val="both"/>
        <w:rPr>
          <w:rFonts w:ascii="Arial" w:eastAsia="Times New Roman" w:hAnsi="Arial" w:cs="Arial"/>
          <w:b/>
          <w:bCs/>
          <w:iCs/>
          <w:sz w:val="20"/>
          <w:szCs w:val="20"/>
          <w:lang w:eastAsia="sl-SI"/>
        </w:rPr>
      </w:pPr>
      <w:r w:rsidRPr="0094063C">
        <w:rPr>
          <w:rFonts w:ascii="Arial" w:eastAsia="Times New Roman" w:hAnsi="Arial" w:cs="Arial"/>
          <w:b/>
          <w:bCs/>
          <w:iCs/>
          <w:sz w:val="20"/>
          <w:szCs w:val="20"/>
          <w:lang w:eastAsia="sl-SI"/>
        </w:rPr>
        <w:t>Predlogi sodišču za izvršbo na dolžnikove nepremičnine na podlagi vknjižbe zastavne pravice</w:t>
      </w:r>
      <w:r w:rsidRPr="00087025">
        <w:rPr>
          <w:rFonts w:ascii="Arial" w:eastAsia="Times New Roman" w:hAnsi="Arial" w:cs="Arial"/>
          <w:b/>
          <w:bCs/>
          <w:iCs/>
          <w:sz w:val="20"/>
          <w:szCs w:val="20"/>
          <w:lang w:eastAsia="sl-SI"/>
        </w:rPr>
        <w:t xml:space="preserve"> </w:t>
      </w:r>
    </w:p>
    <w:p w14:paraId="7D609456" w14:textId="77777777" w:rsidR="00A155A2" w:rsidRPr="004A5FDC" w:rsidRDefault="00A155A2" w:rsidP="00A155A2">
      <w:pPr>
        <w:spacing w:after="0"/>
        <w:jc w:val="both"/>
        <w:rPr>
          <w:rFonts w:ascii="Arial" w:hAnsi="Arial" w:cs="Arial"/>
          <w:noProof/>
          <w:sz w:val="20"/>
          <w:szCs w:val="20"/>
        </w:rPr>
      </w:pPr>
      <w:r w:rsidRPr="004A5FDC">
        <w:rPr>
          <w:rFonts w:ascii="Arial" w:hAnsi="Arial" w:cs="Arial"/>
          <w:noProof/>
          <w:sz w:val="20"/>
          <w:szCs w:val="20"/>
        </w:rPr>
        <w:t xml:space="preserve">Če dolga ni mogoče izterjati z ukrepi davčne izvršbe po upravni </w:t>
      </w:r>
      <w:r w:rsidRPr="00A93ADE">
        <w:rPr>
          <w:rFonts w:ascii="Arial" w:hAnsi="Arial" w:cs="Arial"/>
          <w:noProof/>
          <w:sz w:val="20"/>
          <w:szCs w:val="20"/>
        </w:rPr>
        <w:t>poti (iz dolžnikovih denarnih prejemkov, denarnih sredstev, vrednostnih papirjev ali premičnin), se z izvršbo lahko poseže na dolžnikove nepremičnine ali na poslovni delež dolžnika v družbi. Ta postopek na predlog</w:t>
      </w:r>
      <w:r w:rsidRPr="004A5FDC">
        <w:rPr>
          <w:rFonts w:ascii="Arial" w:hAnsi="Arial" w:cs="Arial"/>
          <w:noProof/>
          <w:sz w:val="20"/>
          <w:szCs w:val="20"/>
        </w:rPr>
        <w:t xml:space="preserve"> F</w:t>
      </w:r>
      <w:r>
        <w:rPr>
          <w:rFonts w:ascii="Arial" w:hAnsi="Arial" w:cs="Arial"/>
          <w:noProof/>
          <w:sz w:val="20"/>
          <w:szCs w:val="20"/>
        </w:rPr>
        <w:t>URS ali</w:t>
      </w:r>
      <w:r w:rsidRPr="004A5FDC">
        <w:rPr>
          <w:rFonts w:ascii="Arial" w:hAnsi="Arial" w:cs="Arial"/>
          <w:noProof/>
          <w:sz w:val="20"/>
          <w:szCs w:val="20"/>
        </w:rPr>
        <w:t xml:space="preserve"> Državnega odvetništva R</w:t>
      </w:r>
      <w:r>
        <w:rPr>
          <w:rFonts w:ascii="Arial" w:hAnsi="Arial" w:cs="Arial"/>
          <w:noProof/>
          <w:sz w:val="20"/>
          <w:szCs w:val="20"/>
        </w:rPr>
        <w:t xml:space="preserve">epublike </w:t>
      </w:r>
      <w:r w:rsidRPr="004A5FDC">
        <w:rPr>
          <w:rFonts w:ascii="Arial" w:hAnsi="Arial" w:cs="Arial"/>
          <w:noProof/>
          <w:sz w:val="20"/>
          <w:szCs w:val="20"/>
        </w:rPr>
        <w:t>S</w:t>
      </w:r>
      <w:r>
        <w:rPr>
          <w:rFonts w:ascii="Arial" w:hAnsi="Arial" w:cs="Arial"/>
          <w:noProof/>
          <w:sz w:val="20"/>
          <w:szCs w:val="20"/>
        </w:rPr>
        <w:t>lovenije</w:t>
      </w:r>
      <w:r w:rsidRPr="004A5FDC">
        <w:rPr>
          <w:rFonts w:ascii="Arial" w:hAnsi="Arial" w:cs="Arial"/>
          <w:noProof/>
          <w:sz w:val="20"/>
          <w:szCs w:val="20"/>
        </w:rPr>
        <w:t xml:space="preserve"> vodi sodišče. F</w:t>
      </w:r>
      <w:r>
        <w:rPr>
          <w:rFonts w:ascii="Arial" w:hAnsi="Arial" w:cs="Arial"/>
          <w:noProof/>
          <w:sz w:val="20"/>
          <w:szCs w:val="20"/>
        </w:rPr>
        <w:t xml:space="preserve">URS </w:t>
      </w:r>
      <w:r w:rsidRPr="000836FD">
        <w:rPr>
          <w:rFonts w:ascii="Arial" w:hAnsi="Arial" w:cs="Arial"/>
          <w:noProof/>
          <w:sz w:val="20"/>
          <w:szCs w:val="20"/>
        </w:rPr>
        <w:t>je po</w:t>
      </w:r>
      <w:r w:rsidRPr="004A5FDC">
        <w:rPr>
          <w:rFonts w:ascii="Arial" w:hAnsi="Arial" w:cs="Arial"/>
          <w:noProof/>
          <w:sz w:val="20"/>
          <w:szCs w:val="20"/>
        </w:rPr>
        <w:t xml:space="preserve"> državne</w:t>
      </w:r>
      <w:r>
        <w:rPr>
          <w:rFonts w:ascii="Arial" w:hAnsi="Arial" w:cs="Arial"/>
          <w:noProof/>
          <w:sz w:val="20"/>
          <w:szCs w:val="20"/>
        </w:rPr>
        <w:t>m</w:t>
      </w:r>
      <w:r w:rsidRPr="004A5FDC">
        <w:rPr>
          <w:rFonts w:ascii="Arial" w:hAnsi="Arial" w:cs="Arial"/>
          <w:noProof/>
          <w:sz w:val="20"/>
          <w:szCs w:val="20"/>
        </w:rPr>
        <w:t xml:space="preserve"> odvetništv</w:t>
      </w:r>
      <w:r>
        <w:rPr>
          <w:rFonts w:ascii="Arial" w:hAnsi="Arial" w:cs="Arial"/>
          <w:noProof/>
          <w:sz w:val="20"/>
          <w:szCs w:val="20"/>
        </w:rPr>
        <w:t>u</w:t>
      </w:r>
      <w:r w:rsidRPr="004A5FDC">
        <w:rPr>
          <w:rFonts w:ascii="Arial" w:hAnsi="Arial" w:cs="Arial"/>
          <w:noProof/>
          <w:sz w:val="20"/>
          <w:szCs w:val="20"/>
        </w:rPr>
        <w:t xml:space="preserve"> predlagal sodiščem vknjižbo zastavne pravice na dolžnikove nepremičnine, </w:t>
      </w:r>
      <w:r>
        <w:rPr>
          <w:rFonts w:ascii="Arial" w:hAnsi="Arial" w:cs="Arial"/>
          <w:noProof/>
          <w:sz w:val="20"/>
          <w:szCs w:val="20"/>
        </w:rPr>
        <w:t>vložil</w:t>
      </w:r>
      <w:r w:rsidRPr="004A5FDC">
        <w:rPr>
          <w:rFonts w:ascii="Arial" w:hAnsi="Arial" w:cs="Arial"/>
          <w:noProof/>
          <w:sz w:val="20"/>
          <w:szCs w:val="20"/>
        </w:rPr>
        <w:t xml:space="preserve"> je tudi več predlogov za izvršbo na dolžnikove nepremičnine. </w:t>
      </w:r>
    </w:p>
    <w:p w14:paraId="7D27AAAA" w14:textId="77777777" w:rsidR="00A155A2" w:rsidRPr="00D66BE4" w:rsidRDefault="00A155A2" w:rsidP="00A155A2">
      <w:pPr>
        <w:spacing w:after="0"/>
        <w:jc w:val="both"/>
        <w:rPr>
          <w:rFonts w:ascii="Arial" w:hAnsi="Arial" w:cs="Arial"/>
          <w:noProof/>
          <w:sz w:val="20"/>
          <w:szCs w:val="20"/>
        </w:rPr>
      </w:pPr>
    </w:p>
    <w:p w14:paraId="75CB2CAC" w14:textId="77777777" w:rsidR="00A155A2" w:rsidRDefault="00A155A2" w:rsidP="00A155A2">
      <w:pPr>
        <w:spacing w:after="0"/>
        <w:jc w:val="both"/>
        <w:rPr>
          <w:rFonts w:ascii="Arial" w:hAnsi="Arial" w:cs="Arial"/>
          <w:noProof/>
          <w:sz w:val="20"/>
          <w:szCs w:val="20"/>
        </w:rPr>
      </w:pPr>
      <w:r>
        <w:rPr>
          <w:rFonts w:ascii="Arial" w:hAnsi="Arial" w:cs="Arial"/>
          <w:noProof/>
          <w:sz w:val="20"/>
          <w:szCs w:val="20"/>
        </w:rPr>
        <w:t xml:space="preserve">V </w:t>
      </w:r>
      <w:r w:rsidRPr="00D66BE4">
        <w:rPr>
          <w:rFonts w:ascii="Arial" w:hAnsi="Arial" w:cs="Arial"/>
          <w:noProof/>
          <w:sz w:val="20"/>
          <w:szCs w:val="20"/>
        </w:rPr>
        <w:t xml:space="preserve">295 primerih </w:t>
      </w:r>
      <w:r>
        <w:rPr>
          <w:rFonts w:ascii="Arial" w:hAnsi="Arial" w:cs="Arial"/>
          <w:noProof/>
          <w:sz w:val="20"/>
          <w:szCs w:val="20"/>
        </w:rPr>
        <w:t xml:space="preserve">je bil </w:t>
      </w:r>
      <w:r w:rsidRPr="00D66BE4">
        <w:rPr>
          <w:rFonts w:ascii="Arial" w:hAnsi="Arial" w:cs="Arial"/>
          <w:noProof/>
          <w:sz w:val="20"/>
          <w:szCs w:val="20"/>
        </w:rPr>
        <w:t xml:space="preserve">podan predlog za izvršbo na dolžnikovo nepremično premoženje za dolg v znesku 12.804.828 </w:t>
      </w:r>
      <w:r>
        <w:rPr>
          <w:rFonts w:ascii="Arial" w:hAnsi="Arial" w:cs="Arial"/>
          <w:noProof/>
          <w:sz w:val="20"/>
          <w:szCs w:val="20"/>
        </w:rPr>
        <w:t>EUR</w:t>
      </w:r>
      <w:r w:rsidRPr="00D66BE4">
        <w:rPr>
          <w:rFonts w:ascii="Arial" w:hAnsi="Arial" w:cs="Arial"/>
          <w:noProof/>
          <w:sz w:val="20"/>
          <w:szCs w:val="20"/>
        </w:rPr>
        <w:t xml:space="preserve">. S prodajo nepremičnin v okviru postopka sodne izvršbe je bilo poplačanega za 2.806.948 </w:t>
      </w:r>
      <w:r>
        <w:rPr>
          <w:rFonts w:ascii="Arial" w:hAnsi="Arial" w:cs="Arial"/>
          <w:noProof/>
          <w:sz w:val="20"/>
          <w:szCs w:val="20"/>
        </w:rPr>
        <w:t>EUR</w:t>
      </w:r>
      <w:r w:rsidRPr="00D66BE4">
        <w:rPr>
          <w:rFonts w:ascii="Arial" w:hAnsi="Arial" w:cs="Arial"/>
          <w:noProof/>
          <w:sz w:val="20"/>
          <w:szCs w:val="20"/>
        </w:rPr>
        <w:t xml:space="preserve"> dolga. Ob koncu leta 2024 je bil v izvršbi pri sodiščih dolg v </w:t>
      </w:r>
      <w:r>
        <w:rPr>
          <w:rFonts w:ascii="Arial" w:hAnsi="Arial" w:cs="Arial"/>
          <w:noProof/>
          <w:sz w:val="20"/>
          <w:szCs w:val="20"/>
        </w:rPr>
        <w:t>vrednosti</w:t>
      </w:r>
      <w:r w:rsidRPr="00D66BE4">
        <w:rPr>
          <w:rFonts w:ascii="Arial" w:hAnsi="Arial" w:cs="Arial"/>
          <w:noProof/>
          <w:sz w:val="20"/>
          <w:szCs w:val="20"/>
        </w:rPr>
        <w:t xml:space="preserve"> 34.729.257 </w:t>
      </w:r>
      <w:r>
        <w:rPr>
          <w:rFonts w:ascii="Arial" w:hAnsi="Arial" w:cs="Arial"/>
          <w:noProof/>
          <w:sz w:val="20"/>
          <w:szCs w:val="20"/>
        </w:rPr>
        <w:t>EUR</w:t>
      </w:r>
      <w:r w:rsidRPr="00D66BE4">
        <w:rPr>
          <w:rFonts w:ascii="Arial" w:hAnsi="Arial" w:cs="Arial"/>
          <w:noProof/>
          <w:sz w:val="20"/>
          <w:szCs w:val="20"/>
        </w:rPr>
        <w:t>.</w:t>
      </w:r>
    </w:p>
    <w:p w14:paraId="0E7DB880" w14:textId="77777777" w:rsidR="00A155A2" w:rsidRDefault="00A155A2" w:rsidP="00A155A2">
      <w:pPr>
        <w:spacing w:after="0"/>
        <w:jc w:val="both"/>
        <w:rPr>
          <w:rFonts w:ascii="Arial" w:hAnsi="Arial" w:cs="Arial"/>
          <w:noProof/>
          <w:sz w:val="20"/>
          <w:szCs w:val="20"/>
        </w:rPr>
      </w:pPr>
    </w:p>
    <w:p w14:paraId="081BBD47" w14:textId="77777777" w:rsidR="00A155A2" w:rsidRDefault="00A155A2" w:rsidP="00A155A2">
      <w:pPr>
        <w:jc w:val="both"/>
        <w:rPr>
          <w:rFonts w:ascii="Arial" w:eastAsia="Times New Roman" w:hAnsi="Arial" w:cs="Arial"/>
          <w:i/>
          <w:sz w:val="20"/>
          <w:szCs w:val="20"/>
          <w:lang w:eastAsia="sl-SI"/>
        </w:rPr>
      </w:pPr>
    </w:p>
    <w:p w14:paraId="2B38F7CE" w14:textId="77777777" w:rsidR="00A155A2" w:rsidRDefault="00A155A2" w:rsidP="00A155A2">
      <w:pPr>
        <w:jc w:val="both"/>
        <w:rPr>
          <w:rFonts w:ascii="Arial" w:eastAsia="Times New Roman" w:hAnsi="Arial" w:cs="Arial"/>
          <w:i/>
          <w:sz w:val="20"/>
          <w:szCs w:val="20"/>
          <w:lang w:eastAsia="sl-SI"/>
        </w:rPr>
      </w:pPr>
    </w:p>
    <w:p w14:paraId="4387575A" w14:textId="77777777" w:rsidR="00A155A2" w:rsidRDefault="00A155A2" w:rsidP="00A155A2">
      <w:pPr>
        <w:jc w:val="both"/>
        <w:rPr>
          <w:rFonts w:ascii="Arial" w:eastAsia="Times New Roman" w:hAnsi="Arial" w:cs="Arial"/>
          <w:i/>
          <w:sz w:val="20"/>
          <w:szCs w:val="20"/>
          <w:lang w:eastAsia="sl-SI"/>
        </w:rPr>
      </w:pPr>
    </w:p>
    <w:p w14:paraId="3A2EF668" w14:textId="77777777" w:rsidR="00A155A2" w:rsidRDefault="00A155A2" w:rsidP="00A155A2">
      <w:pPr>
        <w:jc w:val="both"/>
        <w:rPr>
          <w:rFonts w:ascii="Arial" w:eastAsia="Times New Roman" w:hAnsi="Arial" w:cs="Arial"/>
          <w:i/>
          <w:sz w:val="20"/>
          <w:szCs w:val="20"/>
          <w:lang w:eastAsia="sl-SI"/>
        </w:rPr>
      </w:pPr>
    </w:p>
    <w:p w14:paraId="36AFBE09" w14:textId="77777777" w:rsidR="00A155A2" w:rsidRDefault="00A155A2" w:rsidP="00A155A2">
      <w:pPr>
        <w:jc w:val="both"/>
        <w:rPr>
          <w:rFonts w:ascii="Arial" w:eastAsia="Times New Roman" w:hAnsi="Arial" w:cs="Arial"/>
          <w:i/>
          <w:sz w:val="20"/>
          <w:szCs w:val="20"/>
          <w:lang w:eastAsia="sl-SI"/>
        </w:rPr>
      </w:pPr>
    </w:p>
    <w:p w14:paraId="0F1A3956" w14:textId="77777777" w:rsidR="00A155A2" w:rsidRDefault="00A155A2" w:rsidP="00A155A2">
      <w:pPr>
        <w:jc w:val="both"/>
        <w:rPr>
          <w:rFonts w:ascii="Arial" w:eastAsia="Times New Roman" w:hAnsi="Arial" w:cs="Arial"/>
          <w:i/>
          <w:sz w:val="20"/>
          <w:szCs w:val="20"/>
          <w:lang w:eastAsia="sl-SI"/>
        </w:rPr>
      </w:pPr>
    </w:p>
    <w:p w14:paraId="7C165874" w14:textId="77777777" w:rsidR="00A155A2" w:rsidRDefault="00A155A2" w:rsidP="00A155A2">
      <w:pPr>
        <w:jc w:val="both"/>
        <w:rPr>
          <w:rFonts w:ascii="Arial" w:eastAsia="Times New Roman" w:hAnsi="Arial" w:cs="Arial"/>
          <w:i/>
          <w:sz w:val="20"/>
          <w:szCs w:val="20"/>
          <w:lang w:eastAsia="sl-SI"/>
        </w:rPr>
      </w:pPr>
    </w:p>
    <w:p w14:paraId="004C4D89" w14:textId="77777777" w:rsidR="00A155A2" w:rsidRDefault="00A155A2" w:rsidP="00A155A2">
      <w:pPr>
        <w:jc w:val="both"/>
        <w:rPr>
          <w:rFonts w:ascii="Arial" w:eastAsia="Times New Roman" w:hAnsi="Arial" w:cs="Arial"/>
          <w:i/>
          <w:sz w:val="20"/>
          <w:szCs w:val="20"/>
          <w:lang w:eastAsia="sl-SI"/>
        </w:rPr>
      </w:pPr>
      <w:r w:rsidRPr="00087025">
        <w:rPr>
          <w:rFonts w:ascii="Arial" w:eastAsia="Times New Roman" w:hAnsi="Arial" w:cs="Arial"/>
          <w:i/>
          <w:sz w:val="20"/>
          <w:szCs w:val="20"/>
          <w:lang w:eastAsia="sl-SI"/>
        </w:rPr>
        <w:lastRenderedPageBreak/>
        <w:t>Preglednica 1</w:t>
      </w:r>
      <w:r>
        <w:rPr>
          <w:rFonts w:ascii="Arial" w:eastAsia="Times New Roman" w:hAnsi="Arial" w:cs="Arial"/>
          <w:i/>
          <w:sz w:val="20"/>
          <w:szCs w:val="20"/>
          <w:lang w:eastAsia="sl-SI"/>
        </w:rPr>
        <w:t>8</w:t>
      </w:r>
      <w:r w:rsidRPr="00087025">
        <w:rPr>
          <w:rFonts w:ascii="Arial" w:eastAsia="Times New Roman" w:hAnsi="Arial" w:cs="Arial"/>
          <w:i/>
          <w:sz w:val="20"/>
          <w:szCs w:val="20"/>
          <w:lang w:eastAsia="sl-SI"/>
        </w:rPr>
        <w:t xml:space="preserve">: Izvršba na dolžnikovo nepremično </w:t>
      </w:r>
      <w:r w:rsidRPr="009A1AE3">
        <w:rPr>
          <w:rFonts w:ascii="Arial" w:eastAsia="Times New Roman" w:hAnsi="Arial" w:cs="Arial"/>
          <w:i/>
          <w:sz w:val="20"/>
          <w:szCs w:val="20"/>
          <w:lang w:eastAsia="sl-SI"/>
        </w:rPr>
        <w:t xml:space="preserve">premoženje </w:t>
      </w:r>
      <w:r>
        <w:rPr>
          <w:rFonts w:ascii="Arial" w:eastAsia="Times New Roman" w:hAnsi="Arial" w:cs="Arial"/>
          <w:i/>
          <w:sz w:val="20"/>
          <w:szCs w:val="20"/>
          <w:lang w:eastAsia="sl-SI"/>
        </w:rPr>
        <w:t>(</w:t>
      </w:r>
      <w:r w:rsidRPr="009A1AE3">
        <w:rPr>
          <w:rFonts w:ascii="Arial" w:eastAsia="Times New Roman" w:hAnsi="Arial" w:cs="Arial"/>
          <w:i/>
          <w:sz w:val="20"/>
          <w:szCs w:val="20"/>
          <w:lang w:eastAsia="sl-SI"/>
        </w:rPr>
        <w:t>v  EUR</w:t>
      </w:r>
      <w:r>
        <w:rPr>
          <w:rFonts w:ascii="Arial" w:eastAsia="Times New Roman" w:hAnsi="Arial" w:cs="Arial"/>
          <w:i/>
          <w:sz w:val="20"/>
          <w:szCs w:val="20"/>
          <w:lang w:eastAsia="sl-SI"/>
        </w:rPr>
        <w:t>)</w:t>
      </w:r>
    </w:p>
    <w:tbl>
      <w:tblPr>
        <w:tblW w:w="8896" w:type="dxa"/>
        <w:tblCellMar>
          <w:left w:w="70" w:type="dxa"/>
          <w:right w:w="70" w:type="dxa"/>
        </w:tblCellMar>
        <w:tblLook w:val="04A0" w:firstRow="1" w:lastRow="0" w:firstColumn="1" w:lastColumn="0" w:noHBand="0" w:noVBand="1"/>
      </w:tblPr>
      <w:tblGrid>
        <w:gridCol w:w="3177"/>
        <w:gridCol w:w="837"/>
        <w:gridCol w:w="1105"/>
        <w:gridCol w:w="748"/>
        <w:gridCol w:w="1265"/>
        <w:gridCol w:w="819"/>
        <w:gridCol w:w="945"/>
      </w:tblGrid>
      <w:tr w:rsidR="00A155A2" w:rsidRPr="00D66BE4" w14:paraId="40EB114B" w14:textId="77777777" w:rsidTr="001C77D2">
        <w:trPr>
          <w:trHeight w:val="353"/>
        </w:trPr>
        <w:tc>
          <w:tcPr>
            <w:tcW w:w="3177" w:type="dxa"/>
            <w:vMerge w:val="restart"/>
            <w:tcBorders>
              <w:top w:val="single" w:sz="4" w:space="0" w:color="auto"/>
              <w:left w:val="single" w:sz="4" w:space="0" w:color="auto"/>
              <w:bottom w:val="single" w:sz="4" w:space="0" w:color="auto"/>
              <w:right w:val="single" w:sz="4" w:space="0" w:color="auto"/>
            </w:tcBorders>
            <w:shd w:val="clear" w:color="000000" w:fill="31849B"/>
            <w:vAlign w:val="center"/>
            <w:hideMark/>
          </w:tcPr>
          <w:p w14:paraId="0A4729C2"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Vsebina postopka</w:t>
            </w:r>
          </w:p>
        </w:tc>
        <w:tc>
          <w:tcPr>
            <w:tcW w:w="1942" w:type="dxa"/>
            <w:gridSpan w:val="2"/>
            <w:tcBorders>
              <w:top w:val="single" w:sz="4" w:space="0" w:color="auto"/>
              <w:left w:val="nil"/>
              <w:bottom w:val="single" w:sz="4" w:space="0" w:color="auto"/>
              <w:right w:val="single" w:sz="4" w:space="0" w:color="000000"/>
            </w:tcBorders>
            <w:shd w:val="clear" w:color="000000" w:fill="31869B"/>
            <w:vAlign w:val="center"/>
            <w:hideMark/>
          </w:tcPr>
          <w:p w14:paraId="6719B8AA"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2023</w:t>
            </w:r>
          </w:p>
        </w:tc>
        <w:tc>
          <w:tcPr>
            <w:tcW w:w="2013" w:type="dxa"/>
            <w:gridSpan w:val="2"/>
            <w:tcBorders>
              <w:top w:val="single" w:sz="4" w:space="0" w:color="auto"/>
              <w:left w:val="nil"/>
              <w:bottom w:val="single" w:sz="4" w:space="0" w:color="auto"/>
              <w:right w:val="single" w:sz="4" w:space="0" w:color="000000"/>
            </w:tcBorders>
            <w:shd w:val="clear" w:color="000000" w:fill="31869B"/>
            <w:vAlign w:val="center"/>
            <w:hideMark/>
          </w:tcPr>
          <w:p w14:paraId="60CE3B05"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2024</w:t>
            </w:r>
          </w:p>
        </w:tc>
        <w:tc>
          <w:tcPr>
            <w:tcW w:w="1764" w:type="dxa"/>
            <w:gridSpan w:val="2"/>
            <w:tcBorders>
              <w:top w:val="single" w:sz="4" w:space="0" w:color="auto"/>
              <w:left w:val="nil"/>
              <w:bottom w:val="single" w:sz="4" w:space="0" w:color="auto"/>
              <w:right w:val="single" w:sz="4" w:space="0" w:color="auto"/>
            </w:tcBorders>
            <w:shd w:val="clear" w:color="000000" w:fill="31849B"/>
            <w:vAlign w:val="center"/>
            <w:hideMark/>
          </w:tcPr>
          <w:p w14:paraId="62BB2799"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D66BE4">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D66BE4">
              <w:rPr>
                <w:rFonts w:ascii="Arial" w:eastAsia="Times New Roman" w:hAnsi="Arial" w:cs="Arial"/>
                <w:b/>
                <w:bCs/>
                <w:color w:val="FFFFFF"/>
                <w:sz w:val="18"/>
                <w:szCs w:val="18"/>
                <w:lang w:eastAsia="sl-SI"/>
              </w:rPr>
              <w:t>2023</w:t>
            </w:r>
          </w:p>
        </w:tc>
      </w:tr>
      <w:tr w:rsidR="00A155A2" w:rsidRPr="00D66BE4" w14:paraId="6BF302FB" w14:textId="77777777" w:rsidTr="001C77D2">
        <w:trPr>
          <w:trHeight w:val="479"/>
        </w:trPr>
        <w:tc>
          <w:tcPr>
            <w:tcW w:w="3177" w:type="dxa"/>
            <w:vMerge/>
            <w:tcBorders>
              <w:top w:val="single" w:sz="4" w:space="0" w:color="auto"/>
              <w:left w:val="single" w:sz="4" w:space="0" w:color="auto"/>
              <w:bottom w:val="single" w:sz="4" w:space="0" w:color="auto"/>
              <w:right w:val="single" w:sz="4" w:space="0" w:color="auto"/>
            </w:tcBorders>
            <w:vAlign w:val="center"/>
            <w:hideMark/>
          </w:tcPr>
          <w:p w14:paraId="150335A0" w14:textId="77777777" w:rsidR="00A155A2" w:rsidRPr="00D66BE4" w:rsidRDefault="00A155A2" w:rsidP="001C77D2">
            <w:pPr>
              <w:spacing w:line="240" w:lineRule="auto"/>
              <w:rPr>
                <w:rFonts w:ascii="Arial" w:eastAsia="Times New Roman" w:hAnsi="Arial" w:cs="Arial"/>
                <w:b/>
                <w:bCs/>
                <w:color w:val="FFFFFF"/>
                <w:sz w:val="18"/>
                <w:szCs w:val="18"/>
                <w:lang w:eastAsia="sl-SI"/>
              </w:rPr>
            </w:pPr>
          </w:p>
        </w:tc>
        <w:tc>
          <w:tcPr>
            <w:tcW w:w="837" w:type="dxa"/>
            <w:tcBorders>
              <w:top w:val="nil"/>
              <w:left w:val="nil"/>
              <w:bottom w:val="single" w:sz="4" w:space="0" w:color="auto"/>
              <w:right w:val="single" w:sz="4" w:space="0" w:color="auto"/>
            </w:tcBorders>
            <w:shd w:val="clear" w:color="000000" w:fill="31869B"/>
            <w:vAlign w:val="center"/>
            <w:hideMark/>
          </w:tcPr>
          <w:p w14:paraId="372D0AA0"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Število</w:t>
            </w:r>
          </w:p>
        </w:tc>
        <w:tc>
          <w:tcPr>
            <w:tcW w:w="1105" w:type="dxa"/>
            <w:tcBorders>
              <w:top w:val="nil"/>
              <w:left w:val="nil"/>
              <w:bottom w:val="single" w:sz="4" w:space="0" w:color="auto"/>
              <w:right w:val="single" w:sz="4" w:space="0" w:color="auto"/>
            </w:tcBorders>
            <w:shd w:val="clear" w:color="000000" w:fill="31869B"/>
            <w:vAlign w:val="center"/>
            <w:hideMark/>
          </w:tcPr>
          <w:p w14:paraId="55FD6B40"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9A1AE3">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9A1AE3">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r w:rsidRPr="00D66BE4">
              <w:rPr>
                <w:rFonts w:ascii="Arial" w:eastAsia="Times New Roman" w:hAnsi="Arial" w:cs="Arial"/>
                <w:b/>
                <w:bCs/>
                <w:color w:val="FFFFFF"/>
                <w:sz w:val="18"/>
                <w:szCs w:val="18"/>
                <w:lang w:eastAsia="sl-SI"/>
              </w:rPr>
              <w:t xml:space="preserve"> </w:t>
            </w:r>
          </w:p>
        </w:tc>
        <w:tc>
          <w:tcPr>
            <w:tcW w:w="748" w:type="dxa"/>
            <w:tcBorders>
              <w:top w:val="nil"/>
              <w:left w:val="nil"/>
              <w:bottom w:val="single" w:sz="4" w:space="0" w:color="auto"/>
              <w:right w:val="single" w:sz="4" w:space="0" w:color="auto"/>
            </w:tcBorders>
            <w:shd w:val="clear" w:color="000000" w:fill="31869B"/>
            <w:vAlign w:val="center"/>
            <w:hideMark/>
          </w:tcPr>
          <w:p w14:paraId="760848E5"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Število</w:t>
            </w:r>
          </w:p>
        </w:tc>
        <w:tc>
          <w:tcPr>
            <w:tcW w:w="1265" w:type="dxa"/>
            <w:tcBorders>
              <w:top w:val="nil"/>
              <w:left w:val="nil"/>
              <w:bottom w:val="single" w:sz="4" w:space="0" w:color="auto"/>
              <w:right w:val="single" w:sz="4" w:space="0" w:color="auto"/>
            </w:tcBorders>
            <w:shd w:val="clear" w:color="000000" w:fill="31869B"/>
            <w:vAlign w:val="center"/>
            <w:hideMark/>
          </w:tcPr>
          <w:p w14:paraId="36E16072"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D66BE4">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19" w:type="dxa"/>
            <w:tcBorders>
              <w:top w:val="nil"/>
              <w:left w:val="nil"/>
              <w:bottom w:val="single" w:sz="4" w:space="0" w:color="auto"/>
              <w:right w:val="single" w:sz="4" w:space="0" w:color="auto"/>
            </w:tcBorders>
            <w:shd w:val="clear" w:color="000000" w:fill="31869B"/>
            <w:vAlign w:val="center"/>
            <w:hideMark/>
          </w:tcPr>
          <w:p w14:paraId="7F3DB493"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Število</w:t>
            </w:r>
          </w:p>
        </w:tc>
        <w:tc>
          <w:tcPr>
            <w:tcW w:w="945" w:type="dxa"/>
            <w:tcBorders>
              <w:top w:val="nil"/>
              <w:left w:val="nil"/>
              <w:bottom w:val="single" w:sz="4" w:space="0" w:color="auto"/>
              <w:right w:val="single" w:sz="4" w:space="0" w:color="auto"/>
            </w:tcBorders>
            <w:shd w:val="clear" w:color="000000" w:fill="31869B"/>
            <w:vAlign w:val="center"/>
            <w:hideMark/>
          </w:tcPr>
          <w:p w14:paraId="7D457052" w14:textId="77777777" w:rsidR="00A155A2" w:rsidRPr="00D66BE4" w:rsidRDefault="00A155A2" w:rsidP="001C77D2">
            <w:pPr>
              <w:spacing w:line="240" w:lineRule="auto"/>
              <w:jc w:val="center"/>
              <w:rPr>
                <w:rFonts w:ascii="Arial" w:eastAsia="Times New Roman" w:hAnsi="Arial" w:cs="Arial"/>
                <w:b/>
                <w:bCs/>
                <w:color w:val="FFFFFF"/>
                <w:sz w:val="18"/>
                <w:szCs w:val="18"/>
                <w:lang w:eastAsia="sl-SI"/>
              </w:rPr>
            </w:pPr>
            <w:r w:rsidRPr="00D66BE4">
              <w:rPr>
                <w:rFonts w:ascii="Arial" w:eastAsia="Times New Roman" w:hAnsi="Arial" w:cs="Arial"/>
                <w:b/>
                <w:bCs/>
                <w:color w:val="FFFFFF"/>
                <w:sz w:val="18"/>
                <w:szCs w:val="18"/>
                <w:lang w:eastAsia="sl-SI"/>
              </w:rPr>
              <w:t>Znesek</w:t>
            </w:r>
          </w:p>
        </w:tc>
      </w:tr>
      <w:tr w:rsidR="00A155A2" w:rsidRPr="00D66BE4" w14:paraId="31C67222" w14:textId="77777777" w:rsidTr="001C77D2">
        <w:trPr>
          <w:trHeight w:val="526"/>
        </w:trPr>
        <w:tc>
          <w:tcPr>
            <w:tcW w:w="3177" w:type="dxa"/>
            <w:tcBorders>
              <w:top w:val="nil"/>
              <w:left w:val="single" w:sz="4" w:space="0" w:color="auto"/>
              <w:bottom w:val="single" w:sz="4" w:space="0" w:color="auto"/>
              <w:right w:val="single" w:sz="4" w:space="0" w:color="auto"/>
            </w:tcBorders>
            <w:shd w:val="clear" w:color="auto" w:fill="auto"/>
            <w:vAlign w:val="center"/>
            <w:hideMark/>
          </w:tcPr>
          <w:p w14:paraId="64C64780" w14:textId="77777777" w:rsidR="00A155A2" w:rsidRPr="00D66BE4" w:rsidRDefault="00A155A2" w:rsidP="001C77D2">
            <w:pPr>
              <w:spacing w:line="240" w:lineRule="auto"/>
              <w:rPr>
                <w:rFonts w:ascii="Arial" w:eastAsia="Times New Roman" w:hAnsi="Arial" w:cs="Arial"/>
                <w:sz w:val="18"/>
                <w:szCs w:val="18"/>
                <w:lang w:eastAsia="sl-SI"/>
              </w:rPr>
            </w:pPr>
            <w:r w:rsidRPr="00D66BE4">
              <w:rPr>
                <w:rFonts w:ascii="Arial" w:eastAsia="Times New Roman" w:hAnsi="Arial" w:cs="Arial"/>
                <w:sz w:val="18"/>
                <w:szCs w:val="18"/>
                <w:lang w:eastAsia="sl-SI"/>
              </w:rPr>
              <w:t xml:space="preserve">Vknjižbe zastavne pravice na nepremičnine </w:t>
            </w:r>
          </w:p>
        </w:tc>
        <w:tc>
          <w:tcPr>
            <w:tcW w:w="837" w:type="dxa"/>
            <w:tcBorders>
              <w:top w:val="nil"/>
              <w:left w:val="nil"/>
              <w:bottom w:val="single" w:sz="4" w:space="0" w:color="auto"/>
              <w:right w:val="single" w:sz="4" w:space="0" w:color="auto"/>
            </w:tcBorders>
            <w:shd w:val="clear" w:color="auto" w:fill="auto"/>
            <w:vAlign w:val="center"/>
            <w:hideMark/>
          </w:tcPr>
          <w:p w14:paraId="25B1DE21"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1.388</w:t>
            </w:r>
          </w:p>
        </w:tc>
        <w:tc>
          <w:tcPr>
            <w:tcW w:w="1105" w:type="dxa"/>
            <w:tcBorders>
              <w:top w:val="nil"/>
              <w:left w:val="nil"/>
              <w:bottom w:val="single" w:sz="4" w:space="0" w:color="auto"/>
              <w:right w:val="single" w:sz="4" w:space="0" w:color="auto"/>
            </w:tcBorders>
            <w:shd w:val="clear" w:color="000000" w:fill="DAEEF3"/>
            <w:vAlign w:val="center"/>
            <w:hideMark/>
          </w:tcPr>
          <w:p w14:paraId="33A36FA8"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22.820.948</w:t>
            </w:r>
          </w:p>
        </w:tc>
        <w:tc>
          <w:tcPr>
            <w:tcW w:w="748" w:type="dxa"/>
            <w:tcBorders>
              <w:top w:val="nil"/>
              <w:left w:val="nil"/>
              <w:bottom w:val="single" w:sz="4" w:space="0" w:color="auto"/>
              <w:right w:val="single" w:sz="4" w:space="0" w:color="auto"/>
            </w:tcBorders>
            <w:shd w:val="clear" w:color="auto" w:fill="auto"/>
            <w:vAlign w:val="center"/>
            <w:hideMark/>
          </w:tcPr>
          <w:p w14:paraId="1FFF4771"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1.579</w:t>
            </w:r>
          </w:p>
        </w:tc>
        <w:tc>
          <w:tcPr>
            <w:tcW w:w="1265" w:type="dxa"/>
            <w:tcBorders>
              <w:top w:val="nil"/>
              <w:left w:val="nil"/>
              <w:bottom w:val="single" w:sz="4" w:space="0" w:color="auto"/>
              <w:right w:val="single" w:sz="4" w:space="0" w:color="auto"/>
            </w:tcBorders>
            <w:shd w:val="clear" w:color="000000" w:fill="DAEEF3"/>
            <w:vAlign w:val="center"/>
            <w:hideMark/>
          </w:tcPr>
          <w:p w14:paraId="1F647180"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27.355.751</w:t>
            </w:r>
          </w:p>
        </w:tc>
        <w:tc>
          <w:tcPr>
            <w:tcW w:w="819" w:type="dxa"/>
            <w:tcBorders>
              <w:top w:val="nil"/>
              <w:left w:val="nil"/>
              <w:bottom w:val="single" w:sz="4" w:space="0" w:color="auto"/>
              <w:right w:val="single" w:sz="4" w:space="0" w:color="auto"/>
            </w:tcBorders>
            <w:shd w:val="clear" w:color="auto" w:fill="auto"/>
            <w:vAlign w:val="center"/>
            <w:hideMark/>
          </w:tcPr>
          <w:p w14:paraId="6B62FEDC"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113,8</w:t>
            </w:r>
          </w:p>
        </w:tc>
        <w:tc>
          <w:tcPr>
            <w:tcW w:w="945" w:type="dxa"/>
            <w:tcBorders>
              <w:top w:val="nil"/>
              <w:left w:val="nil"/>
              <w:bottom w:val="single" w:sz="4" w:space="0" w:color="auto"/>
              <w:right w:val="single" w:sz="4" w:space="0" w:color="auto"/>
            </w:tcBorders>
            <w:shd w:val="clear" w:color="auto" w:fill="auto"/>
            <w:vAlign w:val="center"/>
            <w:hideMark/>
          </w:tcPr>
          <w:p w14:paraId="4FD82313"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119,9</w:t>
            </w:r>
          </w:p>
        </w:tc>
      </w:tr>
      <w:tr w:rsidR="00A155A2" w:rsidRPr="00D66BE4" w14:paraId="12C0FE39" w14:textId="77777777" w:rsidTr="001C77D2">
        <w:trPr>
          <w:trHeight w:val="488"/>
        </w:trPr>
        <w:tc>
          <w:tcPr>
            <w:tcW w:w="3177" w:type="dxa"/>
            <w:tcBorders>
              <w:top w:val="nil"/>
              <w:left w:val="single" w:sz="4" w:space="0" w:color="auto"/>
              <w:bottom w:val="single" w:sz="4" w:space="0" w:color="auto"/>
              <w:right w:val="single" w:sz="4" w:space="0" w:color="auto"/>
            </w:tcBorders>
            <w:shd w:val="clear" w:color="auto" w:fill="auto"/>
            <w:vAlign w:val="center"/>
            <w:hideMark/>
          </w:tcPr>
          <w:p w14:paraId="25156136" w14:textId="77777777" w:rsidR="00A155A2" w:rsidRPr="00D66BE4" w:rsidRDefault="00A155A2" w:rsidP="001C77D2">
            <w:pPr>
              <w:spacing w:line="240" w:lineRule="auto"/>
              <w:rPr>
                <w:rFonts w:ascii="Arial" w:eastAsia="Times New Roman" w:hAnsi="Arial" w:cs="Arial"/>
                <w:sz w:val="18"/>
                <w:szCs w:val="18"/>
                <w:lang w:eastAsia="sl-SI"/>
              </w:rPr>
            </w:pPr>
            <w:r w:rsidRPr="00D66BE4">
              <w:rPr>
                <w:rFonts w:ascii="Arial" w:eastAsia="Times New Roman" w:hAnsi="Arial" w:cs="Arial"/>
                <w:sz w:val="18"/>
                <w:szCs w:val="18"/>
                <w:lang w:eastAsia="sl-SI"/>
              </w:rPr>
              <w:t xml:space="preserve">Predlogi sodišču za izvršbo na nepremičnine </w:t>
            </w:r>
          </w:p>
        </w:tc>
        <w:tc>
          <w:tcPr>
            <w:tcW w:w="837" w:type="dxa"/>
            <w:tcBorders>
              <w:top w:val="nil"/>
              <w:left w:val="nil"/>
              <w:bottom w:val="single" w:sz="4" w:space="0" w:color="auto"/>
              <w:right w:val="single" w:sz="4" w:space="0" w:color="auto"/>
            </w:tcBorders>
            <w:shd w:val="clear" w:color="auto" w:fill="auto"/>
            <w:vAlign w:val="center"/>
            <w:hideMark/>
          </w:tcPr>
          <w:p w14:paraId="403F2CCF"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354</w:t>
            </w:r>
          </w:p>
        </w:tc>
        <w:tc>
          <w:tcPr>
            <w:tcW w:w="1105" w:type="dxa"/>
            <w:tcBorders>
              <w:top w:val="nil"/>
              <w:left w:val="nil"/>
              <w:bottom w:val="single" w:sz="4" w:space="0" w:color="auto"/>
              <w:right w:val="single" w:sz="4" w:space="0" w:color="auto"/>
            </w:tcBorders>
            <w:shd w:val="clear" w:color="000000" w:fill="DAEEF3"/>
            <w:vAlign w:val="center"/>
            <w:hideMark/>
          </w:tcPr>
          <w:p w14:paraId="52A6D305"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14.972.577</w:t>
            </w:r>
          </w:p>
        </w:tc>
        <w:tc>
          <w:tcPr>
            <w:tcW w:w="748" w:type="dxa"/>
            <w:tcBorders>
              <w:top w:val="nil"/>
              <w:left w:val="nil"/>
              <w:bottom w:val="single" w:sz="4" w:space="0" w:color="auto"/>
              <w:right w:val="single" w:sz="4" w:space="0" w:color="auto"/>
            </w:tcBorders>
            <w:shd w:val="clear" w:color="auto" w:fill="auto"/>
            <w:vAlign w:val="center"/>
            <w:hideMark/>
          </w:tcPr>
          <w:p w14:paraId="64FA4E24"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295</w:t>
            </w:r>
          </w:p>
        </w:tc>
        <w:tc>
          <w:tcPr>
            <w:tcW w:w="1265" w:type="dxa"/>
            <w:tcBorders>
              <w:top w:val="nil"/>
              <w:left w:val="nil"/>
              <w:bottom w:val="single" w:sz="4" w:space="0" w:color="auto"/>
              <w:right w:val="single" w:sz="4" w:space="0" w:color="auto"/>
            </w:tcBorders>
            <w:shd w:val="clear" w:color="000000" w:fill="DAEEF3"/>
            <w:vAlign w:val="center"/>
            <w:hideMark/>
          </w:tcPr>
          <w:p w14:paraId="7194A76C"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12.804.828</w:t>
            </w:r>
          </w:p>
        </w:tc>
        <w:tc>
          <w:tcPr>
            <w:tcW w:w="819" w:type="dxa"/>
            <w:tcBorders>
              <w:top w:val="nil"/>
              <w:left w:val="nil"/>
              <w:bottom w:val="single" w:sz="4" w:space="0" w:color="auto"/>
              <w:right w:val="single" w:sz="4" w:space="0" w:color="auto"/>
            </w:tcBorders>
            <w:shd w:val="clear" w:color="auto" w:fill="auto"/>
            <w:vAlign w:val="center"/>
            <w:hideMark/>
          </w:tcPr>
          <w:p w14:paraId="6EE7CD19"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83,3</w:t>
            </w:r>
          </w:p>
        </w:tc>
        <w:tc>
          <w:tcPr>
            <w:tcW w:w="945" w:type="dxa"/>
            <w:tcBorders>
              <w:top w:val="nil"/>
              <w:left w:val="nil"/>
              <w:bottom w:val="single" w:sz="4" w:space="0" w:color="auto"/>
              <w:right w:val="single" w:sz="4" w:space="0" w:color="auto"/>
            </w:tcBorders>
            <w:shd w:val="clear" w:color="auto" w:fill="auto"/>
            <w:vAlign w:val="center"/>
            <w:hideMark/>
          </w:tcPr>
          <w:p w14:paraId="4DB42374"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85,5</w:t>
            </w:r>
          </w:p>
        </w:tc>
      </w:tr>
      <w:tr w:rsidR="00A155A2" w:rsidRPr="00D66BE4" w14:paraId="2B1901F5" w14:textId="77777777" w:rsidTr="001C77D2">
        <w:trPr>
          <w:trHeight w:val="425"/>
        </w:trPr>
        <w:tc>
          <w:tcPr>
            <w:tcW w:w="3177" w:type="dxa"/>
            <w:tcBorders>
              <w:top w:val="nil"/>
              <w:left w:val="single" w:sz="4" w:space="0" w:color="auto"/>
              <w:bottom w:val="single" w:sz="4" w:space="0" w:color="auto"/>
              <w:right w:val="single" w:sz="4" w:space="0" w:color="auto"/>
            </w:tcBorders>
            <w:shd w:val="clear" w:color="auto" w:fill="auto"/>
            <w:vAlign w:val="center"/>
            <w:hideMark/>
          </w:tcPr>
          <w:p w14:paraId="10E58576" w14:textId="77777777" w:rsidR="00A155A2" w:rsidRPr="00D66BE4" w:rsidRDefault="00A155A2" w:rsidP="001C77D2">
            <w:pPr>
              <w:spacing w:line="240" w:lineRule="auto"/>
              <w:rPr>
                <w:rFonts w:ascii="Arial" w:eastAsia="Times New Roman" w:hAnsi="Arial" w:cs="Arial"/>
                <w:sz w:val="18"/>
                <w:szCs w:val="18"/>
                <w:lang w:eastAsia="sl-SI"/>
              </w:rPr>
            </w:pPr>
            <w:r w:rsidRPr="00D66BE4">
              <w:rPr>
                <w:rFonts w:ascii="Arial" w:eastAsia="Times New Roman" w:hAnsi="Arial" w:cs="Arial"/>
                <w:sz w:val="18"/>
                <w:szCs w:val="18"/>
                <w:lang w:eastAsia="sl-SI"/>
              </w:rPr>
              <w:t>Plačila na podlagi prodaje nepremičnine</w:t>
            </w:r>
          </w:p>
        </w:tc>
        <w:tc>
          <w:tcPr>
            <w:tcW w:w="837" w:type="dxa"/>
            <w:tcBorders>
              <w:top w:val="nil"/>
              <w:left w:val="nil"/>
              <w:bottom w:val="single" w:sz="4" w:space="0" w:color="auto"/>
              <w:right w:val="single" w:sz="4" w:space="0" w:color="auto"/>
            </w:tcBorders>
            <w:shd w:val="clear" w:color="auto" w:fill="auto"/>
            <w:vAlign w:val="center"/>
            <w:hideMark/>
          </w:tcPr>
          <w:p w14:paraId="503DAE8C"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936</w:t>
            </w:r>
          </w:p>
        </w:tc>
        <w:tc>
          <w:tcPr>
            <w:tcW w:w="1105" w:type="dxa"/>
            <w:tcBorders>
              <w:top w:val="nil"/>
              <w:left w:val="nil"/>
              <w:bottom w:val="single" w:sz="4" w:space="0" w:color="auto"/>
              <w:right w:val="single" w:sz="4" w:space="0" w:color="auto"/>
            </w:tcBorders>
            <w:shd w:val="clear" w:color="000000" w:fill="DAEEF3"/>
            <w:vAlign w:val="center"/>
            <w:hideMark/>
          </w:tcPr>
          <w:p w14:paraId="695E10EA"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5.850.015</w:t>
            </w:r>
          </w:p>
        </w:tc>
        <w:tc>
          <w:tcPr>
            <w:tcW w:w="748" w:type="dxa"/>
            <w:tcBorders>
              <w:top w:val="nil"/>
              <w:left w:val="nil"/>
              <w:bottom w:val="single" w:sz="4" w:space="0" w:color="auto"/>
              <w:right w:val="single" w:sz="4" w:space="0" w:color="auto"/>
            </w:tcBorders>
            <w:shd w:val="clear" w:color="auto" w:fill="auto"/>
            <w:vAlign w:val="center"/>
            <w:hideMark/>
          </w:tcPr>
          <w:p w14:paraId="58BBDBF7"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949</w:t>
            </w:r>
          </w:p>
        </w:tc>
        <w:tc>
          <w:tcPr>
            <w:tcW w:w="1265" w:type="dxa"/>
            <w:tcBorders>
              <w:top w:val="nil"/>
              <w:left w:val="nil"/>
              <w:bottom w:val="single" w:sz="4" w:space="0" w:color="auto"/>
              <w:right w:val="single" w:sz="4" w:space="0" w:color="auto"/>
            </w:tcBorders>
            <w:shd w:val="clear" w:color="000000" w:fill="DAEEF3"/>
            <w:vAlign w:val="center"/>
            <w:hideMark/>
          </w:tcPr>
          <w:p w14:paraId="39F26F58" w14:textId="77777777" w:rsidR="00A155A2" w:rsidRPr="00D66BE4" w:rsidRDefault="00A155A2" w:rsidP="001C77D2">
            <w:pPr>
              <w:spacing w:line="240" w:lineRule="auto"/>
              <w:jc w:val="right"/>
              <w:rPr>
                <w:rFonts w:ascii="Arial" w:eastAsia="Times New Roman" w:hAnsi="Arial" w:cs="Arial"/>
                <w:sz w:val="18"/>
                <w:szCs w:val="18"/>
                <w:lang w:eastAsia="sl-SI"/>
              </w:rPr>
            </w:pPr>
            <w:bookmarkStart w:id="21" w:name="_Hlk187918083"/>
            <w:r w:rsidRPr="00D66BE4">
              <w:rPr>
                <w:rFonts w:ascii="Arial" w:eastAsia="Times New Roman" w:hAnsi="Arial" w:cs="Arial"/>
                <w:sz w:val="18"/>
                <w:szCs w:val="18"/>
                <w:lang w:eastAsia="sl-SI"/>
              </w:rPr>
              <w:t>2.806.948</w:t>
            </w:r>
            <w:bookmarkEnd w:id="21"/>
          </w:p>
        </w:tc>
        <w:tc>
          <w:tcPr>
            <w:tcW w:w="819" w:type="dxa"/>
            <w:tcBorders>
              <w:top w:val="nil"/>
              <w:left w:val="nil"/>
              <w:bottom w:val="single" w:sz="4" w:space="0" w:color="auto"/>
              <w:right w:val="single" w:sz="4" w:space="0" w:color="auto"/>
            </w:tcBorders>
            <w:shd w:val="clear" w:color="auto" w:fill="auto"/>
            <w:vAlign w:val="center"/>
            <w:hideMark/>
          </w:tcPr>
          <w:p w14:paraId="24A649EE"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101,4</w:t>
            </w:r>
          </w:p>
        </w:tc>
        <w:tc>
          <w:tcPr>
            <w:tcW w:w="945" w:type="dxa"/>
            <w:tcBorders>
              <w:top w:val="nil"/>
              <w:left w:val="nil"/>
              <w:bottom w:val="single" w:sz="4" w:space="0" w:color="auto"/>
              <w:right w:val="single" w:sz="4" w:space="0" w:color="auto"/>
            </w:tcBorders>
            <w:shd w:val="clear" w:color="auto" w:fill="auto"/>
            <w:vAlign w:val="center"/>
            <w:hideMark/>
          </w:tcPr>
          <w:p w14:paraId="1A6EE377" w14:textId="77777777" w:rsidR="00A155A2" w:rsidRPr="00D66BE4" w:rsidRDefault="00A155A2" w:rsidP="001C77D2">
            <w:pPr>
              <w:spacing w:line="240" w:lineRule="auto"/>
              <w:jc w:val="right"/>
              <w:rPr>
                <w:rFonts w:ascii="Arial" w:eastAsia="Times New Roman" w:hAnsi="Arial" w:cs="Arial"/>
                <w:sz w:val="18"/>
                <w:szCs w:val="18"/>
                <w:lang w:eastAsia="sl-SI"/>
              </w:rPr>
            </w:pPr>
            <w:r w:rsidRPr="00D66BE4">
              <w:rPr>
                <w:rFonts w:ascii="Arial" w:eastAsia="Times New Roman" w:hAnsi="Arial" w:cs="Arial"/>
                <w:sz w:val="18"/>
                <w:szCs w:val="18"/>
                <w:lang w:eastAsia="sl-SI"/>
              </w:rPr>
              <w:t>48,0</w:t>
            </w:r>
          </w:p>
        </w:tc>
      </w:tr>
    </w:tbl>
    <w:p w14:paraId="796CD08B" w14:textId="77777777" w:rsidR="00A155A2" w:rsidRPr="0094063C" w:rsidRDefault="00A155A2" w:rsidP="00A155A2">
      <w:pPr>
        <w:rPr>
          <w:rFonts w:ascii="Arial" w:hAnsi="Arial" w:cs="Arial"/>
          <w:i/>
          <w:sz w:val="20"/>
          <w:szCs w:val="20"/>
        </w:rPr>
      </w:pPr>
      <w:r w:rsidRPr="0094063C">
        <w:rPr>
          <w:rFonts w:ascii="Arial" w:hAnsi="Arial" w:cs="Arial"/>
          <w:i/>
          <w:sz w:val="20"/>
          <w:szCs w:val="20"/>
        </w:rPr>
        <w:t>Vir: FURS</w:t>
      </w:r>
    </w:p>
    <w:p w14:paraId="5E895BB5" w14:textId="77777777" w:rsidR="00A155A2" w:rsidRPr="00087025" w:rsidRDefault="00A155A2" w:rsidP="00A155A2">
      <w:pPr>
        <w:jc w:val="both"/>
        <w:rPr>
          <w:rFonts w:ascii="Arial" w:eastAsia="Times New Roman" w:hAnsi="Arial" w:cs="Arial"/>
          <w:b/>
          <w:bCs/>
          <w:iCs/>
          <w:sz w:val="20"/>
          <w:szCs w:val="20"/>
          <w:lang w:eastAsia="sl-SI"/>
        </w:rPr>
      </w:pPr>
      <w:r w:rsidRPr="006B4A58">
        <w:rPr>
          <w:rFonts w:ascii="Arial" w:eastAsia="Times New Roman" w:hAnsi="Arial" w:cs="Arial"/>
          <w:b/>
          <w:bCs/>
          <w:iCs/>
          <w:sz w:val="20"/>
          <w:szCs w:val="20"/>
          <w:lang w:eastAsia="sl-SI"/>
        </w:rPr>
        <w:t>Predlaganje izbrisov poslovnih subjektov</w:t>
      </w:r>
    </w:p>
    <w:p w14:paraId="5690084B" w14:textId="77777777" w:rsidR="00A155A2" w:rsidRPr="00794A92" w:rsidRDefault="00A155A2" w:rsidP="00A155A2">
      <w:pPr>
        <w:jc w:val="both"/>
        <w:rPr>
          <w:rFonts w:ascii="Arial" w:eastAsia="Times New Roman" w:hAnsi="Arial" w:cs="Arial"/>
          <w:sz w:val="20"/>
          <w:szCs w:val="20"/>
          <w:lang w:eastAsia="sl-SI"/>
        </w:rPr>
      </w:pPr>
      <w:r w:rsidRPr="00376EBC">
        <w:rPr>
          <w:rFonts w:ascii="Arial" w:eastAsia="Times New Roman" w:hAnsi="Arial" w:cs="Arial"/>
          <w:sz w:val="20"/>
          <w:szCs w:val="20"/>
          <w:lang w:eastAsia="sl-SI"/>
        </w:rPr>
        <w:t>FURS</w:t>
      </w:r>
      <w:r w:rsidRPr="004D56C9">
        <w:rPr>
          <w:rFonts w:ascii="Arial" w:eastAsia="Times New Roman" w:hAnsi="Arial" w:cs="Arial"/>
          <w:sz w:val="20"/>
          <w:szCs w:val="20"/>
          <w:lang w:eastAsia="sl-SI"/>
        </w:rPr>
        <w:t xml:space="preserve"> </w:t>
      </w:r>
      <w:r>
        <w:rPr>
          <w:rFonts w:ascii="Arial" w:eastAsia="Times New Roman" w:hAnsi="Arial" w:cs="Arial"/>
          <w:sz w:val="20"/>
          <w:szCs w:val="20"/>
          <w:lang w:eastAsia="sl-SI"/>
        </w:rPr>
        <w:t>uporablja</w:t>
      </w:r>
      <w:r w:rsidRPr="004D56C9">
        <w:rPr>
          <w:rFonts w:ascii="Arial" w:eastAsia="Times New Roman" w:hAnsi="Arial" w:cs="Arial"/>
          <w:sz w:val="20"/>
          <w:szCs w:val="20"/>
          <w:lang w:eastAsia="sl-SI"/>
        </w:rPr>
        <w:t xml:space="preserve"> tudi zakonsk</w:t>
      </w:r>
      <w:r>
        <w:rPr>
          <w:rFonts w:ascii="Arial" w:eastAsia="Times New Roman" w:hAnsi="Arial" w:cs="Arial"/>
          <w:sz w:val="20"/>
          <w:szCs w:val="20"/>
          <w:lang w:eastAsia="sl-SI"/>
        </w:rPr>
        <w:t>e</w:t>
      </w:r>
      <w:r w:rsidRPr="004D56C9">
        <w:rPr>
          <w:rFonts w:ascii="Arial" w:eastAsia="Times New Roman" w:hAnsi="Arial" w:cs="Arial"/>
          <w:sz w:val="20"/>
          <w:szCs w:val="20"/>
          <w:lang w:eastAsia="sl-SI"/>
        </w:rPr>
        <w:t xml:space="preserve"> možnosti za izbris neaktivnih poslovnih subjektov, </w:t>
      </w:r>
      <w:r>
        <w:rPr>
          <w:rFonts w:ascii="Arial" w:eastAsia="Times New Roman" w:hAnsi="Arial" w:cs="Arial"/>
          <w:sz w:val="20"/>
          <w:szCs w:val="20"/>
          <w:lang w:eastAsia="sl-SI"/>
        </w:rPr>
        <w:t xml:space="preserve">in sicer </w:t>
      </w:r>
      <w:r w:rsidRPr="004D56C9">
        <w:rPr>
          <w:rFonts w:ascii="Arial" w:eastAsia="Times New Roman" w:hAnsi="Arial" w:cs="Arial"/>
          <w:sz w:val="20"/>
          <w:szCs w:val="20"/>
          <w:lang w:eastAsia="sl-SI"/>
        </w:rPr>
        <w:t>v skladu z Zakonom o gospodarskih družbah (</w:t>
      </w:r>
      <w:r w:rsidRPr="00C425AA">
        <w:rPr>
          <w:rFonts w:ascii="Arial" w:eastAsia="Times New Roman" w:hAnsi="Arial" w:cs="Arial"/>
          <w:sz w:val="20"/>
          <w:szCs w:val="20"/>
          <w:lang w:eastAsia="sl-SI"/>
        </w:rPr>
        <w:t xml:space="preserve">v nadaljnjem besedilu: </w:t>
      </w:r>
      <w:r w:rsidRPr="004D56C9">
        <w:rPr>
          <w:rFonts w:ascii="Arial" w:eastAsia="Times New Roman" w:hAnsi="Arial" w:cs="Arial"/>
          <w:sz w:val="20"/>
          <w:szCs w:val="20"/>
          <w:lang w:eastAsia="sl-SI"/>
        </w:rPr>
        <w:t>ZGD-1)</w:t>
      </w:r>
      <w:r>
        <w:rPr>
          <w:rStyle w:val="Sprotnaopomba-sklic"/>
          <w:rFonts w:ascii="Arial" w:eastAsia="Times New Roman" w:hAnsi="Arial" w:cs="Arial"/>
          <w:sz w:val="20"/>
          <w:szCs w:val="20"/>
          <w:lang w:eastAsia="sl-SI"/>
        </w:rPr>
        <w:footnoteReference w:id="14"/>
      </w:r>
      <w:r w:rsidRPr="004D56C9">
        <w:rPr>
          <w:rFonts w:ascii="Arial" w:eastAsia="Times New Roman" w:hAnsi="Arial" w:cs="Arial"/>
          <w:sz w:val="20"/>
          <w:szCs w:val="20"/>
          <w:lang w:eastAsia="sl-SI"/>
        </w:rPr>
        <w:t xml:space="preserve"> za samostojne podjetnike posameznike </w:t>
      </w:r>
      <w:r>
        <w:rPr>
          <w:rFonts w:ascii="Arial" w:eastAsia="Times New Roman" w:hAnsi="Arial" w:cs="Arial"/>
          <w:sz w:val="20"/>
          <w:szCs w:val="20"/>
          <w:lang w:eastAsia="sl-SI"/>
        </w:rPr>
        <w:t>ter</w:t>
      </w:r>
      <w:r w:rsidRPr="004D56C9">
        <w:rPr>
          <w:rFonts w:ascii="Arial" w:eastAsia="Times New Roman" w:hAnsi="Arial" w:cs="Arial"/>
          <w:sz w:val="20"/>
          <w:szCs w:val="20"/>
          <w:lang w:eastAsia="sl-SI"/>
        </w:rPr>
        <w:t xml:space="preserve"> </w:t>
      </w:r>
      <w:bookmarkStart w:id="22" w:name="_Hlk193373976"/>
      <w:r>
        <w:rPr>
          <w:rFonts w:ascii="Arial" w:eastAsia="Times New Roman" w:hAnsi="Arial" w:cs="Arial"/>
          <w:sz w:val="20"/>
          <w:szCs w:val="20"/>
          <w:lang w:eastAsia="sl-SI"/>
        </w:rPr>
        <w:t xml:space="preserve">v skladu </w:t>
      </w:r>
      <w:r w:rsidRPr="009A1AE3">
        <w:rPr>
          <w:rFonts w:ascii="Arial" w:eastAsia="Times New Roman" w:hAnsi="Arial" w:cs="Arial"/>
          <w:sz w:val="20"/>
          <w:szCs w:val="20"/>
          <w:lang w:eastAsia="sl-SI"/>
        </w:rPr>
        <w:t>z Zakonom o finančnem poslovanju, postopkih zaradi insolventnosti in prisilnem prenehanju</w:t>
      </w:r>
      <w:r w:rsidRPr="00625281">
        <w:rPr>
          <w:rFonts w:ascii="Arial" w:eastAsia="Times New Roman" w:hAnsi="Arial" w:cs="Arial"/>
          <w:sz w:val="20"/>
          <w:szCs w:val="20"/>
          <w:lang w:eastAsia="sl-SI"/>
        </w:rPr>
        <w:t xml:space="preserve"> (ZFPPIPP)</w:t>
      </w:r>
      <w:bookmarkEnd w:id="22"/>
      <w:r w:rsidRPr="009A1AE3">
        <w:rPr>
          <w:rStyle w:val="Sprotnaopomba-sklic"/>
          <w:rFonts w:ascii="Arial" w:eastAsia="Times New Roman" w:hAnsi="Arial" w:cs="Arial"/>
          <w:sz w:val="20"/>
          <w:szCs w:val="20"/>
          <w:lang w:eastAsia="sl-SI"/>
        </w:rPr>
        <w:footnoteReference w:id="15"/>
      </w:r>
      <w:r w:rsidRPr="009A1AE3">
        <w:rPr>
          <w:rFonts w:ascii="Arial" w:eastAsia="Times New Roman" w:hAnsi="Arial" w:cs="Arial"/>
          <w:sz w:val="20"/>
          <w:szCs w:val="20"/>
          <w:lang w:eastAsia="sl-SI"/>
        </w:rPr>
        <w:t xml:space="preserve"> za subjekte</w:t>
      </w:r>
      <w:r w:rsidRPr="004D56C9">
        <w:rPr>
          <w:rFonts w:ascii="Arial" w:eastAsia="Times New Roman" w:hAnsi="Arial" w:cs="Arial"/>
          <w:sz w:val="20"/>
          <w:szCs w:val="20"/>
          <w:lang w:eastAsia="sl-SI"/>
        </w:rPr>
        <w:t xml:space="preserve"> vpisa v sodni register</w:t>
      </w:r>
      <w:r>
        <w:rPr>
          <w:rFonts w:ascii="Arial" w:eastAsia="Times New Roman" w:hAnsi="Arial" w:cs="Arial"/>
          <w:sz w:val="20"/>
          <w:szCs w:val="20"/>
          <w:lang w:eastAsia="sl-SI"/>
        </w:rPr>
        <w:t>.</w:t>
      </w:r>
      <w:r w:rsidRPr="004D56C9">
        <w:rPr>
          <w:rFonts w:ascii="Arial" w:eastAsia="Times New Roman" w:hAnsi="Arial" w:cs="Arial"/>
          <w:sz w:val="20"/>
          <w:szCs w:val="20"/>
          <w:lang w:eastAsia="sl-SI"/>
        </w:rPr>
        <w:t xml:space="preserve"> </w:t>
      </w:r>
    </w:p>
    <w:p w14:paraId="6E9B0168" w14:textId="77777777" w:rsidR="00A155A2" w:rsidRPr="00AC0D4D" w:rsidRDefault="00A155A2" w:rsidP="00A155A2">
      <w:pPr>
        <w:jc w:val="both"/>
        <w:rPr>
          <w:rFonts w:ascii="Arial" w:eastAsia="Times New Roman" w:hAnsi="Arial" w:cs="Arial"/>
          <w:sz w:val="20"/>
          <w:szCs w:val="20"/>
          <w:lang w:eastAsia="sl-SI"/>
        </w:rPr>
      </w:pPr>
      <w:r w:rsidRPr="00AC0D4D">
        <w:rPr>
          <w:rFonts w:ascii="Arial" w:eastAsia="Times New Roman" w:hAnsi="Arial" w:cs="Arial"/>
          <w:sz w:val="20"/>
          <w:szCs w:val="20"/>
        </w:rPr>
        <w:t>V letu 2024 je bilo podanih 392 obvestil o obstoju razlogov za izbris. Od tega 61 za samostojne podjetnike</w:t>
      </w:r>
      <w:r w:rsidRPr="00AC0D4D">
        <w:rPr>
          <w:rFonts w:ascii="Arial" w:hAnsi="Arial" w:cs="Arial"/>
          <w:sz w:val="20"/>
          <w:szCs w:val="20"/>
        </w:rPr>
        <w:t xml:space="preserve"> </w:t>
      </w:r>
      <w:r w:rsidRPr="00AC0D4D">
        <w:rPr>
          <w:rFonts w:ascii="Arial" w:eastAsia="Times New Roman" w:hAnsi="Arial" w:cs="Arial"/>
          <w:sz w:val="20"/>
          <w:szCs w:val="20"/>
        </w:rPr>
        <w:t xml:space="preserve">in 331 za pravne osebe. </w:t>
      </w:r>
      <w:r w:rsidRPr="00AC0D4D">
        <w:rPr>
          <w:rFonts w:ascii="Arial" w:eastAsia="Times New Roman" w:hAnsi="Arial" w:cs="Arial"/>
          <w:sz w:val="20"/>
          <w:szCs w:val="20"/>
          <w:lang w:eastAsia="sl-SI"/>
        </w:rPr>
        <w:t>F</w:t>
      </w:r>
      <w:r>
        <w:rPr>
          <w:rFonts w:ascii="Arial" w:eastAsia="Times New Roman" w:hAnsi="Arial" w:cs="Arial"/>
          <w:sz w:val="20"/>
          <w:szCs w:val="20"/>
          <w:lang w:eastAsia="sl-SI"/>
        </w:rPr>
        <w:t xml:space="preserve">URS je zoper pravne osebe </w:t>
      </w:r>
      <w:r w:rsidRPr="00AC0D4D">
        <w:rPr>
          <w:rFonts w:ascii="Arial" w:eastAsia="Times New Roman" w:hAnsi="Arial" w:cs="Arial"/>
          <w:sz w:val="20"/>
          <w:szCs w:val="20"/>
          <w:lang w:eastAsia="sl-SI"/>
        </w:rPr>
        <w:t xml:space="preserve">podal </w:t>
      </w:r>
      <w:r>
        <w:rPr>
          <w:rFonts w:ascii="Arial" w:eastAsia="Times New Roman" w:hAnsi="Arial" w:cs="Arial"/>
          <w:sz w:val="20"/>
          <w:szCs w:val="20"/>
          <w:lang w:eastAsia="sl-SI"/>
        </w:rPr>
        <w:t xml:space="preserve">tudi </w:t>
      </w:r>
      <w:r w:rsidRPr="00AC0D4D">
        <w:rPr>
          <w:rFonts w:ascii="Arial" w:eastAsia="Times New Roman" w:hAnsi="Arial" w:cs="Arial"/>
          <w:sz w:val="20"/>
          <w:szCs w:val="20"/>
          <w:lang w:eastAsia="sl-SI"/>
        </w:rPr>
        <w:t>16 predlogov za prisilno likvidacijo v skladu z Z</w:t>
      </w:r>
      <w:r>
        <w:rPr>
          <w:rFonts w:ascii="Arial" w:eastAsia="Times New Roman" w:hAnsi="Arial" w:cs="Arial"/>
          <w:sz w:val="20"/>
          <w:szCs w:val="20"/>
          <w:lang w:eastAsia="sl-SI"/>
        </w:rPr>
        <w:t>FPPIPP</w:t>
      </w:r>
      <w:r w:rsidRPr="00AC0D4D">
        <w:rPr>
          <w:rFonts w:ascii="Arial" w:eastAsia="Times New Roman" w:hAnsi="Arial" w:cs="Arial"/>
          <w:sz w:val="20"/>
          <w:szCs w:val="20"/>
          <w:lang w:eastAsia="sl-SI"/>
        </w:rPr>
        <w:t xml:space="preserve">. </w:t>
      </w:r>
    </w:p>
    <w:p w14:paraId="4B91DCA8" w14:textId="77777777" w:rsidR="00A155A2" w:rsidRDefault="00A155A2" w:rsidP="00A155A2">
      <w:pPr>
        <w:rPr>
          <w:rFonts w:ascii="Arial" w:eastAsia="Times New Roman" w:hAnsi="Arial" w:cs="Arial"/>
          <w:i/>
          <w:sz w:val="20"/>
          <w:szCs w:val="20"/>
          <w:lang w:eastAsia="sl-SI"/>
        </w:rPr>
      </w:pPr>
      <w:r w:rsidRPr="00BF32CF">
        <w:rPr>
          <w:rFonts w:ascii="Arial" w:eastAsia="Times New Roman" w:hAnsi="Arial" w:cs="Arial"/>
          <w:i/>
          <w:sz w:val="20"/>
          <w:szCs w:val="20"/>
          <w:lang w:eastAsia="sl-SI"/>
        </w:rPr>
        <w:t xml:space="preserve">Preglednica </w:t>
      </w:r>
      <w:r>
        <w:rPr>
          <w:rFonts w:ascii="Arial" w:eastAsia="Times New Roman" w:hAnsi="Arial" w:cs="Arial"/>
          <w:i/>
          <w:sz w:val="20"/>
          <w:szCs w:val="20"/>
          <w:lang w:eastAsia="sl-SI"/>
        </w:rPr>
        <w:t>19</w:t>
      </w:r>
      <w:r w:rsidRPr="00BF32CF">
        <w:rPr>
          <w:rFonts w:ascii="Arial" w:eastAsia="Times New Roman" w:hAnsi="Arial" w:cs="Arial"/>
          <w:i/>
          <w:sz w:val="20"/>
          <w:szCs w:val="20"/>
          <w:lang w:eastAsia="sl-SI"/>
        </w:rPr>
        <w:t xml:space="preserve">: Predlogi za izbris in prisilno likvidacijo </w:t>
      </w:r>
    </w:p>
    <w:tbl>
      <w:tblPr>
        <w:tblW w:w="8816" w:type="dxa"/>
        <w:tblCellMar>
          <w:left w:w="70" w:type="dxa"/>
          <w:right w:w="70" w:type="dxa"/>
        </w:tblCellMar>
        <w:tblLook w:val="04A0" w:firstRow="1" w:lastRow="0" w:firstColumn="1" w:lastColumn="0" w:noHBand="0" w:noVBand="1"/>
      </w:tblPr>
      <w:tblGrid>
        <w:gridCol w:w="4756"/>
        <w:gridCol w:w="1227"/>
        <w:gridCol w:w="1497"/>
        <w:gridCol w:w="1336"/>
      </w:tblGrid>
      <w:tr w:rsidR="00A155A2" w:rsidRPr="00AC0D4D" w14:paraId="64C9ED8D" w14:textId="77777777" w:rsidTr="001C77D2">
        <w:trPr>
          <w:trHeight w:val="563"/>
        </w:trPr>
        <w:tc>
          <w:tcPr>
            <w:tcW w:w="4756" w:type="dxa"/>
            <w:tcBorders>
              <w:top w:val="single" w:sz="4" w:space="0" w:color="auto"/>
              <w:left w:val="single" w:sz="4" w:space="0" w:color="auto"/>
              <w:bottom w:val="single" w:sz="4" w:space="0" w:color="auto"/>
              <w:right w:val="single" w:sz="4" w:space="0" w:color="auto"/>
            </w:tcBorders>
            <w:shd w:val="clear" w:color="000000" w:fill="31849B"/>
            <w:vAlign w:val="center"/>
            <w:hideMark/>
          </w:tcPr>
          <w:p w14:paraId="35CAE5D5" w14:textId="77777777" w:rsidR="00A155A2" w:rsidRPr="00AC0D4D" w:rsidRDefault="00A155A2" w:rsidP="001C77D2">
            <w:pPr>
              <w:spacing w:line="240" w:lineRule="auto"/>
              <w:rPr>
                <w:rFonts w:ascii="Arial" w:eastAsia="Times New Roman" w:hAnsi="Arial" w:cs="Arial"/>
                <w:b/>
                <w:bCs/>
                <w:color w:val="FFFFFF"/>
                <w:sz w:val="18"/>
                <w:szCs w:val="18"/>
                <w:lang w:eastAsia="sl-SI"/>
              </w:rPr>
            </w:pPr>
            <w:r w:rsidRPr="00AC0D4D">
              <w:rPr>
                <w:rFonts w:ascii="Arial" w:eastAsia="Times New Roman" w:hAnsi="Arial" w:cs="Arial"/>
                <w:b/>
                <w:bCs/>
                <w:color w:val="FFFFFF"/>
                <w:sz w:val="18"/>
                <w:szCs w:val="18"/>
                <w:lang w:eastAsia="sl-SI"/>
              </w:rPr>
              <w:t>Vsebina postopka</w:t>
            </w:r>
          </w:p>
        </w:tc>
        <w:tc>
          <w:tcPr>
            <w:tcW w:w="1227" w:type="dxa"/>
            <w:tcBorders>
              <w:top w:val="single" w:sz="4" w:space="0" w:color="auto"/>
              <w:left w:val="nil"/>
              <w:bottom w:val="single" w:sz="4" w:space="0" w:color="auto"/>
              <w:right w:val="single" w:sz="4" w:space="0" w:color="auto"/>
            </w:tcBorders>
            <w:shd w:val="clear" w:color="000000" w:fill="31869B"/>
            <w:vAlign w:val="center"/>
            <w:hideMark/>
          </w:tcPr>
          <w:p w14:paraId="43DFFD30" w14:textId="77777777" w:rsidR="00A155A2" w:rsidRPr="00AC0D4D" w:rsidRDefault="00A155A2" w:rsidP="001C77D2">
            <w:pPr>
              <w:spacing w:line="240" w:lineRule="auto"/>
              <w:jc w:val="center"/>
              <w:rPr>
                <w:rFonts w:ascii="Arial" w:eastAsia="Times New Roman" w:hAnsi="Arial" w:cs="Arial"/>
                <w:b/>
                <w:bCs/>
                <w:color w:val="FFFFFF"/>
                <w:sz w:val="18"/>
                <w:szCs w:val="18"/>
                <w:lang w:eastAsia="sl-SI"/>
              </w:rPr>
            </w:pPr>
            <w:r w:rsidRPr="00AC0D4D">
              <w:rPr>
                <w:rFonts w:ascii="Arial" w:eastAsia="Times New Roman" w:hAnsi="Arial" w:cs="Arial"/>
                <w:b/>
                <w:bCs/>
                <w:color w:val="FFFFFF"/>
                <w:sz w:val="18"/>
                <w:szCs w:val="18"/>
                <w:lang w:eastAsia="sl-SI"/>
              </w:rPr>
              <w:t>2023</w:t>
            </w:r>
          </w:p>
        </w:tc>
        <w:tc>
          <w:tcPr>
            <w:tcW w:w="1497" w:type="dxa"/>
            <w:tcBorders>
              <w:top w:val="single" w:sz="4" w:space="0" w:color="auto"/>
              <w:left w:val="nil"/>
              <w:bottom w:val="single" w:sz="4" w:space="0" w:color="auto"/>
              <w:right w:val="single" w:sz="4" w:space="0" w:color="auto"/>
            </w:tcBorders>
            <w:shd w:val="clear" w:color="000000" w:fill="31869B"/>
            <w:vAlign w:val="center"/>
            <w:hideMark/>
          </w:tcPr>
          <w:p w14:paraId="0300E7FE" w14:textId="77777777" w:rsidR="00A155A2" w:rsidRPr="00AC0D4D" w:rsidRDefault="00A155A2" w:rsidP="001C77D2">
            <w:pPr>
              <w:spacing w:line="240" w:lineRule="auto"/>
              <w:jc w:val="center"/>
              <w:rPr>
                <w:rFonts w:ascii="Arial" w:eastAsia="Times New Roman" w:hAnsi="Arial" w:cs="Arial"/>
                <w:b/>
                <w:bCs/>
                <w:color w:val="FFFFFF"/>
                <w:sz w:val="18"/>
                <w:szCs w:val="18"/>
                <w:lang w:eastAsia="sl-SI"/>
              </w:rPr>
            </w:pPr>
            <w:r w:rsidRPr="00AC0D4D">
              <w:rPr>
                <w:rFonts w:ascii="Arial" w:eastAsia="Times New Roman" w:hAnsi="Arial" w:cs="Arial"/>
                <w:b/>
                <w:bCs/>
                <w:color w:val="FFFFFF"/>
                <w:sz w:val="18"/>
                <w:szCs w:val="18"/>
                <w:lang w:eastAsia="sl-SI"/>
              </w:rPr>
              <w:t>2024</w:t>
            </w:r>
          </w:p>
        </w:tc>
        <w:tc>
          <w:tcPr>
            <w:tcW w:w="1336" w:type="dxa"/>
            <w:tcBorders>
              <w:top w:val="single" w:sz="4" w:space="0" w:color="auto"/>
              <w:left w:val="nil"/>
              <w:bottom w:val="single" w:sz="4" w:space="0" w:color="auto"/>
              <w:right w:val="single" w:sz="4" w:space="0" w:color="auto"/>
            </w:tcBorders>
            <w:shd w:val="clear" w:color="000000" w:fill="31849B"/>
            <w:vAlign w:val="center"/>
            <w:hideMark/>
          </w:tcPr>
          <w:p w14:paraId="54D0AEAC" w14:textId="77777777" w:rsidR="00A155A2" w:rsidRPr="00AC0D4D" w:rsidRDefault="00A155A2" w:rsidP="001C77D2">
            <w:pPr>
              <w:spacing w:line="240" w:lineRule="auto"/>
              <w:rPr>
                <w:rFonts w:ascii="Arial" w:eastAsia="Times New Roman" w:hAnsi="Arial" w:cs="Arial"/>
                <w:b/>
                <w:bCs/>
                <w:color w:val="FFFFFF"/>
                <w:sz w:val="18"/>
                <w:szCs w:val="18"/>
                <w:lang w:eastAsia="sl-SI"/>
              </w:rPr>
            </w:pPr>
            <w:r w:rsidRPr="00AC0D4D">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AC0D4D">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AC0D4D">
              <w:rPr>
                <w:rFonts w:ascii="Arial" w:eastAsia="Times New Roman" w:hAnsi="Arial" w:cs="Arial"/>
                <w:b/>
                <w:bCs/>
                <w:color w:val="FFFFFF"/>
                <w:sz w:val="18"/>
                <w:szCs w:val="18"/>
                <w:lang w:eastAsia="sl-SI"/>
              </w:rPr>
              <w:t>2023</w:t>
            </w:r>
          </w:p>
        </w:tc>
      </w:tr>
      <w:tr w:rsidR="00A155A2" w:rsidRPr="00AC0D4D" w14:paraId="43BD9F1F" w14:textId="77777777" w:rsidTr="001C77D2">
        <w:trPr>
          <w:trHeight w:val="415"/>
        </w:trPr>
        <w:tc>
          <w:tcPr>
            <w:tcW w:w="4756" w:type="dxa"/>
            <w:tcBorders>
              <w:top w:val="nil"/>
              <w:left w:val="single" w:sz="4" w:space="0" w:color="auto"/>
              <w:bottom w:val="single" w:sz="4" w:space="0" w:color="auto"/>
              <w:right w:val="single" w:sz="4" w:space="0" w:color="auto"/>
            </w:tcBorders>
            <w:shd w:val="clear" w:color="auto" w:fill="auto"/>
            <w:vAlign w:val="center"/>
            <w:hideMark/>
          </w:tcPr>
          <w:p w14:paraId="31AB2EBD" w14:textId="77777777" w:rsidR="00A155A2" w:rsidRPr="00AC0D4D" w:rsidRDefault="00A155A2" w:rsidP="001C77D2">
            <w:pPr>
              <w:spacing w:line="240" w:lineRule="auto"/>
              <w:rPr>
                <w:rFonts w:ascii="Arial" w:eastAsia="Times New Roman" w:hAnsi="Arial" w:cs="Arial"/>
                <w:sz w:val="18"/>
                <w:szCs w:val="18"/>
                <w:lang w:eastAsia="sl-SI"/>
              </w:rPr>
            </w:pPr>
            <w:r w:rsidRPr="00AC0D4D">
              <w:rPr>
                <w:rFonts w:ascii="Arial" w:eastAsia="Times New Roman" w:hAnsi="Arial" w:cs="Arial"/>
                <w:sz w:val="18"/>
                <w:szCs w:val="18"/>
                <w:lang w:eastAsia="sl-SI"/>
              </w:rPr>
              <w:t>Število podanih obvestil o obstoju razlogov za izbris</w:t>
            </w:r>
          </w:p>
        </w:tc>
        <w:tc>
          <w:tcPr>
            <w:tcW w:w="1227" w:type="dxa"/>
            <w:tcBorders>
              <w:top w:val="nil"/>
              <w:left w:val="nil"/>
              <w:bottom w:val="single" w:sz="4" w:space="0" w:color="auto"/>
              <w:right w:val="single" w:sz="4" w:space="0" w:color="auto"/>
            </w:tcBorders>
            <w:shd w:val="clear" w:color="auto" w:fill="auto"/>
            <w:vAlign w:val="center"/>
            <w:hideMark/>
          </w:tcPr>
          <w:p w14:paraId="0F2CCD73" w14:textId="77777777" w:rsidR="00A155A2" w:rsidRPr="00AC0D4D" w:rsidRDefault="00A155A2" w:rsidP="001C77D2">
            <w:pPr>
              <w:spacing w:line="240" w:lineRule="auto"/>
              <w:jc w:val="center"/>
              <w:rPr>
                <w:rFonts w:ascii="Arial" w:eastAsia="Times New Roman" w:hAnsi="Arial" w:cs="Arial"/>
                <w:sz w:val="18"/>
                <w:szCs w:val="18"/>
                <w:lang w:eastAsia="sl-SI"/>
              </w:rPr>
            </w:pPr>
            <w:r w:rsidRPr="00AC0D4D">
              <w:rPr>
                <w:rFonts w:ascii="Arial" w:eastAsia="Times New Roman" w:hAnsi="Arial" w:cs="Arial"/>
                <w:sz w:val="18"/>
                <w:szCs w:val="18"/>
                <w:lang w:eastAsia="sl-SI"/>
              </w:rPr>
              <w:t>326</w:t>
            </w:r>
          </w:p>
        </w:tc>
        <w:tc>
          <w:tcPr>
            <w:tcW w:w="1497" w:type="dxa"/>
            <w:tcBorders>
              <w:top w:val="nil"/>
              <w:left w:val="nil"/>
              <w:bottom w:val="single" w:sz="4" w:space="0" w:color="auto"/>
              <w:right w:val="single" w:sz="4" w:space="0" w:color="auto"/>
            </w:tcBorders>
            <w:shd w:val="clear" w:color="auto" w:fill="auto"/>
            <w:vAlign w:val="center"/>
            <w:hideMark/>
          </w:tcPr>
          <w:p w14:paraId="44D25E83" w14:textId="77777777" w:rsidR="00A155A2" w:rsidRPr="00AC0D4D" w:rsidRDefault="00A155A2" w:rsidP="001C77D2">
            <w:pPr>
              <w:spacing w:line="240" w:lineRule="auto"/>
              <w:jc w:val="center"/>
              <w:rPr>
                <w:rFonts w:ascii="Arial" w:eastAsia="Times New Roman" w:hAnsi="Arial" w:cs="Arial"/>
                <w:sz w:val="18"/>
                <w:szCs w:val="18"/>
                <w:lang w:eastAsia="sl-SI"/>
              </w:rPr>
            </w:pPr>
            <w:r w:rsidRPr="00AC0D4D">
              <w:rPr>
                <w:rFonts w:ascii="Arial" w:eastAsia="Times New Roman" w:hAnsi="Arial" w:cs="Arial"/>
                <w:sz w:val="18"/>
                <w:szCs w:val="18"/>
                <w:lang w:eastAsia="sl-SI"/>
              </w:rPr>
              <w:t>392</w:t>
            </w:r>
          </w:p>
        </w:tc>
        <w:tc>
          <w:tcPr>
            <w:tcW w:w="1336" w:type="dxa"/>
            <w:tcBorders>
              <w:top w:val="nil"/>
              <w:left w:val="nil"/>
              <w:bottom w:val="single" w:sz="4" w:space="0" w:color="auto"/>
              <w:right w:val="single" w:sz="4" w:space="0" w:color="auto"/>
            </w:tcBorders>
            <w:shd w:val="clear" w:color="auto" w:fill="auto"/>
            <w:vAlign w:val="center"/>
            <w:hideMark/>
          </w:tcPr>
          <w:p w14:paraId="5580A819" w14:textId="77777777" w:rsidR="00A155A2" w:rsidRPr="00AC0D4D" w:rsidRDefault="00A155A2" w:rsidP="001C77D2">
            <w:pPr>
              <w:spacing w:line="240" w:lineRule="auto"/>
              <w:rPr>
                <w:rFonts w:ascii="Arial" w:eastAsia="Times New Roman" w:hAnsi="Arial" w:cs="Arial"/>
                <w:sz w:val="18"/>
                <w:szCs w:val="18"/>
                <w:lang w:eastAsia="sl-SI"/>
              </w:rPr>
            </w:pPr>
            <w:r w:rsidRPr="00AC0D4D">
              <w:rPr>
                <w:rFonts w:ascii="Arial" w:eastAsia="Times New Roman" w:hAnsi="Arial" w:cs="Arial"/>
                <w:sz w:val="18"/>
                <w:szCs w:val="18"/>
                <w:lang w:eastAsia="sl-SI"/>
              </w:rPr>
              <w:t xml:space="preserve">       120,2 </w:t>
            </w:r>
          </w:p>
        </w:tc>
      </w:tr>
      <w:tr w:rsidR="00A155A2" w:rsidRPr="00AC0D4D" w14:paraId="58E8F9BC" w14:textId="77777777" w:rsidTr="001C77D2">
        <w:trPr>
          <w:trHeight w:val="415"/>
        </w:trPr>
        <w:tc>
          <w:tcPr>
            <w:tcW w:w="4756" w:type="dxa"/>
            <w:tcBorders>
              <w:top w:val="nil"/>
              <w:left w:val="single" w:sz="4" w:space="0" w:color="auto"/>
              <w:bottom w:val="single" w:sz="4" w:space="0" w:color="auto"/>
              <w:right w:val="single" w:sz="4" w:space="0" w:color="auto"/>
            </w:tcBorders>
            <w:shd w:val="clear" w:color="auto" w:fill="auto"/>
            <w:vAlign w:val="center"/>
            <w:hideMark/>
          </w:tcPr>
          <w:p w14:paraId="5C8E5282" w14:textId="77777777" w:rsidR="00A155A2" w:rsidRPr="00AC0D4D" w:rsidRDefault="00A155A2" w:rsidP="001C77D2">
            <w:pPr>
              <w:spacing w:line="240" w:lineRule="auto"/>
              <w:rPr>
                <w:rFonts w:ascii="Arial" w:eastAsia="Times New Roman" w:hAnsi="Arial" w:cs="Arial"/>
                <w:sz w:val="18"/>
                <w:szCs w:val="18"/>
                <w:lang w:eastAsia="sl-SI"/>
              </w:rPr>
            </w:pPr>
            <w:r w:rsidRPr="00AC0D4D">
              <w:rPr>
                <w:rFonts w:ascii="Arial" w:eastAsia="Times New Roman" w:hAnsi="Arial" w:cs="Arial"/>
                <w:sz w:val="18"/>
                <w:szCs w:val="18"/>
                <w:lang w:eastAsia="sl-SI"/>
              </w:rPr>
              <w:t>Število podanih predlogov za prisilno likvidacijo</w:t>
            </w:r>
          </w:p>
        </w:tc>
        <w:tc>
          <w:tcPr>
            <w:tcW w:w="1227" w:type="dxa"/>
            <w:tcBorders>
              <w:top w:val="nil"/>
              <w:left w:val="nil"/>
              <w:bottom w:val="single" w:sz="4" w:space="0" w:color="auto"/>
              <w:right w:val="single" w:sz="4" w:space="0" w:color="auto"/>
            </w:tcBorders>
            <w:shd w:val="clear" w:color="auto" w:fill="auto"/>
            <w:vAlign w:val="center"/>
            <w:hideMark/>
          </w:tcPr>
          <w:p w14:paraId="5B0034CB" w14:textId="77777777" w:rsidR="00A155A2" w:rsidRPr="00AC0D4D" w:rsidRDefault="00A155A2" w:rsidP="001C77D2">
            <w:pPr>
              <w:spacing w:line="240" w:lineRule="auto"/>
              <w:jc w:val="center"/>
              <w:rPr>
                <w:rFonts w:ascii="Arial" w:eastAsia="Times New Roman" w:hAnsi="Arial" w:cs="Arial"/>
                <w:sz w:val="18"/>
                <w:szCs w:val="18"/>
                <w:lang w:eastAsia="sl-SI"/>
              </w:rPr>
            </w:pPr>
            <w:r w:rsidRPr="00AC0D4D">
              <w:rPr>
                <w:rFonts w:ascii="Arial" w:eastAsia="Times New Roman" w:hAnsi="Arial" w:cs="Arial"/>
                <w:sz w:val="18"/>
                <w:szCs w:val="18"/>
                <w:lang w:eastAsia="sl-SI"/>
              </w:rPr>
              <w:t>6</w:t>
            </w:r>
          </w:p>
        </w:tc>
        <w:tc>
          <w:tcPr>
            <w:tcW w:w="1497" w:type="dxa"/>
            <w:tcBorders>
              <w:top w:val="nil"/>
              <w:left w:val="nil"/>
              <w:bottom w:val="single" w:sz="4" w:space="0" w:color="auto"/>
              <w:right w:val="single" w:sz="4" w:space="0" w:color="auto"/>
            </w:tcBorders>
            <w:shd w:val="clear" w:color="auto" w:fill="auto"/>
            <w:vAlign w:val="center"/>
            <w:hideMark/>
          </w:tcPr>
          <w:p w14:paraId="31F63B58" w14:textId="77777777" w:rsidR="00A155A2" w:rsidRPr="00AC0D4D" w:rsidRDefault="00A155A2" w:rsidP="001C77D2">
            <w:pPr>
              <w:spacing w:line="240" w:lineRule="auto"/>
              <w:jc w:val="center"/>
              <w:rPr>
                <w:rFonts w:ascii="Arial" w:eastAsia="Times New Roman" w:hAnsi="Arial" w:cs="Arial"/>
                <w:sz w:val="18"/>
                <w:szCs w:val="18"/>
                <w:lang w:eastAsia="sl-SI"/>
              </w:rPr>
            </w:pPr>
            <w:r w:rsidRPr="00AC0D4D">
              <w:rPr>
                <w:rFonts w:ascii="Arial" w:eastAsia="Times New Roman" w:hAnsi="Arial" w:cs="Arial"/>
                <w:sz w:val="18"/>
                <w:szCs w:val="18"/>
                <w:lang w:eastAsia="sl-SI"/>
              </w:rPr>
              <w:t>16</w:t>
            </w:r>
          </w:p>
        </w:tc>
        <w:tc>
          <w:tcPr>
            <w:tcW w:w="1336" w:type="dxa"/>
            <w:tcBorders>
              <w:top w:val="nil"/>
              <w:left w:val="nil"/>
              <w:bottom w:val="single" w:sz="4" w:space="0" w:color="auto"/>
              <w:right w:val="single" w:sz="4" w:space="0" w:color="auto"/>
            </w:tcBorders>
            <w:shd w:val="clear" w:color="auto" w:fill="auto"/>
            <w:vAlign w:val="center"/>
            <w:hideMark/>
          </w:tcPr>
          <w:p w14:paraId="4E4F7283" w14:textId="77777777" w:rsidR="00A155A2" w:rsidRPr="00AC0D4D" w:rsidRDefault="00A155A2" w:rsidP="001C77D2">
            <w:pPr>
              <w:spacing w:line="240" w:lineRule="auto"/>
              <w:rPr>
                <w:rFonts w:ascii="Arial" w:eastAsia="Times New Roman" w:hAnsi="Arial" w:cs="Arial"/>
                <w:sz w:val="18"/>
                <w:szCs w:val="18"/>
                <w:lang w:eastAsia="sl-SI"/>
              </w:rPr>
            </w:pPr>
            <w:r w:rsidRPr="00AC0D4D">
              <w:rPr>
                <w:rFonts w:ascii="Arial" w:eastAsia="Times New Roman" w:hAnsi="Arial" w:cs="Arial"/>
                <w:sz w:val="18"/>
                <w:szCs w:val="18"/>
                <w:lang w:eastAsia="sl-SI"/>
              </w:rPr>
              <w:t xml:space="preserve">       266,7 </w:t>
            </w:r>
          </w:p>
        </w:tc>
      </w:tr>
    </w:tbl>
    <w:p w14:paraId="7CC17B95"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25AEFE9D" w14:textId="77777777" w:rsidR="00A155A2" w:rsidRDefault="00A155A2" w:rsidP="00A155A2">
      <w:pPr>
        <w:jc w:val="both"/>
        <w:rPr>
          <w:rFonts w:ascii="Arial" w:eastAsia="Times New Roman" w:hAnsi="Arial" w:cs="Arial"/>
          <w:b/>
          <w:bCs/>
          <w:iCs/>
          <w:sz w:val="20"/>
          <w:szCs w:val="20"/>
          <w:lang w:eastAsia="sl-SI"/>
        </w:rPr>
      </w:pPr>
      <w:r w:rsidRPr="00DE4A4B">
        <w:rPr>
          <w:rFonts w:ascii="Arial" w:eastAsia="Times New Roman" w:hAnsi="Arial" w:cs="Arial"/>
          <w:b/>
          <w:bCs/>
          <w:iCs/>
          <w:sz w:val="20"/>
          <w:szCs w:val="20"/>
          <w:lang w:eastAsia="sl-SI"/>
        </w:rPr>
        <w:t>Predlogi za začetek stečajnih postopkov</w:t>
      </w:r>
    </w:p>
    <w:p w14:paraId="456A8DB3" w14:textId="77777777" w:rsidR="00A155A2" w:rsidRPr="0082615D" w:rsidRDefault="00A155A2" w:rsidP="00A155A2">
      <w:pPr>
        <w:jc w:val="both"/>
        <w:rPr>
          <w:rFonts w:ascii="Arial" w:eastAsia="Times New Roman" w:hAnsi="Arial" w:cs="Arial"/>
          <w:iCs/>
          <w:sz w:val="20"/>
          <w:szCs w:val="20"/>
          <w:lang w:eastAsia="sl-SI"/>
        </w:rPr>
      </w:pPr>
      <w:r w:rsidRPr="0082615D">
        <w:rPr>
          <w:rFonts w:ascii="Arial" w:eastAsia="Times New Roman" w:hAnsi="Arial" w:cs="Arial"/>
          <w:iCs/>
          <w:sz w:val="20"/>
          <w:szCs w:val="20"/>
          <w:lang w:eastAsia="sl-SI"/>
        </w:rPr>
        <w:t>F</w:t>
      </w:r>
      <w:r>
        <w:rPr>
          <w:rFonts w:ascii="Arial" w:eastAsia="Times New Roman" w:hAnsi="Arial" w:cs="Arial"/>
          <w:iCs/>
          <w:sz w:val="20"/>
          <w:szCs w:val="20"/>
          <w:lang w:eastAsia="sl-SI"/>
        </w:rPr>
        <w:t xml:space="preserve">URS </w:t>
      </w:r>
      <w:r w:rsidRPr="0082615D">
        <w:rPr>
          <w:rFonts w:ascii="Arial" w:eastAsia="Times New Roman" w:hAnsi="Arial" w:cs="Arial"/>
          <w:iCs/>
          <w:sz w:val="20"/>
          <w:szCs w:val="20"/>
          <w:lang w:eastAsia="sl-SI"/>
        </w:rPr>
        <w:t xml:space="preserve">je </w:t>
      </w:r>
      <w:r>
        <w:rPr>
          <w:rFonts w:ascii="Arial" w:eastAsia="Times New Roman" w:hAnsi="Arial" w:cs="Arial"/>
          <w:iCs/>
          <w:sz w:val="20"/>
          <w:szCs w:val="20"/>
          <w:lang w:eastAsia="sl-SI"/>
        </w:rPr>
        <w:t>v</w:t>
      </w:r>
      <w:r w:rsidRPr="0082615D">
        <w:rPr>
          <w:rFonts w:ascii="Arial" w:eastAsia="Times New Roman" w:hAnsi="Arial" w:cs="Arial"/>
          <w:iCs/>
          <w:sz w:val="20"/>
          <w:szCs w:val="20"/>
          <w:lang w:eastAsia="sl-SI"/>
        </w:rPr>
        <w:t xml:space="preserve"> letu 2024 predlagal začetek stečajnih postopkov zoper 547 dolžnikov, ki so dolgovali</w:t>
      </w:r>
      <w:r>
        <w:rPr>
          <w:rFonts w:ascii="Arial" w:eastAsia="Times New Roman" w:hAnsi="Arial" w:cs="Arial"/>
          <w:iCs/>
          <w:sz w:val="20"/>
          <w:szCs w:val="20"/>
          <w:lang w:eastAsia="sl-SI"/>
        </w:rPr>
        <w:t xml:space="preserve"> skupno</w:t>
      </w:r>
      <w:r w:rsidRPr="0082615D">
        <w:rPr>
          <w:rFonts w:ascii="Arial" w:eastAsia="Times New Roman" w:hAnsi="Arial" w:cs="Arial"/>
          <w:iCs/>
          <w:sz w:val="20"/>
          <w:szCs w:val="20"/>
          <w:lang w:eastAsia="sl-SI"/>
        </w:rPr>
        <w:t xml:space="preserve"> 71.131.823 </w:t>
      </w:r>
      <w:r>
        <w:rPr>
          <w:rFonts w:ascii="Arial" w:eastAsia="Times New Roman" w:hAnsi="Arial" w:cs="Arial"/>
          <w:iCs/>
          <w:sz w:val="20"/>
          <w:szCs w:val="20"/>
          <w:lang w:eastAsia="sl-SI"/>
        </w:rPr>
        <w:t>EUR</w:t>
      </w:r>
      <w:r w:rsidRPr="0082615D">
        <w:rPr>
          <w:rFonts w:ascii="Arial" w:eastAsia="Times New Roman" w:hAnsi="Arial" w:cs="Arial"/>
          <w:iCs/>
          <w:sz w:val="20"/>
          <w:szCs w:val="20"/>
          <w:lang w:eastAsia="sl-SI"/>
        </w:rPr>
        <w:t xml:space="preserve">. </w:t>
      </w:r>
    </w:p>
    <w:p w14:paraId="23CADC81" w14:textId="77777777" w:rsidR="00A155A2" w:rsidRDefault="00A155A2" w:rsidP="00A155A2">
      <w:pPr>
        <w:jc w:val="both"/>
        <w:rPr>
          <w:rFonts w:ascii="Arial" w:eastAsia="Times New Roman" w:hAnsi="Arial" w:cs="Arial"/>
          <w:i/>
          <w:sz w:val="20"/>
          <w:szCs w:val="20"/>
          <w:lang w:eastAsia="sl-SI"/>
        </w:rPr>
      </w:pPr>
      <w:r w:rsidRPr="00237554">
        <w:rPr>
          <w:rFonts w:ascii="Arial" w:eastAsia="Times New Roman" w:hAnsi="Arial" w:cs="Arial"/>
          <w:i/>
          <w:sz w:val="20"/>
          <w:szCs w:val="20"/>
          <w:lang w:eastAsia="sl-SI"/>
        </w:rPr>
        <w:t>Preglednica</w:t>
      </w:r>
      <w:r>
        <w:rPr>
          <w:rFonts w:ascii="Arial" w:eastAsia="Times New Roman" w:hAnsi="Arial" w:cs="Arial"/>
          <w:i/>
          <w:sz w:val="20"/>
          <w:szCs w:val="20"/>
          <w:lang w:eastAsia="sl-SI"/>
        </w:rPr>
        <w:t xml:space="preserve"> 20</w:t>
      </w:r>
      <w:r w:rsidRPr="00237554">
        <w:rPr>
          <w:rFonts w:ascii="Arial" w:eastAsia="Times New Roman" w:hAnsi="Arial" w:cs="Arial"/>
          <w:sz w:val="20"/>
          <w:szCs w:val="20"/>
          <w:lang w:eastAsia="sl-SI"/>
        </w:rPr>
        <w:t xml:space="preserve">: </w:t>
      </w:r>
      <w:r w:rsidRPr="00237554">
        <w:rPr>
          <w:rFonts w:ascii="Arial" w:eastAsia="Times New Roman" w:hAnsi="Arial" w:cs="Arial"/>
          <w:i/>
          <w:sz w:val="20"/>
          <w:szCs w:val="20"/>
          <w:lang w:eastAsia="sl-SI"/>
        </w:rPr>
        <w:t xml:space="preserve">Predlogi FURS za začetek stečajnega postopka </w:t>
      </w:r>
    </w:p>
    <w:tbl>
      <w:tblPr>
        <w:tblW w:w="8806" w:type="dxa"/>
        <w:tblCellMar>
          <w:left w:w="70" w:type="dxa"/>
          <w:right w:w="70" w:type="dxa"/>
        </w:tblCellMar>
        <w:tblLook w:val="04A0" w:firstRow="1" w:lastRow="0" w:firstColumn="1" w:lastColumn="0" w:noHBand="0" w:noVBand="1"/>
      </w:tblPr>
      <w:tblGrid>
        <w:gridCol w:w="3289"/>
        <w:gridCol w:w="863"/>
        <w:gridCol w:w="1059"/>
        <w:gridCol w:w="913"/>
        <w:gridCol w:w="1041"/>
        <w:gridCol w:w="880"/>
        <w:gridCol w:w="761"/>
      </w:tblGrid>
      <w:tr w:rsidR="00A155A2" w:rsidRPr="0082615D" w14:paraId="41F72039" w14:textId="77777777" w:rsidTr="001C77D2">
        <w:trPr>
          <w:trHeight w:val="419"/>
        </w:trPr>
        <w:tc>
          <w:tcPr>
            <w:tcW w:w="3342" w:type="dxa"/>
            <w:vMerge w:val="restart"/>
            <w:tcBorders>
              <w:top w:val="single" w:sz="4" w:space="0" w:color="auto"/>
              <w:left w:val="single" w:sz="4" w:space="0" w:color="auto"/>
              <w:bottom w:val="single" w:sz="4" w:space="0" w:color="auto"/>
              <w:right w:val="single" w:sz="4" w:space="0" w:color="auto"/>
            </w:tcBorders>
            <w:shd w:val="clear" w:color="000000" w:fill="31849B"/>
            <w:vAlign w:val="center"/>
            <w:hideMark/>
          </w:tcPr>
          <w:p w14:paraId="3879F77D"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Vsebina postopka</w:t>
            </w:r>
          </w:p>
        </w:tc>
        <w:tc>
          <w:tcPr>
            <w:tcW w:w="1925" w:type="dxa"/>
            <w:gridSpan w:val="2"/>
            <w:tcBorders>
              <w:top w:val="single" w:sz="4" w:space="0" w:color="auto"/>
              <w:left w:val="nil"/>
              <w:bottom w:val="single" w:sz="4" w:space="0" w:color="auto"/>
              <w:right w:val="single" w:sz="4" w:space="0" w:color="auto"/>
            </w:tcBorders>
            <w:shd w:val="clear" w:color="000000" w:fill="31869B"/>
            <w:vAlign w:val="center"/>
            <w:hideMark/>
          </w:tcPr>
          <w:p w14:paraId="3A1839D9"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2023</w:t>
            </w:r>
          </w:p>
        </w:tc>
        <w:tc>
          <w:tcPr>
            <w:tcW w:w="1909" w:type="dxa"/>
            <w:gridSpan w:val="2"/>
            <w:tcBorders>
              <w:top w:val="single" w:sz="4" w:space="0" w:color="auto"/>
              <w:left w:val="nil"/>
              <w:bottom w:val="single" w:sz="4" w:space="0" w:color="auto"/>
              <w:right w:val="single" w:sz="4" w:space="0" w:color="auto"/>
            </w:tcBorders>
            <w:shd w:val="clear" w:color="000000" w:fill="31869B"/>
            <w:vAlign w:val="center"/>
            <w:hideMark/>
          </w:tcPr>
          <w:p w14:paraId="4E6FFF97"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2024</w:t>
            </w:r>
          </w:p>
        </w:tc>
        <w:tc>
          <w:tcPr>
            <w:tcW w:w="1630" w:type="dxa"/>
            <w:gridSpan w:val="2"/>
            <w:tcBorders>
              <w:top w:val="single" w:sz="4" w:space="0" w:color="auto"/>
              <w:left w:val="nil"/>
              <w:bottom w:val="single" w:sz="4" w:space="0" w:color="auto"/>
              <w:right w:val="single" w:sz="4" w:space="0" w:color="auto"/>
            </w:tcBorders>
            <w:shd w:val="clear" w:color="000000" w:fill="31849B"/>
            <w:vAlign w:val="center"/>
            <w:hideMark/>
          </w:tcPr>
          <w:p w14:paraId="39AD21D1"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82615D">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82615D">
              <w:rPr>
                <w:rFonts w:ascii="Arial" w:eastAsia="Times New Roman" w:hAnsi="Arial" w:cs="Arial"/>
                <w:b/>
                <w:bCs/>
                <w:color w:val="FFFFFF"/>
                <w:sz w:val="18"/>
                <w:szCs w:val="18"/>
                <w:lang w:eastAsia="sl-SI"/>
              </w:rPr>
              <w:t>2023</w:t>
            </w:r>
          </w:p>
        </w:tc>
      </w:tr>
      <w:tr w:rsidR="00A155A2" w:rsidRPr="0082615D" w14:paraId="03A672E4" w14:textId="77777777" w:rsidTr="001C77D2">
        <w:trPr>
          <w:trHeight w:val="326"/>
        </w:trPr>
        <w:tc>
          <w:tcPr>
            <w:tcW w:w="3342" w:type="dxa"/>
            <w:vMerge/>
            <w:tcBorders>
              <w:top w:val="single" w:sz="4" w:space="0" w:color="auto"/>
              <w:left w:val="single" w:sz="4" w:space="0" w:color="auto"/>
              <w:bottom w:val="single" w:sz="4" w:space="0" w:color="auto"/>
              <w:right w:val="single" w:sz="4" w:space="0" w:color="auto"/>
            </w:tcBorders>
            <w:vAlign w:val="center"/>
            <w:hideMark/>
          </w:tcPr>
          <w:p w14:paraId="409C079E" w14:textId="77777777" w:rsidR="00A155A2" w:rsidRPr="0082615D" w:rsidRDefault="00A155A2" w:rsidP="001C77D2">
            <w:pPr>
              <w:spacing w:line="240" w:lineRule="auto"/>
              <w:rPr>
                <w:rFonts w:ascii="Arial" w:eastAsia="Times New Roman" w:hAnsi="Arial" w:cs="Arial"/>
                <w:b/>
                <w:bCs/>
                <w:color w:val="FFFFFF"/>
                <w:sz w:val="18"/>
                <w:szCs w:val="18"/>
                <w:lang w:eastAsia="sl-SI"/>
              </w:rPr>
            </w:pPr>
          </w:p>
        </w:tc>
        <w:tc>
          <w:tcPr>
            <w:tcW w:w="866" w:type="dxa"/>
            <w:tcBorders>
              <w:top w:val="nil"/>
              <w:left w:val="nil"/>
              <w:bottom w:val="single" w:sz="4" w:space="0" w:color="auto"/>
              <w:right w:val="single" w:sz="4" w:space="0" w:color="auto"/>
            </w:tcBorders>
            <w:shd w:val="clear" w:color="000000" w:fill="31869B"/>
            <w:vAlign w:val="center"/>
            <w:hideMark/>
          </w:tcPr>
          <w:p w14:paraId="3CDD1B3B"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Število</w:t>
            </w:r>
          </w:p>
        </w:tc>
        <w:tc>
          <w:tcPr>
            <w:tcW w:w="1058" w:type="dxa"/>
            <w:tcBorders>
              <w:top w:val="nil"/>
              <w:left w:val="nil"/>
              <w:bottom w:val="single" w:sz="4" w:space="0" w:color="auto"/>
              <w:right w:val="single" w:sz="4" w:space="0" w:color="auto"/>
            </w:tcBorders>
            <w:shd w:val="clear" w:color="000000" w:fill="31869B"/>
            <w:vAlign w:val="center"/>
            <w:hideMark/>
          </w:tcPr>
          <w:p w14:paraId="096A7051"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9A1AE3">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9A1AE3">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917" w:type="dxa"/>
            <w:tcBorders>
              <w:top w:val="nil"/>
              <w:left w:val="nil"/>
              <w:bottom w:val="single" w:sz="4" w:space="0" w:color="auto"/>
              <w:right w:val="single" w:sz="4" w:space="0" w:color="auto"/>
            </w:tcBorders>
            <w:shd w:val="clear" w:color="000000" w:fill="31869B"/>
            <w:vAlign w:val="center"/>
            <w:hideMark/>
          </w:tcPr>
          <w:p w14:paraId="53638AA6"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Število</w:t>
            </w:r>
          </w:p>
        </w:tc>
        <w:tc>
          <w:tcPr>
            <w:tcW w:w="992" w:type="dxa"/>
            <w:tcBorders>
              <w:top w:val="nil"/>
              <w:left w:val="nil"/>
              <w:bottom w:val="single" w:sz="4" w:space="0" w:color="auto"/>
              <w:right w:val="single" w:sz="4" w:space="0" w:color="auto"/>
            </w:tcBorders>
            <w:shd w:val="clear" w:color="000000" w:fill="31869B"/>
            <w:vAlign w:val="center"/>
            <w:hideMark/>
          </w:tcPr>
          <w:p w14:paraId="2CCAD720"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82615D">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83" w:type="dxa"/>
            <w:tcBorders>
              <w:top w:val="nil"/>
              <w:left w:val="nil"/>
              <w:bottom w:val="single" w:sz="4" w:space="0" w:color="auto"/>
              <w:right w:val="single" w:sz="4" w:space="0" w:color="auto"/>
            </w:tcBorders>
            <w:shd w:val="clear" w:color="000000" w:fill="31869B"/>
            <w:vAlign w:val="center"/>
            <w:hideMark/>
          </w:tcPr>
          <w:p w14:paraId="7CABB1C6"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Število</w:t>
            </w:r>
          </w:p>
        </w:tc>
        <w:tc>
          <w:tcPr>
            <w:tcW w:w="747" w:type="dxa"/>
            <w:tcBorders>
              <w:top w:val="nil"/>
              <w:left w:val="nil"/>
              <w:bottom w:val="single" w:sz="4" w:space="0" w:color="auto"/>
              <w:right w:val="single" w:sz="4" w:space="0" w:color="auto"/>
            </w:tcBorders>
            <w:shd w:val="clear" w:color="000000" w:fill="31869B"/>
            <w:vAlign w:val="center"/>
            <w:hideMark/>
          </w:tcPr>
          <w:p w14:paraId="61D00040" w14:textId="77777777" w:rsidR="00A155A2" w:rsidRPr="0082615D" w:rsidRDefault="00A155A2" w:rsidP="001C77D2">
            <w:pPr>
              <w:spacing w:line="240" w:lineRule="auto"/>
              <w:jc w:val="center"/>
              <w:rPr>
                <w:rFonts w:ascii="Arial" w:eastAsia="Times New Roman" w:hAnsi="Arial" w:cs="Arial"/>
                <w:b/>
                <w:bCs/>
                <w:color w:val="FFFFFF"/>
                <w:sz w:val="18"/>
                <w:szCs w:val="18"/>
                <w:lang w:eastAsia="sl-SI"/>
              </w:rPr>
            </w:pPr>
            <w:r w:rsidRPr="0082615D">
              <w:rPr>
                <w:rFonts w:ascii="Arial" w:eastAsia="Times New Roman" w:hAnsi="Arial" w:cs="Arial"/>
                <w:b/>
                <w:bCs/>
                <w:color w:val="FFFFFF"/>
                <w:sz w:val="18"/>
                <w:szCs w:val="18"/>
                <w:lang w:eastAsia="sl-SI"/>
              </w:rPr>
              <w:t xml:space="preserve">Znesek </w:t>
            </w:r>
          </w:p>
        </w:tc>
      </w:tr>
      <w:tr w:rsidR="00A155A2" w:rsidRPr="0082615D" w14:paraId="0BDAB6E9" w14:textId="77777777" w:rsidTr="001C77D2">
        <w:trPr>
          <w:trHeight w:val="571"/>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23924DED" w14:textId="77777777" w:rsidR="00A155A2" w:rsidRPr="0082615D" w:rsidRDefault="00A155A2" w:rsidP="001C77D2">
            <w:pPr>
              <w:spacing w:line="240" w:lineRule="auto"/>
              <w:rPr>
                <w:rFonts w:ascii="Arial" w:eastAsia="Times New Roman" w:hAnsi="Arial" w:cs="Arial"/>
                <w:sz w:val="18"/>
                <w:szCs w:val="18"/>
                <w:lang w:eastAsia="sl-SI"/>
              </w:rPr>
            </w:pPr>
            <w:r w:rsidRPr="0082615D">
              <w:rPr>
                <w:rFonts w:ascii="Arial" w:eastAsia="Times New Roman" w:hAnsi="Arial" w:cs="Arial"/>
                <w:sz w:val="18"/>
                <w:szCs w:val="18"/>
                <w:lang w:eastAsia="sl-SI"/>
              </w:rPr>
              <w:t>Predlogi za začetek stečajnega postopka</w:t>
            </w:r>
          </w:p>
        </w:tc>
        <w:tc>
          <w:tcPr>
            <w:tcW w:w="866" w:type="dxa"/>
            <w:tcBorders>
              <w:top w:val="nil"/>
              <w:left w:val="nil"/>
              <w:bottom w:val="single" w:sz="4" w:space="0" w:color="auto"/>
              <w:right w:val="single" w:sz="4" w:space="0" w:color="auto"/>
            </w:tcBorders>
            <w:shd w:val="clear" w:color="auto" w:fill="auto"/>
            <w:vAlign w:val="center"/>
            <w:hideMark/>
          </w:tcPr>
          <w:p w14:paraId="3EC4404F"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427</w:t>
            </w:r>
          </w:p>
        </w:tc>
        <w:tc>
          <w:tcPr>
            <w:tcW w:w="1058" w:type="dxa"/>
            <w:tcBorders>
              <w:top w:val="nil"/>
              <w:left w:val="nil"/>
              <w:bottom w:val="single" w:sz="4" w:space="0" w:color="auto"/>
              <w:right w:val="single" w:sz="4" w:space="0" w:color="auto"/>
            </w:tcBorders>
            <w:shd w:val="clear" w:color="000000" w:fill="DAEEF3"/>
            <w:vAlign w:val="center"/>
            <w:hideMark/>
          </w:tcPr>
          <w:p w14:paraId="09E3EDEB"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61.540.084</w:t>
            </w:r>
          </w:p>
        </w:tc>
        <w:tc>
          <w:tcPr>
            <w:tcW w:w="917" w:type="dxa"/>
            <w:tcBorders>
              <w:top w:val="nil"/>
              <w:left w:val="nil"/>
              <w:bottom w:val="single" w:sz="4" w:space="0" w:color="auto"/>
              <w:right w:val="single" w:sz="4" w:space="0" w:color="auto"/>
            </w:tcBorders>
            <w:shd w:val="clear" w:color="auto" w:fill="auto"/>
            <w:vAlign w:val="center"/>
            <w:hideMark/>
          </w:tcPr>
          <w:p w14:paraId="082B1456"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547</w:t>
            </w:r>
          </w:p>
        </w:tc>
        <w:tc>
          <w:tcPr>
            <w:tcW w:w="992" w:type="dxa"/>
            <w:tcBorders>
              <w:top w:val="nil"/>
              <w:left w:val="nil"/>
              <w:bottom w:val="single" w:sz="4" w:space="0" w:color="auto"/>
              <w:right w:val="single" w:sz="4" w:space="0" w:color="auto"/>
            </w:tcBorders>
            <w:shd w:val="clear" w:color="000000" w:fill="DAEEF3"/>
            <w:vAlign w:val="center"/>
            <w:hideMark/>
          </w:tcPr>
          <w:p w14:paraId="77B7D10D"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71.131.823</w:t>
            </w:r>
          </w:p>
        </w:tc>
        <w:tc>
          <w:tcPr>
            <w:tcW w:w="883" w:type="dxa"/>
            <w:tcBorders>
              <w:top w:val="nil"/>
              <w:left w:val="nil"/>
              <w:bottom w:val="single" w:sz="4" w:space="0" w:color="auto"/>
              <w:right w:val="single" w:sz="4" w:space="0" w:color="auto"/>
            </w:tcBorders>
            <w:shd w:val="clear" w:color="auto" w:fill="auto"/>
            <w:vAlign w:val="center"/>
            <w:hideMark/>
          </w:tcPr>
          <w:p w14:paraId="61DBC732"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128,1</w:t>
            </w:r>
          </w:p>
        </w:tc>
        <w:tc>
          <w:tcPr>
            <w:tcW w:w="747" w:type="dxa"/>
            <w:tcBorders>
              <w:top w:val="nil"/>
              <w:left w:val="nil"/>
              <w:bottom w:val="single" w:sz="4" w:space="0" w:color="auto"/>
              <w:right w:val="single" w:sz="4" w:space="0" w:color="auto"/>
            </w:tcBorders>
            <w:shd w:val="clear" w:color="auto" w:fill="auto"/>
            <w:vAlign w:val="center"/>
            <w:hideMark/>
          </w:tcPr>
          <w:p w14:paraId="4775C386" w14:textId="77777777" w:rsidR="00A155A2" w:rsidRPr="0082615D" w:rsidRDefault="00A155A2" w:rsidP="001C77D2">
            <w:pPr>
              <w:spacing w:line="240" w:lineRule="auto"/>
              <w:jc w:val="center"/>
              <w:rPr>
                <w:rFonts w:ascii="Arial" w:eastAsia="Times New Roman" w:hAnsi="Arial" w:cs="Arial"/>
                <w:sz w:val="18"/>
                <w:szCs w:val="18"/>
                <w:lang w:eastAsia="sl-SI"/>
              </w:rPr>
            </w:pPr>
            <w:r w:rsidRPr="0082615D">
              <w:rPr>
                <w:rFonts w:ascii="Arial" w:eastAsia="Times New Roman" w:hAnsi="Arial" w:cs="Arial"/>
                <w:sz w:val="18"/>
                <w:szCs w:val="18"/>
                <w:lang w:eastAsia="sl-SI"/>
              </w:rPr>
              <w:t>115,6</w:t>
            </w:r>
          </w:p>
        </w:tc>
      </w:tr>
    </w:tbl>
    <w:p w14:paraId="60A7CA35" w14:textId="77777777" w:rsidR="00A155A2" w:rsidRPr="00C70762" w:rsidRDefault="00A155A2" w:rsidP="00A155A2">
      <w:pPr>
        <w:rPr>
          <w:rFonts w:ascii="Arial" w:hAnsi="Arial" w:cs="Arial"/>
          <w:i/>
          <w:sz w:val="20"/>
          <w:szCs w:val="20"/>
        </w:rPr>
      </w:pPr>
      <w:r w:rsidRPr="00C70762">
        <w:rPr>
          <w:rFonts w:ascii="Arial" w:hAnsi="Arial" w:cs="Arial"/>
          <w:i/>
          <w:sz w:val="20"/>
          <w:szCs w:val="20"/>
        </w:rPr>
        <w:t>Vir: FURS</w:t>
      </w:r>
    </w:p>
    <w:p w14:paraId="20052A9F" w14:textId="77777777" w:rsidR="00A155A2" w:rsidRPr="00CA37CE" w:rsidRDefault="00A155A2" w:rsidP="00A155A2">
      <w:pPr>
        <w:jc w:val="both"/>
        <w:rPr>
          <w:rFonts w:ascii="Arial" w:eastAsiaTheme="majorEastAsia" w:hAnsi="Arial" w:cs="Arial"/>
          <w:b/>
          <w:bCs/>
          <w:iCs/>
          <w:sz w:val="20"/>
          <w:szCs w:val="20"/>
          <w:lang w:eastAsia="sl-SI"/>
        </w:rPr>
      </w:pPr>
      <w:r w:rsidRPr="00D746A9">
        <w:rPr>
          <w:rFonts w:ascii="Arial" w:eastAsiaTheme="majorEastAsia" w:hAnsi="Arial" w:cs="Arial"/>
          <w:b/>
          <w:bCs/>
          <w:iCs/>
          <w:sz w:val="20"/>
          <w:szCs w:val="20"/>
          <w:lang w:eastAsia="sl-SI"/>
        </w:rPr>
        <w:lastRenderedPageBreak/>
        <w:t>Medsebojna upravna pravna pomoč med državami članicami EU na področju davščin in mednarodna izterjava prispevkov</w:t>
      </w:r>
      <w:r w:rsidRPr="00CA37CE">
        <w:rPr>
          <w:rFonts w:ascii="Arial" w:eastAsiaTheme="majorEastAsia" w:hAnsi="Arial" w:cs="Arial"/>
          <w:b/>
          <w:bCs/>
          <w:iCs/>
          <w:sz w:val="20"/>
          <w:szCs w:val="20"/>
          <w:lang w:eastAsia="sl-SI"/>
        </w:rPr>
        <w:t xml:space="preserve"> </w:t>
      </w:r>
    </w:p>
    <w:p w14:paraId="0140E7AA" w14:textId="77777777" w:rsidR="00A155A2" w:rsidRDefault="00A155A2" w:rsidP="00A155A2">
      <w:pPr>
        <w:jc w:val="both"/>
        <w:rPr>
          <w:rFonts w:ascii="Arial" w:hAnsi="Arial" w:cs="Arial"/>
          <w:sz w:val="20"/>
          <w:szCs w:val="20"/>
        </w:rPr>
      </w:pPr>
      <w:bookmarkStart w:id="24" w:name="_Hlk129334471"/>
      <w:r w:rsidRPr="00FF23FD">
        <w:rPr>
          <w:rFonts w:ascii="Arial" w:hAnsi="Arial" w:cs="Arial"/>
          <w:sz w:val="20"/>
          <w:szCs w:val="20"/>
        </w:rPr>
        <w:t>Ob upoštevanju pravil o medsebojni upravni pomoči med državami članicami E</w:t>
      </w:r>
      <w:r>
        <w:rPr>
          <w:rFonts w:ascii="Arial" w:hAnsi="Arial" w:cs="Arial"/>
          <w:sz w:val="20"/>
          <w:szCs w:val="20"/>
        </w:rPr>
        <w:t>vropske unije</w:t>
      </w:r>
      <w:r w:rsidRPr="00FF23FD">
        <w:rPr>
          <w:rFonts w:ascii="Arial" w:hAnsi="Arial" w:cs="Arial"/>
          <w:sz w:val="20"/>
          <w:szCs w:val="20"/>
        </w:rPr>
        <w:t xml:space="preserve"> je F</w:t>
      </w:r>
      <w:r>
        <w:rPr>
          <w:rFonts w:ascii="Arial" w:hAnsi="Arial" w:cs="Arial"/>
          <w:sz w:val="20"/>
          <w:szCs w:val="20"/>
        </w:rPr>
        <w:t xml:space="preserve">URS </w:t>
      </w:r>
      <w:r w:rsidRPr="00FF23FD">
        <w:rPr>
          <w:rFonts w:ascii="Arial" w:hAnsi="Arial" w:cs="Arial"/>
          <w:sz w:val="20"/>
          <w:szCs w:val="20"/>
        </w:rPr>
        <w:t xml:space="preserve">v letu 2024 v tujino </w:t>
      </w:r>
      <w:r>
        <w:rPr>
          <w:rFonts w:ascii="Arial" w:hAnsi="Arial" w:cs="Arial"/>
          <w:sz w:val="20"/>
          <w:szCs w:val="20"/>
        </w:rPr>
        <w:t>poslal</w:t>
      </w:r>
      <w:r w:rsidRPr="00FF23FD">
        <w:rPr>
          <w:rFonts w:ascii="Arial" w:hAnsi="Arial" w:cs="Arial"/>
          <w:sz w:val="20"/>
          <w:szCs w:val="20"/>
        </w:rPr>
        <w:t xml:space="preserve"> 1.256 zaprosil za izterjavo davčnih obveznosti v skupnem znesku 46.225.630 </w:t>
      </w:r>
      <w:r>
        <w:rPr>
          <w:rFonts w:ascii="Arial" w:hAnsi="Arial" w:cs="Arial"/>
          <w:sz w:val="20"/>
          <w:szCs w:val="20"/>
        </w:rPr>
        <w:t>EUR</w:t>
      </w:r>
      <w:r w:rsidRPr="00FF23FD">
        <w:rPr>
          <w:rFonts w:ascii="Arial" w:hAnsi="Arial" w:cs="Arial"/>
          <w:sz w:val="20"/>
          <w:szCs w:val="20"/>
        </w:rPr>
        <w:t xml:space="preserve"> in iz tega </w:t>
      </w:r>
      <w:r>
        <w:rPr>
          <w:rFonts w:ascii="Arial" w:hAnsi="Arial" w:cs="Arial"/>
          <w:sz w:val="20"/>
          <w:szCs w:val="20"/>
        </w:rPr>
        <w:t>vira</w:t>
      </w:r>
      <w:r w:rsidRPr="00FF23FD">
        <w:rPr>
          <w:rFonts w:ascii="Arial" w:hAnsi="Arial" w:cs="Arial"/>
          <w:sz w:val="20"/>
          <w:szCs w:val="20"/>
        </w:rPr>
        <w:t xml:space="preserve"> prejel 1.766.828 </w:t>
      </w:r>
      <w:r>
        <w:rPr>
          <w:rFonts w:ascii="Arial" w:hAnsi="Arial" w:cs="Arial"/>
          <w:sz w:val="20"/>
          <w:szCs w:val="20"/>
        </w:rPr>
        <w:t>EUR</w:t>
      </w:r>
      <w:r w:rsidRPr="00FF23FD">
        <w:rPr>
          <w:rFonts w:ascii="Arial" w:hAnsi="Arial" w:cs="Arial"/>
          <w:sz w:val="20"/>
          <w:szCs w:val="20"/>
        </w:rPr>
        <w:t xml:space="preserve"> plačil.</w:t>
      </w:r>
      <w:r>
        <w:rPr>
          <w:rFonts w:ascii="Arial" w:hAnsi="Arial" w:cs="Arial"/>
          <w:sz w:val="20"/>
          <w:szCs w:val="20"/>
        </w:rPr>
        <w:t xml:space="preserve"> </w:t>
      </w:r>
      <w:r w:rsidRPr="00FF23FD">
        <w:rPr>
          <w:rFonts w:ascii="Arial" w:hAnsi="Arial" w:cs="Arial"/>
          <w:sz w:val="20"/>
          <w:szCs w:val="20"/>
        </w:rPr>
        <w:t>Za zavarovanje plačila davčnih obveznosti je bilo pos</w:t>
      </w:r>
      <w:r>
        <w:rPr>
          <w:rFonts w:ascii="Arial" w:hAnsi="Arial" w:cs="Arial"/>
          <w:sz w:val="20"/>
          <w:szCs w:val="20"/>
        </w:rPr>
        <w:t>lanih</w:t>
      </w:r>
      <w:r w:rsidRPr="00FF23FD">
        <w:rPr>
          <w:rFonts w:ascii="Arial" w:hAnsi="Arial" w:cs="Arial"/>
          <w:sz w:val="20"/>
          <w:szCs w:val="20"/>
        </w:rPr>
        <w:t xml:space="preserve"> </w:t>
      </w:r>
      <w:r>
        <w:rPr>
          <w:rFonts w:ascii="Arial" w:hAnsi="Arial" w:cs="Arial"/>
          <w:sz w:val="20"/>
          <w:szCs w:val="20"/>
        </w:rPr>
        <w:t>devet</w:t>
      </w:r>
      <w:r w:rsidRPr="00FF23FD">
        <w:rPr>
          <w:rFonts w:ascii="Arial" w:hAnsi="Arial" w:cs="Arial"/>
          <w:sz w:val="20"/>
          <w:szCs w:val="20"/>
        </w:rPr>
        <w:t xml:space="preserve"> zaprosil v skupni </w:t>
      </w:r>
      <w:r>
        <w:rPr>
          <w:rFonts w:ascii="Arial" w:hAnsi="Arial" w:cs="Arial"/>
          <w:sz w:val="20"/>
          <w:szCs w:val="20"/>
        </w:rPr>
        <w:t>vrednosti</w:t>
      </w:r>
      <w:r w:rsidRPr="00FF23FD">
        <w:rPr>
          <w:rFonts w:ascii="Arial" w:hAnsi="Arial" w:cs="Arial"/>
          <w:sz w:val="20"/>
          <w:szCs w:val="20"/>
        </w:rPr>
        <w:t xml:space="preserve"> 2.301.420 </w:t>
      </w:r>
      <w:r>
        <w:rPr>
          <w:rFonts w:ascii="Arial" w:hAnsi="Arial" w:cs="Arial"/>
          <w:sz w:val="20"/>
          <w:szCs w:val="20"/>
        </w:rPr>
        <w:t>EUR</w:t>
      </w:r>
      <w:r w:rsidRPr="00FF23FD">
        <w:rPr>
          <w:rFonts w:ascii="Arial" w:hAnsi="Arial" w:cs="Arial"/>
          <w:sz w:val="20"/>
          <w:szCs w:val="20"/>
        </w:rPr>
        <w:t>. Pos</w:t>
      </w:r>
      <w:r>
        <w:rPr>
          <w:rFonts w:ascii="Arial" w:hAnsi="Arial" w:cs="Arial"/>
          <w:sz w:val="20"/>
          <w:szCs w:val="20"/>
        </w:rPr>
        <w:t>lano</w:t>
      </w:r>
      <w:r w:rsidRPr="00FF23FD">
        <w:rPr>
          <w:rFonts w:ascii="Arial" w:hAnsi="Arial" w:cs="Arial"/>
          <w:sz w:val="20"/>
          <w:szCs w:val="20"/>
        </w:rPr>
        <w:t xml:space="preserve"> je bilo tudi 301 zaprosilo za podatke in 13 zaprosil za vročitev akta, ki se nanaša na davščino </w:t>
      </w:r>
      <w:r>
        <w:rPr>
          <w:rFonts w:ascii="Arial" w:hAnsi="Arial" w:cs="Arial"/>
          <w:sz w:val="20"/>
          <w:szCs w:val="20"/>
        </w:rPr>
        <w:t>ali</w:t>
      </w:r>
      <w:r w:rsidRPr="00FF23FD">
        <w:rPr>
          <w:rFonts w:ascii="Arial" w:hAnsi="Arial" w:cs="Arial"/>
          <w:sz w:val="20"/>
          <w:szCs w:val="20"/>
        </w:rPr>
        <w:t xml:space="preserve"> njeno izterjavo.</w:t>
      </w:r>
    </w:p>
    <w:bookmarkEnd w:id="24"/>
    <w:p w14:paraId="32040654" w14:textId="77777777" w:rsidR="00A155A2" w:rsidRDefault="00A155A2" w:rsidP="00A155A2">
      <w:pPr>
        <w:pStyle w:val="FURSNavaden"/>
        <w:rPr>
          <w:rFonts w:eastAsia="Times New Roman" w:cs="Arial"/>
          <w:i/>
          <w:szCs w:val="20"/>
        </w:rPr>
      </w:pPr>
      <w:r w:rsidRPr="009F62ED">
        <w:rPr>
          <w:rFonts w:eastAsia="Times New Roman" w:cs="Arial"/>
          <w:i/>
          <w:szCs w:val="20"/>
        </w:rPr>
        <w:t xml:space="preserve">Preglednica </w:t>
      </w:r>
      <w:r>
        <w:rPr>
          <w:rFonts w:eastAsia="Times New Roman" w:cs="Arial"/>
          <w:i/>
          <w:szCs w:val="20"/>
        </w:rPr>
        <w:t>21</w:t>
      </w:r>
      <w:r w:rsidRPr="009F62ED">
        <w:rPr>
          <w:rFonts w:eastAsia="Times New Roman" w:cs="Arial"/>
          <w:i/>
          <w:szCs w:val="20"/>
        </w:rPr>
        <w:t>: Pos</w:t>
      </w:r>
      <w:r>
        <w:rPr>
          <w:rFonts w:eastAsia="Times New Roman" w:cs="Arial"/>
          <w:i/>
          <w:szCs w:val="20"/>
        </w:rPr>
        <w:t>l</w:t>
      </w:r>
      <w:r w:rsidRPr="009F62ED">
        <w:rPr>
          <w:rFonts w:eastAsia="Times New Roman" w:cs="Arial"/>
          <w:i/>
          <w:szCs w:val="20"/>
        </w:rPr>
        <w:t xml:space="preserve">ana zaprosila za izterjavo davčnih obveznosti na podlagi medsebojne upravne pomoči med članicami EU </w:t>
      </w:r>
    </w:p>
    <w:p w14:paraId="5F738661" w14:textId="77777777" w:rsidR="00A155A2" w:rsidRDefault="00A155A2" w:rsidP="00A155A2">
      <w:pPr>
        <w:pStyle w:val="FURSNavaden"/>
        <w:rPr>
          <w:rFonts w:eastAsia="Times New Roman" w:cs="Arial"/>
          <w:iCs/>
          <w:szCs w:val="20"/>
        </w:rPr>
      </w:pPr>
    </w:p>
    <w:tbl>
      <w:tblPr>
        <w:tblW w:w="8788" w:type="dxa"/>
        <w:tblCellMar>
          <w:left w:w="70" w:type="dxa"/>
          <w:right w:w="70" w:type="dxa"/>
        </w:tblCellMar>
        <w:tblLook w:val="04A0" w:firstRow="1" w:lastRow="0" w:firstColumn="1" w:lastColumn="0" w:noHBand="0" w:noVBand="1"/>
      </w:tblPr>
      <w:tblGrid>
        <w:gridCol w:w="3244"/>
        <w:gridCol w:w="873"/>
        <w:gridCol w:w="1052"/>
        <w:gridCol w:w="926"/>
        <w:gridCol w:w="1041"/>
        <w:gridCol w:w="891"/>
        <w:gridCol w:w="761"/>
      </w:tblGrid>
      <w:tr w:rsidR="00A155A2" w:rsidRPr="00FF23FD" w14:paraId="1881BC3B" w14:textId="77777777" w:rsidTr="001C77D2">
        <w:trPr>
          <w:trHeight w:val="445"/>
        </w:trPr>
        <w:tc>
          <w:tcPr>
            <w:tcW w:w="3282" w:type="dxa"/>
            <w:vMerge w:val="restart"/>
            <w:tcBorders>
              <w:top w:val="single" w:sz="4" w:space="0" w:color="auto"/>
              <w:left w:val="single" w:sz="4" w:space="0" w:color="auto"/>
              <w:bottom w:val="single" w:sz="4" w:space="0" w:color="auto"/>
              <w:right w:val="single" w:sz="4" w:space="0" w:color="auto"/>
            </w:tcBorders>
            <w:shd w:val="clear" w:color="000000" w:fill="31849B"/>
            <w:vAlign w:val="center"/>
            <w:hideMark/>
          </w:tcPr>
          <w:p w14:paraId="6DF70F9D"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Vsebina postopka*</w:t>
            </w:r>
          </w:p>
        </w:tc>
        <w:tc>
          <w:tcPr>
            <w:tcW w:w="1925" w:type="dxa"/>
            <w:gridSpan w:val="2"/>
            <w:tcBorders>
              <w:top w:val="single" w:sz="4" w:space="0" w:color="auto"/>
              <w:left w:val="nil"/>
              <w:bottom w:val="single" w:sz="4" w:space="0" w:color="auto"/>
              <w:right w:val="single" w:sz="4" w:space="0" w:color="auto"/>
            </w:tcBorders>
            <w:shd w:val="clear" w:color="000000" w:fill="31869B"/>
            <w:vAlign w:val="bottom"/>
            <w:hideMark/>
          </w:tcPr>
          <w:p w14:paraId="3A1EF06C"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2023</w:t>
            </w:r>
          </w:p>
        </w:tc>
        <w:tc>
          <w:tcPr>
            <w:tcW w:w="1942" w:type="dxa"/>
            <w:gridSpan w:val="2"/>
            <w:tcBorders>
              <w:top w:val="single" w:sz="4" w:space="0" w:color="auto"/>
              <w:left w:val="nil"/>
              <w:bottom w:val="single" w:sz="4" w:space="0" w:color="auto"/>
              <w:right w:val="single" w:sz="4" w:space="0" w:color="auto"/>
            </w:tcBorders>
            <w:shd w:val="clear" w:color="000000" w:fill="31869B"/>
            <w:noWrap/>
            <w:vAlign w:val="bottom"/>
            <w:hideMark/>
          </w:tcPr>
          <w:p w14:paraId="4FFA38C6"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2024</w:t>
            </w:r>
          </w:p>
        </w:tc>
        <w:tc>
          <w:tcPr>
            <w:tcW w:w="1639" w:type="dxa"/>
            <w:gridSpan w:val="2"/>
            <w:tcBorders>
              <w:top w:val="single" w:sz="4" w:space="0" w:color="auto"/>
              <w:left w:val="nil"/>
              <w:bottom w:val="single" w:sz="4" w:space="0" w:color="auto"/>
              <w:right w:val="single" w:sz="4" w:space="0" w:color="auto"/>
            </w:tcBorders>
            <w:shd w:val="clear" w:color="000000" w:fill="31849B"/>
            <w:vAlign w:val="center"/>
            <w:hideMark/>
          </w:tcPr>
          <w:p w14:paraId="4D60E017"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2023</w:t>
            </w:r>
          </w:p>
        </w:tc>
      </w:tr>
      <w:tr w:rsidR="00A155A2" w:rsidRPr="00FF23FD" w14:paraId="172E0759" w14:textId="77777777" w:rsidTr="001C77D2">
        <w:trPr>
          <w:trHeight w:val="445"/>
        </w:trPr>
        <w:tc>
          <w:tcPr>
            <w:tcW w:w="3282" w:type="dxa"/>
            <w:vMerge/>
            <w:tcBorders>
              <w:top w:val="single" w:sz="4" w:space="0" w:color="auto"/>
              <w:left w:val="single" w:sz="4" w:space="0" w:color="auto"/>
              <w:bottom w:val="single" w:sz="4" w:space="0" w:color="auto"/>
              <w:right w:val="single" w:sz="4" w:space="0" w:color="auto"/>
            </w:tcBorders>
            <w:vAlign w:val="center"/>
            <w:hideMark/>
          </w:tcPr>
          <w:p w14:paraId="441EF029" w14:textId="77777777" w:rsidR="00A155A2" w:rsidRPr="00FF23FD" w:rsidRDefault="00A155A2" w:rsidP="001C77D2">
            <w:pPr>
              <w:spacing w:line="240" w:lineRule="auto"/>
              <w:rPr>
                <w:rFonts w:ascii="Arial" w:eastAsia="Times New Roman" w:hAnsi="Arial" w:cs="Arial"/>
                <w:b/>
                <w:bCs/>
                <w:color w:val="FFFFFF"/>
                <w:sz w:val="18"/>
                <w:szCs w:val="18"/>
                <w:lang w:eastAsia="sl-SI"/>
              </w:rPr>
            </w:pPr>
          </w:p>
        </w:tc>
        <w:tc>
          <w:tcPr>
            <w:tcW w:w="873" w:type="dxa"/>
            <w:tcBorders>
              <w:top w:val="nil"/>
              <w:left w:val="nil"/>
              <w:bottom w:val="single" w:sz="4" w:space="0" w:color="auto"/>
              <w:right w:val="single" w:sz="4" w:space="0" w:color="auto"/>
            </w:tcBorders>
            <w:shd w:val="clear" w:color="000000" w:fill="31869B"/>
            <w:vAlign w:val="center"/>
            <w:hideMark/>
          </w:tcPr>
          <w:p w14:paraId="71F02EBB"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1052" w:type="dxa"/>
            <w:tcBorders>
              <w:top w:val="nil"/>
              <w:left w:val="nil"/>
              <w:bottom w:val="single" w:sz="4" w:space="0" w:color="auto"/>
              <w:right w:val="single" w:sz="4" w:space="0" w:color="auto"/>
            </w:tcBorders>
            <w:shd w:val="clear" w:color="000000" w:fill="31869B"/>
            <w:vAlign w:val="center"/>
            <w:hideMark/>
          </w:tcPr>
          <w:p w14:paraId="263DB3F8"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Zne</w:t>
            </w:r>
            <w:r w:rsidRPr="009A1AE3">
              <w:rPr>
                <w:rFonts w:ascii="Arial" w:eastAsia="Times New Roman" w:hAnsi="Arial" w:cs="Arial"/>
                <w:b/>
                <w:bCs/>
                <w:color w:val="FFFFFF"/>
                <w:sz w:val="18"/>
                <w:szCs w:val="18"/>
                <w:lang w:eastAsia="sl-SI"/>
              </w:rPr>
              <w:t xml:space="preserve">sek </w:t>
            </w:r>
            <w:r>
              <w:rPr>
                <w:rFonts w:ascii="Arial" w:eastAsia="Times New Roman" w:hAnsi="Arial" w:cs="Arial"/>
                <w:b/>
                <w:bCs/>
                <w:color w:val="FFFFFF"/>
                <w:sz w:val="18"/>
                <w:szCs w:val="18"/>
                <w:lang w:eastAsia="sl-SI"/>
              </w:rPr>
              <w:t>(</w:t>
            </w:r>
            <w:r w:rsidRPr="009A1AE3">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926" w:type="dxa"/>
            <w:tcBorders>
              <w:top w:val="nil"/>
              <w:left w:val="nil"/>
              <w:bottom w:val="single" w:sz="4" w:space="0" w:color="auto"/>
              <w:right w:val="single" w:sz="4" w:space="0" w:color="auto"/>
            </w:tcBorders>
            <w:shd w:val="clear" w:color="000000" w:fill="31869B"/>
            <w:vAlign w:val="center"/>
            <w:hideMark/>
          </w:tcPr>
          <w:p w14:paraId="282E0AA3"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1015" w:type="dxa"/>
            <w:tcBorders>
              <w:top w:val="nil"/>
              <w:left w:val="nil"/>
              <w:bottom w:val="single" w:sz="4" w:space="0" w:color="auto"/>
              <w:right w:val="single" w:sz="4" w:space="0" w:color="auto"/>
            </w:tcBorders>
            <w:shd w:val="clear" w:color="000000" w:fill="31869B"/>
            <w:vAlign w:val="center"/>
            <w:hideMark/>
          </w:tcPr>
          <w:p w14:paraId="095AC504"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FF23FD">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91" w:type="dxa"/>
            <w:tcBorders>
              <w:top w:val="nil"/>
              <w:left w:val="nil"/>
              <w:bottom w:val="single" w:sz="4" w:space="0" w:color="auto"/>
              <w:right w:val="single" w:sz="4" w:space="0" w:color="auto"/>
            </w:tcBorders>
            <w:shd w:val="clear" w:color="000000" w:fill="31869B"/>
            <w:vAlign w:val="center"/>
            <w:hideMark/>
          </w:tcPr>
          <w:p w14:paraId="7A44EDF6"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748" w:type="dxa"/>
            <w:tcBorders>
              <w:top w:val="nil"/>
              <w:left w:val="nil"/>
              <w:bottom w:val="single" w:sz="4" w:space="0" w:color="auto"/>
              <w:right w:val="single" w:sz="4" w:space="0" w:color="auto"/>
            </w:tcBorders>
            <w:shd w:val="clear" w:color="000000" w:fill="31869B"/>
            <w:vAlign w:val="center"/>
            <w:hideMark/>
          </w:tcPr>
          <w:p w14:paraId="4169E975"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Znesek </w:t>
            </w:r>
          </w:p>
        </w:tc>
      </w:tr>
      <w:tr w:rsidR="00A155A2" w:rsidRPr="00FF23FD" w14:paraId="1119B2B7" w14:textId="77777777" w:rsidTr="001C77D2">
        <w:trPr>
          <w:trHeight w:val="445"/>
        </w:trPr>
        <w:tc>
          <w:tcPr>
            <w:tcW w:w="3282" w:type="dxa"/>
            <w:tcBorders>
              <w:top w:val="nil"/>
              <w:left w:val="single" w:sz="4" w:space="0" w:color="auto"/>
              <w:bottom w:val="single" w:sz="4" w:space="0" w:color="auto"/>
              <w:right w:val="single" w:sz="4" w:space="0" w:color="auto"/>
            </w:tcBorders>
            <w:shd w:val="clear" w:color="auto" w:fill="auto"/>
            <w:vAlign w:val="center"/>
            <w:hideMark/>
          </w:tcPr>
          <w:p w14:paraId="5BDC8CA4" w14:textId="77777777" w:rsidR="00A155A2" w:rsidRPr="00FF23FD" w:rsidRDefault="00A155A2" w:rsidP="001C77D2">
            <w:pPr>
              <w:spacing w:line="240" w:lineRule="auto"/>
              <w:rPr>
                <w:rFonts w:ascii="Arial" w:eastAsia="Times New Roman" w:hAnsi="Arial" w:cs="Arial"/>
                <w:sz w:val="18"/>
                <w:szCs w:val="18"/>
                <w:lang w:eastAsia="sl-SI"/>
              </w:rPr>
            </w:pPr>
            <w:r w:rsidRPr="00FF23FD">
              <w:rPr>
                <w:rFonts w:ascii="Arial" w:eastAsia="Times New Roman" w:hAnsi="Arial" w:cs="Arial"/>
                <w:sz w:val="18"/>
                <w:szCs w:val="18"/>
                <w:lang w:eastAsia="sl-SI"/>
              </w:rPr>
              <w:t>Pos</w:t>
            </w:r>
            <w:r>
              <w:rPr>
                <w:rFonts w:ascii="Arial" w:eastAsia="Times New Roman" w:hAnsi="Arial" w:cs="Arial"/>
                <w:sz w:val="18"/>
                <w:szCs w:val="18"/>
                <w:lang w:eastAsia="sl-SI"/>
              </w:rPr>
              <w:t>l</w:t>
            </w:r>
            <w:r w:rsidRPr="00FF23FD">
              <w:rPr>
                <w:rFonts w:ascii="Arial" w:eastAsia="Times New Roman" w:hAnsi="Arial" w:cs="Arial"/>
                <w:sz w:val="18"/>
                <w:szCs w:val="18"/>
                <w:lang w:eastAsia="sl-SI"/>
              </w:rPr>
              <w:t>ana zaprosila za izterjavo davčnih obveznosti v EU</w:t>
            </w:r>
          </w:p>
        </w:tc>
        <w:tc>
          <w:tcPr>
            <w:tcW w:w="873" w:type="dxa"/>
            <w:tcBorders>
              <w:top w:val="nil"/>
              <w:left w:val="nil"/>
              <w:bottom w:val="single" w:sz="4" w:space="0" w:color="auto"/>
              <w:right w:val="single" w:sz="4" w:space="0" w:color="auto"/>
            </w:tcBorders>
            <w:shd w:val="clear" w:color="auto" w:fill="auto"/>
            <w:noWrap/>
            <w:vAlign w:val="bottom"/>
            <w:hideMark/>
          </w:tcPr>
          <w:p w14:paraId="370C48F8"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1.003</w:t>
            </w:r>
          </w:p>
        </w:tc>
        <w:tc>
          <w:tcPr>
            <w:tcW w:w="1052" w:type="dxa"/>
            <w:tcBorders>
              <w:top w:val="nil"/>
              <w:left w:val="nil"/>
              <w:bottom w:val="single" w:sz="4" w:space="0" w:color="auto"/>
              <w:right w:val="single" w:sz="4" w:space="0" w:color="auto"/>
            </w:tcBorders>
            <w:shd w:val="clear" w:color="000000" w:fill="DAEEF3"/>
            <w:noWrap/>
            <w:vAlign w:val="bottom"/>
            <w:hideMark/>
          </w:tcPr>
          <w:p w14:paraId="6D582051"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35.109.340</w:t>
            </w:r>
          </w:p>
        </w:tc>
        <w:tc>
          <w:tcPr>
            <w:tcW w:w="926" w:type="dxa"/>
            <w:tcBorders>
              <w:top w:val="nil"/>
              <w:left w:val="nil"/>
              <w:bottom w:val="single" w:sz="4" w:space="0" w:color="auto"/>
              <w:right w:val="single" w:sz="4" w:space="0" w:color="auto"/>
            </w:tcBorders>
            <w:shd w:val="clear" w:color="auto" w:fill="auto"/>
            <w:noWrap/>
            <w:vAlign w:val="bottom"/>
            <w:hideMark/>
          </w:tcPr>
          <w:p w14:paraId="68DCB58A"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1.256</w:t>
            </w:r>
          </w:p>
        </w:tc>
        <w:tc>
          <w:tcPr>
            <w:tcW w:w="1015" w:type="dxa"/>
            <w:tcBorders>
              <w:top w:val="nil"/>
              <w:left w:val="nil"/>
              <w:bottom w:val="single" w:sz="4" w:space="0" w:color="auto"/>
              <w:right w:val="single" w:sz="4" w:space="0" w:color="auto"/>
            </w:tcBorders>
            <w:shd w:val="clear" w:color="000000" w:fill="DAEEF3"/>
            <w:noWrap/>
            <w:vAlign w:val="bottom"/>
            <w:hideMark/>
          </w:tcPr>
          <w:p w14:paraId="762D618C"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46.225.630</w:t>
            </w:r>
          </w:p>
        </w:tc>
        <w:tc>
          <w:tcPr>
            <w:tcW w:w="891" w:type="dxa"/>
            <w:tcBorders>
              <w:top w:val="nil"/>
              <w:left w:val="nil"/>
              <w:bottom w:val="single" w:sz="4" w:space="0" w:color="auto"/>
              <w:right w:val="single" w:sz="4" w:space="0" w:color="auto"/>
            </w:tcBorders>
            <w:shd w:val="clear" w:color="auto" w:fill="auto"/>
            <w:noWrap/>
            <w:vAlign w:val="bottom"/>
            <w:hideMark/>
          </w:tcPr>
          <w:p w14:paraId="46041FB6"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125,2</w:t>
            </w:r>
          </w:p>
        </w:tc>
        <w:tc>
          <w:tcPr>
            <w:tcW w:w="748" w:type="dxa"/>
            <w:tcBorders>
              <w:top w:val="nil"/>
              <w:left w:val="nil"/>
              <w:bottom w:val="single" w:sz="4" w:space="0" w:color="auto"/>
              <w:right w:val="single" w:sz="4" w:space="0" w:color="auto"/>
            </w:tcBorders>
            <w:shd w:val="clear" w:color="auto" w:fill="auto"/>
            <w:noWrap/>
            <w:vAlign w:val="bottom"/>
            <w:hideMark/>
          </w:tcPr>
          <w:p w14:paraId="274159A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131,7</w:t>
            </w:r>
          </w:p>
        </w:tc>
      </w:tr>
      <w:tr w:rsidR="00A155A2" w:rsidRPr="00FF23FD" w14:paraId="529D135A" w14:textId="77777777" w:rsidTr="001C77D2">
        <w:trPr>
          <w:trHeight w:val="418"/>
        </w:trPr>
        <w:tc>
          <w:tcPr>
            <w:tcW w:w="3282" w:type="dxa"/>
            <w:tcBorders>
              <w:top w:val="nil"/>
              <w:left w:val="single" w:sz="4" w:space="0" w:color="auto"/>
              <w:bottom w:val="single" w:sz="4" w:space="0" w:color="auto"/>
              <w:right w:val="single" w:sz="4" w:space="0" w:color="auto"/>
            </w:tcBorders>
            <w:shd w:val="clear" w:color="auto" w:fill="auto"/>
            <w:vAlign w:val="center"/>
            <w:hideMark/>
          </w:tcPr>
          <w:p w14:paraId="21E9D5CC" w14:textId="77777777" w:rsidR="00A155A2" w:rsidRPr="00FF23FD" w:rsidRDefault="00A155A2" w:rsidP="001C77D2">
            <w:pPr>
              <w:spacing w:line="240" w:lineRule="auto"/>
              <w:rPr>
                <w:rFonts w:ascii="Arial" w:eastAsia="Times New Roman" w:hAnsi="Arial" w:cs="Arial"/>
                <w:sz w:val="18"/>
                <w:szCs w:val="18"/>
                <w:lang w:eastAsia="sl-SI"/>
              </w:rPr>
            </w:pPr>
            <w:r w:rsidRPr="00FF23FD">
              <w:rPr>
                <w:rFonts w:ascii="Arial" w:eastAsia="Times New Roman" w:hAnsi="Arial" w:cs="Arial"/>
                <w:sz w:val="18"/>
                <w:szCs w:val="18"/>
                <w:lang w:eastAsia="sl-SI"/>
              </w:rPr>
              <w:t xml:space="preserve">Prejeta plačila </w:t>
            </w:r>
          </w:p>
        </w:tc>
        <w:tc>
          <w:tcPr>
            <w:tcW w:w="873" w:type="dxa"/>
            <w:tcBorders>
              <w:top w:val="nil"/>
              <w:left w:val="nil"/>
              <w:bottom w:val="single" w:sz="4" w:space="0" w:color="auto"/>
              <w:right w:val="single" w:sz="4" w:space="0" w:color="auto"/>
            </w:tcBorders>
            <w:shd w:val="clear" w:color="auto" w:fill="auto"/>
            <w:noWrap/>
            <w:vAlign w:val="bottom"/>
            <w:hideMark/>
          </w:tcPr>
          <w:p w14:paraId="22BBB93F"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1052" w:type="dxa"/>
            <w:tcBorders>
              <w:top w:val="nil"/>
              <w:left w:val="nil"/>
              <w:bottom w:val="single" w:sz="4" w:space="0" w:color="auto"/>
              <w:right w:val="single" w:sz="4" w:space="0" w:color="auto"/>
            </w:tcBorders>
            <w:shd w:val="clear" w:color="000000" w:fill="DAEEF3"/>
            <w:noWrap/>
            <w:vAlign w:val="bottom"/>
            <w:hideMark/>
          </w:tcPr>
          <w:p w14:paraId="16BE59F7"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1.370.158</w:t>
            </w:r>
          </w:p>
        </w:tc>
        <w:tc>
          <w:tcPr>
            <w:tcW w:w="926" w:type="dxa"/>
            <w:tcBorders>
              <w:top w:val="nil"/>
              <w:left w:val="nil"/>
              <w:bottom w:val="single" w:sz="4" w:space="0" w:color="auto"/>
              <w:right w:val="single" w:sz="4" w:space="0" w:color="auto"/>
            </w:tcBorders>
            <w:shd w:val="clear" w:color="auto" w:fill="auto"/>
            <w:noWrap/>
            <w:vAlign w:val="bottom"/>
            <w:hideMark/>
          </w:tcPr>
          <w:p w14:paraId="1F8E156D"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1015" w:type="dxa"/>
            <w:tcBorders>
              <w:top w:val="nil"/>
              <w:left w:val="nil"/>
              <w:bottom w:val="single" w:sz="4" w:space="0" w:color="auto"/>
              <w:right w:val="single" w:sz="4" w:space="0" w:color="auto"/>
            </w:tcBorders>
            <w:shd w:val="clear" w:color="000000" w:fill="DAEEF3"/>
            <w:noWrap/>
            <w:vAlign w:val="bottom"/>
            <w:hideMark/>
          </w:tcPr>
          <w:p w14:paraId="28D8AF05"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1.766.828</w:t>
            </w:r>
          </w:p>
        </w:tc>
        <w:tc>
          <w:tcPr>
            <w:tcW w:w="891" w:type="dxa"/>
            <w:tcBorders>
              <w:top w:val="nil"/>
              <w:left w:val="nil"/>
              <w:bottom w:val="single" w:sz="4" w:space="0" w:color="auto"/>
              <w:right w:val="single" w:sz="4" w:space="0" w:color="auto"/>
            </w:tcBorders>
            <w:shd w:val="clear" w:color="auto" w:fill="auto"/>
            <w:noWrap/>
            <w:vAlign w:val="bottom"/>
            <w:hideMark/>
          </w:tcPr>
          <w:p w14:paraId="1BBF240B"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748" w:type="dxa"/>
            <w:tcBorders>
              <w:top w:val="nil"/>
              <w:left w:val="nil"/>
              <w:bottom w:val="single" w:sz="4" w:space="0" w:color="auto"/>
              <w:right w:val="single" w:sz="4" w:space="0" w:color="auto"/>
            </w:tcBorders>
            <w:shd w:val="clear" w:color="auto" w:fill="auto"/>
            <w:noWrap/>
            <w:vAlign w:val="bottom"/>
            <w:hideMark/>
          </w:tcPr>
          <w:p w14:paraId="0ED66994"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129,0</w:t>
            </w:r>
          </w:p>
        </w:tc>
      </w:tr>
      <w:tr w:rsidR="00A155A2" w:rsidRPr="00FF23FD" w14:paraId="29FE2256" w14:textId="77777777" w:rsidTr="001C77D2">
        <w:trPr>
          <w:trHeight w:val="497"/>
        </w:trPr>
        <w:tc>
          <w:tcPr>
            <w:tcW w:w="3282" w:type="dxa"/>
            <w:tcBorders>
              <w:top w:val="nil"/>
              <w:left w:val="single" w:sz="4" w:space="0" w:color="auto"/>
              <w:bottom w:val="single" w:sz="4" w:space="0" w:color="auto"/>
              <w:right w:val="single" w:sz="4" w:space="0" w:color="auto"/>
            </w:tcBorders>
            <w:shd w:val="clear" w:color="auto" w:fill="auto"/>
            <w:vAlign w:val="center"/>
            <w:hideMark/>
          </w:tcPr>
          <w:p w14:paraId="6EFC5390" w14:textId="77777777" w:rsidR="00A155A2" w:rsidRPr="00FF23FD" w:rsidRDefault="00A155A2" w:rsidP="001C77D2">
            <w:pPr>
              <w:spacing w:line="240" w:lineRule="auto"/>
              <w:rPr>
                <w:rFonts w:ascii="Arial" w:eastAsia="Times New Roman" w:hAnsi="Arial" w:cs="Arial"/>
                <w:sz w:val="18"/>
                <w:szCs w:val="18"/>
                <w:lang w:eastAsia="sl-SI"/>
              </w:rPr>
            </w:pPr>
            <w:r w:rsidRPr="00FF23FD">
              <w:rPr>
                <w:rFonts w:ascii="Arial" w:eastAsia="Times New Roman" w:hAnsi="Arial" w:cs="Arial"/>
                <w:sz w:val="18"/>
                <w:szCs w:val="18"/>
                <w:lang w:eastAsia="sl-SI"/>
              </w:rPr>
              <w:t>Prejeta zaprosila za izterjavo davčnih obveznosti v EU</w:t>
            </w:r>
          </w:p>
        </w:tc>
        <w:tc>
          <w:tcPr>
            <w:tcW w:w="873" w:type="dxa"/>
            <w:tcBorders>
              <w:top w:val="nil"/>
              <w:left w:val="nil"/>
              <w:bottom w:val="single" w:sz="4" w:space="0" w:color="auto"/>
              <w:right w:val="single" w:sz="4" w:space="0" w:color="auto"/>
            </w:tcBorders>
            <w:shd w:val="clear" w:color="auto" w:fill="auto"/>
            <w:noWrap/>
            <w:vAlign w:val="bottom"/>
            <w:hideMark/>
          </w:tcPr>
          <w:p w14:paraId="611E9C6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357</w:t>
            </w:r>
          </w:p>
        </w:tc>
        <w:tc>
          <w:tcPr>
            <w:tcW w:w="1052" w:type="dxa"/>
            <w:tcBorders>
              <w:top w:val="nil"/>
              <w:left w:val="nil"/>
              <w:bottom w:val="single" w:sz="4" w:space="0" w:color="auto"/>
              <w:right w:val="single" w:sz="4" w:space="0" w:color="auto"/>
            </w:tcBorders>
            <w:shd w:val="clear" w:color="000000" w:fill="DAEEF3"/>
            <w:noWrap/>
            <w:vAlign w:val="bottom"/>
            <w:hideMark/>
          </w:tcPr>
          <w:p w14:paraId="6E639E4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22.157.558</w:t>
            </w:r>
          </w:p>
        </w:tc>
        <w:tc>
          <w:tcPr>
            <w:tcW w:w="926" w:type="dxa"/>
            <w:tcBorders>
              <w:top w:val="nil"/>
              <w:left w:val="nil"/>
              <w:bottom w:val="single" w:sz="4" w:space="0" w:color="auto"/>
              <w:right w:val="single" w:sz="4" w:space="0" w:color="auto"/>
            </w:tcBorders>
            <w:shd w:val="clear" w:color="auto" w:fill="auto"/>
            <w:noWrap/>
            <w:vAlign w:val="bottom"/>
            <w:hideMark/>
          </w:tcPr>
          <w:p w14:paraId="7EBC92E3"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390</w:t>
            </w:r>
          </w:p>
        </w:tc>
        <w:tc>
          <w:tcPr>
            <w:tcW w:w="1015" w:type="dxa"/>
            <w:tcBorders>
              <w:top w:val="nil"/>
              <w:left w:val="nil"/>
              <w:bottom w:val="single" w:sz="4" w:space="0" w:color="auto"/>
              <w:right w:val="single" w:sz="4" w:space="0" w:color="auto"/>
            </w:tcBorders>
            <w:shd w:val="clear" w:color="000000" w:fill="DAEEF3"/>
            <w:noWrap/>
            <w:vAlign w:val="bottom"/>
            <w:hideMark/>
          </w:tcPr>
          <w:p w14:paraId="235C012F"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13.837.726</w:t>
            </w:r>
          </w:p>
        </w:tc>
        <w:tc>
          <w:tcPr>
            <w:tcW w:w="891" w:type="dxa"/>
            <w:tcBorders>
              <w:top w:val="nil"/>
              <w:left w:val="nil"/>
              <w:bottom w:val="single" w:sz="4" w:space="0" w:color="auto"/>
              <w:right w:val="single" w:sz="4" w:space="0" w:color="auto"/>
            </w:tcBorders>
            <w:shd w:val="clear" w:color="auto" w:fill="auto"/>
            <w:noWrap/>
            <w:vAlign w:val="bottom"/>
            <w:hideMark/>
          </w:tcPr>
          <w:p w14:paraId="1BA61F26"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109,2</w:t>
            </w:r>
          </w:p>
        </w:tc>
        <w:tc>
          <w:tcPr>
            <w:tcW w:w="748" w:type="dxa"/>
            <w:tcBorders>
              <w:top w:val="nil"/>
              <w:left w:val="nil"/>
              <w:bottom w:val="single" w:sz="4" w:space="0" w:color="auto"/>
              <w:right w:val="single" w:sz="4" w:space="0" w:color="auto"/>
            </w:tcBorders>
            <w:shd w:val="clear" w:color="auto" w:fill="auto"/>
            <w:noWrap/>
            <w:vAlign w:val="bottom"/>
            <w:hideMark/>
          </w:tcPr>
          <w:p w14:paraId="4F05BBB0"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62,5</w:t>
            </w:r>
          </w:p>
        </w:tc>
      </w:tr>
      <w:tr w:rsidR="00A155A2" w:rsidRPr="00FF23FD" w14:paraId="60441EF6" w14:textId="77777777" w:rsidTr="001C77D2">
        <w:trPr>
          <w:trHeight w:val="418"/>
        </w:trPr>
        <w:tc>
          <w:tcPr>
            <w:tcW w:w="3282" w:type="dxa"/>
            <w:tcBorders>
              <w:top w:val="nil"/>
              <w:left w:val="single" w:sz="4" w:space="0" w:color="auto"/>
              <w:bottom w:val="single" w:sz="4" w:space="0" w:color="auto"/>
              <w:right w:val="single" w:sz="4" w:space="0" w:color="auto"/>
            </w:tcBorders>
            <w:shd w:val="clear" w:color="auto" w:fill="auto"/>
            <w:vAlign w:val="center"/>
            <w:hideMark/>
          </w:tcPr>
          <w:p w14:paraId="1577F717" w14:textId="77777777" w:rsidR="00A155A2" w:rsidRPr="00FF23FD" w:rsidRDefault="00A155A2" w:rsidP="001C77D2">
            <w:pPr>
              <w:spacing w:line="240" w:lineRule="auto"/>
              <w:rPr>
                <w:rFonts w:ascii="Arial" w:eastAsia="Times New Roman" w:hAnsi="Arial" w:cs="Arial"/>
                <w:sz w:val="18"/>
                <w:szCs w:val="18"/>
                <w:lang w:eastAsia="sl-SI"/>
              </w:rPr>
            </w:pPr>
            <w:r w:rsidRPr="00FF23FD">
              <w:rPr>
                <w:rFonts w:ascii="Arial" w:eastAsia="Times New Roman" w:hAnsi="Arial" w:cs="Arial"/>
                <w:sz w:val="18"/>
                <w:szCs w:val="18"/>
                <w:lang w:eastAsia="sl-SI"/>
              </w:rPr>
              <w:t xml:space="preserve">Prejeta plačila </w:t>
            </w:r>
          </w:p>
        </w:tc>
        <w:tc>
          <w:tcPr>
            <w:tcW w:w="873" w:type="dxa"/>
            <w:tcBorders>
              <w:top w:val="nil"/>
              <w:left w:val="nil"/>
              <w:bottom w:val="single" w:sz="4" w:space="0" w:color="auto"/>
              <w:right w:val="single" w:sz="4" w:space="0" w:color="auto"/>
            </w:tcBorders>
            <w:shd w:val="clear" w:color="auto" w:fill="auto"/>
            <w:noWrap/>
            <w:vAlign w:val="bottom"/>
            <w:hideMark/>
          </w:tcPr>
          <w:p w14:paraId="364EE986"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1052" w:type="dxa"/>
            <w:tcBorders>
              <w:top w:val="nil"/>
              <w:left w:val="nil"/>
              <w:bottom w:val="single" w:sz="4" w:space="0" w:color="auto"/>
              <w:right w:val="single" w:sz="4" w:space="0" w:color="auto"/>
            </w:tcBorders>
            <w:shd w:val="clear" w:color="000000" w:fill="DAEEF3"/>
            <w:noWrap/>
            <w:vAlign w:val="bottom"/>
            <w:hideMark/>
          </w:tcPr>
          <w:p w14:paraId="0C618E0D"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1.769.608</w:t>
            </w:r>
          </w:p>
        </w:tc>
        <w:tc>
          <w:tcPr>
            <w:tcW w:w="926" w:type="dxa"/>
            <w:tcBorders>
              <w:top w:val="nil"/>
              <w:left w:val="nil"/>
              <w:bottom w:val="single" w:sz="4" w:space="0" w:color="auto"/>
              <w:right w:val="single" w:sz="4" w:space="0" w:color="auto"/>
            </w:tcBorders>
            <w:shd w:val="clear" w:color="auto" w:fill="auto"/>
            <w:noWrap/>
            <w:vAlign w:val="bottom"/>
            <w:hideMark/>
          </w:tcPr>
          <w:p w14:paraId="1593506F"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1015" w:type="dxa"/>
            <w:tcBorders>
              <w:top w:val="nil"/>
              <w:left w:val="nil"/>
              <w:bottom w:val="single" w:sz="4" w:space="0" w:color="auto"/>
              <w:right w:val="single" w:sz="4" w:space="0" w:color="auto"/>
            </w:tcBorders>
            <w:shd w:val="clear" w:color="000000" w:fill="DAEEF3"/>
            <w:noWrap/>
            <w:vAlign w:val="bottom"/>
            <w:hideMark/>
          </w:tcPr>
          <w:p w14:paraId="4F815F48"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2.489.840</w:t>
            </w:r>
          </w:p>
        </w:tc>
        <w:tc>
          <w:tcPr>
            <w:tcW w:w="891" w:type="dxa"/>
            <w:tcBorders>
              <w:top w:val="nil"/>
              <w:left w:val="nil"/>
              <w:bottom w:val="single" w:sz="4" w:space="0" w:color="auto"/>
              <w:right w:val="single" w:sz="4" w:space="0" w:color="auto"/>
            </w:tcBorders>
            <w:shd w:val="clear" w:color="auto" w:fill="auto"/>
            <w:noWrap/>
            <w:vAlign w:val="bottom"/>
            <w:hideMark/>
          </w:tcPr>
          <w:p w14:paraId="31312666"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748" w:type="dxa"/>
            <w:tcBorders>
              <w:top w:val="nil"/>
              <w:left w:val="nil"/>
              <w:bottom w:val="single" w:sz="4" w:space="0" w:color="auto"/>
              <w:right w:val="single" w:sz="4" w:space="0" w:color="auto"/>
            </w:tcBorders>
            <w:shd w:val="clear" w:color="auto" w:fill="auto"/>
            <w:noWrap/>
            <w:vAlign w:val="bottom"/>
            <w:hideMark/>
          </w:tcPr>
          <w:p w14:paraId="459AD758"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140,7</w:t>
            </w:r>
          </w:p>
        </w:tc>
      </w:tr>
    </w:tbl>
    <w:p w14:paraId="3064B4F6" w14:textId="77777777" w:rsidR="00A155A2" w:rsidRPr="00A33E86" w:rsidRDefault="00A155A2" w:rsidP="00A155A2">
      <w:pPr>
        <w:pStyle w:val="FURSNavaden"/>
        <w:rPr>
          <w:i/>
          <w:sz w:val="18"/>
          <w:szCs w:val="18"/>
        </w:rPr>
      </w:pPr>
      <w:r w:rsidRPr="00850D49">
        <w:rPr>
          <w:i/>
          <w:sz w:val="16"/>
          <w:szCs w:val="16"/>
        </w:rPr>
        <w:t>*</w:t>
      </w:r>
      <w:r>
        <w:rPr>
          <w:i/>
          <w:sz w:val="16"/>
          <w:szCs w:val="16"/>
        </w:rPr>
        <w:t xml:space="preserve"> </w:t>
      </w:r>
      <w:r w:rsidRPr="00A33E86">
        <w:rPr>
          <w:i/>
          <w:sz w:val="18"/>
          <w:szCs w:val="18"/>
        </w:rPr>
        <w:t>Med podatki so zajeta tudi zaprosila, ki se izterjujejo na podlagi sporazuma</w:t>
      </w:r>
      <w:r>
        <w:rPr>
          <w:i/>
          <w:sz w:val="18"/>
          <w:szCs w:val="18"/>
        </w:rPr>
        <w:t xml:space="preserve"> med</w:t>
      </w:r>
      <w:r w:rsidRPr="00A33E86">
        <w:rPr>
          <w:i/>
          <w:sz w:val="18"/>
          <w:szCs w:val="18"/>
        </w:rPr>
        <w:t xml:space="preserve"> Slovenij</w:t>
      </w:r>
      <w:r>
        <w:rPr>
          <w:i/>
          <w:sz w:val="18"/>
          <w:szCs w:val="18"/>
        </w:rPr>
        <w:t>o</w:t>
      </w:r>
      <w:r w:rsidRPr="00A33E86">
        <w:rPr>
          <w:i/>
          <w:sz w:val="18"/>
          <w:szCs w:val="18"/>
        </w:rPr>
        <w:t xml:space="preserve"> </w:t>
      </w:r>
      <w:r>
        <w:rPr>
          <w:i/>
          <w:sz w:val="18"/>
          <w:szCs w:val="18"/>
        </w:rPr>
        <w:t>in</w:t>
      </w:r>
      <w:r w:rsidRPr="00A33E86">
        <w:rPr>
          <w:i/>
          <w:sz w:val="18"/>
          <w:szCs w:val="18"/>
        </w:rPr>
        <w:t xml:space="preserve"> Norvešk</w:t>
      </w:r>
      <w:r>
        <w:rPr>
          <w:i/>
          <w:sz w:val="18"/>
          <w:szCs w:val="18"/>
        </w:rPr>
        <w:t>o</w:t>
      </w:r>
      <w:r w:rsidRPr="00A33E86">
        <w:rPr>
          <w:i/>
          <w:sz w:val="18"/>
          <w:szCs w:val="18"/>
        </w:rPr>
        <w:t xml:space="preserve"> iz davka od dohodka.</w:t>
      </w:r>
    </w:p>
    <w:p w14:paraId="227F02EE"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7DA03BD3"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V letu 2024 je F</w:t>
      </w:r>
      <w:r>
        <w:rPr>
          <w:rFonts w:ascii="Arial" w:hAnsi="Arial" w:cs="Arial"/>
          <w:sz w:val="20"/>
          <w:szCs w:val="20"/>
        </w:rPr>
        <w:t xml:space="preserve">URS </w:t>
      </w:r>
      <w:r w:rsidRPr="00FF23FD">
        <w:rPr>
          <w:rFonts w:ascii="Arial" w:hAnsi="Arial" w:cs="Arial"/>
          <w:sz w:val="20"/>
          <w:szCs w:val="20"/>
        </w:rPr>
        <w:t xml:space="preserve">prejel 390 zaprosil za izterjavo neporavnanih davčnih obveznosti, ki so nastale v drugih državah članicah EU, v </w:t>
      </w:r>
      <w:r>
        <w:rPr>
          <w:rFonts w:ascii="Arial" w:hAnsi="Arial" w:cs="Arial"/>
          <w:sz w:val="20"/>
          <w:szCs w:val="20"/>
        </w:rPr>
        <w:t>vrednosti</w:t>
      </w:r>
      <w:r w:rsidRPr="00FF23FD">
        <w:rPr>
          <w:rFonts w:ascii="Arial" w:hAnsi="Arial" w:cs="Arial"/>
          <w:sz w:val="20"/>
          <w:szCs w:val="20"/>
        </w:rPr>
        <w:t xml:space="preserve"> 13.837.726 </w:t>
      </w:r>
      <w:r>
        <w:rPr>
          <w:rFonts w:ascii="Arial" w:hAnsi="Arial" w:cs="Arial"/>
          <w:sz w:val="20"/>
          <w:szCs w:val="20"/>
        </w:rPr>
        <w:t>EUR</w:t>
      </w:r>
      <w:r w:rsidRPr="00FF23FD">
        <w:rPr>
          <w:rFonts w:ascii="Arial" w:hAnsi="Arial" w:cs="Arial"/>
          <w:sz w:val="20"/>
          <w:szCs w:val="20"/>
        </w:rPr>
        <w:t>. Z namenom izterjave je bilo izdan</w:t>
      </w:r>
      <w:r>
        <w:rPr>
          <w:rFonts w:ascii="Arial" w:hAnsi="Arial" w:cs="Arial"/>
          <w:sz w:val="20"/>
          <w:szCs w:val="20"/>
        </w:rPr>
        <w:t>ih</w:t>
      </w:r>
      <w:r w:rsidRPr="00FF23FD">
        <w:rPr>
          <w:rFonts w:ascii="Arial" w:hAnsi="Arial" w:cs="Arial"/>
          <w:sz w:val="20"/>
          <w:szCs w:val="20"/>
        </w:rPr>
        <w:t xml:space="preserve"> 282 opominov za dolg v </w:t>
      </w:r>
      <w:r>
        <w:rPr>
          <w:rFonts w:ascii="Arial" w:hAnsi="Arial" w:cs="Arial"/>
          <w:sz w:val="20"/>
          <w:szCs w:val="20"/>
        </w:rPr>
        <w:t>znesku</w:t>
      </w:r>
      <w:r w:rsidRPr="00FF23FD">
        <w:rPr>
          <w:rFonts w:ascii="Arial" w:hAnsi="Arial" w:cs="Arial"/>
          <w:sz w:val="20"/>
          <w:szCs w:val="20"/>
        </w:rPr>
        <w:t xml:space="preserve"> 11.822.901 </w:t>
      </w:r>
      <w:r>
        <w:rPr>
          <w:rFonts w:ascii="Arial" w:hAnsi="Arial" w:cs="Arial"/>
          <w:sz w:val="20"/>
          <w:szCs w:val="20"/>
        </w:rPr>
        <w:t>EUR</w:t>
      </w:r>
      <w:r w:rsidRPr="00FF23FD">
        <w:rPr>
          <w:rFonts w:ascii="Arial" w:hAnsi="Arial" w:cs="Arial"/>
          <w:sz w:val="20"/>
          <w:szCs w:val="20"/>
        </w:rPr>
        <w:t xml:space="preserve"> </w:t>
      </w:r>
      <w:r>
        <w:rPr>
          <w:rFonts w:ascii="Arial" w:hAnsi="Arial" w:cs="Arial"/>
          <w:sz w:val="20"/>
          <w:szCs w:val="20"/>
        </w:rPr>
        <w:t>in</w:t>
      </w:r>
      <w:r w:rsidRPr="00FF23FD">
        <w:rPr>
          <w:rFonts w:ascii="Arial" w:hAnsi="Arial" w:cs="Arial"/>
          <w:sz w:val="20"/>
          <w:szCs w:val="20"/>
        </w:rPr>
        <w:t xml:space="preserve"> 71 sklepov o</w:t>
      </w:r>
      <w:r>
        <w:rPr>
          <w:rFonts w:ascii="Arial" w:hAnsi="Arial" w:cs="Arial"/>
          <w:sz w:val="20"/>
          <w:szCs w:val="20"/>
        </w:rPr>
        <w:t xml:space="preserve"> davčni</w:t>
      </w:r>
      <w:r w:rsidRPr="00FF23FD">
        <w:rPr>
          <w:rFonts w:ascii="Arial" w:hAnsi="Arial" w:cs="Arial"/>
          <w:sz w:val="20"/>
          <w:szCs w:val="20"/>
        </w:rPr>
        <w:t xml:space="preserve"> izvršbi </w:t>
      </w:r>
      <w:r>
        <w:rPr>
          <w:rFonts w:ascii="Arial" w:hAnsi="Arial" w:cs="Arial"/>
          <w:sz w:val="20"/>
          <w:szCs w:val="20"/>
        </w:rPr>
        <w:t>za</w:t>
      </w:r>
      <w:r w:rsidRPr="00FF23FD">
        <w:rPr>
          <w:rFonts w:ascii="Arial" w:hAnsi="Arial" w:cs="Arial"/>
          <w:sz w:val="20"/>
          <w:szCs w:val="20"/>
        </w:rPr>
        <w:t xml:space="preserve"> dolg v </w:t>
      </w:r>
      <w:r>
        <w:rPr>
          <w:rFonts w:ascii="Arial" w:hAnsi="Arial" w:cs="Arial"/>
          <w:sz w:val="20"/>
          <w:szCs w:val="20"/>
        </w:rPr>
        <w:t>vrednosti</w:t>
      </w:r>
      <w:r w:rsidRPr="00FF23FD">
        <w:rPr>
          <w:rFonts w:ascii="Arial" w:hAnsi="Arial" w:cs="Arial"/>
          <w:sz w:val="20"/>
          <w:szCs w:val="20"/>
        </w:rPr>
        <w:t xml:space="preserve"> 4.370.764 </w:t>
      </w:r>
      <w:r>
        <w:rPr>
          <w:rFonts w:ascii="Arial" w:hAnsi="Arial" w:cs="Arial"/>
          <w:sz w:val="20"/>
          <w:szCs w:val="20"/>
        </w:rPr>
        <w:t>EUR</w:t>
      </w:r>
      <w:r w:rsidRPr="00FF23FD">
        <w:rPr>
          <w:rFonts w:ascii="Arial" w:hAnsi="Arial" w:cs="Arial"/>
          <w:sz w:val="20"/>
          <w:szCs w:val="20"/>
        </w:rPr>
        <w:t>. Na podlagi izvedenih ukrepov je bilo izterjan</w:t>
      </w:r>
      <w:r>
        <w:rPr>
          <w:rFonts w:ascii="Arial" w:hAnsi="Arial" w:cs="Arial"/>
          <w:sz w:val="20"/>
          <w:szCs w:val="20"/>
        </w:rPr>
        <w:t>ih</w:t>
      </w:r>
      <w:r w:rsidRPr="00FF23FD">
        <w:rPr>
          <w:rFonts w:ascii="Arial" w:hAnsi="Arial" w:cs="Arial"/>
          <w:sz w:val="20"/>
          <w:szCs w:val="20"/>
        </w:rPr>
        <w:t xml:space="preserve"> 2.489.840 </w:t>
      </w:r>
      <w:r>
        <w:rPr>
          <w:rFonts w:ascii="Arial" w:hAnsi="Arial" w:cs="Arial"/>
          <w:sz w:val="20"/>
          <w:szCs w:val="20"/>
        </w:rPr>
        <w:t>EUR</w:t>
      </w:r>
      <w:r w:rsidRPr="00FF23FD">
        <w:rPr>
          <w:rFonts w:ascii="Arial" w:hAnsi="Arial" w:cs="Arial"/>
          <w:sz w:val="20"/>
          <w:szCs w:val="20"/>
        </w:rPr>
        <w:t xml:space="preserve"> dolga. </w:t>
      </w:r>
    </w:p>
    <w:p w14:paraId="072405EB"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 xml:space="preserve">Prejeto je bilo tudi </w:t>
      </w:r>
      <w:r>
        <w:rPr>
          <w:rFonts w:ascii="Arial" w:hAnsi="Arial" w:cs="Arial"/>
          <w:sz w:val="20"/>
          <w:szCs w:val="20"/>
        </w:rPr>
        <w:t>eno</w:t>
      </w:r>
      <w:r w:rsidRPr="00FF23FD">
        <w:rPr>
          <w:rFonts w:ascii="Arial" w:hAnsi="Arial" w:cs="Arial"/>
          <w:sz w:val="20"/>
          <w:szCs w:val="20"/>
        </w:rPr>
        <w:t xml:space="preserve"> zaprosilo za zavarovanje plačila davčnih obveznosti v </w:t>
      </w:r>
      <w:r>
        <w:rPr>
          <w:rFonts w:ascii="Arial" w:hAnsi="Arial" w:cs="Arial"/>
          <w:sz w:val="20"/>
          <w:szCs w:val="20"/>
        </w:rPr>
        <w:t>znesku</w:t>
      </w:r>
      <w:r w:rsidRPr="00FF23FD">
        <w:rPr>
          <w:rFonts w:ascii="Arial" w:hAnsi="Arial" w:cs="Arial"/>
          <w:sz w:val="20"/>
          <w:szCs w:val="20"/>
        </w:rPr>
        <w:t xml:space="preserve"> 934.169 </w:t>
      </w:r>
      <w:r>
        <w:rPr>
          <w:rFonts w:ascii="Arial" w:hAnsi="Arial" w:cs="Arial"/>
          <w:sz w:val="20"/>
          <w:szCs w:val="20"/>
        </w:rPr>
        <w:t>EUR</w:t>
      </w:r>
      <w:r w:rsidRPr="00FF23FD">
        <w:rPr>
          <w:rFonts w:ascii="Arial" w:hAnsi="Arial" w:cs="Arial"/>
          <w:sz w:val="20"/>
          <w:szCs w:val="20"/>
        </w:rPr>
        <w:t>. P</w:t>
      </w:r>
      <w:r>
        <w:rPr>
          <w:rFonts w:ascii="Arial" w:hAnsi="Arial" w:cs="Arial"/>
          <w:sz w:val="20"/>
          <w:szCs w:val="20"/>
        </w:rPr>
        <w:t>oleg tega</w:t>
      </w:r>
      <w:r w:rsidRPr="00FF23FD">
        <w:rPr>
          <w:rFonts w:ascii="Arial" w:hAnsi="Arial" w:cs="Arial"/>
          <w:sz w:val="20"/>
          <w:szCs w:val="20"/>
        </w:rPr>
        <w:t xml:space="preserve"> je bilo v izvršitev prejetih 226 zaprosil za podatke in 11 zaprosil za vročitev akta, ki se nanaša na davščino </w:t>
      </w:r>
      <w:r>
        <w:rPr>
          <w:rFonts w:ascii="Arial" w:hAnsi="Arial" w:cs="Arial"/>
          <w:sz w:val="20"/>
          <w:szCs w:val="20"/>
        </w:rPr>
        <w:t>ali</w:t>
      </w:r>
      <w:r w:rsidRPr="00FF23FD">
        <w:rPr>
          <w:rFonts w:ascii="Arial" w:hAnsi="Arial" w:cs="Arial"/>
          <w:sz w:val="20"/>
          <w:szCs w:val="20"/>
        </w:rPr>
        <w:t xml:space="preserve"> njeno izterjavo. </w:t>
      </w:r>
    </w:p>
    <w:p w14:paraId="0C03AA04"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 xml:space="preserve">V povezavi z učinkovitostjo mednarodne izterjave </w:t>
      </w:r>
      <w:r>
        <w:rPr>
          <w:rFonts w:ascii="Arial" w:hAnsi="Arial" w:cs="Arial"/>
          <w:sz w:val="20"/>
          <w:szCs w:val="20"/>
        </w:rPr>
        <w:t>kaže</w:t>
      </w:r>
      <w:r w:rsidRPr="00FF23FD">
        <w:rPr>
          <w:rFonts w:ascii="Arial" w:hAnsi="Arial" w:cs="Arial"/>
          <w:sz w:val="20"/>
          <w:szCs w:val="20"/>
        </w:rPr>
        <w:t xml:space="preserve"> pojasniti, da je po pravilih mednarodne upravne pomoči pri izterjavi davščin pred </w:t>
      </w:r>
      <w:r>
        <w:rPr>
          <w:rFonts w:ascii="Arial" w:hAnsi="Arial" w:cs="Arial"/>
          <w:sz w:val="20"/>
          <w:szCs w:val="20"/>
        </w:rPr>
        <w:t>predložitvijo</w:t>
      </w:r>
      <w:r w:rsidRPr="00FF23FD">
        <w:rPr>
          <w:rFonts w:ascii="Arial" w:hAnsi="Arial" w:cs="Arial"/>
          <w:sz w:val="20"/>
          <w:szCs w:val="20"/>
        </w:rPr>
        <w:t xml:space="preserve"> zaprosila za izterjavo v drugo državo članico EU </w:t>
      </w:r>
      <w:r>
        <w:rPr>
          <w:rFonts w:ascii="Arial" w:hAnsi="Arial" w:cs="Arial"/>
          <w:sz w:val="20"/>
          <w:szCs w:val="20"/>
        </w:rPr>
        <w:t>treba</w:t>
      </w:r>
      <w:r w:rsidRPr="00FF23FD">
        <w:rPr>
          <w:rFonts w:ascii="Arial" w:hAnsi="Arial" w:cs="Arial"/>
          <w:sz w:val="20"/>
          <w:szCs w:val="20"/>
        </w:rPr>
        <w:t xml:space="preserve"> izvesti vse postopke izterjave v državi prosilki. Zaprosila za izterjavo se tako </w:t>
      </w:r>
      <w:r>
        <w:rPr>
          <w:rFonts w:ascii="Arial" w:hAnsi="Arial" w:cs="Arial"/>
          <w:sz w:val="20"/>
          <w:szCs w:val="20"/>
        </w:rPr>
        <w:t xml:space="preserve">lahko </w:t>
      </w:r>
      <w:r w:rsidRPr="00FF23FD">
        <w:rPr>
          <w:rFonts w:ascii="Arial" w:hAnsi="Arial" w:cs="Arial"/>
          <w:sz w:val="20"/>
          <w:szCs w:val="20"/>
        </w:rPr>
        <w:t xml:space="preserve">v zaprošeno državo praviloma </w:t>
      </w:r>
      <w:r>
        <w:rPr>
          <w:rFonts w:ascii="Arial" w:hAnsi="Arial" w:cs="Arial"/>
          <w:sz w:val="20"/>
          <w:szCs w:val="20"/>
        </w:rPr>
        <w:t>pošljejo</w:t>
      </w:r>
      <w:r w:rsidRPr="00FF23FD">
        <w:rPr>
          <w:rFonts w:ascii="Arial" w:hAnsi="Arial" w:cs="Arial"/>
          <w:sz w:val="20"/>
          <w:szCs w:val="20"/>
        </w:rPr>
        <w:t xml:space="preserve"> </w:t>
      </w:r>
      <w:r>
        <w:rPr>
          <w:rFonts w:ascii="Arial" w:hAnsi="Arial" w:cs="Arial"/>
          <w:sz w:val="20"/>
          <w:szCs w:val="20"/>
        </w:rPr>
        <w:t>z</w:t>
      </w:r>
      <w:r w:rsidRPr="00FF23FD">
        <w:rPr>
          <w:rFonts w:ascii="Arial" w:hAnsi="Arial" w:cs="Arial"/>
          <w:sz w:val="20"/>
          <w:szCs w:val="20"/>
        </w:rPr>
        <w:t xml:space="preserve"> zamikom, kar zmanjšuje učinkovitost izterjave v tej državi. Učinkovitost izterjave je </w:t>
      </w:r>
      <w:r w:rsidRPr="009A1AE3">
        <w:rPr>
          <w:rFonts w:ascii="Arial" w:hAnsi="Arial" w:cs="Arial"/>
          <w:sz w:val="20"/>
          <w:szCs w:val="20"/>
        </w:rPr>
        <w:t>odvisna predvsem od premoženjskega</w:t>
      </w:r>
      <w:r w:rsidRPr="00FF23FD">
        <w:rPr>
          <w:rFonts w:ascii="Arial" w:hAnsi="Arial" w:cs="Arial"/>
          <w:sz w:val="20"/>
          <w:szCs w:val="20"/>
        </w:rPr>
        <w:t xml:space="preserve"> stanja dolžnika (ki pogosto nima premoženja, na kater</w:t>
      </w:r>
      <w:r>
        <w:rPr>
          <w:rFonts w:ascii="Arial" w:hAnsi="Arial" w:cs="Arial"/>
          <w:sz w:val="20"/>
          <w:szCs w:val="20"/>
        </w:rPr>
        <w:t>o</w:t>
      </w:r>
      <w:r w:rsidRPr="00FF23FD">
        <w:rPr>
          <w:rFonts w:ascii="Arial" w:hAnsi="Arial" w:cs="Arial"/>
          <w:sz w:val="20"/>
          <w:szCs w:val="20"/>
        </w:rPr>
        <w:t xml:space="preserve"> bi bilo mogoče poseči)</w:t>
      </w:r>
      <w:r>
        <w:rPr>
          <w:rFonts w:ascii="Arial" w:hAnsi="Arial" w:cs="Arial"/>
          <w:sz w:val="20"/>
          <w:szCs w:val="20"/>
        </w:rPr>
        <w:t>,</w:t>
      </w:r>
      <w:r w:rsidRPr="00FF23FD">
        <w:rPr>
          <w:rFonts w:ascii="Arial" w:hAnsi="Arial" w:cs="Arial"/>
          <w:sz w:val="20"/>
          <w:szCs w:val="20"/>
        </w:rPr>
        <w:t xml:space="preserve"> </w:t>
      </w:r>
      <w:r>
        <w:rPr>
          <w:rFonts w:ascii="Arial" w:hAnsi="Arial" w:cs="Arial"/>
          <w:sz w:val="20"/>
          <w:szCs w:val="20"/>
        </w:rPr>
        <w:t>navs</w:t>
      </w:r>
      <w:r w:rsidRPr="00FF23FD">
        <w:rPr>
          <w:rFonts w:ascii="Arial" w:hAnsi="Arial" w:cs="Arial"/>
          <w:sz w:val="20"/>
          <w:szCs w:val="20"/>
        </w:rPr>
        <w:t xml:space="preserve">ezadnje pa k </w:t>
      </w:r>
      <w:r>
        <w:rPr>
          <w:rFonts w:ascii="Arial" w:hAnsi="Arial" w:cs="Arial"/>
          <w:sz w:val="20"/>
          <w:szCs w:val="20"/>
        </w:rPr>
        <w:t>manjši</w:t>
      </w:r>
      <w:r w:rsidRPr="00FF23FD">
        <w:rPr>
          <w:rFonts w:ascii="Arial" w:hAnsi="Arial" w:cs="Arial"/>
          <w:sz w:val="20"/>
          <w:szCs w:val="20"/>
        </w:rPr>
        <w:t xml:space="preserve"> učinkovitosti </w:t>
      </w:r>
      <w:r w:rsidRPr="009A1AE3">
        <w:rPr>
          <w:rFonts w:ascii="Arial" w:hAnsi="Arial" w:cs="Arial"/>
          <w:sz w:val="20"/>
          <w:szCs w:val="20"/>
        </w:rPr>
        <w:t>pripomorejo tudi različni</w:t>
      </w:r>
      <w:r w:rsidRPr="00FF23FD">
        <w:rPr>
          <w:rFonts w:ascii="Arial" w:hAnsi="Arial" w:cs="Arial"/>
          <w:sz w:val="20"/>
          <w:szCs w:val="20"/>
        </w:rPr>
        <w:t xml:space="preserve"> pravni predpisi in organiz</w:t>
      </w:r>
      <w:r>
        <w:rPr>
          <w:rFonts w:ascii="Arial" w:hAnsi="Arial" w:cs="Arial"/>
          <w:sz w:val="20"/>
          <w:szCs w:val="20"/>
        </w:rPr>
        <w:t>iranost</w:t>
      </w:r>
      <w:r w:rsidRPr="00FF23FD">
        <w:rPr>
          <w:rFonts w:ascii="Arial" w:hAnsi="Arial" w:cs="Arial"/>
          <w:sz w:val="20"/>
          <w:szCs w:val="20"/>
        </w:rPr>
        <w:t xml:space="preserve"> izvajanja nalog izterjave v državah članicah EU. </w:t>
      </w:r>
    </w:p>
    <w:p w14:paraId="039E244A" w14:textId="77777777" w:rsidR="00A155A2" w:rsidRDefault="00A155A2" w:rsidP="00A155A2">
      <w:pPr>
        <w:jc w:val="both"/>
        <w:rPr>
          <w:rFonts w:ascii="Arial" w:hAnsi="Arial" w:cs="Arial"/>
          <w:sz w:val="20"/>
          <w:szCs w:val="20"/>
        </w:rPr>
      </w:pPr>
      <w:r w:rsidRPr="00721DA2">
        <w:rPr>
          <w:rFonts w:ascii="Arial" w:hAnsi="Arial" w:cs="Arial"/>
          <w:sz w:val="20"/>
          <w:szCs w:val="20"/>
        </w:rPr>
        <w:t xml:space="preserve">Tudi če dolžnik ima premoženje, mora namreč pristojni davčni organ države članice EU, ki vodi postopek izterjave, upoštevati zakonske ovire za začetek </w:t>
      </w:r>
      <w:r>
        <w:rPr>
          <w:rFonts w:ascii="Arial" w:hAnsi="Arial" w:cs="Arial"/>
          <w:sz w:val="20"/>
          <w:szCs w:val="20"/>
        </w:rPr>
        <w:t>in</w:t>
      </w:r>
      <w:r w:rsidRPr="00721DA2">
        <w:rPr>
          <w:rFonts w:ascii="Arial" w:hAnsi="Arial" w:cs="Arial"/>
          <w:sz w:val="20"/>
          <w:szCs w:val="20"/>
        </w:rPr>
        <w:t xml:space="preserve"> vodenje postopka izvršbe ter pravila o omejitvah in izvzetjih iz izvršbe. Davčne izvršbe tako ni dovoljeno začeti niti nadaljevati že začetega postopka, če je bil zoper dolžnika začet kateri od postopkov zaradi insolventnosti. Prav tako je treb</w:t>
      </w:r>
      <w:r>
        <w:rPr>
          <w:rFonts w:ascii="Arial" w:hAnsi="Arial" w:cs="Arial"/>
          <w:sz w:val="20"/>
          <w:szCs w:val="20"/>
        </w:rPr>
        <w:t>a</w:t>
      </w:r>
      <w:r w:rsidRPr="00721DA2">
        <w:rPr>
          <w:rFonts w:ascii="Arial" w:hAnsi="Arial" w:cs="Arial"/>
          <w:sz w:val="20"/>
          <w:szCs w:val="20"/>
        </w:rPr>
        <w:t xml:space="preserve"> v postopkih upoštevati pravila o izvzetjih iz izvršbe in o omejitvah izvršbe. Vrsta premoženja, na katero zaradi varovanja osnovne eksistence dolžnika z izvršbo sploh ni dopustno poseči, je v posameznih državah članicah EU različno določena. </w:t>
      </w:r>
    </w:p>
    <w:p w14:paraId="64E2CD46" w14:textId="77777777" w:rsidR="00A155A2" w:rsidRPr="00FF23FD" w:rsidRDefault="00A155A2" w:rsidP="00A155A2">
      <w:pPr>
        <w:jc w:val="both"/>
        <w:rPr>
          <w:rFonts w:ascii="Arial" w:hAnsi="Arial" w:cs="Arial"/>
          <w:sz w:val="20"/>
          <w:szCs w:val="20"/>
        </w:rPr>
      </w:pPr>
      <w:r w:rsidRPr="00721DA2">
        <w:rPr>
          <w:rFonts w:ascii="Arial" w:hAnsi="Arial" w:cs="Arial"/>
          <w:sz w:val="20"/>
          <w:szCs w:val="20"/>
        </w:rPr>
        <w:lastRenderedPageBreak/>
        <w:t>Enako velja za višino tako imenovanega varovanega zneska stalnih denarnih prejemkov, ki mora dolžniku ostati kljub izvršbi</w:t>
      </w:r>
      <w:r>
        <w:rPr>
          <w:rFonts w:ascii="Arial" w:hAnsi="Arial" w:cs="Arial"/>
          <w:sz w:val="20"/>
          <w:szCs w:val="20"/>
        </w:rPr>
        <w:t>. Ta</w:t>
      </w:r>
      <w:r w:rsidRPr="00721DA2">
        <w:rPr>
          <w:rFonts w:ascii="Arial" w:hAnsi="Arial" w:cs="Arial"/>
          <w:sz w:val="20"/>
          <w:szCs w:val="20"/>
        </w:rPr>
        <w:t xml:space="preserve"> je praviloma v drugih državah članicah EU višji od osnovnega varovanega zneska, ki velja v Sloveniji (v letu 2024 je ta </w:t>
      </w:r>
      <w:r>
        <w:rPr>
          <w:rFonts w:ascii="Arial" w:hAnsi="Arial" w:cs="Arial"/>
          <w:sz w:val="20"/>
          <w:szCs w:val="20"/>
        </w:rPr>
        <w:t>obsegal</w:t>
      </w:r>
      <w:r w:rsidRPr="00721DA2">
        <w:rPr>
          <w:rFonts w:ascii="Arial" w:hAnsi="Arial" w:cs="Arial"/>
          <w:sz w:val="20"/>
          <w:szCs w:val="20"/>
        </w:rPr>
        <w:t xml:space="preserve"> 952,94 EUR). Poleg tega se zaradi zahtevnosti in dolgotrajnosti </w:t>
      </w:r>
      <w:r w:rsidRPr="007021DC">
        <w:rPr>
          <w:rFonts w:ascii="Arial" w:hAnsi="Arial" w:cs="Arial"/>
          <w:sz w:val="20"/>
          <w:szCs w:val="20"/>
        </w:rPr>
        <w:t>postopkov izterjave zaprosila pogosto izvajajo</w:t>
      </w:r>
      <w:r w:rsidRPr="00625281">
        <w:rPr>
          <w:rFonts w:ascii="Arial" w:hAnsi="Arial" w:cs="Arial"/>
          <w:sz w:val="20"/>
          <w:szCs w:val="20"/>
        </w:rPr>
        <w:t xml:space="preserve"> </w:t>
      </w:r>
      <w:r w:rsidRPr="003B3E72">
        <w:rPr>
          <w:rFonts w:ascii="Arial" w:hAnsi="Arial" w:cs="Arial"/>
          <w:sz w:val="20"/>
          <w:szCs w:val="20"/>
        </w:rPr>
        <w:t>več le</w:t>
      </w:r>
      <w:r w:rsidRPr="007021DC">
        <w:rPr>
          <w:rFonts w:ascii="Arial" w:hAnsi="Arial" w:cs="Arial"/>
          <w:sz w:val="20"/>
          <w:szCs w:val="20"/>
        </w:rPr>
        <w:t>t, s čimer so tudi učinki izterjave razporejeni na večletno obdobje.</w:t>
      </w:r>
      <w:r w:rsidRPr="00FF23FD">
        <w:rPr>
          <w:rFonts w:ascii="Arial" w:hAnsi="Arial" w:cs="Arial"/>
          <w:sz w:val="20"/>
          <w:szCs w:val="20"/>
        </w:rPr>
        <w:t xml:space="preserve"> </w:t>
      </w:r>
    </w:p>
    <w:p w14:paraId="6BE9DE94"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 xml:space="preserve">Glede na daljše </w:t>
      </w:r>
      <w:r w:rsidRPr="007021DC">
        <w:rPr>
          <w:rFonts w:ascii="Arial" w:hAnsi="Arial" w:cs="Arial"/>
          <w:sz w:val="20"/>
          <w:szCs w:val="20"/>
        </w:rPr>
        <w:t>obdobje izvrševanj</w:t>
      </w:r>
      <w:r w:rsidRPr="00625281">
        <w:rPr>
          <w:rFonts w:ascii="Arial" w:hAnsi="Arial" w:cs="Arial"/>
          <w:sz w:val="20"/>
          <w:szCs w:val="20"/>
        </w:rPr>
        <w:t>a</w:t>
      </w:r>
      <w:r w:rsidRPr="003B3E72">
        <w:rPr>
          <w:rFonts w:ascii="Arial" w:hAnsi="Arial" w:cs="Arial"/>
          <w:sz w:val="20"/>
          <w:szCs w:val="20"/>
        </w:rPr>
        <w:t xml:space="preserve"> posameznih</w:t>
      </w:r>
      <w:r w:rsidRPr="00FF23FD">
        <w:rPr>
          <w:rFonts w:ascii="Arial" w:hAnsi="Arial" w:cs="Arial"/>
          <w:sz w:val="20"/>
          <w:szCs w:val="20"/>
        </w:rPr>
        <w:t xml:space="preserve"> zaprosil je </w:t>
      </w:r>
      <w:r w:rsidRPr="007021DC">
        <w:rPr>
          <w:rFonts w:ascii="Arial" w:hAnsi="Arial" w:cs="Arial"/>
          <w:sz w:val="20"/>
          <w:szCs w:val="20"/>
        </w:rPr>
        <w:t>F</w:t>
      </w:r>
      <w:r w:rsidRPr="00625281">
        <w:rPr>
          <w:rFonts w:ascii="Arial" w:hAnsi="Arial" w:cs="Arial"/>
          <w:sz w:val="20"/>
          <w:szCs w:val="20"/>
        </w:rPr>
        <w:t xml:space="preserve">URS </w:t>
      </w:r>
      <w:r w:rsidRPr="003B3E72">
        <w:rPr>
          <w:rFonts w:ascii="Arial" w:hAnsi="Arial" w:cs="Arial"/>
          <w:sz w:val="20"/>
          <w:szCs w:val="20"/>
        </w:rPr>
        <w:t xml:space="preserve">v letu 2024 poleg </w:t>
      </w:r>
      <w:proofErr w:type="spellStart"/>
      <w:r w:rsidRPr="003B3E72">
        <w:rPr>
          <w:rFonts w:ascii="Arial" w:hAnsi="Arial" w:cs="Arial"/>
          <w:sz w:val="20"/>
          <w:szCs w:val="20"/>
        </w:rPr>
        <w:t>novo</w:t>
      </w:r>
      <w:r w:rsidRPr="007021DC">
        <w:rPr>
          <w:rFonts w:ascii="Arial" w:hAnsi="Arial" w:cs="Arial"/>
          <w:sz w:val="20"/>
          <w:szCs w:val="20"/>
        </w:rPr>
        <w:t>prejetih</w:t>
      </w:r>
      <w:proofErr w:type="spellEnd"/>
      <w:r w:rsidRPr="007021DC">
        <w:rPr>
          <w:rFonts w:ascii="Arial" w:hAnsi="Arial" w:cs="Arial"/>
          <w:sz w:val="20"/>
          <w:szCs w:val="20"/>
        </w:rPr>
        <w:t xml:space="preserve"> zaprosil obravnaval tudi 6.705 poizvedb oziroma poročil, povezanih z izvrševanjem</w:t>
      </w:r>
      <w:r w:rsidRPr="00FF23FD">
        <w:rPr>
          <w:rFonts w:ascii="Arial" w:hAnsi="Arial" w:cs="Arial"/>
          <w:sz w:val="20"/>
          <w:szCs w:val="20"/>
        </w:rPr>
        <w:t xml:space="preserve"> prejetih in poslanih zaprosil iz </w:t>
      </w:r>
      <w:r>
        <w:rPr>
          <w:rFonts w:ascii="Arial" w:hAnsi="Arial" w:cs="Arial"/>
          <w:sz w:val="20"/>
          <w:szCs w:val="20"/>
        </w:rPr>
        <w:t>prejšnjih</w:t>
      </w:r>
      <w:r w:rsidRPr="00FF23FD">
        <w:rPr>
          <w:rFonts w:ascii="Arial" w:hAnsi="Arial" w:cs="Arial"/>
          <w:sz w:val="20"/>
          <w:szCs w:val="20"/>
        </w:rPr>
        <w:t xml:space="preserve"> let.</w:t>
      </w:r>
    </w:p>
    <w:p w14:paraId="060CC00A"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F</w:t>
      </w:r>
      <w:r>
        <w:rPr>
          <w:rFonts w:ascii="Arial" w:hAnsi="Arial" w:cs="Arial"/>
          <w:sz w:val="20"/>
          <w:szCs w:val="20"/>
        </w:rPr>
        <w:t xml:space="preserve">URS </w:t>
      </w:r>
      <w:r w:rsidRPr="00FF23FD">
        <w:rPr>
          <w:rFonts w:ascii="Arial" w:hAnsi="Arial" w:cs="Arial"/>
          <w:sz w:val="20"/>
          <w:szCs w:val="20"/>
        </w:rPr>
        <w:t xml:space="preserve">je na podlagi Uredbe (ES) št. 883/2004 o koordinaciji sistemov socialne varnosti in Izvedbene </w:t>
      </w:r>
      <w:r>
        <w:rPr>
          <w:rFonts w:ascii="Arial" w:hAnsi="Arial" w:cs="Arial"/>
          <w:sz w:val="20"/>
          <w:szCs w:val="20"/>
        </w:rPr>
        <w:t>u</w:t>
      </w:r>
      <w:r w:rsidRPr="00FF23FD">
        <w:rPr>
          <w:rFonts w:ascii="Arial" w:hAnsi="Arial" w:cs="Arial"/>
          <w:sz w:val="20"/>
          <w:szCs w:val="20"/>
        </w:rPr>
        <w:t>redbe (ES) št. 987/2009 nosilcem socialne varnosti v Sloveniji v letu 2024 pos</w:t>
      </w:r>
      <w:r>
        <w:rPr>
          <w:rFonts w:ascii="Arial" w:hAnsi="Arial" w:cs="Arial"/>
          <w:sz w:val="20"/>
          <w:szCs w:val="20"/>
        </w:rPr>
        <w:t xml:space="preserve">lal </w:t>
      </w:r>
      <w:r w:rsidRPr="00FF23FD">
        <w:rPr>
          <w:rFonts w:ascii="Arial" w:hAnsi="Arial" w:cs="Arial"/>
          <w:sz w:val="20"/>
          <w:szCs w:val="20"/>
        </w:rPr>
        <w:t>1.304 predlog</w:t>
      </w:r>
      <w:r>
        <w:rPr>
          <w:rFonts w:ascii="Arial" w:hAnsi="Arial" w:cs="Arial"/>
          <w:sz w:val="20"/>
          <w:szCs w:val="20"/>
        </w:rPr>
        <w:t>e</w:t>
      </w:r>
      <w:r w:rsidRPr="00FF23FD">
        <w:rPr>
          <w:rFonts w:ascii="Arial" w:hAnsi="Arial" w:cs="Arial"/>
          <w:sz w:val="20"/>
          <w:szCs w:val="20"/>
        </w:rPr>
        <w:t xml:space="preserve"> za izterjavo prispevkov za socialno varnost v skupni </w:t>
      </w:r>
      <w:r>
        <w:rPr>
          <w:rFonts w:ascii="Arial" w:hAnsi="Arial" w:cs="Arial"/>
          <w:sz w:val="20"/>
          <w:szCs w:val="20"/>
        </w:rPr>
        <w:t>vrednosti</w:t>
      </w:r>
      <w:r w:rsidRPr="00FF23FD">
        <w:rPr>
          <w:rFonts w:ascii="Arial" w:hAnsi="Arial" w:cs="Arial"/>
          <w:sz w:val="20"/>
          <w:szCs w:val="20"/>
        </w:rPr>
        <w:t xml:space="preserve"> 9.698.529 </w:t>
      </w:r>
      <w:r>
        <w:rPr>
          <w:rFonts w:ascii="Arial" w:hAnsi="Arial" w:cs="Arial"/>
          <w:sz w:val="20"/>
          <w:szCs w:val="20"/>
        </w:rPr>
        <w:t>EUR</w:t>
      </w:r>
      <w:r w:rsidRPr="00FF23FD">
        <w:rPr>
          <w:rFonts w:ascii="Arial" w:hAnsi="Arial" w:cs="Arial"/>
          <w:sz w:val="20"/>
          <w:szCs w:val="20"/>
        </w:rPr>
        <w:t xml:space="preserve"> ter prejel</w:t>
      </w:r>
      <w:r>
        <w:rPr>
          <w:rFonts w:ascii="Arial" w:hAnsi="Arial" w:cs="Arial"/>
          <w:sz w:val="20"/>
          <w:szCs w:val="20"/>
        </w:rPr>
        <w:t xml:space="preserve"> za</w:t>
      </w:r>
      <w:r w:rsidRPr="00FF23FD">
        <w:rPr>
          <w:rFonts w:ascii="Arial" w:hAnsi="Arial" w:cs="Arial"/>
          <w:sz w:val="20"/>
          <w:szCs w:val="20"/>
        </w:rPr>
        <w:t xml:space="preserve"> 517.182 </w:t>
      </w:r>
      <w:r>
        <w:rPr>
          <w:rFonts w:ascii="Arial" w:hAnsi="Arial" w:cs="Arial"/>
          <w:sz w:val="20"/>
          <w:szCs w:val="20"/>
        </w:rPr>
        <w:t>EUR</w:t>
      </w:r>
      <w:r w:rsidRPr="00FF23FD">
        <w:rPr>
          <w:rFonts w:ascii="Arial" w:hAnsi="Arial" w:cs="Arial"/>
          <w:sz w:val="20"/>
          <w:szCs w:val="20"/>
        </w:rPr>
        <w:t xml:space="preserve"> plačil.</w:t>
      </w:r>
    </w:p>
    <w:p w14:paraId="3230053E" w14:textId="77777777" w:rsidR="00A155A2" w:rsidRDefault="00A155A2" w:rsidP="00A155A2">
      <w:pPr>
        <w:pStyle w:val="FURSNavaden"/>
        <w:rPr>
          <w:rFonts w:eastAsia="Times New Roman" w:cs="Arial"/>
          <w:i/>
          <w:szCs w:val="20"/>
        </w:rPr>
      </w:pPr>
      <w:r w:rsidRPr="009F62ED">
        <w:rPr>
          <w:rFonts w:eastAsia="Times New Roman" w:cs="Arial"/>
          <w:i/>
          <w:szCs w:val="20"/>
        </w:rPr>
        <w:t>Preglednica 2</w:t>
      </w:r>
      <w:r>
        <w:rPr>
          <w:rFonts w:eastAsia="Times New Roman" w:cs="Arial"/>
          <w:i/>
          <w:szCs w:val="20"/>
        </w:rPr>
        <w:t>2</w:t>
      </w:r>
      <w:r w:rsidRPr="009F62ED">
        <w:rPr>
          <w:rFonts w:eastAsia="Times New Roman" w:cs="Arial"/>
          <w:i/>
          <w:szCs w:val="20"/>
        </w:rPr>
        <w:t xml:space="preserve">: Predlogi za izterjavo prispevkov, ki jih je FURS </w:t>
      </w:r>
      <w:r>
        <w:rPr>
          <w:rFonts w:eastAsia="Times New Roman" w:cs="Arial"/>
          <w:i/>
          <w:szCs w:val="20"/>
        </w:rPr>
        <w:t>predložil</w:t>
      </w:r>
      <w:r w:rsidRPr="009F62ED">
        <w:rPr>
          <w:rFonts w:eastAsia="Times New Roman" w:cs="Arial"/>
          <w:i/>
          <w:szCs w:val="20"/>
        </w:rPr>
        <w:t xml:space="preserve"> nosilcem socialne varnosti </w:t>
      </w:r>
    </w:p>
    <w:p w14:paraId="7745EB8B" w14:textId="77777777" w:rsidR="00A155A2" w:rsidRDefault="00A155A2" w:rsidP="00A155A2">
      <w:pPr>
        <w:pStyle w:val="FURSNavaden"/>
        <w:rPr>
          <w:rFonts w:eastAsia="Times New Roman" w:cs="Arial"/>
          <w:iCs/>
          <w:szCs w:val="20"/>
        </w:rPr>
      </w:pPr>
    </w:p>
    <w:tbl>
      <w:tblPr>
        <w:tblW w:w="8750" w:type="dxa"/>
        <w:tblCellMar>
          <w:left w:w="70" w:type="dxa"/>
          <w:right w:w="70" w:type="dxa"/>
        </w:tblCellMar>
        <w:tblLook w:val="04A0" w:firstRow="1" w:lastRow="0" w:firstColumn="1" w:lastColumn="0" w:noHBand="0" w:noVBand="1"/>
      </w:tblPr>
      <w:tblGrid>
        <w:gridCol w:w="946"/>
        <w:gridCol w:w="1513"/>
        <w:gridCol w:w="1070"/>
        <w:gridCol w:w="1023"/>
        <w:gridCol w:w="1180"/>
        <w:gridCol w:w="1006"/>
        <w:gridCol w:w="772"/>
        <w:gridCol w:w="1240"/>
      </w:tblGrid>
      <w:tr w:rsidR="00A155A2" w:rsidRPr="00FF23FD" w14:paraId="49571176" w14:textId="77777777" w:rsidTr="001C77D2">
        <w:trPr>
          <w:trHeight w:val="302"/>
        </w:trPr>
        <w:tc>
          <w:tcPr>
            <w:tcW w:w="946" w:type="dxa"/>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14:paraId="506A3366"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Nosilec socialne varnosti</w:t>
            </w:r>
          </w:p>
        </w:tc>
        <w:tc>
          <w:tcPr>
            <w:tcW w:w="1513" w:type="dxa"/>
            <w:tcBorders>
              <w:top w:val="single" w:sz="4" w:space="0" w:color="auto"/>
              <w:left w:val="nil"/>
              <w:bottom w:val="single" w:sz="4" w:space="0" w:color="auto"/>
              <w:right w:val="single" w:sz="4" w:space="0" w:color="auto"/>
            </w:tcBorders>
            <w:shd w:val="clear" w:color="000000" w:fill="31869B"/>
            <w:vAlign w:val="center"/>
            <w:hideMark/>
          </w:tcPr>
          <w:p w14:paraId="1542AC4B"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w:t>
            </w:r>
          </w:p>
        </w:tc>
        <w:tc>
          <w:tcPr>
            <w:tcW w:w="2093" w:type="dxa"/>
            <w:gridSpan w:val="2"/>
            <w:tcBorders>
              <w:top w:val="single" w:sz="4" w:space="0" w:color="auto"/>
              <w:left w:val="nil"/>
              <w:bottom w:val="single" w:sz="4" w:space="0" w:color="auto"/>
              <w:right w:val="single" w:sz="4" w:space="0" w:color="auto"/>
            </w:tcBorders>
            <w:shd w:val="clear" w:color="000000" w:fill="31869B"/>
            <w:vAlign w:val="center"/>
            <w:hideMark/>
          </w:tcPr>
          <w:p w14:paraId="39D883BA"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2023</w:t>
            </w:r>
          </w:p>
        </w:tc>
        <w:tc>
          <w:tcPr>
            <w:tcW w:w="2186" w:type="dxa"/>
            <w:gridSpan w:val="2"/>
            <w:tcBorders>
              <w:top w:val="single" w:sz="4" w:space="0" w:color="auto"/>
              <w:left w:val="nil"/>
              <w:bottom w:val="single" w:sz="4" w:space="0" w:color="auto"/>
              <w:right w:val="single" w:sz="4" w:space="0" w:color="auto"/>
            </w:tcBorders>
            <w:shd w:val="clear" w:color="000000" w:fill="31869B"/>
            <w:noWrap/>
            <w:vAlign w:val="center"/>
            <w:hideMark/>
          </w:tcPr>
          <w:p w14:paraId="42423F2D"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2024</w:t>
            </w:r>
          </w:p>
        </w:tc>
        <w:tc>
          <w:tcPr>
            <w:tcW w:w="2012" w:type="dxa"/>
            <w:gridSpan w:val="2"/>
            <w:tcBorders>
              <w:top w:val="single" w:sz="4" w:space="0" w:color="auto"/>
              <w:left w:val="nil"/>
              <w:bottom w:val="single" w:sz="4" w:space="0" w:color="auto"/>
              <w:right w:val="single" w:sz="4" w:space="0" w:color="auto"/>
            </w:tcBorders>
            <w:shd w:val="clear" w:color="000000" w:fill="31869B"/>
            <w:vAlign w:val="center"/>
            <w:hideMark/>
          </w:tcPr>
          <w:p w14:paraId="027E7B91"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2023</w:t>
            </w:r>
          </w:p>
        </w:tc>
      </w:tr>
      <w:tr w:rsidR="00A155A2" w:rsidRPr="00FF23FD" w14:paraId="2DBF7DF3" w14:textId="77777777" w:rsidTr="001C77D2">
        <w:trPr>
          <w:trHeight w:val="606"/>
        </w:trPr>
        <w:tc>
          <w:tcPr>
            <w:tcW w:w="946" w:type="dxa"/>
            <w:vMerge/>
            <w:tcBorders>
              <w:top w:val="single" w:sz="4" w:space="0" w:color="auto"/>
              <w:left w:val="single" w:sz="4" w:space="0" w:color="auto"/>
              <w:bottom w:val="single" w:sz="4" w:space="0" w:color="auto"/>
              <w:right w:val="single" w:sz="4" w:space="0" w:color="auto"/>
            </w:tcBorders>
            <w:vAlign w:val="center"/>
            <w:hideMark/>
          </w:tcPr>
          <w:p w14:paraId="2C45C705" w14:textId="77777777" w:rsidR="00A155A2" w:rsidRPr="00FF23FD" w:rsidRDefault="00A155A2" w:rsidP="001C77D2">
            <w:pPr>
              <w:spacing w:line="240" w:lineRule="auto"/>
              <w:rPr>
                <w:rFonts w:ascii="Arial" w:eastAsia="Times New Roman" w:hAnsi="Arial" w:cs="Arial"/>
                <w:b/>
                <w:bCs/>
                <w:color w:val="FFFFFF"/>
                <w:sz w:val="18"/>
                <w:szCs w:val="18"/>
                <w:lang w:eastAsia="sl-SI"/>
              </w:rPr>
            </w:pPr>
          </w:p>
        </w:tc>
        <w:tc>
          <w:tcPr>
            <w:tcW w:w="1513" w:type="dxa"/>
            <w:tcBorders>
              <w:top w:val="nil"/>
              <w:left w:val="nil"/>
              <w:bottom w:val="single" w:sz="4" w:space="0" w:color="auto"/>
              <w:right w:val="single" w:sz="4" w:space="0" w:color="auto"/>
            </w:tcBorders>
            <w:shd w:val="clear" w:color="000000" w:fill="31869B"/>
            <w:vAlign w:val="center"/>
            <w:hideMark/>
          </w:tcPr>
          <w:p w14:paraId="0BF0CB8F"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Število </w:t>
            </w:r>
            <w:r w:rsidRPr="007021DC">
              <w:rPr>
                <w:rFonts w:ascii="Arial" w:eastAsia="Times New Roman" w:hAnsi="Arial" w:cs="Arial"/>
                <w:b/>
                <w:bCs/>
                <w:color w:val="FFFFFF"/>
                <w:sz w:val="18"/>
                <w:szCs w:val="18"/>
                <w:lang w:eastAsia="sl-SI"/>
              </w:rPr>
              <w:t>predlogov/ prejeta</w:t>
            </w:r>
            <w:r w:rsidRPr="00FF23FD">
              <w:rPr>
                <w:rFonts w:ascii="Arial" w:eastAsia="Times New Roman" w:hAnsi="Arial" w:cs="Arial"/>
                <w:b/>
                <w:bCs/>
                <w:color w:val="FFFFFF"/>
                <w:sz w:val="18"/>
                <w:szCs w:val="18"/>
                <w:lang w:eastAsia="sl-SI"/>
              </w:rPr>
              <w:t xml:space="preserve"> plačila</w:t>
            </w:r>
          </w:p>
        </w:tc>
        <w:tc>
          <w:tcPr>
            <w:tcW w:w="1070" w:type="dxa"/>
            <w:tcBorders>
              <w:top w:val="nil"/>
              <w:left w:val="nil"/>
              <w:bottom w:val="single" w:sz="4" w:space="0" w:color="auto"/>
              <w:right w:val="single" w:sz="4" w:space="0" w:color="auto"/>
            </w:tcBorders>
            <w:shd w:val="clear" w:color="000000" w:fill="31869B"/>
            <w:vAlign w:val="center"/>
            <w:hideMark/>
          </w:tcPr>
          <w:p w14:paraId="2FBDDE07"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1022" w:type="dxa"/>
            <w:tcBorders>
              <w:top w:val="nil"/>
              <w:left w:val="nil"/>
              <w:bottom w:val="single" w:sz="4" w:space="0" w:color="auto"/>
              <w:right w:val="single" w:sz="4" w:space="0" w:color="auto"/>
            </w:tcBorders>
            <w:shd w:val="clear" w:color="000000" w:fill="31869B"/>
            <w:vAlign w:val="center"/>
            <w:hideMark/>
          </w:tcPr>
          <w:p w14:paraId="21FB8B69"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FF23FD">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1180" w:type="dxa"/>
            <w:tcBorders>
              <w:top w:val="nil"/>
              <w:left w:val="nil"/>
              <w:bottom w:val="single" w:sz="4" w:space="0" w:color="auto"/>
              <w:right w:val="single" w:sz="4" w:space="0" w:color="auto"/>
            </w:tcBorders>
            <w:shd w:val="clear" w:color="000000" w:fill="31869B"/>
            <w:vAlign w:val="center"/>
            <w:hideMark/>
          </w:tcPr>
          <w:p w14:paraId="4A1FFEF4"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1005" w:type="dxa"/>
            <w:tcBorders>
              <w:top w:val="nil"/>
              <w:left w:val="nil"/>
              <w:bottom w:val="single" w:sz="4" w:space="0" w:color="auto"/>
              <w:right w:val="single" w:sz="4" w:space="0" w:color="auto"/>
            </w:tcBorders>
            <w:shd w:val="clear" w:color="000000" w:fill="31869B"/>
            <w:vAlign w:val="center"/>
            <w:hideMark/>
          </w:tcPr>
          <w:p w14:paraId="4884BF3E"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7021DC">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7021DC">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772" w:type="dxa"/>
            <w:tcBorders>
              <w:top w:val="nil"/>
              <w:left w:val="nil"/>
              <w:bottom w:val="single" w:sz="4" w:space="0" w:color="auto"/>
              <w:right w:val="single" w:sz="4" w:space="0" w:color="auto"/>
            </w:tcBorders>
            <w:shd w:val="clear" w:color="000000" w:fill="31869B"/>
            <w:vAlign w:val="center"/>
            <w:hideMark/>
          </w:tcPr>
          <w:p w14:paraId="27A976E1"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1239" w:type="dxa"/>
            <w:tcBorders>
              <w:top w:val="nil"/>
              <w:left w:val="nil"/>
              <w:bottom w:val="single" w:sz="4" w:space="0" w:color="auto"/>
              <w:right w:val="single" w:sz="4" w:space="0" w:color="auto"/>
            </w:tcBorders>
            <w:shd w:val="clear" w:color="000000" w:fill="31869B"/>
            <w:vAlign w:val="center"/>
            <w:hideMark/>
          </w:tcPr>
          <w:p w14:paraId="2B4268E9"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73026E">
              <w:rPr>
                <w:rFonts w:ascii="Arial" w:eastAsia="Times New Roman" w:hAnsi="Arial" w:cs="Arial"/>
                <w:b/>
                <w:bCs/>
                <w:color w:val="FFFFFF"/>
                <w:sz w:val="18"/>
                <w:szCs w:val="18"/>
                <w:lang w:eastAsia="sl-SI"/>
              </w:rPr>
              <w:t>Znesek</w:t>
            </w:r>
            <w:r w:rsidRPr="00FF23FD">
              <w:rPr>
                <w:rFonts w:ascii="Arial" w:eastAsia="Times New Roman" w:hAnsi="Arial" w:cs="Arial"/>
                <w:b/>
                <w:bCs/>
                <w:color w:val="FFFFFF"/>
                <w:sz w:val="18"/>
                <w:szCs w:val="18"/>
                <w:lang w:eastAsia="sl-SI"/>
              </w:rPr>
              <w:t xml:space="preserve"> </w:t>
            </w:r>
          </w:p>
        </w:tc>
      </w:tr>
      <w:tr w:rsidR="00A155A2" w:rsidRPr="00FF23FD" w14:paraId="0E062A75" w14:textId="77777777" w:rsidTr="001C77D2">
        <w:trPr>
          <w:trHeight w:val="240"/>
        </w:trPr>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264F9BCF" w14:textId="77777777" w:rsidR="00A155A2" w:rsidRPr="00FF23FD" w:rsidRDefault="00A155A2" w:rsidP="001C77D2">
            <w:pPr>
              <w:spacing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ZPIZ</w:t>
            </w:r>
          </w:p>
        </w:tc>
        <w:tc>
          <w:tcPr>
            <w:tcW w:w="1513" w:type="dxa"/>
            <w:tcBorders>
              <w:top w:val="nil"/>
              <w:left w:val="nil"/>
              <w:bottom w:val="single" w:sz="4" w:space="0" w:color="auto"/>
              <w:right w:val="single" w:sz="4" w:space="0" w:color="auto"/>
            </w:tcBorders>
            <w:shd w:val="clear" w:color="auto" w:fill="auto"/>
            <w:vAlign w:val="center"/>
            <w:hideMark/>
          </w:tcPr>
          <w:p w14:paraId="57192772"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Pos</w:t>
            </w:r>
            <w:r>
              <w:rPr>
                <w:rFonts w:ascii="Arial" w:eastAsia="Times New Roman" w:hAnsi="Arial" w:cs="Arial"/>
                <w:color w:val="000000"/>
                <w:sz w:val="18"/>
                <w:szCs w:val="18"/>
                <w:lang w:eastAsia="sl-SI"/>
              </w:rPr>
              <w:t xml:space="preserve">lani </w:t>
            </w:r>
            <w:r w:rsidRPr="00FF23FD">
              <w:rPr>
                <w:rFonts w:ascii="Arial" w:eastAsia="Times New Roman" w:hAnsi="Arial" w:cs="Arial"/>
                <w:color w:val="000000"/>
                <w:sz w:val="18"/>
                <w:szCs w:val="18"/>
                <w:lang w:eastAsia="sl-SI"/>
              </w:rPr>
              <w:t>predlogi</w:t>
            </w:r>
          </w:p>
        </w:tc>
        <w:tc>
          <w:tcPr>
            <w:tcW w:w="1070" w:type="dxa"/>
            <w:tcBorders>
              <w:top w:val="nil"/>
              <w:left w:val="nil"/>
              <w:bottom w:val="single" w:sz="4" w:space="0" w:color="auto"/>
              <w:right w:val="single" w:sz="4" w:space="0" w:color="auto"/>
            </w:tcBorders>
            <w:shd w:val="clear" w:color="auto" w:fill="auto"/>
            <w:noWrap/>
            <w:vAlign w:val="center"/>
            <w:hideMark/>
          </w:tcPr>
          <w:p w14:paraId="7B0B12A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509</w:t>
            </w:r>
          </w:p>
        </w:tc>
        <w:tc>
          <w:tcPr>
            <w:tcW w:w="1022" w:type="dxa"/>
            <w:tcBorders>
              <w:top w:val="nil"/>
              <w:left w:val="nil"/>
              <w:bottom w:val="single" w:sz="4" w:space="0" w:color="auto"/>
              <w:right w:val="single" w:sz="4" w:space="0" w:color="auto"/>
            </w:tcBorders>
            <w:shd w:val="clear" w:color="000000" w:fill="DAEEF3"/>
            <w:noWrap/>
            <w:vAlign w:val="center"/>
            <w:hideMark/>
          </w:tcPr>
          <w:p w14:paraId="72D8AE58"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4.478.638</w:t>
            </w:r>
          </w:p>
        </w:tc>
        <w:tc>
          <w:tcPr>
            <w:tcW w:w="1180" w:type="dxa"/>
            <w:tcBorders>
              <w:top w:val="nil"/>
              <w:left w:val="nil"/>
              <w:bottom w:val="single" w:sz="4" w:space="0" w:color="auto"/>
              <w:right w:val="single" w:sz="4" w:space="0" w:color="auto"/>
            </w:tcBorders>
            <w:shd w:val="clear" w:color="auto" w:fill="auto"/>
            <w:noWrap/>
            <w:vAlign w:val="center"/>
            <w:hideMark/>
          </w:tcPr>
          <w:p w14:paraId="7DA5600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703</w:t>
            </w:r>
          </w:p>
        </w:tc>
        <w:tc>
          <w:tcPr>
            <w:tcW w:w="1005" w:type="dxa"/>
            <w:tcBorders>
              <w:top w:val="nil"/>
              <w:left w:val="nil"/>
              <w:bottom w:val="single" w:sz="4" w:space="0" w:color="auto"/>
              <w:right w:val="single" w:sz="4" w:space="0" w:color="auto"/>
            </w:tcBorders>
            <w:shd w:val="clear" w:color="000000" w:fill="DAEEF3"/>
            <w:noWrap/>
            <w:vAlign w:val="center"/>
            <w:hideMark/>
          </w:tcPr>
          <w:p w14:paraId="4C61C25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6.348.306</w:t>
            </w:r>
          </w:p>
        </w:tc>
        <w:tc>
          <w:tcPr>
            <w:tcW w:w="772" w:type="dxa"/>
            <w:tcBorders>
              <w:top w:val="nil"/>
              <w:left w:val="nil"/>
              <w:bottom w:val="single" w:sz="4" w:space="0" w:color="auto"/>
              <w:right w:val="single" w:sz="4" w:space="0" w:color="auto"/>
            </w:tcBorders>
            <w:shd w:val="clear" w:color="auto" w:fill="auto"/>
            <w:noWrap/>
            <w:vAlign w:val="center"/>
            <w:hideMark/>
          </w:tcPr>
          <w:p w14:paraId="5D693655"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138,11</w:t>
            </w:r>
          </w:p>
        </w:tc>
        <w:tc>
          <w:tcPr>
            <w:tcW w:w="1239" w:type="dxa"/>
            <w:tcBorders>
              <w:top w:val="nil"/>
              <w:left w:val="nil"/>
              <w:bottom w:val="single" w:sz="4" w:space="0" w:color="auto"/>
              <w:right w:val="single" w:sz="4" w:space="0" w:color="auto"/>
            </w:tcBorders>
            <w:shd w:val="clear" w:color="auto" w:fill="auto"/>
            <w:noWrap/>
            <w:vAlign w:val="center"/>
            <w:hideMark/>
          </w:tcPr>
          <w:p w14:paraId="28563399"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141,75</w:t>
            </w:r>
          </w:p>
        </w:tc>
      </w:tr>
      <w:tr w:rsidR="00A155A2" w:rsidRPr="00FF23FD" w14:paraId="338DC51B" w14:textId="77777777" w:rsidTr="001C77D2">
        <w:trPr>
          <w:trHeight w:val="141"/>
        </w:trPr>
        <w:tc>
          <w:tcPr>
            <w:tcW w:w="946" w:type="dxa"/>
            <w:vMerge/>
            <w:tcBorders>
              <w:top w:val="nil"/>
              <w:left w:val="single" w:sz="4" w:space="0" w:color="auto"/>
              <w:bottom w:val="single" w:sz="4" w:space="0" w:color="auto"/>
              <w:right w:val="single" w:sz="4" w:space="0" w:color="auto"/>
            </w:tcBorders>
            <w:vAlign w:val="center"/>
            <w:hideMark/>
          </w:tcPr>
          <w:p w14:paraId="1D9794FC"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13" w:type="dxa"/>
            <w:tcBorders>
              <w:top w:val="nil"/>
              <w:left w:val="nil"/>
              <w:bottom w:val="single" w:sz="4" w:space="0" w:color="auto"/>
              <w:right w:val="single" w:sz="4" w:space="0" w:color="auto"/>
            </w:tcBorders>
            <w:shd w:val="clear" w:color="auto" w:fill="auto"/>
            <w:vAlign w:val="center"/>
            <w:hideMark/>
          </w:tcPr>
          <w:p w14:paraId="5B3B5027"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1070" w:type="dxa"/>
            <w:tcBorders>
              <w:top w:val="nil"/>
              <w:left w:val="nil"/>
              <w:bottom w:val="single" w:sz="4" w:space="0" w:color="auto"/>
              <w:right w:val="single" w:sz="4" w:space="0" w:color="auto"/>
            </w:tcBorders>
            <w:shd w:val="clear" w:color="auto" w:fill="auto"/>
            <w:noWrap/>
            <w:vAlign w:val="center"/>
            <w:hideMark/>
          </w:tcPr>
          <w:p w14:paraId="0D7EC263"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022" w:type="dxa"/>
            <w:tcBorders>
              <w:top w:val="nil"/>
              <w:left w:val="nil"/>
              <w:bottom w:val="single" w:sz="4" w:space="0" w:color="auto"/>
              <w:right w:val="single" w:sz="4" w:space="0" w:color="auto"/>
            </w:tcBorders>
            <w:shd w:val="clear" w:color="000000" w:fill="DAEEF3"/>
            <w:noWrap/>
            <w:vAlign w:val="center"/>
            <w:hideMark/>
          </w:tcPr>
          <w:p w14:paraId="52F3F7C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291.681</w:t>
            </w:r>
          </w:p>
        </w:tc>
        <w:tc>
          <w:tcPr>
            <w:tcW w:w="1180" w:type="dxa"/>
            <w:tcBorders>
              <w:top w:val="nil"/>
              <w:left w:val="nil"/>
              <w:bottom w:val="single" w:sz="4" w:space="0" w:color="auto"/>
              <w:right w:val="single" w:sz="4" w:space="0" w:color="auto"/>
            </w:tcBorders>
            <w:shd w:val="clear" w:color="auto" w:fill="auto"/>
            <w:noWrap/>
            <w:vAlign w:val="center"/>
            <w:hideMark/>
          </w:tcPr>
          <w:p w14:paraId="74746BE5"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005" w:type="dxa"/>
            <w:tcBorders>
              <w:top w:val="nil"/>
              <w:left w:val="nil"/>
              <w:bottom w:val="single" w:sz="4" w:space="0" w:color="auto"/>
              <w:right w:val="single" w:sz="4" w:space="0" w:color="auto"/>
            </w:tcBorders>
            <w:shd w:val="clear" w:color="000000" w:fill="DAEEF3"/>
            <w:noWrap/>
            <w:vAlign w:val="center"/>
            <w:hideMark/>
          </w:tcPr>
          <w:p w14:paraId="315C26A7"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341.223</w:t>
            </w:r>
          </w:p>
        </w:tc>
        <w:tc>
          <w:tcPr>
            <w:tcW w:w="772" w:type="dxa"/>
            <w:tcBorders>
              <w:top w:val="nil"/>
              <w:left w:val="nil"/>
              <w:bottom w:val="single" w:sz="4" w:space="0" w:color="auto"/>
              <w:right w:val="single" w:sz="4" w:space="0" w:color="auto"/>
            </w:tcBorders>
            <w:shd w:val="clear" w:color="auto" w:fill="auto"/>
            <w:noWrap/>
            <w:vAlign w:val="center"/>
            <w:hideMark/>
          </w:tcPr>
          <w:p w14:paraId="3743B54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239" w:type="dxa"/>
            <w:tcBorders>
              <w:top w:val="nil"/>
              <w:left w:val="nil"/>
              <w:bottom w:val="single" w:sz="4" w:space="0" w:color="auto"/>
              <w:right w:val="single" w:sz="4" w:space="0" w:color="auto"/>
            </w:tcBorders>
            <w:shd w:val="clear" w:color="auto" w:fill="auto"/>
            <w:noWrap/>
            <w:vAlign w:val="center"/>
            <w:hideMark/>
          </w:tcPr>
          <w:p w14:paraId="3B8D3742"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r>
      <w:tr w:rsidR="00A155A2" w:rsidRPr="00FF23FD" w14:paraId="0F97A8B2" w14:textId="77777777" w:rsidTr="001C77D2">
        <w:trPr>
          <w:trHeight w:val="240"/>
        </w:trPr>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60CF6663" w14:textId="77777777" w:rsidR="00A155A2" w:rsidRPr="00FF23FD" w:rsidRDefault="00A155A2" w:rsidP="001C77D2">
            <w:pPr>
              <w:spacing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ZZZS</w:t>
            </w:r>
          </w:p>
        </w:tc>
        <w:tc>
          <w:tcPr>
            <w:tcW w:w="1513" w:type="dxa"/>
            <w:tcBorders>
              <w:top w:val="nil"/>
              <w:left w:val="nil"/>
              <w:bottom w:val="single" w:sz="4" w:space="0" w:color="auto"/>
              <w:right w:val="single" w:sz="4" w:space="0" w:color="auto"/>
            </w:tcBorders>
            <w:shd w:val="clear" w:color="auto" w:fill="auto"/>
            <w:vAlign w:val="center"/>
            <w:hideMark/>
          </w:tcPr>
          <w:p w14:paraId="0F97CC0B"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Pos</w:t>
            </w:r>
            <w:r>
              <w:rPr>
                <w:rFonts w:ascii="Arial" w:eastAsia="Times New Roman" w:hAnsi="Arial" w:cs="Arial"/>
                <w:color w:val="000000"/>
                <w:sz w:val="18"/>
                <w:szCs w:val="18"/>
                <w:lang w:eastAsia="sl-SI"/>
              </w:rPr>
              <w:t>lani</w:t>
            </w:r>
            <w:r w:rsidRPr="00FF23FD">
              <w:rPr>
                <w:rFonts w:ascii="Arial" w:eastAsia="Times New Roman" w:hAnsi="Arial" w:cs="Arial"/>
                <w:color w:val="000000"/>
                <w:sz w:val="18"/>
                <w:szCs w:val="18"/>
                <w:lang w:eastAsia="sl-SI"/>
              </w:rPr>
              <w:t xml:space="preserve"> predlogi</w:t>
            </w:r>
          </w:p>
        </w:tc>
        <w:tc>
          <w:tcPr>
            <w:tcW w:w="1070" w:type="dxa"/>
            <w:tcBorders>
              <w:top w:val="nil"/>
              <w:left w:val="nil"/>
              <w:bottom w:val="single" w:sz="4" w:space="0" w:color="auto"/>
              <w:right w:val="single" w:sz="4" w:space="0" w:color="auto"/>
            </w:tcBorders>
            <w:shd w:val="clear" w:color="auto" w:fill="auto"/>
            <w:noWrap/>
            <w:vAlign w:val="center"/>
            <w:hideMark/>
          </w:tcPr>
          <w:p w14:paraId="4D7B80E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428</w:t>
            </w:r>
          </w:p>
        </w:tc>
        <w:tc>
          <w:tcPr>
            <w:tcW w:w="1022" w:type="dxa"/>
            <w:tcBorders>
              <w:top w:val="nil"/>
              <w:left w:val="nil"/>
              <w:bottom w:val="single" w:sz="4" w:space="0" w:color="auto"/>
              <w:right w:val="single" w:sz="4" w:space="0" w:color="auto"/>
            </w:tcBorders>
            <w:shd w:val="clear" w:color="000000" w:fill="DAEEF3"/>
            <w:noWrap/>
            <w:vAlign w:val="center"/>
            <w:hideMark/>
          </w:tcPr>
          <w:p w14:paraId="160E40D8"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2.333.994</w:t>
            </w:r>
          </w:p>
        </w:tc>
        <w:tc>
          <w:tcPr>
            <w:tcW w:w="1180" w:type="dxa"/>
            <w:tcBorders>
              <w:top w:val="nil"/>
              <w:left w:val="nil"/>
              <w:bottom w:val="single" w:sz="4" w:space="0" w:color="auto"/>
              <w:right w:val="single" w:sz="4" w:space="0" w:color="auto"/>
            </w:tcBorders>
            <w:shd w:val="clear" w:color="auto" w:fill="auto"/>
            <w:noWrap/>
            <w:vAlign w:val="center"/>
            <w:hideMark/>
          </w:tcPr>
          <w:p w14:paraId="3BDA672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601</w:t>
            </w:r>
          </w:p>
        </w:tc>
        <w:tc>
          <w:tcPr>
            <w:tcW w:w="1005" w:type="dxa"/>
            <w:tcBorders>
              <w:top w:val="nil"/>
              <w:left w:val="nil"/>
              <w:bottom w:val="single" w:sz="4" w:space="0" w:color="auto"/>
              <w:right w:val="single" w:sz="4" w:space="0" w:color="auto"/>
            </w:tcBorders>
            <w:shd w:val="clear" w:color="000000" w:fill="DAEEF3"/>
            <w:noWrap/>
            <w:vAlign w:val="center"/>
            <w:hideMark/>
          </w:tcPr>
          <w:p w14:paraId="44B3FDFD"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3.350.223</w:t>
            </w:r>
          </w:p>
        </w:tc>
        <w:tc>
          <w:tcPr>
            <w:tcW w:w="772" w:type="dxa"/>
            <w:tcBorders>
              <w:top w:val="nil"/>
              <w:left w:val="nil"/>
              <w:bottom w:val="single" w:sz="4" w:space="0" w:color="auto"/>
              <w:right w:val="single" w:sz="4" w:space="0" w:color="auto"/>
            </w:tcBorders>
            <w:shd w:val="clear" w:color="auto" w:fill="auto"/>
            <w:noWrap/>
            <w:vAlign w:val="center"/>
            <w:hideMark/>
          </w:tcPr>
          <w:p w14:paraId="48239CF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140,42</w:t>
            </w:r>
          </w:p>
        </w:tc>
        <w:tc>
          <w:tcPr>
            <w:tcW w:w="1239" w:type="dxa"/>
            <w:tcBorders>
              <w:top w:val="nil"/>
              <w:left w:val="nil"/>
              <w:bottom w:val="single" w:sz="4" w:space="0" w:color="auto"/>
              <w:right w:val="single" w:sz="4" w:space="0" w:color="auto"/>
            </w:tcBorders>
            <w:shd w:val="clear" w:color="auto" w:fill="auto"/>
            <w:noWrap/>
            <w:vAlign w:val="center"/>
            <w:hideMark/>
          </w:tcPr>
          <w:p w14:paraId="19488EB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143,54</w:t>
            </w:r>
          </w:p>
        </w:tc>
      </w:tr>
      <w:tr w:rsidR="00A155A2" w:rsidRPr="00FF23FD" w14:paraId="09C2C357" w14:textId="77777777" w:rsidTr="001C77D2">
        <w:trPr>
          <w:trHeight w:val="141"/>
        </w:trPr>
        <w:tc>
          <w:tcPr>
            <w:tcW w:w="946" w:type="dxa"/>
            <w:vMerge/>
            <w:tcBorders>
              <w:top w:val="nil"/>
              <w:left w:val="single" w:sz="4" w:space="0" w:color="auto"/>
              <w:bottom w:val="single" w:sz="4" w:space="0" w:color="auto"/>
              <w:right w:val="single" w:sz="4" w:space="0" w:color="auto"/>
            </w:tcBorders>
            <w:vAlign w:val="center"/>
            <w:hideMark/>
          </w:tcPr>
          <w:p w14:paraId="482F8091"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13" w:type="dxa"/>
            <w:tcBorders>
              <w:top w:val="nil"/>
              <w:left w:val="nil"/>
              <w:bottom w:val="single" w:sz="4" w:space="0" w:color="auto"/>
              <w:right w:val="single" w:sz="4" w:space="0" w:color="auto"/>
            </w:tcBorders>
            <w:shd w:val="clear" w:color="auto" w:fill="auto"/>
            <w:vAlign w:val="center"/>
            <w:hideMark/>
          </w:tcPr>
          <w:p w14:paraId="61641497"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1070" w:type="dxa"/>
            <w:tcBorders>
              <w:top w:val="nil"/>
              <w:left w:val="nil"/>
              <w:bottom w:val="single" w:sz="4" w:space="0" w:color="auto"/>
              <w:right w:val="single" w:sz="4" w:space="0" w:color="auto"/>
            </w:tcBorders>
            <w:shd w:val="clear" w:color="auto" w:fill="auto"/>
            <w:noWrap/>
            <w:vAlign w:val="center"/>
            <w:hideMark/>
          </w:tcPr>
          <w:p w14:paraId="5776BD7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022" w:type="dxa"/>
            <w:tcBorders>
              <w:top w:val="nil"/>
              <w:left w:val="nil"/>
              <w:bottom w:val="single" w:sz="4" w:space="0" w:color="auto"/>
              <w:right w:val="single" w:sz="4" w:space="0" w:color="auto"/>
            </w:tcBorders>
            <w:shd w:val="clear" w:color="000000" w:fill="DAEEF3"/>
            <w:noWrap/>
            <w:vAlign w:val="center"/>
            <w:hideMark/>
          </w:tcPr>
          <w:p w14:paraId="01508669"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130.946</w:t>
            </w:r>
          </w:p>
        </w:tc>
        <w:tc>
          <w:tcPr>
            <w:tcW w:w="1180" w:type="dxa"/>
            <w:tcBorders>
              <w:top w:val="nil"/>
              <w:left w:val="nil"/>
              <w:bottom w:val="single" w:sz="4" w:space="0" w:color="auto"/>
              <w:right w:val="single" w:sz="4" w:space="0" w:color="auto"/>
            </w:tcBorders>
            <w:shd w:val="clear" w:color="auto" w:fill="auto"/>
            <w:noWrap/>
            <w:vAlign w:val="center"/>
            <w:hideMark/>
          </w:tcPr>
          <w:p w14:paraId="09411262"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005" w:type="dxa"/>
            <w:tcBorders>
              <w:top w:val="nil"/>
              <w:left w:val="nil"/>
              <w:bottom w:val="single" w:sz="4" w:space="0" w:color="auto"/>
              <w:right w:val="single" w:sz="4" w:space="0" w:color="auto"/>
            </w:tcBorders>
            <w:shd w:val="clear" w:color="000000" w:fill="DAEEF3"/>
            <w:noWrap/>
            <w:vAlign w:val="center"/>
            <w:hideMark/>
          </w:tcPr>
          <w:p w14:paraId="206B01D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175.959</w:t>
            </w:r>
          </w:p>
        </w:tc>
        <w:tc>
          <w:tcPr>
            <w:tcW w:w="772" w:type="dxa"/>
            <w:tcBorders>
              <w:top w:val="nil"/>
              <w:left w:val="nil"/>
              <w:bottom w:val="single" w:sz="4" w:space="0" w:color="auto"/>
              <w:right w:val="single" w:sz="4" w:space="0" w:color="auto"/>
            </w:tcBorders>
            <w:shd w:val="clear" w:color="auto" w:fill="auto"/>
            <w:noWrap/>
            <w:vAlign w:val="center"/>
            <w:hideMark/>
          </w:tcPr>
          <w:p w14:paraId="4432319E"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239" w:type="dxa"/>
            <w:tcBorders>
              <w:top w:val="nil"/>
              <w:left w:val="nil"/>
              <w:bottom w:val="single" w:sz="4" w:space="0" w:color="auto"/>
              <w:right w:val="single" w:sz="4" w:space="0" w:color="auto"/>
            </w:tcBorders>
            <w:shd w:val="clear" w:color="auto" w:fill="auto"/>
            <w:noWrap/>
            <w:vAlign w:val="center"/>
            <w:hideMark/>
          </w:tcPr>
          <w:p w14:paraId="54A6457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134,38</w:t>
            </w:r>
          </w:p>
        </w:tc>
      </w:tr>
      <w:tr w:rsidR="00A155A2" w:rsidRPr="00FF23FD" w14:paraId="05FEAE0F" w14:textId="77777777" w:rsidTr="001C77D2">
        <w:trPr>
          <w:trHeight w:val="240"/>
        </w:trPr>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0FCC986E"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MDDSZ</w:t>
            </w:r>
          </w:p>
        </w:tc>
        <w:tc>
          <w:tcPr>
            <w:tcW w:w="1513" w:type="dxa"/>
            <w:tcBorders>
              <w:top w:val="nil"/>
              <w:left w:val="nil"/>
              <w:bottom w:val="single" w:sz="4" w:space="0" w:color="auto"/>
              <w:right w:val="single" w:sz="4" w:space="0" w:color="auto"/>
            </w:tcBorders>
            <w:shd w:val="clear" w:color="auto" w:fill="auto"/>
            <w:vAlign w:val="center"/>
            <w:hideMark/>
          </w:tcPr>
          <w:p w14:paraId="370073CD"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Pos</w:t>
            </w:r>
            <w:r>
              <w:rPr>
                <w:rFonts w:ascii="Arial" w:eastAsia="Times New Roman" w:hAnsi="Arial" w:cs="Arial"/>
                <w:color w:val="000000"/>
                <w:sz w:val="18"/>
                <w:szCs w:val="18"/>
                <w:lang w:eastAsia="sl-SI"/>
              </w:rPr>
              <w:t>lani</w:t>
            </w:r>
            <w:r w:rsidRPr="00FF23FD">
              <w:rPr>
                <w:rFonts w:ascii="Arial" w:eastAsia="Times New Roman" w:hAnsi="Arial" w:cs="Arial"/>
                <w:color w:val="000000"/>
                <w:sz w:val="18"/>
                <w:szCs w:val="18"/>
                <w:lang w:eastAsia="sl-SI"/>
              </w:rPr>
              <w:t xml:space="preserve"> predlogi</w:t>
            </w:r>
          </w:p>
        </w:tc>
        <w:tc>
          <w:tcPr>
            <w:tcW w:w="1070" w:type="dxa"/>
            <w:tcBorders>
              <w:top w:val="nil"/>
              <w:left w:val="nil"/>
              <w:bottom w:val="single" w:sz="4" w:space="0" w:color="auto"/>
              <w:right w:val="single" w:sz="4" w:space="0" w:color="auto"/>
            </w:tcBorders>
            <w:shd w:val="clear" w:color="auto" w:fill="auto"/>
            <w:noWrap/>
            <w:vAlign w:val="center"/>
            <w:hideMark/>
          </w:tcPr>
          <w:p w14:paraId="2767500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0</w:t>
            </w:r>
          </w:p>
        </w:tc>
        <w:tc>
          <w:tcPr>
            <w:tcW w:w="1022" w:type="dxa"/>
            <w:tcBorders>
              <w:top w:val="nil"/>
              <w:left w:val="nil"/>
              <w:bottom w:val="single" w:sz="4" w:space="0" w:color="auto"/>
              <w:right w:val="single" w:sz="4" w:space="0" w:color="auto"/>
            </w:tcBorders>
            <w:shd w:val="clear" w:color="000000" w:fill="DAEEF3"/>
            <w:noWrap/>
            <w:vAlign w:val="center"/>
            <w:hideMark/>
          </w:tcPr>
          <w:p w14:paraId="4175B3C5"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0</w:t>
            </w:r>
          </w:p>
        </w:tc>
        <w:tc>
          <w:tcPr>
            <w:tcW w:w="1180" w:type="dxa"/>
            <w:tcBorders>
              <w:top w:val="nil"/>
              <w:left w:val="nil"/>
              <w:bottom w:val="single" w:sz="4" w:space="0" w:color="auto"/>
              <w:right w:val="single" w:sz="4" w:space="0" w:color="auto"/>
            </w:tcBorders>
            <w:shd w:val="clear" w:color="auto" w:fill="auto"/>
            <w:noWrap/>
            <w:vAlign w:val="center"/>
            <w:hideMark/>
          </w:tcPr>
          <w:p w14:paraId="5B7E723E"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0</w:t>
            </w:r>
          </w:p>
        </w:tc>
        <w:tc>
          <w:tcPr>
            <w:tcW w:w="1005" w:type="dxa"/>
            <w:tcBorders>
              <w:top w:val="nil"/>
              <w:left w:val="nil"/>
              <w:bottom w:val="single" w:sz="4" w:space="0" w:color="auto"/>
              <w:right w:val="single" w:sz="4" w:space="0" w:color="auto"/>
            </w:tcBorders>
            <w:shd w:val="clear" w:color="000000" w:fill="DAEEF3"/>
            <w:noWrap/>
            <w:vAlign w:val="center"/>
            <w:hideMark/>
          </w:tcPr>
          <w:p w14:paraId="1CF1A106"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0</w:t>
            </w:r>
          </w:p>
        </w:tc>
        <w:tc>
          <w:tcPr>
            <w:tcW w:w="772" w:type="dxa"/>
            <w:tcBorders>
              <w:top w:val="nil"/>
              <w:left w:val="nil"/>
              <w:bottom w:val="single" w:sz="4" w:space="0" w:color="auto"/>
              <w:right w:val="single" w:sz="4" w:space="0" w:color="auto"/>
            </w:tcBorders>
            <w:shd w:val="clear" w:color="auto" w:fill="auto"/>
            <w:noWrap/>
            <w:vAlign w:val="center"/>
            <w:hideMark/>
          </w:tcPr>
          <w:p w14:paraId="7CBB174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239" w:type="dxa"/>
            <w:tcBorders>
              <w:top w:val="nil"/>
              <w:left w:val="nil"/>
              <w:bottom w:val="single" w:sz="4" w:space="0" w:color="auto"/>
              <w:right w:val="single" w:sz="4" w:space="0" w:color="auto"/>
            </w:tcBorders>
            <w:shd w:val="clear" w:color="auto" w:fill="auto"/>
            <w:noWrap/>
            <w:vAlign w:val="center"/>
            <w:hideMark/>
          </w:tcPr>
          <w:p w14:paraId="3077FBAB"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r>
      <w:tr w:rsidR="00A155A2" w:rsidRPr="00FF23FD" w14:paraId="05839F04" w14:textId="77777777" w:rsidTr="001C77D2">
        <w:trPr>
          <w:trHeight w:val="141"/>
        </w:trPr>
        <w:tc>
          <w:tcPr>
            <w:tcW w:w="946" w:type="dxa"/>
            <w:vMerge/>
            <w:tcBorders>
              <w:top w:val="nil"/>
              <w:left w:val="single" w:sz="4" w:space="0" w:color="auto"/>
              <w:bottom w:val="single" w:sz="4" w:space="0" w:color="auto"/>
              <w:right w:val="single" w:sz="4" w:space="0" w:color="auto"/>
            </w:tcBorders>
            <w:vAlign w:val="center"/>
            <w:hideMark/>
          </w:tcPr>
          <w:p w14:paraId="16682E3F"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13" w:type="dxa"/>
            <w:tcBorders>
              <w:top w:val="nil"/>
              <w:left w:val="nil"/>
              <w:bottom w:val="single" w:sz="4" w:space="0" w:color="auto"/>
              <w:right w:val="single" w:sz="4" w:space="0" w:color="auto"/>
            </w:tcBorders>
            <w:shd w:val="clear" w:color="auto" w:fill="auto"/>
            <w:vAlign w:val="center"/>
            <w:hideMark/>
          </w:tcPr>
          <w:p w14:paraId="35C2F497"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1070" w:type="dxa"/>
            <w:tcBorders>
              <w:top w:val="nil"/>
              <w:left w:val="nil"/>
              <w:bottom w:val="single" w:sz="4" w:space="0" w:color="auto"/>
              <w:right w:val="single" w:sz="4" w:space="0" w:color="auto"/>
            </w:tcBorders>
            <w:shd w:val="clear" w:color="auto" w:fill="auto"/>
            <w:noWrap/>
            <w:vAlign w:val="center"/>
            <w:hideMark/>
          </w:tcPr>
          <w:p w14:paraId="132E0632"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022" w:type="dxa"/>
            <w:tcBorders>
              <w:top w:val="nil"/>
              <w:left w:val="nil"/>
              <w:bottom w:val="single" w:sz="4" w:space="0" w:color="auto"/>
              <w:right w:val="single" w:sz="4" w:space="0" w:color="auto"/>
            </w:tcBorders>
            <w:shd w:val="clear" w:color="000000" w:fill="DAEEF3"/>
            <w:noWrap/>
            <w:vAlign w:val="center"/>
            <w:hideMark/>
          </w:tcPr>
          <w:p w14:paraId="67B06EA0"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0</w:t>
            </w:r>
          </w:p>
        </w:tc>
        <w:tc>
          <w:tcPr>
            <w:tcW w:w="1180" w:type="dxa"/>
            <w:tcBorders>
              <w:top w:val="nil"/>
              <w:left w:val="nil"/>
              <w:bottom w:val="single" w:sz="4" w:space="0" w:color="auto"/>
              <w:right w:val="single" w:sz="4" w:space="0" w:color="auto"/>
            </w:tcBorders>
            <w:shd w:val="clear" w:color="auto" w:fill="auto"/>
            <w:noWrap/>
            <w:vAlign w:val="center"/>
            <w:hideMark/>
          </w:tcPr>
          <w:p w14:paraId="7690CE62"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1005" w:type="dxa"/>
            <w:tcBorders>
              <w:top w:val="nil"/>
              <w:left w:val="nil"/>
              <w:bottom w:val="single" w:sz="4" w:space="0" w:color="auto"/>
              <w:right w:val="single" w:sz="4" w:space="0" w:color="auto"/>
            </w:tcBorders>
            <w:shd w:val="clear" w:color="000000" w:fill="DAEEF3"/>
            <w:noWrap/>
            <w:vAlign w:val="center"/>
            <w:hideMark/>
          </w:tcPr>
          <w:p w14:paraId="2C4A72C6"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0</w:t>
            </w:r>
          </w:p>
        </w:tc>
        <w:tc>
          <w:tcPr>
            <w:tcW w:w="772" w:type="dxa"/>
            <w:tcBorders>
              <w:top w:val="nil"/>
              <w:left w:val="nil"/>
              <w:bottom w:val="single" w:sz="4" w:space="0" w:color="auto"/>
              <w:right w:val="single" w:sz="4" w:space="0" w:color="auto"/>
            </w:tcBorders>
            <w:shd w:val="clear" w:color="auto" w:fill="auto"/>
            <w:noWrap/>
            <w:vAlign w:val="center"/>
            <w:hideMark/>
          </w:tcPr>
          <w:p w14:paraId="3F21E26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c>
          <w:tcPr>
            <w:tcW w:w="1239" w:type="dxa"/>
            <w:tcBorders>
              <w:top w:val="nil"/>
              <w:left w:val="nil"/>
              <w:bottom w:val="single" w:sz="4" w:space="0" w:color="auto"/>
              <w:right w:val="single" w:sz="4" w:space="0" w:color="auto"/>
            </w:tcBorders>
            <w:shd w:val="clear" w:color="auto" w:fill="auto"/>
            <w:noWrap/>
            <w:vAlign w:val="center"/>
            <w:hideMark/>
          </w:tcPr>
          <w:p w14:paraId="11F88143"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w:t>
            </w:r>
          </w:p>
        </w:tc>
      </w:tr>
      <w:tr w:rsidR="00A155A2" w:rsidRPr="00FF23FD" w14:paraId="281CBF5A" w14:textId="77777777" w:rsidTr="001C77D2">
        <w:trPr>
          <w:trHeight w:val="322"/>
        </w:trPr>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25780E5B"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w:t>
            </w:r>
          </w:p>
        </w:tc>
        <w:tc>
          <w:tcPr>
            <w:tcW w:w="1513" w:type="dxa"/>
            <w:tcBorders>
              <w:top w:val="nil"/>
              <w:left w:val="nil"/>
              <w:bottom w:val="single" w:sz="4" w:space="0" w:color="auto"/>
              <w:right w:val="single" w:sz="4" w:space="0" w:color="auto"/>
            </w:tcBorders>
            <w:shd w:val="clear" w:color="auto" w:fill="auto"/>
            <w:vAlign w:val="center"/>
            <w:hideMark/>
          </w:tcPr>
          <w:p w14:paraId="09CB91DA"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 poslanih predlogov</w:t>
            </w:r>
          </w:p>
        </w:tc>
        <w:tc>
          <w:tcPr>
            <w:tcW w:w="1070" w:type="dxa"/>
            <w:tcBorders>
              <w:top w:val="nil"/>
              <w:left w:val="nil"/>
              <w:bottom w:val="single" w:sz="4" w:space="0" w:color="auto"/>
              <w:right w:val="single" w:sz="4" w:space="0" w:color="auto"/>
            </w:tcBorders>
            <w:shd w:val="clear" w:color="auto" w:fill="auto"/>
            <w:noWrap/>
            <w:vAlign w:val="center"/>
            <w:hideMark/>
          </w:tcPr>
          <w:p w14:paraId="61A71509" w14:textId="77777777" w:rsidR="00A155A2" w:rsidRPr="00FF23FD" w:rsidRDefault="00A155A2" w:rsidP="001C77D2">
            <w:pPr>
              <w:spacing w:line="240" w:lineRule="auto"/>
              <w:jc w:val="center"/>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937</w:t>
            </w:r>
          </w:p>
        </w:tc>
        <w:tc>
          <w:tcPr>
            <w:tcW w:w="1022" w:type="dxa"/>
            <w:tcBorders>
              <w:top w:val="nil"/>
              <w:left w:val="nil"/>
              <w:bottom w:val="single" w:sz="4" w:space="0" w:color="auto"/>
              <w:right w:val="single" w:sz="4" w:space="0" w:color="auto"/>
            </w:tcBorders>
            <w:shd w:val="clear" w:color="000000" w:fill="DAEEF3"/>
            <w:noWrap/>
            <w:vAlign w:val="center"/>
            <w:hideMark/>
          </w:tcPr>
          <w:p w14:paraId="61DEE6FD" w14:textId="77777777" w:rsidR="00A155A2" w:rsidRPr="00FF23FD" w:rsidRDefault="00A155A2" w:rsidP="001C77D2">
            <w:pPr>
              <w:spacing w:line="240" w:lineRule="auto"/>
              <w:jc w:val="center"/>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6.812.632</w:t>
            </w:r>
          </w:p>
        </w:tc>
        <w:tc>
          <w:tcPr>
            <w:tcW w:w="1180" w:type="dxa"/>
            <w:tcBorders>
              <w:top w:val="nil"/>
              <w:left w:val="nil"/>
              <w:bottom w:val="single" w:sz="4" w:space="0" w:color="auto"/>
              <w:right w:val="single" w:sz="4" w:space="0" w:color="auto"/>
            </w:tcBorders>
            <w:shd w:val="clear" w:color="auto" w:fill="auto"/>
            <w:noWrap/>
            <w:vAlign w:val="center"/>
            <w:hideMark/>
          </w:tcPr>
          <w:p w14:paraId="3F506741"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1.304</w:t>
            </w:r>
          </w:p>
        </w:tc>
        <w:tc>
          <w:tcPr>
            <w:tcW w:w="1005" w:type="dxa"/>
            <w:tcBorders>
              <w:top w:val="nil"/>
              <w:left w:val="nil"/>
              <w:bottom w:val="single" w:sz="4" w:space="0" w:color="auto"/>
              <w:right w:val="single" w:sz="4" w:space="0" w:color="auto"/>
            </w:tcBorders>
            <w:shd w:val="clear" w:color="000000" w:fill="DAEEF3"/>
            <w:noWrap/>
            <w:vAlign w:val="center"/>
            <w:hideMark/>
          </w:tcPr>
          <w:p w14:paraId="0A95FF4F"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9.698.529</w:t>
            </w:r>
          </w:p>
        </w:tc>
        <w:tc>
          <w:tcPr>
            <w:tcW w:w="772" w:type="dxa"/>
            <w:tcBorders>
              <w:top w:val="nil"/>
              <w:left w:val="nil"/>
              <w:bottom w:val="single" w:sz="4" w:space="0" w:color="auto"/>
              <w:right w:val="single" w:sz="4" w:space="0" w:color="auto"/>
            </w:tcBorders>
            <w:shd w:val="clear" w:color="auto" w:fill="auto"/>
            <w:noWrap/>
            <w:vAlign w:val="center"/>
            <w:hideMark/>
          </w:tcPr>
          <w:p w14:paraId="3770333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139,17</w:t>
            </w:r>
          </w:p>
        </w:tc>
        <w:tc>
          <w:tcPr>
            <w:tcW w:w="1239" w:type="dxa"/>
            <w:tcBorders>
              <w:top w:val="nil"/>
              <w:left w:val="nil"/>
              <w:bottom w:val="single" w:sz="4" w:space="0" w:color="auto"/>
              <w:right w:val="single" w:sz="4" w:space="0" w:color="auto"/>
            </w:tcBorders>
            <w:shd w:val="clear" w:color="auto" w:fill="auto"/>
            <w:noWrap/>
            <w:vAlign w:val="center"/>
            <w:hideMark/>
          </w:tcPr>
          <w:p w14:paraId="666ABE8B"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142,36</w:t>
            </w:r>
          </w:p>
        </w:tc>
      </w:tr>
      <w:tr w:rsidR="00A155A2" w:rsidRPr="00FF23FD" w14:paraId="2BD7CAB5" w14:textId="77777777" w:rsidTr="001C77D2">
        <w:trPr>
          <w:trHeight w:val="240"/>
        </w:trPr>
        <w:tc>
          <w:tcPr>
            <w:tcW w:w="946" w:type="dxa"/>
            <w:vMerge/>
            <w:tcBorders>
              <w:top w:val="nil"/>
              <w:left w:val="single" w:sz="4" w:space="0" w:color="auto"/>
              <w:bottom w:val="single" w:sz="4" w:space="0" w:color="auto"/>
              <w:right w:val="single" w:sz="4" w:space="0" w:color="auto"/>
            </w:tcBorders>
            <w:vAlign w:val="center"/>
            <w:hideMark/>
          </w:tcPr>
          <w:p w14:paraId="71E5A5E7" w14:textId="77777777" w:rsidR="00A155A2" w:rsidRPr="00FF23FD" w:rsidRDefault="00A155A2" w:rsidP="001C77D2">
            <w:pPr>
              <w:spacing w:line="240" w:lineRule="auto"/>
              <w:rPr>
                <w:rFonts w:ascii="Arial" w:eastAsia="Times New Roman" w:hAnsi="Arial" w:cs="Arial"/>
                <w:b/>
                <w:bCs/>
                <w:color w:val="000000"/>
                <w:sz w:val="18"/>
                <w:szCs w:val="18"/>
                <w:lang w:eastAsia="sl-SI"/>
              </w:rPr>
            </w:pPr>
          </w:p>
        </w:tc>
        <w:tc>
          <w:tcPr>
            <w:tcW w:w="1513" w:type="dxa"/>
            <w:tcBorders>
              <w:top w:val="nil"/>
              <w:left w:val="nil"/>
              <w:bottom w:val="single" w:sz="4" w:space="0" w:color="auto"/>
              <w:right w:val="single" w:sz="4" w:space="0" w:color="auto"/>
            </w:tcBorders>
            <w:shd w:val="clear" w:color="auto" w:fill="auto"/>
            <w:vAlign w:val="center"/>
            <w:hideMark/>
          </w:tcPr>
          <w:p w14:paraId="121A7054"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 prejetih plačil</w:t>
            </w:r>
          </w:p>
        </w:tc>
        <w:tc>
          <w:tcPr>
            <w:tcW w:w="1070" w:type="dxa"/>
            <w:tcBorders>
              <w:top w:val="nil"/>
              <w:left w:val="nil"/>
              <w:bottom w:val="single" w:sz="4" w:space="0" w:color="auto"/>
              <w:right w:val="single" w:sz="4" w:space="0" w:color="auto"/>
            </w:tcBorders>
            <w:shd w:val="clear" w:color="auto" w:fill="auto"/>
            <w:noWrap/>
            <w:vAlign w:val="center"/>
            <w:hideMark/>
          </w:tcPr>
          <w:p w14:paraId="1B53FF17" w14:textId="77777777" w:rsidR="00A155A2" w:rsidRPr="00FF23FD" w:rsidRDefault="00A155A2" w:rsidP="001C77D2">
            <w:pPr>
              <w:spacing w:line="240" w:lineRule="auto"/>
              <w:jc w:val="center"/>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w:t>
            </w:r>
          </w:p>
        </w:tc>
        <w:tc>
          <w:tcPr>
            <w:tcW w:w="1022" w:type="dxa"/>
            <w:tcBorders>
              <w:top w:val="nil"/>
              <w:left w:val="nil"/>
              <w:bottom w:val="single" w:sz="4" w:space="0" w:color="auto"/>
              <w:right w:val="single" w:sz="4" w:space="0" w:color="auto"/>
            </w:tcBorders>
            <w:shd w:val="clear" w:color="000000" w:fill="DAEEF3"/>
            <w:noWrap/>
            <w:vAlign w:val="center"/>
            <w:hideMark/>
          </w:tcPr>
          <w:p w14:paraId="006DCE28" w14:textId="77777777" w:rsidR="00A155A2" w:rsidRPr="00FF23FD" w:rsidRDefault="00A155A2" w:rsidP="001C77D2">
            <w:pPr>
              <w:spacing w:line="240" w:lineRule="auto"/>
              <w:jc w:val="center"/>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422.627</w:t>
            </w:r>
          </w:p>
        </w:tc>
        <w:tc>
          <w:tcPr>
            <w:tcW w:w="1180" w:type="dxa"/>
            <w:tcBorders>
              <w:top w:val="nil"/>
              <w:left w:val="nil"/>
              <w:bottom w:val="single" w:sz="4" w:space="0" w:color="auto"/>
              <w:right w:val="single" w:sz="4" w:space="0" w:color="auto"/>
            </w:tcBorders>
            <w:shd w:val="clear" w:color="auto" w:fill="auto"/>
            <w:noWrap/>
            <w:vAlign w:val="center"/>
            <w:hideMark/>
          </w:tcPr>
          <w:p w14:paraId="0F8A7BDF"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1005" w:type="dxa"/>
            <w:tcBorders>
              <w:top w:val="nil"/>
              <w:left w:val="nil"/>
              <w:bottom w:val="single" w:sz="4" w:space="0" w:color="auto"/>
              <w:right w:val="single" w:sz="4" w:space="0" w:color="auto"/>
            </w:tcBorders>
            <w:shd w:val="clear" w:color="000000" w:fill="DAEEF3"/>
            <w:noWrap/>
            <w:vAlign w:val="center"/>
            <w:hideMark/>
          </w:tcPr>
          <w:p w14:paraId="4EBEDB5A"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517.182</w:t>
            </w:r>
          </w:p>
        </w:tc>
        <w:tc>
          <w:tcPr>
            <w:tcW w:w="772" w:type="dxa"/>
            <w:tcBorders>
              <w:top w:val="nil"/>
              <w:left w:val="nil"/>
              <w:bottom w:val="single" w:sz="4" w:space="0" w:color="auto"/>
              <w:right w:val="single" w:sz="4" w:space="0" w:color="auto"/>
            </w:tcBorders>
            <w:shd w:val="clear" w:color="auto" w:fill="auto"/>
            <w:noWrap/>
            <w:vAlign w:val="center"/>
            <w:hideMark/>
          </w:tcPr>
          <w:p w14:paraId="0AF1D9A9" w14:textId="77777777" w:rsidR="00A155A2" w:rsidRPr="00FF23FD" w:rsidRDefault="00A155A2" w:rsidP="001C77D2">
            <w:pPr>
              <w:spacing w:line="240" w:lineRule="auto"/>
              <w:jc w:val="center"/>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w:t>
            </w:r>
          </w:p>
        </w:tc>
        <w:tc>
          <w:tcPr>
            <w:tcW w:w="1239" w:type="dxa"/>
            <w:tcBorders>
              <w:top w:val="nil"/>
              <w:left w:val="nil"/>
              <w:bottom w:val="single" w:sz="4" w:space="0" w:color="auto"/>
              <w:right w:val="single" w:sz="4" w:space="0" w:color="auto"/>
            </w:tcBorders>
            <w:shd w:val="clear" w:color="auto" w:fill="auto"/>
            <w:noWrap/>
            <w:vAlign w:val="center"/>
            <w:hideMark/>
          </w:tcPr>
          <w:p w14:paraId="7B37EEF9"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122,37</w:t>
            </w:r>
          </w:p>
        </w:tc>
      </w:tr>
    </w:tbl>
    <w:p w14:paraId="10884C29" w14:textId="77777777" w:rsidR="00A155A2" w:rsidRDefault="00A155A2" w:rsidP="00A155A2">
      <w:pPr>
        <w:pStyle w:val="FURSNavaden"/>
        <w:rPr>
          <w:rFonts w:cs="Arial"/>
          <w:i/>
          <w:szCs w:val="20"/>
        </w:rPr>
      </w:pPr>
      <w:r w:rsidRPr="00534703">
        <w:rPr>
          <w:rFonts w:cs="Arial"/>
          <w:i/>
          <w:szCs w:val="20"/>
        </w:rPr>
        <w:t>Vir: FURS</w:t>
      </w:r>
    </w:p>
    <w:p w14:paraId="57DE8288" w14:textId="77777777" w:rsidR="00A155A2" w:rsidRPr="00534703" w:rsidRDefault="00A155A2" w:rsidP="00A155A2">
      <w:pPr>
        <w:pStyle w:val="FURSNavaden"/>
        <w:rPr>
          <w:rFonts w:cs="Arial"/>
          <w:i/>
          <w:szCs w:val="20"/>
        </w:rPr>
      </w:pPr>
    </w:p>
    <w:p w14:paraId="0E4279BF" w14:textId="77777777" w:rsidR="00A155A2" w:rsidRPr="00FF23FD" w:rsidRDefault="00A155A2" w:rsidP="00A155A2">
      <w:pPr>
        <w:jc w:val="both"/>
        <w:rPr>
          <w:rFonts w:ascii="Arial" w:hAnsi="Arial" w:cs="Arial"/>
          <w:sz w:val="20"/>
          <w:szCs w:val="20"/>
        </w:rPr>
      </w:pPr>
      <w:r w:rsidRPr="00FF23FD">
        <w:rPr>
          <w:rFonts w:ascii="Arial" w:hAnsi="Arial" w:cs="Arial"/>
          <w:sz w:val="20"/>
          <w:szCs w:val="20"/>
        </w:rPr>
        <w:t>Na podlagi predlogov davčnega organa (</w:t>
      </w:r>
      <w:r>
        <w:rPr>
          <w:rFonts w:ascii="Arial" w:hAnsi="Arial" w:cs="Arial"/>
          <w:sz w:val="20"/>
          <w:szCs w:val="20"/>
        </w:rPr>
        <w:t>poslanih</w:t>
      </w:r>
      <w:r w:rsidRPr="00FF23FD">
        <w:rPr>
          <w:rFonts w:ascii="Arial" w:hAnsi="Arial" w:cs="Arial"/>
          <w:sz w:val="20"/>
          <w:szCs w:val="20"/>
        </w:rPr>
        <w:t xml:space="preserve"> v letu 2024 in </w:t>
      </w:r>
      <w:r>
        <w:rPr>
          <w:rFonts w:ascii="Arial" w:hAnsi="Arial" w:cs="Arial"/>
          <w:sz w:val="20"/>
          <w:szCs w:val="20"/>
        </w:rPr>
        <w:t>prejšnjih</w:t>
      </w:r>
      <w:r w:rsidRPr="00FF23FD">
        <w:rPr>
          <w:rFonts w:ascii="Arial" w:hAnsi="Arial" w:cs="Arial"/>
          <w:sz w:val="20"/>
          <w:szCs w:val="20"/>
        </w:rPr>
        <w:t xml:space="preserve"> letih) so nosilci socialne varnosti v Sloveniji let</w:t>
      </w:r>
      <w:r>
        <w:rPr>
          <w:rFonts w:ascii="Arial" w:hAnsi="Arial" w:cs="Arial"/>
          <w:sz w:val="20"/>
          <w:szCs w:val="20"/>
        </w:rPr>
        <w:t>a</w:t>
      </w:r>
      <w:r w:rsidRPr="00FF23FD">
        <w:rPr>
          <w:rFonts w:ascii="Arial" w:hAnsi="Arial" w:cs="Arial"/>
          <w:sz w:val="20"/>
          <w:szCs w:val="20"/>
        </w:rPr>
        <w:t xml:space="preserve"> 2024 v druge države članice EU pos</w:t>
      </w:r>
      <w:r>
        <w:rPr>
          <w:rFonts w:ascii="Arial" w:hAnsi="Arial" w:cs="Arial"/>
          <w:sz w:val="20"/>
          <w:szCs w:val="20"/>
        </w:rPr>
        <w:t>lali</w:t>
      </w:r>
      <w:r w:rsidRPr="00FF23FD">
        <w:rPr>
          <w:rFonts w:ascii="Arial" w:hAnsi="Arial" w:cs="Arial"/>
          <w:sz w:val="20"/>
          <w:szCs w:val="20"/>
        </w:rPr>
        <w:t xml:space="preserve"> 982 predlogov za izterjavo prispevkov v skupni </w:t>
      </w:r>
      <w:r>
        <w:rPr>
          <w:rFonts w:ascii="Arial" w:hAnsi="Arial" w:cs="Arial"/>
          <w:sz w:val="20"/>
          <w:szCs w:val="20"/>
        </w:rPr>
        <w:t>vrednosti</w:t>
      </w:r>
      <w:r w:rsidRPr="00FF23FD">
        <w:rPr>
          <w:rFonts w:ascii="Arial" w:hAnsi="Arial" w:cs="Arial"/>
          <w:sz w:val="20"/>
          <w:szCs w:val="20"/>
        </w:rPr>
        <w:t xml:space="preserve"> 6.228.003 </w:t>
      </w:r>
      <w:r>
        <w:rPr>
          <w:rFonts w:ascii="Arial" w:hAnsi="Arial" w:cs="Arial"/>
          <w:sz w:val="20"/>
          <w:szCs w:val="20"/>
        </w:rPr>
        <w:t>EUR</w:t>
      </w:r>
      <w:r w:rsidRPr="00FF23FD">
        <w:rPr>
          <w:rFonts w:ascii="Arial" w:hAnsi="Arial" w:cs="Arial"/>
          <w:sz w:val="20"/>
          <w:szCs w:val="20"/>
        </w:rPr>
        <w:t>.</w:t>
      </w:r>
    </w:p>
    <w:p w14:paraId="27453BCD" w14:textId="77777777" w:rsidR="00A155A2" w:rsidRDefault="00A155A2" w:rsidP="00A155A2">
      <w:pPr>
        <w:pStyle w:val="FURSNavaden"/>
        <w:rPr>
          <w:rFonts w:eastAsia="Times New Roman" w:cs="Arial"/>
          <w:i/>
          <w:szCs w:val="20"/>
        </w:rPr>
      </w:pPr>
    </w:p>
    <w:p w14:paraId="2613EFC8" w14:textId="77777777" w:rsidR="00A155A2" w:rsidRDefault="00A155A2" w:rsidP="00A155A2">
      <w:pPr>
        <w:pStyle w:val="FURSNavaden"/>
        <w:rPr>
          <w:rFonts w:eastAsia="Times New Roman" w:cs="Arial"/>
          <w:i/>
          <w:szCs w:val="20"/>
        </w:rPr>
      </w:pPr>
    </w:p>
    <w:p w14:paraId="65E289FF" w14:textId="77777777" w:rsidR="00A155A2" w:rsidRDefault="00A155A2" w:rsidP="00A155A2">
      <w:pPr>
        <w:pStyle w:val="FURSNavaden"/>
        <w:rPr>
          <w:rFonts w:eastAsia="Times New Roman" w:cs="Arial"/>
          <w:i/>
          <w:szCs w:val="20"/>
        </w:rPr>
      </w:pPr>
    </w:p>
    <w:p w14:paraId="3ED4DA46" w14:textId="77777777" w:rsidR="00A155A2" w:rsidRDefault="00A155A2" w:rsidP="00A155A2">
      <w:pPr>
        <w:pStyle w:val="FURSNavaden"/>
        <w:rPr>
          <w:rFonts w:eastAsia="Times New Roman" w:cs="Arial"/>
          <w:i/>
          <w:szCs w:val="20"/>
        </w:rPr>
      </w:pPr>
    </w:p>
    <w:p w14:paraId="06C672B8" w14:textId="77777777" w:rsidR="00A155A2" w:rsidRDefault="00A155A2" w:rsidP="00A155A2">
      <w:pPr>
        <w:pStyle w:val="FURSNavaden"/>
        <w:rPr>
          <w:rFonts w:eastAsia="Times New Roman" w:cs="Arial"/>
          <w:i/>
          <w:szCs w:val="20"/>
        </w:rPr>
      </w:pPr>
    </w:p>
    <w:p w14:paraId="062BB4AB" w14:textId="77777777" w:rsidR="00A155A2" w:rsidRDefault="00A155A2" w:rsidP="00A155A2">
      <w:pPr>
        <w:pStyle w:val="FURSNavaden"/>
        <w:rPr>
          <w:rFonts w:eastAsia="Times New Roman" w:cs="Arial"/>
          <w:i/>
          <w:szCs w:val="20"/>
        </w:rPr>
      </w:pPr>
    </w:p>
    <w:p w14:paraId="55BEC3F6" w14:textId="77777777" w:rsidR="00A155A2" w:rsidRDefault="00A155A2" w:rsidP="00A155A2">
      <w:pPr>
        <w:pStyle w:val="FURSNavaden"/>
        <w:rPr>
          <w:rFonts w:eastAsia="Times New Roman" w:cs="Arial"/>
          <w:i/>
          <w:szCs w:val="20"/>
        </w:rPr>
      </w:pPr>
    </w:p>
    <w:p w14:paraId="127084EB" w14:textId="77777777" w:rsidR="00A155A2" w:rsidRDefault="00A155A2" w:rsidP="00A155A2">
      <w:pPr>
        <w:pStyle w:val="FURSNavaden"/>
        <w:rPr>
          <w:rFonts w:eastAsia="Times New Roman" w:cs="Arial"/>
          <w:i/>
          <w:szCs w:val="20"/>
        </w:rPr>
      </w:pPr>
    </w:p>
    <w:p w14:paraId="01A7E8F7" w14:textId="77777777" w:rsidR="00A155A2" w:rsidRDefault="00A155A2" w:rsidP="00A155A2">
      <w:pPr>
        <w:pStyle w:val="FURSNavaden"/>
        <w:rPr>
          <w:rFonts w:eastAsia="Times New Roman" w:cs="Arial"/>
          <w:i/>
          <w:szCs w:val="20"/>
        </w:rPr>
      </w:pPr>
    </w:p>
    <w:p w14:paraId="21A10B0C" w14:textId="77777777" w:rsidR="00A155A2" w:rsidRDefault="00A155A2" w:rsidP="00A155A2">
      <w:pPr>
        <w:pStyle w:val="FURSNavaden"/>
        <w:rPr>
          <w:rFonts w:eastAsia="Times New Roman" w:cs="Arial"/>
          <w:i/>
          <w:szCs w:val="20"/>
        </w:rPr>
      </w:pPr>
    </w:p>
    <w:p w14:paraId="3A31917E" w14:textId="77777777" w:rsidR="00A155A2" w:rsidRDefault="00A155A2" w:rsidP="00A155A2">
      <w:pPr>
        <w:pStyle w:val="FURSNavaden"/>
        <w:rPr>
          <w:rFonts w:eastAsia="Times New Roman" w:cs="Arial"/>
          <w:i/>
          <w:szCs w:val="20"/>
        </w:rPr>
      </w:pPr>
    </w:p>
    <w:p w14:paraId="1AA774B7" w14:textId="77777777" w:rsidR="00A155A2" w:rsidRDefault="00A155A2" w:rsidP="00A155A2">
      <w:pPr>
        <w:pStyle w:val="FURSNavaden"/>
        <w:rPr>
          <w:rFonts w:eastAsia="Times New Roman" w:cs="Arial"/>
          <w:i/>
          <w:szCs w:val="20"/>
        </w:rPr>
      </w:pPr>
    </w:p>
    <w:p w14:paraId="25355BDC" w14:textId="77777777" w:rsidR="00A155A2" w:rsidRDefault="00A155A2" w:rsidP="00A155A2">
      <w:pPr>
        <w:pStyle w:val="FURSNavaden"/>
        <w:rPr>
          <w:rFonts w:eastAsia="Times New Roman" w:cs="Arial"/>
          <w:i/>
          <w:szCs w:val="20"/>
        </w:rPr>
      </w:pPr>
      <w:r w:rsidRPr="00825100">
        <w:rPr>
          <w:rFonts w:eastAsia="Times New Roman" w:cs="Arial"/>
          <w:i/>
          <w:szCs w:val="20"/>
        </w:rPr>
        <w:t>Preglednica 2</w:t>
      </w:r>
      <w:r>
        <w:rPr>
          <w:rFonts w:eastAsia="Times New Roman" w:cs="Arial"/>
          <w:i/>
          <w:szCs w:val="20"/>
        </w:rPr>
        <w:t>3</w:t>
      </w:r>
      <w:r w:rsidRPr="00825100">
        <w:rPr>
          <w:rFonts w:eastAsia="Times New Roman" w:cs="Arial"/>
          <w:i/>
          <w:szCs w:val="20"/>
        </w:rPr>
        <w:t>: Zaprosila za izterjavo prispevkov, ki so jih nosilci socialne varnosti pos</w:t>
      </w:r>
      <w:r>
        <w:rPr>
          <w:rFonts w:eastAsia="Times New Roman" w:cs="Arial"/>
          <w:i/>
          <w:szCs w:val="20"/>
        </w:rPr>
        <w:t>lali</w:t>
      </w:r>
      <w:r w:rsidRPr="00825100">
        <w:rPr>
          <w:rFonts w:eastAsia="Times New Roman" w:cs="Arial"/>
          <w:i/>
          <w:szCs w:val="20"/>
        </w:rPr>
        <w:t xml:space="preserve"> v druge države članice</w:t>
      </w:r>
      <w:r>
        <w:rPr>
          <w:rFonts w:eastAsia="Times New Roman" w:cs="Arial"/>
          <w:i/>
          <w:szCs w:val="20"/>
        </w:rPr>
        <w:t xml:space="preserve"> </w:t>
      </w:r>
    </w:p>
    <w:p w14:paraId="0B11D66D" w14:textId="77777777" w:rsidR="00A155A2" w:rsidRDefault="00A155A2" w:rsidP="00A155A2">
      <w:pPr>
        <w:pStyle w:val="FURSNavaden"/>
        <w:rPr>
          <w:rFonts w:eastAsia="Times New Roman" w:cs="Arial"/>
          <w:i/>
          <w:szCs w:val="20"/>
        </w:rPr>
      </w:pPr>
    </w:p>
    <w:tbl>
      <w:tblPr>
        <w:tblW w:w="8260" w:type="dxa"/>
        <w:tblCellMar>
          <w:left w:w="70" w:type="dxa"/>
          <w:right w:w="70" w:type="dxa"/>
        </w:tblCellMar>
        <w:tblLook w:val="04A0" w:firstRow="1" w:lastRow="0" w:firstColumn="1" w:lastColumn="0" w:noHBand="0" w:noVBand="1"/>
      </w:tblPr>
      <w:tblGrid>
        <w:gridCol w:w="1107"/>
        <w:gridCol w:w="1780"/>
        <w:gridCol w:w="1180"/>
        <w:gridCol w:w="1120"/>
        <w:gridCol w:w="1300"/>
        <w:gridCol w:w="980"/>
        <w:gridCol w:w="840"/>
      </w:tblGrid>
      <w:tr w:rsidR="00A155A2" w:rsidRPr="00FF23FD" w14:paraId="7E622C71" w14:textId="77777777" w:rsidTr="001C77D2">
        <w:trPr>
          <w:trHeight w:val="390"/>
        </w:trPr>
        <w:tc>
          <w:tcPr>
            <w:tcW w:w="1060" w:type="dxa"/>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14:paraId="465BBC5C"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Nosilec socialne varnosti</w:t>
            </w:r>
          </w:p>
        </w:tc>
        <w:tc>
          <w:tcPr>
            <w:tcW w:w="2960" w:type="dxa"/>
            <w:gridSpan w:val="2"/>
            <w:tcBorders>
              <w:top w:val="single" w:sz="4" w:space="0" w:color="auto"/>
              <w:left w:val="nil"/>
              <w:bottom w:val="single" w:sz="4" w:space="0" w:color="auto"/>
              <w:right w:val="single" w:sz="4" w:space="0" w:color="auto"/>
            </w:tcBorders>
            <w:shd w:val="clear" w:color="000000" w:fill="31869B"/>
            <w:noWrap/>
            <w:vAlign w:val="center"/>
            <w:hideMark/>
          </w:tcPr>
          <w:p w14:paraId="4855E811"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2023</w:t>
            </w:r>
          </w:p>
        </w:tc>
        <w:tc>
          <w:tcPr>
            <w:tcW w:w="2420" w:type="dxa"/>
            <w:gridSpan w:val="2"/>
            <w:tcBorders>
              <w:top w:val="single" w:sz="4" w:space="0" w:color="auto"/>
              <w:left w:val="nil"/>
              <w:bottom w:val="single" w:sz="4" w:space="0" w:color="auto"/>
              <w:right w:val="single" w:sz="4" w:space="0" w:color="auto"/>
            </w:tcBorders>
            <w:shd w:val="clear" w:color="000000" w:fill="31869B"/>
            <w:noWrap/>
            <w:vAlign w:val="center"/>
            <w:hideMark/>
          </w:tcPr>
          <w:p w14:paraId="22B4BB6E"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2024</w:t>
            </w:r>
          </w:p>
        </w:tc>
        <w:tc>
          <w:tcPr>
            <w:tcW w:w="1820" w:type="dxa"/>
            <w:gridSpan w:val="2"/>
            <w:tcBorders>
              <w:top w:val="single" w:sz="4" w:space="0" w:color="auto"/>
              <w:left w:val="nil"/>
              <w:bottom w:val="single" w:sz="4" w:space="0" w:color="auto"/>
              <w:right w:val="single" w:sz="4" w:space="0" w:color="auto"/>
            </w:tcBorders>
            <w:shd w:val="clear" w:color="000000" w:fill="31869B"/>
            <w:vAlign w:val="center"/>
            <w:hideMark/>
          </w:tcPr>
          <w:p w14:paraId="0A8729FB"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Indeks 2024</w:t>
            </w:r>
            <w:r>
              <w:rPr>
                <w:rFonts w:ascii="Arial" w:eastAsia="Times New Roman" w:hAnsi="Arial" w:cs="Arial"/>
                <w:color w:val="FFFFFF"/>
                <w:sz w:val="20"/>
                <w:szCs w:val="20"/>
                <w:lang w:eastAsia="sl-SI"/>
              </w:rPr>
              <w:t xml:space="preserve"> </w:t>
            </w:r>
            <w:r w:rsidRPr="00FF23FD">
              <w:rPr>
                <w:rFonts w:ascii="Arial" w:eastAsia="Times New Roman" w:hAnsi="Arial" w:cs="Arial"/>
                <w:color w:val="FFFFFF"/>
                <w:sz w:val="20"/>
                <w:szCs w:val="20"/>
                <w:lang w:eastAsia="sl-SI"/>
              </w:rPr>
              <w:t>/</w:t>
            </w:r>
            <w:r>
              <w:rPr>
                <w:rFonts w:ascii="Arial" w:eastAsia="Times New Roman" w:hAnsi="Arial" w:cs="Arial"/>
                <w:color w:val="FFFFFF"/>
                <w:sz w:val="20"/>
                <w:szCs w:val="20"/>
                <w:lang w:eastAsia="sl-SI"/>
              </w:rPr>
              <w:t xml:space="preserve"> </w:t>
            </w:r>
            <w:r w:rsidRPr="00FF23FD">
              <w:rPr>
                <w:rFonts w:ascii="Arial" w:eastAsia="Times New Roman" w:hAnsi="Arial" w:cs="Arial"/>
                <w:color w:val="FFFFFF"/>
                <w:sz w:val="20"/>
                <w:szCs w:val="20"/>
                <w:lang w:eastAsia="sl-SI"/>
              </w:rPr>
              <w:t>2023</w:t>
            </w:r>
          </w:p>
        </w:tc>
      </w:tr>
      <w:tr w:rsidR="00A155A2" w:rsidRPr="00FF23FD" w14:paraId="1616F541" w14:textId="77777777" w:rsidTr="001C77D2">
        <w:trPr>
          <w:trHeight w:val="51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174FD5FA" w14:textId="77777777" w:rsidR="00A155A2" w:rsidRPr="00FF23FD" w:rsidRDefault="00A155A2" w:rsidP="001C77D2">
            <w:pPr>
              <w:spacing w:line="240" w:lineRule="auto"/>
              <w:rPr>
                <w:rFonts w:ascii="Arial" w:eastAsia="Times New Roman" w:hAnsi="Arial" w:cs="Arial"/>
                <w:color w:val="FFFFFF"/>
                <w:sz w:val="20"/>
                <w:szCs w:val="20"/>
                <w:lang w:eastAsia="sl-SI"/>
              </w:rPr>
            </w:pPr>
          </w:p>
        </w:tc>
        <w:tc>
          <w:tcPr>
            <w:tcW w:w="1780" w:type="dxa"/>
            <w:tcBorders>
              <w:top w:val="nil"/>
              <w:left w:val="nil"/>
              <w:bottom w:val="single" w:sz="4" w:space="0" w:color="auto"/>
              <w:right w:val="single" w:sz="4" w:space="0" w:color="auto"/>
            </w:tcBorders>
            <w:shd w:val="clear" w:color="000000" w:fill="31869B"/>
            <w:vAlign w:val="center"/>
            <w:hideMark/>
          </w:tcPr>
          <w:p w14:paraId="6CD09316"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Število</w:t>
            </w:r>
          </w:p>
        </w:tc>
        <w:tc>
          <w:tcPr>
            <w:tcW w:w="1180" w:type="dxa"/>
            <w:tcBorders>
              <w:top w:val="nil"/>
              <w:left w:val="nil"/>
              <w:bottom w:val="single" w:sz="4" w:space="0" w:color="auto"/>
              <w:right w:val="single" w:sz="4" w:space="0" w:color="auto"/>
            </w:tcBorders>
            <w:shd w:val="clear" w:color="000000" w:fill="31869B"/>
            <w:vAlign w:val="center"/>
            <w:hideMark/>
          </w:tcPr>
          <w:p w14:paraId="18A7A6D6"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 xml:space="preserve">Znesek </w:t>
            </w:r>
            <w:r>
              <w:rPr>
                <w:rFonts w:ascii="Arial" w:eastAsia="Times New Roman" w:hAnsi="Arial" w:cs="Arial"/>
                <w:color w:val="FFFFFF"/>
                <w:sz w:val="20"/>
                <w:szCs w:val="20"/>
                <w:lang w:eastAsia="sl-SI"/>
              </w:rPr>
              <w:t>(</w:t>
            </w:r>
            <w:r w:rsidRPr="00FF23FD">
              <w:rPr>
                <w:rFonts w:ascii="Arial" w:eastAsia="Times New Roman" w:hAnsi="Arial" w:cs="Arial"/>
                <w:color w:val="FFFFFF"/>
                <w:sz w:val="20"/>
                <w:szCs w:val="20"/>
                <w:lang w:eastAsia="sl-SI"/>
              </w:rPr>
              <w:t xml:space="preserve">v </w:t>
            </w:r>
            <w:r>
              <w:rPr>
                <w:rFonts w:ascii="Arial" w:eastAsia="Times New Roman" w:hAnsi="Arial" w:cs="Arial"/>
                <w:color w:val="FFFFFF"/>
                <w:sz w:val="20"/>
                <w:szCs w:val="20"/>
                <w:lang w:eastAsia="sl-SI"/>
              </w:rPr>
              <w:t>EUR)</w:t>
            </w:r>
          </w:p>
        </w:tc>
        <w:tc>
          <w:tcPr>
            <w:tcW w:w="1120" w:type="dxa"/>
            <w:tcBorders>
              <w:top w:val="nil"/>
              <w:left w:val="nil"/>
              <w:bottom w:val="single" w:sz="4" w:space="0" w:color="auto"/>
              <w:right w:val="single" w:sz="4" w:space="0" w:color="auto"/>
            </w:tcBorders>
            <w:shd w:val="clear" w:color="000000" w:fill="31869B"/>
            <w:vAlign w:val="center"/>
            <w:hideMark/>
          </w:tcPr>
          <w:p w14:paraId="72B80C52" w14:textId="77777777" w:rsidR="00A155A2" w:rsidRPr="00FF23FD" w:rsidRDefault="00A155A2" w:rsidP="001C77D2">
            <w:pPr>
              <w:spacing w:line="240" w:lineRule="auto"/>
              <w:jc w:val="center"/>
              <w:rPr>
                <w:rFonts w:ascii="Arial" w:eastAsia="Times New Roman" w:hAnsi="Arial" w:cs="Arial"/>
                <w:color w:val="FFFFFF"/>
                <w:sz w:val="20"/>
                <w:szCs w:val="20"/>
                <w:lang w:eastAsia="sl-SI"/>
              </w:rPr>
            </w:pPr>
            <w:r w:rsidRPr="00FF23FD">
              <w:rPr>
                <w:rFonts w:ascii="Arial" w:eastAsia="Times New Roman" w:hAnsi="Arial" w:cs="Arial"/>
                <w:color w:val="FFFFFF"/>
                <w:sz w:val="20"/>
                <w:szCs w:val="20"/>
                <w:lang w:eastAsia="sl-SI"/>
              </w:rPr>
              <w:t>Število</w:t>
            </w:r>
          </w:p>
        </w:tc>
        <w:tc>
          <w:tcPr>
            <w:tcW w:w="1300" w:type="dxa"/>
            <w:tcBorders>
              <w:top w:val="nil"/>
              <w:left w:val="nil"/>
              <w:bottom w:val="single" w:sz="4" w:space="0" w:color="auto"/>
              <w:right w:val="single" w:sz="4" w:space="0" w:color="auto"/>
            </w:tcBorders>
            <w:shd w:val="clear" w:color="000000" w:fill="31869B"/>
            <w:vAlign w:val="center"/>
            <w:hideMark/>
          </w:tcPr>
          <w:p w14:paraId="19BDA8EB" w14:textId="77777777" w:rsidR="00A155A2" w:rsidRPr="007021DC" w:rsidRDefault="00A155A2" w:rsidP="001C77D2">
            <w:pPr>
              <w:spacing w:line="240" w:lineRule="auto"/>
              <w:jc w:val="center"/>
              <w:rPr>
                <w:rFonts w:ascii="Arial" w:eastAsia="Times New Roman" w:hAnsi="Arial" w:cs="Arial"/>
                <w:color w:val="FFFFFF"/>
                <w:sz w:val="20"/>
                <w:szCs w:val="20"/>
                <w:lang w:eastAsia="sl-SI"/>
              </w:rPr>
            </w:pPr>
            <w:r w:rsidRPr="007021DC">
              <w:rPr>
                <w:rFonts w:ascii="Arial" w:eastAsia="Times New Roman" w:hAnsi="Arial" w:cs="Arial"/>
                <w:color w:val="FFFFFF"/>
                <w:sz w:val="20"/>
                <w:szCs w:val="20"/>
                <w:lang w:eastAsia="sl-SI"/>
              </w:rPr>
              <w:t xml:space="preserve">Znesek </w:t>
            </w:r>
            <w:r>
              <w:rPr>
                <w:rFonts w:ascii="Arial" w:eastAsia="Times New Roman" w:hAnsi="Arial" w:cs="Arial"/>
                <w:color w:val="FFFFFF"/>
                <w:sz w:val="20"/>
                <w:szCs w:val="20"/>
                <w:lang w:eastAsia="sl-SI"/>
              </w:rPr>
              <w:t>(</w:t>
            </w:r>
            <w:r w:rsidRPr="007021DC">
              <w:rPr>
                <w:rFonts w:ascii="Arial" w:eastAsia="Times New Roman" w:hAnsi="Arial" w:cs="Arial"/>
                <w:color w:val="FFFFFF"/>
                <w:sz w:val="20"/>
                <w:szCs w:val="20"/>
                <w:lang w:eastAsia="sl-SI"/>
              </w:rPr>
              <w:t xml:space="preserve">v </w:t>
            </w:r>
            <w:r>
              <w:rPr>
                <w:rFonts w:ascii="Arial" w:eastAsia="Times New Roman" w:hAnsi="Arial" w:cs="Arial"/>
                <w:color w:val="FFFFFF"/>
                <w:sz w:val="20"/>
                <w:szCs w:val="20"/>
                <w:lang w:eastAsia="sl-SI"/>
              </w:rPr>
              <w:t>EUR)</w:t>
            </w:r>
          </w:p>
        </w:tc>
        <w:tc>
          <w:tcPr>
            <w:tcW w:w="980" w:type="dxa"/>
            <w:tcBorders>
              <w:top w:val="nil"/>
              <w:left w:val="nil"/>
              <w:bottom w:val="single" w:sz="4" w:space="0" w:color="auto"/>
              <w:right w:val="single" w:sz="4" w:space="0" w:color="auto"/>
            </w:tcBorders>
            <w:shd w:val="clear" w:color="000000" w:fill="31869B"/>
            <w:vAlign w:val="center"/>
            <w:hideMark/>
          </w:tcPr>
          <w:p w14:paraId="1C05EE0E" w14:textId="77777777" w:rsidR="00A155A2" w:rsidRPr="007021DC" w:rsidRDefault="00A155A2" w:rsidP="001C77D2">
            <w:pPr>
              <w:spacing w:line="240" w:lineRule="auto"/>
              <w:jc w:val="center"/>
              <w:rPr>
                <w:rFonts w:ascii="Arial" w:eastAsia="Times New Roman" w:hAnsi="Arial" w:cs="Arial"/>
                <w:color w:val="FFFFFF"/>
                <w:sz w:val="20"/>
                <w:szCs w:val="20"/>
                <w:lang w:eastAsia="sl-SI"/>
              </w:rPr>
            </w:pPr>
            <w:r w:rsidRPr="007021DC">
              <w:rPr>
                <w:rFonts w:ascii="Arial" w:eastAsia="Times New Roman" w:hAnsi="Arial" w:cs="Arial"/>
                <w:color w:val="FFFFFF"/>
                <w:sz w:val="20"/>
                <w:szCs w:val="20"/>
                <w:lang w:eastAsia="sl-SI"/>
              </w:rPr>
              <w:t>Število</w:t>
            </w:r>
          </w:p>
        </w:tc>
        <w:tc>
          <w:tcPr>
            <w:tcW w:w="840" w:type="dxa"/>
            <w:tcBorders>
              <w:top w:val="nil"/>
              <w:left w:val="nil"/>
              <w:bottom w:val="single" w:sz="4" w:space="0" w:color="auto"/>
              <w:right w:val="single" w:sz="4" w:space="0" w:color="auto"/>
            </w:tcBorders>
            <w:shd w:val="clear" w:color="000000" w:fill="31869B"/>
            <w:vAlign w:val="center"/>
            <w:hideMark/>
          </w:tcPr>
          <w:p w14:paraId="2A8A48C8" w14:textId="77777777" w:rsidR="00A155A2" w:rsidRPr="007021DC" w:rsidRDefault="00A155A2" w:rsidP="001C77D2">
            <w:pPr>
              <w:spacing w:line="240" w:lineRule="auto"/>
              <w:jc w:val="center"/>
              <w:rPr>
                <w:rFonts w:ascii="Arial" w:eastAsia="Times New Roman" w:hAnsi="Arial" w:cs="Arial"/>
                <w:color w:val="FFFFFF"/>
                <w:sz w:val="20"/>
                <w:szCs w:val="20"/>
                <w:lang w:eastAsia="sl-SI"/>
              </w:rPr>
            </w:pPr>
            <w:r w:rsidRPr="007021DC">
              <w:rPr>
                <w:rFonts w:ascii="Arial" w:eastAsia="Times New Roman" w:hAnsi="Arial" w:cs="Arial"/>
                <w:color w:val="FFFFFF"/>
                <w:sz w:val="20"/>
                <w:szCs w:val="20"/>
                <w:lang w:eastAsia="sl-SI"/>
              </w:rPr>
              <w:t xml:space="preserve">Znesek </w:t>
            </w:r>
          </w:p>
        </w:tc>
      </w:tr>
      <w:tr w:rsidR="00A155A2" w:rsidRPr="00FF23FD" w14:paraId="0399A074" w14:textId="77777777" w:rsidTr="001C77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9CB74DD" w14:textId="77777777" w:rsidR="00A155A2" w:rsidRPr="00FF23FD" w:rsidRDefault="00A155A2" w:rsidP="001C77D2">
            <w:pPr>
              <w:spacing w:line="240" w:lineRule="auto"/>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ZPIZ</w:t>
            </w:r>
          </w:p>
        </w:tc>
        <w:tc>
          <w:tcPr>
            <w:tcW w:w="1780" w:type="dxa"/>
            <w:tcBorders>
              <w:top w:val="nil"/>
              <w:left w:val="nil"/>
              <w:bottom w:val="single" w:sz="4" w:space="0" w:color="auto"/>
              <w:right w:val="single" w:sz="4" w:space="0" w:color="auto"/>
            </w:tcBorders>
            <w:shd w:val="clear" w:color="auto" w:fill="auto"/>
            <w:noWrap/>
            <w:vAlign w:val="center"/>
            <w:hideMark/>
          </w:tcPr>
          <w:p w14:paraId="5D4F093E"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386</w:t>
            </w:r>
          </w:p>
        </w:tc>
        <w:tc>
          <w:tcPr>
            <w:tcW w:w="1180" w:type="dxa"/>
            <w:tcBorders>
              <w:top w:val="nil"/>
              <w:left w:val="nil"/>
              <w:bottom w:val="single" w:sz="4" w:space="0" w:color="auto"/>
              <w:right w:val="single" w:sz="4" w:space="0" w:color="auto"/>
            </w:tcBorders>
            <w:shd w:val="clear" w:color="000000" w:fill="DAEEF3"/>
            <w:noWrap/>
            <w:vAlign w:val="center"/>
            <w:hideMark/>
          </w:tcPr>
          <w:p w14:paraId="3C2269E3"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2.863.527</w:t>
            </w:r>
          </w:p>
        </w:tc>
        <w:tc>
          <w:tcPr>
            <w:tcW w:w="1120" w:type="dxa"/>
            <w:tcBorders>
              <w:top w:val="nil"/>
              <w:left w:val="nil"/>
              <w:bottom w:val="single" w:sz="4" w:space="0" w:color="auto"/>
              <w:right w:val="single" w:sz="4" w:space="0" w:color="auto"/>
            </w:tcBorders>
            <w:shd w:val="clear" w:color="auto" w:fill="auto"/>
            <w:noWrap/>
            <w:vAlign w:val="center"/>
            <w:hideMark/>
          </w:tcPr>
          <w:p w14:paraId="0F45058E"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378</w:t>
            </w:r>
          </w:p>
        </w:tc>
        <w:tc>
          <w:tcPr>
            <w:tcW w:w="1300" w:type="dxa"/>
            <w:tcBorders>
              <w:top w:val="nil"/>
              <w:left w:val="nil"/>
              <w:bottom w:val="nil"/>
              <w:right w:val="nil"/>
            </w:tcBorders>
            <w:shd w:val="clear" w:color="000000" w:fill="DAEEF3"/>
            <w:noWrap/>
            <w:vAlign w:val="bottom"/>
            <w:hideMark/>
          </w:tcPr>
          <w:p w14:paraId="65F2D520"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2.921.639</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FE723D6"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97,9</w:t>
            </w:r>
          </w:p>
        </w:tc>
        <w:tc>
          <w:tcPr>
            <w:tcW w:w="840" w:type="dxa"/>
            <w:tcBorders>
              <w:top w:val="nil"/>
              <w:left w:val="nil"/>
              <w:bottom w:val="single" w:sz="4" w:space="0" w:color="auto"/>
              <w:right w:val="single" w:sz="4" w:space="0" w:color="auto"/>
            </w:tcBorders>
            <w:shd w:val="clear" w:color="auto" w:fill="auto"/>
            <w:noWrap/>
            <w:vAlign w:val="center"/>
            <w:hideMark/>
          </w:tcPr>
          <w:p w14:paraId="5156A235"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102,0</w:t>
            </w:r>
          </w:p>
        </w:tc>
      </w:tr>
      <w:tr w:rsidR="00A155A2" w:rsidRPr="00FF23FD" w14:paraId="3BD03134" w14:textId="77777777" w:rsidTr="001C77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7AD2369" w14:textId="77777777" w:rsidR="00A155A2" w:rsidRPr="00FF23FD" w:rsidRDefault="00A155A2" w:rsidP="001C77D2">
            <w:pPr>
              <w:spacing w:line="240" w:lineRule="auto"/>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ZZZS</w:t>
            </w:r>
          </w:p>
        </w:tc>
        <w:tc>
          <w:tcPr>
            <w:tcW w:w="1780" w:type="dxa"/>
            <w:tcBorders>
              <w:top w:val="nil"/>
              <w:left w:val="nil"/>
              <w:bottom w:val="single" w:sz="4" w:space="0" w:color="auto"/>
              <w:right w:val="single" w:sz="4" w:space="0" w:color="auto"/>
            </w:tcBorders>
            <w:shd w:val="clear" w:color="auto" w:fill="auto"/>
            <w:noWrap/>
            <w:vAlign w:val="center"/>
            <w:hideMark/>
          </w:tcPr>
          <w:p w14:paraId="08343F80"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398</w:t>
            </w:r>
          </w:p>
        </w:tc>
        <w:tc>
          <w:tcPr>
            <w:tcW w:w="1180" w:type="dxa"/>
            <w:tcBorders>
              <w:top w:val="nil"/>
              <w:left w:val="nil"/>
              <w:bottom w:val="single" w:sz="4" w:space="0" w:color="auto"/>
              <w:right w:val="single" w:sz="4" w:space="0" w:color="auto"/>
            </w:tcBorders>
            <w:shd w:val="clear" w:color="000000" w:fill="DAEEF3"/>
            <w:noWrap/>
            <w:vAlign w:val="center"/>
            <w:hideMark/>
          </w:tcPr>
          <w:p w14:paraId="5774C87F"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2.264.820</w:t>
            </w:r>
          </w:p>
        </w:tc>
        <w:tc>
          <w:tcPr>
            <w:tcW w:w="1120" w:type="dxa"/>
            <w:tcBorders>
              <w:top w:val="nil"/>
              <w:left w:val="nil"/>
              <w:bottom w:val="single" w:sz="4" w:space="0" w:color="auto"/>
              <w:right w:val="single" w:sz="4" w:space="0" w:color="auto"/>
            </w:tcBorders>
            <w:shd w:val="clear" w:color="auto" w:fill="auto"/>
            <w:noWrap/>
            <w:vAlign w:val="bottom"/>
            <w:hideMark/>
          </w:tcPr>
          <w:p w14:paraId="363C966A"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604</w:t>
            </w:r>
          </w:p>
        </w:tc>
        <w:tc>
          <w:tcPr>
            <w:tcW w:w="1300" w:type="dxa"/>
            <w:tcBorders>
              <w:top w:val="single" w:sz="4" w:space="0" w:color="auto"/>
              <w:left w:val="nil"/>
              <w:bottom w:val="single" w:sz="4" w:space="0" w:color="auto"/>
              <w:right w:val="single" w:sz="4" w:space="0" w:color="auto"/>
            </w:tcBorders>
            <w:shd w:val="clear" w:color="000000" w:fill="DAEEF3"/>
            <w:noWrap/>
            <w:vAlign w:val="bottom"/>
            <w:hideMark/>
          </w:tcPr>
          <w:p w14:paraId="4D633806"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3.306.364</w:t>
            </w:r>
          </w:p>
        </w:tc>
        <w:tc>
          <w:tcPr>
            <w:tcW w:w="980" w:type="dxa"/>
            <w:tcBorders>
              <w:top w:val="nil"/>
              <w:left w:val="nil"/>
              <w:bottom w:val="single" w:sz="4" w:space="0" w:color="auto"/>
              <w:right w:val="single" w:sz="4" w:space="0" w:color="auto"/>
            </w:tcBorders>
            <w:shd w:val="clear" w:color="auto" w:fill="auto"/>
            <w:noWrap/>
            <w:vAlign w:val="center"/>
            <w:hideMark/>
          </w:tcPr>
          <w:p w14:paraId="72691E03"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151,8</w:t>
            </w:r>
          </w:p>
        </w:tc>
        <w:tc>
          <w:tcPr>
            <w:tcW w:w="840" w:type="dxa"/>
            <w:tcBorders>
              <w:top w:val="nil"/>
              <w:left w:val="nil"/>
              <w:bottom w:val="single" w:sz="4" w:space="0" w:color="auto"/>
              <w:right w:val="single" w:sz="4" w:space="0" w:color="auto"/>
            </w:tcBorders>
            <w:shd w:val="clear" w:color="auto" w:fill="auto"/>
            <w:noWrap/>
            <w:vAlign w:val="center"/>
            <w:hideMark/>
          </w:tcPr>
          <w:p w14:paraId="45B13F24"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146,0</w:t>
            </w:r>
          </w:p>
        </w:tc>
      </w:tr>
      <w:tr w:rsidR="00A155A2" w:rsidRPr="00FF23FD" w14:paraId="52488E57" w14:textId="77777777" w:rsidTr="001C77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CFC6BA9" w14:textId="77777777" w:rsidR="00A155A2" w:rsidRPr="00FF23FD" w:rsidRDefault="00A155A2" w:rsidP="001C77D2">
            <w:pPr>
              <w:spacing w:line="240" w:lineRule="auto"/>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MDDSZ</w:t>
            </w:r>
          </w:p>
        </w:tc>
        <w:tc>
          <w:tcPr>
            <w:tcW w:w="1780" w:type="dxa"/>
            <w:tcBorders>
              <w:top w:val="nil"/>
              <w:left w:val="nil"/>
              <w:bottom w:val="single" w:sz="4" w:space="0" w:color="auto"/>
              <w:right w:val="single" w:sz="4" w:space="0" w:color="auto"/>
            </w:tcBorders>
            <w:shd w:val="clear" w:color="auto" w:fill="auto"/>
            <w:noWrap/>
            <w:vAlign w:val="center"/>
            <w:hideMark/>
          </w:tcPr>
          <w:p w14:paraId="3ABB0F15"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c>
          <w:tcPr>
            <w:tcW w:w="1180" w:type="dxa"/>
            <w:tcBorders>
              <w:top w:val="nil"/>
              <w:left w:val="nil"/>
              <w:bottom w:val="single" w:sz="4" w:space="0" w:color="auto"/>
              <w:right w:val="single" w:sz="4" w:space="0" w:color="auto"/>
            </w:tcBorders>
            <w:shd w:val="clear" w:color="auto" w:fill="auto"/>
            <w:noWrap/>
            <w:vAlign w:val="center"/>
            <w:hideMark/>
          </w:tcPr>
          <w:p w14:paraId="353E668E"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c>
          <w:tcPr>
            <w:tcW w:w="1120" w:type="dxa"/>
            <w:tcBorders>
              <w:top w:val="nil"/>
              <w:left w:val="nil"/>
              <w:bottom w:val="single" w:sz="4" w:space="0" w:color="auto"/>
              <w:right w:val="single" w:sz="4" w:space="0" w:color="auto"/>
            </w:tcBorders>
            <w:shd w:val="clear" w:color="auto" w:fill="auto"/>
            <w:noWrap/>
            <w:vAlign w:val="center"/>
            <w:hideMark/>
          </w:tcPr>
          <w:p w14:paraId="35F12BD4"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c>
          <w:tcPr>
            <w:tcW w:w="1300" w:type="dxa"/>
            <w:tcBorders>
              <w:top w:val="nil"/>
              <w:left w:val="nil"/>
              <w:bottom w:val="single" w:sz="4" w:space="0" w:color="auto"/>
              <w:right w:val="single" w:sz="4" w:space="0" w:color="auto"/>
            </w:tcBorders>
            <w:shd w:val="clear" w:color="auto" w:fill="auto"/>
            <w:noWrap/>
            <w:vAlign w:val="center"/>
            <w:hideMark/>
          </w:tcPr>
          <w:p w14:paraId="002B407B"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c>
          <w:tcPr>
            <w:tcW w:w="980" w:type="dxa"/>
            <w:tcBorders>
              <w:top w:val="nil"/>
              <w:left w:val="nil"/>
              <w:bottom w:val="single" w:sz="4" w:space="0" w:color="auto"/>
              <w:right w:val="single" w:sz="4" w:space="0" w:color="auto"/>
            </w:tcBorders>
            <w:shd w:val="clear" w:color="auto" w:fill="auto"/>
            <w:noWrap/>
            <w:vAlign w:val="center"/>
            <w:hideMark/>
          </w:tcPr>
          <w:p w14:paraId="165567B5"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c>
          <w:tcPr>
            <w:tcW w:w="840" w:type="dxa"/>
            <w:tcBorders>
              <w:top w:val="nil"/>
              <w:left w:val="nil"/>
              <w:bottom w:val="single" w:sz="4" w:space="0" w:color="auto"/>
              <w:right w:val="single" w:sz="4" w:space="0" w:color="auto"/>
            </w:tcBorders>
            <w:shd w:val="clear" w:color="auto" w:fill="auto"/>
            <w:noWrap/>
            <w:vAlign w:val="center"/>
            <w:hideMark/>
          </w:tcPr>
          <w:p w14:paraId="657846FF" w14:textId="77777777" w:rsidR="00A155A2" w:rsidRPr="00FF23FD" w:rsidRDefault="00A155A2" w:rsidP="001C77D2">
            <w:pPr>
              <w:spacing w:line="240" w:lineRule="auto"/>
              <w:jc w:val="center"/>
              <w:rPr>
                <w:rFonts w:ascii="Arial" w:eastAsia="Times New Roman" w:hAnsi="Arial" w:cs="Arial"/>
                <w:color w:val="000000"/>
                <w:sz w:val="20"/>
                <w:szCs w:val="20"/>
                <w:lang w:eastAsia="sl-SI"/>
              </w:rPr>
            </w:pPr>
            <w:r w:rsidRPr="00FF23FD">
              <w:rPr>
                <w:rFonts w:ascii="Arial" w:eastAsia="Times New Roman" w:hAnsi="Arial" w:cs="Arial"/>
                <w:color w:val="000000"/>
                <w:sz w:val="20"/>
                <w:szCs w:val="20"/>
                <w:lang w:eastAsia="sl-SI"/>
              </w:rPr>
              <w:t>/</w:t>
            </w:r>
          </w:p>
        </w:tc>
      </w:tr>
      <w:tr w:rsidR="00A155A2" w:rsidRPr="00FF23FD" w14:paraId="76FF1570" w14:textId="77777777" w:rsidTr="001C77D2">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898CA0" w14:textId="77777777" w:rsidR="00A155A2" w:rsidRPr="00FF23FD" w:rsidRDefault="00A155A2" w:rsidP="001C77D2">
            <w:pPr>
              <w:spacing w:line="240" w:lineRule="auto"/>
              <w:rPr>
                <w:rFonts w:ascii="Arial" w:eastAsia="Times New Roman" w:hAnsi="Arial" w:cs="Arial"/>
                <w:b/>
                <w:bCs/>
                <w:color w:val="000000"/>
                <w:sz w:val="20"/>
                <w:szCs w:val="20"/>
                <w:lang w:eastAsia="sl-SI"/>
              </w:rPr>
            </w:pPr>
            <w:r w:rsidRPr="00FF23FD">
              <w:rPr>
                <w:rFonts w:ascii="Arial" w:eastAsia="Times New Roman" w:hAnsi="Arial" w:cs="Arial"/>
                <w:b/>
                <w:bCs/>
                <w:color w:val="000000"/>
                <w:sz w:val="20"/>
                <w:szCs w:val="20"/>
                <w:lang w:eastAsia="sl-SI"/>
              </w:rPr>
              <w:t>Skupaj poslanih predlogov</w:t>
            </w:r>
          </w:p>
        </w:tc>
        <w:tc>
          <w:tcPr>
            <w:tcW w:w="1780" w:type="dxa"/>
            <w:tcBorders>
              <w:top w:val="nil"/>
              <w:left w:val="nil"/>
              <w:bottom w:val="single" w:sz="4" w:space="0" w:color="auto"/>
              <w:right w:val="single" w:sz="4" w:space="0" w:color="auto"/>
            </w:tcBorders>
            <w:shd w:val="clear" w:color="auto" w:fill="auto"/>
            <w:noWrap/>
            <w:vAlign w:val="center"/>
            <w:hideMark/>
          </w:tcPr>
          <w:p w14:paraId="6BE4BAFA" w14:textId="77777777" w:rsidR="00A155A2" w:rsidRPr="00FF23FD" w:rsidRDefault="00A155A2" w:rsidP="001C77D2">
            <w:pPr>
              <w:spacing w:line="240" w:lineRule="auto"/>
              <w:jc w:val="center"/>
              <w:rPr>
                <w:rFonts w:ascii="Arial" w:eastAsia="Times New Roman" w:hAnsi="Arial" w:cs="Arial"/>
                <w:b/>
                <w:bCs/>
                <w:color w:val="000000"/>
                <w:sz w:val="20"/>
                <w:szCs w:val="20"/>
                <w:lang w:eastAsia="sl-SI"/>
              </w:rPr>
            </w:pPr>
            <w:r w:rsidRPr="00FF23FD">
              <w:rPr>
                <w:rFonts w:ascii="Arial" w:eastAsia="Times New Roman" w:hAnsi="Arial" w:cs="Arial"/>
                <w:b/>
                <w:bCs/>
                <w:color w:val="000000"/>
                <w:sz w:val="20"/>
                <w:szCs w:val="20"/>
                <w:lang w:eastAsia="sl-SI"/>
              </w:rPr>
              <w:t>784</w:t>
            </w:r>
          </w:p>
        </w:tc>
        <w:tc>
          <w:tcPr>
            <w:tcW w:w="1180" w:type="dxa"/>
            <w:tcBorders>
              <w:top w:val="nil"/>
              <w:left w:val="nil"/>
              <w:bottom w:val="single" w:sz="4" w:space="0" w:color="auto"/>
              <w:right w:val="single" w:sz="4" w:space="0" w:color="auto"/>
            </w:tcBorders>
            <w:shd w:val="clear" w:color="000000" w:fill="DAEEF3"/>
            <w:noWrap/>
            <w:vAlign w:val="center"/>
            <w:hideMark/>
          </w:tcPr>
          <w:p w14:paraId="40E5F564" w14:textId="77777777" w:rsidR="00A155A2" w:rsidRPr="00FF23FD" w:rsidRDefault="00A155A2" w:rsidP="001C77D2">
            <w:pPr>
              <w:spacing w:line="240" w:lineRule="auto"/>
              <w:jc w:val="center"/>
              <w:rPr>
                <w:rFonts w:ascii="Arial" w:eastAsia="Times New Roman" w:hAnsi="Arial" w:cs="Arial"/>
                <w:b/>
                <w:bCs/>
                <w:sz w:val="20"/>
                <w:szCs w:val="20"/>
                <w:lang w:eastAsia="sl-SI"/>
              </w:rPr>
            </w:pPr>
            <w:r w:rsidRPr="00FF23FD">
              <w:rPr>
                <w:rFonts w:ascii="Arial" w:eastAsia="Times New Roman" w:hAnsi="Arial" w:cs="Arial"/>
                <w:b/>
                <w:bCs/>
                <w:sz w:val="20"/>
                <w:szCs w:val="20"/>
                <w:lang w:eastAsia="sl-SI"/>
              </w:rPr>
              <w:t>5.128.347</w:t>
            </w:r>
          </w:p>
        </w:tc>
        <w:tc>
          <w:tcPr>
            <w:tcW w:w="1120" w:type="dxa"/>
            <w:tcBorders>
              <w:top w:val="nil"/>
              <w:left w:val="nil"/>
              <w:bottom w:val="single" w:sz="4" w:space="0" w:color="auto"/>
              <w:right w:val="single" w:sz="4" w:space="0" w:color="auto"/>
            </w:tcBorders>
            <w:shd w:val="clear" w:color="auto" w:fill="auto"/>
            <w:noWrap/>
            <w:vAlign w:val="center"/>
            <w:hideMark/>
          </w:tcPr>
          <w:p w14:paraId="5103DECF" w14:textId="77777777" w:rsidR="00A155A2" w:rsidRPr="00FF23FD" w:rsidRDefault="00A155A2" w:rsidP="001C77D2">
            <w:pPr>
              <w:spacing w:line="240" w:lineRule="auto"/>
              <w:jc w:val="center"/>
              <w:rPr>
                <w:rFonts w:ascii="Arial" w:eastAsia="Times New Roman" w:hAnsi="Arial" w:cs="Arial"/>
                <w:b/>
                <w:bCs/>
                <w:color w:val="000000"/>
                <w:sz w:val="20"/>
                <w:szCs w:val="20"/>
                <w:lang w:eastAsia="sl-SI"/>
              </w:rPr>
            </w:pPr>
            <w:r w:rsidRPr="00FF23FD">
              <w:rPr>
                <w:rFonts w:ascii="Arial" w:eastAsia="Times New Roman" w:hAnsi="Arial" w:cs="Arial"/>
                <w:b/>
                <w:bCs/>
                <w:color w:val="000000"/>
                <w:sz w:val="20"/>
                <w:szCs w:val="20"/>
                <w:lang w:eastAsia="sl-SI"/>
              </w:rPr>
              <w:t>982</w:t>
            </w:r>
          </w:p>
        </w:tc>
        <w:tc>
          <w:tcPr>
            <w:tcW w:w="1300" w:type="dxa"/>
            <w:tcBorders>
              <w:top w:val="nil"/>
              <w:left w:val="nil"/>
              <w:bottom w:val="single" w:sz="4" w:space="0" w:color="auto"/>
              <w:right w:val="single" w:sz="4" w:space="0" w:color="auto"/>
            </w:tcBorders>
            <w:shd w:val="clear" w:color="000000" w:fill="DAEEF3"/>
            <w:noWrap/>
            <w:vAlign w:val="center"/>
            <w:hideMark/>
          </w:tcPr>
          <w:p w14:paraId="1C87911B" w14:textId="77777777" w:rsidR="00A155A2" w:rsidRPr="00FF23FD" w:rsidRDefault="00A155A2" w:rsidP="001C77D2">
            <w:pPr>
              <w:spacing w:line="240" w:lineRule="auto"/>
              <w:jc w:val="center"/>
              <w:rPr>
                <w:rFonts w:ascii="Arial" w:eastAsia="Times New Roman" w:hAnsi="Arial" w:cs="Arial"/>
                <w:b/>
                <w:bCs/>
                <w:sz w:val="20"/>
                <w:szCs w:val="20"/>
                <w:lang w:eastAsia="sl-SI"/>
              </w:rPr>
            </w:pPr>
            <w:r w:rsidRPr="00FF23FD">
              <w:rPr>
                <w:rFonts w:ascii="Arial" w:eastAsia="Times New Roman" w:hAnsi="Arial" w:cs="Arial"/>
                <w:b/>
                <w:bCs/>
                <w:sz w:val="20"/>
                <w:szCs w:val="20"/>
                <w:lang w:eastAsia="sl-SI"/>
              </w:rPr>
              <w:t>6.228.003</w:t>
            </w:r>
          </w:p>
        </w:tc>
        <w:tc>
          <w:tcPr>
            <w:tcW w:w="980" w:type="dxa"/>
            <w:tcBorders>
              <w:top w:val="nil"/>
              <w:left w:val="nil"/>
              <w:bottom w:val="single" w:sz="4" w:space="0" w:color="auto"/>
              <w:right w:val="single" w:sz="4" w:space="0" w:color="auto"/>
            </w:tcBorders>
            <w:shd w:val="clear" w:color="auto" w:fill="auto"/>
            <w:noWrap/>
            <w:vAlign w:val="center"/>
            <w:hideMark/>
          </w:tcPr>
          <w:p w14:paraId="17D66D7C"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125,3</w:t>
            </w:r>
          </w:p>
        </w:tc>
        <w:tc>
          <w:tcPr>
            <w:tcW w:w="840" w:type="dxa"/>
            <w:tcBorders>
              <w:top w:val="nil"/>
              <w:left w:val="nil"/>
              <w:bottom w:val="single" w:sz="4" w:space="0" w:color="auto"/>
              <w:right w:val="single" w:sz="4" w:space="0" w:color="auto"/>
            </w:tcBorders>
            <w:shd w:val="clear" w:color="auto" w:fill="auto"/>
            <w:noWrap/>
            <w:vAlign w:val="center"/>
            <w:hideMark/>
          </w:tcPr>
          <w:p w14:paraId="1832FC20" w14:textId="77777777" w:rsidR="00A155A2" w:rsidRPr="00FF23FD" w:rsidRDefault="00A155A2" w:rsidP="001C77D2">
            <w:pPr>
              <w:spacing w:line="240" w:lineRule="auto"/>
              <w:jc w:val="center"/>
              <w:rPr>
                <w:rFonts w:ascii="Arial" w:eastAsia="Times New Roman" w:hAnsi="Arial" w:cs="Arial"/>
                <w:sz w:val="20"/>
                <w:szCs w:val="20"/>
                <w:lang w:eastAsia="sl-SI"/>
              </w:rPr>
            </w:pPr>
            <w:r w:rsidRPr="00FF23FD">
              <w:rPr>
                <w:rFonts w:ascii="Arial" w:eastAsia="Times New Roman" w:hAnsi="Arial" w:cs="Arial"/>
                <w:sz w:val="20"/>
                <w:szCs w:val="20"/>
                <w:lang w:eastAsia="sl-SI"/>
              </w:rPr>
              <w:t>121,4</w:t>
            </w:r>
          </w:p>
        </w:tc>
      </w:tr>
    </w:tbl>
    <w:p w14:paraId="32E66445"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4BA18B33" w14:textId="77777777" w:rsidR="00A155A2" w:rsidRDefault="00A155A2" w:rsidP="00A155A2">
      <w:pPr>
        <w:jc w:val="both"/>
        <w:rPr>
          <w:rFonts w:ascii="Arial" w:eastAsia="Times New Roman" w:hAnsi="Arial" w:cs="Arial"/>
          <w:iCs/>
          <w:sz w:val="20"/>
          <w:szCs w:val="20"/>
          <w:lang w:eastAsia="sl-SI"/>
        </w:rPr>
      </w:pPr>
      <w:r>
        <w:rPr>
          <w:rFonts w:ascii="Arial" w:eastAsia="Times New Roman" w:hAnsi="Arial" w:cs="Arial"/>
          <w:iCs/>
          <w:sz w:val="20"/>
          <w:szCs w:val="20"/>
          <w:lang w:eastAsia="sl-SI"/>
        </w:rPr>
        <w:t>Od</w:t>
      </w:r>
      <w:r w:rsidRPr="00FF23FD">
        <w:rPr>
          <w:rFonts w:ascii="Arial" w:eastAsia="Times New Roman" w:hAnsi="Arial" w:cs="Arial"/>
          <w:iCs/>
          <w:sz w:val="20"/>
          <w:szCs w:val="20"/>
          <w:lang w:eastAsia="sl-SI"/>
        </w:rPr>
        <w:t xml:space="preserve"> nosilcev socialne varnosti v Sloveniji je F</w:t>
      </w:r>
      <w:r>
        <w:rPr>
          <w:rFonts w:ascii="Arial" w:eastAsia="Times New Roman" w:hAnsi="Arial" w:cs="Arial"/>
          <w:iCs/>
          <w:sz w:val="20"/>
          <w:szCs w:val="20"/>
          <w:lang w:eastAsia="sl-SI"/>
        </w:rPr>
        <w:t xml:space="preserve">URS </w:t>
      </w:r>
      <w:r w:rsidRPr="00FF23FD">
        <w:rPr>
          <w:rFonts w:ascii="Arial" w:eastAsia="Times New Roman" w:hAnsi="Arial" w:cs="Arial"/>
          <w:iCs/>
          <w:sz w:val="20"/>
          <w:szCs w:val="20"/>
          <w:lang w:eastAsia="sl-SI"/>
        </w:rPr>
        <w:t>prejel</w:t>
      </w:r>
      <w:r>
        <w:rPr>
          <w:rFonts w:ascii="Arial" w:eastAsia="Times New Roman" w:hAnsi="Arial" w:cs="Arial"/>
          <w:iCs/>
          <w:sz w:val="20"/>
          <w:szCs w:val="20"/>
          <w:lang w:eastAsia="sl-SI"/>
        </w:rPr>
        <w:t xml:space="preserve"> </w:t>
      </w:r>
      <w:r w:rsidRPr="00FF23FD">
        <w:rPr>
          <w:rFonts w:ascii="Arial" w:eastAsia="Times New Roman" w:hAnsi="Arial" w:cs="Arial"/>
          <w:iCs/>
          <w:sz w:val="20"/>
          <w:szCs w:val="20"/>
          <w:lang w:eastAsia="sl-SI"/>
        </w:rPr>
        <w:t>118 zahtevkov za izterjavo prispevkov za druge države članice EU v skupn</w:t>
      </w:r>
      <w:r>
        <w:rPr>
          <w:rFonts w:ascii="Arial" w:eastAsia="Times New Roman" w:hAnsi="Arial" w:cs="Arial"/>
          <w:iCs/>
          <w:sz w:val="20"/>
          <w:szCs w:val="20"/>
          <w:lang w:eastAsia="sl-SI"/>
        </w:rPr>
        <w:t>em znesku</w:t>
      </w:r>
      <w:r w:rsidRPr="00FF23FD">
        <w:rPr>
          <w:rFonts w:ascii="Arial" w:eastAsia="Times New Roman" w:hAnsi="Arial" w:cs="Arial"/>
          <w:iCs/>
          <w:sz w:val="20"/>
          <w:szCs w:val="20"/>
          <w:lang w:eastAsia="sl-SI"/>
        </w:rPr>
        <w:t xml:space="preserve"> 443.378 </w:t>
      </w:r>
      <w:r>
        <w:rPr>
          <w:rFonts w:ascii="Arial" w:eastAsia="Times New Roman" w:hAnsi="Arial" w:cs="Arial"/>
          <w:iCs/>
          <w:sz w:val="20"/>
          <w:szCs w:val="20"/>
          <w:lang w:eastAsia="sl-SI"/>
        </w:rPr>
        <w:t>EUR</w:t>
      </w:r>
      <w:r w:rsidRPr="00FF23FD">
        <w:rPr>
          <w:rFonts w:ascii="Arial" w:eastAsia="Times New Roman" w:hAnsi="Arial" w:cs="Arial"/>
          <w:iCs/>
          <w:sz w:val="20"/>
          <w:szCs w:val="20"/>
          <w:lang w:eastAsia="sl-SI"/>
        </w:rPr>
        <w:t xml:space="preserve">. Na podlagi izvedenih ukrepov je bilo izterjanega za 125.276 </w:t>
      </w:r>
      <w:r>
        <w:rPr>
          <w:rFonts w:ascii="Arial" w:eastAsia="Times New Roman" w:hAnsi="Arial" w:cs="Arial"/>
          <w:iCs/>
          <w:sz w:val="20"/>
          <w:szCs w:val="20"/>
          <w:lang w:eastAsia="sl-SI"/>
        </w:rPr>
        <w:t>EUR</w:t>
      </w:r>
      <w:r w:rsidRPr="00FF23FD">
        <w:rPr>
          <w:rFonts w:ascii="Arial" w:eastAsia="Times New Roman" w:hAnsi="Arial" w:cs="Arial"/>
          <w:iCs/>
          <w:sz w:val="20"/>
          <w:szCs w:val="20"/>
          <w:lang w:eastAsia="sl-SI"/>
        </w:rPr>
        <w:t xml:space="preserve"> dolga.</w:t>
      </w:r>
    </w:p>
    <w:p w14:paraId="0F65FF18" w14:textId="77777777" w:rsidR="00A155A2" w:rsidRDefault="00A155A2" w:rsidP="00A155A2">
      <w:pPr>
        <w:pStyle w:val="FURSNavaden"/>
        <w:rPr>
          <w:rFonts w:eastAsia="Times New Roman" w:cs="Arial"/>
          <w:i/>
          <w:szCs w:val="20"/>
        </w:rPr>
      </w:pPr>
      <w:r w:rsidRPr="009F62ED">
        <w:rPr>
          <w:rFonts w:eastAsia="Times New Roman" w:cs="Arial"/>
          <w:i/>
          <w:szCs w:val="20"/>
        </w:rPr>
        <w:t>Preglednica 2</w:t>
      </w:r>
      <w:r>
        <w:rPr>
          <w:rFonts w:eastAsia="Times New Roman" w:cs="Arial"/>
          <w:i/>
          <w:szCs w:val="20"/>
        </w:rPr>
        <w:t>4</w:t>
      </w:r>
      <w:r w:rsidRPr="009F62ED">
        <w:rPr>
          <w:rFonts w:eastAsia="Times New Roman" w:cs="Arial"/>
          <w:i/>
          <w:szCs w:val="20"/>
        </w:rPr>
        <w:t xml:space="preserve">: Prejeta zaprosila za izterjavo prispevkov, ki so jih nosilci socialne varnosti </w:t>
      </w:r>
      <w:r>
        <w:rPr>
          <w:rFonts w:eastAsia="Times New Roman" w:cs="Arial"/>
          <w:i/>
          <w:szCs w:val="20"/>
        </w:rPr>
        <w:t xml:space="preserve">predložili </w:t>
      </w:r>
      <w:r w:rsidRPr="009F62ED">
        <w:rPr>
          <w:rFonts w:eastAsia="Times New Roman" w:cs="Arial"/>
          <w:i/>
          <w:szCs w:val="20"/>
        </w:rPr>
        <w:t>FURS</w:t>
      </w:r>
    </w:p>
    <w:p w14:paraId="56F7EDD8" w14:textId="77777777" w:rsidR="00A155A2" w:rsidRDefault="00A155A2" w:rsidP="00A155A2">
      <w:pPr>
        <w:pStyle w:val="FURSNavaden"/>
        <w:rPr>
          <w:rFonts w:eastAsia="Times New Roman" w:cs="Arial"/>
          <w:i/>
          <w:szCs w:val="20"/>
        </w:rPr>
      </w:pPr>
    </w:p>
    <w:tbl>
      <w:tblPr>
        <w:tblW w:w="7853" w:type="dxa"/>
        <w:tblCellMar>
          <w:left w:w="70" w:type="dxa"/>
          <w:right w:w="70" w:type="dxa"/>
        </w:tblCellMar>
        <w:tblLook w:val="04A0" w:firstRow="1" w:lastRow="0" w:firstColumn="1" w:lastColumn="0" w:noHBand="0" w:noVBand="1"/>
      </w:tblPr>
      <w:tblGrid>
        <w:gridCol w:w="891"/>
        <w:gridCol w:w="1560"/>
        <w:gridCol w:w="891"/>
        <w:gridCol w:w="891"/>
        <w:gridCol w:w="891"/>
        <w:gridCol w:w="891"/>
        <w:gridCol w:w="872"/>
        <w:gridCol w:w="966"/>
      </w:tblGrid>
      <w:tr w:rsidR="00A155A2" w:rsidRPr="00FF23FD" w14:paraId="7A018A5C" w14:textId="77777777" w:rsidTr="001C77D2">
        <w:trPr>
          <w:trHeight w:val="497"/>
        </w:trPr>
        <w:tc>
          <w:tcPr>
            <w:tcW w:w="891" w:type="dxa"/>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14:paraId="006C652B"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Nosilec socialne varnosti</w:t>
            </w:r>
          </w:p>
        </w:tc>
        <w:tc>
          <w:tcPr>
            <w:tcW w:w="1560" w:type="dxa"/>
            <w:tcBorders>
              <w:top w:val="single" w:sz="4" w:space="0" w:color="auto"/>
              <w:left w:val="nil"/>
              <w:bottom w:val="single" w:sz="4" w:space="0" w:color="auto"/>
              <w:right w:val="single" w:sz="4" w:space="0" w:color="auto"/>
            </w:tcBorders>
            <w:shd w:val="clear" w:color="000000" w:fill="31869B"/>
            <w:vAlign w:val="center"/>
            <w:hideMark/>
          </w:tcPr>
          <w:p w14:paraId="5971D319"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w:t>
            </w:r>
          </w:p>
        </w:tc>
        <w:tc>
          <w:tcPr>
            <w:tcW w:w="1782" w:type="dxa"/>
            <w:gridSpan w:val="2"/>
            <w:tcBorders>
              <w:top w:val="single" w:sz="4" w:space="0" w:color="auto"/>
              <w:left w:val="nil"/>
              <w:bottom w:val="single" w:sz="4" w:space="0" w:color="auto"/>
              <w:right w:val="single" w:sz="4" w:space="0" w:color="auto"/>
            </w:tcBorders>
            <w:shd w:val="clear" w:color="000000" w:fill="31869B"/>
            <w:vAlign w:val="center"/>
            <w:hideMark/>
          </w:tcPr>
          <w:p w14:paraId="7EBC53ED"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2023</w:t>
            </w:r>
          </w:p>
        </w:tc>
        <w:tc>
          <w:tcPr>
            <w:tcW w:w="1782" w:type="dxa"/>
            <w:gridSpan w:val="2"/>
            <w:tcBorders>
              <w:top w:val="single" w:sz="4" w:space="0" w:color="auto"/>
              <w:left w:val="nil"/>
              <w:bottom w:val="single" w:sz="4" w:space="0" w:color="auto"/>
              <w:right w:val="single" w:sz="4" w:space="0" w:color="auto"/>
            </w:tcBorders>
            <w:shd w:val="clear" w:color="000000" w:fill="31869B"/>
            <w:noWrap/>
            <w:vAlign w:val="center"/>
            <w:hideMark/>
          </w:tcPr>
          <w:p w14:paraId="19EC9B58"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2024</w:t>
            </w:r>
          </w:p>
        </w:tc>
        <w:tc>
          <w:tcPr>
            <w:tcW w:w="1838" w:type="dxa"/>
            <w:gridSpan w:val="2"/>
            <w:tcBorders>
              <w:top w:val="single" w:sz="4" w:space="0" w:color="auto"/>
              <w:left w:val="nil"/>
              <w:bottom w:val="single" w:sz="4" w:space="0" w:color="auto"/>
              <w:right w:val="single" w:sz="4" w:space="0" w:color="auto"/>
            </w:tcBorders>
            <w:shd w:val="clear" w:color="000000" w:fill="31869B"/>
            <w:vAlign w:val="center"/>
            <w:hideMark/>
          </w:tcPr>
          <w:p w14:paraId="25103658"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Indeks 2024</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w:t>
            </w:r>
            <w:r>
              <w:rPr>
                <w:rFonts w:ascii="Arial" w:eastAsia="Times New Roman" w:hAnsi="Arial" w:cs="Arial"/>
                <w:b/>
                <w:bCs/>
                <w:color w:val="FFFFFF"/>
                <w:sz w:val="18"/>
                <w:szCs w:val="18"/>
                <w:lang w:eastAsia="sl-SI"/>
              </w:rPr>
              <w:t xml:space="preserve"> </w:t>
            </w:r>
            <w:r w:rsidRPr="00FF23FD">
              <w:rPr>
                <w:rFonts w:ascii="Arial" w:eastAsia="Times New Roman" w:hAnsi="Arial" w:cs="Arial"/>
                <w:b/>
                <w:bCs/>
                <w:color w:val="FFFFFF"/>
                <w:sz w:val="18"/>
                <w:szCs w:val="18"/>
                <w:lang w:eastAsia="sl-SI"/>
              </w:rPr>
              <w:t>2023</w:t>
            </w:r>
          </w:p>
        </w:tc>
      </w:tr>
      <w:tr w:rsidR="00A155A2" w:rsidRPr="00FF23FD" w14:paraId="2D451A69" w14:textId="77777777" w:rsidTr="001C77D2">
        <w:trPr>
          <w:trHeight w:val="993"/>
        </w:trPr>
        <w:tc>
          <w:tcPr>
            <w:tcW w:w="891" w:type="dxa"/>
            <w:vMerge/>
            <w:tcBorders>
              <w:top w:val="single" w:sz="4" w:space="0" w:color="auto"/>
              <w:left w:val="single" w:sz="4" w:space="0" w:color="auto"/>
              <w:bottom w:val="single" w:sz="4" w:space="0" w:color="auto"/>
              <w:right w:val="single" w:sz="4" w:space="0" w:color="auto"/>
            </w:tcBorders>
            <w:vAlign w:val="center"/>
            <w:hideMark/>
          </w:tcPr>
          <w:p w14:paraId="2825D4B3" w14:textId="77777777" w:rsidR="00A155A2" w:rsidRPr="00FF23FD" w:rsidRDefault="00A155A2" w:rsidP="001C77D2">
            <w:pPr>
              <w:spacing w:line="240" w:lineRule="auto"/>
              <w:rPr>
                <w:rFonts w:ascii="Arial" w:eastAsia="Times New Roman" w:hAnsi="Arial" w:cs="Arial"/>
                <w:b/>
                <w:bCs/>
                <w:color w:val="FFFFFF"/>
                <w:sz w:val="18"/>
                <w:szCs w:val="18"/>
                <w:lang w:eastAsia="sl-SI"/>
              </w:rPr>
            </w:pPr>
          </w:p>
        </w:tc>
        <w:tc>
          <w:tcPr>
            <w:tcW w:w="1560" w:type="dxa"/>
            <w:tcBorders>
              <w:top w:val="nil"/>
              <w:left w:val="nil"/>
              <w:bottom w:val="single" w:sz="4" w:space="0" w:color="auto"/>
              <w:right w:val="single" w:sz="4" w:space="0" w:color="auto"/>
            </w:tcBorders>
            <w:shd w:val="clear" w:color="000000" w:fill="31869B"/>
            <w:vAlign w:val="center"/>
            <w:hideMark/>
          </w:tcPr>
          <w:p w14:paraId="4E5D9272"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Število </w:t>
            </w:r>
            <w:r w:rsidRPr="007021DC">
              <w:rPr>
                <w:rFonts w:ascii="Arial" w:eastAsia="Times New Roman" w:hAnsi="Arial" w:cs="Arial"/>
                <w:b/>
                <w:bCs/>
                <w:color w:val="FFFFFF"/>
                <w:sz w:val="18"/>
                <w:szCs w:val="18"/>
                <w:lang w:eastAsia="sl-SI"/>
              </w:rPr>
              <w:t>predlogov/</w:t>
            </w:r>
            <w:r w:rsidRPr="00FF23FD">
              <w:rPr>
                <w:rFonts w:ascii="Arial" w:eastAsia="Times New Roman" w:hAnsi="Arial" w:cs="Arial"/>
                <w:b/>
                <w:bCs/>
                <w:color w:val="FFFFFF"/>
                <w:sz w:val="18"/>
                <w:szCs w:val="18"/>
                <w:lang w:eastAsia="sl-SI"/>
              </w:rPr>
              <w:t xml:space="preserve"> prejeta plačila</w:t>
            </w:r>
          </w:p>
        </w:tc>
        <w:tc>
          <w:tcPr>
            <w:tcW w:w="891" w:type="dxa"/>
            <w:tcBorders>
              <w:top w:val="nil"/>
              <w:left w:val="nil"/>
              <w:bottom w:val="single" w:sz="4" w:space="0" w:color="auto"/>
              <w:right w:val="single" w:sz="4" w:space="0" w:color="auto"/>
            </w:tcBorders>
            <w:shd w:val="clear" w:color="000000" w:fill="31869B"/>
            <w:vAlign w:val="center"/>
            <w:hideMark/>
          </w:tcPr>
          <w:p w14:paraId="76C7FAD3"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Število</w:t>
            </w:r>
          </w:p>
        </w:tc>
        <w:tc>
          <w:tcPr>
            <w:tcW w:w="891" w:type="dxa"/>
            <w:tcBorders>
              <w:top w:val="nil"/>
              <w:left w:val="nil"/>
              <w:bottom w:val="single" w:sz="4" w:space="0" w:color="auto"/>
              <w:right w:val="single" w:sz="4" w:space="0" w:color="auto"/>
            </w:tcBorders>
            <w:shd w:val="clear" w:color="000000" w:fill="31869B"/>
            <w:vAlign w:val="center"/>
            <w:hideMark/>
          </w:tcPr>
          <w:p w14:paraId="70EE6191" w14:textId="77777777" w:rsidR="00A155A2" w:rsidRPr="00FF23FD" w:rsidRDefault="00A155A2" w:rsidP="001C77D2">
            <w:pPr>
              <w:spacing w:line="240" w:lineRule="auto"/>
              <w:jc w:val="center"/>
              <w:rPr>
                <w:rFonts w:ascii="Arial" w:eastAsia="Times New Roman" w:hAnsi="Arial" w:cs="Arial"/>
                <w:b/>
                <w:bCs/>
                <w:color w:val="FFFFFF"/>
                <w:sz w:val="18"/>
                <w:szCs w:val="18"/>
                <w:lang w:eastAsia="sl-SI"/>
              </w:rPr>
            </w:pPr>
            <w:r w:rsidRPr="00FF23FD">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FF23FD">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91" w:type="dxa"/>
            <w:tcBorders>
              <w:top w:val="nil"/>
              <w:left w:val="nil"/>
              <w:bottom w:val="single" w:sz="4" w:space="0" w:color="auto"/>
              <w:right w:val="single" w:sz="4" w:space="0" w:color="auto"/>
            </w:tcBorders>
            <w:shd w:val="clear" w:color="000000" w:fill="31869B"/>
            <w:vAlign w:val="center"/>
            <w:hideMark/>
          </w:tcPr>
          <w:p w14:paraId="0421EDB1" w14:textId="77777777" w:rsidR="00A155A2" w:rsidRPr="007021DC" w:rsidRDefault="00A155A2" w:rsidP="001C77D2">
            <w:pPr>
              <w:spacing w:line="240" w:lineRule="auto"/>
              <w:jc w:val="center"/>
              <w:rPr>
                <w:rFonts w:ascii="Arial" w:eastAsia="Times New Roman" w:hAnsi="Arial" w:cs="Arial"/>
                <w:b/>
                <w:bCs/>
                <w:color w:val="FFFFFF"/>
                <w:sz w:val="18"/>
                <w:szCs w:val="18"/>
                <w:lang w:eastAsia="sl-SI"/>
              </w:rPr>
            </w:pPr>
            <w:r w:rsidRPr="007021DC">
              <w:rPr>
                <w:rFonts w:ascii="Arial" w:eastAsia="Times New Roman" w:hAnsi="Arial" w:cs="Arial"/>
                <w:b/>
                <w:bCs/>
                <w:color w:val="FFFFFF"/>
                <w:sz w:val="18"/>
                <w:szCs w:val="18"/>
                <w:lang w:eastAsia="sl-SI"/>
              </w:rPr>
              <w:t>Število</w:t>
            </w:r>
          </w:p>
        </w:tc>
        <w:tc>
          <w:tcPr>
            <w:tcW w:w="891" w:type="dxa"/>
            <w:tcBorders>
              <w:top w:val="nil"/>
              <w:left w:val="nil"/>
              <w:bottom w:val="single" w:sz="4" w:space="0" w:color="auto"/>
              <w:right w:val="single" w:sz="4" w:space="0" w:color="auto"/>
            </w:tcBorders>
            <w:shd w:val="clear" w:color="000000" w:fill="31869B"/>
            <w:vAlign w:val="center"/>
            <w:hideMark/>
          </w:tcPr>
          <w:p w14:paraId="24A85613" w14:textId="77777777" w:rsidR="00A155A2" w:rsidRPr="007021DC" w:rsidRDefault="00A155A2" w:rsidP="001C77D2">
            <w:pPr>
              <w:spacing w:line="240" w:lineRule="auto"/>
              <w:jc w:val="center"/>
              <w:rPr>
                <w:rFonts w:ascii="Arial" w:eastAsia="Times New Roman" w:hAnsi="Arial" w:cs="Arial"/>
                <w:b/>
                <w:bCs/>
                <w:color w:val="FFFFFF"/>
                <w:sz w:val="18"/>
                <w:szCs w:val="18"/>
                <w:lang w:eastAsia="sl-SI"/>
              </w:rPr>
            </w:pPr>
            <w:r w:rsidRPr="007021DC">
              <w:rPr>
                <w:rFonts w:ascii="Arial" w:eastAsia="Times New Roman" w:hAnsi="Arial" w:cs="Arial"/>
                <w:b/>
                <w:bCs/>
                <w:color w:val="FFFFFF"/>
                <w:sz w:val="18"/>
                <w:szCs w:val="18"/>
                <w:lang w:eastAsia="sl-SI"/>
              </w:rPr>
              <w:t xml:space="preserve">Znesek </w:t>
            </w:r>
            <w:r>
              <w:rPr>
                <w:rFonts w:ascii="Arial" w:eastAsia="Times New Roman" w:hAnsi="Arial" w:cs="Arial"/>
                <w:b/>
                <w:bCs/>
                <w:color w:val="FFFFFF"/>
                <w:sz w:val="18"/>
                <w:szCs w:val="18"/>
                <w:lang w:eastAsia="sl-SI"/>
              </w:rPr>
              <w:t>(</w:t>
            </w:r>
            <w:r w:rsidRPr="007021DC">
              <w:rPr>
                <w:rFonts w:ascii="Arial" w:eastAsia="Times New Roman" w:hAnsi="Arial" w:cs="Arial"/>
                <w:b/>
                <w:bCs/>
                <w:color w:val="FFFFFF"/>
                <w:sz w:val="18"/>
                <w:szCs w:val="18"/>
                <w:lang w:eastAsia="sl-SI"/>
              </w:rPr>
              <w:t xml:space="preserve">v </w:t>
            </w:r>
            <w:r>
              <w:rPr>
                <w:rFonts w:ascii="Arial" w:eastAsia="Times New Roman" w:hAnsi="Arial" w:cs="Arial"/>
                <w:b/>
                <w:bCs/>
                <w:color w:val="FFFFFF"/>
                <w:sz w:val="18"/>
                <w:szCs w:val="18"/>
                <w:lang w:eastAsia="sl-SI"/>
              </w:rPr>
              <w:t>EUR)</w:t>
            </w:r>
          </w:p>
        </w:tc>
        <w:tc>
          <w:tcPr>
            <w:tcW w:w="872" w:type="dxa"/>
            <w:tcBorders>
              <w:top w:val="nil"/>
              <w:left w:val="nil"/>
              <w:bottom w:val="single" w:sz="4" w:space="0" w:color="auto"/>
              <w:right w:val="single" w:sz="4" w:space="0" w:color="auto"/>
            </w:tcBorders>
            <w:shd w:val="clear" w:color="000000" w:fill="31869B"/>
            <w:vAlign w:val="center"/>
            <w:hideMark/>
          </w:tcPr>
          <w:p w14:paraId="68FAE846" w14:textId="77777777" w:rsidR="00A155A2" w:rsidRPr="007021DC" w:rsidRDefault="00A155A2" w:rsidP="001C77D2">
            <w:pPr>
              <w:spacing w:line="240" w:lineRule="auto"/>
              <w:jc w:val="center"/>
              <w:rPr>
                <w:rFonts w:ascii="Arial" w:eastAsia="Times New Roman" w:hAnsi="Arial" w:cs="Arial"/>
                <w:b/>
                <w:bCs/>
                <w:color w:val="FFFFFF"/>
                <w:sz w:val="18"/>
                <w:szCs w:val="18"/>
                <w:lang w:eastAsia="sl-SI"/>
              </w:rPr>
            </w:pPr>
            <w:r w:rsidRPr="007021DC">
              <w:rPr>
                <w:rFonts w:ascii="Arial" w:eastAsia="Times New Roman" w:hAnsi="Arial" w:cs="Arial"/>
                <w:b/>
                <w:bCs/>
                <w:color w:val="FFFFFF"/>
                <w:sz w:val="18"/>
                <w:szCs w:val="18"/>
                <w:lang w:eastAsia="sl-SI"/>
              </w:rPr>
              <w:t>Število</w:t>
            </w:r>
          </w:p>
        </w:tc>
        <w:tc>
          <w:tcPr>
            <w:tcW w:w="966" w:type="dxa"/>
            <w:tcBorders>
              <w:top w:val="nil"/>
              <w:left w:val="nil"/>
              <w:bottom w:val="single" w:sz="4" w:space="0" w:color="auto"/>
              <w:right w:val="single" w:sz="4" w:space="0" w:color="auto"/>
            </w:tcBorders>
            <w:shd w:val="clear" w:color="000000" w:fill="31869B"/>
            <w:vAlign w:val="center"/>
            <w:hideMark/>
          </w:tcPr>
          <w:p w14:paraId="7CADA94E" w14:textId="77777777" w:rsidR="00A155A2" w:rsidRPr="007021DC" w:rsidRDefault="00A155A2" w:rsidP="001C77D2">
            <w:pPr>
              <w:spacing w:line="240" w:lineRule="auto"/>
              <w:jc w:val="center"/>
              <w:rPr>
                <w:rFonts w:ascii="Arial" w:eastAsia="Times New Roman" w:hAnsi="Arial" w:cs="Arial"/>
                <w:b/>
                <w:bCs/>
                <w:color w:val="FFFFFF"/>
                <w:sz w:val="18"/>
                <w:szCs w:val="18"/>
                <w:lang w:eastAsia="sl-SI"/>
              </w:rPr>
            </w:pPr>
            <w:r w:rsidRPr="007021DC">
              <w:rPr>
                <w:rFonts w:ascii="Arial" w:eastAsia="Times New Roman" w:hAnsi="Arial" w:cs="Arial"/>
                <w:b/>
                <w:bCs/>
                <w:color w:val="FFFFFF"/>
                <w:sz w:val="18"/>
                <w:szCs w:val="18"/>
                <w:lang w:eastAsia="sl-SI"/>
              </w:rPr>
              <w:t xml:space="preserve">Znesek </w:t>
            </w:r>
          </w:p>
        </w:tc>
      </w:tr>
      <w:tr w:rsidR="00A155A2" w:rsidRPr="00FF23FD" w14:paraId="3A2D042A" w14:textId="77777777" w:rsidTr="001C77D2">
        <w:trPr>
          <w:trHeight w:val="397"/>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4F12F866"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ZPIZ</w:t>
            </w:r>
          </w:p>
        </w:tc>
        <w:tc>
          <w:tcPr>
            <w:tcW w:w="1560" w:type="dxa"/>
            <w:tcBorders>
              <w:top w:val="nil"/>
              <w:left w:val="nil"/>
              <w:bottom w:val="single" w:sz="4" w:space="0" w:color="auto"/>
              <w:right w:val="single" w:sz="4" w:space="0" w:color="auto"/>
            </w:tcBorders>
            <w:shd w:val="clear" w:color="auto" w:fill="auto"/>
            <w:vAlign w:val="center"/>
            <w:hideMark/>
          </w:tcPr>
          <w:p w14:paraId="25D03B1F"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zaprosila</w:t>
            </w:r>
          </w:p>
        </w:tc>
        <w:tc>
          <w:tcPr>
            <w:tcW w:w="891" w:type="dxa"/>
            <w:tcBorders>
              <w:top w:val="nil"/>
              <w:left w:val="nil"/>
              <w:bottom w:val="single" w:sz="4" w:space="0" w:color="auto"/>
              <w:right w:val="single" w:sz="4" w:space="0" w:color="auto"/>
            </w:tcBorders>
            <w:shd w:val="clear" w:color="auto" w:fill="auto"/>
            <w:noWrap/>
            <w:vAlign w:val="center"/>
            <w:hideMark/>
          </w:tcPr>
          <w:p w14:paraId="4078D47A"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4</w:t>
            </w:r>
          </w:p>
        </w:tc>
        <w:tc>
          <w:tcPr>
            <w:tcW w:w="891" w:type="dxa"/>
            <w:tcBorders>
              <w:top w:val="nil"/>
              <w:left w:val="nil"/>
              <w:bottom w:val="single" w:sz="4" w:space="0" w:color="auto"/>
              <w:right w:val="single" w:sz="4" w:space="0" w:color="auto"/>
            </w:tcBorders>
            <w:shd w:val="clear" w:color="000000" w:fill="DAEEF3"/>
            <w:noWrap/>
            <w:vAlign w:val="center"/>
            <w:hideMark/>
          </w:tcPr>
          <w:p w14:paraId="767C1958"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105.245</w:t>
            </w:r>
          </w:p>
        </w:tc>
        <w:tc>
          <w:tcPr>
            <w:tcW w:w="891" w:type="dxa"/>
            <w:tcBorders>
              <w:top w:val="nil"/>
              <w:left w:val="nil"/>
              <w:bottom w:val="single" w:sz="4" w:space="0" w:color="auto"/>
              <w:right w:val="single" w:sz="4" w:space="0" w:color="auto"/>
            </w:tcBorders>
            <w:shd w:val="clear" w:color="auto" w:fill="auto"/>
            <w:noWrap/>
            <w:vAlign w:val="center"/>
            <w:hideMark/>
          </w:tcPr>
          <w:p w14:paraId="11E53AA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2</w:t>
            </w:r>
          </w:p>
        </w:tc>
        <w:tc>
          <w:tcPr>
            <w:tcW w:w="891" w:type="dxa"/>
            <w:tcBorders>
              <w:top w:val="nil"/>
              <w:left w:val="nil"/>
              <w:bottom w:val="single" w:sz="4" w:space="0" w:color="auto"/>
              <w:right w:val="single" w:sz="4" w:space="0" w:color="auto"/>
            </w:tcBorders>
            <w:shd w:val="clear" w:color="000000" w:fill="DAEEF3"/>
            <w:noWrap/>
            <w:vAlign w:val="center"/>
            <w:hideMark/>
          </w:tcPr>
          <w:p w14:paraId="22090CD7"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27.529</w:t>
            </w:r>
          </w:p>
        </w:tc>
        <w:tc>
          <w:tcPr>
            <w:tcW w:w="872" w:type="dxa"/>
            <w:tcBorders>
              <w:top w:val="nil"/>
              <w:left w:val="nil"/>
              <w:bottom w:val="single" w:sz="4" w:space="0" w:color="auto"/>
              <w:right w:val="single" w:sz="4" w:space="0" w:color="auto"/>
            </w:tcBorders>
            <w:shd w:val="clear" w:color="auto" w:fill="auto"/>
            <w:noWrap/>
            <w:vAlign w:val="center"/>
            <w:hideMark/>
          </w:tcPr>
          <w:p w14:paraId="503E4F99"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50,0</w:t>
            </w:r>
          </w:p>
        </w:tc>
        <w:tc>
          <w:tcPr>
            <w:tcW w:w="966" w:type="dxa"/>
            <w:tcBorders>
              <w:top w:val="nil"/>
              <w:left w:val="nil"/>
              <w:bottom w:val="single" w:sz="4" w:space="0" w:color="auto"/>
              <w:right w:val="single" w:sz="4" w:space="0" w:color="auto"/>
            </w:tcBorders>
            <w:shd w:val="clear" w:color="auto" w:fill="auto"/>
            <w:noWrap/>
            <w:vAlign w:val="center"/>
            <w:hideMark/>
          </w:tcPr>
          <w:p w14:paraId="018082F8"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26,2</w:t>
            </w:r>
          </w:p>
        </w:tc>
      </w:tr>
      <w:tr w:rsidR="00A155A2" w:rsidRPr="00FF23FD" w14:paraId="1EFAC13A" w14:textId="77777777" w:rsidTr="001C77D2">
        <w:trPr>
          <w:trHeight w:val="233"/>
        </w:trPr>
        <w:tc>
          <w:tcPr>
            <w:tcW w:w="891" w:type="dxa"/>
            <w:vMerge/>
            <w:tcBorders>
              <w:top w:val="nil"/>
              <w:left w:val="single" w:sz="4" w:space="0" w:color="auto"/>
              <w:bottom w:val="single" w:sz="4" w:space="0" w:color="auto"/>
              <w:right w:val="single" w:sz="4" w:space="0" w:color="auto"/>
            </w:tcBorders>
            <w:vAlign w:val="center"/>
            <w:hideMark/>
          </w:tcPr>
          <w:p w14:paraId="6C058F35"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60" w:type="dxa"/>
            <w:tcBorders>
              <w:top w:val="nil"/>
              <w:left w:val="nil"/>
              <w:bottom w:val="single" w:sz="4" w:space="0" w:color="auto"/>
              <w:right w:val="single" w:sz="4" w:space="0" w:color="auto"/>
            </w:tcBorders>
            <w:shd w:val="clear" w:color="auto" w:fill="auto"/>
            <w:vAlign w:val="center"/>
            <w:hideMark/>
          </w:tcPr>
          <w:p w14:paraId="2C53C24A"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891" w:type="dxa"/>
            <w:tcBorders>
              <w:top w:val="nil"/>
              <w:left w:val="nil"/>
              <w:bottom w:val="single" w:sz="4" w:space="0" w:color="auto"/>
              <w:right w:val="single" w:sz="4" w:space="0" w:color="auto"/>
            </w:tcBorders>
            <w:shd w:val="clear" w:color="auto" w:fill="auto"/>
            <w:noWrap/>
            <w:vAlign w:val="center"/>
            <w:hideMark/>
          </w:tcPr>
          <w:p w14:paraId="2451693A"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623E8F77"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1.469</w:t>
            </w:r>
          </w:p>
        </w:tc>
        <w:tc>
          <w:tcPr>
            <w:tcW w:w="891" w:type="dxa"/>
            <w:tcBorders>
              <w:top w:val="nil"/>
              <w:left w:val="nil"/>
              <w:bottom w:val="single" w:sz="4" w:space="0" w:color="auto"/>
              <w:right w:val="single" w:sz="4" w:space="0" w:color="auto"/>
            </w:tcBorders>
            <w:shd w:val="clear" w:color="auto" w:fill="auto"/>
            <w:noWrap/>
            <w:vAlign w:val="center"/>
            <w:hideMark/>
          </w:tcPr>
          <w:p w14:paraId="1512A751"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07A99529" w14:textId="77777777" w:rsidR="00A155A2" w:rsidRPr="00FF23FD" w:rsidRDefault="00A155A2" w:rsidP="001C77D2">
            <w:pPr>
              <w:spacing w:line="240" w:lineRule="auto"/>
              <w:jc w:val="center"/>
              <w:rPr>
                <w:rFonts w:ascii="Arial" w:eastAsia="Times New Roman" w:hAnsi="Arial" w:cs="Arial"/>
                <w:color w:val="FF0000"/>
                <w:sz w:val="18"/>
                <w:szCs w:val="18"/>
                <w:lang w:eastAsia="sl-SI"/>
              </w:rPr>
            </w:pPr>
            <w:r w:rsidRPr="00FF23FD">
              <w:rPr>
                <w:rFonts w:ascii="Arial" w:eastAsia="Times New Roman" w:hAnsi="Arial" w:cs="Arial"/>
                <w:sz w:val="18"/>
                <w:szCs w:val="18"/>
                <w:lang w:eastAsia="sl-SI"/>
              </w:rPr>
              <w:t>5.471</w:t>
            </w:r>
          </w:p>
        </w:tc>
        <w:tc>
          <w:tcPr>
            <w:tcW w:w="872" w:type="dxa"/>
            <w:tcBorders>
              <w:top w:val="nil"/>
              <w:left w:val="nil"/>
              <w:bottom w:val="single" w:sz="4" w:space="0" w:color="auto"/>
              <w:right w:val="single" w:sz="4" w:space="0" w:color="auto"/>
            </w:tcBorders>
            <w:shd w:val="clear" w:color="auto" w:fill="auto"/>
            <w:noWrap/>
            <w:vAlign w:val="center"/>
            <w:hideMark/>
          </w:tcPr>
          <w:p w14:paraId="0FCC0B5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966" w:type="dxa"/>
            <w:tcBorders>
              <w:top w:val="nil"/>
              <w:left w:val="nil"/>
              <w:bottom w:val="single" w:sz="4" w:space="0" w:color="auto"/>
              <w:right w:val="single" w:sz="4" w:space="0" w:color="auto"/>
            </w:tcBorders>
            <w:shd w:val="clear" w:color="auto" w:fill="auto"/>
            <w:noWrap/>
            <w:vAlign w:val="center"/>
            <w:hideMark/>
          </w:tcPr>
          <w:p w14:paraId="21DC642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386,0</w:t>
            </w:r>
          </w:p>
        </w:tc>
      </w:tr>
      <w:tr w:rsidR="00A155A2" w:rsidRPr="00FF23FD" w14:paraId="79A84E37" w14:textId="77777777" w:rsidTr="001C77D2">
        <w:trPr>
          <w:trHeight w:val="397"/>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14D3831F"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 xml:space="preserve">ZZZS </w:t>
            </w:r>
          </w:p>
        </w:tc>
        <w:tc>
          <w:tcPr>
            <w:tcW w:w="1560" w:type="dxa"/>
            <w:tcBorders>
              <w:top w:val="nil"/>
              <w:left w:val="nil"/>
              <w:bottom w:val="single" w:sz="4" w:space="0" w:color="auto"/>
              <w:right w:val="single" w:sz="4" w:space="0" w:color="auto"/>
            </w:tcBorders>
            <w:shd w:val="clear" w:color="auto" w:fill="auto"/>
            <w:vAlign w:val="center"/>
            <w:hideMark/>
          </w:tcPr>
          <w:p w14:paraId="115A06D2"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zaprosila</w:t>
            </w:r>
          </w:p>
        </w:tc>
        <w:tc>
          <w:tcPr>
            <w:tcW w:w="891" w:type="dxa"/>
            <w:tcBorders>
              <w:top w:val="nil"/>
              <w:left w:val="nil"/>
              <w:bottom w:val="single" w:sz="4" w:space="0" w:color="auto"/>
              <w:right w:val="single" w:sz="4" w:space="0" w:color="auto"/>
            </w:tcBorders>
            <w:shd w:val="clear" w:color="auto" w:fill="auto"/>
            <w:noWrap/>
            <w:vAlign w:val="center"/>
            <w:hideMark/>
          </w:tcPr>
          <w:p w14:paraId="45C44F80"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122</w:t>
            </w:r>
          </w:p>
        </w:tc>
        <w:tc>
          <w:tcPr>
            <w:tcW w:w="891" w:type="dxa"/>
            <w:tcBorders>
              <w:top w:val="nil"/>
              <w:left w:val="nil"/>
              <w:bottom w:val="single" w:sz="4" w:space="0" w:color="auto"/>
              <w:right w:val="single" w:sz="4" w:space="0" w:color="auto"/>
            </w:tcBorders>
            <w:shd w:val="clear" w:color="000000" w:fill="DAEEF3"/>
            <w:noWrap/>
            <w:vAlign w:val="center"/>
            <w:hideMark/>
          </w:tcPr>
          <w:p w14:paraId="172AB798"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614.883</w:t>
            </w:r>
          </w:p>
        </w:tc>
        <w:tc>
          <w:tcPr>
            <w:tcW w:w="891" w:type="dxa"/>
            <w:tcBorders>
              <w:top w:val="nil"/>
              <w:left w:val="nil"/>
              <w:bottom w:val="single" w:sz="4" w:space="0" w:color="auto"/>
              <w:right w:val="single" w:sz="4" w:space="0" w:color="auto"/>
            </w:tcBorders>
            <w:shd w:val="clear" w:color="auto" w:fill="auto"/>
            <w:noWrap/>
            <w:vAlign w:val="center"/>
            <w:hideMark/>
          </w:tcPr>
          <w:p w14:paraId="5CD210BE"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116</w:t>
            </w:r>
          </w:p>
        </w:tc>
        <w:tc>
          <w:tcPr>
            <w:tcW w:w="891" w:type="dxa"/>
            <w:tcBorders>
              <w:top w:val="nil"/>
              <w:left w:val="nil"/>
              <w:bottom w:val="single" w:sz="4" w:space="0" w:color="auto"/>
              <w:right w:val="single" w:sz="4" w:space="0" w:color="auto"/>
            </w:tcBorders>
            <w:shd w:val="clear" w:color="000000" w:fill="DAEEF3"/>
            <w:noWrap/>
            <w:vAlign w:val="center"/>
            <w:hideMark/>
          </w:tcPr>
          <w:p w14:paraId="01D930A7"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415.849</w:t>
            </w:r>
          </w:p>
        </w:tc>
        <w:tc>
          <w:tcPr>
            <w:tcW w:w="872" w:type="dxa"/>
            <w:tcBorders>
              <w:top w:val="nil"/>
              <w:left w:val="nil"/>
              <w:bottom w:val="single" w:sz="4" w:space="0" w:color="auto"/>
              <w:right w:val="single" w:sz="4" w:space="0" w:color="auto"/>
            </w:tcBorders>
            <w:shd w:val="clear" w:color="auto" w:fill="auto"/>
            <w:noWrap/>
            <w:vAlign w:val="center"/>
            <w:hideMark/>
          </w:tcPr>
          <w:p w14:paraId="042C322A"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95,1</w:t>
            </w:r>
          </w:p>
        </w:tc>
        <w:tc>
          <w:tcPr>
            <w:tcW w:w="966" w:type="dxa"/>
            <w:tcBorders>
              <w:top w:val="nil"/>
              <w:left w:val="nil"/>
              <w:bottom w:val="single" w:sz="4" w:space="0" w:color="auto"/>
              <w:right w:val="single" w:sz="4" w:space="0" w:color="auto"/>
            </w:tcBorders>
            <w:shd w:val="clear" w:color="auto" w:fill="auto"/>
            <w:noWrap/>
            <w:vAlign w:val="center"/>
            <w:hideMark/>
          </w:tcPr>
          <w:p w14:paraId="2E8D3147"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67,6</w:t>
            </w:r>
          </w:p>
        </w:tc>
      </w:tr>
      <w:tr w:rsidR="00A155A2" w:rsidRPr="00FF23FD" w14:paraId="5C282F55" w14:textId="77777777" w:rsidTr="001C77D2">
        <w:trPr>
          <w:trHeight w:val="233"/>
        </w:trPr>
        <w:tc>
          <w:tcPr>
            <w:tcW w:w="891" w:type="dxa"/>
            <w:vMerge/>
            <w:tcBorders>
              <w:top w:val="nil"/>
              <w:left w:val="single" w:sz="4" w:space="0" w:color="auto"/>
              <w:bottom w:val="single" w:sz="4" w:space="0" w:color="auto"/>
              <w:right w:val="single" w:sz="4" w:space="0" w:color="auto"/>
            </w:tcBorders>
            <w:vAlign w:val="center"/>
            <w:hideMark/>
          </w:tcPr>
          <w:p w14:paraId="48CD9857"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60" w:type="dxa"/>
            <w:tcBorders>
              <w:top w:val="nil"/>
              <w:left w:val="nil"/>
              <w:bottom w:val="single" w:sz="4" w:space="0" w:color="auto"/>
              <w:right w:val="single" w:sz="4" w:space="0" w:color="auto"/>
            </w:tcBorders>
            <w:shd w:val="clear" w:color="auto" w:fill="auto"/>
            <w:vAlign w:val="center"/>
            <w:hideMark/>
          </w:tcPr>
          <w:p w14:paraId="125A29AF"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891" w:type="dxa"/>
            <w:tcBorders>
              <w:top w:val="nil"/>
              <w:left w:val="nil"/>
              <w:bottom w:val="single" w:sz="4" w:space="0" w:color="auto"/>
              <w:right w:val="single" w:sz="4" w:space="0" w:color="auto"/>
            </w:tcBorders>
            <w:shd w:val="clear" w:color="auto" w:fill="auto"/>
            <w:noWrap/>
            <w:vAlign w:val="center"/>
            <w:hideMark/>
          </w:tcPr>
          <w:p w14:paraId="27FDDD84"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5127DA9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78.328</w:t>
            </w:r>
          </w:p>
        </w:tc>
        <w:tc>
          <w:tcPr>
            <w:tcW w:w="891" w:type="dxa"/>
            <w:tcBorders>
              <w:top w:val="nil"/>
              <w:left w:val="nil"/>
              <w:bottom w:val="single" w:sz="4" w:space="0" w:color="auto"/>
              <w:right w:val="single" w:sz="4" w:space="0" w:color="auto"/>
            </w:tcBorders>
            <w:shd w:val="clear" w:color="auto" w:fill="auto"/>
            <w:noWrap/>
            <w:vAlign w:val="center"/>
            <w:hideMark/>
          </w:tcPr>
          <w:p w14:paraId="00FA5B5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1F8F6CE1"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119.805</w:t>
            </w:r>
          </w:p>
        </w:tc>
        <w:tc>
          <w:tcPr>
            <w:tcW w:w="872" w:type="dxa"/>
            <w:tcBorders>
              <w:top w:val="nil"/>
              <w:left w:val="nil"/>
              <w:bottom w:val="single" w:sz="4" w:space="0" w:color="auto"/>
              <w:right w:val="single" w:sz="4" w:space="0" w:color="auto"/>
            </w:tcBorders>
            <w:shd w:val="clear" w:color="auto" w:fill="auto"/>
            <w:noWrap/>
            <w:vAlign w:val="center"/>
            <w:hideMark/>
          </w:tcPr>
          <w:p w14:paraId="5C50BDC4"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966" w:type="dxa"/>
            <w:tcBorders>
              <w:top w:val="nil"/>
              <w:left w:val="nil"/>
              <w:bottom w:val="single" w:sz="4" w:space="0" w:color="auto"/>
              <w:right w:val="single" w:sz="4" w:space="0" w:color="auto"/>
            </w:tcBorders>
            <w:shd w:val="clear" w:color="auto" w:fill="auto"/>
            <w:noWrap/>
            <w:vAlign w:val="center"/>
            <w:hideMark/>
          </w:tcPr>
          <w:p w14:paraId="208CFF3B"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153,0</w:t>
            </w:r>
          </w:p>
        </w:tc>
      </w:tr>
      <w:tr w:rsidR="00A155A2" w:rsidRPr="00FF23FD" w14:paraId="7B152458" w14:textId="77777777" w:rsidTr="001C77D2">
        <w:trPr>
          <w:trHeight w:val="397"/>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CACB2DD"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A56C0C">
              <w:rPr>
                <w:rFonts w:ascii="Arial" w:eastAsia="Times New Roman" w:hAnsi="Arial" w:cs="Arial"/>
                <w:color w:val="000000"/>
                <w:sz w:val="18"/>
                <w:szCs w:val="18"/>
                <w:lang w:eastAsia="sl-SI"/>
              </w:rPr>
              <w:t>MDDSZ</w:t>
            </w:r>
          </w:p>
        </w:tc>
        <w:tc>
          <w:tcPr>
            <w:tcW w:w="1560" w:type="dxa"/>
            <w:tcBorders>
              <w:top w:val="nil"/>
              <w:left w:val="nil"/>
              <w:bottom w:val="single" w:sz="4" w:space="0" w:color="auto"/>
              <w:right w:val="single" w:sz="4" w:space="0" w:color="auto"/>
            </w:tcBorders>
            <w:shd w:val="clear" w:color="auto" w:fill="auto"/>
            <w:vAlign w:val="center"/>
            <w:hideMark/>
          </w:tcPr>
          <w:p w14:paraId="585679BD"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zaprosila</w:t>
            </w:r>
          </w:p>
        </w:tc>
        <w:tc>
          <w:tcPr>
            <w:tcW w:w="891" w:type="dxa"/>
            <w:tcBorders>
              <w:top w:val="nil"/>
              <w:left w:val="nil"/>
              <w:bottom w:val="single" w:sz="4" w:space="0" w:color="auto"/>
              <w:right w:val="single" w:sz="4" w:space="0" w:color="auto"/>
            </w:tcBorders>
            <w:shd w:val="clear" w:color="auto" w:fill="auto"/>
            <w:noWrap/>
            <w:vAlign w:val="center"/>
            <w:hideMark/>
          </w:tcPr>
          <w:p w14:paraId="08891D02"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13</w:t>
            </w:r>
          </w:p>
        </w:tc>
        <w:tc>
          <w:tcPr>
            <w:tcW w:w="891" w:type="dxa"/>
            <w:tcBorders>
              <w:top w:val="nil"/>
              <w:left w:val="nil"/>
              <w:bottom w:val="single" w:sz="4" w:space="0" w:color="auto"/>
              <w:right w:val="single" w:sz="4" w:space="0" w:color="auto"/>
            </w:tcBorders>
            <w:shd w:val="clear" w:color="000000" w:fill="DAEEF3"/>
            <w:noWrap/>
            <w:vAlign w:val="center"/>
            <w:hideMark/>
          </w:tcPr>
          <w:p w14:paraId="0F2A84EF"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31.686</w:t>
            </w:r>
          </w:p>
        </w:tc>
        <w:tc>
          <w:tcPr>
            <w:tcW w:w="891" w:type="dxa"/>
            <w:tcBorders>
              <w:top w:val="nil"/>
              <w:left w:val="nil"/>
              <w:bottom w:val="single" w:sz="4" w:space="0" w:color="auto"/>
              <w:right w:val="single" w:sz="4" w:space="0" w:color="auto"/>
            </w:tcBorders>
            <w:shd w:val="clear" w:color="auto" w:fill="auto"/>
            <w:noWrap/>
            <w:vAlign w:val="center"/>
            <w:hideMark/>
          </w:tcPr>
          <w:p w14:paraId="6D3A88EE"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79A416EE"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72" w:type="dxa"/>
            <w:tcBorders>
              <w:top w:val="nil"/>
              <w:left w:val="nil"/>
              <w:bottom w:val="single" w:sz="4" w:space="0" w:color="auto"/>
              <w:right w:val="single" w:sz="4" w:space="0" w:color="auto"/>
            </w:tcBorders>
            <w:shd w:val="clear" w:color="auto" w:fill="auto"/>
            <w:noWrap/>
            <w:vAlign w:val="center"/>
            <w:hideMark/>
          </w:tcPr>
          <w:p w14:paraId="2710AE0F"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p>
        </w:tc>
        <w:tc>
          <w:tcPr>
            <w:tcW w:w="966" w:type="dxa"/>
            <w:tcBorders>
              <w:top w:val="nil"/>
              <w:left w:val="nil"/>
              <w:bottom w:val="single" w:sz="4" w:space="0" w:color="auto"/>
              <w:right w:val="single" w:sz="4" w:space="0" w:color="auto"/>
            </w:tcBorders>
            <w:shd w:val="clear" w:color="auto" w:fill="auto"/>
            <w:noWrap/>
            <w:vAlign w:val="center"/>
            <w:hideMark/>
          </w:tcPr>
          <w:p w14:paraId="45F24A31"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p>
        </w:tc>
      </w:tr>
      <w:tr w:rsidR="00A155A2" w:rsidRPr="00FF23FD" w14:paraId="370D4154" w14:textId="77777777" w:rsidTr="001C77D2">
        <w:trPr>
          <w:trHeight w:val="233"/>
        </w:trPr>
        <w:tc>
          <w:tcPr>
            <w:tcW w:w="891" w:type="dxa"/>
            <w:vMerge/>
            <w:tcBorders>
              <w:top w:val="nil"/>
              <w:left w:val="single" w:sz="4" w:space="0" w:color="auto"/>
              <w:bottom w:val="single" w:sz="4" w:space="0" w:color="auto"/>
              <w:right w:val="single" w:sz="4" w:space="0" w:color="auto"/>
            </w:tcBorders>
            <w:vAlign w:val="center"/>
            <w:hideMark/>
          </w:tcPr>
          <w:p w14:paraId="75204F68" w14:textId="77777777" w:rsidR="00A155A2" w:rsidRPr="00FF23FD" w:rsidRDefault="00A155A2" w:rsidP="001C77D2">
            <w:pPr>
              <w:spacing w:line="240" w:lineRule="auto"/>
              <w:rPr>
                <w:rFonts w:ascii="Arial" w:eastAsia="Times New Roman" w:hAnsi="Arial" w:cs="Arial"/>
                <w:color w:val="000000"/>
                <w:sz w:val="18"/>
                <w:szCs w:val="18"/>
                <w:lang w:eastAsia="sl-SI"/>
              </w:rPr>
            </w:pPr>
          </w:p>
        </w:tc>
        <w:tc>
          <w:tcPr>
            <w:tcW w:w="1560" w:type="dxa"/>
            <w:tcBorders>
              <w:top w:val="nil"/>
              <w:left w:val="nil"/>
              <w:bottom w:val="single" w:sz="4" w:space="0" w:color="auto"/>
              <w:right w:val="single" w:sz="4" w:space="0" w:color="auto"/>
            </w:tcBorders>
            <w:shd w:val="clear" w:color="auto" w:fill="auto"/>
            <w:vAlign w:val="center"/>
            <w:hideMark/>
          </w:tcPr>
          <w:p w14:paraId="73934A54" w14:textId="77777777" w:rsidR="00A155A2" w:rsidRPr="00FF23FD" w:rsidRDefault="00A155A2" w:rsidP="001C77D2">
            <w:pPr>
              <w:spacing w:line="240" w:lineRule="auto"/>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Prejeta plačila</w:t>
            </w:r>
          </w:p>
        </w:tc>
        <w:tc>
          <w:tcPr>
            <w:tcW w:w="891" w:type="dxa"/>
            <w:tcBorders>
              <w:top w:val="nil"/>
              <w:left w:val="nil"/>
              <w:bottom w:val="single" w:sz="4" w:space="0" w:color="auto"/>
              <w:right w:val="single" w:sz="4" w:space="0" w:color="auto"/>
            </w:tcBorders>
            <w:shd w:val="clear" w:color="auto" w:fill="auto"/>
            <w:noWrap/>
            <w:vAlign w:val="center"/>
            <w:hideMark/>
          </w:tcPr>
          <w:p w14:paraId="74977AF7"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725538B5"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1.055</w:t>
            </w:r>
          </w:p>
        </w:tc>
        <w:tc>
          <w:tcPr>
            <w:tcW w:w="891" w:type="dxa"/>
            <w:tcBorders>
              <w:top w:val="nil"/>
              <w:left w:val="nil"/>
              <w:bottom w:val="single" w:sz="4" w:space="0" w:color="auto"/>
              <w:right w:val="single" w:sz="4" w:space="0" w:color="auto"/>
            </w:tcBorders>
            <w:shd w:val="clear" w:color="auto" w:fill="auto"/>
            <w:noWrap/>
            <w:vAlign w:val="center"/>
            <w:hideMark/>
          </w:tcPr>
          <w:p w14:paraId="4A6D7602"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6455071C"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72" w:type="dxa"/>
            <w:tcBorders>
              <w:top w:val="nil"/>
              <w:left w:val="nil"/>
              <w:bottom w:val="single" w:sz="4" w:space="0" w:color="auto"/>
              <w:right w:val="single" w:sz="4" w:space="0" w:color="auto"/>
            </w:tcBorders>
            <w:shd w:val="clear" w:color="auto" w:fill="auto"/>
            <w:noWrap/>
            <w:vAlign w:val="center"/>
            <w:hideMark/>
          </w:tcPr>
          <w:p w14:paraId="2CFEBBF4" w14:textId="77777777" w:rsidR="00A155A2" w:rsidRPr="00FF23FD" w:rsidRDefault="00A155A2" w:rsidP="001C77D2">
            <w:pPr>
              <w:spacing w:line="240" w:lineRule="auto"/>
              <w:jc w:val="center"/>
              <w:rPr>
                <w:rFonts w:ascii="Arial" w:eastAsia="Times New Roman" w:hAnsi="Arial" w:cs="Arial"/>
                <w:sz w:val="18"/>
                <w:szCs w:val="18"/>
                <w:lang w:eastAsia="sl-SI"/>
              </w:rPr>
            </w:pPr>
          </w:p>
        </w:tc>
        <w:tc>
          <w:tcPr>
            <w:tcW w:w="966" w:type="dxa"/>
            <w:tcBorders>
              <w:top w:val="nil"/>
              <w:left w:val="nil"/>
              <w:bottom w:val="single" w:sz="4" w:space="0" w:color="auto"/>
              <w:right w:val="single" w:sz="4" w:space="0" w:color="auto"/>
            </w:tcBorders>
            <w:shd w:val="clear" w:color="auto" w:fill="auto"/>
            <w:noWrap/>
            <w:vAlign w:val="center"/>
            <w:hideMark/>
          </w:tcPr>
          <w:p w14:paraId="437D4001"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p>
        </w:tc>
      </w:tr>
      <w:tr w:rsidR="00A155A2" w:rsidRPr="00FF23FD" w14:paraId="04D28934" w14:textId="77777777" w:rsidTr="001C77D2">
        <w:trPr>
          <w:trHeight w:val="532"/>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128FFAA0"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w:t>
            </w:r>
          </w:p>
        </w:tc>
        <w:tc>
          <w:tcPr>
            <w:tcW w:w="1560" w:type="dxa"/>
            <w:tcBorders>
              <w:top w:val="nil"/>
              <w:left w:val="nil"/>
              <w:bottom w:val="single" w:sz="4" w:space="0" w:color="auto"/>
              <w:right w:val="single" w:sz="4" w:space="0" w:color="auto"/>
            </w:tcBorders>
            <w:shd w:val="clear" w:color="auto" w:fill="auto"/>
            <w:vAlign w:val="center"/>
            <w:hideMark/>
          </w:tcPr>
          <w:p w14:paraId="388E8E10"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 prejetih zaprosil</w:t>
            </w:r>
          </w:p>
        </w:tc>
        <w:tc>
          <w:tcPr>
            <w:tcW w:w="891" w:type="dxa"/>
            <w:tcBorders>
              <w:top w:val="nil"/>
              <w:left w:val="nil"/>
              <w:bottom w:val="single" w:sz="4" w:space="0" w:color="auto"/>
              <w:right w:val="single" w:sz="4" w:space="0" w:color="auto"/>
            </w:tcBorders>
            <w:shd w:val="clear" w:color="auto" w:fill="auto"/>
            <w:noWrap/>
            <w:vAlign w:val="center"/>
            <w:hideMark/>
          </w:tcPr>
          <w:p w14:paraId="4FECCFA8"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139</w:t>
            </w:r>
          </w:p>
        </w:tc>
        <w:tc>
          <w:tcPr>
            <w:tcW w:w="891" w:type="dxa"/>
            <w:tcBorders>
              <w:top w:val="nil"/>
              <w:left w:val="nil"/>
              <w:bottom w:val="single" w:sz="4" w:space="0" w:color="auto"/>
              <w:right w:val="single" w:sz="4" w:space="0" w:color="auto"/>
            </w:tcBorders>
            <w:shd w:val="clear" w:color="000000" w:fill="DAEEF3"/>
            <w:noWrap/>
            <w:vAlign w:val="center"/>
            <w:hideMark/>
          </w:tcPr>
          <w:p w14:paraId="4AE743AF"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751.814</w:t>
            </w:r>
          </w:p>
        </w:tc>
        <w:tc>
          <w:tcPr>
            <w:tcW w:w="891" w:type="dxa"/>
            <w:tcBorders>
              <w:top w:val="nil"/>
              <w:left w:val="nil"/>
              <w:bottom w:val="single" w:sz="4" w:space="0" w:color="auto"/>
              <w:right w:val="single" w:sz="4" w:space="0" w:color="auto"/>
            </w:tcBorders>
            <w:shd w:val="clear" w:color="auto" w:fill="auto"/>
            <w:noWrap/>
            <w:vAlign w:val="center"/>
            <w:hideMark/>
          </w:tcPr>
          <w:p w14:paraId="251C80BE"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118</w:t>
            </w:r>
          </w:p>
        </w:tc>
        <w:tc>
          <w:tcPr>
            <w:tcW w:w="891" w:type="dxa"/>
            <w:tcBorders>
              <w:top w:val="nil"/>
              <w:left w:val="nil"/>
              <w:bottom w:val="single" w:sz="4" w:space="0" w:color="auto"/>
              <w:right w:val="single" w:sz="4" w:space="0" w:color="auto"/>
            </w:tcBorders>
            <w:shd w:val="clear" w:color="auto" w:fill="auto"/>
            <w:noWrap/>
            <w:vAlign w:val="center"/>
            <w:hideMark/>
          </w:tcPr>
          <w:p w14:paraId="5183CFA4"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443.378</w:t>
            </w:r>
          </w:p>
        </w:tc>
        <w:tc>
          <w:tcPr>
            <w:tcW w:w="872" w:type="dxa"/>
            <w:tcBorders>
              <w:top w:val="nil"/>
              <w:left w:val="nil"/>
              <w:bottom w:val="single" w:sz="4" w:space="0" w:color="auto"/>
              <w:right w:val="single" w:sz="4" w:space="0" w:color="auto"/>
            </w:tcBorders>
            <w:shd w:val="clear" w:color="auto" w:fill="auto"/>
            <w:noWrap/>
            <w:vAlign w:val="center"/>
            <w:hideMark/>
          </w:tcPr>
          <w:p w14:paraId="48C19F85"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84,9</w:t>
            </w:r>
          </w:p>
        </w:tc>
        <w:tc>
          <w:tcPr>
            <w:tcW w:w="966" w:type="dxa"/>
            <w:tcBorders>
              <w:top w:val="nil"/>
              <w:left w:val="nil"/>
              <w:bottom w:val="single" w:sz="4" w:space="0" w:color="auto"/>
              <w:right w:val="single" w:sz="4" w:space="0" w:color="auto"/>
            </w:tcBorders>
            <w:shd w:val="clear" w:color="auto" w:fill="auto"/>
            <w:noWrap/>
            <w:vAlign w:val="center"/>
            <w:hideMark/>
          </w:tcPr>
          <w:p w14:paraId="47117C18"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59,0</w:t>
            </w:r>
          </w:p>
        </w:tc>
      </w:tr>
      <w:tr w:rsidR="00A155A2" w:rsidRPr="00FF23FD" w14:paraId="1A5B7403" w14:textId="77777777" w:rsidTr="001C77D2">
        <w:trPr>
          <w:trHeight w:val="397"/>
        </w:trPr>
        <w:tc>
          <w:tcPr>
            <w:tcW w:w="891" w:type="dxa"/>
            <w:vMerge/>
            <w:tcBorders>
              <w:top w:val="nil"/>
              <w:left w:val="single" w:sz="4" w:space="0" w:color="auto"/>
              <w:bottom w:val="single" w:sz="4" w:space="0" w:color="auto"/>
              <w:right w:val="single" w:sz="4" w:space="0" w:color="auto"/>
            </w:tcBorders>
            <w:vAlign w:val="center"/>
            <w:hideMark/>
          </w:tcPr>
          <w:p w14:paraId="1BE63342" w14:textId="77777777" w:rsidR="00A155A2" w:rsidRPr="00FF23FD" w:rsidRDefault="00A155A2" w:rsidP="001C77D2">
            <w:pPr>
              <w:spacing w:line="240" w:lineRule="auto"/>
              <w:rPr>
                <w:rFonts w:ascii="Arial" w:eastAsia="Times New Roman" w:hAnsi="Arial" w:cs="Arial"/>
                <w:b/>
                <w:bCs/>
                <w:color w:val="000000"/>
                <w:sz w:val="18"/>
                <w:szCs w:val="18"/>
                <w:lang w:eastAsia="sl-SI"/>
              </w:rPr>
            </w:pPr>
          </w:p>
        </w:tc>
        <w:tc>
          <w:tcPr>
            <w:tcW w:w="1560" w:type="dxa"/>
            <w:tcBorders>
              <w:top w:val="nil"/>
              <w:left w:val="nil"/>
              <w:bottom w:val="single" w:sz="4" w:space="0" w:color="auto"/>
              <w:right w:val="single" w:sz="4" w:space="0" w:color="auto"/>
            </w:tcBorders>
            <w:shd w:val="clear" w:color="auto" w:fill="auto"/>
            <w:vAlign w:val="center"/>
            <w:hideMark/>
          </w:tcPr>
          <w:p w14:paraId="69493AA0" w14:textId="77777777" w:rsidR="00A155A2" w:rsidRPr="00FF23FD" w:rsidRDefault="00A155A2" w:rsidP="001C77D2">
            <w:pPr>
              <w:spacing w:line="240" w:lineRule="auto"/>
              <w:rPr>
                <w:rFonts w:ascii="Arial" w:eastAsia="Times New Roman" w:hAnsi="Arial" w:cs="Arial"/>
                <w:b/>
                <w:bCs/>
                <w:color w:val="000000"/>
                <w:sz w:val="18"/>
                <w:szCs w:val="18"/>
                <w:lang w:eastAsia="sl-SI"/>
              </w:rPr>
            </w:pPr>
            <w:r w:rsidRPr="00FF23FD">
              <w:rPr>
                <w:rFonts w:ascii="Arial" w:eastAsia="Times New Roman" w:hAnsi="Arial" w:cs="Arial"/>
                <w:b/>
                <w:bCs/>
                <w:color w:val="000000"/>
                <w:sz w:val="18"/>
                <w:szCs w:val="18"/>
                <w:lang w:eastAsia="sl-SI"/>
              </w:rPr>
              <w:t>Skupaj prejetih plačil</w:t>
            </w:r>
          </w:p>
        </w:tc>
        <w:tc>
          <w:tcPr>
            <w:tcW w:w="891" w:type="dxa"/>
            <w:tcBorders>
              <w:top w:val="nil"/>
              <w:left w:val="nil"/>
              <w:bottom w:val="single" w:sz="4" w:space="0" w:color="auto"/>
              <w:right w:val="single" w:sz="4" w:space="0" w:color="auto"/>
            </w:tcBorders>
            <w:shd w:val="clear" w:color="auto" w:fill="auto"/>
            <w:noWrap/>
            <w:vAlign w:val="center"/>
            <w:hideMark/>
          </w:tcPr>
          <w:p w14:paraId="395AE930"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6FB0A0D7"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80.852</w:t>
            </w:r>
          </w:p>
        </w:tc>
        <w:tc>
          <w:tcPr>
            <w:tcW w:w="891" w:type="dxa"/>
            <w:tcBorders>
              <w:top w:val="nil"/>
              <w:left w:val="nil"/>
              <w:bottom w:val="single" w:sz="4" w:space="0" w:color="auto"/>
              <w:right w:val="single" w:sz="4" w:space="0" w:color="auto"/>
            </w:tcBorders>
            <w:shd w:val="clear" w:color="auto" w:fill="auto"/>
            <w:noWrap/>
            <w:vAlign w:val="center"/>
            <w:hideMark/>
          </w:tcPr>
          <w:p w14:paraId="6617401B"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891" w:type="dxa"/>
            <w:tcBorders>
              <w:top w:val="nil"/>
              <w:left w:val="nil"/>
              <w:bottom w:val="single" w:sz="4" w:space="0" w:color="auto"/>
              <w:right w:val="single" w:sz="4" w:space="0" w:color="auto"/>
            </w:tcBorders>
            <w:shd w:val="clear" w:color="000000" w:fill="DAEEF3"/>
            <w:noWrap/>
            <w:vAlign w:val="center"/>
            <w:hideMark/>
          </w:tcPr>
          <w:p w14:paraId="25032A25" w14:textId="77777777" w:rsidR="00A155A2" w:rsidRPr="00FF23FD" w:rsidRDefault="00A155A2" w:rsidP="001C77D2">
            <w:pPr>
              <w:spacing w:line="240" w:lineRule="auto"/>
              <w:jc w:val="center"/>
              <w:rPr>
                <w:rFonts w:ascii="Arial" w:eastAsia="Times New Roman" w:hAnsi="Arial" w:cs="Arial"/>
                <w:b/>
                <w:bCs/>
                <w:sz w:val="18"/>
                <w:szCs w:val="18"/>
                <w:lang w:eastAsia="sl-SI"/>
              </w:rPr>
            </w:pPr>
            <w:r w:rsidRPr="00FF23FD">
              <w:rPr>
                <w:rFonts w:ascii="Arial" w:eastAsia="Times New Roman" w:hAnsi="Arial" w:cs="Arial"/>
                <w:b/>
                <w:bCs/>
                <w:sz w:val="18"/>
                <w:szCs w:val="18"/>
                <w:lang w:eastAsia="sl-SI"/>
              </w:rPr>
              <w:t>125.276</w:t>
            </w:r>
          </w:p>
        </w:tc>
        <w:tc>
          <w:tcPr>
            <w:tcW w:w="872" w:type="dxa"/>
            <w:tcBorders>
              <w:top w:val="nil"/>
              <w:left w:val="nil"/>
              <w:bottom w:val="single" w:sz="4" w:space="0" w:color="auto"/>
              <w:right w:val="single" w:sz="4" w:space="0" w:color="auto"/>
            </w:tcBorders>
            <w:shd w:val="clear" w:color="auto" w:fill="auto"/>
            <w:noWrap/>
            <w:vAlign w:val="center"/>
            <w:hideMark/>
          </w:tcPr>
          <w:p w14:paraId="05749B39" w14:textId="77777777" w:rsidR="00A155A2" w:rsidRPr="00FF23FD" w:rsidRDefault="00A155A2" w:rsidP="001C77D2">
            <w:pPr>
              <w:spacing w:line="240" w:lineRule="auto"/>
              <w:jc w:val="center"/>
              <w:rPr>
                <w:rFonts w:ascii="Arial" w:eastAsia="Times New Roman" w:hAnsi="Arial" w:cs="Arial"/>
                <w:sz w:val="18"/>
                <w:szCs w:val="18"/>
                <w:lang w:eastAsia="sl-SI"/>
              </w:rPr>
            </w:pPr>
            <w:r w:rsidRPr="00FF23FD">
              <w:rPr>
                <w:rFonts w:ascii="Arial" w:eastAsia="Times New Roman" w:hAnsi="Arial" w:cs="Arial"/>
                <w:sz w:val="18"/>
                <w:szCs w:val="18"/>
                <w:lang w:eastAsia="sl-SI"/>
              </w:rPr>
              <w:t>/</w:t>
            </w:r>
          </w:p>
        </w:tc>
        <w:tc>
          <w:tcPr>
            <w:tcW w:w="966" w:type="dxa"/>
            <w:tcBorders>
              <w:top w:val="nil"/>
              <w:left w:val="nil"/>
              <w:bottom w:val="single" w:sz="4" w:space="0" w:color="auto"/>
              <w:right w:val="single" w:sz="4" w:space="0" w:color="auto"/>
            </w:tcBorders>
            <w:shd w:val="clear" w:color="auto" w:fill="auto"/>
            <w:noWrap/>
            <w:vAlign w:val="center"/>
            <w:hideMark/>
          </w:tcPr>
          <w:p w14:paraId="65737BA6" w14:textId="77777777" w:rsidR="00A155A2" w:rsidRPr="00FF23FD" w:rsidRDefault="00A155A2" w:rsidP="001C77D2">
            <w:pPr>
              <w:spacing w:line="240" w:lineRule="auto"/>
              <w:jc w:val="center"/>
              <w:rPr>
                <w:rFonts w:ascii="Arial" w:eastAsia="Times New Roman" w:hAnsi="Arial" w:cs="Arial"/>
                <w:color w:val="000000"/>
                <w:sz w:val="18"/>
                <w:szCs w:val="18"/>
                <w:lang w:eastAsia="sl-SI"/>
              </w:rPr>
            </w:pPr>
            <w:r w:rsidRPr="00FF23FD">
              <w:rPr>
                <w:rFonts w:ascii="Arial" w:eastAsia="Times New Roman" w:hAnsi="Arial" w:cs="Arial"/>
                <w:color w:val="000000"/>
                <w:sz w:val="18"/>
                <w:szCs w:val="18"/>
                <w:lang w:eastAsia="sl-SI"/>
              </w:rPr>
              <w:t>155,2</w:t>
            </w:r>
          </w:p>
        </w:tc>
      </w:tr>
    </w:tbl>
    <w:p w14:paraId="417E4F5C"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25B76613" w14:textId="77777777" w:rsidR="00A155A2" w:rsidRDefault="00A155A2" w:rsidP="00A155A2">
      <w:pPr>
        <w:rPr>
          <w:rFonts w:ascii="Arial" w:hAnsi="Arial" w:cs="Arial"/>
          <w:b/>
          <w:sz w:val="20"/>
          <w:szCs w:val="20"/>
          <w:lang w:eastAsia="sl-SI"/>
        </w:rPr>
      </w:pPr>
      <w:r w:rsidRPr="00070497">
        <w:rPr>
          <w:rFonts w:ascii="Arial" w:hAnsi="Arial" w:cs="Arial"/>
          <w:b/>
          <w:sz w:val="20"/>
          <w:szCs w:val="20"/>
          <w:lang w:eastAsia="sl-SI"/>
        </w:rPr>
        <w:t>Zahtevnejši ukrepi uveljavljanja davčnega dolga</w:t>
      </w:r>
    </w:p>
    <w:p w14:paraId="07D39EBA" w14:textId="77777777" w:rsidR="00A155A2" w:rsidRDefault="00A155A2" w:rsidP="00A155A2">
      <w:pPr>
        <w:jc w:val="both"/>
        <w:rPr>
          <w:rFonts w:ascii="Arial" w:eastAsia="Times New Roman" w:hAnsi="Arial" w:cs="Arial"/>
          <w:sz w:val="20"/>
          <w:szCs w:val="20"/>
        </w:rPr>
      </w:pPr>
      <w:r w:rsidRPr="00F43999">
        <w:rPr>
          <w:rFonts w:ascii="Arial" w:eastAsia="Times New Roman" w:hAnsi="Arial" w:cs="Arial"/>
          <w:sz w:val="20"/>
          <w:szCs w:val="20"/>
        </w:rPr>
        <w:t>F</w:t>
      </w:r>
      <w:r>
        <w:rPr>
          <w:rFonts w:ascii="Arial" w:eastAsia="Times New Roman" w:hAnsi="Arial" w:cs="Arial"/>
          <w:sz w:val="20"/>
          <w:szCs w:val="20"/>
        </w:rPr>
        <w:t xml:space="preserve">URS </w:t>
      </w:r>
      <w:r w:rsidRPr="00F43999">
        <w:rPr>
          <w:rFonts w:ascii="Arial" w:eastAsia="Times New Roman" w:hAnsi="Arial" w:cs="Arial"/>
          <w:sz w:val="20"/>
          <w:szCs w:val="20"/>
        </w:rPr>
        <w:t xml:space="preserve">dolžnike, od katerih dolga ni bilo mogoče izterjati v postopku davčne izvršbe, obstaja pa </w:t>
      </w:r>
      <w:r>
        <w:rPr>
          <w:rFonts w:ascii="Arial" w:eastAsia="Times New Roman" w:hAnsi="Arial" w:cs="Arial"/>
          <w:sz w:val="20"/>
          <w:szCs w:val="20"/>
        </w:rPr>
        <w:t>sum</w:t>
      </w:r>
      <w:r w:rsidRPr="00F43999">
        <w:rPr>
          <w:rFonts w:ascii="Arial" w:eastAsia="Times New Roman" w:hAnsi="Arial" w:cs="Arial"/>
          <w:sz w:val="20"/>
          <w:szCs w:val="20"/>
        </w:rPr>
        <w:t xml:space="preserve"> razpolaganja s premoženjem zaradi izogibanja plačila davčnega dolga, obravnava v posebnih postopkih. Poleg ukrepov, predvideni</w:t>
      </w:r>
      <w:r>
        <w:rPr>
          <w:rFonts w:ascii="Arial" w:eastAsia="Times New Roman" w:hAnsi="Arial" w:cs="Arial"/>
          <w:sz w:val="20"/>
          <w:szCs w:val="20"/>
        </w:rPr>
        <w:t>h</w:t>
      </w:r>
      <w:r w:rsidRPr="00F43999">
        <w:rPr>
          <w:rFonts w:ascii="Arial" w:eastAsia="Times New Roman" w:hAnsi="Arial" w:cs="Arial"/>
          <w:sz w:val="20"/>
          <w:szCs w:val="20"/>
        </w:rPr>
        <w:t xml:space="preserve"> v davčni zakonodaji (n</w:t>
      </w:r>
      <w:r>
        <w:rPr>
          <w:rFonts w:ascii="Arial" w:eastAsia="Times New Roman" w:hAnsi="Arial" w:cs="Arial"/>
          <w:sz w:val="20"/>
          <w:szCs w:val="20"/>
        </w:rPr>
        <w:t xml:space="preserve">a </w:t>
      </w:r>
      <w:r w:rsidRPr="00F43999">
        <w:rPr>
          <w:rFonts w:ascii="Arial" w:eastAsia="Times New Roman" w:hAnsi="Arial" w:cs="Arial"/>
          <w:sz w:val="20"/>
          <w:szCs w:val="20"/>
        </w:rPr>
        <w:t>pr</w:t>
      </w:r>
      <w:r>
        <w:rPr>
          <w:rFonts w:ascii="Arial" w:eastAsia="Times New Roman" w:hAnsi="Arial" w:cs="Arial"/>
          <w:sz w:val="20"/>
          <w:szCs w:val="20"/>
        </w:rPr>
        <w:t>imer</w:t>
      </w:r>
      <w:r w:rsidRPr="00F43999">
        <w:rPr>
          <w:rFonts w:ascii="Arial" w:eastAsia="Times New Roman" w:hAnsi="Arial" w:cs="Arial"/>
          <w:sz w:val="20"/>
          <w:szCs w:val="20"/>
        </w:rPr>
        <w:t xml:space="preserve"> institut poroštva po 148. členu </w:t>
      </w:r>
      <w:r w:rsidRPr="00F43999">
        <w:rPr>
          <w:rFonts w:ascii="Arial" w:eastAsia="Times New Roman" w:hAnsi="Arial" w:cs="Arial"/>
          <w:sz w:val="20"/>
          <w:szCs w:val="20"/>
        </w:rPr>
        <w:lastRenderedPageBreak/>
        <w:t>ZDavP-2), v ta okvir s</w:t>
      </w:r>
      <w:r>
        <w:rPr>
          <w:rFonts w:ascii="Arial" w:eastAsia="Times New Roman" w:hAnsi="Arial" w:cs="Arial"/>
          <w:sz w:val="20"/>
          <w:szCs w:val="20"/>
        </w:rPr>
        <w:t>pada</w:t>
      </w:r>
      <w:r w:rsidRPr="00F43999">
        <w:rPr>
          <w:rFonts w:ascii="Arial" w:eastAsia="Times New Roman" w:hAnsi="Arial" w:cs="Arial"/>
          <w:sz w:val="20"/>
          <w:szCs w:val="20"/>
        </w:rPr>
        <w:t xml:space="preserve">jo tudi drugi zahtevnejši ukrepi </w:t>
      </w:r>
      <w:r>
        <w:rPr>
          <w:rFonts w:ascii="Arial" w:eastAsia="Times New Roman" w:hAnsi="Arial" w:cs="Arial"/>
          <w:sz w:val="20"/>
          <w:szCs w:val="20"/>
        </w:rPr>
        <w:t>in</w:t>
      </w:r>
      <w:r w:rsidRPr="00F43999">
        <w:rPr>
          <w:rFonts w:ascii="Arial" w:eastAsia="Times New Roman" w:hAnsi="Arial" w:cs="Arial"/>
          <w:sz w:val="20"/>
          <w:szCs w:val="20"/>
        </w:rPr>
        <w:t xml:space="preserve"> instituti, predvideni v ZFPPIPP, </w:t>
      </w:r>
      <w:r>
        <w:rPr>
          <w:rFonts w:ascii="Arial" w:eastAsia="Times New Roman" w:hAnsi="Arial" w:cs="Arial"/>
          <w:sz w:val="20"/>
          <w:szCs w:val="20"/>
        </w:rPr>
        <w:t>Obligacijskem zakoniku (</w:t>
      </w:r>
      <w:r w:rsidRPr="00F43999">
        <w:rPr>
          <w:rFonts w:ascii="Arial" w:eastAsia="Times New Roman" w:hAnsi="Arial" w:cs="Arial"/>
          <w:sz w:val="20"/>
          <w:szCs w:val="20"/>
        </w:rPr>
        <w:t>OZ</w:t>
      </w:r>
      <w:r>
        <w:rPr>
          <w:rFonts w:ascii="Arial" w:eastAsia="Times New Roman" w:hAnsi="Arial" w:cs="Arial"/>
          <w:sz w:val="20"/>
          <w:szCs w:val="20"/>
        </w:rPr>
        <w:t>)</w:t>
      </w:r>
      <w:r w:rsidRPr="00F43999">
        <w:rPr>
          <w:rFonts w:ascii="Arial" w:eastAsia="Times New Roman" w:hAnsi="Arial" w:cs="Arial"/>
          <w:sz w:val="20"/>
          <w:szCs w:val="20"/>
        </w:rPr>
        <w:t>,</w:t>
      </w:r>
      <w:r>
        <w:rPr>
          <w:rStyle w:val="Sprotnaopomba-sklic"/>
          <w:rFonts w:ascii="Arial" w:eastAsia="Times New Roman" w:hAnsi="Arial" w:cs="Arial"/>
          <w:sz w:val="20"/>
          <w:szCs w:val="20"/>
        </w:rPr>
        <w:footnoteReference w:id="16"/>
      </w:r>
      <w:r w:rsidRPr="00F43999">
        <w:rPr>
          <w:rFonts w:ascii="Arial" w:eastAsia="Times New Roman" w:hAnsi="Arial" w:cs="Arial"/>
          <w:sz w:val="20"/>
          <w:szCs w:val="20"/>
        </w:rPr>
        <w:t xml:space="preserve"> ZGD-1 in </w:t>
      </w:r>
      <w:r>
        <w:rPr>
          <w:rFonts w:ascii="Arial" w:eastAsia="Times New Roman" w:hAnsi="Arial" w:cs="Arial"/>
          <w:sz w:val="20"/>
          <w:szCs w:val="20"/>
        </w:rPr>
        <w:t>Družinskem zakoniku (</w:t>
      </w:r>
      <w:r w:rsidRPr="00F43999">
        <w:rPr>
          <w:rFonts w:ascii="Arial" w:eastAsia="Times New Roman" w:hAnsi="Arial" w:cs="Arial"/>
          <w:sz w:val="20"/>
          <w:szCs w:val="20"/>
        </w:rPr>
        <w:t>DZ</w:t>
      </w:r>
      <w:r>
        <w:rPr>
          <w:rFonts w:ascii="Arial" w:eastAsia="Times New Roman" w:hAnsi="Arial" w:cs="Arial"/>
          <w:sz w:val="20"/>
          <w:szCs w:val="20"/>
        </w:rPr>
        <w:t>)</w:t>
      </w:r>
      <w:r>
        <w:rPr>
          <w:rStyle w:val="Sprotnaopomba-sklic"/>
          <w:rFonts w:ascii="Arial" w:eastAsia="Times New Roman" w:hAnsi="Arial" w:cs="Arial"/>
          <w:sz w:val="20"/>
          <w:szCs w:val="20"/>
        </w:rPr>
        <w:footnoteReference w:id="17"/>
      </w:r>
      <w:r w:rsidRPr="00F43999">
        <w:rPr>
          <w:rFonts w:ascii="Arial" w:eastAsia="Times New Roman" w:hAnsi="Arial" w:cs="Arial"/>
          <w:sz w:val="20"/>
          <w:szCs w:val="20"/>
        </w:rPr>
        <w:t xml:space="preserve"> (n</w:t>
      </w:r>
      <w:r>
        <w:rPr>
          <w:rFonts w:ascii="Arial" w:eastAsia="Times New Roman" w:hAnsi="Arial" w:cs="Arial"/>
          <w:sz w:val="20"/>
          <w:szCs w:val="20"/>
        </w:rPr>
        <w:t xml:space="preserve">a </w:t>
      </w:r>
      <w:r w:rsidRPr="00F43999">
        <w:rPr>
          <w:rFonts w:ascii="Arial" w:eastAsia="Times New Roman" w:hAnsi="Arial" w:cs="Arial"/>
          <w:sz w:val="20"/>
          <w:szCs w:val="20"/>
        </w:rPr>
        <w:t>pr</w:t>
      </w:r>
      <w:r>
        <w:rPr>
          <w:rFonts w:ascii="Arial" w:eastAsia="Times New Roman" w:hAnsi="Arial" w:cs="Arial"/>
          <w:sz w:val="20"/>
          <w:szCs w:val="20"/>
        </w:rPr>
        <w:t>imer</w:t>
      </w:r>
      <w:r w:rsidRPr="00F43999">
        <w:rPr>
          <w:rFonts w:ascii="Arial" w:eastAsia="Times New Roman" w:hAnsi="Arial" w:cs="Arial"/>
          <w:sz w:val="20"/>
          <w:szCs w:val="20"/>
        </w:rPr>
        <w:t xml:space="preserve"> uveljavljanje odškodninske odgovornosti poslovodstva v okviru stečaja nad dolžnikom ali po izbrisu, izpodbijanje dolžnikovih pravnih dejanj, spregled pravne osebnosti, določitev deleža na skupnem premoženju zakoncev). Gre za institute, ki so namenjeni uveljavljanju davčnega dolga v primerih, ko z rednimi ukrepi izterjave ni mogoče pričakovati </w:t>
      </w:r>
      <w:r w:rsidRPr="007021DC">
        <w:rPr>
          <w:rFonts w:ascii="Arial" w:eastAsia="Times New Roman" w:hAnsi="Arial" w:cs="Arial"/>
          <w:sz w:val="20"/>
          <w:szCs w:val="20"/>
        </w:rPr>
        <w:t>uspeha</w:t>
      </w:r>
      <w:r w:rsidRPr="00625281">
        <w:rPr>
          <w:rFonts w:ascii="Arial" w:eastAsia="Times New Roman" w:hAnsi="Arial" w:cs="Arial"/>
          <w:sz w:val="20"/>
          <w:szCs w:val="20"/>
        </w:rPr>
        <w:t xml:space="preserve">, </w:t>
      </w:r>
      <w:r>
        <w:rPr>
          <w:rFonts w:ascii="Arial" w:eastAsia="Times New Roman" w:hAnsi="Arial" w:cs="Arial"/>
          <w:sz w:val="20"/>
          <w:szCs w:val="20"/>
        </w:rPr>
        <w:t>in</w:t>
      </w:r>
      <w:r w:rsidRPr="00625281">
        <w:rPr>
          <w:rFonts w:ascii="Arial" w:eastAsia="Times New Roman" w:hAnsi="Arial" w:cs="Arial"/>
          <w:sz w:val="20"/>
          <w:szCs w:val="20"/>
        </w:rPr>
        <w:t xml:space="preserve"> torej</w:t>
      </w:r>
      <w:r w:rsidRPr="00F43999">
        <w:rPr>
          <w:rFonts w:ascii="Arial" w:eastAsia="Times New Roman" w:hAnsi="Arial" w:cs="Arial"/>
          <w:sz w:val="20"/>
          <w:szCs w:val="20"/>
        </w:rPr>
        <w:t xml:space="preserve"> </w:t>
      </w:r>
      <w:r>
        <w:rPr>
          <w:rFonts w:ascii="Arial" w:eastAsia="Times New Roman" w:hAnsi="Arial" w:cs="Arial"/>
          <w:sz w:val="20"/>
          <w:szCs w:val="20"/>
        </w:rPr>
        <w:t>pomenijo</w:t>
      </w:r>
      <w:r w:rsidRPr="00F43999">
        <w:rPr>
          <w:rFonts w:ascii="Arial" w:eastAsia="Times New Roman" w:hAnsi="Arial" w:cs="Arial"/>
          <w:sz w:val="20"/>
          <w:szCs w:val="20"/>
        </w:rPr>
        <w:t xml:space="preserve"> nadgradnjo postopka izterjave.</w:t>
      </w:r>
      <w:bookmarkStart w:id="25" w:name="_Hlk129344013"/>
    </w:p>
    <w:bookmarkEnd w:id="25"/>
    <w:p w14:paraId="5C7D0568" w14:textId="77777777" w:rsidR="00A155A2" w:rsidRPr="005B4D96" w:rsidRDefault="00A155A2" w:rsidP="00A155A2">
      <w:pPr>
        <w:pStyle w:val="Odstavekseznama"/>
        <w:ind w:left="0"/>
        <w:jc w:val="both"/>
        <w:rPr>
          <w:rFonts w:ascii="Arial" w:eastAsiaTheme="minorHAnsi" w:hAnsi="Arial" w:cs="Arial"/>
          <w:iCs/>
          <w:sz w:val="20"/>
          <w:szCs w:val="20"/>
        </w:rPr>
      </w:pPr>
      <w:r w:rsidRPr="005B4D96">
        <w:rPr>
          <w:rFonts w:ascii="Arial" w:hAnsi="Arial" w:cs="Arial"/>
          <w:sz w:val="20"/>
          <w:szCs w:val="20"/>
        </w:rPr>
        <w:t xml:space="preserve">V </w:t>
      </w:r>
      <w:r>
        <w:rPr>
          <w:rFonts w:ascii="Arial" w:hAnsi="Arial" w:cs="Arial"/>
          <w:sz w:val="20"/>
          <w:szCs w:val="20"/>
        </w:rPr>
        <w:t xml:space="preserve">preglednici 25 </w:t>
      </w:r>
      <w:r w:rsidRPr="005B4D96">
        <w:rPr>
          <w:rFonts w:ascii="Arial" w:hAnsi="Arial" w:cs="Arial"/>
          <w:sz w:val="20"/>
          <w:szCs w:val="20"/>
        </w:rPr>
        <w:t>so prikazani bistveni instituti, ki jih F</w:t>
      </w:r>
      <w:r>
        <w:rPr>
          <w:rFonts w:ascii="Arial" w:hAnsi="Arial" w:cs="Arial"/>
          <w:sz w:val="20"/>
          <w:szCs w:val="20"/>
        </w:rPr>
        <w:t xml:space="preserve">URS </w:t>
      </w:r>
      <w:r w:rsidRPr="005B4D96">
        <w:rPr>
          <w:rFonts w:ascii="Arial" w:hAnsi="Arial" w:cs="Arial"/>
          <w:sz w:val="20"/>
          <w:szCs w:val="20"/>
        </w:rPr>
        <w:t>uporabi ob zaznavi zlorabe</w:t>
      </w:r>
      <w:r>
        <w:rPr>
          <w:rFonts w:ascii="Arial" w:hAnsi="Arial" w:cs="Arial"/>
          <w:sz w:val="20"/>
          <w:szCs w:val="20"/>
        </w:rPr>
        <w:t xml:space="preserve"> </w:t>
      </w:r>
      <w:r w:rsidRPr="00E63FA3">
        <w:rPr>
          <w:rFonts w:ascii="Arial" w:hAnsi="Arial" w:cs="Arial"/>
          <w:sz w:val="20"/>
          <w:szCs w:val="20"/>
        </w:rPr>
        <w:t>pri</w:t>
      </w:r>
      <w:r>
        <w:rPr>
          <w:rFonts w:ascii="Arial" w:hAnsi="Arial" w:cs="Arial"/>
          <w:sz w:val="20"/>
          <w:szCs w:val="20"/>
        </w:rPr>
        <w:t xml:space="preserve"> </w:t>
      </w:r>
      <w:r w:rsidRPr="005B4D96">
        <w:rPr>
          <w:rFonts w:ascii="Arial" w:hAnsi="Arial" w:cs="Arial"/>
          <w:sz w:val="20"/>
          <w:szCs w:val="20"/>
        </w:rPr>
        <w:t>davčnih dolžnik</w:t>
      </w:r>
      <w:r>
        <w:rPr>
          <w:rFonts w:ascii="Arial" w:hAnsi="Arial" w:cs="Arial"/>
          <w:sz w:val="20"/>
          <w:szCs w:val="20"/>
        </w:rPr>
        <w:t>ih</w:t>
      </w:r>
      <w:r w:rsidRPr="005B4D96">
        <w:rPr>
          <w:rFonts w:ascii="Arial" w:hAnsi="Arial" w:cs="Arial"/>
          <w:sz w:val="20"/>
          <w:szCs w:val="20"/>
        </w:rPr>
        <w:t xml:space="preserve">. </w:t>
      </w:r>
      <w:r w:rsidRPr="00625281">
        <w:rPr>
          <w:rFonts w:ascii="Arial" w:hAnsi="Arial" w:cs="Arial"/>
          <w:sz w:val="20"/>
          <w:szCs w:val="20"/>
        </w:rPr>
        <w:t xml:space="preserve">Podatki kažejo, da se je v letu 2024 število vseh začetih postopkov z uporabo posebnih institutov v primerjavi z letom 2023 zmanjšalo za dva (4,4 </w:t>
      </w:r>
      <w:r w:rsidRPr="00625281">
        <w:rPr>
          <w:rFonts w:ascii="Arial" w:hAnsi="Arial" w:cs="Arial"/>
          <w:bCs/>
          <w:sz w:val="20"/>
          <w:szCs w:val="20"/>
        </w:rPr>
        <w:t>odstotka</w:t>
      </w:r>
      <w:r w:rsidRPr="00625281">
        <w:rPr>
          <w:rFonts w:ascii="Arial" w:hAnsi="Arial" w:cs="Arial"/>
          <w:sz w:val="20"/>
          <w:szCs w:val="20"/>
        </w:rPr>
        <w:t>) postopka, znesek izterjanega dolga pa za 45.061 EUR (4,4 odstotka). Navedeno</w:t>
      </w:r>
      <w:r w:rsidRPr="005B4D96">
        <w:rPr>
          <w:rFonts w:ascii="Arial" w:hAnsi="Arial" w:cs="Arial"/>
          <w:sz w:val="20"/>
          <w:szCs w:val="20"/>
        </w:rPr>
        <w:t xml:space="preserve"> je predvsem posledica spremenjenih procesnih pravil, ki zahtevajo dodatno varstvo pravic strank v postopkih na podlagi poroštva</w:t>
      </w:r>
    </w:p>
    <w:p w14:paraId="43455DB1" w14:textId="77777777" w:rsidR="00A155A2" w:rsidRDefault="00A155A2" w:rsidP="00A155A2">
      <w:pPr>
        <w:pStyle w:val="Odstavekseznama"/>
        <w:ind w:left="0"/>
        <w:jc w:val="both"/>
        <w:rPr>
          <w:rFonts w:ascii="Arial" w:eastAsiaTheme="minorHAnsi" w:hAnsi="Arial" w:cs="Arial"/>
          <w:i/>
          <w:sz w:val="20"/>
          <w:szCs w:val="20"/>
        </w:rPr>
      </w:pPr>
    </w:p>
    <w:p w14:paraId="57283341" w14:textId="77777777" w:rsidR="00A155A2" w:rsidRDefault="00A155A2" w:rsidP="00A155A2">
      <w:pPr>
        <w:pStyle w:val="Odstavekseznama"/>
        <w:ind w:left="0"/>
        <w:jc w:val="both"/>
        <w:rPr>
          <w:rFonts w:ascii="Arial" w:eastAsiaTheme="minorHAnsi" w:hAnsi="Arial" w:cs="Arial"/>
          <w:i/>
          <w:sz w:val="20"/>
          <w:szCs w:val="20"/>
        </w:rPr>
      </w:pPr>
      <w:r>
        <w:rPr>
          <w:rFonts w:ascii="Arial" w:eastAsiaTheme="minorHAnsi" w:hAnsi="Arial" w:cs="Arial"/>
          <w:i/>
          <w:sz w:val="20"/>
          <w:szCs w:val="20"/>
        </w:rPr>
        <w:t>P</w:t>
      </w:r>
      <w:r w:rsidRPr="0031261F">
        <w:rPr>
          <w:rFonts w:ascii="Arial" w:eastAsiaTheme="minorHAnsi" w:hAnsi="Arial" w:cs="Arial"/>
          <w:i/>
          <w:sz w:val="20"/>
          <w:szCs w:val="20"/>
        </w:rPr>
        <w:t>reglednica 2</w:t>
      </w:r>
      <w:r>
        <w:rPr>
          <w:rFonts w:ascii="Arial" w:eastAsiaTheme="minorHAnsi" w:hAnsi="Arial" w:cs="Arial"/>
          <w:i/>
          <w:sz w:val="20"/>
          <w:szCs w:val="20"/>
        </w:rPr>
        <w:t>5</w:t>
      </w:r>
      <w:r w:rsidRPr="0031261F">
        <w:rPr>
          <w:rFonts w:ascii="Arial" w:eastAsiaTheme="minorHAnsi" w:hAnsi="Arial" w:cs="Arial"/>
          <w:i/>
          <w:sz w:val="20"/>
          <w:szCs w:val="20"/>
        </w:rPr>
        <w:t xml:space="preserve">: Uporaba posebnih institutov zoper davčne dolžnike </w:t>
      </w:r>
    </w:p>
    <w:p w14:paraId="3C432A4B" w14:textId="77777777" w:rsidR="00A155A2" w:rsidRDefault="00A155A2" w:rsidP="00A155A2">
      <w:pPr>
        <w:pStyle w:val="Odstavekseznama"/>
        <w:ind w:left="0"/>
        <w:jc w:val="both"/>
        <w:rPr>
          <w:rFonts w:ascii="Arial" w:eastAsiaTheme="minorHAnsi" w:hAnsi="Arial" w:cs="Arial"/>
          <w:i/>
          <w:sz w:val="20"/>
          <w:szCs w:val="20"/>
        </w:rPr>
      </w:pPr>
    </w:p>
    <w:tbl>
      <w:tblPr>
        <w:tblW w:w="9314" w:type="dxa"/>
        <w:tblCellMar>
          <w:left w:w="70" w:type="dxa"/>
          <w:right w:w="70" w:type="dxa"/>
        </w:tblCellMar>
        <w:tblLook w:val="04A0" w:firstRow="1" w:lastRow="0" w:firstColumn="1" w:lastColumn="0" w:noHBand="0" w:noVBand="1"/>
      </w:tblPr>
      <w:tblGrid>
        <w:gridCol w:w="319"/>
        <w:gridCol w:w="2345"/>
        <w:gridCol w:w="1372"/>
        <w:gridCol w:w="599"/>
        <w:gridCol w:w="581"/>
        <w:gridCol w:w="581"/>
        <w:gridCol w:w="967"/>
        <w:gridCol w:w="599"/>
        <w:gridCol w:w="543"/>
        <w:gridCol w:w="431"/>
        <w:gridCol w:w="977"/>
      </w:tblGrid>
      <w:tr w:rsidR="00A155A2" w:rsidRPr="005B4D96" w14:paraId="537E2A2E" w14:textId="77777777" w:rsidTr="001C77D2">
        <w:trPr>
          <w:trHeight w:val="412"/>
        </w:trPr>
        <w:tc>
          <w:tcPr>
            <w:tcW w:w="319" w:type="dxa"/>
            <w:tcBorders>
              <w:top w:val="single" w:sz="4" w:space="0" w:color="auto"/>
              <w:left w:val="single" w:sz="4" w:space="0" w:color="auto"/>
              <w:bottom w:val="single" w:sz="4" w:space="0" w:color="auto"/>
              <w:right w:val="single" w:sz="4" w:space="0" w:color="auto"/>
            </w:tcBorders>
            <w:shd w:val="clear" w:color="000000" w:fill="31869B"/>
            <w:vAlign w:val="center"/>
            <w:hideMark/>
          </w:tcPr>
          <w:p w14:paraId="77BA4560" w14:textId="77777777" w:rsidR="00A155A2" w:rsidRPr="005B4D96" w:rsidRDefault="00A155A2" w:rsidP="001C77D2">
            <w:pPr>
              <w:spacing w:line="240" w:lineRule="auto"/>
              <w:rPr>
                <w:rFonts w:ascii="Arial" w:eastAsia="Times New Roman" w:hAnsi="Arial" w:cs="Arial"/>
                <w:sz w:val="18"/>
                <w:szCs w:val="18"/>
                <w:lang w:eastAsia="sl-SI"/>
              </w:rPr>
            </w:pPr>
            <w:r w:rsidRPr="005B4D96">
              <w:rPr>
                <w:rFonts w:ascii="Arial" w:eastAsia="Times New Roman" w:hAnsi="Arial" w:cs="Arial"/>
                <w:sz w:val="18"/>
                <w:szCs w:val="18"/>
                <w:lang w:eastAsia="sl-SI"/>
              </w:rPr>
              <w:t> </w:t>
            </w:r>
          </w:p>
        </w:tc>
        <w:tc>
          <w:tcPr>
            <w:tcW w:w="2345" w:type="dxa"/>
            <w:tcBorders>
              <w:top w:val="single" w:sz="4" w:space="0" w:color="auto"/>
              <w:left w:val="nil"/>
              <w:bottom w:val="single" w:sz="4" w:space="0" w:color="auto"/>
              <w:right w:val="single" w:sz="4" w:space="0" w:color="auto"/>
            </w:tcBorders>
            <w:shd w:val="clear" w:color="000000" w:fill="31869B"/>
            <w:vAlign w:val="center"/>
            <w:hideMark/>
          </w:tcPr>
          <w:p w14:paraId="400474AD"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Institut</w:t>
            </w:r>
          </w:p>
        </w:tc>
        <w:tc>
          <w:tcPr>
            <w:tcW w:w="1370" w:type="dxa"/>
            <w:tcBorders>
              <w:top w:val="single" w:sz="4" w:space="0" w:color="auto"/>
              <w:left w:val="nil"/>
              <w:bottom w:val="single" w:sz="4" w:space="0" w:color="auto"/>
              <w:right w:val="single" w:sz="4" w:space="0" w:color="auto"/>
            </w:tcBorders>
            <w:shd w:val="clear" w:color="000000" w:fill="31869B"/>
            <w:vAlign w:val="center"/>
            <w:hideMark/>
          </w:tcPr>
          <w:p w14:paraId="05FCF3FB"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Podlaga</w:t>
            </w:r>
          </w:p>
        </w:tc>
        <w:tc>
          <w:tcPr>
            <w:tcW w:w="2729" w:type="dxa"/>
            <w:gridSpan w:val="4"/>
            <w:tcBorders>
              <w:top w:val="single" w:sz="8" w:space="0" w:color="auto"/>
              <w:left w:val="single" w:sz="8" w:space="0" w:color="auto"/>
              <w:bottom w:val="single" w:sz="4" w:space="0" w:color="auto"/>
              <w:right w:val="single" w:sz="8" w:space="0" w:color="000000"/>
            </w:tcBorders>
            <w:shd w:val="clear" w:color="000000" w:fill="31869B"/>
            <w:vAlign w:val="center"/>
            <w:hideMark/>
          </w:tcPr>
          <w:p w14:paraId="5428A392"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2023</w:t>
            </w:r>
          </w:p>
        </w:tc>
        <w:tc>
          <w:tcPr>
            <w:tcW w:w="2551" w:type="dxa"/>
            <w:gridSpan w:val="4"/>
            <w:tcBorders>
              <w:top w:val="single" w:sz="8" w:space="0" w:color="auto"/>
              <w:left w:val="nil"/>
              <w:bottom w:val="single" w:sz="4" w:space="0" w:color="auto"/>
              <w:right w:val="single" w:sz="8" w:space="0" w:color="000000"/>
            </w:tcBorders>
            <w:shd w:val="clear" w:color="000000" w:fill="31869B"/>
            <w:vAlign w:val="center"/>
            <w:hideMark/>
          </w:tcPr>
          <w:p w14:paraId="36180B81"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2024</w:t>
            </w:r>
          </w:p>
        </w:tc>
      </w:tr>
      <w:tr w:rsidR="00A155A2" w:rsidRPr="005B4D96" w14:paraId="0B490EDD" w14:textId="77777777" w:rsidTr="001C77D2">
        <w:trPr>
          <w:trHeight w:val="348"/>
        </w:trPr>
        <w:tc>
          <w:tcPr>
            <w:tcW w:w="319" w:type="dxa"/>
            <w:tcBorders>
              <w:top w:val="nil"/>
              <w:left w:val="single" w:sz="4" w:space="0" w:color="auto"/>
              <w:bottom w:val="single" w:sz="4" w:space="0" w:color="auto"/>
              <w:right w:val="single" w:sz="4" w:space="0" w:color="auto"/>
            </w:tcBorders>
            <w:shd w:val="clear" w:color="000000" w:fill="31869B"/>
            <w:vAlign w:val="center"/>
            <w:hideMark/>
          </w:tcPr>
          <w:p w14:paraId="2A250A24"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 </w:t>
            </w:r>
          </w:p>
        </w:tc>
        <w:tc>
          <w:tcPr>
            <w:tcW w:w="2345" w:type="dxa"/>
            <w:tcBorders>
              <w:top w:val="nil"/>
              <w:left w:val="nil"/>
              <w:bottom w:val="single" w:sz="4" w:space="0" w:color="auto"/>
              <w:right w:val="single" w:sz="4" w:space="0" w:color="auto"/>
            </w:tcBorders>
            <w:shd w:val="clear" w:color="000000" w:fill="31869B"/>
            <w:vAlign w:val="center"/>
            <w:hideMark/>
          </w:tcPr>
          <w:p w14:paraId="6A02E257"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 </w:t>
            </w:r>
          </w:p>
        </w:tc>
        <w:tc>
          <w:tcPr>
            <w:tcW w:w="1370" w:type="dxa"/>
            <w:tcBorders>
              <w:top w:val="nil"/>
              <w:left w:val="nil"/>
              <w:bottom w:val="single" w:sz="4" w:space="0" w:color="auto"/>
              <w:right w:val="single" w:sz="4" w:space="0" w:color="auto"/>
            </w:tcBorders>
            <w:shd w:val="clear" w:color="000000" w:fill="31869B"/>
            <w:vAlign w:val="center"/>
            <w:hideMark/>
          </w:tcPr>
          <w:p w14:paraId="0BB20697"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 </w:t>
            </w:r>
          </w:p>
        </w:tc>
        <w:tc>
          <w:tcPr>
            <w:tcW w:w="599" w:type="dxa"/>
            <w:tcBorders>
              <w:top w:val="nil"/>
              <w:left w:val="single" w:sz="8" w:space="0" w:color="auto"/>
              <w:bottom w:val="single" w:sz="4" w:space="0" w:color="auto"/>
              <w:right w:val="single" w:sz="4" w:space="0" w:color="auto"/>
            </w:tcBorders>
            <w:shd w:val="clear" w:color="000000" w:fill="31869B"/>
            <w:vAlign w:val="center"/>
            <w:hideMark/>
          </w:tcPr>
          <w:p w14:paraId="47B3804F"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1</w:t>
            </w:r>
          </w:p>
        </w:tc>
        <w:tc>
          <w:tcPr>
            <w:tcW w:w="581" w:type="dxa"/>
            <w:tcBorders>
              <w:top w:val="nil"/>
              <w:left w:val="nil"/>
              <w:bottom w:val="single" w:sz="4" w:space="0" w:color="auto"/>
              <w:right w:val="single" w:sz="4" w:space="0" w:color="auto"/>
            </w:tcBorders>
            <w:shd w:val="clear" w:color="000000" w:fill="31869B"/>
            <w:vAlign w:val="center"/>
            <w:hideMark/>
          </w:tcPr>
          <w:p w14:paraId="4C4E2C0B"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2</w:t>
            </w:r>
          </w:p>
        </w:tc>
        <w:tc>
          <w:tcPr>
            <w:tcW w:w="581" w:type="dxa"/>
            <w:tcBorders>
              <w:top w:val="nil"/>
              <w:left w:val="nil"/>
              <w:bottom w:val="single" w:sz="4" w:space="0" w:color="auto"/>
              <w:right w:val="single" w:sz="4" w:space="0" w:color="auto"/>
            </w:tcBorders>
            <w:shd w:val="clear" w:color="000000" w:fill="31869B"/>
            <w:vAlign w:val="center"/>
            <w:hideMark/>
          </w:tcPr>
          <w:p w14:paraId="6DFC7790"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3</w:t>
            </w:r>
          </w:p>
        </w:tc>
        <w:tc>
          <w:tcPr>
            <w:tcW w:w="967" w:type="dxa"/>
            <w:tcBorders>
              <w:top w:val="nil"/>
              <w:left w:val="nil"/>
              <w:bottom w:val="single" w:sz="4" w:space="0" w:color="auto"/>
              <w:right w:val="single" w:sz="8" w:space="0" w:color="auto"/>
            </w:tcBorders>
            <w:shd w:val="clear" w:color="000000" w:fill="31869B"/>
            <w:vAlign w:val="center"/>
            <w:hideMark/>
          </w:tcPr>
          <w:p w14:paraId="0983B9CA"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4</w:t>
            </w:r>
          </w:p>
        </w:tc>
        <w:tc>
          <w:tcPr>
            <w:tcW w:w="599" w:type="dxa"/>
            <w:tcBorders>
              <w:top w:val="nil"/>
              <w:left w:val="nil"/>
              <w:bottom w:val="single" w:sz="4" w:space="0" w:color="auto"/>
              <w:right w:val="single" w:sz="4" w:space="0" w:color="auto"/>
            </w:tcBorders>
            <w:shd w:val="clear" w:color="000000" w:fill="31869B"/>
            <w:vAlign w:val="center"/>
            <w:hideMark/>
          </w:tcPr>
          <w:p w14:paraId="1D7B3235"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1</w:t>
            </w:r>
          </w:p>
        </w:tc>
        <w:tc>
          <w:tcPr>
            <w:tcW w:w="543" w:type="dxa"/>
            <w:tcBorders>
              <w:top w:val="nil"/>
              <w:left w:val="nil"/>
              <w:bottom w:val="single" w:sz="4" w:space="0" w:color="auto"/>
              <w:right w:val="single" w:sz="4" w:space="0" w:color="auto"/>
            </w:tcBorders>
            <w:shd w:val="clear" w:color="000000" w:fill="31869B"/>
            <w:vAlign w:val="center"/>
            <w:hideMark/>
          </w:tcPr>
          <w:p w14:paraId="1A41DB18"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2</w:t>
            </w:r>
          </w:p>
        </w:tc>
        <w:tc>
          <w:tcPr>
            <w:tcW w:w="431" w:type="dxa"/>
            <w:tcBorders>
              <w:top w:val="nil"/>
              <w:left w:val="nil"/>
              <w:bottom w:val="single" w:sz="4" w:space="0" w:color="auto"/>
              <w:right w:val="single" w:sz="4" w:space="0" w:color="auto"/>
            </w:tcBorders>
            <w:shd w:val="clear" w:color="000000" w:fill="31869B"/>
            <w:vAlign w:val="center"/>
            <w:hideMark/>
          </w:tcPr>
          <w:p w14:paraId="6B7EF844"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3</w:t>
            </w:r>
          </w:p>
        </w:tc>
        <w:tc>
          <w:tcPr>
            <w:tcW w:w="976" w:type="dxa"/>
            <w:tcBorders>
              <w:top w:val="nil"/>
              <w:left w:val="nil"/>
              <w:bottom w:val="single" w:sz="4" w:space="0" w:color="auto"/>
              <w:right w:val="single" w:sz="8" w:space="0" w:color="auto"/>
            </w:tcBorders>
            <w:shd w:val="clear" w:color="000000" w:fill="31869B"/>
            <w:vAlign w:val="center"/>
            <w:hideMark/>
          </w:tcPr>
          <w:p w14:paraId="01072CA9"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4</w:t>
            </w:r>
          </w:p>
        </w:tc>
      </w:tr>
      <w:tr w:rsidR="00A155A2" w:rsidRPr="005B4D96" w14:paraId="5D28D831" w14:textId="77777777" w:rsidTr="001C77D2">
        <w:trPr>
          <w:trHeight w:val="710"/>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0CCBE1FF"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1</w:t>
            </w:r>
          </w:p>
        </w:tc>
        <w:tc>
          <w:tcPr>
            <w:tcW w:w="2345" w:type="dxa"/>
            <w:tcBorders>
              <w:top w:val="nil"/>
              <w:left w:val="nil"/>
              <w:bottom w:val="single" w:sz="4" w:space="0" w:color="auto"/>
              <w:right w:val="single" w:sz="4" w:space="0" w:color="auto"/>
            </w:tcBorders>
            <w:shd w:val="clear" w:color="auto" w:fill="auto"/>
            <w:vAlign w:val="center"/>
            <w:hideMark/>
          </w:tcPr>
          <w:p w14:paraId="04A9AAFA"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Izvršba na podlagi poroštva</w:t>
            </w:r>
          </w:p>
        </w:tc>
        <w:tc>
          <w:tcPr>
            <w:tcW w:w="1370" w:type="dxa"/>
            <w:tcBorders>
              <w:top w:val="nil"/>
              <w:left w:val="nil"/>
              <w:bottom w:val="single" w:sz="4" w:space="0" w:color="auto"/>
              <w:right w:val="single" w:sz="4" w:space="0" w:color="auto"/>
            </w:tcBorders>
            <w:shd w:val="clear" w:color="auto" w:fill="auto"/>
            <w:vAlign w:val="center"/>
            <w:hideMark/>
          </w:tcPr>
          <w:p w14:paraId="7C10DE8B"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148/1 čl. ZDavP-2</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2E367904"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23</w:t>
            </w:r>
          </w:p>
        </w:tc>
        <w:tc>
          <w:tcPr>
            <w:tcW w:w="581" w:type="dxa"/>
            <w:tcBorders>
              <w:top w:val="nil"/>
              <w:left w:val="nil"/>
              <w:bottom w:val="single" w:sz="4" w:space="0" w:color="auto"/>
              <w:right w:val="single" w:sz="4" w:space="0" w:color="auto"/>
            </w:tcBorders>
            <w:shd w:val="clear" w:color="000000" w:fill="DAEEF3"/>
            <w:vAlign w:val="center"/>
            <w:hideMark/>
          </w:tcPr>
          <w:p w14:paraId="7ACD49B8"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8</w:t>
            </w:r>
          </w:p>
        </w:tc>
        <w:tc>
          <w:tcPr>
            <w:tcW w:w="581" w:type="dxa"/>
            <w:tcBorders>
              <w:top w:val="nil"/>
              <w:left w:val="nil"/>
              <w:bottom w:val="single" w:sz="4" w:space="0" w:color="auto"/>
              <w:right w:val="single" w:sz="4" w:space="0" w:color="auto"/>
            </w:tcBorders>
            <w:shd w:val="clear" w:color="auto" w:fill="auto"/>
            <w:vAlign w:val="center"/>
            <w:hideMark/>
          </w:tcPr>
          <w:p w14:paraId="30920BAF"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3</w:t>
            </w:r>
          </w:p>
        </w:tc>
        <w:tc>
          <w:tcPr>
            <w:tcW w:w="967" w:type="dxa"/>
            <w:tcBorders>
              <w:top w:val="nil"/>
              <w:left w:val="nil"/>
              <w:bottom w:val="single" w:sz="4" w:space="0" w:color="auto"/>
              <w:right w:val="single" w:sz="8" w:space="0" w:color="auto"/>
            </w:tcBorders>
            <w:shd w:val="clear" w:color="auto" w:fill="auto"/>
            <w:vAlign w:val="center"/>
            <w:hideMark/>
          </w:tcPr>
          <w:p w14:paraId="6DD70B84"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290.683</w:t>
            </w:r>
          </w:p>
        </w:tc>
        <w:tc>
          <w:tcPr>
            <w:tcW w:w="599" w:type="dxa"/>
            <w:tcBorders>
              <w:top w:val="nil"/>
              <w:left w:val="nil"/>
              <w:bottom w:val="single" w:sz="4" w:space="0" w:color="auto"/>
              <w:right w:val="single" w:sz="4" w:space="0" w:color="auto"/>
            </w:tcBorders>
            <w:shd w:val="clear" w:color="auto" w:fill="auto"/>
            <w:vAlign w:val="center"/>
            <w:hideMark/>
          </w:tcPr>
          <w:p w14:paraId="6DE1CA13"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11</w:t>
            </w:r>
          </w:p>
        </w:tc>
        <w:tc>
          <w:tcPr>
            <w:tcW w:w="543" w:type="dxa"/>
            <w:tcBorders>
              <w:top w:val="nil"/>
              <w:left w:val="nil"/>
              <w:bottom w:val="single" w:sz="4" w:space="0" w:color="auto"/>
              <w:right w:val="single" w:sz="4" w:space="0" w:color="auto"/>
            </w:tcBorders>
            <w:shd w:val="clear" w:color="000000" w:fill="DAEEF3"/>
            <w:vAlign w:val="center"/>
            <w:hideMark/>
          </w:tcPr>
          <w:p w14:paraId="0A123650"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9</w:t>
            </w:r>
          </w:p>
        </w:tc>
        <w:tc>
          <w:tcPr>
            <w:tcW w:w="431" w:type="dxa"/>
            <w:tcBorders>
              <w:top w:val="nil"/>
              <w:left w:val="nil"/>
              <w:bottom w:val="single" w:sz="4" w:space="0" w:color="auto"/>
              <w:right w:val="single" w:sz="4" w:space="0" w:color="auto"/>
            </w:tcBorders>
            <w:shd w:val="clear" w:color="auto" w:fill="auto"/>
            <w:vAlign w:val="center"/>
            <w:hideMark/>
          </w:tcPr>
          <w:p w14:paraId="77BA54D4"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8</w:t>
            </w:r>
          </w:p>
        </w:tc>
        <w:tc>
          <w:tcPr>
            <w:tcW w:w="976" w:type="dxa"/>
            <w:tcBorders>
              <w:top w:val="nil"/>
              <w:left w:val="nil"/>
              <w:bottom w:val="single" w:sz="4" w:space="0" w:color="auto"/>
              <w:right w:val="single" w:sz="8" w:space="0" w:color="auto"/>
            </w:tcBorders>
            <w:shd w:val="clear" w:color="auto" w:fill="auto"/>
            <w:vAlign w:val="center"/>
            <w:hideMark/>
          </w:tcPr>
          <w:p w14:paraId="42554AF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359.168</w:t>
            </w:r>
          </w:p>
        </w:tc>
      </w:tr>
      <w:tr w:rsidR="00A155A2" w:rsidRPr="005B4D96" w14:paraId="3B6AF7CA" w14:textId="77777777" w:rsidTr="001C77D2">
        <w:trPr>
          <w:trHeight w:val="1226"/>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02FAA513"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2</w:t>
            </w:r>
          </w:p>
        </w:tc>
        <w:tc>
          <w:tcPr>
            <w:tcW w:w="2345" w:type="dxa"/>
            <w:tcBorders>
              <w:top w:val="nil"/>
              <w:left w:val="nil"/>
              <w:bottom w:val="single" w:sz="4" w:space="0" w:color="auto"/>
              <w:right w:val="single" w:sz="4" w:space="0" w:color="auto"/>
            </w:tcBorders>
            <w:shd w:val="clear" w:color="auto" w:fill="auto"/>
            <w:vAlign w:val="center"/>
            <w:hideMark/>
          </w:tcPr>
          <w:p w14:paraId="649B7223"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Uveljavljanje odškodninske odgovornosti članov poslovodstva in nadzornega sveta družbe v stečajnem postopku</w:t>
            </w:r>
          </w:p>
        </w:tc>
        <w:tc>
          <w:tcPr>
            <w:tcW w:w="1370" w:type="dxa"/>
            <w:tcBorders>
              <w:top w:val="nil"/>
              <w:left w:val="nil"/>
              <w:bottom w:val="single" w:sz="4" w:space="0" w:color="auto"/>
              <w:right w:val="single" w:sz="4" w:space="0" w:color="auto"/>
            </w:tcBorders>
            <w:shd w:val="clear" w:color="auto" w:fill="auto"/>
            <w:vAlign w:val="center"/>
            <w:hideMark/>
          </w:tcPr>
          <w:p w14:paraId="3A769750"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42. čl. ZFPPIPP</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7297A66F"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w:t>
            </w:r>
          </w:p>
        </w:tc>
        <w:tc>
          <w:tcPr>
            <w:tcW w:w="581" w:type="dxa"/>
            <w:tcBorders>
              <w:top w:val="nil"/>
              <w:left w:val="nil"/>
              <w:bottom w:val="single" w:sz="4" w:space="0" w:color="auto"/>
              <w:right w:val="single" w:sz="4" w:space="0" w:color="auto"/>
            </w:tcBorders>
            <w:shd w:val="clear" w:color="000000" w:fill="DAEEF3"/>
            <w:vAlign w:val="center"/>
            <w:hideMark/>
          </w:tcPr>
          <w:p w14:paraId="3ED8F06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81" w:type="dxa"/>
            <w:tcBorders>
              <w:top w:val="nil"/>
              <w:left w:val="nil"/>
              <w:bottom w:val="single" w:sz="4" w:space="0" w:color="auto"/>
              <w:right w:val="single" w:sz="4" w:space="0" w:color="auto"/>
            </w:tcBorders>
            <w:shd w:val="clear" w:color="auto" w:fill="auto"/>
            <w:vAlign w:val="center"/>
            <w:hideMark/>
          </w:tcPr>
          <w:p w14:paraId="238A7D0D"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w:t>
            </w:r>
          </w:p>
        </w:tc>
        <w:tc>
          <w:tcPr>
            <w:tcW w:w="967" w:type="dxa"/>
            <w:tcBorders>
              <w:top w:val="nil"/>
              <w:left w:val="nil"/>
              <w:bottom w:val="single" w:sz="4" w:space="0" w:color="auto"/>
              <w:right w:val="single" w:sz="8" w:space="0" w:color="auto"/>
            </w:tcBorders>
            <w:shd w:val="clear" w:color="auto" w:fill="auto"/>
            <w:vAlign w:val="center"/>
            <w:hideMark/>
          </w:tcPr>
          <w:p w14:paraId="12EC1DF6"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50.000</w:t>
            </w:r>
          </w:p>
        </w:tc>
        <w:tc>
          <w:tcPr>
            <w:tcW w:w="599" w:type="dxa"/>
            <w:tcBorders>
              <w:top w:val="nil"/>
              <w:left w:val="nil"/>
              <w:bottom w:val="single" w:sz="4" w:space="0" w:color="auto"/>
              <w:right w:val="single" w:sz="4" w:space="0" w:color="auto"/>
            </w:tcBorders>
            <w:shd w:val="clear" w:color="auto" w:fill="auto"/>
            <w:vAlign w:val="center"/>
            <w:hideMark/>
          </w:tcPr>
          <w:p w14:paraId="07462FBA"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543" w:type="dxa"/>
            <w:tcBorders>
              <w:top w:val="nil"/>
              <w:left w:val="nil"/>
              <w:bottom w:val="single" w:sz="4" w:space="0" w:color="auto"/>
              <w:right w:val="single" w:sz="4" w:space="0" w:color="auto"/>
            </w:tcBorders>
            <w:shd w:val="clear" w:color="000000" w:fill="DAEEF3"/>
            <w:vAlign w:val="center"/>
            <w:hideMark/>
          </w:tcPr>
          <w:p w14:paraId="2AA19F61"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431" w:type="dxa"/>
            <w:tcBorders>
              <w:top w:val="nil"/>
              <w:left w:val="nil"/>
              <w:bottom w:val="single" w:sz="4" w:space="0" w:color="auto"/>
              <w:right w:val="single" w:sz="4" w:space="0" w:color="auto"/>
            </w:tcBorders>
            <w:shd w:val="clear" w:color="auto" w:fill="auto"/>
            <w:vAlign w:val="center"/>
            <w:hideMark/>
          </w:tcPr>
          <w:p w14:paraId="156C178B"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976" w:type="dxa"/>
            <w:tcBorders>
              <w:top w:val="nil"/>
              <w:left w:val="nil"/>
              <w:bottom w:val="single" w:sz="4" w:space="0" w:color="auto"/>
              <w:right w:val="single" w:sz="8" w:space="0" w:color="auto"/>
            </w:tcBorders>
            <w:shd w:val="clear" w:color="auto" w:fill="auto"/>
            <w:vAlign w:val="center"/>
            <w:hideMark/>
          </w:tcPr>
          <w:p w14:paraId="6ECFF806"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10.000</w:t>
            </w:r>
          </w:p>
        </w:tc>
      </w:tr>
      <w:tr w:rsidR="00A155A2" w:rsidRPr="005B4D96" w14:paraId="4BAE44DD" w14:textId="77777777" w:rsidTr="001C77D2">
        <w:trPr>
          <w:trHeight w:val="1020"/>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11B0D2BB"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3</w:t>
            </w:r>
          </w:p>
        </w:tc>
        <w:tc>
          <w:tcPr>
            <w:tcW w:w="2345" w:type="dxa"/>
            <w:tcBorders>
              <w:top w:val="nil"/>
              <w:left w:val="nil"/>
              <w:bottom w:val="single" w:sz="4" w:space="0" w:color="auto"/>
              <w:right w:val="single" w:sz="4" w:space="0" w:color="auto"/>
            </w:tcBorders>
            <w:shd w:val="clear" w:color="auto" w:fill="auto"/>
            <w:vAlign w:val="center"/>
            <w:hideMark/>
          </w:tcPr>
          <w:p w14:paraId="47911B50"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Uveljavljanje odškodninske odgovornosti članov poslovodstva ali organa izbrisane pravne osebe</w:t>
            </w:r>
          </w:p>
        </w:tc>
        <w:tc>
          <w:tcPr>
            <w:tcW w:w="1370" w:type="dxa"/>
            <w:tcBorders>
              <w:top w:val="nil"/>
              <w:left w:val="nil"/>
              <w:bottom w:val="single" w:sz="4" w:space="0" w:color="auto"/>
              <w:right w:val="single" w:sz="4" w:space="0" w:color="auto"/>
            </w:tcBorders>
            <w:shd w:val="clear" w:color="auto" w:fill="auto"/>
            <w:vAlign w:val="center"/>
            <w:hideMark/>
          </w:tcPr>
          <w:p w14:paraId="24D19B90"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 xml:space="preserve">442. čl. v povezavi </w:t>
            </w:r>
            <w:r>
              <w:rPr>
                <w:rFonts w:ascii="Arial" w:eastAsia="Times New Roman" w:hAnsi="Arial" w:cs="Arial"/>
                <w:color w:val="000000"/>
                <w:sz w:val="18"/>
                <w:szCs w:val="18"/>
                <w:lang w:eastAsia="sl-SI"/>
              </w:rPr>
              <w:t>z</w:t>
            </w:r>
            <w:r w:rsidRPr="005B4D96">
              <w:rPr>
                <w:rFonts w:ascii="Arial" w:eastAsia="Times New Roman" w:hAnsi="Arial" w:cs="Arial"/>
                <w:color w:val="000000"/>
                <w:sz w:val="18"/>
                <w:szCs w:val="18"/>
                <w:lang w:eastAsia="sl-SI"/>
              </w:rPr>
              <w:t xml:space="preserve"> 42. čl. ZFPPIPP</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1849B27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81" w:type="dxa"/>
            <w:tcBorders>
              <w:top w:val="nil"/>
              <w:left w:val="nil"/>
              <w:bottom w:val="single" w:sz="4" w:space="0" w:color="auto"/>
              <w:right w:val="single" w:sz="4" w:space="0" w:color="auto"/>
            </w:tcBorders>
            <w:shd w:val="clear" w:color="000000" w:fill="DAEEF3"/>
            <w:vAlign w:val="center"/>
            <w:hideMark/>
          </w:tcPr>
          <w:p w14:paraId="5E4F4555"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81" w:type="dxa"/>
            <w:tcBorders>
              <w:top w:val="nil"/>
              <w:left w:val="nil"/>
              <w:bottom w:val="single" w:sz="4" w:space="0" w:color="auto"/>
              <w:right w:val="single" w:sz="4" w:space="0" w:color="auto"/>
            </w:tcBorders>
            <w:shd w:val="clear" w:color="auto" w:fill="auto"/>
            <w:vAlign w:val="center"/>
            <w:hideMark/>
          </w:tcPr>
          <w:p w14:paraId="2223B522"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967" w:type="dxa"/>
            <w:tcBorders>
              <w:top w:val="nil"/>
              <w:left w:val="nil"/>
              <w:bottom w:val="single" w:sz="4" w:space="0" w:color="auto"/>
              <w:right w:val="single" w:sz="8" w:space="0" w:color="auto"/>
            </w:tcBorders>
            <w:shd w:val="clear" w:color="auto" w:fill="auto"/>
            <w:vAlign w:val="center"/>
            <w:hideMark/>
          </w:tcPr>
          <w:p w14:paraId="4EE8985E"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99" w:type="dxa"/>
            <w:tcBorders>
              <w:top w:val="nil"/>
              <w:left w:val="nil"/>
              <w:bottom w:val="single" w:sz="4" w:space="0" w:color="auto"/>
              <w:right w:val="single" w:sz="4" w:space="0" w:color="auto"/>
            </w:tcBorders>
            <w:shd w:val="clear" w:color="auto" w:fill="auto"/>
            <w:vAlign w:val="center"/>
            <w:hideMark/>
          </w:tcPr>
          <w:p w14:paraId="4C2A1EC5"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543" w:type="dxa"/>
            <w:tcBorders>
              <w:top w:val="nil"/>
              <w:left w:val="nil"/>
              <w:bottom w:val="single" w:sz="4" w:space="0" w:color="auto"/>
              <w:right w:val="single" w:sz="4" w:space="0" w:color="auto"/>
            </w:tcBorders>
            <w:shd w:val="clear" w:color="000000" w:fill="DAEEF3"/>
            <w:vAlign w:val="center"/>
            <w:hideMark/>
          </w:tcPr>
          <w:p w14:paraId="06EB567E"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431" w:type="dxa"/>
            <w:tcBorders>
              <w:top w:val="nil"/>
              <w:left w:val="nil"/>
              <w:bottom w:val="single" w:sz="4" w:space="0" w:color="auto"/>
              <w:right w:val="single" w:sz="4" w:space="0" w:color="auto"/>
            </w:tcBorders>
            <w:shd w:val="clear" w:color="auto" w:fill="auto"/>
            <w:vAlign w:val="center"/>
            <w:hideMark/>
          </w:tcPr>
          <w:p w14:paraId="0D61DAF8"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976" w:type="dxa"/>
            <w:tcBorders>
              <w:top w:val="nil"/>
              <w:left w:val="nil"/>
              <w:bottom w:val="single" w:sz="4" w:space="0" w:color="auto"/>
              <w:right w:val="single" w:sz="8" w:space="0" w:color="auto"/>
            </w:tcBorders>
            <w:shd w:val="clear" w:color="auto" w:fill="auto"/>
            <w:vAlign w:val="center"/>
            <w:hideMark/>
          </w:tcPr>
          <w:p w14:paraId="7E1A2299" w14:textId="77777777" w:rsidR="00A155A2" w:rsidRPr="005B4D96" w:rsidRDefault="00A155A2" w:rsidP="001C77D2">
            <w:pPr>
              <w:spacing w:line="240" w:lineRule="auto"/>
              <w:jc w:val="center"/>
              <w:rPr>
                <w:rFonts w:ascii="Arial" w:eastAsia="Times New Roman" w:hAnsi="Arial" w:cs="Arial"/>
                <w:sz w:val="18"/>
                <w:szCs w:val="18"/>
                <w:lang w:eastAsia="sl-SI"/>
              </w:rPr>
            </w:pPr>
          </w:p>
        </w:tc>
      </w:tr>
      <w:tr w:rsidR="00A155A2" w:rsidRPr="005B4D96" w14:paraId="186564B4" w14:textId="77777777" w:rsidTr="001C77D2">
        <w:trPr>
          <w:trHeight w:val="1097"/>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7794A0BB"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4</w:t>
            </w:r>
          </w:p>
        </w:tc>
        <w:tc>
          <w:tcPr>
            <w:tcW w:w="2345" w:type="dxa"/>
            <w:tcBorders>
              <w:top w:val="nil"/>
              <w:left w:val="nil"/>
              <w:bottom w:val="single" w:sz="4" w:space="0" w:color="auto"/>
              <w:right w:val="single" w:sz="4" w:space="0" w:color="auto"/>
            </w:tcBorders>
            <w:shd w:val="clear" w:color="auto" w:fill="auto"/>
            <w:vAlign w:val="center"/>
            <w:hideMark/>
          </w:tcPr>
          <w:p w14:paraId="1BE72CF5"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 xml:space="preserve">Vložitev izpodbojne tožbe </w:t>
            </w:r>
          </w:p>
        </w:tc>
        <w:tc>
          <w:tcPr>
            <w:tcW w:w="1370" w:type="dxa"/>
            <w:tcBorders>
              <w:top w:val="nil"/>
              <w:left w:val="nil"/>
              <w:bottom w:val="single" w:sz="4" w:space="0" w:color="auto"/>
              <w:right w:val="single" w:sz="4" w:space="0" w:color="auto"/>
            </w:tcBorders>
            <w:shd w:val="clear" w:color="auto" w:fill="auto"/>
            <w:vAlign w:val="center"/>
            <w:hideMark/>
          </w:tcPr>
          <w:p w14:paraId="0EB472C5"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 xml:space="preserve">255. čl. OZ v povezavi </w:t>
            </w:r>
            <w:r>
              <w:rPr>
                <w:rFonts w:ascii="Arial" w:eastAsia="Times New Roman" w:hAnsi="Arial" w:cs="Arial"/>
                <w:color w:val="000000"/>
                <w:sz w:val="18"/>
                <w:szCs w:val="18"/>
                <w:lang w:eastAsia="sl-SI"/>
              </w:rPr>
              <w:t>s</w:t>
            </w:r>
            <w:r w:rsidRPr="005B4D96">
              <w:rPr>
                <w:rFonts w:ascii="Arial" w:eastAsia="Times New Roman" w:hAnsi="Arial" w:cs="Arial"/>
                <w:color w:val="000000"/>
                <w:sz w:val="18"/>
                <w:szCs w:val="18"/>
                <w:lang w:eastAsia="sl-SI"/>
              </w:rPr>
              <w:t xml:space="preserve"> 148/5</w:t>
            </w:r>
            <w:r>
              <w:rPr>
                <w:rFonts w:ascii="Arial" w:eastAsia="Times New Roman" w:hAnsi="Arial" w:cs="Arial"/>
                <w:color w:val="000000"/>
                <w:sz w:val="18"/>
                <w:szCs w:val="18"/>
                <w:lang w:eastAsia="sl-SI"/>
              </w:rPr>
              <w:t xml:space="preserve"> čl.</w:t>
            </w:r>
            <w:r w:rsidRPr="005B4D96">
              <w:rPr>
                <w:rFonts w:ascii="Arial" w:eastAsia="Times New Roman" w:hAnsi="Arial" w:cs="Arial"/>
                <w:color w:val="000000"/>
                <w:sz w:val="18"/>
                <w:szCs w:val="18"/>
                <w:lang w:eastAsia="sl-SI"/>
              </w:rPr>
              <w:t xml:space="preserve"> ZDavP-2 in 269. čl. ZFPPIPP</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3BA3B926"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6</w:t>
            </w:r>
          </w:p>
        </w:tc>
        <w:tc>
          <w:tcPr>
            <w:tcW w:w="581" w:type="dxa"/>
            <w:tcBorders>
              <w:top w:val="nil"/>
              <w:left w:val="nil"/>
              <w:bottom w:val="single" w:sz="4" w:space="0" w:color="auto"/>
              <w:right w:val="single" w:sz="4" w:space="0" w:color="auto"/>
            </w:tcBorders>
            <w:shd w:val="clear" w:color="000000" w:fill="DAEEF3"/>
            <w:vAlign w:val="center"/>
            <w:hideMark/>
          </w:tcPr>
          <w:p w14:paraId="1302A885"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3</w:t>
            </w:r>
          </w:p>
        </w:tc>
        <w:tc>
          <w:tcPr>
            <w:tcW w:w="581" w:type="dxa"/>
            <w:tcBorders>
              <w:top w:val="nil"/>
              <w:left w:val="nil"/>
              <w:bottom w:val="single" w:sz="4" w:space="0" w:color="auto"/>
              <w:right w:val="single" w:sz="4" w:space="0" w:color="auto"/>
            </w:tcBorders>
            <w:shd w:val="clear" w:color="auto" w:fill="auto"/>
            <w:vAlign w:val="center"/>
            <w:hideMark/>
          </w:tcPr>
          <w:p w14:paraId="6807B54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967" w:type="dxa"/>
            <w:tcBorders>
              <w:top w:val="nil"/>
              <w:left w:val="nil"/>
              <w:bottom w:val="single" w:sz="4" w:space="0" w:color="auto"/>
              <w:right w:val="single" w:sz="8" w:space="0" w:color="auto"/>
            </w:tcBorders>
            <w:shd w:val="clear" w:color="auto" w:fill="auto"/>
            <w:vAlign w:val="center"/>
            <w:hideMark/>
          </w:tcPr>
          <w:p w14:paraId="0AC16EA2"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638.557</w:t>
            </w:r>
          </w:p>
        </w:tc>
        <w:tc>
          <w:tcPr>
            <w:tcW w:w="599" w:type="dxa"/>
            <w:tcBorders>
              <w:top w:val="nil"/>
              <w:left w:val="nil"/>
              <w:bottom w:val="single" w:sz="4" w:space="0" w:color="auto"/>
              <w:right w:val="single" w:sz="4" w:space="0" w:color="auto"/>
            </w:tcBorders>
            <w:shd w:val="clear" w:color="auto" w:fill="auto"/>
            <w:vAlign w:val="center"/>
            <w:hideMark/>
          </w:tcPr>
          <w:p w14:paraId="39BE0588"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12</w:t>
            </w:r>
          </w:p>
        </w:tc>
        <w:tc>
          <w:tcPr>
            <w:tcW w:w="543" w:type="dxa"/>
            <w:tcBorders>
              <w:top w:val="nil"/>
              <w:left w:val="nil"/>
              <w:bottom w:val="single" w:sz="4" w:space="0" w:color="auto"/>
              <w:right w:val="single" w:sz="4" w:space="0" w:color="auto"/>
            </w:tcBorders>
            <w:shd w:val="clear" w:color="000000" w:fill="DAEEF3"/>
            <w:vAlign w:val="center"/>
            <w:hideMark/>
          </w:tcPr>
          <w:p w14:paraId="49E71397"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2</w:t>
            </w:r>
          </w:p>
        </w:tc>
        <w:tc>
          <w:tcPr>
            <w:tcW w:w="431" w:type="dxa"/>
            <w:tcBorders>
              <w:top w:val="nil"/>
              <w:left w:val="nil"/>
              <w:bottom w:val="single" w:sz="4" w:space="0" w:color="auto"/>
              <w:right w:val="single" w:sz="4" w:space="0" w:color="auto"/>
            </w:tcBorders>
            <w:shd w:val="clear" w:color="auto" w:fill="auto"/>
            <w:vAlign w:val="center"/>
            <w:hideMark/>
          </w:tcPr>
          <w:p w14:paraId="40E751E3"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976" w:type="dxa"/>
            <w:tcBorders>
              <w:top w:val="nil"/>
              <w:left w:val="nil"/>
              <w:bottom w:val="single" w:sz="4" w:space="0" w:color="auto"/>
              <w:right w:val="single" w:sz="8" w:space="0" w:color="auto"/>
            </w:tcBorders>
            <w:shd w:val="clear" w:color="auto" w:fill="auto"/>
            <w:vAlign w:val="center"/>
            <w:hideMark/>
          </w:tcPr>
          <w:p w14:paraId="053D36A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515.711</w:t>
            </w:r>
          </w:p>
        </w:tc>
      </w:tr>
      <w:tr w:rsidR="00A155A2" w:rsidRPr="005B4D96" w14:paraId="1A2680AB" w14:textId="77777777" w:rsidTr="001C77D2">
        <w:trPr>
          <w:trHeight w:val="412"/>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04D5194C"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5</w:t>
            </w:r>
          </w:p>
        </w:tc>
        <w:tc>
          <w:tcPr>
            <w:tcW w:w="2345" w:type="dxa"/>
            <w:tcBorders>
              <w:top w:val="nil"/>
              <w:left w:val="nil"/>
              <w:bottom w:val="single" w:sz="4" w:space="0" w:color="auto"/>
              <w:right w:val="single" w:sz="4" w:space="0" w:color="auto"/>
            </w:tcBorders>
            <w:shd w:val="clear" w:color="auto" w:fill="auto"/>
            <w:vAlign w:val="center"/>
            <w:hideMark/>
          </w:tcPr>
          <w:p w14:paraId="7E382C28"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Spregled pravne osebnosti</w:t>
            </w:r>
          </w:p>
        </w:tc>
        <w:tc>
          <w:tcPr>
            <w:tcW w:w="1370" w:type="dxa"/>
            <w:tcBorders>
              <w:top w:val="nil"/>
              <w:left w:val="nil"/>
              <w:bottom w:val="single" w:sz="4" w:space="0" w:color="auto"/>
              <w:right w:val="single" w:sz="4" w:space="0" w:color="auto"/>
            </w:tcBorders>
            <w:shd w:val="clear" w:color="auto" w:fill="auto"/>
            <w:vAlign w:val="center"/>
            <w:hideMark/>
          </w:tcPr>
          <w:p w14:paraId="4C02F989"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8. čl. ZGD-1</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292BD21D"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81" w:type="dxa"/>
            <w:tcBorders>
              <w:top w:val="nil"/>
              <w:left w:val="nil"/>
              <w:bottom w:val="single" w:sz="4" w:space="0" w:color="auto"/>
              <w:right w:val="single" w:sz="4" w:space="0" w:color="auto"/>
            </w:tcBorders>
            <w:shd w:val="clear" w:color="000000" w:fill="DAEEF3"/>
            <w:vAlign w:val="center"/>
            <w:hideMark/>
          </w:tcPr>
          <w:p w14:paraId="1128781B"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81" w:type="dxa"/>
            <w:tcBorders>
              <w:top w:val="nil"/>
              <w:left w:val="nil"/>
              <w:bottom w:val="single" w:sz="4" w:space="0" w:color="auto"/>
              <w:right w:val="single" w:sz="4" w:space="0" w:color="auto"/>
            </w:tcBorders>
            <w:shd w:val="clear" w:color="auto" w:fill="auto"/>
            <w:vAlign w:val="center"/>
            <w:hideMark/>
          </w:tcPr>
          <w:p w14:paraId="589467EB"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967" w:type="dxa"/>
            <w:tcBorders>
              <w:top w:val="nil"/>
              <w:left w:val="nil"/>
              <w:bottom w:val="single" w:sz="4" w:space="0" w:color="auto"/>
              <w:right w:val="single" w:sz="8" w:space="0" w:color="auto"/>
            </w:tcBorders>
            <w:shd w:val="clear" w:color="auto" w:fill="auto"/>
            <w:vAlign w:val="center"/>
            <w:hideMark/>
          </w:tcPr>
          <w:p w14:paraId="5063807B"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0</w:t>
            </w:r>
          </w:p>
        </w:tc>
        <w:tc>
          <w:tcPr>
            <w:tcW w:w="599" w:type="dxa"/>
            <w:tcBorders>
              <w:top w:val="nil"/>
              <w:left w:val="nil"/>
              <w:bottom w:val="single" w:sz="4" w:space="0" w:color="auto"/>
              <w:right w:val="single" w:sz="4" w:space="0" w:color="auto"/>
            </w:tcBorders>
            <w:shd w:val="clear" w:color="auto" w:fill="auto"/>
            <w:vAlign w:val="center"/>
            <w:hideMark/>
          </w:tcPr>
          <w:p w14:paraId="1444CDEC"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w:t>
            </w:r>
          </w:p>
        </w:tc>
        <w:tc>
          <w:tcPr>
            <w:tcW w:w="543" w:type="dxa"/>
            <w:tcBorders>
              <w:top w:val="nil"/>
              <w:left w:val="nil"/>
              <w:bottom w:val="single" w:sz="4" w:space="0" w:color="auto"/>
              <w:right w:val="single" w:sz="4" w:space="0" w:color="auto"/>
            </w:tcBorders>
            <w:shd w:val="clear" w:color="000000" w:fill="DAEEF3"/>
            <w:vAlign w:val="center"/>
            <w:hideMark/>
          </w:tcPr>
          <w:p w14:paraId="2E9C850B"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431" w:type="dxa"/>
            <w:tcBorders>
              <w:top w:val="nil"/>
              <w:left w:val="nil"/>
              <w:bottom w:val="single" w:sz="4" w:space="0" w:color="auto"/>
              <w:right w:val="single" w:sz="4" w:space="0" w:color="auto"/>
            </w:tcBorders>
            <w:shd w:val="clear" w:color="auto" w:fill="auto"/>
            <w:vAlign w:val="center"/>
            <w:hideMark/>
          </w:tcPr>
          <w:p w14:paraId="45A8B436" w14:textId="77777777" w:rsidR="00A155A2" w:rsidRPr="005B4D96" w:rsidRDefault="00A155A2" w:rsidP="001C77D2">
            <w:pPr>
              <w:spacing w:line="240" w:lineRule="auto"/>
              <w:jc w:val="center"/>
              <w:rPr>
                <w:rFonts w:ascii="Arial" w:eastAsia="Times New Roman" w:hAnsi="Arial" w:cs="Arial"/>
                <w:sz w:val="18"/>
                <w:szCs w:val="18"/>
                <w:lang w:eastAsia="sl-SI"/>
              </w:rPr>
            </w:pPr>
          </w:p>
        </w:tc>
        <w:tc>
          <w:tcPr>
            <w:tcW w:w="976" w:type="dxa"/>
            <w:tcBorders>
              <w:top w:val="nil"/>
              <w:left w:val="nil"/>
              <w:bottom w:val="single" w:sz="4" w:space="0" w:color="auto"/>
              <w:right w:val="single" w:sz="8" w:space="0" w:color="auto"/>
            </w:tcBorders>
            <w:shd w:val="clear" w:color="auto" w:fill="auto"/>
            <w:vAlign w:val="center"/>
            <w:hideMark/>
          </w:tcPr>
          <w:p w14:paraId="741664D0" w14:textId="77777777" w:rsidR="00A155A2" w:rsidRPr="005B4D96" w:rsidRDefault="00A155A2" w:rsidP="001C77D2">
            <w:pPr>
              <w:spacing w:line="240" w:lineRule="auto"/>
              <w:jc w:val="center"/>
              <w:rPr>
                <w:rFonts w:ascii="Arial" w:eastAsia="Times New Roman" w:hAnsi="Arial" w:cs="Arial"/>
                <w:sz w:val="18"/>
                <w:szCs w:val="18"/>
                <w:lang w:eastAsia="sl-SI"/>
              </w:rPr>
            </w:pPr>
          </w:p>
        </w:tc>
      </w:tr>
      <w:tr w:rsidR="00A155A2" w:rsidRPr="005B4D96" w14:paraId="5B66FEFE" w14:textId="77777777" w:rsidTr="001C77D2">
        <w:trPr>
          <w:trHeight w:val="1213"/>
        </w:trPr>
        <w:tc>
          <w:tcPr>
            <w:tcW w:w="319" w:type="dxa"/>
            <w:tcBorders>
              <w:top w:val="nil"/>
              <w:left w:val="single" w:sz="4" w:space="0" w:color="auto"/>
              <w:bottom w:val="single" w:sz="4" w:space="0" w:color="auto"/>
              <w:right w:val="single" w:sz="4" w:space="0" w:color="auto"/>
            </w:tcBorders>
            <w:shd w:val="clear" w:color="auto" w:fill="auto"/>
            <w:vAlign w:val="center"/>
            <w:hideMark/>
          </w:tcPr>
          <w:p w14:paraId="5222D266"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6</w:t>
            </w:r>
          </w:p>
        </w:tc>
        <w:tc>
          <w:tcPr>
            <w:tcW w:w="2345" w:type="dxa"/>
            <w:tcBorders>
              <w:top w:val="nil"/>
              <w:left w:val="nil"/>
              <w:bottom w:val="single" w:sz="4" w:space="0" w:color="auto"/>
              <w:right w:val="single" w:sz="4" w:space="0" w:color="auto"/>
            </w:tcBorders>
            <w:shd w:val="clear" w:color="auto" w:fill="auto"/>
            <w:vAlign w:val="center"/>
            <w:hideMark/>
          </w:tcPr>
          <w:p w14:paraId="1CEE6853" w14:textId="77777777" w:rsidR="00A155A2" w:rsidRPr="005B4D96" w:rsidRDefault="00A155A2" w:rsidP="001C77D2">
            <w:pPr>
              <w:spacing w:line="240" w:lineRule="auto"/>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Ugotovitev in določitev deleža na skupnem premoženju zakoncev oz</w:t>
            </w:r>
            <w:r>
              <w:rPr>
                <w:rFonts w:ascii="Arial" w:eastAsia="Times New Roman" w:hAnsi="Arial" w:cs="Arial"/>
                <w:color w:val="000000"/>
                <w:sz w:val="18"/>
                <w:szCs w:val="18"/>
                <w:lang w:eastAsia="sl-SI"/>
              </w:rPr>
              <w:t>iroma</w:t>
            </w:r>
            <w:r w:rsidRPr="005B4D96">
              <w:rPr>
                <w:rFonts w:ascii="Arial" w:eastAsia="Times New Roman" w:hAnsi="Arial" w:cs="Arial"/>
                <w:color w:val="000000"/>
                <w:sz w:val="18"/>
                <w:szCs w:val="18"/>
                <w:lang w:eastAsia="sl-SI"/>
              </w:rPr>
              <w:t xml:space="preserve"> solidarna odgovornost zakonca </w:t>
            </w:r>
          </w:p>
        </w:tc>
        <w:tc>
          <w:tcPr>
            <w:tcW w:w="1370" w:type="dxa"/>
            <w:tcBorders>
              <w:top w:val="nil"/>
              <w:left w:val="nil"/>
              <w:bottom w:val="single" w:sz="4" w:space="0" w:color="auto"/>
              <w:right w:val="single" w:sz="4" w:space="0" w:color="auto"/>
            </w:tcBorders>
            <w:shd w:val="clear" w:color="auto" w:fill="auto"/>
            <w:vAlign w:val="center"/>
            <w:hideMark/>
          </w:tcPr>
          <w:p w14:paraId="012506C2" w14:textId="77777777" w:rsidR="00A155A2" w:rsidRPr="005B4D96" w:rsidRDefault="00A155A2" w:rsidP="001C77D2">
            <w:pPr>
              <w:spacing w:line="240" w:lineRule="auto"/>
              <w:jc w:val="center"/>
              <w:rPr>
                <w:rFonts w:ascii="Arial" w:eastAsia="Times New Roman" w:hAnsi="Arial" w:cs="Arial"/>
                <w:color w:val="000000"/>
                <w:sz w:val="18"/>
                <w:szCs w:val="18"/>
                <w:lang w:eastAsia="sl-SI"/>
              </w:rPr>
            </w:pPr>
            <w:r w:rsidRPr="005B4D96">
              <w:rPr>
                <w:rFonts w:ascii="Arial" w:eastAsia="Times New Roman" w:hAnsi="Arial" w:cs="Arial"/>
                <w:color w:val="000000"/>
                <w:sz w:val="18"/>
                <w:szCs w:val="18"/>
                <w:lang w:eastAsia="sl-SI"/>
              </w:rPr>
              <w:t>56. in 57. čl. ZZZDR oz. 82., 83. in 84. člen DZ</w:t>
            </w:r>
          </w:p>
        </w:tc>
        <w:tc>
          <w:tcPr>
            <w:tcW w:w="599" w:type="dxa"/>
            <w:tcBorders>
              <w:top w:val="nil"/>
              <w:left w:val="single" w:sz="8" w:space="0" w:color="auto"/>
              <w:bottom w:val="single" w:sz="4" w:space="0" w:color="auto"/>
              <w:right w:val="single" w:sz="4" w:space="0" w:color="auto"/>
            </w:tcBorders>
            <w:shd w:val="clear" w:color="auto" w:fill="auto"/>
            <w:vAlign w:val="center"/>
            <w:hideMark/>
          </w:tcPr>
          <w:p w14:paraId="0480E259"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15</w:t>
            </w:r>
          </w:p>
        </w:tc>
        <w:tc>
          <w:tcPr>
            <w:tcW w:w="581" w:type="dxa"/>
            <w:tcBorders>
              <w:top w:val="nil"/>
              <w:left w:val="nil"/>
              <w:bottom w:val="single" w:sz="4" w:space="0" w:color="auto"/>
              <w:right w:val="single" w:sz="4" w:space="0" w:color="auto"/>
            </w:tcBorders>
            <w:shd w:val="clear" w:color="000000" w:fill="DAEEF3"/>
            <w:vAlign w:val="center"/>
            <w:hideMark/>
          </w:tcPr>
          <w:p w14:paraId="5F7827B4"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6</w:t>
            </w:r>
          </w:p>
        </w:tc>
        <w:tc>
          <w:tcPr>
            <w:tcW w:w="581" w:type="dxa"/>
            <w:tcBorders>
              <w:top w:val="nil"/>
              <w:left w:val="nil"/>
              <w:bottom w:val="single" w:sz="4" w:space="0" w:color="auto"/>
              <w:right w:val="single" w:sz="4" w:space="0" w:color="auto"/>
            </w:tcBorders>
            <w:shd w:val="clear" w:color="auto" w:fill="auto"/>
            <w:vAlign w:val="center"/>
            <w:hideMark/>
          </w:tcPr>
          <w:p w14:paraId="1F9812A5"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3</w:t>
            </w:r>
          </w:p>
        </w:tc>
        <w:tc>
          <w:tcPr>
            <w:tcW w:w="967" w:type="dxa"/>
            <w:tcBorders>
              <w:top w:val="nil"/>
              <w:left w:val="nil"/>
              <w:bottom w:val="single" w:sz="4" w:space="0" w:color="auto"/>
              <w:right w:val="single" w:sz="8" w:space="0" w:color="auto"/>
            </w:tcBorders>
            <w:shd w:val="clear" w:color="auto" w:fill="auto"/>
            <w:vAlign w:val="center"/>
            <w:hideMark/>
          </w:tcPr>
          <w:p w14:paraId="28100DE6"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43.019</w:t>
            </w:r>
          </w:p>
        </w:tc>
        <w:tc>
          <w:tcPr>
            <w:tcW w:w="599" w:type="dxa"/>
            <w:tcBorders>
              <w:top w:val="nil"/>
              <w:left w:val="nil"/>
              <w:bottom w:val="single" w:sz="4" w:space="0" w:color="auto"/>
              <w:right w:val="single" w:sz="4" w:space="0" w:color="auto"/>
            </w:tcBorders>
            <w:shd w:val="clear" w:color="auto" w:fill="auto"/>
            <w:vAlign w:val="center"/>
            <w:hideMark/>
          </w:tcPr>
          <w:p w14:paraId="0AF1EEC0"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19</w:t>
            </w:r>
          </w:p>
        </w:tc>
        <w:tc>
          <w:tcPr>
            <w:tcW w:w="543" w:type="dxa"/>
            <w:tcBorders>
              <w:top w:val="nil"/>
              <w:left w:val="nil"/>
              <w:bottom w:val="single" w:sz="4" w:space="0" w:color="auto"/>
              <w:right w:val="single" w:sz="4" w:space="0" w:color="auto"/>
            </w:tcBorders>
            <w:shd w:val="clear" w:color="000000" w:fill="DAEEF3"/>
            <w:vAlign w:val="center"/>
            <w:hideMark/>
          </w:tcPr>
          <w:p w14:paraId="7E60E615"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11</w:t>
            </w:r>
          </w:p>
        </w:tc>
        <w:tc>
          <w:tcPr>
            <w:tcW w:w="431" w:type="dxa"/>
            <w:tcBorders>
              <w:top w:val="nil"/>
              <w:left w:val="nil"/>
              <w:bottom w:val="single" w:sz="4" w:space="0" w:color="auto"/>
              <w:right w:val="single" w:sz="4" w:space="0" w:color="auto"/>
            </w:tcBorders>
            <w:shd w:val="clear" w:color="auto" w:fill="auto"/>
            <w:vAlign w:val="center"/>
            <w:hideMark/>
          </w:tcPr>
          <w:p w14:paraId="6667A585"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1</w:t>
            </w:r>
          </w:p>
        </w:tc>
        <w:tc>
          <w:tcPr>
            <w:tcW w:w="976" w:type="dxa"/>
            <w:tcBorders>
              <w:top w:val="nil"/>
              <w:left w:val="nil"/>
              <w:bottom w:val="single" w:sz="4" w:space="0" w:color="auto"/>
              <w:right w:val="single" w:sz="8" w:space="0" w:color="auto"/>
            </w:tcBorders>
            <w:shd w:val="clear" w:color="auto" w:fill="auto"/>
            <w:vAlign w:val="center"/>
            <w:hideMark/>
          </w:tcPr>
          <w:p w14:paraId="3145BCC1" w14:textId="77777777" w:rsidR="00A155A2" w:rsidRPr="005B4D96" w:rsidRDefault="00A155A2" w:rsidP="001C77D2">
            <w:pPr>
              <w:spacing w:line="240" w:lineRule="auto"/>
              <w:jc w:val="center"/>
              <w:rPr>
                <w:rFonts w:ascii="Arial" w:eastAsia="Times New Roman" w:hAnsi="Arial" w:cs="Arial"/>
                <w:sz w:val="18"/>
                <w:szCs w:val="18"/>
                <w:lang w:eastAsia="sl-SI"/>
              </w:rPr>
            </w:pPr>
            <w:r w:rsidRPr="005B4D96">
              <w:rPr>
                <w:rFonts w:ascii="Arial" w:eastAsia="Times New Roman" w:hAnsi="Arial" w:cs="Arial"/>
                <w:sz w:val="18"/>
                <w:szCs w:val="18"/>
                <w:lang w:eastAsia="sl-SI"/>
              </w:rPr>
              <w:t>92.319</w:t>
            </w:r>
          </w:p>
        </w:tc>
      </w:tr>
      <w:tr w:rsidR="00A155A2" w:rsidRPr="005B4D96" w14:paraId="755BB740" w14:textId="77777777" w:rsidTr="001C77D2">
        <w:trPr>
          <w:trHeight w:val="477"/>
        </w:trPr>
        <w:tc>
          <w:tcPr>
            <w:tcW w:w="4036" w:type="dxa"/>
            <w:gridSpan w:val="3"/>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9515009" w14:textId="77777777" w:rsidR="00A155A2" w:rsidRPr="005B4D96" w:rsidRDefault="00A155A2" w:rsidP="001C77D2">
            <w:pPr>
              <w:spacing w:line="240" w:lineRule="auto"/>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Skupaj</w:t>
            </w:r>
          </w:p>
        </w:tc>
        <w:tc>
          <w:tcPr>
            <w:tcW w:w="599" w:type="dxa"/>
            <w:tcBorders>
              <w:top w:val="nil"/>
              <w:left w:val="single" w:sz="8" w:space="0" w:color="auto"/>
              <w:bottom w:val="single" w:sz="8" w:space="0" w:color="auto"/>
              <w:right w:val="single" w:sz="4" w:space="0" w:color="auto"/>
            </w:tcBorders>
            <w:shd w:val="clear" w:color="000000" w:fill="31869B"/>
            <w:noWrap/>
            <w:vAlign w:val="center"/>
            <w:hideMark/>
          </w:tcPr>
          <w:p w14:paraId="5F78231D"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45</w:t>
            </w:r>
          </w:p>
        </w:tc>
        <w:tc>
          <w:tcPr>
            <w:tcW w:w="581" w:type="dxa"/>
            <w:tcBorders>
              <w:top w:val="nil"/>
              <w:left w:val="single" w:sz="8" w:space="0" w:color="auto"/>
              <w:bottom w:val="single" w:sz="8" w:space="0" w:color="auto"/>
              <w:right w:val="single" w:sz="4" w:space="0" w:color="auto"/>
            </w:tcBorders>
            <w:shd w:val="clear" w:color="000000" w:fill="31869B"/>
            <w:noWrap/>
            <w:vAlign w:val="center"/>
            <w:hideMark/>
          </w:tcPr>
          <w:p w14:paraId="1EE7F211"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17</w:t>
            </w:r>
          </w:p>
        </w:tc>
        <w:tc>
          <w:tcPr>
            <w:tcW w:w="581" w:type="dxa"/>
            <w:tcBorders>
              <w:top w:val="nil"/>
              <w:left w:val="single" w:sz="8" w:space="0" w:color="auto"/>
              <w:bottom w:val="single" w:sz="8" w:space="0" w:color="auto"/>
              <w:right w:val="single" w:sz="4" w:space="0" w:color="auto"/>
            </w:tcBorders>
            <w:shd w:val="clear" w:color="000000" w:fill="31869B"/>
            <w:noWrap/>
            <w:vAlign w:val="center"/>
            <w:hideMark/>
          </w:tcPr>
          <w:p w14:paraId="433E4A8C"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7</w:t>
            </w:r>
          </w:p>
        </w:tc>
        <w:tc>
          <w:tcPr>
            <w:tcW w:w="967" w:type="dxa"/>
            <w:tcBorders>
              <w:top w:val="nil"/>
              <w:left w:val="single" w:sz="8" w:space="0" w:color="auto"/>
              <w:bottom w:val="single" w:sz="8" w:space="0" w:color="auto"/>
              <w:right w:val="single" w:sz="4" w:space="0" w:color="auto"/>
            </w:tcBorders>
            <w:shd w:val="clear" w:color="000000" w:fill="31869B"/>
            <w:noWrap/>
            <w:vAlign w:val="center"/>
            <w:hideMark/>
          </w:tcPr>
          <w:p w14:paraId="47BEA491"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1.022.259</w:t>
            </w:r>
          </w:p>
        </w:tc>
        <w:tc>
          <w:tcPr>
            <w:tcW w:w="599" w:type="dxa"/>
            <w:tcBorders>
              <w:top w:val="nil"/>
              <w:left w:val="single" w:sz="8" w:space="0" w:color="auto"/>
              <w:bottom w:val="single" w:sz="8" w:space="0" w:color="auto"/>
              <w:right w:val="single" w:sz="4" w:space="0" w:color="auto"/>
            </w:tcBorders>
            <w:shd w:val="clear" w:color="000000" w:fill="31869B"/>
            <w:noWrap/>
            <w:vAlign w:val="center"/>
            <w:hideMark/>
          </w:tcPr>
          <w:p w14:paraId="77BC21FE"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43</w:t>
            </w:r>
          </w:p>
        </w:tc>
        <w:tc>
          <w:tcPr>
            <w:tcW w:w="543" w:type="dxa"/>
            <w:tcBorders>
              <w:top w:val="nil"/>
              <w:left w:val="single" w:sz="8" w:space="0" w:color="auto"/>
              <w:bottom w:val="single" w:sz="8" w:space="0" w:color="auto"/>
              <w:right w:val="single" w:sz="4" w:space="0" w:color="auto"/>
            </w:tcBorders>
            <w:shd w:val="clear" w:color="000000" w:fill="31869B"/>
            <w:noWrap/>
            <w:vAlign w:val="center"/>
            <w:hideMark/>
          </w:tcPr>
          <w:p w14:paraId="07710CE1"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22</w:t>
            </w:r>
          </w:p>
        </w:tc>
        <w:tc>
          <w:tcPr>
            <w:tcW w:w="431" w:type="dxa"/>
            <w:tcBorders>
              <w:top w:val="nil"/>
              <w:left w:val="single" w:sz="8" w:space="0" w:color="auto"/>
              <w:bottom w:val="single" w:sz="8" w:space="0" w:color="auto"/>
              <w:right w:val="single" w:sz="4" w:space="0" w:color="auto"/>
            </w:tcBorders>
            <w:shd w:val="clear" w:color="000000" w:fill="31869B"/>
            <w:noWrap/>
            <w:vAlign w:val="center"/>
            <w:hideMark/>
          </w:tcPr>
          <w:p w14:paraId="1707D41B"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9</w:t>
            </w:r>
          </w:p>
        </w:tc>
        <w:tc>
          <w:tcPr>
            <w:tcW w:w="976" w:type="dxa"/>
            <w:tcBorders>
              <w:top w:val="nil"/>
              <w:left w:val="single" w:sz="8" w:space="0" w:color="auto"/>
              <w:bottom w:val="single" w:sz="8" w:space="0" w:color="auto"/>
              <w:right w:val="single" w:sz="8" w:space="0" w:color="auto"/>
            </w:tcBorders>
            <w:shd w:val="clear" w:color="000000" w:fill="31869B"/>
            <w:noWrap/>
            <w:vAlign w:val="center"/>
            <w:hideMark/>
          </w:tcPr>
          <w:p w14:paraId="2260C469" w14:textId="77777777" w:rsidR="00A155A2" w:rsidRPr="005B4D96" w:rsidRDefault="00A155A2" w:rsidP="001C77D2">
            <w:pPr>
              <w:spacing w:line="240" w:lineRule="auto"/>
              <w:jc w:val="center"/>
              <w:rPr>
                <w:rFonts w:ascii="Arial" w:eastAsia="Times New Roman" w:hAnsi="Arial" w:cs="Arial"/>
                <w:b/>
                <w:bCs/>
                <w:color w:val="FFFFFF"/>
                <w:sz w:val="18"/>
                <w:szCs w:val="18"/>
                <w:lang w:eastAsia="sl-SI"/>
              </w:rPr>
            </w:pPr>
            <w:r w:rsidRPr="005B4D96">
              <w:rPr>
                <w:rFonts w:ascii="Arial" w:eastAsia="Times New Roman" w:hAnsi="Arial" w:cs="Arial"/>
                <w:b/>
                <w:bCs/>
                <w:color w:val="FFFFFF"/>
                <w:sz w:val="18"/>
                <w:szCs w:val="18"/>
                <w:lang w:eastAsia="sl-SI"/>
              </w:rPr>
              <w:t>977.198</w:t>
            </w:r>
          </w:p>
        </w:tc>
      </w:tr>
    </w:tbl>
    <w:p w14:paraId="5A91FA8D" w14:textId="77777777" w:rsidR="00A155A2" w:rsidRPr="00534703" w:rsidRDefault="00A155A2" w:rsidP="00A155A2">
      <w:pPr>
        <w:rPr>
          <w:rFonts w:ascii="Arial" w:hAnsi="Arial" w:cs="Arial"/>
          <w:i/>
          <w:sz w:val="20"/>
          <w:szCs w:val="20"/>
        </w:rPr>
      </w:pPr>
      <w:r w:rsidRPr="00534703">
        <w:rPr>
          <w:rFonts w:ascii="Arial" w:hAnsi="Arial" w:cs="Arial"/>
          <w:i/>
          <w:sz w:val="20"/>
          <w:szCs w:val="20"/>
        </w:rPr>
        <w:t>Vir: FURS</w:t>
      </w:r>
    </w:p>
    <w:p w14:paraId="2D45C712" w14:textId="77777777" w:rsidR="00A155A2" w:rsidRPr="005B4D96" w:rsidRDefault="00A155A2" w:rsidP="00A155A2">
      <w:pPr>
        <w:spacing w:after="0"/>
        <w:jc w:val="both"/>
        <w:rPr>
          <w:rFonts w:ascii="Arial" w:hAnsi="Arial" w:cs="Arial"/>
          <w:b/>
          <w:i/>
          <w:iCs/>
          <w:sz w:val="18"/>
          <w:szCs w:val="18"/>
        </w:rPr>
      </w:pPr>
      <w:r w:rsidRPr="005B4D96">
        <w:rPr>
          <w:rFonts w:ascii="Arial" w:hAnsi="Arial" w:cs="Arial"/>
          <w:b/>
          <w:i/>
          <w:iCs/>
          <w:sz w:val="18"/>
          <w:szCs w:val="18"/>
        </w:rPr>
        <w:t>Legenda k preglednici:</w:t>
      </w:r>
    </w:p>
    <w:p w14:paraId="68F2BAD4" w14:textId="77777777" w:rsidR="00A155A2" w:rsidRPr="005B4D96" w:rsidRDefault="00A155A2" w:rsidP="00A155A2">
      <w:pPr>
        <w:spacing w:after="0" w:line="240" w:lineRule="auto"/>
        <w:jc w:val="both"/>
        <w:rPr>
          <w:rFonts w:ascii="Arial" w:hAnsi="Arial" w:cs="Arial"/>
          <w:sz w:val="18"/>
          <w:szCs w:val="18"/>
        </w:rPr>
      </w:pPr>
      <w:r w:rsidRPr="005B4D96">
        <w:rPr>
          <w:rFonts w:ascii="Arial" w:hAnsi="Arial" w:cs="Arial"/>
          <w:sz w:val="18"/>
          <w:szCs w:val="18"/>
        </w:rPr>
        <w:t>podatki so prikazani glede na dogodek v posameznem obdobju – uspeh ali neuspeh posameznega ukrepa se običajno pokaže šele v prihodnjem obdobju</w:t>
      </w:r>
      <w:r>
        <w:rPr>
          <w:rFonts w:ascii="Arial" w:hAnsi="Arial" w:cs="Arial"/>
          <w:sz w:val="18"/>
          <w:szCs w:val="18"/>
        </w:rPr>
        <w:t>:</w:t>
      </w:r>
    </w:p>
    <w:p w14:paraId="42F6472F" w14:textId="77777777" w:rsidR="00A155A2" w:rsidRPr="005B4D96" w:rsidRDefault="00A155A2" w:rsidP="00A155A2">
      <w:pPr>
        <w:spacing w:after="0" w:line="240" w:lineRule="auto"/>
        <w:jc w:val="both"/>
        <w:rPr>
          <w:rFonts w:ascii="Arial" w:hAnsi="Arial" w:cs="Arial"/>
          <w:sz w:val="18"/>
          <w:szCs w:val="18"/>
        </w:rPr>
      </w:pPr>
    </w:p>
    <w:p w14:paraId="7D15ACB0" w14:textId="77777777" w:rsidR="00A155A2" w:rsidRPr="005B4D96" w:rsidRDefault="00A155A2" w:rsidP="00A155A2">
      <w:pPr>
        <w:spacing w:after="0" w:line="240" w:lineRule="auto"/>
        <w:jc w:val="both"/>
        <w:rPr>
          <w:rFonts w:ascii="Arial" w:hAnsi="Arial" w:cs="Arial"/>
          <w:sz w:val="18"/>
          <w:szCs w:val="18"/>
        </w:rPr>
      </w:pPr>
      <w:r w:rsidRPr="005B4D96">
        <w:rPr>
          <w:rFonts w:ascii="Arial" w:hAnsi="Arial" w:cs="Arial"/>
          <w:sz w:val="18"/>
          <w:szCs w:val="18"/>
        </w:rPr>
        <w:lastRenderedPageBreak/>
        <w:t>(1) število izvedenih ukrepov v poročevalskem obdobju (n</w:t>
      </w:r>
      <w:r>
        <w:rPr>
          <w:rFonts w:ascii="Arial" w:hAnsi="Arial" w:cs="Arial"/>
          <w:sz w:val="18"/>
          <w:szCs w:val="18"/>
        </w:rPr>
        <w:t xml:space="preserve">a </w:t>
      </w:r>
      <w:r w:rsidRPr="005B4D96">
        <w:rPr>
          <w:rFonts w:ascii="Arial" w:hAnsi="Arial" w:cs="Arial"/>
          <w:sz w:val="18"/>
          <w:szCs w:val="18"/>
        </w:rPr>
        <w:t>pr</w:t>
      </w:r>
      <w:r>
        <w:rPr>
          <w:rFonts w:ascii="Arial" w:hAnsi="Arial" w:cs="Arial"/>
          <w:sz w:val="18"/>
          <w:szCs w:val="18"/>
        </w:rPr>
        <w:t>imer</w:t>
      </w:r>
      <w:r w:rsidRPr="005B4D96">
        <w:rPr>
          <w:rFonts w:ascii="Arial" w:hAnsi="Arial" w:cs="Arial"/>
          <w:sz w:val="18"/>
          <w:szCs w:val="18"/>
        </w:rPr>
        <w:t xml:space="preserve"> število izdanih sklepov o izvršbi na podlagi poroštva, število vloženih predlogov za vložitev tožbe na </w:t>
      </w:r>
      <w:r w:rsidRPr="00A56C0C">
        <w:rPr>
          <w:rFonts w:ascii="Arial" w:hAnsi="Arial" w:cs="Arial"/>
          <w:sz w:val="18"/>
          <w:szCs w:val="18"/>
        </w:rPr>
        <w:t>d</w:t>
      </w:r>
      <w:r w:rsidRPr="005B4D96">
        <w:rPr>
          <w:rFonts w:ascii="Arial" w:hAnsi="Arial" w:cs="Arial"/>
          <w:sz w:val="18"/>
          <w:szCs w:val="18"/>
        </w:rPr>
        <w:t>ržavno odvetništvo),</w:t>
      </w:r>
    </w:p>
    <w:p w14:paraId="438EDB3E" w14:textId="77777777" w:rsidR="00A155A2" w:rsidRPr="005B4D96" w:rsidRDefault="00A155A2" w:rsidP="00A155A2">
      <w:pPr>
        <w:spacing w:after="0" w:line="240" w:lineRule="auto"/>
        <w:jc w:val="both"/>
        <w:rPr>
          <w:rFonts w:ascii="Arial" w:hAnsi="Arial" w:cs="Arial"/>
          <w:sz w:val="18"/>
          <w:szCs w:val="18"/>
        </w:rPr>
      </w:pPr>
      <w:r w:rsidRPr="005B4D96">
        <w:rPr>
          <w:rFonts w:ascii="Arial" w:hAnsi="Arial" w:cs="Arial"/>
          <w:sz w:val="18"/>
          <w:szCs w:val="18"/>
        </w:rPr>
        <w:t>(2) število uspešno rešenih zadev v poročevalskem obdobju (rešeno uspešno; t</w:t>
      </w:r>
      <w:r>
        <w:rPr>
          <w:rFonts w:ascii="Arial" w:hAnsi="Arial" w:cs="Arial"/>
          <w:sz w:val="18"/>
          <w:szCs w:val="18"/>
        </w:rPr>
        <w:t>ore</w:t>
      </w:r>
      <w:r w:rsidRPr="005B4D96">
        <w:rPr>
          <w:rFonts w:ascii="Arial" w:hAnsi="Arial" w:cs="Arial"/>
          <w:sz w:val="18"/>
          <w:szCs w:val="18"/>
        </w:rPr>
        <w:t xml:space="preserve">j zadev, v katerih se je upravni ali pravdni postopek pravnomočno </w:t>
      </w:r>
      <w:r>
        <w:rPr>
          <w:rFonts w:ascii="Arial" w:hAnsi="Arial" w:cs="Arial"/>
          <w:sz w:val="18"/>
          <w:szCs w:val="18"/>
        </w:rPr>
        <w:t>končal</w:t>
      </w:r>
      <w:r w:rsidRPr="005B4D96">
        <w:rPr>
          <w:rFonts w:ascii="Arial" w:hAnsi="Arial" w:cs="Arial"/>
          <w:sz w:val="18"/>
          <w:szCs w:val="18"/>
        </w:rPr>
        <w:t xml:space="preserve"> v korist </w:t>
      </w:r>
      <w:r>
        <w:rPr>
          <w:rFonts w:ascii="Arial" w:hAnsi="Arial" w:cs="Arial"/>
          <w:sz w:val="18"/>
          <w:szCs w:val="18"/>
        </w:rPr>
        <w:t>FU</w:t>
      </w:r>
      <w:r w:rsidRPr="005B4D96">
        <w:rPr>
          <w:rFonts w:ascii="Arial" w:hAnsi="Arial" w:cs="Arial"/>
          <w:sz w:val="18"/>
          <w:szCs w:val="18"/>
        </w:rPr>
        <w:t>RS),</w:t>
      </w:r>
    </w:p>
    <w:p w14:paraId="5A7DA460" w14:textId="77777777" w:rsidR="00A155A2" w:rsidRPr="005B4D96" w:rsidRDefault="00A155A2" w:rsidP="00A155A2">
      <w:pPr>
        <w:spacing w:after="0" w:line="240" w:lineRule="auto"/>
        <w:jc w:val="both"/>
        <w:rPr>
          <w:rFonts w:ascii="Arial" w:hAnsi="Arial" w:cs="Arial"/>
          <w:sz w:val="18"/>
          <w:szCs w:val="18"/>
        </w:rPr>
      </w:pPr>
      <w:r w:rsidRPr="005B4D96">
        <w:rPr>
          <w:rFonts w:ascii="Arial" w:hAnsi="Arial" w:cs="Arial"/>
          <w:sz w:val="18"/>
          <w:szCs w:val="18"/>
        </w:rPr>
        <w:t>(3) število neuspešno rešenih zadev v poročevalskem obdobju (rešeno neuspešno; t</w:t>
      </w:r>
      <w:r>
        <w:rPr>
          <w:rFonts w:ascii="Arial" w:hAnsi="Arial" w:cs="Arial"/>
          <w:sz w:val="18"/>
          <w:szCs w:val="18"/>
        </w:rPr>
        <w:t>ore</w:t>
      </w:r>
      <w:r w:rsidRPr="005B4D96">
        <w:rPr>
          <w:rFonts w:ascii="Arial" w:hAnsi="Arial" w:cs="Arial"/>
          <w:sz w:val="18"/>
          <w:szCs w:val="18"/>
        </w:rPr>
        <w:t>j zadev, v katerih je bil upravni</w:t>
      </w:r>
      <w:r>
        <w:rPr>
          <w:rFonts w:ascii="Arial" w:hAnsi="Arial" w:cs="Arial"/>
          <w:sz w:val="18"/>
          <w:szCs w:val="18"/>
        </w:rPr>
        <w:t xml:space="preserve"> ali</w:t>
      </w:r>
      <w:r w:rsidRPr="005B4D96">
        <w:rPr>
          <w:rFonts w:ascii="Arial" w:hAnsi="Arial" w:cs="Arial"/>
          <w:sz w:val="18"/>
          <w:szCs w:val="18"/>
        </w:rPr>
        <w:t xml:space="preserve"> pravdni postopek za </w:t>
      </w:r>
      <w:r>
        <w:rPr>
          <w:rFonts w:ascii="Arial" w:hAnsi="Arial" w:cs="Arial"/>
          <w:sz w:val="18"/>
          <w:szCs w:val="18"/>
        </w:rPr>
        <w:t>FU</w:t>
      </w:r>
      <w:r w:rsidRPr="005B4D96">
        <w:rPr>
          <w:rFonts w:ascii="Arial" w:hAnsi="Arial" w:cs="Arial"/>
          <w:sz w:val="18"/>
          <w:szCs w:val="18"/>
        </w:rPr>
        <w:t xml:space="preserve">RS kot upnika pravnomočno </w:t>
      </w:r>
      <w:r>
        <w:rPr>
          <w:rFonts w:ascii="Arial" w:hAnsi="Arial" w:cs="Arial"/>
          <w:sz w:val="18"/>
          <w:szCs w:val="18"/>
        </w:rPr>
        <w:t>končan</w:t>
      </w:r>
      <w:r w:rsidRPr="005B4D96">
        <w:rPr>
          <w:rFonts w:ascii="Arial" w:hAnsi="Arial" w:cs="Arial"/>
          <w:sz w:val="18"/>
          <w:szCs w:val="18"/>
        </w:rPr>
        <w:t xml:space="preserve"> neuspešno; n</w:t>
      </w:r>
      <w:r>
        <w:rPr>
          <w:rFonts w:ascii="Arial" w:hAnsi="Arial" w:cs="Arial"/>
          <w:sz w:val="18"/>
          <w:szCs w:val="18"/>
        </w:rPr>
        <w:t xml:space="preserve">a </w:t>
      </w:r>
      <w:r w:rsidRPr="005B4D96">
        <w:rPr>
          <w:rFonts w:ascii="Arial" w:hAnsi="Arial" w:cs="Arial"/>
          <w:sz w:val="18"/>
          <w:szCs w:val="18"/>
        </w:rPr>
        <w:t>pr</w:t>
      </w:r>
      <w:r>
        <w:rPr>
          <w:rFonts w:ascii="Arial" w:hAnsi="Arial" w:cs="Arial"/>
          <w:sz w:val="18"/>
          <w:szCs w:val="18"/>
        </w:rPr>
        <w:t>imer</w:t>
      </w:r>
      <w:r w:rsidRPr="005B4D96">
        <w:rPr>
          <w:rFonts w:ascii="Arial" w:hAnsi="Arial" w:cs="Arial"/>
          <w:sz w:val="18"/>
          <w:szCs w:val="18"/>
        </w:rPr>
        <w:t xml:space="preserve"> sklep o izvršbi na podlagi poroštva je bil odpravljen, tožbeni zahtevek zavrnjen</w:t>
      </w:r>
      <w:r>
        <w:rPr>
          <w:rFonts w:ascii="Arial" w:hAnsi="Arial" w:cs="Arial"/>
          <w:sz w:val="18"/>
          <w:szCs w:val="18"/>
        </w:rPr>
        <w:t>)</w:t>
      </w:r>
      <w:r w:rsidRPr="005B4D96">
        <w:rPr>
          <w:rFonts w:ascii="Arial" w:hAnsi="Arial" w:cs="Arial"/>
          <w:sz w:val="18"/>
          <w:szCs w:val="18"/>
        </w:rPr>
        <w:t>,</w:t>
      </w:r>
    </w:p>
    <w:p w14:paraId="2117E253" w14:textId="77777777" w:rsidR="00A155A2" w:rsidRDefault="00A155A2" w:rsidP="00A155A2">
      <w:pPr>
        <w:spacing w:after="0" w:line="240" w:lineRule="auto"/>
        <w:jc w:val="both"/>
        <w:rPr>
          <w:rFonts w:ascii="Arial" w:hAnsi="Arial" w:cs="Arial"/>
          <w:sz w:val="18"/>
          <w:szCs w:val="18"/>
        </w:rPr>
      </w:pPr>
      <w:r w:rsidRPr="005B4D96">
        <w:rPr>
          <w:rFonts w:ascii="Arial" w:hAnsi="Arial" w:cs="Arial"/>
          <w:sz w:val="18"/>
          <w:szCs w:val="18"/>
        </w:rPr>
        <w:t>(4) znesek izterjanega dolga</w:t>
      </w:r>
      <w:r w:rsidRPr="00A56C0C">
        <w:rPr>
          <w:rFonts w:ascii="Arial" w:hAnsi="Arial" w:cs="Arial"/>
          <w:sz w:val="18"/>
          <w:szCs w:val="18"/>
        </w:rPr>
        <w:t>,</w:t>
      </w:r>
      <w:r w:rsidRPr="005B4D96">
        <w:rPr>
          <w:rFonts w:ascii="Arial" w:hAnsi="Arial" w:cs="Arial"/>
          <w:sz w:val="18"/>
          <w:szCs w:val="18"/>
        </w:rPr>
        <w:t xml:space="preserve"> v </w:t>
      </w:r>
      <w:r>
        <w:rPr>
          <w:rFonts w:ascii="Arial" w:hAnsi="Arial" w:cs="Arial"/>
          <w:sz w:val="18"/>
          <w:szCs w:val="18"/>
        </w:rPr>
        <w:t>evrih</w:t>
      </w:r>
      <w:r w:rsidRPr="005B4D96">
        <w:rPr>
          <w:rFonts w:ascii="Arial" w:hAnsi="Arial" w:cs="Arial"/>
          <w:sz w:val="18"/>
          <w:szCs w:val="18"/>
        </w:rPr>
        <w:t>.</w:t>
      </w:r>
    </w:p>
    <w:p w14:paraId="2C524FC3" w14:textId="77777777" w:rsidR="00A155A2" w:rsidRDefault="00A155A2" w:rsidP="00A155A2">
      <w:pPr>
        <w:spacing w:after="0" w:line="240" w:lineRule="auto"/>
        <w:jc w:val="both"/>
        <w:rPr>
          <w:rFonts w:ascii="Arial" w:hAnsi="Arial" w:cs="Arial"/>
          <w:sz w:val="18"/>
          <w:szCs w:val="18"/>
        </w:rPr>
      </w:pPr>
    </w:p>
    <w:p w14:paraId="6CCABBDC" w14:textId="77777777" w:rsidR="00A155A2" w:rsidRPr="005B4D96" w:rsidRDefault="00A155A2" w:rsidP="00A155A2">
      <w:pPr>
        <w:spacing w:after="0" w:line="240" w:lineRule="auto"/>
        <w:jc w:val="both"/>
        <w:rPr>
          <w:rFonts w:ascii="Arial" w:hAnsi="Arial" w:cs="Arial"/>
          <w:sz w:val="18"/>
          <w:szCs w:val="18"/>
        </w:rPr>
      </w:pPr>
    </w:p>
    <w:p w14:paraId="3895E6D3" w14:textId="77777777" w:rsidR="00A155A2" w:rsidRDefault="00A155A2" w:rsidP="00A155A2">
      <w:pPr>
        <w:spacing w:after="0" w:line="240" w:lineRule="auto"/>
        <w:jc w:val="both"/>
        <w:rPr>
          <w:rFonts w:ascii="Arial" w:hAnsi="Arial" w:cs="Arial"/>
          <w:sz w:val="18"/>
          <w:szCs w:val="18"/>
        </w:rPr>
      </w:pPr>
    </w:p>
    <w:p w14:paraId="69C508E3" w14:textId="77777777" w:rsidR="00A155A2" w:rsidRPr="00E52DB1" w:rsidRDefault="00A155A2" w:rsidP="00A155A2">
      <w:pPr>
        <w:rPr>
          <w:rFonts w:ascii="Arial" w:hAnsi="Arial" w:cs="Arial"/>
          <w:b/>
          <w:sz w:val="20"/>
          <w:szCs w:val="20"/>
          <w:lang w:eastAsia="sl-SI"/>
        </w:rPr>
      </w:pPr>
      <w:bookmarkStart w:id="26" w:name="_Toc475381249"/>
      <w:r w:rsidRPr="0094063C">
        <w:rPr>
          <w:rFonts w:ascii="Arial" w:hAnsi="Arial" w:cs="Arial"/>
          <w:b/>
          <w:sz w:val="20"/>
          <w:szCs w:val="20"/>
          <w:lang w:eastAsia="sl-SI"/>
        </w:rPr>
        <w:t>6.</w:t>
      </w:r>
      <w:r w:rsidRPr="009A25C3">
        <w:rPr>
          <w:rFonts w:ascii="Arial" w:hAnsi="Arial" w:cs="Arial"/>
          <w:b/>
          <w:sz w:val="20"/>
          <w:szCs w:val="20"/>
          <w:lang w:eastAsia="sl-SI"/>
        </w:rPr>
        <w:t xml:space="preserve">2  </w:t>
      </w:r>
      <w:r>
        <w:rPr>
          <w:rFonts w:ascii="Arial" w:hAnsi="Arial" w:cs="Arial"/>
          <w:b/>
          <w:sz w:val="20"/>
          <w:szCs w:val="20"/>
          <w:lang w:eastAsia="sl-SI"/>
        </w:rPr>
        <w:tab/>
      </w:r>
      <w:r w:rsidRPr="009A25C3">
        <w:rPr>
          <w:rFonts w:ascii="Arial" w:hAnsi="Arial" w:cs="Arial"/>
          <w:b/>
          <w:sz w:val="20"/>
          <w:szCs w:val="20"/>
          <w:lang w:eastAsia="sl-SI"/>
        </w:rPr>
        <w:t>Izterjava nedavčnih obveznosti za druge predlagatelje</w:t>
      </w:r>
      <w:bookmarkEnd w:id="26"/>
    </w:p>
    <w:p w14:paraId="46F2DD4F"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F</w:t>
      </w:r>
      <w:r>
        <w:rPr>
          <w:rFonts w:ascii="Arial" w:hAnsi="Arial" w:cs="Arial"/>
          <w:sz w:val="20"/>
          <w:szCs w:val="20"/>
        </w:rPr>
        <w:t xml:space="preserve">URS </w:t>
      </w:r>
      <w:r w:rsidRPr="005240C4">
        <w:rPr>
          <w:rFonts w:ascii="Arial" w:hAnsi="Arial" w:cs="Arial"/>
          <w:sz w:val="20"/>
          <w:szCs w:val="20"/>
        </w:rPr>
        <w:t>je pristoj</w:t>
      </w:r>
      <w:r>
        <w:rPr>
          <w:rFonts w:ascii="Arial" w:hAnsi="Arial" w:cs="Arial"/>
          <w:sz w:val="20"/>
          <w:szCs w:val="20"/>
        </w:rPr>
        <w:t xml:space="preserve">en </w:t>
      </w:r>
      <w:r w:rsidRPr="005240C4">
        <w:rPr>
          <w:rFonts w:ascii="Arial" w:hAnsi="Arial" w:cs="Arial"/>
          <w:sz w:val="20"/>
          <w:szCs w:val="20"/>
        </w:rPr>
        <w:t xml:space="preserve">tudi za izvajanje nalog izterjave denarnih nedavčnih obveznosti </w:t>
      </w:r>
      <w:r>
        <w:rPr>
          <w:rFonts w:ascii="Arial" w:hAnsi="Arial" w:cs="Arial"/>
          <w:sz w:val="20"/>
          <w:szCs w:val="20"/>
        </w:rPr>
        <w:t xml:space="preserve">za druge </w:t>
      </w:r>
      <w:r w:rsidRPr="005240C4">
        <w:rPr>
          <w:rFonts w:ascii="Arial" w:hAnsi="Arial" w:cs="Arial"/>
          <w:sz w:val="20"/>
          <w:szCs w:val="20"/>
        </w:rPr>
        <w:t>predlagatelj</w:t>
      </w:r>
      <w:r>
        <w:rPr>
          <w:rFonts w:ascii="Arial" w:hAnsi="Arial" w:cs="Arial"/>
          <w:sz w:val="20"/>
          <w:szCs w:val="20"/>
        </w:rPr>
        <w:t xml:space="preserve">e, </w:t>
      </w:r>
      <w:r w:rsidRPr="005240C4">
        <w:rPr>
          <w:rFonts w:ascii="Arial" w:hAnsi="Arial" w:cs="Arial"/>
          <w:sz w:val="20"/>
          <w:szCs w:val="20"/>
        </w:rPr>
        <w:t>n</w:t>
      </w:r>
      <w:r>
        <w:rPr>
          <w:rFonts w:ascii="Arial" w:hAnsi="Arial" w:cs="Arial"/>
          <w:sz w:val="20"/>
          <w:szCs w:val="20"/>
        </w:rPr>
        <w:t xml:space="preserve">a </w:t>
      </w:r>
      <w:r w:rsidRPr="005240C4">
        <w:rPr>
          <w:rFonts w:ascii="Arial" w:hAnsi="Arial" w:cs="Arial"/>
          <w:sz w:val="20"/>
          <w:szCs w:val="20"/>
        </w:rPr>
        <w:t>pr</w:t>
      </w:r>
      <w:r>
        <w:rPr>
          <w:rFonts w:ascii="Arial" w:hAnsi="Arial" w:cs="Arial"/>
          <w:sz w:val="20"/>
          <w:szCs w:val="20"/>
        </w:rPr>
        <w:t>imer</w:t>
      </w:r>
      <w:r w:rsidRPr="005240C4">
        <w:rPr>
          <w:rFonts w:ascii="Arial" w:hAnsi="Arial" w:cs="Arial"/>
          <w:sz w:val="20"/>
          <w:szCs w:val="20"/>
        </w:rPr>
        <w:t xml:space="preserve"> terjatve</w:t>
      </w:r>
      <w:r>
        <w:rPr>
          <w:rFonts w:ascii="Arial" w:hAnsi="Arial" w:cs="Arial"/>
          <w:sz w:val="20"/>
          <w:szCs w:val="20"/>
        </w:rPr>
        <w:t xml:space="preserve"> od </w:t>
      </w:r>
      <w:r w:rsidRPr="005240C4">
        <w:rPr>
          <w:rFonts w:ascii="Arial" w:hAnsi="Arial" w:cs="Arial"/>
          <w:sz w:val="20"/>
          <w:szCs w:val="20"/>
        </w:rPr>
        <w:t xml:space="preserve">prekrškov, terjatve </w:t>
      </w:r>
      <w:r>
        <w:rPr>
          <w:rFonts w:ascii="Arial" w:hAnsi="Arial" w:cs="Arial"/>
          <w:sz w:val="20"/>
          <w:szCs w:val="20"/>
        </w:rPr>
        <w:t>od</w:t>
      </w:r>
      <w:r w:rsidRPr="005240C4">
        <w:rPr>
          <w:rFonts w:ascii="Arial" w:hAnsi="Arial" w:cs="Arial"/>
          <w:sz w:val="20"/>
          <w:szCs w:val="20"/>
        </w:rPr>
        <w:t xml:space="preserve"> upravnih in sodnih taks, različne upravne obveznosti, ki se izterjujejo po pravilih Zakona o splošnem upravnem postopku</w:t>
      </w:r>
      <w:r>
        <w:rPr>
          <w:rFonts w:ascii="Arial" w:hAnsi="Arial" w:cs="Arial"/>
          <w:sz w:val="20"/>
          <w:szCs w:val="20"/>
        </w:rPr>
        <w:t xml:space="preserve"> (ZUP)</w:t>
      </w:r>
      <w:r w:rsidRPr="005240C4">
        <w:rPr>
          <w:rFonts w:ascii="Arial" w:hAnsi="Arial" w:cs="Arial"/>
          <w:sz w:val="20"/>
          <w:szCs w:val="20"/>
        </w:rPr>
        <w:t>,</w:t>
      </w:r>
      <w:r>
        <w:rPr>
          <w:rStyle w:val="Sprotnaopomba-sklic"/>
          <w:rFonts w:ascii="Arial" w:hAnsi="Arial" w:cs="Arial"/>
          <w:sz w:val="20"/>
          <w:szCs w:val="20"/>
        </w:rPr>
        <w:footnoteReference w:id="18"/>
      </w:r>
      <w:r w:rsidRPr="005240C4">
        <w:rPr>
          <w:rFonts w:ascii="Arial" w:hAnsi="Arial" w:cs="Arial"/>
          <w:sz w:val="20"/>
          <w:szCs w:val="20"/>
        </w:rPr>
        <w:t xml:space="preserve"> i</w:t>
      </w:r>
      <w:r>
        <w:rPr>
          <w:rFonts w:ascii="Arial" w:hAnsi="Arial" w:cs="Arial"/>
          <w:sz w:val="20"/>
          <w:szCs w:val="20"/>
        </w:rPr>
        <w:t xml:space="preserve">n </w:t>
      </w:r>
      <w:r w:rsidRPr="005240C4">
        <w:rPr>
          <w:rFonts w:ascii="Arial" w:hAnsi="Arial" w:cs="Arial"/>
          <w:sz w:val="20"/>
          <w:szCs w:val="20"/>
        </w:rPr>
        <w:t>p</w:t>
      </w:r>
      <w:r>
        <w:rPr>
          <w:rFonts w:ascii="Arial" w:hAnsi="Arial" w:cs="Arial"/>
          <w:sz w:val="20"/>
          <w:szCs w:val="20"/>
        </w:rPr>
        <w:t>o</w:t>
      </w:r>
      <w:r w:rsidRPr="005240C4">
        <w:rPr>
          <w:rFonts w:ascii="Arial" w:hAnsi="Arial" w:cs="Arial"/>
          <w:sz w:val="20"/>
          <w:szCs w:val="20"/>
        </w:rPr>
        <w:t>d</w:t>
      </w:r>
      <w:r>
        <w:rPr>
          <w:rFonts w:ascii="Arial" w:hAnsi="Arial" w:cs="Arial"/>
          <w:sz w:val="20"/>
          <w:szCs w:val="20"/>
        </w:rPr>
        <w:t>obno</w:t>
      </w:r>
      <w:r w:rsidRPr="005240C4">
        <w:rPr>
          <w:rFonts w:ascii="Arial" w:hAnsi="Arial" w:cs="Arial"/>
          <w:sz w:val="20"/>
          <w:szCs w:val="20"/>
        </w:rPr>
        <w:t>.</w:t>
      </w:r>
    </w:p>
    <w:p w14:paraId="6E20E84D"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V letu 2024 so predlagatelji vložili 165.237 novih predlogov za izterjavo nedavčnih obveznosti za skup</w:t>
      </w:r>
      <w:r>
        <w:rPr>
          <w:rFonts w:ascii="Arial" w:hAnsi="Arial" w:cs="Arial"/>
          <w:sz w:val="20"/>
          <w:szCs w:val="20"/>
        </w:rPr>
        <w:t xml:space="preserve">no </w:t>
      </w:r>
      <w:r w:rsidRPr="005240C4">
        <w:rPr>
          <w:rFonts w:ascii="Arial" w:hAnsi="Arial" w:cs="Arial"/>
          <w:sz w:val="20"/>
          <w:szCs w:val="20"/>
        </w:rPr>
        <w:t xml:space="preserve">48.703.576 </w:t>
      </w:r>
      <w:r>
        <w:rPr>
          <w:rFonts w:ascii="Arial" w:hAnsi="Arial" w:cs="Arial"/>
          <w:sz w:val="20"/>
          <w:szCs w:val="20"/>
        </w:rPr>
        <w:t>EUR</w:t>
      </w:r>
      <w:r w:rsidRPr="005240C4">
        <w:rPr>
          <w:rFonts w:ascii="Arial" w:hAnsi="Arial" w:cs="Arial"/>
          <w:sz w:val="20"/>
          <w:szCs w:val="20"/>
        </w:rPr>
        <w:t>. Število vloženih predlogov se je v primerjavi z letom 2023 z</w:t>
      </w:r>
      <w:r>
        <w:rPr>
          <w:rFonts w:ascii="Arial" w:hAnsi="Arial" w:cs="Arial"/>
          <w:sz w:val="20"/>
          <w:szCs w:val="20"/>
        </w:rPr>
        <w:t>ma</w:t>
      </w:r>
      <w:r w:rsidRPr="005240C4">
        <w:rPr>
          <w:rFonts w:ascii="Arial" w:hAnsi="Arial" w:cs="Arial"/>
          <w:sz w:val="20"/>
          <w:szCs w:val="20"/>
        </w:rPr>
        <w:t>n</w:t>
      </w:r>
      <w:r>
        <w:rPr>
          <w:rFonts w:ascii="Arial" w:hAnsi="Arial" w:cs="Arial"/>
          <w:sz w:val="20"/>
          <w:szCs w:val="20"/>
        </w:rPr>
        <w:t>jš</w:t>
      </w:r>
      <w:r w:rsidRPr="005240C4">
        <w:rPr>
          <w:rFonts w:ascii="Arial" w:hAnsi="Arial" w:cs="Arial"/>
          <w:sz w:val="20"/>
          <w:szCs w:val="20"/>
        </w:rPr>
        <w:t xml:space="preserve">alo za 7.928 predlogov </w:t>
      </w:r>
      <w:r>
        <w:rPr>
          <w:rFonts w:ascii="Arial" w:hAnsi="Arial" w:cs="Arial"/>
          <w:sz w:val="20"/>
          <w:szCs w:val="20"/>
        </w:rPr>
        <w:t xml:space="preserve">ali </w:t>
      </w:r>
      <w:r w:rsidRPr="005240C4">
        <w:rPr>
          <w:rFonts w:ascii="Arial" w:hAnsi="Arial" w:cs="Arial"/>
          <w:sz w:val="20"/>
          <w:szCs w:val="20"/>
        </w:rPr>
        <w:t xml:space="preserve">4,6 </w:t>
      </w:r>
      <w:r>
        <w:rPr>
          <w:rFonts w:ascii="Arial" w:hAnsi="Arial" w:cs="Arial"/>
          <w:bCs/>
          <w:sz w:val="20"/>
          <w:szCs w:val="20"/>
        </w:rPr>
        <w:t>odstotka</w:t>
      </w:r>
      <w:r w:rsidRPr="005240C4">
        <w:rPr>
          <w:rFonts w:ascii="Arial" w:hAnsi="Arial" w:cs="Arial"/>
          <w:sz w:val="20"/>
          <w:szCs w:val="20"/>
        </w:rPr>
        <w:t xml:space="preserve">, znesek terjatev po vloženih predlogih pa za 30.426.267 </w:t>
      </w:r>
      <w:r>
        <w:rPr>
          <w:rFonts w:ascii="Arial" w:hAnsi="Arial" w:cs="Arial"/>
          <w:sz w:val="20"/>
          <w:szCs w:val="20"/>
        </w:rPr>
        <w:t>EUR</w:t>
      </w:r>
      <w:r w:rsidRPr="005240C4">
        <w:rPr>
          <w:rFonts w:ascii="Arial" w:hAnsi="Arial" w:cs="Arial"/>
          <w:sz w:val="20"/>
          <w:szCs w:val="20"/>
        </w:rPr>
        <w:t xml:space="preserve"> </w:t>
      </w:r>
      <w:r>
        <w:rPr>
          <w:rFonts w:ascii="Arial" w:hAnsi="Arial" w:cs="Arial"/>
          <w:sz w:val="20"/>
          <w:szCs w:val="20"/>
        </w:rPr>
        <w:t>ali</w:t>
      </w:r>
      <w:r w:rsidRPr="005240C4">
        <w:rPr>
          <w:rFonts w:ascii="Arial" w:hAnsi="Arial" w:cs="Arial"/>
          <w:sz w:val="20"/>
          <w:szCs w:val="20"/>
        </w:rPr>
        <w:t xml:space="preserve"> 38,5 </w:t>
      </w:r>
      <w:r w:rsidRPr="007F4215">
        <w:rPr>
          <w:rFonts w:ascii="Arial" w:hAnsi="Arial" w:cs="Arial"/>
          <w:sz w:val="20"/>
          <w:szCs w:val="20"/>
        </w:rPr>
        <w:t>odstotka</w:t>
      </w:r>
      <w:r w:rsidRPr="005240C4">
        <w:rPr>
          <w:rFonts w:ascii="Arial" w:hAnsi="Arial" w:cs="Arial"/>
          <w:sz w:val="20"/>
          <w:szCs w:val="20"/>
        </w:rPr>
        <w:t xml:space="preserve">. Rešenih je bilo 170.194 zadev v </w:t>
      </w:r>
      <w:r>
        <w:rPr>
          <w:rFonts w:ascii="Arial" w:hAnsi="Arial" w:cs="Arial"/>
          <w:sz w:val="20"/>
          <w:szCs w:val="20"/>
        </w:rPr>
        <w:t>vrednosti</w:t>
      </w:r>
      <w:r w:rsidRPr="005240C4">
        <w:rPr>
          <w:rFonts w:ascii="Arial" w:hAnsi="Arial" w:cs="Arial"/>
          <w:sz w:val="20"/>
          <w:szCs w:val="20"/>
        </w:rPr>
        <w:t xml:space="preserve"> 65.350.329 </w:t>
      </w:r>
      <w:r>
        <w:rPr>
          <w:rFonts w:ascii="Arial" w:hAnsi="Arial" w:cs="Arial"/>
          <w:sz w:val="20"/>
          <w:szCs w:val="20"/>
        </w:rPr>
        <w:t>EUR</w:t>
      </w:r>
      <w:r w:rsidRPr="005240C4">
        <w:rPr>
          <w:rFonts w:ascii="Arial" w:hAnsi="Arial" w:cs="Arial"/>
          <w:sz w:val="20"/>
          <w:szCs w:val="20"/>
        </w:rPr>
        <w:t xml:space="preserve">. </w:t>
      </w:r>
    </w:p>
    <w:p w14:paraId="7F7CD28C"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Največ predlogov za izvršbo je vložila Policija (42.433 predlogov), sledi</w:t>
      </w:r>
      <w:r>
        <w:rPr>
          <w:rFonts w:ascii="Arial" w:hAnsi="Arial" w:cs="Arial"/>
          <w:sz w:val="20"/>
          <w:szCs w:val="20"/>
        </w:rPr>
        <w:t>le s</w:t>
      </w:r>
      <w:r w:rsidRPr="005240C4">
        <w:rPr>
          <w:rFonts w:ascii="Arial" w:hAnsi="Arial" w:cs="Arial"/>
          <w:sz w:val="20"/>
          <w:szCs w:val="20"/>
        </w:rPr>
        <w:t xml:space="preserve">o občine in medobčinski inšpektorati s 37.934 predlogi </w:t>
      </w:r>
      <w:r>
        <w:rPr>
          <w:rFonts w:ascii="Arial" w:hAnsi="Arial" w:cs="Arial"/>
          <w:sz w:val="20"/>
          <w:szCs w:val="20"/>
        </w:rPr>
        <w:t>ter</w:t>
      </w:r>
      <w:r w:rsidRPr="005240C4">
        <w:rPr>
          <w:rFonts w:ascii="Arial" w:hAnsi="Arial" w:cs="Arial"/>
          <w:sz w:val="20"/>
          <w:szCs w:val="20"/>
        </w:rPr>
        <w:t xml:space="preserve"> direkcije s 33.612 vloženimi predlogi za izvršbo. </w:t>
      </w:r>
    </w:p>
    <w:p w14:paraId="72A6395F" w14:textId="77777777" w:rsidR="00A155A2" w:rsidRPr="00721DA2" w:rsidRDefault="00A155A2" w:rsidP="00A155A2">
      <w:pPr>
        <w:jc w:val="both"/>
        <w:rPr>
          <w:rFonts w:ascii="Arial" w:hAnsi="Arial" w:cs="Arial"/>
          <w:sz w:val="20"/>
          <w:szCs w:val="20"/>
          <w:highlight w:val="yellow"/>
        </w:rPr>
      </w:pPr>
      <w:r w:rsidRPr="00721DA2">
        <w:rPr>
          <w:rFonts w:ascii="Arial" w:hAnsi="Arial" w:cs="Arial"/>
          <w:sz w:val="20"/>
          <w:szCs w:val="20"/>
        </w:rPr>
        <w:t xml:space="preserve">V letu 2024 se je pristojnost FURS za izterjavo drugih denarnih nedavčnih obveznosti razširila na dve dodatni terjatvi, in sicer prispevek od presežnih tržnih prihodkov na področju energetike (14. člen Zakona o nujnem posredovanju za obravnavo visokih cen energije </w:t>
      </w:r>
      <w:r>
        <w:rPr>
          <w:rFonts w:ascii="Arial" w:hAnsi="Arial" w:cs="Arial"/>
          <w:sz w:val="20"/>
          <w:szCs w:val="20"/>
        </w:rPr>
        <w:t>–</w:t>
      </w:r>
      <w:r w:rsidRPr="00721DA2">
        <w:rPr>
          <w:rFonts w:ascii="Arial" w:hAnsi="Arial" w:cs="Arial"/>
          <w:sz w:val="20"/>
          <w:szCs w:val="20"/>
        </w:rPr>
        <w:t xml:space="preserve"> ZNPOVCE)</w:t>
      </w:r>
      <w:r w:rsidRPr="00721DA2">
        <w:rPr>
          <w:rStyle w:val="Sprotnaopomba-sklic"/>
          <w:rFonts w:ascii="Arial" w:hAnsi="Arial" w:cs="Arial"/>
          <w:sz w:val="20"/>
          <w:szCs w:val="20"/>
        </w:rPr>
        <w:footnoteReference w:id="19"/>
      </w:r>
      <w:r w:rsidRPr="00721DA2">
        <w:rPr>
          <w:rFonts w:ascii="Arial" w:hAnsi="Arial" w:cs="Arial"/>
          <w:sz w:val="20"/>
          <w:szCs w:val="20"/>
        </w:rPr>
        <w:t xml:space="preserve"> </w:t>
      </w:r>
      <w:r>
        <w:rPr>
          <w:rFonts w:ascii="Arial" w:hAnsi="Arial" w:cs="Arial"/>
          <w:sz w:val="20"/>
          <w:szCs w:val="20"/>
        </w:rPr>
        <w:t>ter</w:t>
      </w:r>
      <w:r w:rsidRPr="00721DA2">
        <w:rPr>
          <w:rFonts w:ascii="Arial" w:hAnsi="Arial" w:cs="Arial"/>
          <w:sz w:val="20"/>
          <w:szCs w:val="20"/>
        </w:rPr>
        <w:t xml:space="preserve"> vračilo pomoči za samozaposlene (50. člen Zakona o spremembah in dopolnitvah Zakona o odpravi posledic naravnih nesreč </w:t>
      </w:r>
      <w:r>
        <w:rPr>
          <w:rFonts w:ascii="Arial" w:hAnsi="Arial" w:cs="Arial"/>
          <w:sz w:val="20"/>
          <w:szCs w:val="20"/>
        </w:rPr>
        <w:t>–</w:t>
      </w:r>
      <w:r w:rsidRPr="00721DA2">
        <w:rPr>
          <w:rFonts w:ascii="Arial" w:hAnsi="Arial" w:cs="Arial"/>
          <w:sz w:val="20"/>
          <w:szCs w:val="20"/>
        </w:rPr>
        <w:t xml:space="preserve"> ZOPNN-F).</w:t>
      </w:r>
      <w:r w:rsidRPr="00721DA2">
        <w:rPr>
          <w:rStyle w:val="Sprotnaopomba-sklic"/>
          <w:rFonts w:ascii="Arial" w:hAnsi="Arial" w:cs="Arial"/>
          <w:sz w:val="20"/>
          <w:szCs w:val="20"/>
        </w:rPr>
        <w:footnoteReference w:id="20"/>
      </w:r>
    </w:p>
    <w:p w14:paraId="6DF3DCBB"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 xml:space="preserve">S ciljem izterjave nedavčnih obveznosti je bilo v letu 2024 dolžnikom poslanih 164.558 opominov za dolg v skupnem znesku 43.954.673 </w:t>
      </w:r>
      <w:r>
        <w:rPr>
          <w:rFonts w:ascii="Arial" w:hAnsi="Arial" w:cs="Arial"/>
          <w:sz w:val="20"/>
          <w:szCs w:val="20"/>
        </w:rPr>
        <w:t>EUR</w:t>
      </w:r>
      <w:r w:rsidRPr="005240C4">
        <w:rPr>
          <w:rFonts w:ascii="Arial" w:hAnsi="Arial" w:cs="Arial"/>
          <w:sz w:val="20"/>
          <w:szCs w:val="20"/>
        </w:rPr>
        <w:t xml:space="preserve"> </w:t>
      </w:r>
      <w:r>
        <w:rPr>
          <w:rFonts w:ascii="Arial" w:hAnsi="Arial" w:cs="Arial"/>
          <w:sz w:val="20"/>
          <w:szCs w:val="20"/>
        </w:rPr>
        <w:t>in</w:t>
      </w:r>
      <w:r w:rsidRPr="005240C4">
        <w:rPr>
          <w:rFonts w:ascii="Arial" w:hAnsi="Arial" w:cs="Arial"/>
          <w:sz w:val="20"/>
          <w:szCs w:val="20"/>
        </w:rPr>
        <w:t xml:space="preserve"> 29.161 pozivov za dolg v </w:t>
      </w:r>
      <w:r>
        <w:rPr>
          <w:rFonts w:ascii="Arial" w:hAnsi="Arial" w:cs="Arial"/>
          <w:sz w:val="20"/>
          <w:szCs w:val="20"/>
        </w:rPr>
        <w:t>vrednosti</w:t>
      </w:r>
      <w:r w:rsidRPr="005240C4">
        <w:rPr>
          <w:rFonts w:ascii="Arial" w:hAnsi="Arial" w:cs="Arial"/>
          <w:sz w:val="20"/>
          <w:szCs w:val="20"/>
        </w:rPr>
        <w:t xml:space="preserve"> 41.261.088 </w:t>
      </w:r>
      <w:r>
        <w:rPr>
          <w:rFonts w:ascii="Arial" w:hAnsi="Arial" w:cs="Arial"/>
          <w:sz w:val="20"/>
          <w:szCs w:val="20"/>
        </w:rPr>
        <w:t>EUR</w:t>
      </w:r>
      <w:r w:rsidRPr="005240C4">
        <w:rPr>
          <w:rFonts w:ascii="Arial" w:hAnsi="Arial" w:cs="Arial"/>
          <w:sz w:val="20"/>
          <w:szCs w:val="20"/>
        </w:rPr>
        <w:t>. Poleg tega je bilo izdan</w:t>
      </w:r>
      <w:r>
        <w:rPr>
          <w:rFonts w:ascii="Arial" w:hAnsi="Arial" w:cs="Arial"/>
          <w:sz w:val="20"/>
          <w:szCs w:val="20"/>
        </w:rPr>
        <w:t>ih</w:t>
      </w:r>
      <w:r w:rsidRPr="005240C4">
        <w:rPr>
          <w:rFonts w:ascii="Arial" w:hAnsi="Arial" w:cs="Arial"/>
          <w:sz w:val="20"/>
          <w:szCs w:val="20"/>
        </w:rPr>
        <w:t xml:space="preserve"> 137.162 sklepov o izvršbi, s katerimi je bila začeta izvršba za dolg v </w:t>
      </w:r>
      <w:r>
        <w:rPr>
          <w:rFonts w:ascii="Arial" w:hAnsi="Arial" w:cs="Arial"/>
          <w:sz w:val="20"/>
          <w:szCs w:val="20"/>
        </w:rPr>
        <w:t>znesku</w:t>
      </w:r>
      <w:r w:rsidRPr="005240C4">
        <w:rPr>
          <w:rFonts w:ascii="Arial" w:hAnsi="Arial" w:cs="Arial"/>
          <w:sz w:val="20"/>
          <w:szCs w:val="20"/>
        </w:rPr>
        <w:t xml:space="preserve"> 85.014.927 </w:t>
      </w:r>
      <w:r>
        <w:rPr>
          <w:rFonts w:ascii="Arial" w:hAnsi="Arial" w:cs="Arial"/>
          <w:sz w:val="20"/>
          <w:szCs w:val="20"/>
        </w:rPr>
        <w:t>EUR</w:t>
      </w:r>
      <w:r w:rsidRPr="005240C4">
        <w:rPr>
          <w:rFonts w:ascii="Arial" w:hAnsi="Arial" w:cs="Arial"/>
          <w:sz w:val="20"/>
          <w:szCs w:val="20"/>
        </w:rPr>
        <w:t xml:space="preserve">. </w:t>
      </w:r>
    </w:p>
    <w:p w14:paraId="3F67EF70"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 xml:space="preserve">V primerjavi </w:t>
      </w:r>
      <w:r>
        <w:rPr>
          <w:rFonts w:ascii="Arial" w:hAnsi="Arial" w:cs="Arial"/>
          <w:sz w:val="20"/>
          <w:szCs w:val="20"/>
        </w:rPr>
        <w:t>z</w:t>
      </w:r>
      <w:r w:rsidRPr="005240C4">
        <w:rPr>
          <w:rFonts w:ascii="Arial" w:hAnsi="Arial" w:cs="Arial"/>
          <w:sz w:val="20"/>
          <w:szCs w:val="20"/>
        </w:rPr>
        <w:t xml:space="preserve"> letom </w:t>
      </w:r>
      <w:r>
        <w:rPr>
          <w:rFonts w:ascii="Arial" w:hAnsi="Arial" w:cs="Arial"/>
          <w:sz w:val="20"/>
          <w:szCs w:val="20"/>
        </w:rPr>
        <w:t xml:space="preserve">prej </w:t>
      </w:r>
      <w:r w:rsidRPr="005240C4">
        <w:rPr>
          <w:rFonts w:ascii="Arial" w:hAnsi="Arial" w:cs="Arial"/>
          <w:sz w:val="20"/>
          <w:szCs w:val="20"/>
        </w:rPr>
        <w:t xml:space="preserve">je bilo terjanega za 46.693.550 </w:t>
      </w:r>
      <w:r>
        <w:rPr>
          <w:rFonts w:ascii="Arial" w:hAnsi="Arial" w:cs="Arial"/>
          <w:sz w:val="20"/>
          <w:szCs w:val="20"/>
        </w:rPr>
        <w:t>EUR</w:t>
      </w:r>
      <w:r w:rsidRPr="005240C4">
        <w:rPr>
          <w:rFonts w:ascii="Arial" w:hAnsi="Arial" w:cs="Arial"/>
          <w:sz w:val="20"/>
          <w:szCs w:val="20"/>
        </w:rPr>
        <w:t xml:space="preserve"> manj dolga, kar je posledica tako manjšega števila prejetih predlogov za izvršbo </w:t>
      </w:r>
      <w:r>
        <w:rPr>
          <w:rFonts w:ascii="Arial" w:hAnsi="Arial" w:cs="Arial"/>
          <w:sz w:val="20"/>
          <w:szCs w:val="20"/>
        </w:rPr>
        <w:t>in</w:t>
      </w:r>
      <w:r w:rsidRPr="005240C4">
        <w:rPr>
          <w:rFonts w:ascii="Arial" w:hAnsi="Arial" w:cs="Arial"/>
          <w:sz w:val="20"/>
          <w:szCs w:val="20"/>
        </w:rPr>
        <w:t xml:space="preserve"> tudi nižjega zneska terjatev, prejetih v izvršbo. Z izvedenimi ukrepi je bilo v letu 2024 izterjan</w:t>
      </w:r>
      <w:r>
        <w:rPr>
          <w:rFonts w:ascii="Arial" w:hAnsi="Arial" w:cs="Arial"/>
          <w:sz w:val="20"/>
          <w:szCs w:val="20"/>
        </w:rPr>
        <w:t>ih</w:t>
      </w:r>
      <w:r w:rsidRPr="005240C4">
        <w:rPr>
          <w:rFonts w:ascii="Arial" w:hAnsi="Arial" w:cs="Arial"/>
          <w:sz w:val="20"/>
          <w:szCs w:val="20"/>
        </w:rPr>
        <w:t xml:space="preserve"> za 34.020.959 </w:t>
      </w:r>
      <w:r>
        <w:rPr>
          <w:rFonts w:ascii="Arial" w:hAnsi="Arial" w:cs="Arial"/>
          <w:sz w:val="20"/>
          <w:szCs w:val="20"/>
        </w:rPr>
        <w:t>EUR</w:t>
      </w:r>
      <w:r w:rsidRPr="005240C4">
        <w:rPr>
          <w:rFonts w:ascii="Arial" w:hAnsi="Arial" w:cs="Arial"/>
          <w:sz w:val="20"/>
          <w:szCs w:val="20"/>
        </w:rPr>
        <w:t xml:space="preserve"> nedavčnih obveznosti, kar pa je za 930.754 </w:t>
      </w:r>
      <w:r>
        <w:rPr>
          <w:rFonts w:ascii="Arial" w:hAnsi="Arial" w:cs="Arial"/>
          <w:sz w:val="20"/>
          <w:szCs w:val="20"/>
        </w:rPr>
        <w:t>EUR</w:t>
      </w:r>
      <w:r w:rsidRPr="005240C4">
        <w:rPr>
          <w:rFonts w:ascii="Arial" w:hAnsi="Arial" w:cs="Arial"/>
          <w:sz w:val="20"/>
          <w:szCs w:val="20"/>
        </w:rPr>
        <w:t xml:space="preserve"> (</w:t>
      </w:r>
      <w:r>
        <w:rPr>
          <w:rFonts w:ascii="Arial" w:hAnsi="Arial" w:cs="Arial"/>
          <w:sz w:val="20"/>
          <w:szCs w:val="20"/>
        </w:rPr>
        <w:t xml:space="preserve">ali </w:t>
      </w:r>
      <w:r w:rsidRPr="005240C4">
        <w:rPr>
          <w:rFonts w:ascii="Arial" w:hAnsi="Arial" w:cs="Arial"/>
          <w:sz w:val="20"/>
          <w:szCs w:val="20"/>
        </w:rPr>
        <w:t xml:space="preserve">2,8 </w:t>
      </w:r>
      <w:r>
        <w:rPr>
          <w:rFonts w:ascii="Arial" w:hAnsi="Arial" w:cs="Arial"/>
          <w:bCs/>
          <w:sz w:val="20"/>
          <w:szCs w:val="20"/>
        </w:rPr>
        <w:t>odstotka</w:t>
      </w:r>
      <w:r w:rsidRPr="005240C4">
        <w:rPr>
          <w:rFonts w:ascii="Arial" w:hAnsi="Arial" w:cs="Arial"/>
          <w:sz w:val="20"/>
          <w:szCs w:val="20"/>
        </w:rPr>
        <w:t>) več k</w:t>
      </w:r>
      <w:r>
        <w:rPr>
          <w:rFonts w:ascii="Arial" w:hAnsi="Arial" w:cs="Arial"/>
          <w:sz w:val="20"/>
          <w:szCs w:val="20"/>
        </w:rPr>
        <w:t>ak</w:t>
      </w:r>
      <w:r w:rsidRPr="005240C4">
        <w:rPr>
          <w:rFonts w:ascii="Arial" w:hAnsi="Arial" w:cs="Arial"/>
          <w:sz w:val="20"/>
          <w:szCs w:val="20"/>
        </w:rPr>
        <w:t>o</w:t>
      </w:r>
      <w:r>
        <w:rPr>
          <w:rFonts w:ascii="Arial" w:hAnsi="Arial" w:cs="Arial"/>
          <w:sz w:val="20"/>
          <w:szCs w:val="20"/>
        </w:rPr>
        <w:t>r</w:t>
      </w:r>
      <w:r w:rsidRPr="005240C4">
        <w:rPr>
          <w:rFonts w:ascii="Arial" w:hAnsi="Arial" w:cs="Arial"/>
          <w:sz w:val="20"/>
          <w:szCs w:val="20"/>
        </w:rPr>
        <w:t xml:space="preserve"> v letu 2023. </w:t>
      </w:r>
      <w:r w:rsidRPr="00290B15">
        <w:rPr>
          <w:rFonts w:ascii="Arial" w:hAnsi="Arial" w:cs="Arial"/>
          <w:sz w:val="20"/>
          <w:szCs w:val="20"/>
        </w:rPr>
        <w:t>Večjo</w:t>
      </w:r>
      <w:r>
        <w:rPr>
          <w:rFonts w:ascii="Arial" w:hAnsi="Arial" w:cs="Arial"/>
          <w:sz w:val="20"/>
          <w:szCs w:val="20"/>
        </w:rPr>
        <w:t xml:space="preserve"> uspešnost</w:t>
      </w:r>
      <w:r w:rsidRPr="005240C4">
        <w:rPr>
          <w:rFonts w:ascii="Arial" w:hAnsi="Arial" w:cs="Arial"/>
          <w:sz w:val="20"/>
          <w:szCs w:val="20"/>
        </w:rPr>
        <w:t xml:space="preserve"> je mogoče pripisati </w:t>
      </w:r>
      <w:r>
        <w:rPr>
          <w:rFonts w:ascii="Arial" w:hAnsi="Arial" w:cs="Arial"/>
          <w:sz w:val="20"/>
          <w:szCs w:val="20"/>
        </w:rPr>
        <w:t>temu</w:t>
      </w:r>
      <w:r w:rsidRPr="005240C4">
        <w:rPr>
          <w:rFonts w:ascii="Arial" w:hAnsi="Arial" w:cs="Arial"/>
          <w:sz w:val="20"/>
          <w:szCs w:val="20"/>
        </w:rPr>
        <w:t xml:space="preserve">, da je bilo v letu 2023 večje število predlogov za izterjavo prejetih šele v drugi polovici leta </w:t>
      </w:r>
      <w:r>
        <w:rPr>
          <w:rFonts w:ascii="Arial" w:hAnsi="Arial" w:cs="Arial"/>
          <w:sz w:val="20"/>
          <w:szCs w:val="20"/>
        </w:rPr>
        <w:t>,</w:t>
      </w:r>
      <w:r w:rsidRPr="005240C4">
        <w:rPr>
          <w:rFonts w:ascii="Arial" w:hAnsi="Arial" w:cs="Arial"/>
          <w:sz w:val="20"/>
          <w:szCs w:val="20"/>
        </w:rPr>
        <w:t xml:space="preserve"> zato </w:t>
      </w:r>
      <w:r>
        <w:rPr>
          <w:rFonts w:ascii="Arial" w:hAnsi="Arial" w:cs="Arial"/>
          <w:sz w:val="20"/>
          <w:szCs w:val="20"/>
        </w:rPr>
        <w:t xml:space="preserve">so </w:t>
      </w:r>
      <w:r w:rsidRPr="005240C4">
        <w:rPr>
          <w:rFonts w:ascii="Arial" w:hAnsi="Arial" w:cs="Arial"/>
          <w:sz w:val="20"/>
          <w:szCs w:val="20"/>
        </w:rPr>
        <w:t xml:space="preserve">bila plačila </w:t>
      </w:r>
      <w:r>
        <w:rPr>
          <w:rFonts w:ascii="Arial" w:hAnsi="Arial" w:cs="Arial"/>
          <w:sz w:val="20"/>
          <w:szCs w:val="20"/>
        </w:rPr>
        <w:t>izvedena</w:t>
      </w:r>
      <w:r w:rsidRPr="005240C4">
        <w:rPr>
          <w:rFonts w:ascii="Arial" w:hAnsi="Arial" w:cs="Arial"/>
          <w:sz w:val="20"/>
          <w:szCs w:val="20"/>
        </w:rPr>
        <w:t xml:space="preserve"> v letu 2024. </w:t>
      </w:r>
    </w:p>
    <w:p w14:paraId="11597F1F" w14:textId="77777777" w:rsidR="00A155A2" w:rsidRDefault="00A155A2" w:rsidP="00A155A2">
      <w:pPr>
        <w:jc w:val="both"/>
        <w:rPr>
          <w:rFonts w:ascii="Arial" w:hAnsi="Arial" w:cs="Arial"/>
          <w:sz w:val="20"/>
          <w:szCs w:val="20"/>
        </w:rPr>
      </w:pPr>
      <w:r w:rsidRPr="005240C4">
        <w:rPr>
          <w:rFonts w:ascii="Arial" w:hAnsi="Arial" w:cs="Arial"/>
          <w:sz w:val="20"/>
          <w:szCs w:val="20"/>
        </w:rPr>
        <w:t>Po sklepih</w:t>
      </w:r>
      <w:r>
        <w:rPr>
          <w:rFonts w:ascii="Arial" w:hAnsi="Arial" w:cs="Arial"/>
          <w:sz w:val="20"/>
          <w:szCs w:val="20"/>
        </w:rPr>
        <w:t xml:space="preserve"> o davčni izvršbi</w:t>
      </w:r>
      <w:r w:rsidRPr="005240C4">
        <w:rPr>
          <w:rFonts w:ascii="Arial" w:hAnsi="Arial" w:cs="Arial"/>
          <w:sz w:val="20"/>
          <w:szCs w:val="20"/>
        </w:rPr>
        <w:t xml:space="preserve"> je bilo v povprečju poplačanega 21,5 </w:t>
      </w:r>
      <w:r w:rsidRPr="007F4215">
        <w:rPr>
          <w:rFonts w:ascii="Arial" w:hAnsi="Arial" w:cs="Arial"/>
          <w:sz w:val="20"/>
          <w:szCs w:val="20"/>
        </w:rPr>
        <w:t>odstotka</w:t>
      </w:r>
      <w:r w:rsidRPr="005240C4">
        <w:rPr>
          <w:rFonts w:ascii="Arial" w:hAnsi="Arial" w:cs="Arial"/>
          <w:sz w:val="20"/>
          <w:szCs w:val="20"/>
        </w:rPr>
        <w:t xml:space="preserve"> dolga. Največji delež izterjanih sredstev </w:t>
      </w:r>
      <w:r>
        <w:rPr>
          <w:rFonts w:ascii="Arial" w:hAnsi="Arial" w:cs="Arial"/>
          <w:sz w:val="20"/>
          <w:szCs w:val="20"/>
        </w:rPr>
        <w:t>so pomenila</w:t>
      </w:r>
      <w:r w:rsidRPr="005240C4">
        <w:rPr>
          <w:rFonts w:ascii="Arial" w:hAnsi="Arial" w:cs="Arial"/>
          <w:sz w:val="20"/>
          <w:szCs w:val="20"/>
        </w:rPr>
        <w:t xml:space="preserve"> plačila po sklepih o izvršbi, ki imajo 53,7</w:t>
      </w:r>
      <w:r>
        <w:rPr>
          <w:rFonts w:ascii="Arial" w:hAnsi="Arial" w:cs="Arial"/>
          <w:sz w:val="20"/>
          <w:szCs w:val="20"/>
        </w:rPr>
        <w:t>-</w:t>
      </w:r>
      <w:r w:rsidRPr="007F4215">
        <w:rPr>
          <w:rFonts w:ascii="Arial" w:hAnsi="Arial" w:cs="Arial"/>
          <w:sz w:val="20"/>
          <w:szCs w:val="20"/>
        </w:rPr>
        <w:t>odstot</w:t>
      </w:r>
      <w:r>
        <w:rPr>
          <w:rFonts w:ascii="Arial" w:hAnsi="Arial" w:cs="Arial"/>
          <w:sz w:val="20"/>
          <w:szCs w:val="20"/>
        </w:rPr>
        <w:t>ni</w:t>
      </w:r>
      <w:r w:rsidRPr="005240C4">
        <w:rPr>
          <w:rFonts w:ascii="Arial" w:hAnsi="Arial" w:cs="Arial"/>
          <w:sz w:val="20"/>
          <w:szCs w:val="20"/>
        </w:rPr>
        <w:t xml:space="preserve"> delež vseh plačil. Plačila na podlagi pisnih opominov in pozivov </w:t>
      </w:r>
      <w:r>
        <w:rPr>
          <w:rFonts w:ascii="Arial" w:hAnsi="Arial" w:cs="Arial"/>
          <w:sz w:val="20"/>
          <w:szCs w:val="20"/>
        </w:rPr>
        <w:t>obsegajo</w:t>
      </w:r>
      <w:r w:rsidRPr="005240C4">
        <w:rPr>
          <w:rFonts w:ascii="Arial" w:hAnsi="Arial" w:cs="Arial"/>
          <w:sz w:val="20"/>
          <w:szCs w:val="20"/>
        </w:rPr>
        <w:t xml:space="preserve"> skup</w:t>
      </w:r>
      <w:r>
        <w:rPr>
          <w:rFonts w:ascii="Arial" w:hAnsi="Arial" w:cs="Arial"/>
          <w:sz w:val="20"/>
          <w:szCs w:val="20"/>
        </w:rPr>
        <w:t>no</w:t>
      </w:r>
      <w:r w:rsidRPr="005240C4">
        <w:rPr>
          <w:rFonts w:ascii="Arial" w:hAnsi="Arial" w:cs="Arial"/>
          <w:sz w:val="20"/>
          <w:szCs w:val="20"/>
        </w:rPr>
        <w:t xml:space="preserve"> 46,3</w:t>
      </w:r>
      <w:r>
        <w:rPr>
          <w:rFonts w:ascii="Arial" w:hAnsi="Arial" w:cs="Arial"/>
          <w:sz w:val="20"/>
          <w:szCs w:val="20"/>
        </w:rPr>
        <w:t xml:space="preserve"> odstotkov </w:t>
      </w:r>
      <w:r w:rsidRPr="005240C4">
        <w:rPr>
          <w:rFonts w:ascii="Arial" w:hAnsi="Arial" w:cs="Arial"/>
          <w:sz w:val="20"/>
          <w:szCs w:val="20"/>
        </w:rPr>
        <w:t xml:space="preserve"> plačil.</w:t>
      </w:r>
    </w:p>
    <w:p w14:paraId="316E7D2A" w14:textId="77777777" w:rsidR="00A155A2" w:rsidRPr="005240C4" w:rsidRDefault="00A155A2" w:rsidP="00A155A2">
      <w:pPr>
        <w:jc w:val="both"/>
        <w:rPr>
          <w:rFonts w:ascii="Arial" w:hAnsi="Arial" w:cs="Arial"/>
          <w:sz w:val="20"/>
          <w:szCs w:val="20"/>
        </w:rPr>
      </w:pPr>
      <w:r w:rsidRPr="005240C4">
        <w:rPr>
          <w:rFonts w:ascii="Arial" w:hAnsi="Arial" w:cs="Arial"/>
          <w:sz w:val="20"/>
          <w:szCs w:val="20"/>
        </w:rPr>
        <w:t>Med izdanimi sklepi o izvršbi tudi v primeru izterjave nedavčnih obveznosti prevladujejo sklepi o izvršbi na denarna sredstva pri bankah in hranilnicah. Navedenih sklepov je bilo v letu 2024 izdanih 113.465 (</w:t>
      </w:r>
      <w:r>
        <w:rPr>
          <w:rFonts w:ascii="Arial" w:hAnsi="Arial" w:cs="Arial"/>
          <w:sz w:val="20"/>
          <w:szCs w:val="20"/>
        </w:rPr>
        <w:t xml:space="preserve">ali </w:t>
      </w:r>
      <w:r w:rsidRPr="005240C4">
        <w:rPr>
          <w:rFonts w:ascii="Arial" w:hAnsi="Arial" w:cs="Arial"/>
          <w:sz w:val="20"/>
          <w:szCs w:val="20"/>
        </w:rPr>
        <w:t xml:space="preserve">82,7 </w:t>
      </w:r>
      <w:r w:rsidRPr="007F4215">
        <w:rPr>
          <w:rFonts w:ascii="Arial" w:hAnsi="Arial" w:cs="Arial"/>
          <w:sz w:val="20"/>
          <w:szCs w:val="20"/>
        </w:rPr>
        <w:t>odstotka</w:t>
      </w:r>
      <w:r>
        <w:rPr>
          <w:rFonts w:ascii="Arial" w:hAnsi="Arial" w:cs="Arial"/>
          <w:sz w:val="20"/>
          <w:szCs w:val="20"/>
        </w:rPr>
        <w:t xml:space="preserve"> </w:t>
      </w:r>
      <w:r w:rsidRPr="005240C4">
        <w:rPr>
          <w:rFonts w:ascii="Arial" w:hAnsi="Arial" w:cs="Arial"/>
          <w:sz w:val="20"/>
          <w:szCs w:val="20"/>
        </w:rPr>
        <w:t>vseh). Sledi</w:t>
      </w:r>
      <w:r>
        <w:rPr>
          <w:rFonts w:ascii="Arial" w:hAnsi="Arial" w:cs="Arial"/>
          <w:sz w:val="20"/>
          <w:szCs w:val="20"/>
        </w:rPr>
        <w:t>li s</w:t>
      </w:r>
      <w:r w:rsidRPr="005240C4">
        <w:rPr>
          <w:rFonts w:ascii="Arial" w:hAnsi="Arial" w:cs="Arial"/>
          <w:sz w:val="20"/>
          <w:szCs w:val="20"/>
        </w:rPr>
        <w:t>o sklepi o izvršbi na denarne prejemke</w:t>
      </w:r>
      <w:r>
        <w:rPr>
          <w:rFonts w:ascii="Arial" w:hAnsi="Arial" w:cs="Arial"/>
          <w:sz w:val="20"/>
          <w:szCs w:val="20"/>
        </w:rPr>
        <w:t>, bilo jih je 2</w:t>
      </w:r>
      <w:r w:rsidRPr="005240C4">
        <w:rPr>
          <w:rFonts w:ascii="Arial" w:hAnsi="Arial" w:cs="Arial"/>
          <w:sz w:val="20"/>
          <w:szCs w:val="20"/>
        </w:rPr>
        <w:t xml:space="preserve">0.798 (15,2 </w:t>
      </w:r>
      <w:r w:rsidRPr="007F4215">
        <w:rPr>
          <w:rFonts w:ascii="Arial" w:hAnsi="Arial" w:cs="Arial"/>
          <w:sz w:val="20"/>
          <w:szCs w:val="20"/>
        </w:rPr>
        <w:t>odstotka</w:t>
      </w:r>
      <w:r w:rsidRPr="005240C4">
        <w:rPr>
          <w:rFonts w:ascii="Arial" w:hAnsi="Arial" w:cs="Arial"/>
          <w:sz w:val="20"/>
          <w:szCs w:val="20"/>
        </w:rPr>
        <w:t xml:space="preserve">). </w:t>
      </w:r>
      <w:r w:rsidRPr="005240C4">
        <w:rPr>
          <w:rFonts w:ascii="Arial" w:hAnsi="Arial" w:cs="Arial"/>
          <w:sz w:val="20"/>
          <w:szCs w:val="20"/>
        </w:rPr>
        <w:lastRenderedPageBreak/>
        <w:t xml:space="preserve">Izvršba na dolžnikove premičnine je bila začeta v 2.461 primerih (1,8 </w:t>
      </w:r>
      <w:r w:rsidRPr="007F4215">
        <w:rPr>
          <w:rFonts w:ascii="Arial" w:hAnsi="Arial" w:cs="Arial"/>
          <w:sz w:val="20"/>
          <w:szCs w:val="20"/>
        </w:rPr>
        <w:t>odstotka</w:t>
      </w:r>
      <w:r w:rsidRPr="005240C4">
        <w:rPr>
          <w:rFonts w:ascii="Arial" w:hAnsi="Arial" w:cs="Arial"/>
          <w:sz w:val="20"/>
          <w:szCs w:val="20"/>
        </w:rPr>
        <w:t xml:space="preserve">), izvršba na denarne terjatve dolžnikov pa v 438 primerih (0,3 </w:t>
      </w:r>
      <w:r>
        <w:rPr>
          <w:rFonts w:ascii="Arial" w:hAnsi="Arial" w:cs="Arial"/>
          <w:bCs/>
          <w:sz w:val="20"/>
          <w:szCs w:val="20"/>
        </w:rPr>
        <w:t>odstotka</w:t>
      </w:r>
      <w:r w:rsidRPr="005240C4">
        <w:rPr>
          <w:rFonts w:ascii="Arial" w:hAnsi="Arial" w:cs="Arial"/>
          <w:sz w:val="20"/>
          <w:szCs w:val="20"/>
        </w:rPr>
        <w:t>).</w:t>
      </w:r>
    </w:p>
    <w:p w14:paraId="76C470DF" w14:textId="77777777" w:rsidR="00A155A2" w:rsidRDefault="00A155A2" w:rsidP="00A155A2">
      <w:pPr>
        <w:jc w:val="both"/>
        <w:rPr>
          <w:rFonts w:ascii="Arial" w:hAnsi="Arial" w:cs="Arial"/>
          <w:sz w:val="20"/>
          <w:szCs w:val="20"/>
        </w:rPr>
      </w:pPr>
      <w:r w:rsidRPr="005240C4">
        <w:rPr>
          <w:rFonts w:ascii="Arial" w:hAnsi="Arial" w:cs="Arial"/>
          <w:sz w:val="20"/>
          <w:szCs w:val="20"/>
        </w:rPr>
        <w:t xml:space="preserve">Najučinkovitejše sredstvo izvršbe z vidika plačil je bila izvršba na denarna sredstva dolžnika pri bankah ali hranilnicah </w:t>
      </w:r>
      <w:r>
        <w:rPr>
          <w:rFonts w:ascii="Arial" w:hAnsi="Arial" w:cs="Arial"/>
          <w:sz w:val="20"/>
          <w:szCs w:val="20"/>
        </w:rPr>
        <w:t>s</w:t>
      </w:r>
      <w:r w:rsidRPr="005240C4">
        <w:rPr>
          <w:rFonts w:ascii="Arial" w:hAnsi="Arial" w:cs="Arial"/>
          <w:sz w:val="20"/>
          <w:szCs w:val="20"/>
        </w:rPr>
        <w:t xml:space="preserve"> 77,5</w:t>
      </w:r>
      <w:r>
        <w:rPr>
          <w:rFonts w:ascii="Arial" w:hAnsi="Arial" w:cs="Arial"/>
          <w:sz w:val="20"/>
          <w:szCs w:val="20"/>
        </w:rPr>
        <w:t>-</w:t>
      </w:r>
      <w:r w:rsidRPr="007F4215">
        <w:rPr>
          <w:rFonts w:ascii="Arial" w:hAnsi="Arial" w:cs="Arial"/>
          <w:sz w:val="20"/>
          <w:szCs w:val="20"/>
        </w:rPr>
        <w:t>odstot</w:t>
      </w:r>
      <w:r>
        <w:rPr>
          <w:rFonts w:ascii="Arial" w:hAnsi="Arial" w:cs="Arial"/>
          <w:sz w:val="20"/>
          <w:szCs w:val="20"/>
        </w:rPr>
        <w:t>nim</w:t>
      </w:r>
      <w:r w:rsidRPr="005240C4">
        <w:rPr>
          <w:rFonts w:ascii="Arial" w:hAnsi="Arial" w:cs="Arial"/>
          <w:sz w:val="20"/>
          <w:szCs w:val="20"/>
        </w:rPr>
        <w:t xml:space="preserve"> deležem vseh plačil.</w:t>
      </w:r>
    </w:p>
    <w:p w14:paraId="692B1930" w14:textId="77777777" w:rsidR="00A155A2" w:rsidRDefault="00A155A2" w:rsidP="00A155A2">
      <w:pPr>
        <w:rPr>
          <w:rFonts w:ascii="Arial" w:hAnsi="Arial" w:cs="Arial"/>
          <w:b/>
        </w:rPr>
      </w:pPr>
      <w:bookmarkStart w:id="27" w:name="_Hlk100062578"/>
      <w:r w:rsidRPr="000130D8">
        <w:rPr>
          <w:rFonts w:ascii="Arial" w:hAnsi="Arial" w:cs="Arial"/>
          <w:b/>
        </w:rPr>
        <w:t xml:space="preserve">7 </w:t>
      </w:r>
      <w:r>
        <w:rPr>
          <w:rFonts w:ascii="Arial" w:hAnsi="Arial" w:cs="Arial"/>
          <w:b/>
        </w:rPr>
        <w:tab/>
      </w:r>
      <w:r w:rsidRPr="000130D8">
        <w:rPr>
          <w:rFonts w:ascii="Arial" w:hAnsi="Arial" w:cs="Arial"/>
          <w:b/>
        </w:rPr>
        <w:t>Nadzor</w:t>
      </w:r>
      <w:r w:rsidRPr="00E523D8">
        <w:rPr>
          <w:rFonts w:ascii="Arial" w:hAnsi="Arial" w:cs="Arial"/>
          <w:b/>
        </w:rPr>
        <w:t xml:space="preserve"> </w:t>
      </w:r>
    </w:p>
    <w:p w14:paraId="35724225" w14:textId="77777777" w:rsidR="00A155A2" w:rsidRPr="00E31152" w:rsidRDefault="00A155A2" w:rsidP="00A155A2">
      <w:pPr>
        <w:jc w:val="both"/>
        <w:rPr>
          <w:rFonts w:ascii="Arial" w:hAnsi="Arial" w:cs="Arial"/>
          <w:sz w:val="20"/>
          <w:szCs w:val="20"/>
          <w:lang w:eastAsia="sl-SI"/>
        </w:rPr>
      </w:pPr>
      <w:r w:rsidRPr="00E31152">
        <w:rPr>
          <w:rFonts w:ascii="Arial" w:hAnsi="Arial" w:cs="Arial"/>
          <w:sz w:val="20"/>
          <w:szCs w:val="20"/>
          <w:lang w:eastAsia="sl-SI"/>
        </w:rPr>
        <w:t xml:space="preserve">Ukrepi davčnega nadzora </w:t>
      </w:r>
      <w:r>
        <w:rPr>
          <w:rFonts w:ascii="Arial" w:hAnsi="Arial" w:cs="Arial"/>
          <w:sz w:val="20"/>
          <w:szCs w:val="20"/>
          <w:lang w:eastAsia="sl-SI"/>
        </w:rPr>
        <w:t>so eno od</w:t>
      </w:r>
      <w:r w:rsidRPr="00E31152">
        <w:rPr>
          <w:rFonts w:ascii="Arial" w:hAnsi="Arial" w:cs="Arial"/>
          <w:sz w:val="20"/>
          <w:szCs w:val="20"/>
          <w:lang w:eastAsia="sl-SI"/>
        </w:rPr>
        <w:t xml:space="preserve"> orodij, s katerim</w:t>
      </w:r>
      <w:r>
        <w:rPr>
          <w:rFonts w:ascii="Arial" w:hAnsi="Arial" w:cs="Arial"/>
          <w:sz w:val="20"/>
          <w:szCs w:val="20"/>
          <w:lang w:eastAsia="sl-SI"/>
        </w:rPr>
        <w:t>i</w:t>
      </w:r>
      <w:r w:rsidRPr="00E31152">
        <w:rPr>
          <w:rFonts w:ascii="Arial" w:hAnsi="Arial" w:cs="Arial"/>
          <w:sz w:val="20"/>
          <w:szCs w:val="20"/>
          <w:lang w:eastAsia="sl-SI"/>
        </w:rPr>
        <w:t xml:space="preserve"> FURS </w:t>
      </w:r>
      <w:r w:rsidRPr="009967F2">
        <w:rPr>
          <w:rFonts w:ascii="Arial" w:hAnsi="Arial" w:cs="Arial"/>
          <w:sz w:val="20"/>
          <w:szCs w:val="20"/>
          <w:lang w:eastAsia="sl-SI"/>
        </w:rPr>
        <w:t>zmanjšuje davčni razkorak</w:t>
      </w:r>
      <w:r w:rsidRPr="00E31152">
        <w:rPr>
          <w:rFonts w:ascii="Arial" w:hAnsi="Arial" w:cs="Arial"/>
          <w:sz w:val="20"/>
          <w:szCs w:val="20"/>
          <w:lang w:eastAsia="sl-SI"/>
        </w:rPr>
        <w:t xml:space="preserve"> – razliko med vsemi nastalimi obveznostmi </w:t>
      </w:r>
      <w:r>
        <w:rPr>
          <w:rFonts w:ascii="Arial" w:hAnsi="Arial" w:cs="Arial"/>
          <w:sz w:val="20"/>
          <w:szCs w:val="20"/>
          <w:lang w:eastAsia="sl-SI"/>
        </w:rPr>
        <w:t>od</w:t>
      </w:r>
      <w:r w:rsidRPr="00E31152">
        <w:rPr>
          <w:rFonts w:ascii="Arial" w:hAnsi="Arial" w:cs="Arial"/>
          <w:sz w:val="20"/>
          <w:szCs w:val="20"/>
          <w:lang w:eastAsia="sl-SI"/>
        </w:rPr>
        <w:t xml:space="preserve"> obveznih dajatev in dejansko pobranimi javnofinančnimi prihodki. Del davčnega dolga </w:t>
      </w:r>
      <w:r>
        <w:rPr>
          <w:rFonts w:ascii="Arial" w:hAnsi="Arial" w:cs="Arial"/>
          <w:sz w:val="20"/>
          <w:szCs w:val="20"/>
          <w:lang w:eastAsia="sl-SI"/>
        </w:rPr>
        <w:t>s</w:t>
      </w:r>
      <w:r w:rsidRPr="00E31152">
        <w:rPr>
          <w:rFonts w:ascii="Arial" w:hAnsi="Arial" w:cs="Arial"/>
          <w:sz w:val="20"/>
          <w:szCs w:val="20"/>
          <w:lang w:eastAsia="sl-SI"/>
        </w:rPr>
        <w:t xml:space="preserve">o obveznosti, odmerjene v postopkih davčnega nadzora, ki jih zavezanci ne poravnajo v zakonskih rokih. Preostali del davčnega razkoraka ni evidentiran kot obveznost v evidencah FURS in se zato ne obravnava kot davčni dolg. </w:t>
      </w:r>
    </w:p>
    <w:p w14:paraId="7B605B02" w14:textId="77777777" w:rsidR="00A155A2" w:rsidRPr="00735952" w:rsidRDefault="00A155A2" w:rsidP="00A155A2">
      <w:pPr>
        <w:jc w:val="both"/>
        <w:rPr>
          <w:rFonts w:ascii="Arial" w:hAnsi="Arial" w:cs="Arial"/>
          <w:sz w:val="20"/>
          <w:szCs w:val="20"/>
          <w:lang w:eastAsia="sl-SI"/>
        </w:rPr>
      </w:pPr>
      <w:r w:rsidRPr="00735952">
        <w:rPr>
          <w:rFonts w:ascii="Arial" w:hAnsi="Arial" w:cs="Arial"/>
          <w:sz w:val="20"/>
          <w:szCs w:val="20"/>
          <w:lang w:eastAsia="sl-SI"/>
        </w:rPr>
        <w:t xml:space="preserve">Najpogostejša oblika nadzora se izvaja neposredno ob predložitvi obračuna, napovedi, deklaracije ali drugega dokumenta za določitev obveznosti. Formalne, </w:t>
      </w:r>
      <w:r w:rsidRPr="009967F2">
        <w:rPr>
          <w:rFonts w:ascii="Arial" w:hAnsi="Arial" w:cs="Arial"/>
          <w:sz w:val="20"/>
          <w:szCs w:val="20"/>
          <w:lang w:eastAsia="sl-SI"/>
        </w:rPr>
        <w:t>logične in računske kontrole</w:t>
      </w:r>
      <w:r w:rsidRPr="003B3E72">
        <w:rPr>
          <w:rFonts w:ascii="Arial" w:hAnsi="Arial" w:cs="Arial"/>
          <w:sz w:val="20"/>
          <w:szCs w:val="20"/>
          <w:lang w:eastAsia="sl-SI"/>
        </w:rPr>
        <w:t>, ki so praviloma</w:t>
      </w:r>
      <w:r w:rsidRPr="00735952">
        <w:rPr>
          <w:rFonts w:ascii="Arial" w:hAnsi="Arial" w:cs="Arial"/>
          <w:sz w:val="20"/>
          <w:szCs w:val="20"/>
          <w:lang w:eastAsia="sl-SI"/>
        </w:rPr>
        <w:t xml:space="preserve"> vgrajene v programsko podporo, določajo obseg in vrsto nepravilnosti, ki jih je treb</w:t>
      </w:r>
      <w:r>
        <w:rPr>
          <w:rFonts w:ascii="Arial" w:hAnsi="Arial" w:cs="Arial"/>
          <w:sz w:val="20"/>
          <w:szCs w:val="20"/>
          <w:lang w:eastAsia="sl-SI"/>
        </w:rPr>
        <w:t>a</w:t>
      </w:r>
      <w:r w:rsidRPr="00735952">
        <w:rPr>
          <w:rFonts w:ascii="Arial" w:hAnsi="Arial" w:cs="Arial"/>
          <w:sz w:val="20"/>
          <w:szCs w:val="20"/>
          <w:lang w:eastAsia="sl-SI"/>
        </w:rPr>
        <w:t xml:space="preserve"> preveriti ob sprejemu vhodnega dokumenta. Med to obliko nadzora s</w:t>
      </w:r>
      <w:r>
        <w:rPr>
          <w:rFonts w:ascii="Arial" w:hAnsi="Arial" w:cs="Arial"/>
          <w:sz w:val="20"/>
          <w:szCs w:val="20"/>
          <w:lang w:eastAsia="sl-SI"/>
        </w:rPr>
        <w:t>padata</w:t>
      </w:r>
      <w:r w:rsidRPr="00735952">
        <w:rPr>
          <w:rFonts w:ascii="Arial" w:hAnsi="Arial" w:cs="Arial"/>
          <w:sz w:val="20"/>
          <w:szCs w:val="20"/>
          <w:lang w:eastAsia="sl-SI"/>
        </w:rPr>
        <w:t xml:space="preserve"> tudi preverjanje pravočasnosti predlaganja dokumentov, ki so podlaga za določitev obveznosti, ter pozivanje zavezancev k predložitvi teh dokumentov. Pomemben vpliv na zmanjšanje obsega izvajanja t</w:t>
      </w:r>
      <w:r>
        <w:rPr>
          <w:rFonts w:ascii="Arial" w:hAnsi="Arial" w:cs="Arial"/>
          <w:sz w:val="20"/>
          <w:szCs w:val="20"/>
          <w:lang w:eastAsia="sl-SI"/>
        </w:rPr>
        <w:t>akšn</w:t>
      </w:r>
      <w:r w:rsidRPr="00735952">
        <w:rPr>
          <w:rFonts w:ascii="Arial" w:hAnsi="Arial" w:cs="Arial"/>
          <w:sz w:val="20"/>
          <w:szCs w:val="20"/>
          <w:lang w:eastAsia="sl-SI"/>
        </w:rPr>
        <w:t>ega nadzora imajo sprejeti instituti, ki zagotavljajo dosledno evidentiranje nastalih obveznih dajatev v evidencah FURS – n</w:t>
      </w:r>
      <w:r>
        <w:rPr>
          <w:rFonts w:ascii="Arial" w:hAnsi="Arial" w:cs="Arial"/>
          <w:sz w:val="20"/>
          <w:szCs w:val="20"/>
          <w:lang w:eastAsia="sl-SI"/>
        </w:rPr>
        <w:t xml:space="preserve">a </w:t>
      </w:r>
      <w:r w:rsidRPr="00735952">
        <w:rPr>
          <w:rFonts w:ascii="Arial" w:hAnsi="Arial" w:cs="Arial"/>
          <w:sz w:val="20"/>
          <w:szCs w:val="20"/>
          <w:lang w:eastAsia="sl-SI"/>
        </w:rPr>
        <w:t>pr</w:t>
      </w:r>
      <w:r>
        <w:rPr>
          <w:rFonts w:ascii="Arial" w:hAnsi="Arial" w:cs="Arial"/>
          <w:sz w:val="20"/>
          <w:szCs w:val="20"/>
          <w:lang w:eastAsia="sl-SI"/>
        </w:rPr>
        <w:t>imer</w:t>
      </w:r>
      <w:r w:rsidRPr="00735952">
        <w:rPr>
          <w:rFonts w:ascii="Arial" w:hAnsi="Arial" w:cs="Arial"/>
          <w:sz w:val="20"/>
          <w:szCs w:val="20"/>
          <w:lang w:eastAsia="sl-SI"/>
        </w:rPr>
        <w:t xml:space="preserve"> </w:t>
      </w:r>
      <w:proofErr w:type="spellStart"/>
      <w:r w:rsidRPr="00735952">
        <w:rPr>
          <w:rFonts w:ascii="Arial" w:hAnsi="Arial" w:cs="Arial"/>
          <w:sz w:val="20"/>
          <w:szCs w:val="20"/>
          <w:lang w:eastAsia="sl-SI"/>
        </w:rPr>
        <w:t>predizpolnjeni</w:t>
      </w:r>
      <w:proofErr w:type="spellEnd"/>
      <w:r w:rsidRPr="00735952">
        <w:rPr>
          <w:rFonts w:ascii="Arial" w:hAnsi="Arial" w:cs="Arial"/>
          <w:sz w:val="20"/>
          <w:szCs w:val="20"/>
          <w:lang w:eastAsia="sl-SI"/>
        </w:rPr>
        <w:t xml:space="preserve"> obračuni prispevkov za socialno varnost za samozaposlene, kmete in osebe, ki so v zavarovanje vključene prostovoljno.</w:t>
      </w:r>
    </w:p>
    <w:p w14:paraId="3A904633" w14:textId="77777777" w:rsidR="00A155A2" w:rsidRPr="00721DA2" w:rsidRDefault="00A155A2" w:rsidP="00A155A2">
      <w:pPr>
        <w:jc w:val="both"/>
        <w:rPr>
          <w:rFonts w:ascii="Arial" w:hAnsi="Arial" w:cs="Arial"/>
          <w:sz w:val="20"/>
          <w:szCs w:val="20"/>
          <w:lang w:eastAsia="sl-SI"/>
        </w:rPr>
      </w:pPr>
      <w:r w:rsidRPr="00721DA2">
        <w:rPr>
          <w:rFonts w:ascii="Arial" w:hAnsi="Arial" w:cs="Arial"/>
          <w:sz w:val="20"/>
          <w:szCs w:val="20"/>
          <w:lang w:eastAsia="sl-SI"/>
        </w:rPr>
        <w:t xml:space="preserve">Za davčne zavezance, identificirane za namene DDV, se s 1. julijem 2025 določa obveznost vodenja dveh evidenc v okviru knjigovodstva davčnih zavezancev </w:t>
      </w:r>
      <w:r>
        <w:rPr>
          <w:rFonts w:ascii="Arial" w:hAnsi="Arial" w:cs="Arial"/>
          <w:sz w:val="20"/>
          <w:szCs w:val="20"/>
          <w:lang w:eastAsia="sl-SI"/>
        </w:rPr>
        <w:t>ter</w:t>
      </w:r>
      <w:r w:rsidRPr="00721DA2">
        <w:rPr>
          <w:rFonts w:ascii="Arial" w:hAnsi="Arial" w:cs="Arial"/>
          <w:sz w:val="20"/>
          <w:szCs w:val="20"/>
          <w:lang w:eastAsia="sl-SI"/>
        </w:rPr>
        <w:t xml:space="preserve"> predložitve teh evidenc davčnemu organu, in sicer evidence obračunanega DDV in evidence odbitka DDV. Davčni organ bo na podlagi predložene evidence obračunanega DDV in evidence odbitka DDV za posamezno davčno obdobje za davčnega zavezanca lahko sestavil </w:t>
      </w:r>
      <w:proofErr w:type="spellStart"/>
      <w:r w:rsidRPr="00721DA2">
        <w:rPr>
          <w:rFonts w:ascii="Arial" w:hAnsi="Arial" w:cs="Arial"/>
          <w:sz w:val="20"/>
          <w:szCs w:val="20"/>
          <w:lang w:eastAsia="sl-SI"/>
        </w:rPr>
        <w:t>predizpolnjen</w:t>
      </w:r>
      <w:proofErr w:type="spellEnd"/>
      <w:r w:rsidRPr="00721DA2">
        <w:rPr>
          <w:rFonts w:ascii="Arial" w:hAnsi="Arial" w:cs="Arial"/>
          <w:sz w:val="20"/>
          <w:szCs w:val="20"/>
          <w:lang w:eastAsia="sl-SI"/>
        </w:rPr>
        <w:t xml:space="preserve"> obračun DDV ob izpolnjevanju za to določenih zakonskih pogojev. </w:t>
      </w:r>
    </w:p>
    <w:p w14:paraId="4BE1F0B6" w14:textId="77777777" w:rsidR="00A155A2" w:rsidRPr="00721DA2" w:rsidRDefault="00A155A2" w:rsidP="00A155A2">
      <w:pPr>
        <w:jc w:val="both"/>
        <w:rPr>
          <w:rFonts w:ascii="Arial" w:hAnsi="Arial" w:cs="Arial"/>
          <w:sz w:val="20"/>
          <w:szCs w:val="20"/>
          <w:lang w:eastAsia="sl-SI"/>
        </w:rPr>
      </w:pPr>
      <w:r w:rsidRPr="00721DA2">
        <w:rPr>
          <w:rFonts w:ascii="Arial" w:hAnsi="Arial" w:cs="Arial"/>
          <w:sz w:val="20"/>
          <w:szCs w:val="20"/>
          <w:lang w:eastAsia="sl-SI"/>
        </w:rPr>
        <w:t>S prejemom evidenc se bo davčnemu organu povečala učinkovitost nadzorov, saj bo nadzor temeljil na analizi evidenc obračunanega DDV in evidenc odbitka DDV, s čimer bodo že ugotovljene neskladnosti glede obračunanega DDV in uveljavljenega odbitka DDV. Omogočeno bo:</w:t>
      </w:r>
    </w:p>
    <w:p w14:paraId="35DC5C52" w14:textId="77777777" w:rsidR="00A155A2" w:rsidRPr="00721DA2" w:rsidRDefault="00A155A2" w:rsidP="00A155A2">
      <w:pPr>
        <w:pStyle w:val="Odstavekseznama"/>
        <w:numPr>
          <w:ilvl w:val="0"/>
          <w:numId w:val="36"/>
        </w:numPr>
        <w:spacing w:after="0"/>
        <w:contextualSpacing w:val="0"/>
        <w:jc w:val="both"/>
        <w:rPr>
          <w:rFonts w:ascii="Arial" w:hAnsi="Arial" w:cs="Arial"/>
          <w:sz w:val="20"/>
          <w:szCs w:val="20"/>
        </w:rPr>
      </w:pPr>
      <w:r w:rsidRPr="00721DA2">
        <w:rPr>
          <w:rFonts w:ascii="Arial" w:hAnsi="Arial" w:cs="Arial"/>
          <w:sz w:val="20"/>
          <w:szCs w:val="20"/>
        </w:rPr>
        <w:t>sistemsko preverjanje skladnosti obračunov DDV (navzkrižno preverjanje uveljavljanja pravice do odbitka DDV z obračunanim DDV; ustrezna obdavčitev v primeru uporabe mehanizma obrnjenega davčnega bremena – plačnik davka prejemnik);</w:t>
      </w:r>
    </w:p>
    <w:p w14:paraId="61CE8656" w14:textId="77777777" w:rsidR="00A155A2" w:rsidRPr="00721DA2" w:rsidRDefault="00A155A2" w:rsidP="00A155A2">
      <w:pPr>
        <w:pStyle w:val="Odstavekseznama"/>
        <w:numPr>
          <w:ilvl w:val="0"/>
          <w:numId w:val="36"/>
        </w:numPr>
        <w:spacing w:after="0"/>
        <w:contextualSpacing w:val="0"/>
        <w:jc w:val="both"/>
        <w:rPr>
          <w:rFonts w:ascii="Arial" w:hAnsi="Arial" w:cs="Arial"/>
          <w:sz w:val="20"/>
          <w:szCs w:val="20"/>
        </w:rPr>
      </w:pPr>
      <w:r w:rsidRPr="00721DA2">
        <w:rPr>
          <w:rFonts w:ascii="Arial" w:hAnsi="Arial" w:cs="Arial"/>
          <w:sz w:val="20"/>
          <w:szCs w:val="20"/>
        </w:rPr>
        <w:t>lažj</w:t>
      </w:r>
      <w:r>
        <w:rPr>
          <w:rFonts w:ascii="Arial" w:hAnsi="Arial" w:cs="Arial"/>
          <w:sz w:val="20"/>
          <w:szCs w:val="20"/>
        </w:rPr>
        <w:t>e</w:t>
      </w:r>
      <w:r w:rsidRPr="00721DA2">
        <w:rPr>
          <w:rFonts w:ascii="Arial" w:hAnsi="Arial" w:cs="Arial"/>
          <w:sz w:val="20"/>
          <w:szCs w:val="20"/>
        </w:rPr>
        <w:t xml:space="preserve"> in hitrejš</w:t>
      </w:r>
      <w:r>
        <w:rPr>
          <w:rFonts w:ascii="Arial" w:hAnsi="Arial" w:cs="Arial"/>
          <w:sz w:val="20"/>
          <w:szCs w:val="20"/>
        </w:rPr>
        <w:t>e</w:t>
      </w:r>
      <w:r w:rsidRPr="00721DA2">
        <w:rPr>
          <w:rFonts w:ascii="Arial" w:hAnsi="Arial" w:cs="Arial"/>
          <w:sz w:val="20"/>
          <w:szCs w:val="20"/>
        </w:rPr>
        <w:t xml:space="preserve"> </w:t>
      </w:r>
      <w:r>
        <w:rPr>
          <w:rFonts w:ascii="Arial" w:hAnsi="Arial" w:cs="Arial"/>
          <w:sz w:val="20"/>
          <w:szCs w:val="20"/>
        </w:rPr>
        <w:t>ugotavljanje</w:t>
      </w:r>
      <w:r w:rsidRPr="00721DA2">
        <w:rPr>
          <w:rFonts w:ascii="Arial" w:hAnsi="Arial" w:cs="Arial"/>
          <w:sz w:val="20"/>
          <w:szCs w:val="20"/>
        </w:rPr>
        <w:t xml:space="preserve"> sistemskih zlorab na področju DDV (davčni vrtiljaki, slamnate družbe), kar vpliva na učinkovitejše preprečevanje utaj na področju DDV, saj je že s primerjavo navedenih evidenc mogoče slediti verižnim poslom, za kar je zdaj treba uvesti nadzor oziroma pridobivati podatke o vseh sodelujočih zavezancih v verigah davčnega vrtiljaka;</w:t>
      </w:r>
    </w:p>
    <w:p w14:paraId="4B047532" w14:textId="77777777" w:rsidR="00A155A2" w:rsidRPr="00721DA2" w:rsidRDefault="00A155A2" w:rsidP="00A155A2">
      <w:pPr>
        <w:pStyle w:val="Odstavekseznama"/>
        <w:numPr>
          <w:ilvl w:val="0"/>
          <w:numId w:val="36"/>
        </w:numPr>
        <w:spacing w:after="0"/>
        <w:contextualSpacing w:val="0"/>
        <w:jc w:val="both"/>
        <w:rPr>
          <w:rFonts w:ascii="Arial" w:hAnsi="Arial" w:cs="Arial"/>
          <w:sz w:val="20"/>
          <w:szCs w:val="20"/>
        </w:rPr>
      </w:pPr>
      <w:r w:rsidRPr="00721DA2">
        <w:rPr>
          <w:rFonts w:ascii="Arial" w:hAnsi="Arial" w:cs="Arial"/>
          <w:sz w:val="20"/>
          <w:szCs w:val="20"/>
        </w:rPr>
        <w:t>prepoznava računov, izdanih na neobstoječe oziroma neveljavne identifikacijske številke za DDV;</w:t>
      </w:r>
    </w:p>
    <w:p w14:paraId="0510E4D8" w14:textId="77777777" w:rsidR="00A155A2" w:rsidRPr="00721DA2" w:rsidRDefault="00A155A2" w:rsidP="00A155A2">
      <w:pPr>
        <w:pStyle w:val="Odstavekseznama"/>
        <w:numPr>
          <w:ilvl w:val="0"/>
          <w:numId w:val="36"/>
        </w:numPr>
        <w:spacing w:after="0"/>
        <w:contextualSpacing w:val="0"/>
        <w:jc w:val="both"/>
        <w:rPr>
          <w:rFonts w:ascii="Arial" w:hAnsi="Arial" w:cs="Arial"/>
          <w:sz w:val="20"/>
          <w:szCs w:val="20"/>
        </w:rPr>
      </w:pPr>
      <w:r w:rsidRPr="00721DA2">
        <w:rPr>
          <w:rFonts w:ascii="Arial" w:hAnsi="Arial" w:cs="Arial"/>
          <w:sz w:val="20"/>
          <w:szCs w:val="20"/>
        </w:rPr>
        <w:t>povezovanje podatkov o računih s carinskimi podatki (uvoz, izvoz) in podatki o plačilnem prometu.</w:t>
      </w:r>
    </w:p>
    <w:p w14:paraId="7427F899" w14:textId="77777777" w:rsidR="00A155A2" w:rsidRPr="00721DA2" w:rsidRDefault="00A155A2" w:rsidP="00A155A2">
      <w:pPr>
        <w:jc w:val="both"/>
        <w:rPr>
          <w:rFonts w:ascii="Arial" w:hAnsi="Arial" w:cs="Arial"/>
          <w:color w:val="156082" w:themeColor="accent1"/>
          <w:sz w:val="20"/>
          <w:szCs w:val="20"/>
          <w:lang w:eastAsia="sl-SI"/>
        </w:rPr>
      </w:pPr>
    </w:p>
    <w:p w14:paraId="3C790662" w14:textId="77777777" w:rsidR="00A155A2" w:rsidRPr="00735952" w:rsidRDefault="00A155A2" w:rsidP="00A155A2">
      <w:pPr>
        <w:jc w:val="both"/>
        <w:rPr>
          <w:rFonts w:ascii="Arial" w:hAnsi="Arial" w:cs="Arial"/>
          <w:sz w:val="20"/>
          <w:szCs w:val="20"/>
          <w:lang w:eastAsia="sl-SI"/>
        </w:rPr>
      </w:pPr>
      <w:r w:rsidRPr="00735952">
        <w:rPr>
          <w:rFonts w:ascii="Arial" w:hAnsi="Arial" w:cs="Arial"/>
          <w:sz w:val="20"/>
          <w:szCs w:val="20"/>
          <w:lang w:eastAsia="sl-SI"/>
        </w:rPr>
        <w:t>Vse pomembnejši del nadzora so poglobljen</w:t>
      </w:r>
      <w:r>
        <w:rPr>
          <w:rFonts w:ascii="Arial" w:hAnsi="Arial" w:cs="Arial"/>
          <w:sz w:val="20"/>
          <w:szCs w:val="20"/>
          <w:lang w:eastAsia="sl-SI"/>
        </w:rPr>
        <w:t>i</w:t>
      </w:r>
      <w:r w:rsidRPr="00735952">
        <w:rPr>
          <w:rFonts w:ascii="Arial" w:hAnsi="Arial" w:cs="Arial"/>
          <w:sz w:val="20"/>
          <w:szCs w:val="20"/>
          <w:lang w:eastAsia="sl-SI"/>
        </w:rPr>
        <w:t xml:space="preserve"> vsebinsk</w:t>
      </w:r>
      <w:r>
        <w:rPr>
          <w:rFonts w:ascii="Arial" w:hAnsi="Arial" w:cs="Arial"/>
          <w:sz w:val="20"/>
          <w:szCs w:val="20"/>
          <w:lang w:eastAsia="sl-SI"/>
        </w:rPr>
        <w:t>i nadzori ali</w:t>
      </w:r>
      <w:r w:rsidRPr="00735952">
        <w:rPr>
          <w:rFonts w:ascii="Arial" w:hAnsi="Arial" w:cs="Arial"/>
          <w:sz w:val="20"/>
          <w:szCs w:val="20"/>
          <w:lang w:eastAsia="sl-SI"/>
        </w:rPr>
        <w:t xml:space="preserve"> kontrole, ki jih opravljajo kontrolorji. FURS si prizadeva za povečevanje deleža navedenih kontrol, pr</w:t>
      </w:r>
      <w:r>
        <w:rPr>
          <w:rFonts w:ascii="Arial" w:hAnsi="Arial" w:cs="Arial"/>
          <w:sz w:val="20"/>
          <w:szCs w:val="20"/>
          <w:lang w:eastAsia="sl-SI"/>
        </w:rPr>
        <w:t xml:space="preserve">vi pogoj </w:t>
      </w:r>
      <w:r w:rsidRPr="00735952">
        <w:rPr>
          <w:rFonts w:ascii="Arial" w:hAnsi="Arial" w:cs="Arial"/>
          <w:sz w:val="20"/>
          <w:szCs w:val="20"/>
          <w:lang w:eastAsia="sl-SI"/>
        </w:rPr>
        <w:t xml:space="preserve">za to pa je razbremenitev </w:t>
      </w:r>
      <w:r w:rsidRPr="009967F2">
        <w:rPr>
          <w:rFonts w:ascii="Arial" w:hAnsi="Arial" w:cs="Arial"/>
          <w:sz w:val="20"/>
          <w:szCs w:val="20"/>
          <w:lang w:eastAsia="sl-SI"/>
        </w:rPr>
        <w:t>kontrolorjev pri</w:t>
      </w:r>
      <w:r>
        <w:rPr>
          <w:rFonts w:ascii="Arial" w:hAnsi="Arial" w:cs="Arial"/>
          <w:sz w:val="20"/>
          <w:szCs w:val="20"/>
          <w:lang w:eastAsia="sl-SI"/>
        </w:rPr>
        <w:t xml:space="preserve"> </w:t>
      </w:r>
      <w:r w:rsidRPr="0059154C">
        <w:rPr>
          <w:rFonts w:ascii="Arial" w:hAnsi="Arial" w:cs="Arial"/>
          <w:sz w:val="20"/>
          <w:szCs w:val="20"/>
          <w:lang w:eastAsia="sl-SI"/>
        </w:rPr>
        <w:t>nekaterih drugih</w:t>
      </w:r>
      <w:r w:rsidRPr="00735952">
        <w:rPr>
          <w:rFonts w:ascii="Arial" w:hAnsi="Arial" w:cs="Arial"/>
          <w:sz w:val="20"/>
          <w:szCs w:val="20"/>
          <w:lang w:eastAsia="sl-SI"/>
        </w:rPr>
        <w:t xml:space="preserve"> naloga</w:t>
      </w:r>
      <w:r>
        <w:rPr>
          <w:rFonts w:ascii="Arial" w:hAnsi="Arial" w:cs="Arial"/>
          <w:sz w:val="20"/>
          <w:szCs w:val="20"/>
          <w:lang w:eastAsia="sl-SI"/>
        </w:rPr>
        <w:t>h</w:t>
      </w:r>
      <w:r w:rsidRPr="00735952">
        <w:rPr>
          <w:rFonts w:ascii="Arial" w:hAnsi="Arial" w:cs="Arial"/>
          <w:sz w:val="20"/>
          <w:szCs w:val="20"/>
          <w:lang w:eastAsia="sl-SI"/>
        </w:rPr>
        <w:t xml:space="preserve">. </w:t>
      </w:r>
      <w:r w:rsidRPr="0059154C">
        <w:rPr>
          <w:rFonts w:ascii="Arial" w:hAnsi="Arial" w:cs="Arial"/>
          <w:sz w:val="20"/>
          <w:szCs w:val="20"/>
          <w:lang w:eastAsia="sl-SI"/>
        </w:rPr>
        <w:t xml:space="preserve">Že navedeni </w:t>
      </w:r>
      <w:proofErr w:type="spellStart"/>
      <w:r w:rsidRPr="0059154C">
        <w:rPr>
          <w:rFonts w:ascii="Arial" w:hAnsi="Arial" w:cs="Arial"/>
          <w:sz w:val="20"/>
          <w:szCs w:val="20"/>
          <w:lang w:eastAsia="sl-SI"/>
        </w:rPr>
        <w:t>predizpolnjeni</w:t>
      </w:r>
      <w:proofErr w:type="spellEnd"/>
      <w:r w:rsidRPr="00735952">
        <w:rPr>
          <w:rFonts w:ascii="Arial" w:hAnsi="Arial" w:cs="Arial"/>
          <w:sz w:val="20"/>
          <w:szCs w:val="20"/>
          <w:lang w:eastAsia="sl-SI"/>
        </w:rPr>
        <w:t xml:space="preserve"> obračuni prispevkov za socialno varnost, </w:t>
      </w:r>
      <w:r>
        <w:rPr>
          <w:rFonts w:ascii="Arial" w:hAnsi="Arial" w:cs="Arial"/>
          <w:sz w:val="20"/>
          <w:szCs w:val="20"/>
          <w:lang w:eastAsia="sl-SI"/>
        </w:rPr>
        <w:t>uvajanje</w:t>
      </w:r>
      <w:r w:rsidRPr="00735952">
        <w:rPr>
          <w:rFonts w:ascii="Arial" w:hAnsi="Arial" w:cs="Arial"/>
          <w:sz w:val="20"/>
          <w:szCs w:val="20"/>
          <w:lang w:eastAsia="sl-SI"/>
        </w:rPr>
        <w:t xml:space="preserve"> modelov </w:t>
      </w:r>
      <w:proofErr w:type="spellStart"/>
      <w:r w:rsidRPr="00735952">
        <w:rPr>
          <w:rFonts w:ascii="Arial" w:hAnsi="Arial" w:cs="Arial"/>
          <w:sz w:val="20"/>
          <w:szCs w:val="20"/>
          <w:lang w:eastAsia="sl-SI"/>
        </w:rPr>
        <w:t>prediktivne</w:t>
      </w:r>
      <w:proofErr w:type="spellEnd"/>
      <w:r w:rsidRPr="00735952">
        <w:rPr>
          <w:rFonts w:ascii="Arial" w:hAnsi="Arial" w:cs="Arial"/>
          <w:sz w:val="20"/>
          <w:szCs w:val="20"/>
          <w:lang w:eastAsia="sl-SI"/>
        </w:rPr>
        <w:t xml:space="preserve"> analitike in sprememba </w:t>
      </w:r>
      <w:r>
        <w:rPr>
          <w:rFonts w:ascii="Arial" w:hAnsi="Arial" w:cs="Arial"/>
          <w:sz w:val="20"/>
          <w:szCs w:val="20"/>
          <w:lang w:eastAsia="sl-SI"/>
        </w:rPr>
        <w:t>načina obveščanja</w:t>
      </w:r>
      <w:r w:rsidRPr="00735952">
        <w:rPr>
          <w:rFonts w:ascii="Arial" w:hAnsi="Arial" w:cs="Arial"/>
          <w:sz w:val="20"/>
          <w:szCs w:val="20"/>
          <w:lang w:eastAsia="sl-SI"/>
        </w:rPr>
        <w:t xml:space="preserve"> zavezancev so le nekateri ukrepi, ki omogočajo preusmerjanje kontrolnih postopkov v vsebinsko zahtevnejše nadzore. </w:t>
      </w:r>
    </w:p>
    <w:p w14:paraId="09F6C0BC" w14:textId="77777777" w:rsidR="00A155A2" w:rsidRPr="00735952" w:rsidRDefault="00A155A2" w:rsidP="00A155A2">
      <w:pPr>
        <w:jc w:val="both"/>
        <w:rPr>
          <w:rFonts w:ascii="Arial" w:hAnsi="Arial" w:cs="Arial"/>
          <w:sz w:val="20"/>
          <w:szCs w:val="20"/>
          <w:lang w:eastAsia="sl-SI"/>
        </w:rPr>
      </w:pPr>
      <w:r w:rsidRPr="00735952">
        <w:rPr>
          <w:rFonts w:ascii="Arial" w:hAnsi="Arial" w:cs="Arial"/>
          <w:sz w:val="20"/>
          <w:szCs w:val="20"/>
          <w:lang w:eastAsia="sl-SI"/>
        </w:rPr>
        <w:lastRenderedPageBreak/>
        <w:t xml:space="preserve">Inšpekcijski nadzor je namenjen sistemskemu naknadnemu nadzoru zavezancev. Ta se zagotavlja z letnim načrtom, ki se pripravi z analizo tveganja in objektivnimi </w:t>
      </w:r>
      <w:r>
        <w:rPr>
          <w:rFonts w:ascii="Arial" w:hAnsi="Arial" w:cs="Arial"/>
          <w:sz w:val="20"/>
          <w:szCs w:val="20"/>
          <w:lang w:eastAsia="sl-SI"/>
        </w:rPr>
        <w:t>merili</w:t>
      </w:r>
      <w:r w:rsidRPr="00735952">
        <w:rPr>
          <w:rFonts w:ascii="Arial" w:hAnsi="Arial" w:cs="Arial"/>
          <w:sz w:val="20"/>
          <w:szCs w:val="20"/>
          <w:lang w:eastAsia="sl-SI"/>
        </w:rPr>
        <w:t>, s katerimi se upošteva</w:t>
      </w:r>
      <w:r>
        <w:rPr>
          <w:rFonts w:ascii="Arial" w:hAnsi="Arial" w:cs="Arial"/>
          <w:sz w:val="20"/>
          <w:szCs w:val="20"/>
          <w:lang w:eastAsia="sl-SI"/>
        </w:rPr>
        <w:t>ta</w:t>
      </w:r>
      <w:r w:rsidRPr="00735952">
        <w:rPr>
          <w:rFonts w:ascii="Arial" w:hAnsi="Arial" w:cs="Arial"/>
          <w:sz w:val="20"/>
          <w:szCs w:val="20"/>
          <w:lang w:eastAsia="sl-SI"/>
        </w:rPr>
        <w:t xml:space="preserve"> načelo enakomernega izvajanja inšpekcijskega nadzora vseh zavezancev za davek in načelo pomembnosti davka, ki ga zavezanec za davek prispeva v javnofinančnih prihodkih. Inšpekcijski nadzori postajajo vse bolj ciljno usmerjeni, kar zagotavlja večjo učinkovitost nadzornih postopkov, hkrati pa se s tem </w:t>
      </w:r>
      <w:r w:rsidRPr="0059154C">
        <w:rPr>
          <w:rFonts w:ascii="Arial" w:hAnsi="Arial" w:cs="Arial"/>
          <w:sz w:val="20"/>
          <w:szCs w:val="20"/>
          <w:lang w:eastAsia="sl-SI"/>
        </w:rPr>
        <w:t>skrajšuje</w:t>
      </w:r>
      <w:r w:rsidRPr="00735952">
        <w:rPr>
          <w:rFonts w:ascii="Arial" w:hAnsi="Arial" w:cs="Arial"/>
          <w:sz w:val="20"/>
          <w:szCs w:val="20"/>
          <w:lang w:eastAsia="sl-SI"/>
        </w:rPr>
        <w:t xml:space="preserve"> čas opravljanja posameznega nadzora. </w:t>
      </w:r>
    </w:p>
    <w:p w14:paraId="5A4CABAF" w14:textId="77777777" w:rsidR="00A155A2" w:rsidRPr="00735952" w:rsidRDefault="00A155A2" w:rsidP="00A155A2">
      <w:pPr>
        <w:jc w:val="both"/>
        <w:rPr>
          <w:rFonts w:ascii="Arial" w:hAnsi="Arial" w:cs="Arial"/>
          <w:sz w:val="20"/>
          <w:szCs w:val="20"/>
          <w:lang w:eastAsia="sl-SI"/>
        </w:rPr>
      </w:pPr>
      <w:r w:rsidRPr="00735952">
        <w:rPr>
          <w:rFonts w:ascii="Arial" w:hAnsi="Arial" w:cs="Arial"/>
          <w:sz w:val="20"/>
          <w:szCs w:val="20"/>
          <w:lang w:eastAsia="sl-SI"/>
        </w:rPr>
        <w:t xml:space="preserve">Finančne preiskave zagotavljajo enoten in organiziran </w:t>
      </w:r>
      <w:r>
        <w:rPr>
          <w:rFonts w:ascii="Arial" w:hAnsi="Arial" w:cs="Arial"/>
          <w:sz w:val="20"/>
          <w:szCs w:val="20"/>
          <w:lang w:eastAsia="sl-SI"/>
        </w:rPr>
        <w:t>način</w:t>
      </w:r>
      <w:r w:rsidRPr="00735952">
        <w:rPr>
          <w:rFonts w:ascii="Arial" w:hAnsi="Arial" w:cs="Arial"/>
          <w:sz w:val="20"/>
          <w:szCs w:val="20"/>
          <w:lang w:eastAsia="sl-SI"/>
        </w:rPr>
        <w:t xml:space="preserve"> preprečevanj</w:t>
      </w:r>
      <w:r>
        <w:rPr>
          <w:rFonts w:ascii="Arial" w:hAnsi="Arial" w:cs="Arial"/>
          <w:sz w:val="20"/>
          <w:szCs w:val="20"/>
          <w:lang w:eastAsia="sl-SI"/>
        </w:rPr>
        <w:t>a</w:t>
      </w:r>
      <w:r w:rsidRPr="00735952">
        <w:rPr>
          <w:rFonts w:ascii="Arial" w:hAnsi="Arial" w:cs="Arial"/>
          <w:sz w:val="20"/>
          <w:szCs w:val="20"/>
          <w:lang w:eastAsia="sl-SI"/>
        </w:rPr>
        <w:t>, preiskovanj</w:t>
      </w:r>
      <w:r>
        <w:rPr>
          <w:rFonts w:ascii="Arial" w:hAnsi="Arial" w:cs="Arial"/>
          <w:sz w:val="20"/>
          <w:szCs w:val="20"/>
          <w:lang w:eastAsia="sl-SI"/>
        </w:rPr>
        <w:t>a</w:t>
      </w:r>
      <w:r w:rsidRPr="00735952">
        <w:rPr>
          <w:rFonts w:ascii="Arial" w:hAnsi="Arial" w:cs="Arial"/>
          <w:sz w:val="20"/>
          <w:szCs w:val="20"/>
          <w:lang w:eastAsia="sl-SI"/>
        </w:rPr>
        <w:t xml:space="preserve"> in odkrivanj</w:t>
      </w:r>
      <w:r>
        <w:rPr>
          <w:rFonts w:ascii="Arial" w:hAnsi="Arial" w:cs="Arial"/>
          <w:sz w:val="20"/>
          <w:szCs w:val="20"/>
          <w:lang w:eastAsia="sl-SI"/>
        </w:rPr>
        <w:t>a</w:t>
      </w:r>
      <w:r w:rsidRPr="00735952">
        <w:rPr>
          <w:rFonts w:ascii="Arial" w:hAnsi="Arial" w:cs="Arial"/>
          <w:sz w:val="20"/>
          <w:szCs w:val="20"/>
          <w:lang w:eastAsia="sl-SI"/>
        </w:rPr>
        <w:t xml:space="preserve"> zahtevnejših oblik delovanja, ki ogroža finančni interes, varstvo in varnost države. </w:t>
      </w:r>
      <w:r>
        <w:rPr>
          <w:rFonts w:ascii="Arial" w:hAnsi="Arial" w:cs="Arial"/>
          <w:sz w:val="20"/>
          <w:szCs w:val="20"/>
          <w:lang w:eastAsia="sl-SI"/>
        </w:rPr>
        <w:t>Pozornost je namenjena</w:t>
      </w:r>
      <w:r w:rsidRPr="00735952">
        <w:rPr>
          <w:rFonts w:ascii="Arial" w:hAnsi="Arial" w:cs="Arial"/>
          <w:sz w:val="20"/>
          <w:szCs w:val="20"/>
          <w:lang w:eastAsia="sl-SI"/>
        </w:rPr>
        <w:t xml:space="preserve"> predvsem primer</w:t>
      </w:r>
      <w:r>
        <w:rPr>
          <w:rFonts w:ascii="Arial" w:hAnsi="Arial" w:cs="Arial"/>
          <w:sz w:val="20"/>
          <w:szCs w:val="20"/>
          <w:lang w:eastAsia="sl-SI"/>
        </w:rPr>
        <w:t>om</w:t>
      </w:r>
      <w:r w:rsidRPr="00735952">
        <w:rPr>
          <w:rFonts w:ascii="Arial" w:hAnsi="Arial" w:cs="Arial"/>
          <w:sz w:val="20"/>
          <w:szCs w:val="20"/>
          <w:lang w:eastAsia="sl-SI"/>
        </w:rPr>
        <w:t xml:space="preserve">, v katerih je zaznano usklajeno delovanje več povezanih subjektov, ki je načrtno usmerjeno v izogibanje </w:t>
      </w:r>
      <w:r>
        <w:rPr>
          <w:rFonts w:ascii="Arial" w:hAnsi="Arial" w:cs="Arial"/>
          <w:sz w:val="20"/>
          <w:szCs w:val="20"/>
          <w:lang w:eastAsia="sl-SI"/>
        </w:rPr>
        <w:t>ali</w:t>
      </w:r>
      <w:r w:rsidRPr="00735952">
        <w:rPr>
          <w:rFonts w:ascii="Arial" w:hAnsi="Arial" w:cs="Arial"/>
          <w:sz w:val="20"/>
          <w:szCs w:val="20"/>
          <w:lang w:eastAsia="sl-SI"/>
        </w:rPr>
        <w:t xml:space="preserve"> utajevanje plačevanja dajatev. Hkrati </w:t>
      </w:r>
      <w:r>
        <w:rPr>
          <w:rFonts w:ascii="Arial" w:hAnsi="Arial" w:cs="Arial"/>
          <w:sz w:val="20"/>
          <w:szCs w:val="20"/>
          <w:lang w:eastAsia="sl-SI"/>
        </w:rPr>
        <w:t>s</w:t>
      </w:r>
      <w:r w:rsidRPr="00735952">
        <w:rPr>
          <w:rFonts w:ascii="Arial" w:hAnsi="Arial" w:cs="Arial"/>
          <w:sz w:val="20"/>
          <w:szCs w:val="20"/>
          <w:lang w:eastAsia="sl-SI"/>
        </w:rPr>
        <w:t xml:space="preserve">o del </w:t>
      </w:r>
      <w:r>
        <w:rPr>
          <w:rFonts w:ascii="Arial" w:hAnsi="Arial" w:cs="Arial"/>
          <w:sz w:val="20"/>
          <w:szCs w:val="20"/>
          <w:lang w:eastAsia="sl-SI"/>
        </w:rPr>
        <w:t>usklajenega</w:t>
      </w:r>
      <w:r w:rsidRPr="00735952">
        <w:rPr>
          <w:rFonts w:ascii="Arial" w:hAnsi="Arial" w:cs="Arial"/>
          <w:sz w:val="20"/>
          <w:szCs w:val="20"/>
          <w:lang w:eastAsia="sl-SI"/>
        </w:rPr>
        <w:t xml:space="preserve"> institucionalnega odzivanja na zahtevne oblike finančnega in gospodarskega kriminala </w:t>
      </w:r>
      <w:r>
        <w:rPr>
          <w:rFonts w:ascii="Arial" w:hAnsi="Arial" w:cs="Arial"/>
          <w:sz w:val="20"/>
          <w:szCs w:val="20"/>
          <w:lang w:eastAsia="sl-SI"/>
        </w:rPr>
        <w:t>v</w:t>
      </w:r>
      <w:r w:rsidRPr="00735952">
        <w:rPr>
          <w:rFonts w:ascii="Arial" w:hAnsi="Arial" w:cs="Arial"/>
          <w:sz w:val="20"/>
          <w:szCs w:val="20"/>
          <w:lang w:eastAsia="sl-SI"/>
        </w:rPr>
        <w:t xml:space="preserve"> držav</w:t>
      </w:r>
      <w:r>
        <w:rPr>
          <w:rFonts w:ascii="Arial" w:hAnsi="Arial" w:cs="Arial"/>
          <w:sz w:val="20"/>
          <w:szCs w:val="20"/>
          <w:lang w:eastAsia="sl-SI"/>
        </w:rPr>
        <w:t>i</w:t>
      </w:r>
      <w:r w:rsidRPr="00735952">
        <w:rPr>
          <w:rFonts w:ascii="Arial" w:hAnsi="Arial" w:cs="Arial"/>
          <w:sz w:val="20"/>
          <w:szCs w:val="20"/>
          <w:lang w:eastAsia="sl-SI"/>
        </w:rPr>
        <w:t xml:space="preserve"> </w:t>
      </w:r>
      <w:r>
        <w:rPr>
          <w:rFonts w:ascii="Arial" w:hAnsi="Arial" w:cs="Arial"/>
          <w:sz w:val="20"/>
          <w:szCs w:val="20"/>
          <w:lang w:eastAsia="sl-SI"/>
        </w:rPr>
        <w:t>in</w:t>
      </w:r>
      <w:r w:rsidRPr="00735952">
        <w:rPr>
          <w:rFonts w:ascii="Arial" w:hAnsi="Arial" w:cs="Arial"/>
          <w:sz w:val="20"/>
          <w:szCs w:val="20"/>
          <w:lang w:eastAsia="sl-SI"/>
        </w:rPr>
        <w:t xml:space="preserve"> tudi na mednarodni ravni. Učinki finančnih preiskav so v nadaljevanju </w:t>
      </w:r>
      <w:r>
        <w:rPr>
          <w:rFonts w:ascii="Arial" w:hAnsi="Arial" w:cs="Arial"/>
          <w:sz w:val="20"/>
          <w:szCs w:val="20"/>
          <w:lang w:eastAsia="sl-SI"/>
        </w:rPr>
        <w:t>prikazani</w:t>
      </w:r>
      <w:r w:rsidRPr="00735952">
        <w:rPr>
          <w:rFonts w:ascii="Arial" w:hAnsi="Arial" w:cs="Arial"/>
          <w:sz w:val="20"/>
          <w:szCs w:val="20"/>
          <w:lang w:eastAsia="sl-SI"/>
        </w:rPr>
        <w:t xml:space="preserve"> v okviru inšpekcijskih nadzorov. </w:t>
      </w:r>
    </w:p>
    <w:p w14:paraId="4A634C0A" w14:textId="77777777" w:rsidR="00A155A2" w:rsidRPr="00735952" w:rsidRDefault="00A155A2" w:rsidP="00A155A2">
      <w:pPr>
        <w:jc w:val="both"/>
        <w:rPr>
          <w:rFonts w:ascii="Arial" w:hAnsi="Arial" w:cs="Arial"/>
          <w:sz w:val="20"/>
          <w:szCs w:val="20"/>
          <w:lang w:eastAsia="sl-SI"/>
        </w:rPr>
      </w:pPr>
      <w:r>
        <w:rPr>
          <w:rFonts w:ascii="Arial" w:hAnsi="Arial" w:cs="Arial"/>
          <w:sz w:val="20"/>
          <w:szCs w:val="20"/>
          <w:lang w:eastAsia="sl-SI"/>
        </w:rPr>
        <w:t>L</w:t>
      </w:r>
      <w:r w:rsidRPr="00735952">
        <w:rPr>
          <w:rFonts w:ascii="Arial" w:hAnsi="Arial" w:cs="Arial"/>
          <w:sz w:val="20"/>
          <w:szCs w:val="20"/>
          <w:lang w:eastAsia="sl-SI"/>
        </w:rPr>
        <w:t>et</w:t>
      </w:r>
      <w:r>
        <w:rPr>
          <w:rFonts w:ascii="Arial" w:hAnsi="Arial" w:cs="Arial"/>
          <w:sz w:val="20"/>
          <w:szCs w:val="20"/>
          <w:lang w:eastAsia="sl-SI"/>
        </w:rPr>
        <w:t>a</w:t>
      </w:r>
      <w:r w:rsidRPr="00735952">
        <w:rPr>
          <w:rFonts w:ascii="Arial" w:hAnsi="Arial" w:cs="Arial"/>
          <w:sz w:val="20"/>
          <w:szCs w:val="20"/>
          <w:lang w:eastAsia="sl-SI"/>
        </w:rPr>
        <w:t xml:space="preserve"> 2024 so se v kontroli, inšpekciji, preiskavah in mobilnih oddelkih izvajali ciljno usmerjeni nadzori na področjih obdavčitve </w:t>
      </w:r>
      <w:r>
        <w:rPr>
          <w:rFonts w:ascii="Arial" w:hAnsi="Arial" w:cs="Arial"/>
          <w:sz w:val="20"/>
          <w:szCs w:val="20"/>
          <w:lang w:eastAsia="sl-SI"/>
        </w:rPr>
        <w:t>DDPO</w:t>
      </w:r>
      <w:r w:rsidRPr="00735952">
        <w:rPr>
          <w:rFonts w:ascii="Arial" w:hAnsi="Arial" w:cs="Arial"/>
          <w:sz w:val="20"/>
          <w:szCs w:val="20"/>
          <w:lang w:eastAsia="sl-SI"/>
        </w:rPr>
        <w:t xml:space="preserve"> in </w:t>
      </w:r>
      <w:proofErr w:type="spellStart"/>
      <w:r>
        <w:rPr>
          <w:rFonts w:ascii="Arial" w:hAnsi="Arial" w:cs="Arial"/>
          <w:sz w:val="20"/>
          <w:szCs w:val="20"/>
          <w:lang w:eastAsia="sl-SI"/>
        </w:rPr>
        <w:t>DohDej</w:t>
      </w:r>
      <w:proofErr w:type="spellEnd"/>
      <w:r w:rsidRPr="00735952">
        <w:rPr>
          <w:rFonts w:ascii="Arial" w:hAnsi="Arial" w:cs="Arial"/>
          <w:sz w:val="20"/>
          <w:szCs w:val="20"/>
          <w:lang w:eastAsia="sl-SI"/>
        </w:rPr>
        <w:t xml:space="preserve">, na področju pravilnosti in pravočasnosti obračunavanja DDV, sistemskih utaj DDV in DDV v mednarodnem cestnem prevozu potnikov, nadzori na področju davkov in prispevkov od dohodkov fizičnih oseb, elektronskega poslovanja, na področju carin, trošarin, </w:t>
      </w:r>
      <w:proofErr w:type="spellStart"/>
      <w:r w:rsidRPr="00735952">
        <w:rPr>
          <w:rFonts w:ascii="Arial" w:hAnsi="Arial" w:cs="Arial"/>
          <w:sz w:val="20"/>
          <w:szCs w:val="20"/>
          <w:lang w:eastAsia="sl-SI"/>
        </w:rPr>
        <w:t>okoljskih</w:t>
      </w:r>
      <w:proofErr w:type="spellEnd"/>
      <w:r w:rsidRPr="00735952">
        <w:rPr>
          <w:rFonts w:ascii="Arial" w:hAnsi="Arial" w:cs="Arial"/>
          <w:sz w:val="20"/>
          <w:szCs w:val="20"/>
          <w:lang w:eastAsia="sl-SI"/>
        </w:rPr>
        <w:t xml:space="preserve"> dajatev, poslovanja z davčnimi oazami, davka od nenapovedanih dohodkov, dohodkov iz kapitala ter transfernih cen. FURS je tudi v letu 2024 namenil posebno pozornost nadzoru nad delodajalci, ki prispevkov za socialno varnost za svoj</w:t>
      </w:r>
      <w:r>
        <w:rPr>
          <w:rFonts w:ascii="Arial" w:hAnsi="Arial" w:cs="Arial"/>
          <w:sz w:val="20"/>
          <w:szCs w:val="20"/>
          <w:lang w:eastAsia="sl-SI"/>
        </w:rPr>
        <w:t>e</w:t>
      </w:r>
      <w:r w:rsidRPr="00735952">
        <w:rPr>
          <w:rFonts w:ascii="Arial" w:hAnsi="Arial" w:cs="Arial"/>
          <w:sz w:val="20"/>
          <w:szCs w:val="20"/>
          <w:lang w:eastAsia="sl-SI"/>
        </w:rPr>
        <w:t xml:space="preserve"> zaposlene ne obračunavajo</w:t>
      </w:r>
      <w:r>
        <w:rPr>
          <w:rFonts w:ascii="Arial" w:hAnsi="Arial" w:cs="Arial"/>
          <w:sz w:val="20"/>
          <w:szCs w:val="20"/>
          <w:lang w:eastAsia="sl-SI"/>
        </w:rPr>
        <w:t>,</w:t>
      </w:r>
      <w:r w:rsidRPr="00735952">
        <w:rPr>
          <w:rFonts w:ascii="Arial" w:hAnsi="Arial" w:cs="Arial"/>
          <w:sz w:val="20"/>
          <w:szCs w:val="20"/>
          <w:lang w:eastAsia="sl-SI"/>
        </w:rPr>
        <w:t xml:space="preserve"> in boju zoper sivo ekonomijo, </w:t>
      </w:r>
      <w:r>
        <w:rPr>
          <w:rFonts w:ascii="Arial" w:hAnsi="Arial" w:cs="Arial"/>
          <w:sz w:val="20"/>
          <w:szCs w:val="20"/>
          <w:lang w:eastAsia="sl-SI"/>
        </w:rPr>
        <w:t>pri katerem sta bila v ospredju predvsem</w:t>
      </w:r>
      <w:r w:rsidRPr="00735952">
        <w:rPr>
          <w:rFonts w:ascii="Arial" w:hAnsi="Arial" w:cs="Arial"/>
          <w:sz w:val="20"/>
          <w:szCs w:val="20"/>
          <w:lang w:eastAsia="sl-SI"/>
        </w:rPr>
        <w:t xml:space="preserve"> nadzor</w:t>
      </w:r>
      <w:r>
        <w:rPr>
          <w:rFonts w:ascii="Arial" w:hAnsi="Arial" w:cs="Arial"/>
          <w:sz w:val="20"/>
          <w:szCs w:val="20"/>
          <w:lang w:eastAsia="sl-SI"/>
        </w:rPr>
        <w:t xml:space="preserve"> nad</w:t>
      </w:r>
      <w:r w:rsidRPr="00735952">
        <w:rPr>
          <w:rFonts w:ascii="Arial" w:hAnsi="Arial" w:cs="Arial"/>
          <w:sz w:val="20"/>
          <w:szCs w:val="20"/>
          <w:lang w:eastAsia="sl-SI"/>
        </w:rPr>
        <w:t xml:space="preserve"> del</w:t>
      </w:r>
      <w:r>
        <w:rPr>
          <w:rFonts w:ascii="Arial" w:hAnsi="Arial" w:cs="Arial"/>
          <w:sz w:val="20"/>
          <w:szCs w:val="20"/>
          <w:lang w:eastAsia="sl-SI"/>
        </w:rPr>
        <w:t>om</w:t>
      </w:r>
      <w:r w:rsidRPr="00735952">
        <w:rPr>
          <w:rFonts w:ascii="Arial" w:hAnsi="Arial" w:cs="Arial"/>
          <w:sz w:val="20"/>
          <w:szCs w:val="20"/>
          <w:lang w:eastAsia="sl-SI"/>
        </w:rPr>
        <w:t xml:space="preserve"> in zaposlovanj</w:t>
      </w:r>
      <w:r>
        <w:rPr>
          <w:rFonts w:ascii="Arial" w:hAnsi="Arial" w:cs="Arial"/>
          <w:sz w:val="20"/>
          <w:szCs w:val="20"/>
          <w:lang w:eastAsia="sl-SI"/>
        </w:rPr>
        <w:t>em</w:t>
      </w:r>
      <w:r w:rsidRPr="00735952">
        <w:rPr>
          <w:rFonts w:ascii="Arial" w:hAnsi="Arial" w:cs="Arial"/>
          <w:sz w:val="20"/>
          <w:szCs w:val="20"/>
          <w:lang w:eastAsia="sl-SI"/>
        </w:rPr>
        <w:t xml:space="preserve"> na črno ter nadzor</w:t>
      </w:r>
      <w:r>
        <w:rPr>
          <w:rFonts w:ascii="Arial" w:hAnsi="Arial" w:cs="Arial"/>
          <w:sz w:val="20"/>
          <w:szCs w:val="20"/>
          <w:lang w:eastAsia="sl-SI"/>
        </w:rPr>
        <w:t xml:space="preserve"> nad</w:t>
      </w:r>
      <w:r w:rsidRPr="00735952">
        <w:rPr>
          <w:rFonts w:ascii="Arial" w:hAnsi="Arial" w:cs="Arial"/>
          <w:sz w:val="20"/>
          <w:szCs w:val="20"/>
          <w:lang w:eastAsia="sl-SI"/>
        </w:rPr>
        <w:t xml:space="preserve"> davčni</w:t>
      </w:r>
      <w:r>
        <w:rPr>
          <w:rFonts w:ascii="Arial" w:hAnsi="Arial" w:cs="Arial"/>
          <w:sz w:val="20"/>
          <w:szCs w:val="20"/>
          <w:lang w:eastAsia="sl-SI"/>
        </w:rPr>
        <w:t>mi</w:t>
      </w:r>
      <w:r w:rsidRPr="00735952">
        <w:rPr>
          <w:rFonts w:ascii="Arial" w:hAnsi="Arial" w:cs="Arial"/>
          <w:sz w:val="20"/>
          <w:szCs w:val="20"/>
          <w:lang w:eastAsia="sl-SI"/>
        </w:rPr>
        <w:t xml:space="preserve"> blagajn</w:t>
      </w:r>
      <w:r>
        <w:rPr>
          <w:rFonts w:ascii="Arial" w:hAnsi="Arial" w:cs="Arial"/>
          <w:sz w:val="20"/>
          <w:szCs w:val="20"/>
          <w:lang w:eastAsia="sl-SI"/>
        </w:rPr>
        <w:t>ami</w:t>
      </w:r>
      <w:r w:rsidRPr="00735952">
        <w:rPr>
          <w:rFonts w:ascii="Arial" w:hAnsi="Arial" w:cs="Arial"/>
          <w:sz w:val="20"/>
          <w:szCs w:val="20"/>
          <w:lang w:eastAsia="sl-SI"/>
        </w:rPr>
        <w:t>.</w:t>
      </w:r>
    </w:p>
    <w:p w14:paraId="5E68F1F3" w14:textId="77777777" w:rsidR="00A155A2" w:rsidRDefault="00A155A2" w:rsidP="00A155A2">
      <w:pPr>
        <w:jc w:val="both"/>
        <w:rPr>
          <w:rFonts w:ascii="Arial" w:hAnsi="Arial" w:cs="Arial"/>
          <w:i/>
          <w:color w:val="000000"/>
          <w:sz w:val="20"/>
          <w:szCs w:val="20"/>
        </w:rPr>
      </w:pPr>
      <w:r w:rsidRPr="00ED4F40">
        <w:rPr>
          <w:rFonts w:ascii="Arial" w:hAnsi="Arial" w:cs="Arial"/>
          <w:i/>
          <w:color w:val="000000"/>
          <w:sz w:val="20"/>
          <w:szCs w:val="20"/>
        </w:rPr>
        <w:t>Preglednica 2</w:t>
      </w:r>
      <w:r>
        <w:rPr>
          <w:rFonts w:ascii="Arial" w:hAnsi="Arial" w:cs="Arial"/>
          <w:i/>
          <w:color w:val="000000"/>
          <w:sz w:val="20"/>
          <w:szCs w:val="20"/>
        </w:rPr>
        <w:t>6</w:t>
      </w:r>
      <w:r w:rsidRPr="00ED4F40">
        <w:rPr>
          <w:rFonts w:ascii="Arial" w:hAnsi="Arial" w:cs="Arial"/>
          <w:i/>
          <w:color w:val="000000"/>
          <w:sz w:val="20"/>
          <w:szCs w:val="20"/>
        </w:rPr>
        <w:t xml:space="preserve">: Učinki davčnega </w:t>
      </w:r>
      <w:r w:rsidRPr="0059154C">
        <w:rPr>
          <w:rFonts w:ascii="Arial" w:hAnsi="Arial" w:cs="Arial"/>
          <w:i/>
          <w:color w:val="000000"/>
          <w:sz w:val="20"/>
          <w:szCs w:val="20"/>
        </w:rPr>
        <w:t xml:space="preserve">nadzora </w:t>
      </w:r>
      <w:r>
        <w:rPr>
          <w:rFonts w:ascii="Arial" w:hAnsi="Arial" w:cs="Arial"/>
          <w:i/>
          <w:color w:val="000000"/>
          <w:sz w:val="20"/>
          <w:szCs w:val="20"/>
        </w:rPr>
        <w:t>(</w:t>
      </w:r>
      <w:r w:rsidRPr="0059154C">
        <w:rPr>
          <w:rFonts w:ascii="Arial" w:hAnsi="Arial" w:cs="Arial"/>
          <w:i/>
          <w:color w:val="000000"/>
          <w:sz w:val="20"/>
          <w:szCs w:val="20"/>
        </w:rPr>
        <w:t>v EUR</w:t>
      </w:r>
      <w:r>
        <w:rPr>
          <w:rFonts w:ascii="Arial" w:hAnsi="Arial" w:cs="Arial"/>
          <w:i/>
          <w:color w:val="000000"/>
          <w:sz w:val="20"/>
          <w:szCs w:val="20"/>
        </w:rPr>
        <w:t>)</w:t>
      </w:r>
    </w:p>
    <w:tbl>
      <w:tblPr>
        <w:tblW w:w="9026" w:type="dxa"/>
        <w:tblLayout w:type="fixed"/>
        <w:tblCellMar>
          <w:left w:w="70" w:type="dxa"/>
          <w:right w:w="70" w:type="dxa"/>
        </w:tblCellMar>
        <w:tblLook w:val="04A0" w:firstRow="1" w:lastRow="0" w:firstColumn="1" w:lastColumn="0" w:noHBand="0" w:noVBand="1"/>
      </w:tblPr>
      <w:tblGrid>
        <w:gridCol w:w="1970"/>
        <w:gridCol w:w="1176"/>
        <w:gridCol w:w="1176"/>
        <w:gridCol w:w="1176"/>
        <w:gridCol w:w="1176"/>
        <w:gridCol w:w="1176"/>
        <w:gridCol w:w="1176"/>
      </w:tblGrid>
      <w:tr w:rsidR="00A155A2" w:rsidRPr="009F766F" w14:paraId="36BBF0CD" w14:textId="77777777" w:rsidTr="001C77D2">
        <w:trPr>
          <w:trHeight w:val="584"/>
        </w:trPr>
        <w:tc>
          <w:tcPr>
            <w:tcW w:w="1970" w:type="dxa"/>
            <w:tcBorders>
              <w:top w:val="single" w:sz="4" w:space="0" w:color="auto"/>
              <w:left w:val="single" w:sz="4" w:space="0" w:color="auto"/>
              <w:bottom w:val="single" w:sz="4" w:space="0" w:color="auto"/>
              <w:right w:val="single" w:sz="4" w:space="0" w:color="auto"/>
            </w:tcBorders>
            <w:shd w:val="clear" w:color="auto" w:fill="31869B"/>
            <w:vAlign w:val="center"/>
            <w:hideMark/>
          </w:tcPr>
          <w:p w14:paraId="7B16DAB4" w14:textId="77777777" w:rsidR="00A155A2" w:rsidRPr="009F766F" w:rsidRDefault="00A155A2" w:rsidP="001C77D2">
            <w:pPr>
              <w:spacing w:after="0" w:line="240" w:lineRule="auto"/>
              <w:jc w:val="both"/>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 xml:space="preserve">Učinki nadzora – dodatno odmerjene </w:t>
            </w:r>
            <w:r w:rsidRPr="0059154C">
              <w:rPr>
                <w:rFonts w:ascii="Arial" w:eastAsia="Times New Roman" w:hAnsi="Arial" w:cs="Arial"/>
                <w:b/>
                <w:bCs/>
                <w:color w:val="FFFFFF"/>
                <w:sz w:val="18"/>
                <w:szCs w:val="18"/>
                <w:lang w:eastAsia="sl-SI"/>
              </w:rPr>
              <w:t xml:space="preserve">obveznosti </w:t>
            </w:r>
            <w:r>
              <w:rPr>
                <w:rFonts w:ascii="Arial" w:eastAsia="Times New Roman" w:hAnsi="Arial" w:cs="Arial"/>
                <w:b/>
                <w:bCs/>
                <w:color w:val="FFFFFF"/>
                <w:sz w:val="18"/>
                <w:szCs w:val="18"/>
                <w:lang w:eastAsia="sl-SI"/>
              </w:rPr>
              <w:t>(</w:t>
            </w:r>
            <w:r w:rsidRPr="0059154C">
              <w:rPr>
                <w:rFonts w:ascii="Arial" w:eastAsia="Times New Roman" w:hAnsi="Arial" w:cs="Arial"/>
                <w:b/>
                <w:bCs/>
                <w:color w:val="FFFFFF"/>
                <w:sz w:val="18"/>
                <w:szCs w:val="18"/>
                <w:lang w:eastAsia="sl-SI"/>
              </w:rPr>
              <w:t>v EUR</w:t>
            </w:r>
            <w:r>
              <w:rPr>
                <w:rFonts w:ascii="Arial" w:eastAsia="Times New Roman" w:hAnsi="Arial" w:cs="Arial"/>
                <w:b/>
                <w:bCs/>
                <w:color w:val="FFFFFF"/>
                <w:sz w:val="18"/>
                <w:szCs w:val="18"/>
                <w:lang w:eastAsia="sl-SI"/>
              </w:rPr>
              <w:t>)</w:t>
            </w:r>
          </w:p>
        </w:tc>
        <w:tc>
          <w:tcPr>
            <w:tcW w:w="1176" w:type="dxa"/>
            <w:tcBorders>
              <w:top w:val="single" w:sz="4" w:space="0" w:color="auto"/>
              <w:left w:val="nil"/>
              <w:bottom w:val="single" w:sz="4" w:space="0" w:color="auto"/>
              <w:right w:val="single" w:sz="4" w:space="0" w:color="auto"/>
            </w:tcBorders>
            <w:shd w:val="clear" w:color="auto" w:fill="31869B"/>
            <w:vAlign w:val="center"/>
          </w:tcPr>
          <w:p w14:paraId="36D12D04" w14:textId="77777777" w:rsidR="00A155A2" w:rsidRPr="009F766F" w:rsidDel="009F52BB"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2019</w:t>
            </w:r>
          </w:p>
        </w:tc>
        <w:tc>
          <w:tcPr>
            <w:tcW w:w="1176" w:type="dxa"/>
            <w:tcBorders>
              <w:top w:val="single" w:sz="4" w:space="0" w:color="auto"/>
              <w:left w:val="nil"/>
              <w:bottom w:val="single" w:sz="4" w:space="0" w:color="auto"/>
              <w:right w:val="single" w:sz="4" w:space="0" w:color="auto"/>
            </w:tcBorders>
            <w:shd w:val="clear" w:color="auto" w:fill="31869B"/>
          </w:tcPr>
          <w:p w14:paraId="11B8D596"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p>
          <w:p w14:paraId="7AE69AE1" w14:textId="77777777" w:rsidR="00A155A2" w:rsidRPr="009F766F" w:rsidDel="009F52BB"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2020</w:t>
            </w:r>
          </w:p>
        </w:tc>
        <w:tc>
          <w:tcPr>
            <w:tcW w:w="1176" w:type="dxa"/>
            <w:tcBorders>
              <w:top w:val="single" w:sz="4" w:space="0" w:color="auto"/>
              <w:left w:val="nil"/>
              <w:bottom w:val="single" w:sz="4" w:space="0" w:color="auto"/>
              <w:right w:val="single" w:sz="4" w:space="0" w:color="auto"/>
            </w:tcBorders>
            <w:shd w:val="clear" w:color="auto" w:fill="31869B"/>
          </w:tcPr>
          <w:p w14:paraId="7BD09D33"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p>
          <w:p w14:paraId="0D2BAA49" w14:textId="77777777" w:rsidR="00A155A2" w:rsidRPr="009F766F" w:rsidDel="009F52BB"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2021</w:t>
            </w:r>
          </w:p>
        </w:tc>
        <w:tc>
          <w:tcPr>
            <w:tcW w:w="1176" w:type="dxa"/>
            <w:tcBorders>
              <w:top w:val="single" w:sz="4" w:space="0" w:color="auto"/>
              <w:left w:val="nil"/>
              <w:bottom w:val="single" w:sz="4" w:space="0" w:color="auto"/>
              <w:right w:val="single" w:sz="4" w:space="0" w:color="auto"/>
            </w:tcBorders>
            <w:shd w:val="clear" w:color="auto" w:fill="31869B"/>
            <w:vAlign w:val="center"/>
          </w:tcPr>
          <w:p w14:paraId="5F3076A1"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2022</w:t>
            </w:r>
          </w:p>
        </w:tc>
        <w:tc>
          <w:tcPr>
            <w:tcW w:w="1176" w:type="dxa"/>
            <w:tcBorders>
              <w:top w:val="single" w:sz="4" w:space="0" w:color="auto"/>
              <w:left w:val="nil"/>
              <w:bottom w:val="single" w:sz="4" w:space="0" w:color="auto"/>
              <w:right w:val="single" w:sz="4" w:space="0" w:color="auto"/>
            </w:tcBorders>
            <w:shd w:val="clear" w:color="auto" w:fill="31869B"/>
            <w:vAlign w:val="center"/>
          </w:tcPr>
          <w:p w14:paraId="6143DC99"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2023</w:t>
            </w:r>
          </w:p>
        </w:tc>
        <w:tc>
          <w:tcPr>
            <w:tcW w:w="1176" w:type="dxa"/>
            <w:tcBorders>
              <w:top w:val="single" w:sz="4" w:space="0" w:color="auto"/>
              <w:left w:val="nil"/>
              <w:bottom w:val="single" w:sz="4" w:space="0" w:color="auto"/>
              <w:right w:val="single" w:sz="4" w:space="0" w:color="auto"/>
            </w:tcBorders>
            <w:shd w:val="clear" w:color="auto" w:fill="31869B"/>
          </w:tcPr>
          <w:p w14:paraId="0372B8D2"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p>
          <w:p w14:paraId="6328FE98" w14:textId="77777777" w:rsidR="00A155A2" w:rsidRPr="009F766F" w:rsidRDefault="00A155A2" w:rsidP="001C77D2">
            <w:pPr>
              <w:spacing w:after="0" w:line="240" w:lineRule="auto"/>
              <w:jc w:val="center"/>
              <w:rPr>
                <w:rFonts w:ascii="Arial" w:eastAsia="Times New Roman" w:hAnsi="Arial" w:cs="Arial"/>
                <w:b/>
                <w:bCs/>
                <w:color w:val="FFFFFF"/>
                <w:sz w:val="18"/>
                <w:szCs w:val="18"/>
                <w:lang w:eastAsia="sl-SI"/>
              </w:rPr>
            </w:pPr>
            <w:r w:rsidRPr="009F766F">
              <w:rPr>
                <w:rFonts w:ascii="Arial" w:eastAsia="Times New Roman" w:hAnsi="Arial" w:cs="Arial"/>
                <w:b/>
                <w:bCs/>
                <w:color w:val="FFFFFF"/>
                <w:sz w:val="18"/>
                <w:szCs w:val="18"/>
                <w:lang w:eastAsia="sl-SI"/>
              </w:rPr>
              <w:t>2024</w:t>
            </w:r>
          </w:p>
        </w:tc>
      </w:tr>
      <w:tr w:rsidR="00A155A2" w:rsidRPr="009F766F" w14:paraId="698F6E93" w14:textId="77777777" w:rsidTr="001C77D2">
        <w:trPr>
          <w:trHeight w:val="376"/>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6311AB4F" w14:textId="77777777" w:rsidR="00A155A2" w:rsidRPr="0059154C" w:rsidRDefault="00A155A2" w:rsidP="001C77D2">
            <w:pPr>
              <w:spacing w:after="0" w:line="240" w:lineRule="auto"/>
              <w:jc w:val="both"/>
              <w:rPr>
                <w:rFonts w:ascii="Arial" w:eastAsia="Times New Roman" w:hAnsi="Arial" w:cs="Arial"/>
                <w:color w:val="000000"/>
                <w:sz w:val="18"/>
                <w:szCs w:val="18"/>
                <w:lang w:eastAsia="sl-SI"/>
              </w:rPr>
            </w:pPr>
            <w:r w:rsidRPr="0059154C">
              <w:rPr>
                <w:rFonts w:ascii="Arial" w:eastAsia="Times New Roman" w:hAnsi="Arial" w:cs="Arial"/>
                <w:color w:val="000000"/>
                <w:sz w:val="18"/>
                <w:szCs w:val="18"/>
                <w:lang w:eastAsia="sl-SI"/>
              </w:rPr>
              <w:t xml:space="preserve">Naknadne kontrole </w:t>
            </w:r>
          </w:p>
        </w:tc>
        <w:tc>
          <w:tcPr>
            <w:tcW w:w="1176" w:type="dxa"/>
            <w:tcBorders>
              <w:top w:val="nil"/>
              <w:left w:val="nil"/>
              <w:bottom w:val="single" w:sz="4" w:space="0" w:color="auto"/>
              <w:right w:val="single" w:sz="4" w:space="0" w:color="auto"/>
            </w:tcBorders>
            <w:vAlign w:val="center"/>
          </w:tcPr>
          <w:p w14:paraId="37E5D070"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148.410.461</w:t>
            </w:r>
          </w:p>
        </w:tc>
        <w:tc>
          <w:tcPr>
            <w:tcW w:w="1176" w:type="dxa"/>
            <w:tcBorders>
              <w:top w:val="nil"/>
              <w:left w:val="nil"/>
              <w:bottom w:val="single" w:sz="4" w:space="0" w:color="auto"/>
              <w:right w:val="single" w:sz="4" w:space="0" w:color="auto"/>
            </w:tcBorders>
            <w:vAlign w:val="center"/>
          </w:tcPr>
          <w:p w14:paraId="067A3142"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 xml:space="preserve">132.269.769 </w:t>
            </w:r>
          </w:p>
        </w:tc>
        <w:tc>
          <w:tcPr>
            <w:tcW w:w="1176" w:type="dxa"/>
            <w:tcBorders>
              <w:top w:val="nil"/>
              <w:left w:val="nil"/>
              <w:bottom w:val="single" w:sz="4" w:space="0" w:color="auto"/>
              <w:right w:val="single" w:sz="4" w:space="0" w:color="auto"/>
            </w:tcBorders>
            <w:vAlign w:val="center"/>
          </w:tcPr>
          <w:p w14:paraId="18C058EB"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143.474.209</w:t>
            </w:r>
          </w:p>
        </w:tc>
        <w:tc>
          <w:tcPr>
            <w:tcW w:w="1176" w:type="dxa"/>
            <w:tcBorders>
              <w:top w:val="nil"/>
              <w:left w:val="nil"/>
              <w:bottom w:val="single" w:sz="4" w:space="0" w:color="auto"/>
              <w:right w:val="single" w:sz="4" w:space="0" w:color="auto"/>
            </w:tcBorders>
            <w:shd w:val="clear" w:color="auto" w:fill="auto"/>
            <w:vAlign w:val="center"/>
          </w:tcPr>
          <w:p w14:paraId="261FDBBB"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154.950.106</w:t>
            </w:r>
          </w:p>
        </w:tc>
        <w:tc>
          <w:tcPr>
            <w:tcW w:w="1176" w:type="dxa"/>
            <w:tcBorders>
              <w:top w:val="nil"/>
              <w:left w:val="nil"/>
              <w:bottom w:val="single" w:sz="4" w:space="0" w:color="auto"/>
              <w:right w:val="single" w:sz="4" w:space="0" w:color="auto"/>
            </w:tcBorders>
            <w:vAlign w:val="center"/>
          </w:tcPr>
          <w:p w14:paraId="2F3D5CCB"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148.653.988</w:t>
            </w:r>
          </w:p>
        </w:tc>
        <w:tc>
          <w:tcPr>
            <w:tcW w:w="1176" w:type="dxa"/>
            <w:tcBorders>
              <w:top w:val="nil"/>
              <w:left w:val="nil"/>
              <w:bottom w:val="single" w:sz="4" w:space="0" w:color="auto"/>
              <w:right w:val="single" w:sz="4" w:space="0" w:color="auto"/>
            </w:tcBorders>
            <w:vAlign w:val="center"/>
          </w:tcPr>
          <w:p w14:paraId="601D92A3"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135.547.176</w:t>
            </w:r>
          </w:p>
        </w:tc>
      </w:tr>
      <w:tr w:rsidR="00A155A2" w:rsidRPr="009F766F" w14:paraId="29A9E950" w14:textId="77777777" w:rsidTr="001C77D2">
        <w:trPr>
          <w:trHeight w:val="399"/>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E4CE" w14:textId="77777777" w:rsidR="00A155A2" w:rsidRPr="0059154C" w:rsidRDefault="00A155A2" w:rsidP="001C77D2">
            <w:pPr>
              <w:spacing w:after="0" w:line="240" w:lineRule="auto"/>
              <w:jc w:val="both"/>
              <w:rPr>
                <w:rFonts w:ascii="Arial" w:eastAsia="Times New Roman" w:hAnsi="Arial" w:cs="Arial"/>
                <w:color w:val="000000"/>
                <w:sz w:val="18"/>
                <w:szCs w:val="18"/>
                <w:lang w:eastAsia="sl-SI"/>
              </w:rPr>
            </w:pPr>
            <w:r w:rsidRPr="0059154C">
              <w:rPr>
                <w:rFonts w:ascii="Arial" w:eastAsia="Times New Roman" w:hAnsi="Arial" w:cs="Arial"/>
                <w:color w:val="000000"/>
                <w:sz w:val="18"/>
                <w:szCs w:val="18"/>
                <w:lang w:eastAsia="sl-SI"/>
              </w:rPr>
              <w:t>Inšpekcijski nadzori</w:t>
            </w:r>
          </w:p>
        </w:tc>
        <w:tc>
          <w:tcPr>
            <w:tcW w:w="1176" w:type="dxa"/>
            <w:tcBorders>
              <w:top w:val="single" w:sz="4" w:space="0" w:color="auto"/>
              <w:left w:val="single" w:sz="4" w:space="0" w:color="auto"/>
              <w:bottom w:val="single" w:sz="4" w:space="0" w:color="auto"/>
              <w:right w:val="single" w:sz="4" w:space="0" w:color="auto"/>
            </w:tcBorders>
            <w:vAlign w:val="center"/>
          </w:tcPr>
          <w:p w14:paraId="7E037FC9"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168.122.346</w:t>
            </w:r>
          </w:p>
        </w:tc>
        <w:tc>
          <w:tcPr>
            <w:tcW w:w="1176" w:type="dxa"/>
            <w:tcBorders>
              <w:top w:val="single" w:sz="4" w:space="0" w:color="auto"/>
              <w:left w:val="single" w:sz="4" w:space="0" w:color="auto"/>
              <w:bottom w:val="single" w:sz="4" w:space="0" w:color="auto"/>
              <w:right w:val="single" w:sz="4" w:space="0" w:color="auto"/>
            </w:tcBorders>
            <w:vAlign w:val="center"/>
          </w:tcPr>
          <w:p w14:paraId="674A30C3"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136.771.174</w:t>
            </w:r>
          </w:p>
        </w:tc>
        <w:tc>
          <w:tcPr>
            <w:tcW w:w="1176" w:type="dxa"/>
            <w:tcBorders>
              <w:top w:val="single" w:sz="4" w:space="0" w:color="auto"/>
              <w:left w:val="single" w:sz="4" w:space="0" w:color="auto"/>
              <w:bottom w:val="single" w:sz="4" w:space="0" w:color="auto"/>
              <w:right w:val="single" w:sz="4" w:space="0" w:color="auto"/>
            </w:tcBorders>
            <w:vAlign w:val="center"/>
          </w:tcPr>
          <w:p w14:paraId="243D94AA" w14:textId="77777777" w:rsidR="00A155A2" w:rsidRPr="009F766F" w:rsidDel="009F52BB"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131.616.905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97CFFD8"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74.528.077</w:t>
            </w:r>
          </w:p>
        </w:tc>
        <w:tc>
          <w:tcPr>
            <w:tcW w:w="1176" w:type="dxa"/>
            <w:tcBorders>
              <w:top w:val="single" w:sz="4" w:space="0" w:color="auto"/>
              <w:left w:val="single" w:sz="4" w:space="0" w:color="auto"/>
              <w:bottom w:val="single" w:sz="4" w:space="0" w:color="auto"/>
              <w:right w:val="single" w:sz="4" w:space="0" w:color="auto"/>
            </w:tcBorders>
            <w:vAlign w:val="center"/>
          </w:tcPr>
          <w:p w14:paraId="7B6FE33F"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105.561.631</w:t>
            </w:r>
          </w:p>
        </w:tc>
        <w:tc>
          <w:tcPr>
            <w:tcW w:w="1176" w:type="dxa"/>
            <w:tcBorders>
              <w:top w:val="single" w:sz="4" w:space="0" w:color="auto"/>
              <w:left w:val="single" w:sz="4" w:space="0" w:color="auto"/>
              <w:bottom w:val="single" w:sz="4" w:space="0" w:color="auto"/>
              <w:right w:val="single" w:sz="4" w:space="0" w:color="auto"/>
            </w:tcBorders>
            <w:vAlign w:val="center"/>
          </w:tcPr>
          <w:p w14:paraId="0E6DE9AA" w14:textId="77777777" w:rsidR="00A155A2" w:rsidRPr="009F766F" w:rsidRDefault="00A155A2" w:rsidP="001C77D2">
            <w:pPr>
              <w:spacing w:after="0" w:line="240" w:lineRule="auto"/>
              <w:jc w:val="center"/>
              <w:rPr>
                <w:rFonts w:ascii="Arial" w:eastAsia="Times New Roman" w:hAnsi="Arial" w:cs="Arial"/>
                <w:color w:val="000000"/>
                <w:sz w:val="18"/>
                <w:szCs w:val="18"/>
                <w:lang w:eastAsia="sl-SI"/>
              </w:rPr>
            </w:pPr>
            <w:r w:rsidRPr="009F766F">
              <w:rPr>
                <w:rFonts w:ascii="Arial" w:eastAsia="Times New Roman" w:hAnsi="Arial" w:cs="Arial"/>
                <w:color w:val="000000"/>
                <w:sz w:val="18"/>
                <w:szCs w:val="18"/>
                <w:lang w:eastAsia="sl-SI"/>
              </w:rPr>
              <w:t>156.074.675</w:t>
            </w:r>
          </w:p>
        </w:tc>
      </w:tr>
    </w:tbl>
    <w:p w14:paraId="766871A2" w14:textId="77777777" w:rsidR="00A155A2" w:rsidRPr="00FC1782" w:rsidRDefault="00A155A2" w:rsidP="00A155A2">
      <w:pPr>
        <w:pStyle w:val="Brezrazmikov"/>
        <w:rPr>
          <w:rFonts w:ascii="Arial" w:hAnsi="Arial" w:cs="Arial"/>
          <w:sz w:val="18"/>
          <w:szCs w:val="18"/>
        </w:rPr>
      </w:pPr>
      <w:r w:rsidRPr="00FC1782">
        <w:rPr>
          <w:rFonts w:ascii="Arial" w:hAnsi="Arial" w:cs="Arial"/>
          <w:sz w:val="18"/>
          <w:szCs w:val="18"/>
          <w:u w:val="single"/>
        </w:rPr>
        <w:t>Opomba</w:t>
      </w:r>
      <w:r w:rsidRPr="00FC1782">
        <w:rPr>
          <w:rFonts w:ascii="Arial" w:hAnsi="Arial" w:cs="Arial"/>
          <w:sz w:val="18"/>
          <w:szCs w:val="18"/>
        </w:rPr>
        <w:t xml:space="preserve">: </w:t>
      </w:r>
      <w:r w:rsidRPr="0059154C">
        <w:rPr>
          <w:rFonts w:ascii="Arial" w:hAnsi="Arial" w:cs="Arial"/>
          <w:sz w:val="18"/>
          <w:szCs w:val="18"/>
        </w:rPr>
        <w:t>V letih 2020, 2021</w:t>
      </w:r>
      <w:r>
        <w:rPr>
          <w:rFonts w:ascii="Arial" w:hAnsi="Arial" w:cs="Arial"/>
          <w:sz w:val="18"/>
          <w:szCs w:val="18"/>
        </w:rPr>
        <w:t xml:space="preserve">, 2022 in 2023 </w:t>
      </w:r>
      <w:r w:rsidRPr="00FC1782">
        <w:rPr>
          <w:rFonts w:ascii="Arial" w:hAnsi="Arial" w:cs="Arial"/>
          <w:sz w:val="18"/>
          <w:szCs w:val="18"/>
        </w:rPr>
        <w:t xml:space="preserve">so med naknadne kontrole vključeni tudi podatki o naknadnih kontrolah s področja carin, trošarin in </w:t>
      </w:r>
      <w:proofErr w:type="spellStart"/>
      <w:r w:rsidRPr="00FC1782">
        <w:rPr>
          <w:rFonts w:ascii="Arial" w:hAnsi="Arial" w:cs="Arial"/>
          <w:sz w:val="18"/>
          <w:szCs w:val="18"/>
        </w:rPr>
        <w:t>okoljskih</w:t>
      </w:r>
      <w:proofErr w:type="spellEnd"/>
      <w:r w:rsidRPr="00FC1782">
        <w:rPr>
          <w:rFonts w:ascii="Arial" w:hAnsi="Arial" w:cs="Arial"/>
          <w:sz w:val="18"/>
          <w:szCs w:val="18"/>
        </w:rPr>
        <w:t xml:space="preserve"> dajatev </w:t>
      </w:r>
    </w:p>
    <w:p w14:paraId="1FDC504F" w14:textId="77777777" w:rsidR="00A155A2" w:rsidRDefault="00A155A2" w:rsidP="00A155A2">
      <w:pPr>
        <w:rPr>
          <w:rFonts w:ascii="Arial" w:hAnsi="Arial" w:cs="Arial"/>
          <w:i/>
          <w:sz w:val="20"/>
          <w:szCs w:val="20"/>
        </w:rPr>
      </w:pPr>
      <w:r w:rsidRPr="00534703">
        <w:rPr>
          <w:rFonts w:ascii="Arial" w:hAnsi="Arial" w:cs="Arial"/>
          <w:i/>
          <w:sz w:val="20"/>
          <w:szCs w:val="20"/>
        </w:rPr>
        <w:t>Vir: FURS</w:t>
      </w:r>
      <w:r>
        <w:rPr>
          <w:rFonts w:ascii="Arial" w:hAnsi="Arial" w:cs="Arial"/>
          <w:i/>
          <w:sz w:val="20"/>
          <w:szCs w:val="20"/>
        </w:rPr>
        <w:t xml:space="preserve"> </w:t>
      </w:r>
    </w:p>
    <w:p w14:paraId="6201B54C" w14:textId="77777777" w:rsidR="00A155A2" w:rsidRDefault="00A155A2" w:rsidP="00A155A2">
      <w:pPr>
        <w:jc w:val="both"/>
        <w:rPr>
          <w:rFonts w:ascii="Arial" w:hAnsi="Arial" w:cs="Arial"/>
          <w:iCs/>
          <w:sz w:val="20"/>
          <w:szCs w:val="20"/>
        </w:rPr>
      </w:pPr>
      <w:r w:rsidRPr="00E31152">
        <w:rPr>
          <w:rFonts w:ascii="Arial" w:hAnsi="Arial" w:cs="Arial"/>
          <w:iCs/>
          <w:sz w:val="20"/>
          <w:szCs w:val="20"/>
        </w:rPr>
        <w:t>Delež poplačil v postopkih nadzora odmerjenih obveznosti je odvisen od vrste opravljenega nadzora. V postopkih naknadnih kontrol je ta delež v</w:t>
      </w:r>
      <w:r>
        <w:rPr>
          <w:rFonts w:ascii="Arial" w:hAnsi="Arial" w:cs="Arial"/>
          <w:iCs/>
          <w:sz w:val="20"/>
          <w:szCs w:val="20"/>
        </w:rPr>
        <w:t>ečji</w:t>
      </w:r>
      <w:r w:rsidRPr="00E31152">
        <w:rPr>
          <w:rFonts w:ascii="Arial" w:hAnsi="Arial" w:cs="Arial"/>
          <w:iCs/>
          <w:sz w:val="20"/>
          <w:szCs w:val="20"/>
        </w:rPr>
        <w:t>, saj se ti postopki praviloma izvajajo v tesnejšem sodelovanju z zavezancem, hkrati pa gre za nadzor</w:t>
      </w:r>
      <w:r>
        <w:rPr>
          <w:rFonts w:ascii="Arial" w:hAnsi="Arial" w:cs="Arial"/>
          <w:iCs/>
          <w:sz w:val="20"/>
          <w:szCs w:val="20"/>
        </w:rPr>
        <w:t xml:space="preserve"> nad</w:t>
      </w:r>
      <w:r w:rsidRPr="00E31152">
        <w:rPr>
          <w:rFonts w:ascii="Arial" w:hAnsi="Arial" w:cs="Arial"/>
          <w:iCs/>
          <w:sz w:val="20"/>
          <w:szCs w:val="20"/>
        </w:rPr>
        <w:t xml:space="preserve"> časovno </w:t>
      </w:r>
      <w:r w:rsidRPr="00527C38">
        <w:rPr>
          <w:rFonts w:ascii="Arial" w:hAnsi="Arial" w:cs="Arial"/>
          <w:iCs/>
          <w:sz w:val="20"/>
          <w:szCs w:val="20"/>
        </w:rPr>
        <w:t xml:space="preserve">ne </w:t>
      </w:r>
      <w:r w:rsidRPr="00B14EC7">
        <w:rPr>
          <w:rFonts w:ascii="Arial" w:hAnsi="Arial" w:cs="Arial"/>
          <w:iCs/>
          <w:sz w:val="20"/>
          <w:szCs w:val="20"/>
        </w:rPr>
        <w:t xml:space="preserve">preveč </w:t>
      </w:r>
      <w:r w:rsidRPr="00527C38">
        <w:rPr>
          <w:rFonts w:ascii="Arial" w:hAnsi="Arial" w:cs="Arial"/>
          <w:iCs/>
          <w:sz w:val="20"/>
          <w:szCs w:val="20"/>
        </w:rPr>
        <w:t>oddalje</w:t>
      </w:r>
      <w:r w:rsidRPr="00E31152">
        <w:rPr>
          <w:rFonts w:ascii="Arial" w:hAnsi="Arial" w:cs="Arial"/>
          <w:iCs/>
          <w:sz w:val="20"/>
          <w:szCs w:val="20"/>
        </w:rPr>
        <w:t>ni</w:t>
      </w:r>
      <w:r>
        <w:rPr>
          <w:rFonts w:ascii="Arial" w:hAnsi="Arial" w:cs="Arial"/>
          <w:iCs/>
          <w:sz w:val="20"/>
          <w:szCs w:val="20"/>
        </w:rPr>
        <w:t>mi</w:t>
      </w:r>
      <w:r w:rsidRPr="00E31152">
        <w:rPr>
          <w:rFonts w:ascii="Arial" w:hAnsi="Arial" w:cs="Arial"/>
          <w:iCs/>
          <w:sz w:val="20"/>
          <w:szCs w:val="20"/>
        </w:rPr>
        <w:t xml:space="preserve"> obračunski</w:t>
      </w:r>
      <w:r>
        <w:rPr>
          <w:rFonts w:ascii="Arial" w:hAnsi="Arial" w:cs="Arial"/>
          <w:iCs/>
          <w:sz w:val="20"/>
          <w:szCs w:val="20"/>
        </w:rPr>
        <w:t>mi</w:t>
      </w:r>
      <w:r w:rsidRPr="00E31152">
        <w:rPr>
          <w:rFonts w:ascii="Arial" w:hAnsi="Arial" w:cs="Arial"/>
          <w:iCs/>
          <w:sz w:val="20"/>
          <w:szCs w:val="20"/>
        </w:rPr>
        <w:t xml:space="preserve"> obdobj</w:t>
      </w:r>
      <w:r>
        <w:rPr>
          <w:rFonts w:ascii="Arial" w:hAnsi="Arial" w:cs="Arial"/>
          <w:iCs/>
          <w:sz w:val="20"/>
          <w:szCs w:val="20"/>
        </w:rPr>
        <w:t>i</w:t>
      </w:r>
      <w:r w:rsidRPr="00E31152">
        <w:rPr>
          <w:rFonts w:ascii="Arial" w:hAnsi="Arial" w:cs="Arial"/>
          <w:iCs/>
          <w:sz w:val="20"/>
          <w:szCs w:val="20"/>
        </w:rPr>
        <w:t xml:space="preserve"> glede na čas izvedbe nadzora, kar </w:t>
      </w:r>
      <w:r w:rsidRPr="0059154C">
        <w:rPr>
          <w:rFonts w:ascii="Arial" w:hAnsi="Arial" w:cs="Arial"/>
          <w:iCs/>
          <w:sz w:val="20"/>
          <w:szCs w:val="20"/>
        </w:rPr>
        <w:t>pozitivno vpliva na višje</w:t>
      </w:r>
      <w:r w:rsidRPr="00E31152">
        <w:rPr>
          <w:rFonts w:ascii="Arial" w:hAnsi="Arial" w:cs="Arial"/>
          <w:iCs/>
          <w:sz w:val="20"/>
          <w:szCs w:val="20"/>
        </w:rPr>
        <w:t xml:space="preserve"> poplačilo obveznosti. V inšpekcijskih postopkih, </w:t>
      </w:r>
      <w:r>
        <w:rPr>
          <w:rFonts w:ascii="Arial" w:hAnsi="Arial" w:cs="Arial"/>
          <w:iCs/>
          <w:sz w:val="20"/>
          <w:szCs w:val="20"/>
        </w:rPr>
        <w:t>pri katerih</w:t>
      </w:r>
      <w:r w:rsidRPr="00E31152">
        <w:rPr>
          <w:rFonts w:ascii="Arial" w:hAnsi="Arial" w:cs="Arial"/>
          <w:iCs/>
          <w:sz w:val="20"/>
          <w:szCs w:val="20"/>
        </w:rPr>
        <w:t xml:space="preserve"> so odmerjene obveznosti praviloma višje in se nanašajo tudi na časovno bolj oddaljena obračunska obdobja, mora davčni organ odmerjene obveznosti ustrezno zavarovati še pred izvršljivostjo inšpekcijske odločbe, kar dviguje delež poplačila naknadno ugotovljenih obveznosti.</w:t>
      </w:r>
    </w:p>
    <w:bookmarkEnd w:id="27"/>
    <w:p w14:paraId="76951333" w14:textId="77777777" w:rsidR="00A155A2" w:rsidRPr="00267E7A" w:rsidRDefault="00A155A2" w:rsidP="00A155A2">
      <w:pPr>
        <w:rPr>
          <w:rFonts w:ascii="Arial" w:hAnsi="Arial" w:cs="Arial"/>
          <w:b/>
          <w:bCs/>
          <w:sz w:val="20"/>
          <w:szCs w:val="20"/>
        </w:rPr>
      </w:pPr>
      <w:r w:rsidRPr="00267E7A">
        <w:rPr>
          <w:rFonts w:ascii="Arial" w:hAnsi="Arial" w:cs="Arial"/>
          <w:b/>
          <w:bCs/>
          <w:sz w:val="20"/>
          <w:szCs w:val="20"/>
        </w:rPr>
        <w:t>8</w:t>
      </w:r>
      <w:r>
        <w:rPr>
          <w:rFonts w:ascii="Arial" w:hAnsi="Arial" w:cs="Arial"/>
          <w:b/>
          <w:bCs/>
          <w:sz w:val="20"/>
          <w:szCs w:val="20"/>
        </w:rPr>
        <w:tab/>
      </w:r>
      <w:r w:rsidRPr="00267E7A">
        <w:rPr>
          <w:rFonts w:ascii="Arial" w:hAnsi="Arial" w:cs="Arial"/>
          <w:b/>
          <w:bCs/>
          <w:sz w:val="20"/>
          <w:szCs w:val="20"/>
        </w:rPr>
        <w:t xml:space="preserve"> Spodbujanje prostovoljnega </w:t>
      </w:r>
      <w:r w:rsidRPr="00267E7A">
        <w:rPr>
          <w:rFonts w:ascii="Arial" w:hAnsi="Arial" w:cs="Arial"/>
          <w:b/>
          <w:sz w:val="20"/>
          <w:szCs w:val="20"/>
        </w:rPr>
        <w:t>plačevanja</w:t>
      </w:r>
      <w:r w:rsidRPr="00267E7A">
        <w:rPr>
          <w:rFonts w:ascii="Arial" w:hAnsi="Arial" w:cs="Arial"/>
          <w:b/>
          <w:bCs/>
          <w:sz w:val="20"/>
          <w:szCs w:val="20"/>
        </w:rPr>
        <w:t xml:space="preserve"> dajatev</w:t>
      </w:r>
    </w:p>
    <w:p w14:paraId="500E8FA0"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Krepitev kulture prostovoljnega izpolnjevanja zakonskih obveznosti je prednostni dolgoročni cilj FURS</w:t>
      </w:r>
      <w:r>
        <w:rPr>
          <w:rFonts w:ascii="Arial" w:hAnsi="Arial" w:cs="Arial"/>
          <w:sz w:val="20"/>
          <w:szCs w:val="20"/>
          <w:lang w:eastAsia="sl-SI"/>
        </w:rPr>
        <w:t>.</w:t>
      </w:r>
      <w:r w:rsidRPr="00267E7A">
        <w:rPr>
          <w:rFonts w:ascii="Arial" w:hAnsi="Arial" w:cs="Arial"/>
          <w:sz w:val="20"/>
          <w:szCs w:val="20"/>
          <w:lang w:eastAsia="sl-SI"/>
        </w:rPr>
        <w:t xml:space="preserve"> V ta namen se </w:t>
      </w:r>
      <w:r w:rsidRPr="003408F2">
        <w:rPr>
          <w:rFonts w:ascii="Arial" w:hAnsi="Arial" w:cs="Arial"/>
          <w:sz w:val="20"/>
          <w:szCs w:val="20"/>
          <w:lang w:eastAsia="sl-SI"/>
        </w:rPr>
        <w:t>nenehno izvajajo</w:t>
      </w:r>
      <w:r w:rsidRPr="00267E7A">
        <w:rPr>
          <w:rFonts w:ascii="Arial" w:hAnsi="Arial" w:cs="Arial"/>
          <w:sz w:val="20"/>
          <w:szCs w:val="20"/>
          <w:lang w:eastAsia="sl-SI"/>
        </w:rPr>
        <w:t xml:space="preserve"> </w:t>
      </w:r>
      <w:r>
        <w:rPr>
          <w:rFonts w:ascii="Arial" w:hAnsi="Arial" w:cs="Arial"/>
          <w:sz w:val="20"/>
          <w:szCs w:val="20"/>
          <w:lang w:eastAsia="sl-SI"/>
        </w:rPr>
        <w:t>številni</w:t>
      </w:r>
      <w:r w:rsidRPr="00267E7A">
        <w:rPr>
          <w:rFonts w:ascii="Arial" w:hAnsi="Arial" w:cs="Arial"/>
          <w:sz w:val="20"/>
          <w:szCs w:val="20"/>
          <w:lang w:eastAsia="sl-SI"/>
        </w:rPr>
        <w:t xml:space="preserve"> medsebojno povezani ukrep</w:t>
      </w:r>
      <w:r>
        <w:rPr>
          <w:rFonts w:ascii="Arial" w:hAnsi="Arial" w:cs="Arial"/>
          <w:sz w:val="20"/>
          <w:szCs w:val="20"/>
          <w:lang w:eastAsia="sl-SI"/>
        </w:rPr>
        <w:t>i</w:t>
      </w:r>
      <w:r w:rsidRPr="00267E7A">
        <w:rPr>
          <w:rFonts w:ascii="Arial" w:hAnsi="Arial" w:cs="Arial"/>
          <w:sz w:val="20"/>
          <w:szCs w:val="20"/>
          <w:lang w:eastAsia="sl-SI"/>
        </w:rPr>
        <w:t xml:space="preserve"> na različnih področjih delovanja</w:t>
      </w:r>
      <w:r>
        <w:rPr>
          <w:rFonts w:ascii="Arial" w:hAnsi="Arial" w:cs="Arial"/>
          <w:sz w:val="20"/>
          <w:szCs w:val="20"/>
          <w:lang w:eastAsia="sl-SI"/>
        </w:rPr>
        <w:t xml:space="preserve"> – </w:t>
      </w:r>
      <w:r w:rsidRPr="00267E7A">
        <w:rPr>
          <w:rFonts w:ascii="Arial" w:hAnsi="Arial" w:cs="Arial"/>
          <w:sz w:val="20"/>
          <w:szCs w:val="20"/>
          <w:lang w:eastAsia="sl-SI"/>
        </w:rPr>
        <w:t>od preventivnih do zelo ciljno usmerjenih aktivnost</w:t>
      </w:r>
      <w:r>
        <w:rPr>
          <w:rFonts w:ascii="Arial" w:hAnsi="Arial" w:cs="Arial"/>
          <w:sz w:val="20"/>
          <w:szCs w:val="20"/>
          <w:lang w:eastAsia="sl-SI"/>
        </w:rPr>
        <w:t>i</w:t>
      </w:r>
      <w:r w:rsidRPr="00267E7A">
        <w:rPr>
          <w:rFonts w:ascii="Arial" w:hAnsi="Arial" w:cs="Arial"/>
          <w:sz w:val="20"/>
          <w:szCs w:val="20"/>
          <w:lang w:eastAsia="sl-SI"/>
        </w:rPr>
        <w:t>.</w:t>
      </w:r>
    </w:p>
    <w:p w14:paraId="59A8CFF4" w14:textId="77777777" w:rsidR="00A155A2" w:rsidRPr="00267E7A" w:rsidRDefault="00A155A2" w:rsidP="00A155A2">
      <w:pPr>
        <w:pStyle w:val="Brezrazmikov"/>
        <w:spacing w:line="276" w:lineRule="auto"/>
        <w:rPr>
          <w:rFonts w:ascii="Arial" w:hAnsi="Arial" w:cs="Arial"/>
          <w:b/>
          <w:bCs/>
          <w:sz w:val="20"/>
          <w:szCs w:val="20"/>
          <w:lang w:eastAsia="sl-SI"/>
        </w:rPr>
      </w:pPr>
    </w:p>
    <w:p w14:paraId="3C3EB3E2" w14:textId="77777777" w:rsidR="00A155A2" w:rsidRPr="00267E7A" w:rsidRDefault="00A155A2" w:rsidP="00A155A2">
      <w:pPr>
        <w:pStyle w:val="Brezrazmikov"/>
        <w:spacing w:line="276" w:lineRule="auto"/>
        <w:rPr>
          <w:rFonts w:ascii="Arial" w:hAnsi="Arial" w:cs="Arial"/>
          <w:b/>
          <w:bCs/>
          <w:sz w:val="20"/>
          <w:szCs w:val="20"/>
          <w:lang w:eastAsia="sl-SI"/>
        </w:rPr>
      </w:pPr>
      <w:r w:rsidRPr="00267E7A">
        <w:rPr>
          <w:rFonts w:ascii="Arial" w:hAnsi="Arial" w:cs="Arial"/>
          <w:b/>
          <w:bCs/>
          <w:sz w:val="20"/>
          <w:szCs w:val="20"/>
          <w:lang w:eastAsia="sl-SI"/>
        </w:rPr>
        <w:t>8.1</w:t>
      </w:r>
      <w:r>
        <w:rPr>
          <w:rFonts w:ascii="Arial" w:hAnsi="Arial" w:cs="Arial"/>
          <w:b/>
          <w:bCs/>
          <w:sz w:val="20"/>
          <w:szCs w:val="20"/>
          <w:lang w:eastAsia="sl-SI"/>
        </w:rPr>
        <w:tab/>
      </w:r>
      <w:r w:rsidRPr="00267E7A">
        <w:rPr>
          <w:rFonts w:ascii="Arial" w:hAnsi="Arial" w:cs="Arial"/>
          <w:b/>
          <w:bCs/>
          <w:sz w:val="20"/>
          <w:szCs w:val="20"/>
          <w:lang w:eastAsia="sl-SI"/>
        </w:rPr>
        <w:t xml:space="preserve"> </w:t>
      </w:r>
      <w:r w:rsidRPr="007534F7">
        <w:rPr>
          <w:rFonts w:ascii="Arial" w:hAnsi="Arial" w:cs="Arial"/>
          <w:b/>
          <w:bCs/>
          <w:sz w:val="20"/>
          <w:szCs w:val="20"/>
          <w:lang w:eastAsia="sl-SI"/>
        </w:rPr>
        <w:t>Obveščanje</w:t>
      </w:r>
      <w:r w:rsidRPr="00267E7A">
        <w:rPr>
          <w:rFonts w:ascii="Arial" w:hAnsi="Arial" w:cs="Arial"/>
          <w:b/>
          <w:bCs/>
          <w:sz w:val="20"/>
          <w:szCs w:val="20"/>
          <w:lang w:eastAsia="sl-SI"/>
        </w:rPr>
        <w:t xml:space="preserve"> in ozaveščanje zavezancev </w:t>
      </w:r>
    </w:p>
    <w:p w14:paraId="4C87C2B0" w14:textId="77777777" w:rsidR="00A155A2" w:rsidRPr="00267E7A" w:rsidRDefault="00A155A2" w:rsidP="00A155A2">
      <w:pPr>
        <w:pStyle w:val="Brezrazmikov"/>
        <w:spacing w:line="276" w:lineRule="auto"/>
        <w:rPr>
          <w:rFonts w:ascii="Arial" w:hAnsi="Arial" w:cs="Arial"/>
          <w:b/>
          <w:bCs/>
          <w:sz w:val="20"/>
          <w:szCs w:val="20"/>
          <w:lang w:eastAsia="sl-SI"/>
        </w:rPr>
      </w:pPr>
    </w:p>
    <w:p w14:paraId="0F44AEC2" w14:textId="77777777" w:rsidR="00A155A2" w:rsidRPr="00267E7A" w:rsidRDefault="00A155A2" w:rsidP="00A155A2">
      <w:pPr>
        <w:pStyle w:val="Brezrazmikov"/>
        <w:spacing w:line="276" w:lineRule="auto"/>
        <w:jc w:val="both"/>
        <w:rPr>
          <w:rFonts w:ascii="Arial" w:hAnsi="Arial" w:cs="Arial"/>
          <w:b/>
          <w:bCs/>
          <w:sz w:val="20"/>
          <w:szCs w:val="20"/>
          <w:lang w:eastAsia="sl-SI"/>
        </w:rPr>
      </w:pPr>
      <w:r w:rsidRPr="00267E7A">
        <w:rPr>
          <w:rFonts w:ascii="Arial" w:hAnsi="Arial" w:cs="Arial"/>
          <w:b/>
          <w:bCs/>
          <w:sz w:val="20"/>
          <w:szCs w:val="20"/>
          <w:lang w:eastAsia="sl-SI"/>
        </w:rPr>
        <w:t xml:space="preserve">Telefonsko </w:t>
      </w:r>
      <w:r>
        <w:rPr>
          <w:rFonts w:ascii="Arial" w:hAnsi="Arial" w:cs="Arial"/>
          <w:b/>
          <w:bCs/>
          <w:sz w:val="20"/>
          <w:szCs w:val="20"/>
          <w:lang w:eastAsia="sl-SI"/>
        </w:rPr>
        <w:t>obveščanje</w:t>
      </w:r>
      <w:r w:rsidRPr="00267E7A">
        <w:rPr>
          <w:rFonts w:ascii="Arial" w:hAnsi="Arial" w:cs="Arial"/>
          <w:b/>
          <w:bCs/>
          <w:sz w:val="20"/>
          <w:szCs w:val="20"/>
          <w:lang w:eastAsia="sl-SI"/>
        </w:rPr>
        <w:t xml:space="preserve"> </w:t>
      </w:r>
    </w:p>
    <w:p w14:paraId="58F113A1"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lastRenderedPageBreak/>
        <w:t>FURS zagotavlja pravico zavezancev do informiranja, k</w:t>
      </w:r>
      <w:r>
        <w:rPr>
          <w:rFonts w:ascii="Arial" w:hAnsi="Arial" w:cs="Arial"/>
          <w:sz w:val="20"/>
          <w:szCs w:val="20"/>
          <w:lang w:eastAsia="sl-SI"/>
        </w:rPr>
        <w:t>ak</w:t>
      </w:r>
      <w:r w:rsidRPr="00267E7A">
        <w:rPr>
          <w:rFonts w:ascii="Arial" w:hAnsi="Arial" w:cs="Arial"/>
          <w:sz w:val="20"/>
          <w:szCs w:val="20"/>
          <w:lang w:eastAsia="sl-SI"/>
        </w:rPr>
        <w:t>o</w:t>
      </w:r>
      <w:r>
        <w:rPr>
          <w:rFonts w:ascii="Arial" w:hAnsi="Arial" w:cs="Arial"/>
          <w:sz w:val="20"/>
          <w:szCs w:val="20"/>
          <w:lang w:eastAsia="sl-SI"/>
        </w:rPr>
        <w:t>r</w:t>
      </w:r>
      <w:r w:rsidRPr="00267E7A">
        <w:rPr>
          <w:rFonts w:ascii="Arial" w:hAnsi="Arial" w:cs="Arial"/>
          <w:sz w:val="20"/>
          <w:szCs w:val="20"/>
          <w:lang w:eastAsia="sl-SI"/>
        </w:rPr>
        <w:t xml:space="preserve"> določa zakon o davčnem postopku. S tem vpliva na povečanje pravilno in pravočasno izpolnjenih davčnih obveznosti. </w:t>
      </w:r>
    </w:p>
    <w:p w14:paraId="338AE872" w14:textId="77777777" w:rsidR="00A155A2" w:rsidRPr="00267E7A" w:rsidRDefault="00A155A2" w:rsidP="00A155A2">
      <w:pPr>
        <w:pStyle w:val="Brezrazmikov"/>
        <w:spacing w:line="276" w:lineRule="auto"/>
        <w:jc w:val="both"/>
        <w:rPr>
          <w:rFonts w:ascii="Arial" w:hAnsi="Arial" w:cs="Arial"/>
          <w:sz w:val="20"/>
          <w:szCs w:val="20"/>
          <w:lang w:eastAsia="sl-SI"/>
        </w:rPr>
      </w:pPr>
    </w:p>
    <w:p w14:paraId="730438E6" w14:textId="77777777" w:rsidR="00A155A2" w:rsidRPr="00267E7A" w:rsidRDefault="00A155A2" w:rsidP="00A155A2">
      <w:pPr>
        <w:pStyle w:val="Brezrazmikov"/>
        <w:spacing w:line="276" w:lineRule="auto"/>
        <w:jc w:val="both"/>
        <w:rPr>
          <w:rFonts w:ascii="Arial" w:hAnsi="Arial" w:cs="Arial"/>
          <w:sz w:val="20"/>
          <w:szCs w:val="20"/>
          <w:lang w:eastAsia="sl-SI"/>
        </w:rPr>
      </w:pPr>
      <w:r>
        <w:rPr>
          <w:rFonts w:ascii="Arial" w:hAnsi="Arial" w:cs="Arial"/>
          <w:sz w:val="20"/>
          <w:szCs w:val="20"/>
          <w:lang w:eastAsia="sl-SI"/>
        </w:rPr>
        <w:t>L</w:t>
      </w:r>
      <w:r w:rsidRPr="00267E7A">
        <w:rPr>
          <w:rFonts w:ascii="Arial" w:hAnsi="Arial" w:cs="Arial"/>
          <w:sz w:val="20"/>
          <w:szCs w:val="20"/>
          <w:lang w:eastAsia="sl-SI"/>
        </w:rPr>
        <w:t>et</w:t>
      </w:r>
      <w:r>
        <w:rPr>
          <w:rFonts w:ascii="Arial" w:hAnsi="Arial" w:cs="Arial"/>
          <w:sz w:val="20"/>
          <w:szCs w:val="20"/>
          <w:lang w:eastAsia="sl-SI"/>
        </w:rPr>
        <w:t>a</w:t>
      </w:r>
      <w:r w:rsidRPr="00267E7A">
        <w:rPr>
          <w:rFonts w:ascii="Arial" w:hAnsi="Arial" w:cs="Arial"/>
          <w:sz w:val="20"/>
          <w:szCs w:val="20"/>
          <w:lang w:eastAsia="sl-SI"/>
        </w:rPr>
        <w:t xml:space="preserve"> 2024 </w:t>
      </w:r>
      <w:r>
        <w:rPr>
          <w:rFonts w:ascii="Arial" w:hAnsi="Arial" w:cs="Arial"/>
          <w:sz w:val="20"/>
          <w:szCs w:val="20"/>
          <w:lang w:eastAsia="sl-SI"/>
        </w:rPr>
        <w:t>so</w:t>
      </w:r>
      <w:r w:rsidRPr="00267E7A">
        <w:rPr>
          <w:rFonts w:ascii="Arial" w:hAnsi="Arial" w:cs="Arial"/>
          <w:sz w:val="20"/>
          <w:szCs w:val="20"/>
          <w:lang w:eastAsia="sl-SI"/>
        </w:rPr>
        <w:t xml:space="preserve"> v kontaktnem centru </w:t>
      </w:r>
      <w:r>
        <w:rPr>
          <w:rFonts w:ascii="Arial" w:hAnsi="Arial" w:cs="Arial"/>
          <w:sz w:val="20"/>
          <w:szCs w:val="20"/>
          <w:lang w:eastAsia="sl-SI"/>
        </w:rPr>
        <w:t>s</w:t>
      </w:r>
      <w:r w:rsidRPr="00267E7A">
        <w:rPr>
          <w:rFonts w:ascii="Arial" w:hAnsi="Arial" w:cs="Arial"/>
          <w:sz w:val="20"/>
          <w:szCs w:val="20"/>
          <w:lang w:eastAsia="sl-SI"/>
        </w:rPr>
        <w:t>preje</w:t>
      </w:r>
      <w:r>
        <w:rPr>
          <w:rFonts w:ascii="Arial" w:hAnsi="Arial" w:cs="Arial"/>
          <w:sz w:val="20"/>
          <w:szCs w:val="20"/>
          <w:lang w:eastAsia="sl-SI"/>
        </w:rPr>
        <w:t>l</w:t>
      </w:r>
      <w:r w:rsidRPr="00267E7A">
        <w:rPr>
          <w:rFonts w:ascii="Arial" w:hAnsi="Arial" w:cs="Arial"/>
          <w:sz w:val="20"/>
          <w:szCs w:val="20"/>
          <w:lang w:eastAsia="sl-SI"/>
        </w:rPr>
        <w:t xml:space="preserve">i 613.225 klicev. Največ klicev je bilo prejetih v klicnem centru za davke fizičnih oseb (228.871), </w:t>
      </w:r>
      <w:r>
        <w:rPr>
          <w:rFonts w:ascii="Arial" w:hAnsi="Arial" w:cs="Arial"/>
          <w:sz w:val="20"/>
          <w:szCs w:val="20"/>
          <w:lang w:eastAsia="sl-SI"/>
        </w:rPr>
        <w:t>sledili so k</w:t>
      </w:r>
      <w:r w:rsidRPr="00267E7A">
        <w:rPr>
          <w:rFonts w:ascii="Arial" w:hAnsi="Arial" w:cs="Arial"/>
          <w:sz w:val="20"/>
          <w:szCs w:val="20"/>
          <w:lang w:eastAsia="sl-SI"/>
        </w:rPr>
        <w:t>licn</w:t>
      </w:r>
      <w:r>
        <w:rPr>
          <w:rFonts w:ascii="Arial" w:hAnsi="Arial" w:cs="Arial"/>
          <w:sz w:val="20"/>
          <w:szCs w:val="20"/>
          <w:lang w:eastAsia="sl-SI"/>
        </w:rPr>
        <w:t>i</w:t>
      </w:r>
      <w:r w:rsidRPr="00267E7A">
        <w:rPr>
          <w:rFonts w:ascii="Arial" w:hAnsi="Arial" w:cs="Arial"/>
          <w:sz w:val="20"/>
          <w:szCs w:val="20"/>
          <w:lang w:eastAsia="sl-SI"/>
        </w:rPr>
        <w:t xml:space="preserve"> cent</w:t>
      </w:r>
      <w:r>
        <w:rPr>
          <w:rFonts w:ascii="Arial" w:hAnsi="Arial" w:cs="Arial"/>
          <w:sz w:val="20"/>
          <w:szCs w:val="20"/>
          <w:lang w:eastAsia="sl-SI"/>
        </w:rPr>
        <w:t>e</w:t>
      </w:r>
      <w:r w:rsidRPr="00267E7A">
        <w:rPr>
          <w:rFonts w:ascii="Arial" w:hAnsi="Arial" w:cs="Arial"/>
          <w:sz w:val="20"/>
          <w:szCs w:val="20"/>
          <w:lang w:eastAsia="sl-SI"/>
        </w:rPr>
        <w:t xml:space="preserve">r za davke poslovnih subjektov (89.060), </w:t>
      </w:r>
      <w:r>
        <w:rPr>
          <w:rFonts w:ascii="Arial" w:hAnsi="Arial" w:cs="Arial"/>
          <w:sz w:val="20"/>
          <w:szCs w:val="20"/>
          <w:lang w:eastAsia="sl-SI"/>
        </w:rPr>
        <w:t>k</w:t>
      </w:r>
      <w:r w:rsidRPr="00267E7A">
        <w:rPr>
          <w:rFonts w:ascii="Arial" w:hAnsi="Arial" w:cs="Arial"/>
          <w:sz w:val="20"/>
          <w:szCs w:val="20"/>
          <w:lang w:eastAsia="sl-SI"/>
        </w:rPr>
        <w:t>licn</w:t>
      </w:r>
      <w:r>
        <w:rPr>
          <w:rFonts w:ascii="Arial" w:hAnsi="Arial" w:cs="Arial"/>
          <w:sz w:val="20"/>
          <w:szCs w:val="20"/>
          <w:lang w:eastAsia="sl-SI"/>
        </w:rPr>
        <w:t>i</w:t>
      </w:r>
      <w:r w:rsidRPr="00267E7A">
        <w:rPr>
          <w:rFonts w:ascii="Arial" w:hAnsi="Arial" w:cs="Arial"/>
          <w:sz w:val="20"/>
          <w:szCs w:val="20"/>
          <w:lang w:eastAsia="sl-SI"/>
        </w:rPr>
        <w:t xml:space="preserve"> cent</w:t>
      </w:r>
      <w:r>
        <w:rPr>
          <w:rFonts w:ascii="Arial" w:hAnsi="Arial" w:cs="Arial"/>
          <w:sz w:val="20"/>
          <w:szCs w:val="20"/>
          <w:lang w:eastAsia="sl-SI"/>
        </w:rPr>
        <w:t>e</w:t>
      </w:r>
      <w:r w:rsidRPr="00267E7A">
        <w:rPr>
          <w:rFonts w:ascii="Arial" w:hAnsi="Arial" w:cs="Arial"/>
          <w:sz w:val="20"/>
          <w:szCs w:val="20"/>
          <w:lang w:eastAsia="sl-SI"/>
        </w:rPr>
        <w:t xml:space="preserve">r za DDV (49.267), </w:t>
      </w:r>
      <w:r>
        <w:rPr>
          <w:rFonts w:ascii="Arial" w:hAnsi="Arial" w:cs="Arial"/>
          <w:sz w:val="20"/>
          <w:szCs w:val="20"/>
          <w:lang w:eastAsia="sl-SI"/>
        </w:rPr>
        <w:t>t</w:t>
      </w:r>
      <w:r w:rsidRPr="00267E7A">
        <w:rPr>
          <w:rFonts w:ascii="Arial" w:hAnsi="Arial" w:cs="Arial"/>
          <w:sz w:val="20"/>
          <w:szCs w:val="20"/>
          <w:lang w:eastAsia="sl-SI"/>
        </w:rPr>
        <w:t>ehničn</w:t>
      </w:r>
      <w:r>
        <w:rPr>
          <w:rFonts w:ascii="Arial" w:hAnsi="Arial" w:cs="Arial"/>
          <w:sz w:val="20"/>
          <w:szCs w:val="20"/>
          <w:lang w:eastAsia="sl-SI"/>
        </w:rPr>
        <w:t>a</w:t>
      </w:r>
      <w:r w:rsidRPr="00267E7A">
        <w:rPr>
          <w:rFonts w:ascii="Arial" w:hAnsi="Arial" w:cs="Arial"/>
          <w:sz w:val="20"/>
          <w:szCs w:val="20"/>
          <w:lang w:eastAsia="sl-SI"/>
        </w:rPr>
        <w:t xml:space="preserve"> pomoč (40.435) </w:t>
      </w:r>
      <w:r>
        <w:rPr>
          <w:rFonts w:ascii="Arial" w:hAnsi="Arial" w:cs="Arial"/>
          <w:sz w:val="20"/>
          <w:szCs w:val="20"/>
          <w:lang w:eastAsia="sl-SI"/>
        </w:rPr>
        <w:t>ter</w:t>
      </w:r>
      <w:r w:rsidRPr="00267E7A">
        <w:rPr>
          <w:rFonts w:ascii="Arial" w:hAnsi="Arial" w:cs="Arial"/>
          <w:sz w:val="20"/>
          <w:szCs w:val="20"/>
          <w:lang w:eastAsia="sl-SI"/>
        </w:rPr>
        <w:t xml:space="preserve"> </w:t>
      </w:r>
      <w:r>
        <w:rPr>
          <w:rFonts w:ascii="Arial" w:hAnsi="Arial" w:cs="Arial"/>
          <w:sz w:val="20"/>
          <w:szCs w:val="20"/>
          <w:lang w:eastAsia="sl-SI"/>
        </w:rPr>
        <w:t>k</w:t>
      </w:r>
      <w:r w:rsidRPr="00267E7A">
        <w:rPr>
          <w:rFonts w:ascii="Arial" w:hAnsi="Arial" w:cs="Arial"/>
          <w:sz w:val="20"/>
          <w:szCs w:val="20"/>
          <w:lang w:eastAsia="sl-SI"/>
        </w:rPr>
        <w:t>licn</w:t>
      </w:r>
      <w:r>
        <w:rPr>
          <w:rFonts w:ascii="Arial" w:hAnsi="Arial" w:cs="Arial"/>
          <w:sz w:val="20"/>
          <w:szCs w:val="20"/>
          <w:lang w:eastAsia="sl-SI"/>
        </w:rPr>
        <w:t>i</w:t>
      </w:r>
      <w:r w:rsidRPr="00267E7A">
        <w:rPr>
          <w:rFonts w:ascii="Arial" w:hAnsi="Arial" w:cs="Arial"/>
          <w:sz w:val="20"/>
          <w:szCs w:val="20"/>
          <w:lang w:eastAsia="sl-SI"/>
        </w:rPr>
        <w:t xml:space="preserve"> cent</w:t>
      </w:r>
      <w:r>
        <w:rPr>
          <w:rFonts w:ascii="Arial" w:hAnsi="Arial" w:cs="Arial"/>
          <w:sz w:val="20"/>
          <w:szCs w:val="20"/>
          <w:lang w:eastAsia="sl-SI"/>
        </w:rPr>
        <w:t>e</w:t>
      </w:r>
      <w:r w:rsidRPr="00267E7A">
        <w:rPr>
          <w:rFonts w:ascii="Arial" w:hAnsi="Arial" w:cs="Arial"/>
          <w:sz w:val="20"/>
          <w:szCs w:val="20"/>
          <w:lang w:eastAsia="sl-SI"/>
        </w:rPr>
        <w:t xml:space="preserve">r za opominjanje in knjigovodstvo zavezancev (26.073). </w:t>
      </w:r>
    </w:p>
    <w:p w14:paraId="0407C772" w14:textId="77777777" w:rsidR="00A155A2" w:rsidRPr="00267E7A" w:rsidRDefault="00A155A2" w:rsidP="00A155A2">
      <w:pPr>
        <w:pStyle w:val="Brezrazmikov"/>
        <w:spacing w:line="276" w:lineRule="auto"/>
        <w:jc w:val="both"/>
        <w:rPr>
          <w:rFonts w:ascii="Arial" w:hAnsi="Arial" w:cs="Arial"/>
          <w:sz w:val="20"/>
          <w:szCs w:val="20"/>
          <w:lang w:eastAsia="sl-SI"/>
        </w:rPr>
      </w:pPr>
    </w:p>
    <w:p w14:paraId="397B0581"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V </w:t>
      </w:r>
      <w:r>
        <w:rPr>
          <w:rFonts w:ascii="Arial" w:hAnsi="Arial" w:cs="Arial"/>
          <w:sz w:val="20"/>
          <w:szCs w:val="20"/>
          <w:lang w:eastAsia="sl-SI"/>
        </w:rPr>
        <w:t>k</w:t>
      </w:r>
      <w:r w:rsidRPr="00267E7A">
        <w:rPr>
          <w:rFonts w:ascii="Arial" w:hAnsi="Arial" w:cs="Arial"/>
          <w:sz w:val="20"/>
          <w:szCs w:val="20"/>
          <w:lang w:eastAsia="sl-SI"/>
        </w:rPr>
        <w:t xml:space="preserve">licnem centru za davke fizičnih oseb so bile tudi v letu 2024 </w:t>
      </w:r>
      <w:r>
        <w:rPr>
          <w:rFonts w:ascii="Arial" w:hAnsi="Arial" w:cs="Arial"/>
          <w:sz w:val="20"/>
          <w:szCs w:val="20"/>
          <w:lang w:eastAsia="sl-SI"/>
        </w:rPr>
        <w:t>običajne</w:t>
      </w:r>
      <w:r w:rsidRPr="00267E7A">
        <w:rPr>
          <w:rFonts w:ascii="Arial" w:hAnsi="Arial" w:cs="Arial"/>
          <w:sz w:val="20"/>
          <w:szCs w:val="20"/>
          <w:lang w:eastAsia="sl-SI"/>
        </w:rPr>
        <w:t xml:space="preserve"> konice s povečanim številom klicev</w:t>
      </w:r>
      <w:r>
        <w:rPr>
          <w:rFonts w:ascii="Arial" w:hAnsi="Arial" w:cs="Arial"/>
          <w:sz w:val="20"/>
          <w:szCs w:val="20"/>
          <w:lang w:eastAsia="sl-SI"/>
        </w:rPr>
        <w:t>:</w:t>
      </w:r>
      <w:r w:rsidRPr="00267E7A">
        <w:rPr>
          <w:rFonts w:ascii="Arial" w:hAnsi="Arial" w:cs="Arial"/>
          <w:sz w:val="20"/>
          <w:szCs w:val="20"/>
          <w:lang w:eastAsia="sl-SI"/>
        </w:rPr>
        <w:t xml:space="preserve"> obdobj</w:t>
      </w:r>
      <w:r>
        <w:rPr>
          <w:rFonts w:ascii="Arial" w:hAnsi="Arial" w:cs="Arial"/>
          <w:sz w:val="20"/>
          <w:szCs w:val="20"/>
          <w:lang w:eastAsia="sl-SI"/>
        </w:rPr>
        <w:t>e</w:t>
      </w:r>
      <w:r w:rsidRPr="00267E7A">
        <w:rPr>
          <w:rFonts w:ascii="Arial" w:hAnsi="Arial" w:cs="Arial"/>
          <w:sz w:val="20"/>
          <w:szCs w:val="20"/>
          <w:lang w:eastAsia="sl-SI"/>
        </w:rPr>
        <w:t xml:space="preserve"> pred rokom za vložitev </w:t>
      </w:r>
      <w:r>
        <w:rPr>
          <w:rFonts w:ascii="Arial" w:hAnsi="Arial" w:cs="Arial"/>
          <w:sz w:val="20"/>
          <w:szCs w:val="20"/>
          <w:lang w:eastAsia="sl-SI"/>
        </w:rPr>
        <w:t>v</w:t>
      </w:r>
      <w:r w:rsidRPr="00267E7A">
        <w:rPr>
          <w:rFonts w:ascii="Arial" w:hAnsi="Arial" w:cs="Arial"/>
          <w:sz w:val="20"/>
          <w:szCs w:val="20"/>
          <w:lang w:eastAsia="sl-SI"/>
        </w:rPr>
        <w:t>log za uveljavljanje posebne olajšave za vzdrževane družinske člane za leto 2023 ter po odpremi prve</w:t>
      </w:r>
      <w:r>
        <w:rPr>
          <w:rFonts w:ascii="Arial" w:hAnsi="Arial" w:cs="Arial"/>
          <w:sz w:val="20"/>
          <w:szCs w:val="20"/>
          <w:lang w:eastAsia="sl-SI"/>
        </w:rPr>
        <w:t>ga</w:t>
      </w:r>
      <w:r w:rsidRPr="00267E7A">
        <w:rPr>
          <w:rFonts w:ascii="Arial" w:hAnsi="Arial" w:cs="Arial"/>
          <w:sz w:val="20"/>
          <w:szCs w:val="20"/>
          <w:lang w:eastAsia="sl-SI"/>
        </w:rPr>
        <w:t xml:space="preserve"> in druge</w:t>
      </w:r>
      <w:r>
        <w:rPr>
          <w:rFonts w:ascii="Arial" w:hAnsi="Arial" w:cs="Arial"/>
          <w:sz w:val="20"/>
          <w:szCs w:val="20"/>
          <w:lang w:eastAsia="sl-SI"/>
        </w:rPr>
        <w:t>ga</w:t>
      </w:r>
      <w:r w:rsidRPr="00267E7A">
        <w:rPr>
          <w:rFonts w:ascii="Arial" w:hAnsi="Arial" w:cs="Arial"/>
          <w:sz w:val="20"/>
          <w:szCs w:val="20"/>
          <w:lang w:eastAsia="sl-SI"/>
        </w:rPr>
        <w:t xml:space="preserve"> </w:t>
      </w:r>
      <w:r>
        <w:rPr>
          <w:rFonts w:ascii="Arial" w:hAnsi="Arial" w:cs="Arial"/>
          <w:sz w:val="20"/>
          <w:szCs w:val="20"/>
          <w:lang w:eastAsia="sl-SI"/>
        </w:rPr>
        <w:t>svežnja</w:t>
      </w:r>
      <w:r w:rsidRPr="00267E7A">
        <w:rPr>
          <w:rFonts w:ascii="Arial" w:hAnsi="Arial" w:cs="Arial"/>
          <w:sz w:val="20"/>
          <w:szCs w:val="20"/>
          <w:lang w:eastAsia="sl-SI"/>
        </w:rPr>
        <w:t xml:space="preserve"> informativnih izračunov dohodnine za leto 2023. </w:t>
      </w:r>
    </w:p>
    <w:p w14:paraId="3F8EFC55" w14:textId="77777777" w:rsidR="00A155A2" w:rsidRPr="00267E7A" w:rsidRDefault="00A155A2" w:rsidP="00A155A2">
      <w:pPr>
        <w:pStyle w:val="Brezrazmikov"/>
        <w:spacing w:line="276" w:lineRule="auto"/>
        <w:jc w:val="both"/>
        <w:rPr>
          <w:rFonts w:ascii="Arial" w:hAnsi="Arial" w:cs="Arial"/>
          <w:sz w:val="20"/>
          <w:szCs w:val="20"/>
          <w:lang w:eastAsia="sl-SI"/>
        </w:rPr>
      </w:pPr>
    </w:p>
    <w:p w14:paraId="6B7313E1"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V letu 2024 je 60,8 </w:t>
      </w:r>
      <w:r>
        <w:rPr>
          <w:rFonts w:ascii="Arial" w:hAnsi="Arial" w:cs="Arial"/>
          <w:sz w:val="20"/>
          <w:szCs w:val="20"/>
          <w:lang w:eastAsia="sl-SI"/>
        </w:rPr>
        <w:t xml:space="preserve">odstotka </w:t>
      </w:r>
      <w:r w:rsidRPr="00267E7A">
        <w:rPr>
          <w:rFonts w:ascii="Arial" w:hAnsi="Arial" w:cs="Arial"/>
          <w:sz w:val="20"/>
          <w:szCs w:val="20"/>
          <w:lang w:eastAsia="sl-SI"/>
        </w:rPr>
        <w:t xml:space="preserve">kličočih zvezo z uslužbencem prejelo v 30 sekundah. Tudi ob letnih konicah je bil čas čakanja na prostega uslužbenca </w:t>
      </w:r>
      <w:r>
        <w:rPr>
          <w:rFonts w:ascii="Arial" w:hAnsi="Arial" w:cs="Arial"/>
          <w:sz w:val="20"/>
          <w:szCs w:val="20"/>
          <w:lang w:eastAsia="sl-SI"/>
        </w:rPr>
        <w:t>primeren</w:t>
      </w:r>
      <w:r w:rsidRPr="00267E7A">
        <w:rPr>
          <w:rFonts w:ascii="Arial" w:hAnsi="Arial" w:cs="Arial"/>
          <w:sz w:val="20"/>
          <w:szCs w:val="20"/>
          <w:lang w:eastAsia="sl-SI"/>
        </w:rPr>
        <w:t xml:space="preserve">, takrat je FURS običajno število uslužbencev v klicnih centrih okrepil z dodatnimi uslužbenci. </w:t>
      </w:r>
    </w:p>
    <w:p w14:paraId="38CE981F" w14:textId="77777777" w:rsidR="00A155A2" w:rsidRPr="00267E7A" w:rsidRDefault="00A155A2" w:rsidP="00A155A2">
      <w:pPr>
        <w:pStyle w:val="Brezrazmikov"/>
        <w:spacing w:line="276" w:lineRule="auto"/>
        <w:jc w:val="both"/>
        <w:rPr>
          <w:rFonts w:ascii="Arial" w:hAnsi="Arial" w:cs="Arial"/>
          <w:sz w:val="20"/>
          <w:szCs w:val="20"/>
          <w:lang w:eastAsia="sl-SI"/>
        </w:rPr>
      </w:pPr>
    </w:p>
    <w:p w14:paraId="68AEC0FD"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V kontaktnem centru FURS je bila za področje davkov v letu 2024 vzpostavljena aplikativna podpora za upravljanje delovni</w:t>
      </w:r>
      <w:r>
        <w:rPr>
          <w:rFonts w:ascii="Arial" w:hAnsi="Arial" w:cs="Arial"/>
          <w:sz w:val="20"/>
          <w:szCs w:val="20"/>
          <w:lang w:eastAsia="sl-SI"/>
        </w:rPr>
        <w:t>h</w:t>
      </w:r>
      <w:r w:rsidRPr="00721DA2">
        <w:rPr>
          <w:rFonts w:ascii="Arial" w:hAnsi="Arial" w:cs="Arial"/>
          <w:sz w:val="20"/>
          <w:szCs w:val="20"/>
          <w:lang w:eastAsia="sl-SI"/>
        </w:rPr>
        <w:t xml:space="preserve"> proces</w:t>
      </w:r>
      <w:r>
        <w:rPr>
          <w:rFonts w:ascii="Arial" w:hAnsi="Arial" w:cs="Arial"/>
          <w:sz w:val="20"/>
          <w:szCs w:val="20"/>
          <w:lang w:eastAsia="sl-SI"/>
        </w:rPr>
        <w:t>ov</w:t>
      </w:r>
      <w:r w:rsidRPr="00721DA2">
        <w:rPr>
          <w:rFonts w:ascii="Arial" w:hAnsi="Arial" w:cs="Arial"/>
          <w:sz w:val="20"/>
          <w:szCs w:val="20"/>
          <w:lang w:eastAsia="sl-SI"/>
        </w:rPr>
        <w:t xml:space="preserve">. Aplikacija omogoča </w:t>
      </w:r>
      <w:r>
        <w:rPr>
          <w:rFonts w:ascii="Arial" w:hAnsi="Arial" w:cs="Arial"/>
          <w:sz w:val="20"/>
          <w:szCs w:val="20"/>
          <w:lang w:eastAsia="sl-SI"/>
        </w:rPr>
        <w:t>napovedovanje</w:t>
      </w:r>
      <w:r w:rsidRPr="00721DA2">
        <w:rPr>
          <w:rFonts w:ascii="Arial" w:hAnsi="Arial" w:cs="Arial"/>
          <w:sz w:val="20"/>
          <w:szCs w:val="20"/>
          <w:lang w:eastAsia="sl-SI"/>
        </w:rPr>
        <w:t xml:space="preserve"> števila dohodnih klicev, s tem pa </w:t>
      </w:r>
      <w:r>
        <w:rPr>
          <w:rFonts w:ascii="Arial" w:hAnsi="Arial" w:cs="Arial"/>
          <w:sz w:val="20"/>
          <w:szCs w:val="20"/>
          <w:lang w:eastAsia="sl-SI"/>
        </w:rPr>
        <w:t>kar najboljše</w:t>
      </w:r>
      <w:r w:rsidRPr="00721DA2">
        <w:rPr>
          <w:rFonts w:ascii="Arial" w:hAnsi="Arial" w:cs="Arial"/>
          <w:sz w:val="20"/>
          <w:szCs w:val="20"/>
          <w:lang w:eastAsia="sl-SI"/>
        </w:rPr>
        <w:t xml:space="preserve"> razporejanje uslužbencev za prejemanje telefonskih klicev. Cilj je povečati učinkovitost in odzivni čas pri telefonskem </w:t>
      </w:r>
      <w:r>
        <w:rPr>
          <w:rFonts w:ascii="Arial" w:hAnsi="Arial" w:cs="Arial"/>
          <w:sz w:val="20"/>
          <w:szCs w:val="20"/>
          <w:lang w:eastAsia="sl-SI"/>
        </w:rPr>
        <w:t>obveščanju</w:t>
      </w:r>
      <w:r w:rsidRPr="00721DA2">
        <w:rPr>
          <w:rFonts w:ascii="Arial" w:hAnsi="Arial" w:cs="Arial"/>
          <w:sz w:val="20"/>
          <w:szCs w:val="20"/>
          <w:lang w:eastAsia="sl-SI"/>
        </w:rPr>
        <w:t>.</w:t>
      </w:r>
    </w:p>
    <w:p w14:paraId="132EA10D" w14:textId="77777777" w:rsidR="00A155A2" w:rsidRPr="00721DA2" w:rsidRDefault="00A155A2" w:rsidP="00A155A2">
      <w:pPr>
        <w:pStyle w:val="Brezrazmikov"/>
        <w:spacing w:line="276" w:lineRule="auto"/>
        <w:jc w:val="both"/>
        <w:rPr>
          <w:rFonts w:ascii="Arial" w:hAnsi="Arial" w:cs="Arial"/>
          <w:b/>
          <w:bCs/>
          <w:sz w:val="20"/>
          <w:szCs w:val="20"/>
          <w:lang w:eastAsia="sl-SI"/>
        </w:rPr>
      </w:pPr>
    </w:p>
    <w:p w14:paraId="7EE51BDA" w14:textId="77777777" w:rsidR="00A155A2" w:rsidRPr="00721DA2" w:rsidRDefault="00A155A2" w:rsidP="00A155A2">
      <w:pPr>
        <w:pStyle w:val="Brezrazmikov"/>
        <w:spacing w:line="276" w:lineRule="auto"/>
        <w:jc w:val="both"/>
        <w:rPr>
          <w:rFonts w:ascii="Arial" w:hAnsi="Arial" w:cs="Arial"/>
          <w:b/>
          <w:bCs/>
          <w:sz w:val="20"/>
          <w:szCs w:val="20"/>
          <w:lang w:eastAsia="sl-SI"/>
        </w:rPr>
      </w:pPr>
      <w:r w:rsidRPr="00721DA2">
        <w:rPr>
          <w:rFonts w:ascii="Arial" w:hAnsi="Arial" w:cs="Arial"/>
          <w:b/>
          <w:bCs/>
          <w:sz w:val="20"/>
          <w:szCs w:val="20"/>
          <w:lang w:eastAsia="sl-SI"/>
        </w:rPr>
        <w:t>Spletišče F</w:t>
      </w:r>
      <w:r>
        <w:rPr>
          <w:rFonts w:ascii="Arial" w:hAnsi="Arial" w:cs="Arial"/>
          <w:b/>
          <w:bCs/>
          <w:sz w:val="20"/>
          <w:szCs w:val="20"/>
          <w:lang w:eastAsia="sl-SI"/>
        </w:rPr>
        <w:t>U</w:t>
      </w:r>
      <w:r w:rsidRPr="00721DA2">
        <w:rPr>
          <w:rFonts w:ascii="Arial" w:hAnsi="Arial" w:cs="Arial"/>
          <w:b/>
          <w:bCs/>
          <w:sz w:val="20"/>
          <w:szCs w:val="20"/>
          <w:lang w:eastAsia="sl-SI"/>
        </w:rPr>
        <w:t>RS</w:t>
      </w:r>
    </w:p>
    <w:p w14:paraId="366A79E0"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 xml:space="preserve">Iz analitike izhaja, da je spletno mesto v letu 2024 obiskalo </w:t>
      </w:r>
      <w:r>
        <w:rPr>
          <w:rFonts w:ascii="Arial" w:hAnsi="Arial" w:cs="Arial"/>
          <w:sz w:val="20"/>
          <w:szCs w:val="20"/>
          <w:lang w:eastAsia="sl-SI"/>
        </w:rPr>
        <w:t>približno</w:t>
      </w:r>
      <w:r w:rsidRPr="00721DA2">
        <w:rPr>
          <w:rFonts w:ascii="Arial" w:hAnsi="Arial" w:cs="Arial"/>
          <w:sz w:val="20"/>
          <w:szCs w:val="20"/>
          <w:lang w:eastAsia="sl-SI"/>
        </w:rPr>
        <w:t xml:space="preserve"> </w:t>
      </w:r>
      <w:r>
        <w:rPr>
          <w:rFonts w:ascii="Arial" w:hAnsi="Arial" w:cs="Arial"/>
          <w:sz w:val="20"/>
          <w:szCs w:val="20"/>
          <w:lang w:eastAsia="sl-SI"/>
        </w:rPr>
        <w:t>dva</w:t>
      </w:r>
      <w:r w:rsidRPr="00721DA2">
        <w:rPr>
          <w:rFonts w:ascii="Arial" w:hAnsi="Arial" w:cs="Arial"/>
          <w:sz w:val="20"/>
          <w:szCs w:val="20"/>
          <w:lang w:eastAsia="sl-SI"/>
        </w:rPr>
        <w:t xml:space="preserve"> milijona obiskovalcev, opravil</w:t>
      </w:r>
      <w:r>
        <w:rPr>
          <w:rFonts w:ascii="Arial" w:hAnsi="Arial" w:cs="Arial"/>
          <w:sz w:val="20"/>
          <w:szCs w:val="20"/>
          <w:lang w:eastAsia="sl-SI"/>
        </w:rPr>
        <w:t>i</w:t>
      </w:r>
      <w:r w:rsidRPr="00721DA2">
        <w:rPr>
          <w:rFonts w:ascii="Arial" w:hAnsi="Arial" w:cs="Arial"/>
          <w:sz w:val="20"/>
          <w:szCs w:val="20"/>
          <w:lang w:eastAsia="sl-SI"/>
        </w:rPr>
        <w:t xml:space="preserve"> </w:t>
      </w:r>
      <w:r>
        <w:rPr>
          <w:rFonts w:ascii="Arial" w:hAnsi="Arial" w:cs="Arial"/>
          <w:sz w:val="20"/>
          <w:szCs w:val="20"/>
          <w:lang w:eastAsia="sl-SI"/>
        </w:rPr>
        <w:t>so</w:t>
      </w:r>
      <w:r w:rsidRPr="00721DA2">
        <w:rPr>
          <w:rFonts w:ascii="Arial" w:hAnsi="Arial" w:cs="Arial"/>
          <w:sz w:val="20"/>
          <w:szCs w:val="20"/>
          <w:lang w:eastAsia="sl-SI"/>
        </w:rPr>
        <w:t xml:space="preserve"> </w:t>
      </w:r>
      <w:r>
        <w:rPr>
          <w:rFonts w:ascii="Arial" w:hAnsi="Arial" w:cs="Arial"/>
          <w:sz w:val="20"/>
          <w:szCs w:val="20"/>
          <w:lang w:eastAsia="sl-SI"/>
        </w:rPr>
        <w:t>tri</w:t>
      </w:r>
      <w:r w:rsidRPr="00721DA2">
        <w:rPr>
          <w:rFonts w:ascii="Arial" w:hAnsi="Arial" w:cs="Arial"/>
          <w:sz w:val="20"/>
          <w:szCs w:val="20"/>
          <w:lang w:eastAsia="sl-SI"/>
        </w:rPr>
        <w:t xml:space="preserve"> milijone ogledov strani in prenesl</w:t>
      </w:r>
      <w:r>
        <w:rPr>
          <w:rFonts w:ascii="Arial" w:hAnsi="Arial" w:cs="Arial"/>
          <w:sz w:val="20"/>
          <w:szCs w:val="20"/>
          <w:lang w:eastAsia="sl-SI"/>
        </w:rPr>
        <w:t>i več kakor</w:t>
      </w:r>
      <w:r w:rsidRPr="00721DA2">
        <w:rPr>
          <w:rFonts w:ascii="Arial" w:hAnsi="Arial" w:cs="Arial"/>
          <w:sz w:val="20"/>
          <w:szCs w:val="20"/>
          <w:lang w:eastAsia="sl-SI"/>
        </w:rPr>
        <w:t xml:space="preserve"> </w:t>
      </w:r>
      <w:r>
        <w:rPr>
          <w:rFonts w:ascii="Arial" w:hAnsi="Arial" w:cs="Arial"/>
          <w:sz w:val="20"/>
          <w:szCs w:val="20"/>
          <w:lang w:eastAsia="sl-SI"/>
        </w:rPr>
        <w:t>pol</w:t>
      </w:r>
      <w:r w:rsidRPr="00721DA2">
        <w:rPr>
          <w:rFonts w:ascii="Arial" w:hAnsi="Arial" w:cs="Arial"/>
          <w:sz w:val="20"/>
          <w:szCs w:val="20"/>
          <w:lang w:eastAsia="sl-SI"/>
        </w:rPr>
        <w:t xml:space="preserve"> milijona dokumentov.</w:t>
      </w:r>
    </w:p>
    <w:p w14:paraId="2DD24DA2"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 xml:space="preserve">V septembru 2024 je </w:t>
      </w:r>
      <w:r>
        <w:rPr>
          <w:rFonts w:ascii="Arial" w:hAnsi="Arial" w:cs="Arial"/>
          <w:sz w:val="20"/>
          <w:szCs w:val="20"/>
          <w:lang w:eastAsia="sl-SI"/>
        </w:rPr>
        <w:t>za</w:t>
      </w:r>
      <w:r w:rsidRPr="00721DA2">
        <w:rPr>
          <w:rFonts w:ascii="Arial" w:hAnsi="Arial" w:cs="Arial"/>
          <w:sz w:val="20"/>
          <w:szCs w:val="20"/>
          <w:lang w:eastAsia="sl-SI"/>
        </w:rPr>
        <w:t>čela veljati Uredba o spremembah Uredbe o celostni grafični podobi Vlade Republike Slovenije in drugih organov državne uprave, zato poteka oblikovno in funkcijsko preoblikovanje spletišča, da bodo izpolnjene zahteve iz uredbe. Sočasno bodo izvedeni tudi manjši popravki in funkcionalne dopolnitve.</w:t>
      </w:r>
    </w:p>
    <w:p w14:paraId="77F90FB9" w14:textId="77777777" w:rsidR="00A155A2" w:rsidRPr="00721DA2" w:rsidRDefault="00A155A2" w:rsidP="00A155A2">
      <w:pPr>
        <w:pStyle w:val="Brezrazmikov"/>
        <w:spacing w:line="276" w:lineRule="auto"/>
        <w:jc w:val="both"/>
        <w:rPr>
          <w:rFonts w:ascii="Arial" w:hAnsi="Arial" w:cs="Arial"/>
          <w:sz w:val="20"/>
          <w:szCs w:val="20"/>
          <w:lang w:eastAsia="sl-SI"/>
        </w:rPr>
      </w:pPr>
    </w:p>
    <w:p w14:paraId="28DD1E2D"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V letu 2024 so se začele aktivnosti za prenovo spletišča, ki bo v produkcijo umeščeno predvidoma v prvem tr</w:t>
      </w:r>
      <w:r>
        <w:rPr>
          <w:rFonts w:ascii="Arial" w:hAnsi="Arial" w:cs="Arial"/>
          <w:sz w:val="20"/>
          <w:szCs w:val="20"/>
          <w:lang w:eastAsia="sl-SI"/>
        </w:rPr>
        <w:t>i</w:t>
      </w:r>
      <w:r w:rsidRPr="00721DA2">
        <w:rPr>
          <w:rFonts w:ascii="Arial" w:hAnsi="Arial" w:cs="Arial"/>
          <w:sz w:val="20"/>
          <w:szCs w:val="20"/>
          <w:lang w:eastAsia="sl-SI"/>
        </w:rPr>
        <w:t>mesečju leta 2025.</w:t>
      </w:r>
    </w:p>
    <w:p w14:paraId="45DB6277" w14:textId="77777777" w:rsidR="00A155A2" w:rsidRPr="00267E7A" w:rsidRDefault="00A155A2" w:rsidP="00A155A2">
      <w:pPr>
        <w:pStyle w:val="Brezrazmikov"/>
        <w:spacing w:line="276" w:lineRule="auto"/>
        <w:jc w:val="both"/>
        <w:rPr>
          <w:rFonts w:ascii="Arial" w:hAnsi="Arial" w:cs="Arial"/>
          <w:b/>
          <w:bCs/>
          <w:sz w:val="20"/>
          <w:szCs w:val="20"/>
          <w:lang w:eastAsia="sl-SI"/>
        </w:rPr>
      </w:pPr>
    </w:p>
    <w:p w14:paraId="0C5D38F7" w14:textId="77777777" w:rsidR="00A155A2" w:rsidRPr="00267E7A" w:rsidRDefault="00A155A2" w:rsidP="00A155A2">
      <w:pPr>
        <w:pStyle w:val="Brezrazmikov"/>
        <w:spacing w:line="276" w:lineRule="auto"/>
        <w:jc w:val="both"/>
        <w:rPr>
          <w:rFonts w:ascii="Arial" w:hAnsi="Arial" w:cs="Arial"/>
          <w:b/>
          <w:bCs/>
          <w:sz w:val="20"/>
          <w:szCs w:val="20"/>
          <w:lang w:eastAsia="sl-SI"/>
        </w:rPr>
      </w:pPr>
      <w:r w:rsidRPr="00267E7A">
        <w:rPr>
          <w:rFonts w:ascii="Arial" w:hAnsi="Arial" w:cs="Arial"/>
          <w:b/>
          <w:bCs/>
          <w:sz w:val="20"/>
          <w:szCs w:val="20"/>
          <w:lang w:eastAsia="sl-SI"/>
        </w:rPr>
        <w:t>Komuniciranje z mediji</w:t>
      </w:r>
    </w:p>
    <w:p w14:paraId="6F5F0503"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V letu 2024 je FURS nadaljeval proaktivn</w:t>
      </w:r>
      <w:r>
        <w:rPr>
          <w:rFonts w:ascii="Arial" w:hAnsi="Arial" w:cs="Arial"/>
          <w:sz w:val="20"/>
          <w:szCs w:val="20"/>
          <w:lang w:eastAsia="sl-SI"/>
        </w:rPr>
        <w:t>o</w:t>
      </w:r>
      <w:r w:rsidRPr="00267E7A">
        <w:rPr>
          <w:rFonts w:ascii="Arial" w:hAnsi="Arial" w:cs="Arial"/>
          <w:sz w:val="20"/>
          <w:szCs w:val="20"/>
          <w:lang w:eastAsia="sl-SI"/>
        </w:rPr>
        <w:t xml:space="preserve"> medijsk</w:t>
      </w:r>
      <w:r>
        <w:rPr>
          <w:rFonts w:ascii="Arial" w:hAnsi="Arial" w:cs="Arial"/>
          <w:sz w:val="20"/>
          <w:szCs w:val="20"/>
          <w:lang w:eastAsia="sl-SI"/>
        </w:rPr>
        <w:t>o</w:t>
      </w:r>
      <w:r w:rsidRPr="00267E7A">
        <w:rPr>
          <w:rFonts w:ascii="Arial" w:hAnsi="Arial" w:cs="Arial"/>
          <w:sz w:val="20"/>
          <w:szCs w:val="20"/>
          <w:lang w:eastAsia="sl-SI"/>
        </w:rPr>
        <w:t xml:space="preserve"> komuniciranje. Davčne zavezance je p</w:t>
      </w:r>
      <w:r>
        <w:rPr>
          <w:rFonts w:ascii="Arial" w:hAnsi="Arial" w:cs="Arial"/>
          <w:sz w:val="20"/>
          <w:szCs w:val="20"/>
          <w:lang w:eastAsia="sl-SI"/>
        </w:rPr>
        <w:t>o</w:t>
      </w:r>
      <w:r w:rsidRPr="00267E7A">
        <w:rPr>
          <w:rFonts w:ascii="Arial" w:hAnsi="Arial" w:cs="Arial"/>
          <w:sz w:val="20"/>
          <w:szCs w:val="20"/>
          <w:lang w:eastAsia="sl-SI"/>
        </w:rPr>
        <w:t xml:space="preserve"> medij</w:t>
      </w:r>
      <w:r>
        <w:rPr>
          <w:rFonts w:ascii="Arial" w:hAnsi="Arial" w:cs="Arial"/>
          <w:sz w:val="20"/>
          <w:szCs w:val="20"/>
          <w:lang w:eastAsia="sl-SI"/>
        </w:rPr>
        <w:t>ih</w:t>
      </w:r>
      <w:r w:rsidRPr="00267E7A">
        <w:rPr>
          <w:rFonts w:ascii="Arial" w:hAnsi="Arial" w:cs="Arial"/>
          <w:sz w:val="20"/>
          <w:szCs w:val="20"/>
          <w:lang w:eastAsia="sl-SI"/>
        </w:rPr>
        <w:t xml:space="preserve"> obveščal o pravicah in obveznostih ter novostih. Poseben poudarek pri komuniciranju z javnostjo je bil namenjen načinu podajanja informacij. Kljub </w:t>
      </w:r>
      <w:r>
        <w:rPr>
          <w:rFonts w:ascii="Arial" w:hAnsi="Arial" w:cs="Arial"/>
          <w:sz w:val="20"/>
          <w:szCs w:val="20"/>
          <w:lang w:eastAsia="sl-SI"/>
        </w:rPr>
        <w:t>zapletenosti</w:t>
      </w:r>
      <w:r w:rsidRPr="00267E7A">
        <w:rPr>
          <w:rFonts w:ascii="Arial" w:hAnsi="Arial" w:cs="Arial"/>
          <w:sz w:val="20"/>
          <w:szCs w:val="20"/>
          <w:lang w:eastAsia="sl-SI"/>
        </w:rPr>
        <w:t xml:space="preserve"> davčne in carinske tematike skuša</w:t>
      </w:r>
      <w:r>
        <w:rPr>
          <w:rFonts w:ascii="Arial" w:hAnsi="Arial" w:cs="Arial"/>
          <w:sz w:val="20"/>
          <w:szCs w:val="20"/>
          <w:lang w:eastAsia="sl-SI"/>
        </w:rPr>
        <w:t>mo</w:t>
      </w:r>
      <w:r w:rsidRPr="00267E7A">
        <w:rPr>
          <w:rFonts w:ascii="Arial" w:hAnsi="Arial" w:cs="Arial"/>
          <w:sz w:val="20"/>
          <w:szCs w:val="20"/>
          <w:lang w:eastAsia="sl-SI"/>
        </w:rPr>
        <w:t xml:space="preserve"> z mediji </w:t>
      </w:r>
      <w:r>
        <w:rPr>
          <w:rFonts w:ascii="Arial" w:hAnsi="Arial" w:cs="Arial"/>
          <w:sz w:val="20"/>
          <w:szCs w:val="20"/>
          <w:lang w:eastAsia="sl-SI"/>
        </w:rPr>
        <w:t>in</w:t>
      </w:r>
      <w:r w:rsidRPr="00267E7A">
        <w:rPr>
          <w:rFonts w:ascii="Arial" w:hAnsi="Arial" w:cs="Arial"/>
          <w:sz w:val="20"/>
          <w:szCs w:val="20"/>
          <w:lang w:eastAsia="sl-SI"/>
        </w:rPr>
        <w:t xml:space="preserve"> zavezanci komunicirati na poljuden</w:t>
      </w:r>
      <w:r>
        <w:rPr>
          <w:rFonts w:ascii="Arial" w:hAnsi="Arial" w:cs="Arial"/>
          <w:sz w:val="20"/>
          <w:szCs w:val="20"/>
          <w:lang w:eastAsia="sl-SI"/>
        </w:rPr>
        <w:t xml:space="preserve"> in</w:t>
      </w:r>
      <w:r w:rsidRPr="00267E7A">
        <w:rPr>
          <w:rFonts w:ascii="Arial" w:hAnsi="Arial" w:cs="Arial"/>
          <w:sz w:val="20"/>
          <w:szCs w:val="20"/>
          <w:lang w:eastAsia="sl-SI"/>
        </w:rPr>
        <w:t xml:space="preserve"> razumljiv, </w:t>
      </w:r>
      <w:r>
        <w:rPr>
          <w:rFonts w:ascii="Arial" w:hAnsi="Arial" w:cs="Arial"/>
          <w:sz w:val="20"/>
          <w:szCs w:val="20"/>
          <w:lang w:eastAsia="sl-SI"/>
        </w:rPr>
        <w:t>a</w:t>
      </w:r>
      <w:r w:rsidRPr="00267E7A">
        <w:rPr>
          <w:rFonts w:ascii="Arial" w:hAnsi="Arial" w:cs="Arial"/>
          <w:sz w:val="20"/>
          <w:szCs w:val="20"/>
          <w:lang w:eastAsia="sl-SI"/>
        </w:rPr>
        <w:t xml:space="preserve"> še vedno strokoven način. </w:t>
      </w:r>
      <w:r>
        <w:rPr>
          <w:rFonts w:ascii="Arial" w:hAnsi="Arial" w:cs="Arial"/>
          <w:sz w:val="20"/>
          <w:szCs w:val="20"/>
          <w:lang w:eastAsia="sl-SI"/>
        </w:rPr>
        <w:t>Zato smo</w:t>
      </w:r>
      <w:r w:rsidRPr="00267E7A">
        <w:rPr>
          <w:rFonts w:ascii="Arial" w:hAnsi="Arial" w:cs="Arial"/>
          <w:sz w:val="20"/>
          <w:szCs w:val="20"/>
          <w:lang w:eastAsia="sl-SI"/>
        </w:rPr>
        <w:t xml:space="preserve"> tudi v letu 2024 </w:t>
      </w:r>
      <w:r>
        <w:rPr>
          <w:rFonts w:ascii="Arial" w:hAnsi="Arial" w:cs="Arial"/>
          <w:sz w:val="20"/>
          <w:szCs w:val="20"/>
          <w:lang w:eastAsia="sl-SI"/>
        </w:rPr>
        <w:t xml:space="preserve">z namenom okrepitve </w:t>
      </w:r>
      <w:r w:rsidRPr="00267E7A">
        <w:rPr>
          <w:rFonts w:ascii="Arial" w:hAnsi="Arial" w:cs="Arial"/>
          <w:sz w:val="20"/>
          <w:szCs w:val="20"/>
          <w:lang w:eastAsia="sl-SI"/>
        </w:rPr>
        <w:t>digitalizacije</w:t>
      </w:r>
      <w:r w:rsidRPr="00267E7A" w:rsidDel="00784B21">
        <w:rPr>
          <w:rFonts w:ascii="Arial" w:hAnsi="Arial" w:cs="Arial"/>
          <w:sz w:val="20"/>
          <w:szCs w:val="20"/>
          <w:lang w:eastAsia="sl-SI"/>
        </w:rPr>
        <w:t xml:space="preserve"> </w:t>
      </w:r>
      <w:r w:rsidRPr="00267E7A">
        <w:rPr>
          <w:rFonts w:ascii="Arial" w:hAnsi="Arial" w:cs="Arial"/>
          <w:sz w:val="20"/>
          <w:szCs w:val="20"/>
          <w:lang w:eastAsia="sl-SI"/>
        </w:rPr>
        <w:t>posodabljal</w:t>
      </w:r>
      <w:r>
        <w:rPr>
          <w:rFonts w:ascii="Arial" w:hAnsi="Arial" w:cs="Arial"/>
          <w:sz w:val="20"/>
          <w:szCs w:val="20"/>
          <w:lang w:eastAsia="sl-SI"/>
        </w:rPr>
        <w:t>i</w:t>
      </w:r>
      <w:r w:rsidRPr="00267E7A">
        <w:rPr>
          <w:rFonts w:ascii="Arial" w:hAnsi="Arial" w:cs="Arial"/>
          <w:sz w:val="20"/>
          <w:szCs w:val="20"/>
          <w:lang w:eastAsia="sl-SI"/>
        </w:rPr>
        <w:t xml:space="preserve"> različna komunikacijska orodja in pripomočk</w:t>
      </w:r>
      <w:r>
        <w:rPr>
          <w:rFonts w:ascii="Arial" w:hAnsi="Arial" w:cs="Arial"/>
          <w:sz w:val="20"/>
          <w:szCs w:val="20"/>
          <w:lang w:eastAsia="sl-SI"/>
        </w:rPr>
        <w:t>e ter uvajali nove. V ospredju so bili tako</w:t>
      </w:r>
      <w:r w:rsidRPr="00267E7A">
        <w:rPr>
          <w:rFonts w:ascii="Arial" w:hAnsi="Arial" w:cs="Arial"/>
          <w:sz w:val="20"/>
          <w:szCs w:val="20"/>
          <w:lang w:eastAsia="sl-SI"/>
        </w:rPr>
        <w:t xml:space="preserve"> uporaba </w:t>
      </w:r>
      <w:proofErr w:type="spellStart"/>
      <w:r w:rsidRPr="00267E7A">
        <w:rPr>
          <w:rFonts w:ascii="Arial" w:hAnsi="Arial" w:cs="Arial"/>
          <w:sz w:val="20"/>
          <w:szCs w:val="20"/>
          <w:lang w:eastAsia="sl-SI"/>
        </w:rPr>
        <w:t>videovsebin</w:t>
      </w:r>
      <w:proofErr w:type="spellEnd"/>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podkastov</w:t>
      </w:r>
      <w:proofErr w:type="spellEnd"/>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infografik</w:t>
      </w:r>
      <w:proofErr w:type="spellEnd"/>
      <w:r w:rsidRPr="00267E7A">
        <w:rPr>
          <w:rFonts w:ascii="Arial" w:hAnsi="Arial" w:cs="Arial"/>
          <w:sz w:val="20"/>
          <w:szCs w:val="20"/>
          <w:lang w:eastAsia="sl-SI"/>
        </w:rPr>
        <w:t xml:space="preserve"> in širitev komuniciranja </w:t>
      </w:r>
      <w:r>
        <w:rPr>
          <w:rFonts w:ascii="Arial" w:hAnsi="Arial" w:cs="Arial"/>
          <w:sz w:val="20"/>
          <w:szCs w:val="20"/>
          <w:lang w:eastAsia="sl-SI"/>
        </w:rPr>
        <w:t>na</w:t>
      </w:r>
      <w:r w:rsidRPr="00267E7A">
        <w:rPr>
          <w:rFonts w:ascii="Arial" w:hAnsi="Arial" w:cs="Arial"/>
          <w:sz w:val="20"/>
          <w:szCs w:val="20"/>
          <w:lang w:eastAsia="sl-SI"/>
        </w:rPr>
        <w:t xml:space="preserve"> družbenih omrežj</w:t>
      </w:r>
      <w:r>
        <w:rPr>
          <w:rFonts w:ascii="Arial" w:hAnsi="Arial" w:cs="Arial"/>
          <w:sz w:val="20"/>
          <w:szCs w:val="20"/>
          <w:lang w:eastAsia="sl-SI"/>
        </w:rPr>
        <w:t>ih</w:t>
      </w:r>
      <w:r w:rsidRPr="00267E7A">
        <w:rPr>
          <w:rFonts w:ascii="Arial" w:hAnsi="Arial" w:cs="Arial"/>
          <w:sz w:val="20"/>
          <w:szCs w:val="20"/>
          <w:lang w:eastAsia="sl-SI"/>
        </w:rPr>
        <w:t>.</w:t>
      </w:r>
    </w:p>
    <w:p w14:paraId="2B504784"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 </w:t>
      </w:r>
    </w:p>
    <w:p w14:paraId="41D45D82"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Pri komuniciranju z mediji s</w:t>
      </w:r>
      <w:r>
        <w:rPr>
          <w:rFonts w:ascii="Arial" w:hAnsi="Arial" w:cs="Arial"/>
          <w:sz w:val="20"/>
          <w:szCs w:val="20"/>
          <w:lang w:eastAsia="sl-SI"/>
        </w:rPr>
        <w:t>m</w:t>
      </w:r>
      <w:r w:rsidRPr="00267E7A">
        <w:rPr>
          <w:rFonts w:ascii="Arial" w:hAnsi="Arial" w:cs="Arial"/>
          <w:sz w:val="20"/>
          <w:szCs w:val="20"/>
          <w:lang w:eastAsia="sl-SI"/>
        </w:rPr>
        <w:t>o uporabljal</w:t>
      </w:r>
      <w:r>
        <w:rPr>
          <w:rFonts w:ascii="Arial" w:hAnsi="Arial" w:cs="Arial"/>
          <w:sz w:val="20"/>
          <w:szCs w:val="20"/>
          <w:lang w:eastAsia="sl-SI"/>
        </w:rPr>
        <w:t>i</w:t>
      </w:r>
      <w:r w:rsidRPr="00267E7A">
        <w:rPr>
          <w:rFonts w:ascii="Arial" w:hAnsi="Arial" w:cs="Arial"/>
          <w:sz w:val="20"/>
          <w:szCs w:val="20"/>
          <w:lang w:eastAsia="sl-SI"/>
        </w:rPr>
        <w:t xml:space="preserve"> različna komunikacijska orodja, n</w:t>
      </w:r>
      <w:r>
        <w:rPr>
          <w:rFonts w:ascii="Arial" w:hAnsi="Arial" w:cs="Arial"/>
          <w:sz w:val="20"/>
          <w:szCs w:val="20"/>
          <w:lang w:eastAsia="sl-SI"/>
        </w:rPr>
        <w:t xml:space="preserve">a </w:t>
      </w:r>
      <w:r w:rsidRPr="00267E7A">
        <w:rPr>
          <w:rFonts w:ascii="Arial" w:hAnsi="Arial" w:cs="Arial"/>
          <w:sz w:val="20"/>
          <w:szCs w:val="20"/>
          <w:lang w:eastAsia="sl-SI"/>
        </w:rPr>
        <w:t>pr</w:t>
      </w:r>
      <w:r>
        <w:rPr>
          <w:rFonts w:ascii="Arial" w:hAnsi="Arial" w:cs="Arial"/>
          <w:sz w:val="20"/>
          <w:szCs w:val="20"/>
          <w:lang w:eastAsia="sl-SI"/>
        </w:rPr>
        <w:t>imer</w:t>
      </w:r>
      <w:r w:rsidRPr="00267E7A">
        <w:rPr>
          <w:rFonts w:ascii="Arial" w:hAnsi="Arial" w:cs="Arial"/>
          <w:sz w:val="20"/>
          <w:szCs w:val="20"/>
          <w:lang w:eastAsia="sl-SI"/>
        </w:rPr>
        <w:t xml:space="preserve"> sporočila za javnost, novinarske konference, izjave za medije, odgovor</w:t>
      </w:r>
      <w:r>
        <w:rPr>
          <w:rFonts w:ascii="Arial" w:hAnsi="Arial" w:cs="Arial"/>
          <w:sz w:val="20"/>
          <w:szCs w:val="20"/>
          <w:lang w:eastAsia="sl-SI"/>
        </w:rPr>
        <w:t>e</w:t>
      </w:r>
      <w:r w:rsidRPr="00267E7A">
        <w:rPr>
          <w:rFonts w:ascii="Arial" w:hAnsi="Arial" w:cs="Arial"/>
          <w:sz w:val="20"/>
          <w:szCs w:val="20"/>
          <w:lang w:eastAsia="sl-SI"/>
        </w:rPr>
        <w:t xml:space="preserve"> na novinarska vprašanja.</w:t>
      </w:r>
    </w:p>
    <w:p w14:paraId="0B1413CE" w14:textId="77777777" w:rsidR="00A155A2" w:rsidRPr="00267E7A" w:rsidRDefault="00A155A2" w:rsidP="00A155A2">
      <w:pPr>
        <w:pStyle w:val="Brezrazmikov"/>
        <w:spacing w:line="276" w:lineRule="auto"/>
        <w:jc w:val="both"/>
        <w:rPr>
          <w:rFonts w:ascii="Arial" w:hAnsi="Arial" w:cs="Arial"/>
          <w:sz w:val="20"/>
          <w:szCs w:val="20"/>
          <w:lang w:eastAsia="sl-SI"/>
        </w:rPr>
      </w:pPr>
    </w:p>
    <w:p w14:paraId="1C487591"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FURS je leta 2024 odgovoril na 430 novinarskih vprašanj, kar je </w:t>
      </w:r>
      <w:r>
        <w:rPr>
          <w:rFonts w:ascii="Arial" w:hAnsi="Arial" w:cs="Arial"/>
          <w:sz w:val="20"/>
          <w:szCs w:val="20"/>
          <w:lang w:eastAsia="sl-SI"/>
        </w:rPr>
        <w:t xml:space="preserve">bilo </w:t>
      </w:r>
      <w:r w:rsidRPr="00267E7A">
        <w:rPr>
          <w:rFonts w:ascii="Arial" w:hAnsi="Arial" w:cs="Arial"/>
          <w:sz w:val="20"/>
          <w:szCs w:val="20"/>
          <w:lang w:eastAsia="sl-SI"/>
        </w:rPr>
        <w:t xml:space="preserve">9,5 odstotka manj kakor leto prej, </w:t>
      </w:r>
      <w:r>
        <w:rPr>
          <w:rFonts w:ascii="Arial" w:hAnsi="Arial" w:cs="Arial"/>
          <w:sz w:val="20"/>
          <w:szCs w:val="20"/>
          <w:lang w:eastAsia="sl-SI"/>
        </w:rPr>
        <w:t>in</w:t>
      </w:r>
      <w:r w:rsidRPr="00267E7A">
        <w:rPr>
          <w:rFonts w:ascii="Arial" w:hAnsi="Arial" w:cs="Arial"/>
          <w:sz w:val="20"/>
          <w:szCs w:val="20"/>
          <w:lang w:eastAsia="sl-SI"/>
        </w:rPr>
        <w:t xml:space="preserve"> objavil 84 sporočil za medije</w:t>
      </w:r>
      <w:r>
        <w:rPr>
          <w:rFonts w:ascii="Arial" w:hAnsi="Arial" w:cs="Arial"/>
          <w:sz w:val="20"/>
          <w:szCs w:val="20"/>
          <w:lang w:eastAsia="sl-SI"/>
        </w:rPr>
        <w:t xml:space="preserve"> ali</w:t>
      </w:r>
      <w:r w:rsidRPr="00267E7A">
        <w:rPr>
          <w:rFonts w:ascii="Arial" w:hAnsi="Arial" w:cs="Arial"/>
          <w:sz w:val="20"/>
          <w:szCs w:val="20"/>
          <w:lang w:eastAsia="sl-SI"/>
        </w:rPr>
        <w:t xml:space="preserve"> 13 odstotk</w:t>
      </w:r>
      <w:r>
        <w:rPr>
          <w:rFonts w:ascii="Arial" w:hAnsi="Arial" w:cs="Arial"/>
          <w:sz w:val="20"/>
          <w:szCs w:val="20"/>
          <w:lang w:eastAsia="sl-SI"/>
        </w:rPr>
        <w:t>ov</w:t>
      </w:r>
      <w:r w:rsidRPr="00267E7A">
        <w:rPr>
          <w:rFonts w:ascii="Arial" w:hAnsi="Arial" w:cs="Arial"/>
          <w:sz w:val="20"/>
          <w:szCs w:val="20"/>
          <w:lang w:eastAsia="sl-SI"/>
        </w:rPr>
        <w:t xml:space="preserve"> več. </w:t>
      </w:r>
      <w:r>
        <w:rPr>
          <w:rFonts w:ascii="Arial" w:hAnsi="Arial" w:cs="Arial"/>
          <w:sz w:val="20"/>
          <w:szCs w:val="20"/>
          <w:lang w:eastAsia="sl-SI"/>
        </w:rPr>
        <w:t xml:space="preserve">V </w:t>
      </w:r>
      <w:r w:rsidRPr="00267E7A">
        <w:rPr>
          <w:rFonts w:ascii="Arial" w:hAnsi="Arial" w:cs="Arial"/>
          <w:sz w:val="20"/>
          <w:szCs w:val="20"/>
          <w:lang w:eastAsia="sl-SI"/>
        </w:rPr>
        <w:t xml:space="preserve">letu 2024 </w:t>
      </w:r>
      <w:r>
        <w:rPr>
          <w:rFonts w:ascii="Arial" w:hAnsi="Arial" w:cs="Arial"/>
          <w:sz w:val="20"/>
          <w:szCs w:val="20"/>
          <w:lang w:eastAsia="sl-SI"/>
        </w:rPr>
        <w:t xml:space="preserve">je bilo </w:t>
      </w:r>
      <w:r w:rsidRPr="00267E7A">
        <w:rPr>
          <w:rFonts w:ascii="Arial" w:hAnsi="Arial" w:cs="Arial"/>
          <w:sz w:val="20"/>
          <w:szCs w:val="20"/>
          <w:lang w:eastAsia="sl-SI"/>
        </w:rPr>
        <w:t>okrepljeno predvsem informiranje zavezancev v zvezi z možnostmi elektronskega poslovanja s FURS in glede prijavljanja dohodkov, ki so jih zavezanci dosegli v tujini.</w:t>
      </w:r>
    </w:p>
    <w:p w14:paraId="22D30A34" w14:textId="77777777" w:rsidR="00A155A2" w:rsidRPr="00267E7A" w:rsidRDefault="00A155A2" w:rsidP="00A155A2">
      <w:pPr>
        <w:pStyle w:val="Brezrazmikov"/>
        <w:spacing w:line="276" w:lineRule="auto"/>
        <w:jc w:val="both"/>
        <w:rPr>
          <w:rFonts w:ascii="Arial" w:hAnsi="Arial" w:cs="Arial"/>
          <w:sz w:val="20"/>
          <w:szCs w:val="20"/>
          <w:lang w:eastAsia="sl-SI"/>
        </w:rPr>
      </w:pPr>
    </w:p>
    <w:p w14:paraId="153B2E28" w14:textId="77777777" w:rsidR="00A155A2" w:rsidRPr="00267E7A" w:rsidRDefault="00A155A2" w:rsidP="00A155A2">
      <w:pPr>
        <w:pStyle w:val="Brezrazmikov"/>
        <w:spacing w:line="276" w:lineRule="auto"/>
        <w:jc w:val="both"/>
        <w:rPr>
          <w:rFonts w:ascii="Arial" w:hAnsi="Arial" w:cs="Arial"/>
          <w:b/>
          <w:bCs/>
          <w:sz w:val="20"/>
          <w:szCs w:val="20"/>
          <w:lang w:eastAsia="sl-SI"/>
        </w:rPr>
      </w:pPr>
      <w:r w:rsidRPr="00267E7A">
        <w:rPr>
          <w:rFonts w:ascii="Arial" w:hAnsi="Arial" w:cs="Arial"/>
          <w:b/>
          <w:bCs/>
          <w:sz w:val="20"/>
          <w:szCs w:val="20"/>
          <w:lang w:eastAsia="sl-SI"/>
        </w:rPr>
        <w:t xml:space="preserve">Družbena omrežja </w:t>
      </w:r>
    </w:p>
    <w:p w14:paraId="1A667007" w14:textId="77777777" w:rsidR="00A155A2" w:rsidRPr="00267E7A" w:rsidRDefault="00A155A2" w:rsidP="00A155A2">
      <w:pPr>
        <w:pStyle w:val="Brezrazmikov"/>
        <w:spacing w:line="276" w:lineRule="auto"/>
        <w:jc w:val="both"/>
        <w:rPr>
          <w:rFonts w:ascii="Arial" w:hAnsi="Arial" w:cs="Arial"/>
          <w:sz w:val="20"/>
          <w:szCs w:val="20"/>
          <w:lang w:eastAsia="sl-SI"/>
        </w:rPr>
      </w:pPr>
      <w:r>
        <w:rPr>
          <w:rFonts w:ascii="Arial" w:hAnsi="Arial" w:cs="Arial"/>
          <w:sz w:val="20"/>
          <w:szCs w:val="20"/>
          <w:lang w:eastAsia="sl-SI"/>
        </w:rPr>
        <w:t>V s</w:t>
      </w:r>
      <w:r w:rsidRPr="00267E7A">
        <w:rPr>
          <w:rFonts w:ascii="Arial" w:hAnsi="Arial" w:cs="Arial"/>
          <w:sz w:val="20"/>
          <w:szCs w:val="20"/>
          <w:lang w:eastAsia="sl-SI"/>
        </w:rPr>
        <w:t>klad</w:t>
      </w:r>
      <w:r>
        <w:rPr>
          <w:rFonts w:ascii="Arial" w:hAnsi="Arial" w:cs="Arial"/>
          <w:sz w:val="20"/>
          <w:szCs w:val="20"/>
          <w:lang w:eastAsia="sl-SI"/>
        </w:rPr>
        <w:t>u</w:t>
      </w:r>
      <w:r w:rsidRPr="00267E7A">
        <w:rPr>
          <w:rFonts w:ascii="Arial" w:hAnsi="Arial" w:cs="Arial"/>
          <w:sz w:val="20"/>
          <w:szCs w:val="20"/>
          <w:lang w:eastAsia="sl-SI"/>
        </w:rPr>
        <w:t xml:space="preserve"> s svetovnimi </w:t>
      </w:r>
      <w:r>
        <w:rPr>
          <w:rFonts w:ascii="Arial" w:hAnsi="Arial" w:cs="Arial"/>
          <w:sz w:val="20"/>
          <w:szCs w:val="20"/>
          <w:lang w:eastAsia="sl-SI"/>
        </w:rPr>
        <w:t>smernicami</w:t>
      </w:r>
      <w:r w:rsidRPr="00267E7A">
        <w:rPr>
          <w:rFonts w:ascii="Arial" w:hAnsi="Arial" w:cs="Arial"/>
          <w:sz w:val="20"/>
          <w:szCs w:val="20"/>
          <w:lang w:eastAsia="sl-SI"/>
        </w:rPr>
        <w:t xml:space="preserve"> spreminjanja medijskega prostora je FURS začel </w:t>
      </w:r>
      <w:r>
        <w:rPr>
          <w:rFonts w:ascii="Arial" w:hAnsi="Arial" w:cs="Arial"/>
          <w:sz w:val="20"/>
          <w:szCs w:val="20"/>
          <w:lang w:eastAsia="sl-SI"/>
        </w:rPr>
        <w:t xml:space="preserve">uresničevati </w:t>
      </w:r>
      <w:r w:rsidRPr="00267E7A">
        <w:rPr>
          <w:rFonts w:ascii="Arial" w:hAnsi="Arial" w:cs="Arial"/>
          <w:sz w:val="20"/>
          <w:szCs w:val="20"/>
          <w:lang w:eastAsia="sl-SI"/>
        </w:rPr>
        <w:t>novo strategijo komuniciranja p</w:t>
      </w:r>
      <w:r>
        <w:rPr>
          <w:rFonts w:ascii="Arial" w:hAnsi="Arial" w:cs="Arial"/>
          <w:sz w:val="20"/>
          <w:szCs w:val="20"/>
          <w:lang w:eastAsia="sl-SI"/>
        </w:rPr>
        <w:t>o</w:t>
      </w:r>
      <w:r w:rsidRPr="00267E7A">
        <w:rPr>
          <w:rFonts w:ascii="Arial" w:hAnsi="Arial" w:cs="Arial"/>
          <w:sz w:val="20"/>
          <w:szCs w:val="20"/>
          <w:lang w:eastAsia="sl-SI"/>
        </w:rPr>
        <w:t xml:space="preserve"> družbenih omrežj</w:t>
      </w:r>
      <w:r>
        <w:rPr>
          <w:rFonts w:ascii="Arial" w:hAnsi="Arial" w:cs="Arial"/>
          <w:sz w:val="20"/>
          <w:szCs w:val="20"/>
          <w:lang w:eastAsia="sl-SI"/>
        </w:rPr>
        <w:t>ih</w:t>
      </w:r>
      <w:r w:rsidRPr="00267E7A">
        <w:rPr>
          <w:rFonts w:ascii="Arial" w:hAnsi="Arial" w:cs="Arial"/>
          <w:sz w:val="20"/>
          <w:szCs w:val="20"/>
          <w:lang w:eastAsia="sl-SI"/>
        </w:rPr>
        <w:t xml:space="preserve">. </w:t>
      </w:r>
      <w:r>
        <w:rPr>
          <w:rFonts w:ascii="Arial" w:hAnsi="Arial" w:cs="Arial"/>
          <w:sz w:val="20"/>
          <w:szCs w:val="20"/>
          <w:lang w:eastAsia="sl-SI"/>
        </w:rPr>
        <w:t>Tako</w:t>
      </w:r>
      <w:r w:rsidRPr="00267E7A">
        <w:rPr>
          <w:rFonts w:ascii="Arial" w:hAnsi="Arial" w:cs="Arial"/>
          <w:sz w:val="20"/>
          <w:szCs w:val="20"/>
          <w:lang w:eastAsia="sl-SI"/>
        </w:rPr>
        <w:t xml:space="preserve"> s</w:t>
      </w:r>
      <w:r>
        <w:rPr>
          <w:rFonts w:ascii="Arial" w:hAnsi="Arial" w:cs="Arial"/>
          <w:sz w:val="20"/>
          <w:szCs w:val="20"/>
          <w:lang w:eastAsia="sl-SI"/>
        </w:rPr>
        <w:t>e</w:t>
      </w:r>
      <w:r w:rsidRPr="00267E7A">
        <w:rPr>
          <w:rFonts w:ascii="Arial" w:hAnsi="Arial" w:cs="Arial"/>
          <w:sz w:val="20"/>
          <w:szCs w:val="20"/>
          <w:lang w:eastAsia="sl-SI"/>
        </w:rPr>
        <w:t xml:space="preserve"> želi približati čim širši javnosti </w:t>
      </w:r>
      <w:r>
        <w:rPr>
          <w:rFonts w:ascii="Arial" w:hAnsi="Arial" w:cs="Arial"/>
          <w:sz w:val="20"/>
          <w:szCs w:val="20"/>
          <w:lang w:eastAsia="sl-SI"/>
        </w:rPr>
        <w:t>in</w:t>
      </w:r>
      <w:r w:rsidRPr="00267E7A">
        <w:rPr>
          <w:rFonts w:ascii="Arial" w:hAnsi="Arial" w:cs="Arial"/>
          <w:sz w:val="20"/>
          <w:szCs w:val="20"/>
          <w:lang w:eastAsia="sl-SI"/>
        </w:rPr>
        <w:t xml:space="preserve"> zavezancem </w:t>
      </w:r>
      <w:r w:rsidRPr="00267E7A">
        <w:rPr>
          <w:rFonts w:ascii="Arial" w:hAnsi="Arial" w:cs="Arial"/>
          <w:sz w:val="20"/>
          <w:szCs w:val="20"/>
          <w:lang w:eastAsia="sl-SI"/>
        </w:rPr>
        <w:lastRenderedPageBreak/>
        <w:t xml:space="preserve">davčne vsebine predstaviti na drugačen način, predvsem pa pridobiti čim širši krog sledilcev, ki jim lahko </w:t>
      </w:r>
      <w:r>
        <w:rPr>
          <w:rFonts w:ascii="Arial" w:hAnsi="Arial" w:cs="Arial"/>
          <w:sz w:val="20"/>
          <w:szCs w:val="20"/>
          <w:lang w:eastAsia="sl-SI"/>
        </w:rPr>
        <w:t>predloži</w:t>
      </w:r>
      <w:r w:rsidRPr="00267E7A">
        <w:rPr>
          <w:rFonts w:ascii="Arial" w:hAnsi="Arial" w:cs="Arial"/>
          <w:sz w:val="20"/>
          <w:szCs w:val="20"/>
          <w:lang w:eastAsia="sl-SI"/>
        </w:rPr>
        <w:t xml:space="preserve"> </w:t>
      </w:r>
      <w:r>
        <w:rPr>
          <w:rFonts w:ascii="Arial" w:hAnsi="Arial" w:cs="Arial"/>
          <w:sz w:val="20"/>
          <w:szCs w:val="20"/>
          <w:lang w:eastAsia="sl-SI"/>
        </w:rPr>
        <w:t>tehtne</w:t>
      </w:r>
      <w:r w:rsidRPr="00267E7A">
        <w:rPr>
          <w:rFonts w:ascii="Arial" w:hAnsi="Arial" w:cs="Arial"/>
          <w:sz w:val="20"/>
          <w:szCs w:val="20"/>
          <w:lang w:eastAsia="sl-SI"/>
        </w:rPr>
        <w:t xml:space="preserve"> informacije. Na družbenih omrežjih </w:t>
      </w:r>
      <w:r>
        <w:rPr>
          <w:rFonts w:ascii="Arial" w:hAnsi="Arial" w:cs="Arial"/>
          <w:sz w:val="20"/>
          <w:szCs w:val="20"/>
          <w:lang w:eastAsia="sl-SI"/>
        </w:rPr>
        <w:t xml:space="preserve">med drugim </w:t>
      </w:r>
      <w:r w:rsidRPr="00267E7A">
        <w:rPr>
          <w:rFonts w:ascii="Arial" w:hAnsi="Arial" w:cs="Arial"/>
          <w:sz w:val="20"/>
          <w:szCs w:val="20"/>
          <w:lang w:eastAsia="sl-SI"/>
        </w:rPr>
        <w:t>redno odgovarja na vprašanja zavezancev.</w:t>
      </w:r>
    </w:p>
    <w:p w14:paraId="66E4788F"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 </w:t>
      </w:r>
    </w:p>
    <w:p w14:paraId="65F1F2BE" w14:textId="77777777" w:rsidR="00A155A2" w:rsidRPr="00735952" w:rsidRDefault="00A155A2" w:rsidP="00A155A2">
      <w:pPr>
        <w:pStyle w:val="Brezrazmikov"/>
        <w:spacing w:line="276" w:lineRule="auto"/>
        <w:jc w:val="both"/>
        <w:rPr>
          <w:rFonts w:ascii="Arial" w:hAnsi="Arial" w:cs="Arial"/>
          <w:sz w:val="20"/>
          <w:szCs w:val="20"/>
          <w:lang w:eastAsia="sl-SI"/>
        </w:rPr>
      </w:pPr>
      <w:r>
        <w:rPr>
          <w:rFonts w:ascii="Arial" w:hAnsi="Arial" w:cs="Arial"/>
          <w:sz w:val="20"/>
          <w:szCs w:val="20"/>
          <w:lang w:eastAsia="sl-SI"/>
        </w:rPr>
        <w:t>Tudi v</w:t>
      </w:r>
      <w:r w:rsidRPr="00735952">
        <w:rPr>
          <w:rFonts w:ascii="Arial" w:hAnsi="Arial" w:cs="Arial"/>
          <w:sz w:val="20"/>
          <w:szCs w:val="20"/>
          <w:lang w:eastAsia="sl-SI"/>
        </w:rPr>
        <w:t xml:space="preserve"> letu 2024 je FURS </w:t>
      </w:r>
      <w:r>
        <w:rPr>
          <w:rFonts w:ascii="Arial" w:hAnsi="Arial" w:cs="Arial"/>
          <w:sz w:val="20"/>
          <w:szCs w:val="20"/>
          <w:lang w:eastAsia="sl-SI"/>
        </w:rPr>
        <w:t>objavljal</w:t>
      </w:r>
      <w:r w:rsidRPr="00735952">
        <w:rPr>
          <w:rFonts w:ascii="Arial" w:hAnsi="Arial" w:cs="Arial"/>
          <w:sz w:val="20"/>
          <w:szCs w:val="20"/>
          <w:lang w:eastAsia="sl-SI"/>
        </w:rPr>
        <w:t xml:space="preserve"> promoviran</w:t>
      </w:r>
      <w:r>
        <w:rPr>
          <w:rFonts w:ascii="Arial" w:hAnsi="Arial" w:cs="Arial"/>
          <w:sz w:val="20"/>
          <w:szCs w:val="20"/>
          <w:lang w:eastAsia="sl-SI"/>
        </w:rPr>
        <w:t>e</w:t>
      </w:r>
      <w:r w:rsidRPr="00735952">
        <w:rPr>
          <w:rFonts w:ascii="Arial" w:hAnsi="Arial" w:cs="Arial"/>
          <w:sz w:val="20"/>
          <w:szCs w:val="20"/>
          <w:lang w:eastAsia="sl-SI"/>
        </w:rPr>
        <w:t xml:space="preserve"> objav</w:t>
      </w:r>
      <w:r>
        <w:rPr>
          <w:rFonts w:ascii="Arial" w:hAnsi="Arial" w:cs="Arial"/>
          <w:sz w:val="20"/>
          <w:szCs w:val="20"/>
          <w:lang w:eastAsia="sl-SI"/>
        </w:rPr>
        <w:t>e</w:t>
      </w:r>
      <w:r w:rsidRPr="00735952">
        <w:rPr>
          <w:rFonts w:ascii="Arial" w:hAnsi="Arial" w:cs="Arial"/>
          <w:sz w:val="20"/>
          <w:szCs w:val="20"/>
          <w:lang w:eastAsia="sl-SI"/>
        </w:rPr>
        <w:t xml:space="preserve"> na družbenih </w:t>
      </w:r>
      <w:r>
        <w:rPr>
          <w:rFonts w:ascii="Arial" w:hAnsi="Arial" w:cs="Arial"/>
          <w:sz w:val="20"/>
          <w:szCs w:val="20"/>
          <w:lang w:eastAsia="sl-SI"/>
        </w:rPr>
        <w:t>omrežjih</w:t>
      </w:r>
      <w:r w:rsidRPr="00735952">
        <w:rPr>
          <w:rFonts w:ascii="Arial" w:hAnsi="Arial" w:cs="Arial"/>
          <w:sz w:val="20"/>
          <w:szCs w:val="20"/>
          <w:lang w:eastAsia="sl-SI"/>
        </w:rPr>
        <w:t xml:space="preserve"> </w:t>
      </w:r>
      <w:r>
        <w:rPr>
          <w:rFonts w:ascii="Arial" w:hAnsi="Arial" w:cs="Arial"/>
          <w:sz w:val="20"/>
          <w:szCs w:val="20"/>
          <w:lang w:eastAsia="sl-SI"/>
        </w:rPr>
        <w:t>s ciljem</w:t>
      </w:r>
      <w:r w:rsidRPr="00735952">
        <w:rPr>
          <w:rFonts w:ascii="Arial" w:hAnsi="Arial" w:cs="Arial"/>
          <w:sz w:val="20"/>
          <w:szCs w:val="20"/>
          <w:lang w:eastAsia="sl-SI"/>
        </w:rPr>
        <w:t>,</w:t>
      </w:r>
      <w:r>
        <w:rPr>
          <w:rFonts w:ascii="Arial" w:hAnsi="Arial" w:cs="Arial"/>
          <w:sz w:val="20"/>
          <w:szCs w:val="20"/>
          <w:lang w:eastAsia="sl-SI"/>
        </w:rPr>
        <w:t xml:space="preserve"> da</w:t>
      </w:r>
      <w:r w:rsidRPr="00735952">
        <w:rPr>
          <w:rFonts w:ascii="Arial" w:hAnsi="Arial" w:cs="Arial"/>
          <w:sz w:val="20"/>
          <w:szCs w:val="20"/>
          <w:lang w:eastAsia="sl-SI"/>
        </w:rPr>
        <w:t xml:space="preserve"> </w:t>
      </w:r>
      <w:r>
        <w:rPr>
          <w:rFonts w:ascii="Arial" w:hAnsi="Arial" w:cs="Arial"/>
          <w:sz w:val="20"/>
          <w:szCs w:val="20"/>
          <w:lang w:eastAsia="sl-SI"/>
        </w:rPr>
        <w:t xml:space="preserve">bi </w:t>
      </w:r>
      <w:r w:rsidRPr="003408F2">
        <w:rPr>
          <w:rFonts w:ascii="Arial" w:hAnsi="Arial" w:cs="Arial"/>
          <w:sz w:val="20"/>
          <w:szCs w:val="20"/>
          <w:lang w:eastAsia="sl-SI"/>
        </w:rPr>
        <w:t xml:space="preserve">okrepil </w:t>
      </w:r>
      <w:r w:rsidRPr="003B3E72">
        <w:rPr>
          <w:rFonts w:ascii="Arial" w:hAnsi="Arial" w:cs="Arial"/>
          <w:sz w:val="20"/>
          <w:szCs w:val="20"/>
          <w:lang w:eastAsia="sl-SI"/>
        </w:rPr>
        <w:t>informiranost</w:t>
      </w:r>
      <w:r w:rsidRPr="003408F2">
        <w:rPr>
          <w:rFonts w:ascii="Arial" w:hAnsi="Arial" w:cs="Arial"/>
          <w:sz w:val="20"/>
          <w:szCs w:val="20"/>
          <w:lang w:eastAsia="sl-SI"/>
        </w:rPr>
        <w:t xml:space="preserve"> davčnih</w:t>
      </w:r>
      <w:r w:rsidRPr="00735952">
        <w:rPr>
          <w:rFonts w:ascii="Arial" w:hAnsi="Arial" w:cs="Arial"/>
          <w:sz w:val="20"/>
          <w:szCs w:val="20"/>
          <w:lang w:eastAsia="sl-SI"/>
        </w:rPr>
        <w:t xml:space="preserve"> zavezancev. Promovirali </w:t>
      </w:r>
      <w:r>
        <w:rPr>
          <w:rFonts w:ascii="Arial" w:hAnsi="Arial" w:cs="Arial"/>
          <w:sz w:val="20"/>
          <w:szCs w:val="20"/>
          <w:lang w:eastAsia="sl-SI"/>
        </w:rPr>
        <w:t xml:space="preserve">smo predvsem </w:t>
      </w:r>
      <w:r w:rsidRPr="00735952">
        <w:rPr>
          <w:rFonts w:ascii="Arial" w:hAnsi="Arial" w:cs="Arial"/>
          <w:sz w:val="20"/>
          <w:szCs w:val="20"/>
          <w:lang w:eastAsia="sl-SI"/>
        </w:rPr>
        <w:t>kariern</w:t>
      </w:r>
      <w:r>
        <w:rPr>
          <w:rFonts w:ascii="Arial" w:hAnsi="Arial" w:cs="Arial"/>
          <w:sz w:val="20"/>
          <w:szCs w:val="20"/>
          <w:lang w:eastAsia="sl-SI"/>
        </w:rPr>
        <w:t>e</w:t>
      </w:r>
      <w:r w:rsidRPr="00735952">
        <w:rPr>
          <w:rFonts w:ascii="Arial" w:hAnsi="Arial" w:cs="Arial"/>
          <w:sz w:val="20"/>
          <w:szCs w:val="20"/>
          <w:lang w:eastAsia="sl-SI"/>
        </w:rPr>
        <w:t xml:space="preserve"> sejm</w:t>
      </w:r>
      <w:r>
        <w:rPr>
          <w:rFonts w:ascii="Arial" w:hAnsi="Arial" w:cs="Arial"/>
          <w:sz w:val="20"/>
          <w:szCs w:val="20"/>
          <w:lang w:eastAsia="sl-SI"/>
        </w:rPr>
        <w:t>e</w:t>
      </w:r>
      <w:r w:rsidRPr="00735952">
        <w:rPr>
          <w:rFonts w:ascii="Arial" w:hAnsi="Arial" w:cs="Arial"/>
          <w:sz w:val="20"/>
          <w:szCs w:val="20"/>
          <w:lang w:eastAsia="sl-SI"/>
        </w:rPr>
        <w:t xml:space="preserve">, </w:t>
      </w:r>
      <w:r>
        <w:rPr>
          <w:rFonts w:ascii="Arial" w:hAnsi="Arial" w:cs="Arial"/>
          <w:sz w:val="20"/>
          <w:szCs w:val="20"/>
          <w:lang w:eastAsia="sl-SI"/>
        </w:rPr>
        <w:t xml:space="preserve">na katerih </w:t>
      </w:r>
      <w:r w:rsidRPr="00735952">
        <w:rPr>
          <w:rFonts w:ascii="Arial" w:hAnsi="Arial" w:cs="Arial"/>
          <w:sz w:val="20"/>
          <w:szCs w:val="20"/>
          <w:lang w:eastAsia="sl-SI"/>
        </w:rPr>
        <w:t>F</w:t>
      </w:r>
      <w:r>
        <w:rPr>
          <w:rFonts w:ascii="Arial" w:hAnsi="Arial" w:cs="Arial"/>
          <w:sz w:val="20"/>
          <w:szCs w:val="20"/>
          <w:lang w:eastAsia="sl-SI"/>
        </w:rPr>
        <w:t>U</w:t>
      </w:r>
      <w:r w:rsidRPr="00735952">
        <w:rPr>
          <w:rFonts w:ascii="Arial" w:hAnsi="Arial" w:cs="Arial"/>
          <w:sz w:val="20"/>
          <w:szCs w:val="20"/>
          <w:lang w:eastAsia="sl-SI"/>
        </w:rPr>
        <w:t xml:space="preserve">RS povečuje svojo prepoznavnost kot delodajalec na konkurenčnem trgu. </w:t>
      </w:r>
    </w:p>
    <w:p w14:paraId="0DFA5957" w14:textId="77777777" w:rsidR="00A155A2" w:rsidRPr="00735952" w:rsidRDefault="00A155A2" w:rsidP="00A155A2">
      <w:pPr>
        <w:pStyle w:val="Brezrazmikov"/>
        <w:spacing w:line="276" w:lineRule="auto"/>
        <w:jc w:val="both"/>
        <w:rPr>
          <w:rFonts w:ascii="Arial" w:hAnsi="Arial" w:cs="Arial"/>
          <w:sz w:val="20"/>
          <w:szCs w:val="20"/>
          <w:lang w:eastAsia="sl-SI"/>
        </w:rPr>
      </w:pPr>
    </w:p>
    <w:p w14:paraId="58420AD0"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 xml:space="preserve">Za krepitev prepoznavnosti FURS tudi kot delodajalca smo v letu 2024 močno stopnjevali in okrepili komuniciranje na družbenem omrežju </w:t>
      </w:r>
      <w:proofErr w:type="spellStart"/>
      <w:r w:rsidRPr="00721DA2">
        <w:rPr>
          <w:rFonts w:ascii="Arial" w:hAnsi="Arial" w:cs="Arial"/>
          <w:sz w:val="20"/>
          <w:szCs w:val="20"/>
          <w:lang w:eastAsia="sl-SI"/>
        </w:rPr>
        <w:t>LinkedIn</w:t>
      </w:r>
      <w:proofErr w:type="spellEnd"/>
      <w:r w:rsidRPr="00721DA2">
        <w:rPr>
          <w:rFonts w:ascii="Arial" w:hAnsi="Arial" w:cs="Arial"/>
          <w:sz w:val="20"/>
          <w:szCs w:val="20"/>
          <w:lang w:eastAsia="sl-SI"/>
        </w:rPr>
        <w:t>. Oblikovan</w:t>
      </w:r>
      <w:r>
        <w:rPr>
          <w:rFonts w:ascii="Arial" w:hAnsi="Arial" w:cs="Arial"/>
          <w:sz w:val="20"/>
          <w:szCs w:val="20"/>
          <w:lang w:eastAsia="sl-SI"/>
        </w:rPr>
        <w:t>a</w:t>
      </w:r>
      <w:r w:rsidRPr="00721DA2">
        <w:rPr>
          <w:rFonts w:ascii="Arial" w:hAnsi="Arial" w:cs="Arial"/>
          <w:sz w:val="20"/>
          <w:szCs w:val="20"/>
          <w:lang w:eastAsia="sl-SI"/>
        </w:rPr>
        <w:t xml:space="preserve"> je posebn</w:t>
      </w:r>
      <w:r>
        <w:rPr>
          <w:rFonts w:ascii="Arial" w:hAnsi="Arial" w:cs="Arial"/>
          <w:sz w:val="20"/>
          <w:szCs w:val="20"/>
          <w:lang w:eastAsia="sl-SI"/>
        </w:rPr>
        <w:t>a</w:t>
      </w:r>
      <w:r w:rsidRPr="00721DA2">
        <w:rPr>
          <w:rFonts w:ascii="Arial" w:hAnsi="Arial" w:cs="Arial"/>
          <w:sz w:val="20"/>
          <w:szCs w:val="20"/>
          <w:lang w:eastAsia="sl-SI"/>
        </w:rPr>
        <w:t xml:space="preserve"> </w:t>
      </w:r>
      <w:r>
        <w:rPr>
          <w:rFonts w:ascii="Arial" w:hAnsi="Arial" w:cs="Arial"/>
          <w:sz w:val="20"/>
          <w:szCs w:val="20"/>
          <w:lang w:eastAsia="sl-SI"/>
        </w:rPr>
        <w:t>skupina</w:t>
      </w:r>
      <w:r w:rsidRPr="00721DA2">
        <w:rPr>
          <w:rFonts w:ascii="Arial" w:hAnsi="Arial" w:cs="Arial"/>
          <w:sz w:val="20"/>
          <w:szCs w:val="20"/>
          <w:lang w:eastAsia="sl-SI"/>
        </w:rPr>
        <w:t xml:space="preserve"> »notranjih vplivnežev«, ki </w:t>
      </w:r>
      <w:r>
        <w:rPr>
          <w:rFonts w:ascii="Arial" w:hAnsi="Arial" w:cs="Arial"/>
          <w:sz w:val="20"/>
          <w:szCs w:val="20"/>
          <w:lang w:eastAsia="sl-SI"/>
        </w:rPr>
        <w:t>obsega</w:t>
      </w:r>
      <w:r w:rsidRPr="00721DA2">
        <w:rPr>
          <w:rFonts w:ascii="Arial" w:hAnsi="Arial" w:cs="Arial"/>
          <w:sz w:val="20"/>
          <w:szCs w:val="20"/>
          <w:lang w:eastAsia="sl-SI"/>
        </w:rPr>
        <w:t xml:space="preserve"> zelo različne profile zaposlenih od generalnega direktorja, direktorjev uradov do novih zaposlenih. S svojih </w:t>
      </w:r>
      <w:r>
        <w:rPr>
          <w:rFonts w:ascii="Arial" w:hAnsi="Arial" w:cs="Arial"/>
          <w:sz w:val="20"/>
          <w:szCs w:val="20"/>
          <w:lang w:eastAsia="sl-SI"/>
        </w:rPr>
        <w:t>profilov na</w:t>
      </w:r>
      <w:r w:rsidRPr="00721DA2">
        <w:rPr>
          <w:rFonts w:ascii="Arial" w:hAnsi="Arial" w:cs="Arial"/>
          <w:sz w:val="20"/>
          <w:szCs w:val="20"/>
          <w:lang w:eastAsia="sl-SI"/>
        </w:rPr>
        <w:t xml:space="preserve"> </w:t>
      </w:r>
      <w:r>
        <w:rPr>
          <w:rFonts w:ascii="Arial" w:hAnsi="Arial" w:cs="Arial"/>
          <w:sz w:val="20"/>
          <w:szCs w:val="20"/>
          <w:lang w:eastAsia="sl-SI"/>
        </w:rPr>
        <w:t xml:space="preserve">tem omrežju </w:t>
      </w:r>
      <w:r w:rsidRPr="00721DA2">
        <w:rPr>
          <w:rFonts w:ascii="Arial" w:hAnsi="Arial" w:cs="Arial"/>
          <w:sz w:val="20"/>
          <w:szCs w:val="20"/>
          <w:lang w:eastAsia="sl-SI"/>
        </w:rPr>
        <w:t xml:space="preserve">so </w:t>
      </w:r>
      <w:r>
        <w:rPr>
          <w:rFonts w:ascii="Arial" w:hAnsi="Arial" w:cs="Arial"/>
          <w:sz w:val="20"/>
          <w:szCs w:val="20"/>
          <w:lang w:eastAsia="sl-SI"/>
        </w:rPr>
        <w:t>javnost seznanjali</w:t>
      </w:r>
      <w:r w:rsidRPr="00721DA2">
        <w:rPr>
          <w:rFonts w:ascii="Arial" w:hAnsi="Arial" w:cs="Arial"/>
          <w:sz w:val="20"/>
          <w:szCs w:val="20"/>
          <w:lang w:eastAsia="sl-SI"/>
        </w:rPr>
        <w:t xml:space="preserve"> </w:t>
      </w:r>
      <w:r>
        <w:rPr>
          <w:rFonts w:ascii="Arial" w:hAnsi="Arial" w:cs="Arial"/>
          <w:sz w:val="20"/>
          <w:szCs w:val="20"/>
          <w:lang w:eastAsia="sl-SI"/>
        </w:rPr>
        <w:t>z</w:t>
      </w:r>
      <w:r w:rsidRPr="00721DA2">
        <w:rPr>
          <w:rFonts w:ascii="Arial" w:hAnsi="Arial" w:cs="Arial"/>
          <w:sz w:val="20"/>
          <w:szCs w:val="20"/>
          <w:lang w:eastAsia="sl-SI"/>
        </w:rPr>
        <w:t xml:space="preserve"> davčno-carinsk</w:t>
      </w:r>
      <w:r>
        <w:rPr>
          <w:rFonts w:ascii="Arial" w:hAnsi="Arial" w:cs="Arial"/>
          <w:sz w:val="20"/>
          <w:szCs w:val="20"/>
          <w:lang w:eastAsia="sl-SI"/>
        </w:rPr>
        <w:t>imi</w:t>
      </w:r>
      <w:r w:rsidRPr="00721DA2">
        <w:rPr>
          <w:rFonts w:ascii="Arial" w:hAnsi="Arial" w:cs="Arial"/>
          <w:sz w:val="20"/>
          <w:szCs w:val="20"/>
          <w:lang w:eastAsia="sl-SI"/>
        </w:rPr>
        <w:t xml:space="preserve"> tem</w:t>
      </w:r>
      <w:r>
        <w:rPr>
          <w:rFonts w:ascii="Arial" w:hAnsi="Arial" w:cs="Arial"/>
          <w:sz w:val="20"/>
          <w:szCs w:val="20"/>
          <w:lang w:eastAsia="sl-SI"/>
        </w:rPr>
        <w:t>ami</w:t>
      </w:r>
      <w:r w:rsidRPr="00721DA2">
        <w:rPr>
          <w:rFonts w:ascii="Arial" w:hAnsi="Arial" w:cs="Arial"/>
          <w:sz w:val="20"/>
          <w:szCs w:val="20"/>
          <w:lang w:eastAsia="sl-SI"/>
        </w:rPr>
        <w:t xml:space="preserve"> </w:t>
      </w:r>
      <w:r>
        <w:rPr>
          <w:rFonts w:ascii="Arial" w:hAnsi="Arial" w:cs="Arial"/>
          <w:sz w:val="20"/>
          <w:szCs w:val="20"/>
          <w:lang w:eastAsia="sl-SI"/>
        </w:rPr>
        <w:t>ter tako</w:t>
      </w:r>
      <w:r w:rsidRPr="00721DA2">
        <w:rPr>
          <w:rFonts w:ascii="Arial" w:hAnsi="Arial" w:cs="Arial"/>
          <w:sz w:val="20"/>
          <w:szCs w:val="20"/>
          <w:lang w:eastAsia="sl-SI"/>
        </w:rPr>
        <w:t xml:space="preserve"> krepili prepoznavnost F</w:t>
      </w:r>
      <w:r>
        <w:rPr>
          <w:rFonts w:ascii="Arial" w:hAnsi="Arial" w:cs="Arial"/>
          <w:sz w:val="20"/>
          <w:szCs w:val="20"/>
          <w:lang w:eastAsia="sl-SI"/>
        </w:rPr>
        <w:t>U</w:t>
      </w:r>
      <w:r w:rsidRPr="00721DA2">
        <w:rPr>
          <w:rFonts w:ascii="Arial" w:hAnsi="Arial" w:cs="Arial"/>
          <w:sz w:val="20"/>
          <w:szCs w:val="20"/>
          <w:lang w:eastAsia="sl-SI"/>
        </w:rPr>
        <w:t xml:space="preserve">RS na </w:t>
      </w:r>
      <w:proofErr w:type="spellStart"/>
      <w:r w:rsidRPr="00721DA2">
        <w:rPr>
          <w:rFonts w:ascii="Arial" w:hAnsi="Arial" w:cs="Arial"/>
          <w:sz w:val="20"/>
          <w:szCs w:val="20"/>
          <w:lang w:eastAsia="sl-SI"/>
        </w:rPr>
        <w:t>LinkedInu</w:t>
      </w:r>
      <w:proofErr w:type="spellEnd"/>
      <w:r w:rsidRPr="00721DA2">
        <w:rPr>
          <w:rFonts w:ascii="Arial" w:hAnsi="Arial" w:cs="Arial"/>
          <w:sz w:val="20"/>
          <w:szCs w:val="20"/>
          <w:lang w:eastAsia="sl-SI"/>
        </w:rPr>
        <w:t xml:space="preserve">. Projekt </w:t>
      </w:r>
      <w:r w:rsidRPr="003408F2">
        <w:rPr>
          <w:rFonts w:ascii="Arial" w:hAnsi="Arial" w:cs="Arial"/>
          <w:sz w:val="20"/>
          <w:szCs w:val="20"/>
          <w:lang w:eastAsia="sl-SI"/>
        </w:rPr>
        <w:t xml:space="preserve">je zelo </w:t>
      </w:r>
      <w:r w:rsidRPr="00E5748B">
        <w:rPr>
          <w:rFonts w:ascii="Arial" w:hAnsi="Arial" w:cs="Arial"/>
          <w:sz w:val="20"/>
          <w:szCs w:val="20"/>
          <w:lang w:eastAsia="sl-SI"/>
        </w:rPr>
        <w:t xml:space="preserve">uspešen, saj </w:t>
      </w:r>
      <w:r>
        <w:rPr>
          <w:rFonts w:ascii="Arial" w:hAnsi="Arial" w:cs="Arial"/>
          <w:sz w:val="20"/>
          <w:szCs w:val="20"/>
          <w:lang w:eastAsia="sl-SI"/>
        </w:rPr>
        <w:t xml:space="preserve">nam </w:t>
      </w:r>
      <w:r w:rsidRPr="00E5748B">
        <w:rPr>
          <w:rFonts w:ascii="Arial" w:hAnsi="Arial" w:cs="Arial"/>
          <w:sz w:val="20"/>
          <w:szCs w:val="20"/>
          <w:lang w:eastAsia="sl-SI"/>
        </w:rPr>
        <w:t>je samo od septembra do decembra 2024 uspelo izjemno dvigniti izpostavljenost individualnih</w:t>
      </w:r>
      <w:r w:rsidRPr="00721DA2">
        <w:rPr>
          <w:rFonts w:ascii="Arial" w:hAnsi="Arial" w:cs="Arial"/>
          <w:sz w:val="20"/>
          <w:szCs w:val="20"/>
          <w:lang w:eastAsia="sl-SI"/>
        </w:rPr>
        <w:t xml:space="preserve"> profilov (merjeno s »</w:t>
      </w:r>
      <w:r w:rsidRPr="00E5748B">
        <w:rPr>
          <w:rFonts w:ascii="Arial" w:hAnsi="Arial" w:cs="Arial"/>
          <w:sz w:val="20"/>
          <w:szCs w:val="20"/>
          <w:lang w:eastAsia="sl-SI"/>
        </w:rPr>
        <w:t xml:space="preserve">social </w:t>
      </w:r>
      <w:proofErr w:type="spellStart"/>
      <w:r w:rsidRPr="00E5748B">
        <w:rPr>
          <w:rFonts w:ascii="Arial" w:hAnsi="Arial" w:cs="Arial"/>
          <w:sz w:val="20"/>
          <w:szCs w:val="20"/>
          <w:lang w:eastAsia="sl-SI"/>
        </w:rPr>
        <w:t>selling</w:t>
      </w:r>
      <w:proofErr w:type="spellEnd"/>
      <w:r w:rsidRPr="00E5748B">
        <w:rPr>
          <w:rFonts w:ascii="Arial" w:hAnsi="Arial" w:cs="Arial"/>
          <w:sz w:val="20"/>
          <w:szCs w:val="20"/>
          <w:lang w:eastAsia="sl-SI"/>
        </w:rPr>
        <w:t xml:space="preserve"> </w:t>
      </w:r>
      <w:proofErr w:type="spellStart"/>
      <w:r w:rsidRPr="00E5748B">
        <w:rPr>
          <w:rFonts w:ascii="Arial" w:hAnsi="Arial" w:cs="Arial"/>
          <w:sz w:val="20"/>
          <w:szCs w:val="20"/>
          <w:lang w:eastAsia="sl-SI"/>
        </w:rPr>
        <w:t>indexom</w:t>
      </w:r>
      <w:proofErr w:type="spellEnd"/>
      <w:r w:rsidRPr="00E5748B">
        <w:rPr>
          <w:rFonts w:ascii="Arial" w:hAnsi="Arial" w:cs="Arial"/>
          <w:sz w:val="20"/>
          <w:szCs w:val="20"/>
          <w:lang w:eastAsia="sl-SI"/>
        </w:rPr>
        <w:t>«)</w:t>
      </w:r>
      <w:r w:rsidRPr="00721DA2">
        <w:rPr>
          <w:rFonts w:ascii="Arial" w:hAnsi="Arial" w:cs="Arial"/>
          <w:sz w:val="20"/>
          <w:szCs w:val="20"/>
          <w:lang w:eastAsia="sl-SI"/>
        </w:rPr>
        <w:t xml:space="preserve"> notranjih vplivnežev, pri tem pa </w:t>
      </w:r>
      <w:r>
        <w:rPr>
          <w:rFonts w:ascii="Arial" w:hAnsi="Arial" w:cs="Arial"/>
          <w:sz w:val="20"/>
          <w:szCs w:val="20"/>
          <w:lang w:eastAsia="sl-SI"/>
        </w:rPr>
        <w:t xml:space="preserve">se </w:t>
      </w:r>
      <w:r w:rsidRPr="00721DA2">
        <w:rPr>
          <w:rFonts w:ascii="Arial" w:hAnsi="Arial" w:cs="Arial"/>
          <w:sz w:val="20"/>
          <w:szCs w:val="20"/>
          <w:lang w:eastAsia="sl-SI"/>
        </w:rPr>
        <w:t xml:space="preserve">je tudi število sledilcev na </w:t>
      </w:r>
      <w:r>
        <w:rPr>
          <w:rFonts w:ascii="Arial" w:hAnsi="Arial" w:cs="Arial"/>
          <w:sz w:val="20"/>
          <w:szCs w:val="20"/>
          <w:lang w:eastAsia="sl-SI"/>
        </w:rPr>
        <w:t xml:space="preserve">skupnem </w:t>
      </w:r>
      <w:r w:rsidRPr="00721DA2">
        <w:rPr>
          <w:rFonts w:ascii="Arial" w:hAnsi="Arial" w:cs="Arial"/>
          <w:sz w:val="20"/>
          <w:szCs w:val="20"/>
          <w:lang w:eastAsia="sl-SI"/>
        </w:rPr>
        <w:t xml:space="preserve">profilu FURS </w:t>
      </w:r>
      <w:r>
        <w:rPr>
          <w:rFonts w:ascii="Arial" w:hAnsi="Arial" w:cs="Arial"/>
          <w:sz w:val="20"/>
          <w:szCs w:val="20"/>
          <w:lang w:eastAsia="sl-SI"/>
        </w:rPr>
        <w:t xml:space="preserve">na </w:t>
      </w:r>
      <w:proofErr w:type="spellStart"/>
      <w:r w:rsidRPr="00721DA2">
        <w:rPr>
          <w:rFonts w:ascii="Arial" w:hAnsi="Arial" w:cs="Arial"/>
          <w:sz w:val="20"/>
          <w:szCs w:val="20"/>
          <w:lang w:eastAsia="sl-SI"/>
        </w:rPr>
        <w:t>Linked</w:t>
      </w:r>
      <w:r>
        <w:rPr>
          <w:rFonts w:ascii="Arial" w:hAnsi="Arial" w:cs="Arial"/>
          <w:sz w:val="20"/>
          <w:szCs w:val="20"/>
          <w:lang w:eastAsia="sl-SI"/>
        </w:rPr>
        <w:t>i</w:t>
      </w:r>
      <w:r w:rsidRPr="00721DA2">
        <w:rPr>
          <w:rFonts w:ascii="Arial" w:hAnsi="Arial" w:cs="Arial"/>
          <w:sz w:val="20"/>
          <w:szCs w:val="20"/>
          <w:lang w:eastAsia="sl-SI"/>
        </w:rPr>
        <w:t>n</w:t>
      </w:r>
      <w:r>
        <w:rPr>
          <w:rFonts w:ascii="Arial" w:hAnsi="Arial" w:cs="Arial"/>
          <w:sz w:val="20"/>
          <w:szCs w:val="20"/>
          <w:lang w:eastAsia="sl-SI"/>
        </w:rPr>
        <w:t>u</w:t>
      </w:r>
      <w:proofErr w:type="spellEnd"/>
      <w:r w:rsidRPr="00721DA2">
        <w:rPr>
          <w:rFonts w:ascii="Arial" w:hAnsi="Arial" w:cs="Arial"/>
          <w:sz w:val="20"/>
          <w:szCs w:val="20"/>
          <w:lang w:eastAsia="sl-SI"/>
        </w:rPr>
        <w:t xml:space="preserve"> z 962 po</w:t>
      </w:r>
      <w:r>
        <w:rPr>
          <w:rFonts w:ascii="Arial" w:hAnsi="Arial" w:cs="Arial"/>
          <w:sz w:val="20"/>
          <w:szCs w:val="20"/>
          <w:lang w:eastAsia="sl-SI"/>
        </w:rPr>
        <w:t>večalo</w:t>
      </w:r>
      <w:r w:rsidRPr="00721DA2">
        <w:rPr>
          <w:rFonts w:ascii="Arial" w:hAnsi="Arial" w:cs="Arial"/>
          <w:sz w:val="20"/>
          <w:szCs w:val="20"/>
          <w:lang w:eastAsia="sl-SI"/>
        </w:rPr>
        <w:t xml:space="preserve"> na 2.030.</w:t>
      </w:r>
    </w:p>
    <w:p w14:paraId="78A5ADD8" w14:textId="77777777" w:rsidR="00A155A2" w:rsidRPr="00721DA2" w:rsidRDefault="00A155A2" w:rsidP="00A155A2">
      <w:pPr>
        <w:pStyle w:val="Brezrazmikov"/>
        <w:spacing w:line="276" w:lineRule="auto"/>
        <w:jc w:val="both"/>
        <w:rPr>
          <w:rFonts w:ascii="Arial" w:hAnsi="Arial" w:cs="Arial"/>
          <w:sz w:val="20"/>
          <w:szCs w:val="20"/>
          <w:lang w:eastAsia="sl-SI"/>
        </w:rPr>
      </w:pPr>
    </w:p>
    <w:p w14:paraId="070B20F9" w14:textId="77777777" w:rsidR="00A155A2" w:rsidRPr="00721DA2" w:rsidRDefault="00A155A2" w:rsidP="00A155A2">
      <w:pPr>
        <w:pStyle w:val="Brezrazmikov"/>
        <w:spacing w:line="276" w:lineRule="auto"/>
        <w:jc w:val="both"/>
        <w:rPr>
          <w:rFonts w:ascii="Arial" w:hAnsi="Arial" w:cs="Arial"/>
          <w:sz w:val="20"/>
          <w:szCs w:val="20"/>
          <w:lang w:eastAsia="sl-SI"/>
        </w:rPr>
      </w:pPr>
      <w:r w:rsidRPr="00721DA2">
        <w:rPr>
          <w:rFonts w:ascii="Arial" w:hAnsi="Arial" w:cs="Arial"/>
          <w:sz w:val="20"/>
          <w:szCs w:val="20"/>
          <w:lang w:eastAsia="sl-SI"/>
        </w:rPr>
        <w:t xml:space="preserve">Ob koncu leta 2024 je imel </w:t>
      </w:r>
      <w:r>
        <w:rPr>
          <w:rFonts w:ascii="Arial" w:hAnsi="Arial" w:cs="Arial"/>
          <w:sz w:val="20"/>
          <w:szCs w:val="20"/>
          <w:lang w:eastAsia="sl-SI"/>
        </w:rPr>
        <w:t xml:space="preserve">FURS </w:t>
      </w:r>
      <w:r w:rsidRPr="00721DA2">
        <w:rPr>
          <w:rFonts w:ascii="Arial" w:hAnsi="Arial" w:cs="Arial"/>
          <w:sz w:val="20"/>
          <w:szCs w:val="20"/>
          <w:lang w:eastAsia="sl-SI"/>
        </w:rPr>
        <w:t xml:space="preserve">na družbenem omrežju Facebook skupno 15.195 sledilcev, na družbenem omrežju X 4.157 sledilcev in na družbenem omrežju </w:t>
      </w:r>
      <w:proofErr w:type="spellStart"/>
      <w:r w:rsidRPr="00721DA2">
        <w:rPr>
          <w:rFonts w:ascii="Arial" w:hAnsi="Arial" w:cs="Arial"/>
          <w:sz w:val="20"/>
          <w:szCs w:val="20"/>
          <w:lang w:eastAsia="sl-SI"/>
        </w:rPr>
        <w:t>Instagram</w:t>
      </w:r>
      <w:proofErr w:type="spellEnd"/>
      <w:r w:rsidRPr="00721DA2">
        <w:rPr>
          <w:rFonts w:ascii="Arial" w:hAnsi="Arial" w:cs="Arial"/>
          <w:sz w:val="20"/>
          <w:szCs w:val="20"/>
          <w:lang w:eastAsia="sl-SI"/>
        </w:rPr>
        <w:t xml:space="preserve"> 1.422 sledilcev. </w:t>
      </w:r>
    </w:p>
    <w:p w14:paraId="50FC9A57" w14:textId="77777777" w:rsidR="00A155A2" w:rsidRPr="00721DA2" w:rsidRDefault="00A155A2" w:rsidP="00A155A2">
      <w:pPr>
        <w:pStyle w:val="Brezrazmikov"/>
        <w:spacing w:line="276" w:lineRule="auto"/>
        <w:jc w:val="both"/>
        <w:rPr>
          <w:rFonts w:ascii="Arial" w:hAnsi="Arial" w:cs="Arial"/>
          <w:sz w:val="20"/>
          <w:szCs w:val="20"/>
          <w:lang w:eastAsia="sl-SI"/>
        </w:rPr>
      </w:pPr>
    </w:p>
    <w:p w14:paraId="05B9EA0E" w14:textId="77777777" w:rsidR="00A155A2" w:rsidRPr="00721DA2" w:rsidRDefault="00A155A2" w:rsidP="00A155A2">
      <w:pPr>
        <w:pStyle w:val="Brezrazmikov"/>
        <w:spacing w:line="276" w:lineRule="auto"/>
        <w:jc w:val="both"/>
        <w:rPr>
          <w:rFonts w:ascii="Arial" w:hAnsi="Arial" w:cs="Arial"/>
          <w:color w:val="156082" w:themeColor="accent1"/>
          <w:sz w:val="20"/>
          <w:szCs w:val="20"/>
          <w:lang w:eastAsia="sl-SI"/>
        </w:rPr>
      </w:pPr>
      <w:r w:rsidRPr="00721DA2">
        <w:rPr>
          <w:rFonts w:ascii="Arial" w:hAnsi="Arial" w:cs="Arial"/>
          <w:sz w:val="20"/>
          <w:szCs w:val="20"/>
          <w:lang w:eastAsia="sl-SI"/>
        </w:rPr>
        <w:t xml:space="preserve">Konec leta 2024 je </w:t>
      </w:r>
      <w:r>
        <w:rPr>
          <w:rFonts w:ascii="Arial" w:hAnsi="Arial" w:cs="Arial"/>
          <w:sz w:val="20"/>
          <w:szCs w:val="20"/>
          <w:lang w:eastAsia="sl-SI"/>
        </w:rPr>
        <w:t xml:space="preserve">bil v </w:t>
      </w:r>
      <w:r w:rsidRPr="00721DA2">
        <w:rPr>
          <w:rFonts w:ascii="Arial" w:hAnsi="Arial" w:cs="Arial"/>
          <w:sz w:val="20"/>
          <w:szCs w:val="20"/>
          <w:lang w:eastAsia="sl-SI"/>
        </w:rPr>
        <w:t>sklad</w:t>
      </w:r>
      <w:r>
        <w:rPr>
          <w:rFonts w:ascii="Arial" w:hAnsi="Arial" w:cs="Arial"/>
          <w:sz w:val="20"/>
          <w:szCs w:val="20"/>
          <w:lang w:eastAsia="sl-SI"/>
        </w:rPr>
        <w:t>u</w:t>
      </w:r>
      <w:r w:rsidRPr="00721DA2">
        <w:rPr>
          <w:rFonts w:ascii="Arial" w:hAnsi="Arial" w:cs="Arial"/>
          <w:sz w:val="20"/>
          <w:szCs w:val="20"/>
          <w:lang w:eastAsia="sl-SI"/>
        </w:rPr>
        <w:t xml:space="preserve"> z našo komunikacijsko strategijo, kako učinkovito komunicirati z generacijo mladih, pripravljen tudi načrt vzpostavitve profila FURS na družbenem </w:t>
      </w:r>
      <w:r w:rsidRPr="00714356">
        <w:rPr>
          <w:rFonts w:ascii="Arial" w:hAnsi="Arial" w:cs="Arial"/>
          <w:sz w:val="20"/>
          <w:szCs w:val="20"/>
          <w:lang w:eastAsia="sl-SI"/>
        </w:rPr>
        <w:t xml:space="preserve">omrežju </w:t>
      </w:r>
      <w:proofErr w:type="spellStart"/>
      <w:r w:rsidRPr="0020221F">
        <w:rPr>
          <w:rFonts w:ascii="Arial" w:hAnsi="Arial" w:cs="Arial"/>
          <w:sz w:val="20"/>
          <w:szCs w:val="20"/>
          <w:lang w:eastAsia="sl-SI"/>
        </w:rPr>
        <w:t>Tik</w:t>
      </w:r>
      <w:r>
        <w:rPr>
          <w:rFonts w:ascii="Arial" w:hAnsi="Arial" w:cs="Arial"/>
          <w:sz w:val="20"/>
          <w:szCs w:val="20"/>
          <w:lang w:eastAsia="sl-SI"/>
        </w:rPr>
        <w:t>T</w:t>
      </w:r>
      <w:r w:rsidRPr="0020221F">
        <w:rPr>
          <w:rFonts w:ascii="Arial" w:hAnsi="Arial" w:cs="Arial"/>
          <w:sz w:val="20"/>
          <w:szCs w:val="20"/>
          <w:lang w:eastAsia="sl-SI"/>
        </w:rPr>
        <w:t>o</w:t>
      </w:r>
      <w:r w:rsidRPr="00033610">
        <w:rPr>
          <w:rFonts w:ascii="Arial" w:hAnsi="Arial" w:cs="Arial"/>
          <w:sz w:val="20"/>
          <w:szCs w:val="20"/>
          <w:lang w:eastAsia="sl-SI"/>
        </w:rPr>
        <w:t>k</w:t>
      </w:r>
      <w:proofErr w:type="spellEnd"/>
      <w:r w:rsidRPr="00033610">
        <w:rPr>
          <w:rFonts w:ascii="Arial" w:hAnsi="Arial" w:cs="Arial"/>
          <w:sz w:val="20"/>
          <w:szCs w:val="20"/>
          <w:lang w:eastAsia="sl-SI"/>
        </w:rPr>
        <w:t xml:space="preserve">, </w:t>
      </w:r>
      <w:r w:rsidRPr="00721DA2">
        <w:rPr>
          <w:rFonts w:ascii="Arial" w:hAnsi="Arial" w:cs="Arial"/>
          <w:sz w:val="20"/>
          <w:szCs w:val="20"/>
          <w:lang w:eastAsia="sl-SI"/>
        </w:rPr>
        <w:t>en</w:t>
      </w:r>
      <w:r>
        <w:rPr>
          <w:rFonts w:ascii="Arial" w:hAnsi="Arial" w:cs="Arial"/>
          <w:sz w:val="20"/>
          <w:szCs w:val="20"/>
          <w:lang w:eastAsia="sl-SI"/>
        </w:rPr>
        <w:t xml:space="preserve">em </w:t>
      </w:r>
      <w:r w:rsidRPr="00721DA2">
        <w:rPr>
          <w:rFonts w:ascii="Arial" w:hAnsi="Arial" w:cs="Arial"/>
          <w:sz w:val="20"/>
          <w:szCs w:val="20"/>
          <w:lang w:eastAsia="sl-SI"/>
        </w:rPr>
        <w:t xml:space="preserve"> vodilnih družbenih omrežij za mlade.</w:t>
      </w:r>
    </w:p>
    <w:p w14:paraId="4854C485" w14:textId="77777777" w:rsidR="00A155A2" w:rsidRPr="00267E7A" w:rsidRDefault="00A155A2" w:rsidP="00A155A2">
      <w:pPr>
        <w:pStyle w:val="Brezrazmikov"/>
        <w:spacing w:line="276" w:lineRule="auto"/>
        <w:jc w:val="both"/>
        <w:rPr>
          <w:rFonts w:ascii="Arial" w:hAnsi="Arial" w:cs="Arial"/>
          <w:b/>
          <w:bCs/>
          <w:sz w:val="20"/>
          <w:szCs w:val="20"/>
          <w:lang w:eastAsia="sl-SI"/>
        </w:rPr>
      </w:pPr>
    </w:p>
    <w:p w14:paraId="77040D50" w14:textId="77777777" w:rsidR="00A155A2" w:rsidRPr="00267E7A" w:rsidRDefault="00A155A2" w:rsidP="00A155A2">
      <w:pPr>
        <w:autoSpaceDE w:val="0"/>
        <w:autoSpaceDN w:val="0"/>
        <w:adjustRightInd w:val="0"/>
        <w:spacing w:after="0"/>
        <w:jc w:val="both"/>
        <w:rPr>
          <w:rFonts w:ascii="Arial" w:hAnsi="Arial" w:cs="Arial"/>
          <w:b/>
          <w:bCs/>
          <w:i/>
          <w:iCs/>
          <w:sz w:val="20"/>
          <w:szCs w:val="20"/>
          <w:lang w:eastAsia="sl-SI"/>
        </w:rPr>
      </w:pPr>
      <w:r w:rsidRPr="00267E7A">
        <w:rPr>
          <w:rFonts w:ascii="Arial" w:hAnsi="Arial" w:cs="Arial"/>
          <w:b/>
          <w:bCs/>
          <w:i/>
          <w:iCs/>
          <w:sz w:val="20"/>
          <w:szCs w:val="20"/>
          <w:lang w:eastAsia="sl-SI"/>
        </w:rPr>
        <w:t>8.2 Ukrepi</w:t>
      </w:r>
      <w:r>
        <w:rPr>
          <w:rFonts w:ascii="Arial" w:hAnsi="Arial" w:cs="Arial"/>
          <w:b/>
          <w:bCs/>
          <w:i/>
          <w:iCs/>
          <w:sz w:val="20"/>
          <w:szCs w:val="20"/>
          <w:lang w:eastAsia="sl-SI"/>
        </w:rPr>
        <w:t>,</w:t>
      </w:r>
      <w:r w:rsidRPr="00267E7A">
        <w:rPr>
          <w:rFonts w:ascii="Arial" w:hAnsi="Arial" w:cs="Arial"/>
          <w:b/>
          <w:bCs/>
          <w:i/>
          <w:iCs/>
          <w:sz w:val="20"/>
          <w:szCs w:val="20"/>
          <w:lang w:eastAsia="sl-SI"/>
        </w:rPr>
        <w:t xml:space="preserve"> povezani s plačevanjem obveznosti </w:t>
      </w:r>
    </w:p>
    <w:p w14:paraId="717F9E96" w14:textId="77777777" w:rsidR="00A155A2" w:rsidRPr="00267E7A" w:rsidRDefault="00A155A2" w:rsidP="00A155A2">
      <w:pPr>
        <w:autoSpaceDE w:val="0"/>
        <w:autoSpaceDN w:val="0"/>
        <w:adjustRightInd w:val="0"/>
        <w:spacing w:after="0"/>
        <w:jc w:val="both"/>
        <w:rPr>
          <w:rFonts w:ascii="Arial" w:hAnsi="Arial" w:cs="Arial"/>
          <w:b/>
          <w:bCs/>
          <w:i/>
          <w:iCs/>
          <w:sz w:val="20"/>
          <w:szCs w:val="20"/>
          <w:lang w:eastAsia="sl-SI"/>
        </w:rPr>
      </w:pPr>
    </w:p>
    <w:p w14:paraId="47F3C951" w14:textId="77777777" w:rsidR="00A155A2" w:rsidRPr="00267E7A" w:rsidRDefault="00A155A2" w:rsidP="00A155A2">
      <w:pPr>
        <w:autoSpaceDE w:val="0"/>
        <w:autoSpaceDN w:val="0"/>
        <w:adjustRightInd w:val="0"/>
        <w:spacing w:after="0"/>
        <w:jc w:val="both"/>
        <w:rPr>
          <w:rFonts w:ascii="Arial" w:hAnsi="Arial" w:cs="Arial"/>
          <w:b/>
          <w:bCs/>
          <w:sz w:val="20"/>
          <w:szCs w:val="20"/>
          <w:lang w:eastAsia="sl-SI"/>
        </w:rPr>
      </w:pPr>
      <w:r w:rsidRPr="00267E7A">
        <w:rPr>
          <w:rFonts w:ascii="Arial" w:hAnsi="Arial" w:cs="Arial"/>
          <w:b/>
          <w:bCs/>
          <w:sz w:val="20"/>
          <w:szCs w:val="20"/>
          <w:lang w:eastAsia="sl-SI"/>
        </w:rPr>
        <w:t xml:space="preserve">Uvedba novih plačilnih metod, ki olajšujejo plačevanje obveznosti zavezancev </w:t>
      </w:r>
    </w:p>
    <w:p w14:paraId="6E7F06C2"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FURS zavezancem omogoča različne poenostavitve pri plačevanju obveznih dajatev </w:t>
      </w:r>
      <w:r>
        <w:rPr>
          <w:rFonts w:ascii="Arial" w:hAnsi="Arial" w:cs="Arial"/>
          <w:sz w:val="20"/>
          <w:szCs w:val="20"/>
          <w:lang w:eastAsia="sl-SI"/>
        </w:rPr>
        <w:t>tako</w:t>
      </w:r>
      <w:r w:rsidRPr="00267E7A">
        <w:rPr>
          <w:rFonts w:ascii="Arial" w:hAnsi="Arial" w:cs="Arial"/>
          <w:sz w:val="20"/>
          <w:szCs w:val="20"/>
          <w:lang w:eastAsia="sl-SI"/>
        </w:rPr>
        <w:t>, da zavezanec z enim plačilni</w:t>
      </w:r>
      <w:r>
        <w:rPr>
          <w:rFonts w:ascii="Arial" w:hAnsi="Arial" w:cs="Arial"/>
          <w:sz w:val="20"/>
          <w:szCs w:val="20"/>
          <w:lang w:eastAsia="sl-SI"/>
        </w:rPr>
        <w:t>m</w:t>
      </w:r>
      <w:r w:rsidRPr="00267E7A">
        <w:rPr>
          <w:rFonts w:ascii="Arial" w:hAnsi="Arial" w:cs="Arial"/>
          <w:sz w:val="20"/>
          <w:szCs w:val="20"/>
          <w:lang w:eastAsia="sl-SI"/>
        </w:rPr>
        <w:t xml:space="preserve"> nalogom poravna več različnih dajatev. Poleg zmanjšanja administrativnih bremen za zavezance pri plačevanju obveznih dajatev rešitve pri poenostavitvi plačevanja obveznih dajatev zagotavljajo, da prejemniki (blagajne javnega financiranja) prejmejo sredstva še isti dan – enako</w:t>
      </w:r>
      <w:r>
        <w:rPr>
          <w:rFonts w:ascii="Arial" w:hAnsi="Arial" w:cs="Arial"/>
          <w:sz w:val="20"/>
          <w:szCs w:val="20"/>
          <w:lang w:eastAsia="sl-SI"/>
        </w:rPr>
        <w:t>,</w:t>
      </w:r>
      <w:r w:rsidRPr="00267E7A">
        <w:rPr>
          <w:rFonts w:ascii="Arial" w:hAnsi="Arial" w:cs="Arial"/>
          <w:sz w:val="20"/>
          <w:szCs w:val="20"/>
          <w:lang w:eastAsia="sl-SI"/>
        </w:rPr>
        <w:t xml:space="preserve"> k</w:t>
      </w:r>
      <w:r>
        <w:rPr>
          <w:rFonts w:ascii="Arial" w:hAnsi="Arial" w:cs="Arial"/>
          <w:sz w:val="20"/>
          <w:szCs w:val="20"/>
          <w:lang w:eastAsia="sl-SI"/>
        </w:rPr>
        <w:t>ak</w:t>
      </w:r>
      <w:r w:rsidRPr="00267E7A">
        <w:rPr>
          <w:rFonts w:ascii="Arial" w:hAnsi="Arial" w:cs="Arial"/>
          <w:sz w:val="20"/>
          <w:szCs w:val="20"/>
          <w:lang w:eastAsia="sl-SI"/>
        </w:rPr>
        <w:t>o</w:t>
      </w:r>
      <w:r>
        <w:rPr>
          <w:rFonts w:ascii="Arial" w:hAnsi="Arial" w:cs="Arial"/>
          <w:sz w:val="20"/>
          <w:szCs w:val="20"/>
          <w:lang w:eastAsia="sl-SI"/>
        </w:rPr>
        <w:t>r</w:t>
      </w:r>
      <w:r w:rsidRPr="00267E7A">
        <w:rPr>
          <w:rFonts w:ascii="Arial" w:hAnsi="Arial" w:cs="Arial"/>
          <w:sz w:val="20"/>
          <w:szCs w:val="20"/>
          <w:lang w:eastAsia="sl-SI"/>
        </w:rPr>
        <w:t xml:space="preserve"> bi pri posamične</w:t>
      </w:r>
      <w:r>
        <w:rPr>
          <w:rFonts w:ascii="Arial" w:hAnsi="Arial" w:cs="Arial"/>
          <w:sz w:val="20"/>
          <w:szCs w:val="20"/>
          <w:lang w:eastAsia="sl-SI"/>
        </w:rPr>
        <w:t>m</w:t>
      </w:r>
      <w:r w:rsidRPr="00267E7A">
        <w:rPr>
          <w:rFonts w:ascii="Arial" w:hAnsi="Arial" w:cs="Arial"/>
          <w:sz w:val="20"/>
          <w:szCs w:val="20"/>
          <w:lang w:eastAsia="sl-SI"/>
        </w:rPr>
        <w:t xml:space="preserve"> plačil</w:t>
      </w:r>
      <w:r>
        <w:rPr>
          <w:rFonts w:ascii="Arial" w:hAnsi="Arial" w:cs="Arial"/>
          <w:sz w:val="20"/>
          <w:szCs w:val="20"/>
          <w:lang w:eastAsia="sl-SI"/>
        </w:rPr>
        <w:t>u</w:t>
      </w:r>
      <w:r w:rsidRPr="00267E7A">
        <w:rPr>
          <w:rFonts w:ascii="Arial" w:hAnsi="Arial" w:cs="Arial"/>
          <w:sz w:val="20"/>
          <w:szCs w:val="20"/>
          <w:lang w:eastAsia="sl-SI"/>
        </w:rPr>
        <w:t xml:space="preserve">, ne glede na to, da zavezanec z enim plačilom plača obveznosti do različnih blagajn javnega financiranja. </w:t>
      </w:r>
    </w:p>
    <w:p w14:paraId="1A33349E"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397659DB"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Zavezanci, ki oddajo prijavo na </w:t>
      </w:r>
      <w:r w:rsidRPr="00E5748B">
        <w:rPr>
          <w:rFonts w:ascii="Arial" w:hAnsi="Arial" w:cs="Arial"/>
          <w:sz w:val="20"/>
          <w:szCs w:val="20"/>
          <w:lang w:eastAsia="sl-SI"/>
        </w:rPr>
        <w:t>prejem e-računa za</w:t>
      </w:r>
      <w:r w:rsidRPr="00267E7A">
        <w:rPr>
          <w:rFonts w:ascii="Arial" w:hAnsi="Arial" w:cs="Arial"/>
          <w:sz w:val="20"/>
          <w:szCs w:val="20"/>
          <w:lang w:eastAsia="sl-SI"/>
        </w:rPr>
        <w:t xml:space="preserve"> plačilo obveznih dajatev, obveznosti</w:t>
      </w:r>
      <w:r>
        <w:rPr>
          <w:rFonts w:ascii="Arial" w:hAnsi="Arial" w:cs="Arial"/>
          <w:sz w:val="20"/>
          <w:szCs w:val="20"/>
          <w:lang w:eastAsia="sl-SI"/>
        </w:rPr>
        <w:t>,</w:t>
      </w:r>
      <w:r w:rsidRPr="00267E7A">
        <w:rPr>
          <w:rFonts w:ascii="Arial" w:hAnsi="Arial" w:cs="Arial"/>
          <w:sz w:val="20"/>
          <w:szCs w:val="20"/>
          <w:lang w:eastAsia="sl-SI"/>
        </w:rPr>
        <w:t xml:space="preserve"> obračunane z obračunom prispevkov za socialno varnost (OPSV), obračunom davčnega odtegljaja (obrazec REK), obračunom </w:t>
      </w:r>
      <w:r>
        <w:rPr>
          <w:rFonts w:ascii="Arial" w:hAnsi="Arial" w:cs="Arial"/>
          <w:sz w:val="20"/>
          <w:szCs w:val="20"/>
          <w:lang w:eastAsia="sl-SI"/>
        </w:rPr>
        <w:t>DDPO</w:t>
      </w:r>
      <w:r w:rsidRPr="00267E7A">
        <w:rPr>
          <w:rFonts w:ascii="Arial" w:hAnsi="Arial" w:cs="Arial"/>
          <w:sz w:val="20"/>
          <w:szCs w:val="20"/>
          <w:lang w:eastAsia="sl-SI"/>
        </w:rPr>
        <w:t xml:space="preserve"> ter obračunom akontacij dohodnine in </w:t>
      </w:r>
      <w:proofErr w:type="spellStart"/>
      <w:r>
        <w:rPr>
          <w:rFonts w:ascii="Arial" w:hAnsi="Arial" w:cs="Arial"/>
          <w:sz w:val="20"/>
          <w:szCs w:val="20"/>
          <w:lang w:eastAsia="sl-SI"/>
        </w:rPr>
        <w:t>DohDej</w:t>
      </w:r>
      <w:proofErr w:type="spellEnd"/>
      <w:r>
        <w:rPr>
          <w:rFonts w:ascii="Arial" w:hAnsi="Arial" w:cs="Arial"/>
          <w:sz w:val="20"/>
          <w:szCs w:val="20"/>
          <w:lang w:eastAsia="sl-SI"/>
        </w:rPr>
        <w:t>,</w:t>
      </w:r>
      <w:r w:rsidRPr="00267E7A">
        <w:rPr>
          <w:rFonts w:ascii="Arial" w:hAnsi="Arial" w:cs="Arial"/>
          <w:sz w:val="20"/>
          <w:szCs w:val="20"/>
          <w:lang w:eastAsia="sl-SI"/>
        </w:rPr>
        <w:t xml:space="preserve"> plačajo z e</w:t>
      </w:r>
      <w:r>
        <w:rPr>
          <w:rFonts w:ascii="Arial" w:hAnsi="Arial" w:cs="Arial"/>
          <w:sz w:val="20"/>
          <w:szCs w:val="20"/>
          <w:lang w:eastAsia="sl-SI"/>
        </w:rPr>
        <w:t>-r</w:t>
      </w:r>
      <w:r w:rsidRPr="00267E7A">
        <w:rPr>
          <w:rFonts w:ascii="Arial" w:hAnsi="Arial" w:cs="Arial"/>
          <w:sz w:val="20"/>
          <w:szCs w:val="20"/>
          <w:lang w:eastAsia="sl-SI"/>
        </w:rPr>
        <w:t xml:space="preserve">ačunom, prejetim v spletno banko, v platformo </w:t>
      </w:r>
      <w:proofErr w:type="spellStart"/>
      <w:r w:rsidRPr="00267E7A">
        <w:rPr>
          <w:rFonts w:ascii="Arial" w:hAnsi="Arial" w:cs="Arial"/>
          <w:sz w:val="20"/>
          <w:szCs w:val="20"/>
          <w:lang w:eastAsia="sl-SI"/>
        </w:rPr>
        <w:t>bizBox</w:t>
      </w:r>
      <w:proofErr w:type="spellEnd"/>
      <w:r w:rsidRPr="00267E7A">
        <w:rPr>
          <w:rFonts w:ascii="Arial" w:hAnsi="Arial" w:cs="Arial"/>
          <w:sz w:val="20"/>
          <w:szCs w:val="20"/>
          <w:lang w:eastAsia="sl-SI"/>
        </w:rPr>
        <w:t xml:space="preserve"> ali v mobilno aplikacijo </w:t>
      </w:r>
      <w:proofErr w:type="spellStart"/>
      <w:r w:rsidRPr="00267E7A">
        <w:rPr>
          <w:rFonts w:ascii="Arial" w:hAnsi="Arial" w:cs="Arial"/>
          <w:sz w:val="20"/>
          <w:szCs w:val="20"/>
          <w:lang w:eastAsia="sl-SI"/>
        </w:rPr>
        <w:t>mBills</w:t>
      </w:r>
      <w:proofErr w:type="spellEnd"/>
      <w:r w:rsidRPr="00267E7A">
        <w:rPr>
          <w:rFonts w:ascii="Arial" w:hAnsi="Arial" w:cs="Arial"/>
          <w:sz w:val="20"/>
          <w:szCs w:val="20"/>
          <w:lang w:eastAsia="sl-SI"/>
        </w:rPr>
        <w:t xml:space="preserve">. </w:t>
      </w:r>
      <w:r>
        <w:rPr>
          <w:rFonts w:ascii="Arial" w:hAnsi="Arial" w:cs="Arial"/>
          <w:sz w:val="20"/>
          <w:szCs w:val="20"/>
          <w:lang w:eastAsia="sl-SI"/>
        </w:rPr>
        <w:t>P</w:t>
      </w:r>
      <w:r w:rsidRPr="00267E7A">
        <w:rPr>
          <w:rFonts w:ascii="Arial" w:hAnsi="Arial" w:cs="Arial"/>
          <w:sz w:val="20"/>
          <w:szCs w:val="20"/>
          <w:lang w:eastAsia="sl-SI"/>
        </w:rPr>
        <w:t xml:space="preserve">ri FURS je bilo 31. </w:t>
      </w:r>
      <w:r>
        <w:rPr>
          <w:rFonts w:ascii="Arial" w:hAnsi="Arial" w:cs="Arial"/>
          <w:sz w:val="20"/>
          <w:szCs w:val="20"/>
          <w:lang w:eastAsia="sl-SI"/>
        </w:rPr>
        <w:t>decembra</w:t>
      </w:r>
      <w:r w:rsidRPr="00267E7A">
        <w:rPr>
          <w:rFonts w:ascii="Arial" w:hAnsi="Arial" w:cs="Arial"/>
          <w:sz w:val="20"/>
          <w:szCs w:val="20"/>
          <w:lang w:eastAsia="sl-SI"/>
        </w:rPr>
        <w:t xml:space="preserve"> 2024 evidentiranih 7.674 (7.504 za spletne banke, 126 za platformo </w:t>
      </w:r>
      <w:proofErr w:type="spellStart"/>
      <w:r w:rsidRPr="00267E7A">
        <w:rPr>
          <w:rFonts w:ascii="Arial" w:hAnsi="Arial" w:cs="Arial"/>
          <w:sz w:val="20"/>
          <w:szCs w:val="20"/>
          <w:lang w:eastAsia="sl-SI"/>
        </w:rPr>
        <w:t>bizBox</w:t>
      </w:r>
      <w:proofErr w:type="spellEnd"/>
      <w:r>
        <w:rPr>
          <w:rFonts w:ascii="Arial" w:hAnsi="Arial" w:cs="Arial"/>
          <w:sz w:val="20"/>
          <w:szCs w:val="20"/>
          <w:lang w:eastAsia="sl-SI"/>
        </w:rPr>
        <w:t xml:space="preserve"> in</w:t>
      </w:r>
      <w:r w:rsidRPr="00267E7A">
        <w:rPr>
          <w:rFonts w:ascii="Arial" w:hAnsi="Arial" w:cs="Arial"/>
          <w:sz w:val="20"/>
          <w:szCs w:val="20"/>
          <w:lang w:eastAsia="sl-SI"/>
        </w:rPr>
        <w:t xml:space="preserve"> 44 za </w:t>
      </w:r>
      <w:proofErr w:type="spellStart"/>
      <w:r w:rsidRPr="00267E7A">
        <w:rPr>
          <w:rFonts w:ascii="Arial" w:hAnsi="Arial" w:cs="Arial"/>
          <w:sz w:val="20"/>
          <w:szCs w:val="20"/>
          <w:lang w:eastAsia="sl-SI"/>
        </w:rPr>
        <w:t>mBills</w:t>
      </w:r>
      <w:proofErr w:type="spellEnd"/>
      <w:r w:rsidRPr="00267E7A">
        <w:rPr>
          <w:rFonts w:ascii="Arial" w:hAnsi="Arial" w:cs="Arial"/>
          <w:sz w:val="20"/>
          <w:szCs w:val="20"/>
          <w:lang w:eastAsia="sl-SI"/>
        </w:rPr>
        <w:t>) aktivnih prijav na prejem e</w:t>
      </w:r>
      <w:r>
        <w:rPr>
          <w:rFonts w:ascii="Arial" w:hAnsi="Arial" w:cs="Arial"/>
          <w:sz w:val="20"/>
          <w:szCs w:val="20"/>
          <w:lang w:eastAsia="sl-SI"/>
        </w:rPr>
        <w:t>-r</w:t>
      </w:r>
      <w:r w:rsidRPr="00267E7A">
        <w:rPr>
          <w:rFonts w:ascii="Arial" w:hAnsi="Arial" w:cs="Arial"/>
          <w:sz w:val="20"/>
          <w:szCs w:val="20"/>
          <w:lang w:eastAsia="sl-SI"/>
        </w:rPr>
        <w:t xml:space="preserve">ačuna za plačilo obveznih dajatev, kar </w:t>
      </w:r>
      <w:r>
        <w:rPr>
          <w:rFonts w:ascii="Arial" w:hAnsi="Arial" w:cs="Arial"/>
          <w:sz w:val="20"/>
          <w:szCs w:val="20"/>
          <w:lang w:eastAsia="sl-SI"/>
        </w:rPr>
        <w:t>je za</w:t>
      </w:r>
      <w:r w:rsidRPr="00267E7A">
        <w:rPr>
          <w:rFonts w:ascii="Arial" w:hAnsi="Arial" w:cs="Arial"/>
          <w:sz w:val="20"/>
          <w:szCs w:val="20"/>
          <w:lang w:eastAsia="sl-SI"/>
        </w:rPr>
        <w:t xml:space="preserve"> 12,2 odstotka več </w:t>
      </w:r>
      <w:r>
        <w:rPr>
          <w:rFonts w:ascii="Arial" w:hAnsi="Arial" w:cs="Arial"/>
          <w:sz w:val="20"/>
          <w:szCs w:val="20"/>
          <w:lang w:eastAsia="sl-SI"/>
        </w:rPr>
        <w:t>kakor</w:t>
      </w:r>
      <w:r w:rsidRPr="00267E7A">
        <w:rPr>
          <w:rFonts w:ascii="Arial" w:hAnsi="Arial" w:cs="Arial"/>
          <w:sz w:val="20"/>
          <w:szCs w:val="20"/>
          <w:lang w:eastAsia="sl-SI"/>
        </w:rPr>
        <w:t xml:space="preserve"> 31. </w:t>
      </w:r>
      <w:r>
        <w:rPr>
          <w:rFonts w:ascii="Arial" w:hAnsi="Arial" w:cs="Arial"/>
          <w:sz w:val="20"/>
          <w:szCs w:val="20"/>
          <w:lang w:eastAsia="sl-SI"/>
        </w:rPr>
        <w:t>decembra</w:t>
      </w:r>
      <w:r w:rsidRPr="00267E7A">
        <w:rPr>
          <w:rFonts w:ascii="Arial" w:hAnsi="Arial" w:cs="Arial"/>
          <w:sz w:val="20"/>
          <w:szCs w:val="20"/>
          <w:lang w:eastAsia="sl-SI"/>
        </w:rPr>
        <w:t xml:space="preserve"> 2023. V letu 2024 je bilo izdanih 91.863 e</w:t>
      </w:r>
      <w:r>
        <w:rPr>
          <w:rFonts w:ascii="Arial" w:hAnsi="Arial" w:cs="Arial"/>
          <w:sz w:val="20"/>
          <w:szCs w:val="20"/>
          <w:lang w:eastAsia="sl-SI"/>
        </w:rPr>
        <w:t>-r</w:t>
      </w:r>
      <w:r w:rsidRPr="00267E7A">
        <w:rPr>
          <w:rFonts w:ascii="Arial" w:hAnsi="Arial" w:cs="Arial"/>
          <w:sz w:val="20"/>
          <w:szCs w:val="20"/>
          <w:lang w:eastAsia="sl-SI"/>
        </w:rPr>
        <w:t xml:space="preserve">ačunov za plačilo obveznih dajatev v </w:t>
      </w:r>
      <w:r>
        <w:rPr>
          <w:rFonts w:ascii="Arial" w:hAnsi="Arial" w:cs="Arial"/>
          <w:sz w:val="20"/>
          <w:szCs w:val="20"/>
          <w:lang w:eastAsia="sl-SI"/>
        </w:rPr>
        <w:t>vrednosti</w:t>
      </w:r>
      <w:r w:rsidRPr="00267E7A">
        <w:rPr>
          <w:rFonts w:ascii="Arial" w:hAnsi="Arial" w:cs="Arial"/>
          <w:sz w:val="20"/>
          <w:szCs w:val="20"/>
          <w:lang w:eastAsia="sl-SI"/>
        </w:rPr>
        <w:t xml:space="preserve"> 260.782.960 EUR. V primerjavi z letom 2023 se je število izdanih e</w:t>
      </w:r>
      <w:r>
        <w:rPr>
          <w:rFonts w:ascii="Arial" w:hAnsi="Arial" w:cs="Arial"/>
          <w:sz w:val="20"/>
          <w:szCs w:val="20"/>
          <w:lang w:eastAsia="sl-SI"/>
        </w:rPr>
        <w:t>-r</w:t>
      </w:r>
      <w:r w:rsidRPr="00267E7A">
        <w:rPr>
          <w:rFonts w:ascii="Arial" w:hAnsi="Arial" w:cs="Arial"/>
          <w:sz w:val="20"/>
          <w:szCs w:val="20"/>
          <w:lang w:eastAsia="sl-SI"/>
        </w:rPr>
        <w:t>ačunov</w:t>
      </w:r>
      <w:r>
        <w:rPr>
          <w:rFonts w:ascii="Arial" w:hAnsi="Arial" w:cs="Arial"/>
          <w:sz w:val="20"/>
          <w:szCs w:val="20"/>
          <w:lang w:eastAsia="sl-SI"/>
        </w:rPr>
        <w:t xml:space="preserve"> za plačilo obveznih dajatev</w:t>
      </w:r>
      <w:r w:rsidRPr="00267E7A">
        <w:rPr>
          <w:rFonts w:ascii="Arial" w:hAnsi="Arial" w:cs="Arial"/>
          <w:sz w:val="20"/>
          <w:szCs w:val="20"/>
          <w:lang w:eastAsia="sl-SI"/>
        </w:rPr>
        <w:t xml:space="preserve"> povečalo za 10,8 odstotka</w:t>
      </w:r>
      <w:r>
        <w:rPr>
          <w:rFonts w:ascii="Arial" w:hAnsi="Arial" w:cs="Arial"/>
          <w:sz w:val="20"/>
          <w:szCs w:val="20"/>
          <w:lang w:eastAsia="sl-SI"/>
        </w:rPr>
        <w:t xml:space="preserve">, </w:t>
      </w:r>
      <w:r w:rsidRPr="00267E7A">
        <w:rPr>
          <w:rFonts w:ascii="Arial" w:hAnsi="Arial" w:cs="Arial"/>
          <w:sz w:val="20"/>
          <w:szCs w:val="20"/>
          <w:lang w:eastAsia="sl-SI"/>
        </w:rPr>
        <w:t xml:space="preserve">predvsem </w:t>
      </w:r>
      <w:r>
        <w:rPr>
          <w:rFonts w:ascii="Arial" w:hAnsi="Arial" w:cs="Arial"/>
          <w:sz w:val="20"/>
          <w:szCs w:val="20"/>
          <w:lang w:eastAsia="sl-SI"/>
        </w:rPr>
        <w:t>zaradi</w:t>
      </w:r>
      <w:r w:rsidRPr="00267E7A">
        <w:rPr>
          <w:rFonts w:ascii="Arial" w:hAnsi="Arial" w:cs="Arial"/>
          <w:sz w:val="20"/>
          <w:szCs w:val="20"/>
          <w:lang w:eastAsia="sl-SI"/>
        </w:rPr>
        <w:t xml:space="preserve"> novih prijav.</w:t>
      </w:r>
    </w:p>
    <w:p w14:paraId="0C61F2D7"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24ADD223"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Zavezancem, ki so registrirani uporabniki </w:t>
      </w:r>
      <w:proofErr w:type="spellStart"/>
      <w:r w:rsidRPr="00267E7A">
        <w:rPr>
          <w:rFonts w:ascii="Arial" w:hAnsi="Arial" w:cs="Arial"/>
          <w:sz w:val="20"/>
          <w:szCs w:val="20"/>
          <w:lang w:eastAsia="sl-SI"/>
        </w:rPr>
        <w:t>eDavkov</w:t>
      </w:r>
      <w:proofErr w:type="spellEnd"/>
      <w:r w:rsidRPr="00267E7A">
        <w:rPr>
          <w:rFonts w:ascii="Arial" w:hAnsi="Arial" w:cs="Arial"/>
          <w:sz w:val="20"/>
          <w:szCs w:val="20"/>
          <w:lang w:eastAsia="sl-SI"/>
        </w:rPr>
        <w:t xml:space="preserve"> in uporabniki spletnih bank, vključenih v sistem spletnih plačil Uprave Republike Slovenije za javna plačila, je bilo že leta 2020 omogočeno, da za izbrane obveznosti v sistemu </w:t>
      </w:r>
      <w:proofErr w:type="spellStart"/>
      <w:r w:rsidRPr="00267E7A">
        <w:rPr>
          <w:rFonts w:ascii="Arial" w:hAnsi="Arial" w:cs="Arial"/>
          <w:sz w:val="20"/>
          <w:szCs w:val="20"/>
          <w:lang w:eastAsia="sl-SI"/>
        </w:rPr>
        <w:t>eDavki</w:t>
      </w:r>
      <w:proofErr w:type="spellEnd"/>
      <w:r w:rsidRPr="00267E7A">
        <w:rPr>
          <w:rFonts w:ascii="Arial" w:hAnsi="Arial" w:cs="Arial"/>
          <w:sz w:val="20"/>
          <w:szCs w:val="20"/>
          <w:lang w:eastAsia="sl-SI"/>
        </w:rPr>
        <w:t xml:space="preserve"> (tako</w:t>
      </w:r>
      <w:r>
        <w:rPr>
          <w:rFonts w:ascii="Arial" w:hAnsi="Arial" w:cs="Arial"/>
          <w:sz w:val="20"/>
          <w:szCs w:val="20"/>
          <w:lang w:eastAsia="sl-SI"/>
        </w:rPr>
        <w:t xml:space="preserve"> na</w:t>
      </w:r>
      <w:r w:rsidRPr="00267E7A">
        <w:rPr>
          <w:rFonts w:ascii="Arial" w:hAnsi="Arial" w:cs="Arial"/>
          <w:sz w:val="20"/>
          <w:szCs w:val="20"/>
          <w:lang w:eastAsia="sl-SI"/>
        </w:rPr>
        <w:t xml:space="preserve"> spletnem portalu kot</w:t>
      </w:r>
      <w:r>
        <w:rPr>
          <w:rFonts w:ascii="Arial" w:hAnsi="Arial" w:cs="Arial"/>
          <w:sz w:val="20"/>
          <w:szCs w:val="20"/>
          <w:lang w:eastAsia="sl-SI"/>
        </w:rPr>
        <w:t xml:space="preserve"> v</w:t>
      </w:r>
      <w:r w:rsidRPr="00267E7A">
        <w:rPr>
          <w:rFonts w:ascii="Arial" w:hAnsi="Arial" w:cs="Arial"/>
          <w:sz w:val="20"/>
          <w:szCs w:val="20"/>
          <w:lang w:eastAsia="sl-SI"/>
        </w:rPr>
        <w:t xml:space="preserve"> mobilni aplikaciji) izvedejo plačilo z enim plačilnim nalogom na en račun. V letu 2024 je bilo </w:t>
      </w:r>
      <w:r>
        <w:rPr>
          <w:rFonts w:ascii="Arial" w:hAnsi="Arial" w:cs="Arial"/>
          <w:sz w:val="20"/>
          <w:szCs w:val="20"/>
          <w:lang w:eastAsia="sl-SI"/>
        </w:rPr>
        <w:t>tako</w:t>
      </w:r>
      <w:r w:rsidRPr="00267E7A">
        <w:rPr>
          <w:rFonts w:ascii="Arial" w:hAnsi="Arial" w:cs="Arial"/>
          <w:sz w:val="20"/>
          <w:szCs w:val="20"/>
          <w:lang w:eastAsia="sl-SI"/>
        </w:rPr>
        <w:t xml:space="preserve"> </w:t>
      </w:r>
      <w:r>
        <w:rPr>
          <w:rFonts w:ascii="Arial" w:hAnsi="Arial" w:cs="Arial"/>
          <w:sz w:val="20"/>
          <w:szCs w:val="20"/>
          <w:lang w:eastAsia="sl-SI"/>
        </w:rPr>
        <w:t>izvedenih</w:t>
      </w:r>
      <w:r w:rsidRPr="00267E7A">
        <w:rPr>
          <w:rFonts w:ascii="Arial" w:hAnsi="Arial" w:cs="Arial"/>
          <w:sz w:val="20"/>
          <w:szCs w:val="20"/>
          <w:lang w:eastAsia="sl-SI"/>
        </w:rPr>
        <w:t xml:space="preserve"> 156.294 plačil v skupnem znesku 39.300.890 EUR. V povprečju je vsak mesec plačilo iz </w:t>
      </w:r>
      <w:proofErr w:type="spellStart"/>
      <w:r w:rsidRPr="00267E7A">
        <w:rPr>
          <w:rFonts w:ascii="Arial" w:hAnsi="Arial" w:cs="Arial"/>
          <w:sz w:val="20"/>
          <w:szCs w:val="20"/>
          <w:lang w:eastAsia="sl-SI"/>
        </w:rPr>
        <w:t>eDavkov</w:t>
      </w:r>
      <w:proofErr w:type="spellEnd"/>
      <w:r w:rsidRPr="00267E7A">
        <w:rPr>
          <w:rFonts w:ascii="Arial" w:hAnsi="Arial" w:cs="Arial"/>
          <w:sz w:val="20"/>
          <w:szCs w:val="20"/>
          <w:lang w:eastAsia="sl-SI"/>
        </w:rPr>
        <w:t xml:space="preserve"> </w:t>
      </w:r>
      <w:r>
        <w:rPr>
          <w:rFonts w:ascii="Arial" w:hAnsi="Arial" w:cs="Arial"/>
          <w:sz w:val="20"/>
          <w:szCs w:val="20"/>
          <w:lang w:eastAsia="sl-SI"/>
        </w:rPr>
        <w:t>opravilo</w:t>
      </w:r>
      <w:r w:rsidRPr="00267E7A">
        <w:rPr>
          <w:rFonts w:ascii="Arial" w:hAnsi="Arial" w:cs="Arial"/>
          <w:sz w:val="20"/>
          <w:szCs w:val="20"/>
          <w:lang w:eastAsia="sl-SI"/>
        </w:rPr>
        <w:t xml:space="preserve"> 10.517 zavezancev, kar </w:t>
      </w:r>
      <w:r>
        <w:rPr>
          <w:rFonts w:ascii="Arial" w:hAnsi="Arial" w:cs="Arial"/>
          <w:sz w:val="20"/>
          <w:szCs w:val="20"/>
          <w:lang w:eastAsia="sl-SI"/>
        </w:rPr>
        <w:t>pomeni</w:t>
      </w:r>
      <w:r w:rsidRPr="00267E7A">
        <w:rPr>
          <w:rFonts w:ascii="Arial" w:hAnsi="Arial" w:cs="Arial"/>
          <w:sz w:val="20"/>
          <w:szCs w:val="20"/>
          <w:lang w:eastAsia="sl-SI"/>
        </w:rPr>
        <w:t xml:space="preserve"> 335,5</w:t>
      </w:r>
      <w:r>
        <w:rPr>
          <w:rFonts w:ascii="Arial" w:hAnsi="Arial" w:cs="Arial"/>
          <w:sz w:val="20"/>
          <w:szCs w:val="20"/>
          <w:lang w:eastAsia="sl-SI"/>
        </w:rPr>
        <w:t>-</w:t>
      </w:r>
      <w:r w:rsidRPr="00267E7A">
        <w:rPr>
          <w:rFonts w:ascii="Arial" w:hAnsi="Arial" w:cs="Arial"/>
          <w:sz w:val="20"/>
          <w:szCs w:val="20"/>
          <w:lang w:eastAsia="sl-SI"/>
        </w:rPr>
        <w:t>odstot</w:t>
      </w:r>
      <w:r>
        <w:rPr>
          <w:rFonts w:ascii="Arial" w:hAnsi="Arial" w:cs="Arial"/>
          <w:sz w:val="20"/>
          <w:szCs w:val="20"/>
          <w:lang w:eastAsia="sl-SI"/>
        </w:rPr>
        <w:t>no</w:t>
      </w:r>
      <w:r w:rsidRPr="00267E7A">
        <w:rPr>
          <w:rFonts w:ascii="Arial" w:hAnsi="Arial" w:cs="Arial"/>
          <w:sz w:val="20"/>
          <w:szCs w:val="20"/>
          <w:lang w:eastAsia="sl-SI"/>
        </w:rPr>
        <w:t xml:space="preserve"> povečanje v primerjavi z letom 2023. Med izvedenimi spletnimi plačili </w:t>
      </w:r>
      <w:r>
        <w:rPr>
          <w:rFonts w:ascii="Arial" w:hAnsi="Arial" w:cs="Arial"/>
          <w:sz w:val="20"/>
          <w:szCs w:val="20"/>
          <w:lang w:eastAsia="sl-SI"/>
        </w:rPr>
        <w:t xml:space="preserve">jih </w:t>
      </w:r>
      <w:r w:rsidRPr="00267E7A">
        <w:rPr>
          <w:rFonts w:ascii="Arial" w:hAnsi="Arial" w:cs="Arial"/>
          <w:sz w:val="20"/>
          <w:szCs w:val="20"/>
          <w:lang w:eastAsia="sl-SI"/>
        </w:rPr>
        <w:t xml:space="preserve">je bilo 55,9 odstotka </w:t>
      </w:r>
      <w:r>
        <w:rPr>
          <w:rFonts w:ascii="Arial" w:hAnsi="Arial" w:cs="Arial"/>
          <w:sz w:val="20"/>
          <w:szCs w:val="20"/>
          <w:lang w:eastAsia="sl-SI"/>
        </w:rPr>
        <w:t>opravljenih</w:t>
      </w:r>
      <w:r w:rsidRPr="00267E7A">
        <w:rPr>
          <w:rFonts w:ascii="Arial" w:hAnsi="Arial" w:cs="Arial"/>
          <w:sz w:val="20"/>
          <w:szCs w:val="20"/>
          <w:lang w:eastAsia="sl-SI"/>
        </w:rPr>
        <w:t xml:space="preserve"> z rešitvijo mobilne telefonije </w:t>
      </w:r>
      <w:r w:rsidRPr="00033610">
        <w:rPr>
          <w:rFonts w:ascii="Arial" w:hAnsi="Arial" w:cs="Arial"/>
          <w:sz w:val="20"/>
          <w:szCs w:val="20"/>
          <w:lang w:eastAsia="sl-SI"/>
        </w:rPr>
        <w:t xml:space="preserve">Flik, 19,3 odstotka s kartico </w:t>
      </w:r>
      <w:proofErr w:type="spellStart"/>
      <w:r w:rsidRPr="00033610">
        <w:rPr>
          <w:rFonts w:ascii="Arial" w:hAnsi="Arial" w:cs="Arial"/>
          <w:sz w:val="20"/>
          <w:szCs w:val="20"/>
          <w:lang w:eastAsia="sl-SI"/>
        </w:rPr>
        <w:t>mastercard</w:t>
      </w:r>
      <w:proofErr w:type="spellEnd"/>
      <w:r w:rsidRPr="00033610">
        <w:rPr>
          <w:rFonts w:ascii="Arial" w:hAnsi="Arial" w:cs="Arial"/>
          <w:sz w:val="20"/>
          <w:szCs w:val="20"/>
          <w:lang w:eastAsia="sl-SI"/>
        </w:rPr>
        <w:t xml:space="preserve">, 12,8 odstotka </w:t>
      </w:r>
      <w:r>
        <w:rPr>
          <w:rFonts w:ascii="Arial" w:hAnsi="Arial" w:cs="Arial"/>
          <w:sz w:val="20"/>
          <w:szCs w:val="20"/>
          <w:lang w:eastAsia="sl-SI"/>
        </w:rPr>
        <w:t>v</w:t>
      </w:r>
      <w:r w:rsidRPr="00033610">
        <w:rPr>
          <w:rFonts w:ascii="Arial" w:hAnsi="Arial" w:cs="Arial"/>
          <w:sz w:val="20"/>
          <w:szCs w:val="20"/>
          <w:lang w:eastAsia="sl-SI"/>
        </w:rPr>
        <w:t xml:space="preserve"> spletn</w:t>
      </w:r>
      <w:r>
        <w:rPr>
          <w:rFonts w:ascii="Arial" w:hAnsi="Arial" w:cs="Arial"/>
          <w:sz w:val="20"/>
          <w:szCs w:val="20"/>
          <w:lang w:eastAsia="sl-SI"/>
        </w:rPr>
        <w:t>i</w:t>
      </w:r>
      <w:r w:rsidRPr="00033610">
        <w:rPr>
          <w:rFonts w:ascii="Arial" w:hAnsi="Arial" w:cs="Arial"/>
          <w:sz w:val="20"/>
          <w:szCs w:val="20"/>
          <w:lang w:eastAsia="sl-SI"/>
        </w:rPr>
        <w:t xml:space="preserve"> bank</w:t>
      </w:r>
      <w:r>
        <w:rPr>
          <w:rFonts w:ascii="Arial" w:hAnsi="Arial" w:cs="Arial"/>
          <w:sz w:val="20"/>
          <w:szCs w:val="20"/>
          <w:lang w:eastAsia="sl-SI"/>
        </w:rPr>
        <w:t>i</w:t>
      </w:r>
      <w:r w:rsidRPr="00033610">
        <w:rPr>
          <w:rFonts w:ascii="Arial" w:hAnsi="Arial" w:cs="Arial"/>
          <w:sz w:val="20"/>
          <w:szCs w:val="20"/>
          <w:lang w:eastAsia="sl-SI"/>
        </w:rPr>
        <w:t xml:space="preserve"> in 11,1 odstotka s kartico </w:t>
      </w:r>
      <w:proofErr w:type="spellStart"/>
      <w:r w:rsidRPr="00033610">
        <w:rPr>
          <w:rFonts w:ascii="Arial" w:hAnsi="Arial" w:cs="Arial"/>
          <w:sz w:val="20"/>
          <w:szCs w:val="20"/>
          <w:lang w:eastAsia="sl-SI"/>
        </w:rPr>
        <w:t>visa</w:t>
      </w:r>
      <w:proofErr w:type="spellEnd"/>
      <w:r w:rsidRPr="00033610">
        <w:rPr>
          <w:rFonts w:ascii="Arial" w:hAnsi="Arial" w:cs="Arial"/>
          <w:sz w:val="20"/>
          <w:szCs w:val="20"/>
          <w:lang w:eastAsia="sl-SI"/>
        </w:rPr>
        <w:t>.</w:t>
      </w:r>
      <w:r w:rsidRPr="00267E7A">
        <w:rPr>
          <w:rFonts w:ascii="Arial" w:hAnsi="Arial" w:cs="Arial"/>
          <w:sz w:val="20"/>
          <w:szCs w:val="20"/>
          <w:lang w:eastAsia="sl-SI"/>
        </w:rPr>
        <w:t xml:space="preserve"> Z </w:t>
      </w:r>
      <w:r>
        <w:rPr>
          <w:rFonts w:ascii="Arial" w:hAnsi="Arial" w:cs="Arial"/>
          <w:sz w:val="20"/>
          <w:szCs w:val="20"/>
          <w:lang w:eastAsia="sl-SI"/>
        </w:rPr>
        <w:t>drugimi</w:t>
      </w:r>
      <w:r w:rsidRPr="00267E7A">
        <w:rPr>
          <w:rFonts w:ascii="Arial" w:hAnsi="Arial" w:cs="Arial"/>
          <w:sz w:val="20"/>
          <w:szCs w:val="20"/>
          <w:lang w:eastAsia="sl-SI"/>
        </w:rPr>
        <w:t xml:space="preserve"> načini plačil (</w:t>
      </w:r>
      <w:r w:rsidRPr="00AB3EFD">
        <w:rPr>
          <w:rFonts w:ascii="Arial" w:hAnsi="Arial" w:cs="Arial"/>
          <w:sz w:val="20"/>
          <w:szCs w:val="20"/>
          <w:lang w:eastAsia="sl-SI"/>
        </w:rPr>
        <w:t xml:space="preserve">kartica </w:t>
      </w:r>
      <w:proofErr w:type="spellStart"/>
      <w:r w:rsidRPr="00AB3EFD">
        <w:rPr>
          <w:rFonts w:ascii="Arial" w:hAnsi="Arial" w:cs="Arial"/>
          <w:sz w:val="20"/>
          <w:szCs w:val="20"/>
          <w:lang w:eastAsia="sl-SI"/>
        </w:rPr>
        <w:t>diners</w:t>
      </w:r>
      <w:proofErr w:type="spellEnd"/>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club</w:t>
      </w:r>
      <w:proofErr w:type="spellEnd"/>
      <w:r w:rsidRPr="00AB3EFD">
        <w:rPr>
          <w:rFonts w:ascii="Arial" w:hAnsi="Arial" w:cs="Arial"/>
          <w:sz w:val="20"/>
          <w:szCs w:val="20"/>
          <w:lang w:eastAsia="sl-SI"/>
        </w:rPr>
        <w:t>, v</w:t>
      </w:r>
      <w:r w:rsidRPr="00457FB9">
        <w:rPr>
          <w:rFonts w:ascii="Arial" w:hAnsi="Arial" w:cs="Arial"/>
          <w:sz w:val="20"/>
          <w:szCs w:val="20"/>
          <w:lang w:eastAsia="sl-SI"/>
        </w:rPr>
        <w:t>alu</w:t>
      </w:r>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mBills</w:t>
      </w:r>
      <w:proofErr w:type="spellEnd"/>
      <w:r w:rsidRPr="00267E7A">
        <w:rPr>
          <w:rFonts w:ascii="Arial" w:hAnsi="Arial" w:cs="Arial"/>
          <w:sz w:val="20"/>
          <w:szCs w:val="20"/>
          <w:lang w:eastAsia="sl-SI"/>
        </w:rPr>
        <w:t>) je bilo skup</w:t>
      </w:r>
      <w:r>
        <w:rPr>
          <w:rFonts w:ascii="Arial" w:hAnsi="Arial" w:cs="Arial"/>
          <w:sz w:val="20"/>
          <w:szCs w:val="20"/>
          <w:lang w:eastAsia="sl-SI"/>
        </w:rPr>
        <w:t>no</w:t>
      </w:r>
      <w:r w:rsidRPr="00267E7A">
        <w:rPr>
          <w:rFonts w:ascii="Arial" w:hAnsi="Arial" w:cs="Arial"/>
          <w:sz w:val="20"/>
          <w:szCs w:val="20"/>
          <w:lang w:eastAsia="sl-SI"/>
        </w:rPr>
        <w:t xml:space="preserve"> </w:t>
      </w:r>
      <w:r>
        <w:rPr>
          <w:rFonts w:ascii="Arial" w:hAnsi="Arial" w:cs="Arial"/>
          <w:sz w:val="20"/>
          <w:szCs w:val="20"/>
          <w:lang w:eastAsia="sl-SI"/>
        </w:rPr>
        <w:t>izvedenih</w:t>
      </w:r>
      <w:r w:rsidRPr="00267E7A">
        <w:rPr>
          <w:rFonts w:ascii="Arial" w:hAnsi="Arial" w:cs="Arial"/>
          <w:sz w:val="20"/>
          <w:szCs w:val="20"/>
          <w:lang w:eastAsia="sl-SI"/>
        </w:rPr>
        <w:t xml:space="preserve"> manj k</w:t>
      </w:r>
      <w:r>
        <w:rPr>
          <w:rFonts w:ascii="Arial" w:hAnsi="Arial" w:cs="Arial"/>
          <w:sz w:val="20"/>
          <w:szCs w:val="20"/>
          <w:lang w:eastAsia="sl-SI"/>
        </w:rPr>
        <w:t>ak</w:t>
      </w:r>
      <w:r w:rsidRPr="00267E7A">
        <w:rPr>
          <w:rFonts w:ascii="Arial" w:hAnsi="Arial" w:cs="Arial"/>
          <w:sz w:val="20"/>
          <w:szCs w:val="20"/>
          <w:lang w:eastAsia="sl-SI"/>
        </w:rPr>
        <w:t>o</w:t>
      </w:r>
      <w:r>
        <w:rPr>
          <w:rFonts w:ascii="Arial" w:hAnsi="Arial" w:cs="Arial"/>
          <w:sz w:val="20"/>
          <w:szCs w:val="20"/>
          <w:lang w:eastAsia="sl-SI"/>
        </w:rPr>
        <w:t>r</w:t>
      </w:r>
      <w:r w:rsidRPr="00267E7A">
        <w:rPr>
          <w:rFonts w:ascii="Arial" w:hAnsi="Arial" w:cs="Arial"/>
          <w:sz w:val="20"/>
          <w:szCs w:val="20"/>
          <w:lang w:eastAsia="sl-SI"/>
        </w:rPr>
        <w:t xml:space="preserve"> odstotek plačil. </w:t>
      </w:r>
    </w:p>
    <w:p w14:paraId="3B634CC0"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6B8438E4"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Pr>
          <w:rFonts w:ascii="Arial" w:hAnsi="Arial" w:cs="Arial"/>
          <w:sz w:val="20"/>
          <w:szCs w:val="20"/>
          <w:lang w:eastAsia="sl-SI"/>
        </w:rPr>
        <w:t>V</w:t>
      </w:r>
      <w:r w:rsidRPr="00267E7A">
        <w:rPr>
          <w:rFonts w:ascii="Arial" w:hAnsi="Arial" w:cs="Arial"/>
          <w:sz w:val="20"/>
          <w:szCs w:val="20"/>
          <w:lang w:eastAsia="sl-SI"/>
        </w:rPr>
        <w:t xml:space="preserve"> letu 2023 je bilo zavezancem omogočeno plačilo letne odmere dohodnine</w:t>
      </w:r>
      <w:r>
        <w:rPr>
          <w:rFonts w:ascii="Arial" w:hAnsi="Arial" w:cs="Arial"/>
          <w:sz w:val="20"/>
          <w:szCs w:val="20"/>
          <w:lang w:eastAsia="sl-SI"/>
        </w:rPr>
        <w:t>,</w:t>
      </w:r>
      <w:r w:rsidRPr="00267E7A">
        <w:rPr>
          <w:rFonts w:ascii="Arial" w:hAnsi="Arial" w:cs="Arial"/>
          <w:sz w:val="20"/>
          <w:szCs w:val="20"/>
          <w:lang w:eastAsia="sl-SI"/>
        </w:rPr>
        <w:t xml:space="preserve"> obračunane z informativnim izračunom dohodnine</w:t>
      </w:r>
      <w:r>
        <w:rPr>
          <w:rFonts w:ascii="Arial" w:hAnsi="Arial" w:cs="Arial"/>
          <w:sz w:val="20"/>
          <w:szCs w:val="20"/>
          <w:lang w:eastAsia="sl-SI"/>
        </w:rPr>
        <w:t>,</w:t>
      </w:r>
      <w:r w:rsidRPr="00267E7A">
        <w:rPr>
          <w:rFonts w:ascii="Arial" w:hAnsi="Arial" w:cs="Arial"/>
          <w:sz w:val="20"/>
          <w:szCs w:val="20"/>
          <w:lang w:eastAsia="sl-SI"/>
        </w:rPr>
        <w:t xml:space="preserve"> </w:t>
      </w:r>
      <w:r>
        <w:rPr>
          <w:rFonts w:ascii="Arial" w:hAnsi="Arial" w:cs="Arial"/>
          <w:sz w:val="20"/>
          <w:szCs w:val="20"/>
          <w:lang w:eastAsia="sl-SI"/>
        </w:rPr>
        <w:t>z</w:t>
      </w:r>
      <w:r w:rsidRPr="00267E7A">
        <w:rPr>
          <w:rFonts w:ascii="Arial" w:hAnsi="Arial" w:cs="Arial"/>
          <w:sz w:val="20"/>
          <w:szCs w:val="20"/>
          <w:lang w:eastAsia="sl-SI"/>
        </w:rPr>
        <w:t xml:space="preserve"> direktno obremenitvijo</w:t>
      </w:r>
      <w:r w:rsidRPr="007F1BE7">
        <w:rPr>
          <w:rFonts w:ascii="Arial" w:hAnsi="Arial" w:cs="Arial"/>
          <w:sz w:val="20"/>
          <w:szCs w:val="20"/>
          <w:lang w:eastAsia="sl-SI"/>
        </w:rPr>
        <w:t xml:space="preserve"> </w:t>
      </w:r>
      <w:r w:rsidRPr="00267E7A">
        <w:rPr>
          <w:rFonts w:ascii="Arial" w:hAnsi="Arial" w:cs="Arial"/>
          <w:sz w:val="20"/>
          <w:szCs w:val="20"/>
          <w:lang w:eastAsia="sl-SI"/>
        </w:rPr>
        <w:t xml:space="preserve">SEPA. </w:t>
      </w:r>
      <w:r>
        <w:rPr>
          <w:rFonts w:ascii="Arial" w:hAnsi="Arial" w:cs="Arial"/>
          <w:sz w:val="20"/>
          <w:szCs w:val="20"/>
          <w:lang w:eastAsia="sl-SI"/>
        </w:rPr>
        <w:t>P</w:t>
      </w:r>
      <w:r w:rsidRPr="00267E7A">
        <w:rPr>
          <w:rFonts w:ascii="Arial" w:hAnsi="Arial" w:cs="Arial"/>
          <w:sz w:val="20"/>
          <w:szCs w:val="20"/>
          <w:lang w:eastAsia="sl-SI"/>
        </w:rPr>
        <w:t xml:space="preserve">ri FURS </w:t>
      </w:r>
      <w:r>
        <w:rPr>
          <w:rFonts w:ascii="Arial" w:hAnsi="Arial" w:cs="Arial"/>
          <w:sz w:val="20"/>
          <w:szCs w:val="20"/>
          <w:lang w:eastAsia="sl-SI"/>
        </w:rPr>
        <w:t xml:space="preserve">je bilo </w:t>
      </w:r>
      <w:r w:rsidRPr="00267E7A">
        <w:rPr>
          <w:rFonts w:ascii="Arial" w:hAnsi="Arial" w:cs="Arial"/>
          <w:sz w:val="20"/>
          <w:szCs w:val="20"/>
          <w:lang w:eastAsia="sl-SI"/>
        </w:rPr>
        <w:t xml:space="preserve">31. </w:t>
      </w:r>
      <w:r>
        <w:rPr>
          <w:rFonts w:ascii="Arial" w:hAnsi="Arial" w:cs="Arial"/>
          <w:sz w:val="20"/>
          <w:szCs w:val="20"/>
          <w:lang w:eastAsia="sl-SI"/>
        </w:rPr>
        <w:t>decembra</w:t>
      </w:r>
      <w:r w:rsidRPr="00267E7A">
        <w:rPr>
          <w:rFonts w:ascii="Arial" w:hAnsi="Arial" w:cs="Arial"/>
          <w:sz w:val="20"/>
          <w:szCs w:val="20"/>
          <w:lang w:eastAsia="sl-SI"/>
        </w:rPr>
        <w:t xml:space="preserve"> 2024 evidentiranih 211 veljavnih soglasij za direktno obremenitev</w:t>
      </w:r>
      <w:r w:rsidRPr="00766ADB">
        <w:rPr>
          <w:rFonts w:ascii="Arial" w:hAnsi="Arial" w:cs="Arial"/>
          <w:sz w:val="20"/>
          <w:szCs w:val="20"/>
          <w:lang w:eastAsia="sl-SI"/>
        </w:rPr>
        <w:t xml:space="preserve"> </w:t>
      </w:r>
      <w:r w:rsidRPr="00267E7A">
        <w:rPr>
          <w:rFonts w:ascii="Arial" w:hAnsi="Arial" w:cs="Arial"/>
          <w:sz w:val="20"/>
          <w:szCs w:val="20"/>
          <w:lang w:eastAsia="sl-SI"/>
        </w:rPr>
        <w:t>SEPA, na podlagi kater</w:t>
      </w:r>
      <w:r>
        <w:rPr>
          <w:rFonts w:ascii="Arial" w:hAnsi="Arial" w:cs="Arial"/>
          <w:sz w:val="20"/>
          <w:szCs w:val="20"/>
          <w:lang w:eastAsia="sl-SI"/>
        </w:rPr>
        <w:t>ih</w:t>
      </w:r>
      <w:r w:rsidRPr="00267E7A">
        <w:rPr>
          <w:rFonts w:ascii="Arial" w:hAnsi="Arial" w:cs="Arial"/>
          <w:sz w:val="20"/>
          <w:szCs w:val="20"/>
          <w:lang w:eastAsia="sl-SI"/>
        </w:rPr>
        <w:t xml:space="preserve"> lahko FURS odredi plačilo </w:t>
      </w:r>
      <w:r>
        <w:rPr>
          <w:rFonts w:ascii="Arial" w:hAnsi="Arial" w:cs="Arial"/>
          <w:sz w:val="20"/>
          <w:szCs w:val="20"/>
          <w:lang w:eastAsia="sl-SI"/>
        </w:rPr>
        <w:t>izvajalcu</w:t>
      </w:r>
      <w:r w:rsidRPr="00267E7A">
        <w:rPr>
          <w:rFonts w:ascii="Arial" w:hAnsi="Arial" w:cs="Arial"/>
          <w:sz w:val="20"/>
          <w:szCs w:val="20"/>
          <w:lang w:eastAsia="sl-SI"/>
        </w:rPr>
        <w:t xml:space="preserve"> plačiln</w:t>
      </w:r>
      <w:r>
        <w:rPr>
          <w:rFonts w:ascii="Arial" w:hAnsi="Arial" w:cs="Arial"/>
          <w:sz w:val="20"/>
          <w:szCs w:val="20"/>
          <w:lang w:eastAsia="sl-SI"/>
        </w:rPr>
        <w:t>ega</w:t>
      </w:r>
      <w:r w:rsidRPr="00267E7A">
        <w:rPr>
          <w:rFonts w:ascii="Arial" w:hAnsi="Arial" w:cs="Arial"/>
          <w:sz w:val="20"/>
          <w:szCs w:val="20"/>
          <w:lang w:eastAsia="sl-SI"/>
        </w:rPr>
        <w:t xml:space="preserve"> </w:t>
      </w:r>
      <w:r>
        <w:rPr>
          <w:rFonts w:ascii="Arial" w:hAnsi="Arial" w:cs="Arial"/>
          <w:sz w:val="20"/>
          <w:szCs w:val="20"/>
          <w:lang w:eastAsia="sl-SI"/>
        </w:rPr>
        <w:t>prometa</w:t>
      </w:r>
      <w:r w:rsidRPr="00267E7A">
        <w:rPr>
          <w:rFonts w:ascii="Arial" w:hAnsi="Arial" w:cs="Arial"/>
          <w:sz w:val="20"/>
          <w:szCs w:val="20"/>
          <w:lang w:eastAsia="sl-SI"/>
        </w:rPr>
        <w:t xml:space="preserve"> zavezanca. V primerjavi z letom 2023 se je število izdanih veljavnih soglasij povečalo za 126,9 odstotka.</w:t>
      </w:r>
    </w:p>
    <w:p w14:paraId="4A87662F"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4767ED85" w14:textId="77777777" w:rsidR="00A155A2" w:rsidRPr="00267E7A" w:rsidRDefault="00A155A2" w:rsidP="00A155A2">
      <w:pPr>
        <w:autoSpaceDE w:val="0"/>
        <w:autoSpaceDN w:val="0"/>
        <w:adjustRightInd w:val="0"/>
        <w:spacing w:after="0"/>
        <w:jc w:val="both"/>
        <w:rPr>
          <w:rFonts w:ascii="Arial" w:hAnsi="Arial" w:cs="Arial"/>
          <w:b/>
          <w:bCs/>
          <w:sz w:val="20"/>
          <w:szCs w:val="20"/>
          <w:lang w:eastAsia="sl-SI"/>
        </w:rPr>
      </w:pPr>
      <w:r w:rsidRPr="00267E7A">
        <w:rPr>
          <w:rFonts w:ascii="Arial" w:hAnsi="Arial" w:cs="Arial"/>
          <w:b/>
          <w:bCs/>
          <w:sz w:val="20"/>
          <w:szCs w:val="20"/>
          <w:lang w:eastAsia="sl-SI"/>
        </w:rPr>
        <w:t>Javna objava neplačnikov davka</w:t>
      </w:r>
    </w:p>
    <w:p w14:paraId="790FD5FD"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FURS </w:t>
      </w:r>
      <w:r>
        <w:rPr>
          <w:rFonts w:ascii="Arial" w:hAnsi="Arial" w:cs="Arial"/>
          <w:sz w:val="20"/>
          <w:szCs w:val="20"/>
          <w:lang w:eastAsia="sl-SI"/>
        </w:rPr>
        <w:t xml:space="preserve">vsak </w:t>
      </w:r>
      <w:r w:rsidRPr="00267E7A">
        <w:rPr>
          <w:rFonts w:ascii="Arial" w:hAnsi="Arial" w:cs="Arial"/>
          <w:sz w:val="20"/>
          <w:szCs w:val="20"/>
          <w:lang w:eastAsia="sl-SI"/>
        </w:rPr>
        <w:t>mese</w:t>
      </w:r>
      <w:r>
        <w:rPr>
          <w:rFonts w:ascii="Arial" w:hAnsi="Arial" w:cs="Arial"/>
          <w:sz w:val="20"/>
          <w:szCs w:val="20"/>
          <w:lang w:eastAsia="sl-SI"/>
        </w:rPr>
        <w:t>c</w:t>
      </w:r>
      <w:r w:rsidRPr="00267E7A">
        <w:rPr>
          <w:rFonts w:ascii="Arial" w:hAnsi="Arial" w:cs="Arial"/>
          <w:sz w:val="20"/>
          <w:szCs w:val="20"/>
          <w:lang w:eastAsia="sl-SI"/>
        </w:rPr>
        <w:t xml:space="preserve"> javno objavlja seznam davčnih zavezancev z zapadlimi neplačanimi davčnimi obveznostmi, ki na 25. dan v mesecu pred mesecem objave presegajo 5.000 EUR in so starejše od 90 dni. Od prve objave enotnega seznama neplačnikov davkov v avgustu 2014 do objave v januarju 2025 (po stanju na dan 25. </w:t>
      </w:r>
      <w:r>
        <w:rPr>
          <w:rFonts w:ascii="Arial" w:hAnsi="Arial" w:cs="Arial"/>
          <w:sz w:val="20"/>
          <w:szCs w:val="20"/>
          <w:lang w:eastAsia="sl-SI"/>
        </w:rPr>
        <w:t>december</w:t>
      </w:r>
      <w:r w:rsidRPr="00267E7A">
        <w:rPr>
          <w:rFonts w:ascii="Arial" w:hAnsi="Arial" w:cs="Arial"/>
          <w:sz w:val="20"/>
          <w:szCs w:val="20"/>
          <w:lang w:eastAsia="sl-SI"/>
        </w:rPr>
        <w:t xml:space="preserve"> 2024) se je število dolžnikov zmanjšalo za 6.203 oseb </w:t>
      </w:r>
      <w:r>
        <w:rPr>
          <w:rFonts w:ascii="Arial" w:hAnsi="Arial" w:cs="Arial"/>
          <w:sz w:val="20"/>
          <w:szCs w:val="20"/>
          <w:lang w:eastAsia="sl-SI"/>
        </w:rPr>
        <w:t>ali</w:t>
      </w:r>
      <w:r w:rsidRPr="00267E7A">
        <w:rPr>
          <w:rFonts w:ascii="Arial" w:hAnsi="Arial" w:cs="Arial"/>
          <w:sz w:val="20"/>
          <w:szCs w:val="20"/>
          <w:lang w:eastAsia="sl-SI"/>
        </w:rPr>
        <w:t xml:space="preserve"> za 34,9 odstotka, skupni davčni dolg objavljenih dolžnikov </w:t>
      </w:r>
      <w:r>
        <w:rPr>
          <w:rFonts w:ascii="Arial" w:hAnsi="Arial" w:cs="Arial"/>
          <w:sz w:val="20"/>
          <w:szCs w:val="20"/>
          <w:lang w:eastAsia="sl-SI"/>
        </w:rPr>
        <w:t xml:space="preserve">pa </w:t>
      </w:r>
      <w:r w:rsidRPr="00267E7A">
        <w:rPr>
          <w:rFonts w:ascii="Arial" w:hAnsi="Arial" w:cs="Arial"/>
          <w:sz w:val="20"/>
          <w:szCs w:val="20"/>
          <w:lang w:eastAsia="sl-SI"/>
        </w:rPr>
        <w:t xml:space="preserve">se je zmanjšal za 305.152.945 EUR </w:t>
      </w:r>
      <w:r>
        <w:rPr>
          <w:rFonts w:ascii="Arial" w:hAnsi="Arial" w:cs="Arial"/>
          <w:sz w:val="20"/>
          <w:szCs w:val="20"/>
          <w:lang w:eastAsia="sl-SI"/>
        </w:rPr>
        <w:t>ali</w:t>
      </w:r>
      <w:r w:rsidRPr="00267E7A">
        <w:rPr>
          <w:rFonts w:ascii="Arial" w:hAnsi="Arial" w:cs="Arial"/>
          <w:sz w:val="20"/>
          <w:szCs w:val="20"/>
          <w:lang w:eastAsia="sl-SI"/>
        </w:rPr>
        <w:t xml:space="preserve"> za 31,4 odstotka</w:t>
      </w:r>
      <w:r>
        <w:rPr>
          <w:rFonts w:ascii="Arial" w:hAnsi="Arial" w:cs="Arial"/>
          <w:sz w:val="20"/>
          <w:szCs w:val="20"/>
          <w:lang w:eastAsia="sl-SI"/>
        </w:rPr>
        <w:t>,</w:t>
      </w:r>
      <w:r w:rsidRPr="00267E7A">
        <w:rPr>
          <w:rFonts w:ascii="Arial" w:hAnsi="Arial" w:cs="Arial"/>
          <w:sz w:val="20"/>
          <w:szCs w:val="20"/>
          <w:lang w:eastAsia="sl-SI"/>
        </w:rPr>
        <w:t xml:space="preserve"> </w:t>
      </w:r>
      <w:r>
        <w:rPr>
          <w:rFonts w:ascii="Arial" w:hAnsi="Arial" w:cs="Arial"/>
          <w:sz w:val="20"/>
          <w:szCs w:val="20"/>
          <w:lang w:eastAsia="sl-SI"/>
        </w:rPr>
        <w:t>pri čemer</w:t>
      </w:r>
      <w:r w:rsidRPr="00267E7A">
        <w:rPr>
          <w:rFonts w:ascii="Arial" w:hAnsi="Arial" w:cs="Arial"/>
          <w:sz w:val="20"/>
          <w:szCs w:val="20"/>
          <w:lang w:eastAsia="sl-SI"/>
        </w:rPr>
        <w:t xml:space="preserve"> je </w:t>
      </w:r>
      <w:r>
        <w:rPr>
          <w:rFonts w:ascii="Arial" w:hAnsi="Arial" w:cs="Arial"/>
          <w:sz w:val="20"/>
          <w:szCs w:val="20"/>
          <w:lang w:eastAsia="sl-SI"/>
        </w:rPr>
        <w:t xml:space="preserve">bila </w:t>
      </w:r>
      <w:r w:rsidRPr="00267E7A">
        <w:rPr>
          <w:rFonts w:ascii="Arial" w:hAnsi="Arial" w:cs="Arial"/>
          <w:sz w:val="20"/>
          <w:szCs w:val="20"/>
          <w:lang w:eastAsia="sl-SI"/>
        </w:rPr>
        <w:t xml:space="preserve">v letu 2024 </w:t>
      </w:r>
      <w:r>
        <w:rPr>
          <w:rFonts w:ascii="Arial" w:hAnsi="Arial" w:cs="Arial"/>
          <w:sz w:val="20"/>
          <w:szCs w:val="20"/>
          <w:lang w:eastAsia="sl-SI"/>
        </w:rPr>
        <w:t>v primerjavi z</w:t>
      </w:r>
      <w:r w:rsidRPr="00267E7A">
        <w:rPr>
          <w:rFonts w:ascii="Arial" w:hAnsi="Arial" w:cs="Arial"/>
          <w:sz w:val="20"/>
          <w:szCs w:val="20"/>
          <w:lang w:eastAsia="sl-SI"/>
        </w:rPr>
        <w:t xml:space="preserve"> leto</w:t>
      </w:r>
      <w:r>
        <w:rPr>
          <w:rFonts w:ascii="Arial" w:hAnsi="Arial" w:cs="Arial"/>
          <w:sz w:val="20"/>
          <w:szCs w:val="20"/>
          <w:lang w:eastAsia="sl-SI"/>
        </w:rPr>
        <w:t>m</w:t>
      </w:r>
      <w:r w:rsidRPr="00267E7A">
        <w:rPr>
          <w:rFonts w:ascii="Arial" w:hAnsi="Arial" w:cs="Arial"/>
          <w:sz w:val="20"/>
          <w:szCs w:val="20"/>
          <w:lang w:eastAsia="sl-SI"/>
        </w:rPr>
        <w:t xml:space="preserve"> 2014 za</w:t>
      </w:r>
      <w:r>
        <w:rPr>
          <w:rFonts w:ascii="Arial" w:hAnsi="Arial" w:cs="Arial"/>
          <w:sz w:val="20"/>
          <w:szCs w:val="20"/>
          <w:lang w:eastAsia="sl-SI"/>
        </w:rPr>
        <w:t>zna</w:t>
      </w:r>
      <w:r w:rsidRPr="00267E7A">
        <w:rPr>
          <w:rFonts w:ascii="Arial" w:hAnsi="Arial" w:cs="Arial"/>
          <w:sz w:val="20"/>
          <w:szCs w:val="20"/>
          <w:lang w:eastAsia="sl-SI"/>
        </w:rPr>
        <w:t>na 84,5</w:t>
      </w:r>
      <w:r>
        <w:rPr>
          <w:rFonts w:ascii="Arial" w:hAnsi="Arial" w:cs="Arial"/>
          <w:sz w:val="20"/>
          <w:szCs w:val="20"/>
          <w:lang w:eastAsia="sl-SI"/>
        </w:rPr>
        <w:t>-</w:t>
      </w:r>
      <w:r w:rsidRPr="00267E7A">
        <w:rPr>
          <w:rFonts w:ascii="Arial" w:hAnsi="Arial" w:cs="Arial"/>
          <w:sz w:val="20"/>
          <w:szCs w:val="20"/>
          <w:lang w:eastAsia="sl-SI"/>
        </w:rPr>
        <w:t>odstot</w:t>
      </w:r>
      <w:r>
        <w:rPr>
          <w:rFonts w:ascii="Arial" w:hAnsi="Arial" w:cs="Arial"/>
          <w:sz w:val="20"/>
          <w:szCs w:val="20"/>
          <w:lang w:eastAsia="sl-SI"/>
        </w:rPr>
        <w:t>n</w:t>
      </w:r>
      <w:r w:rsidRPr="00267E7A">
        <w:rPr>
          <w:rFonts w:ascii="Arial" w:hAnsi="Arial" w:cs="Arial"/>
          <w:sz w:val="20"/>
          <w:szCs w:val="20"/>
          <w:lang w:eastAsia="sl-SI"/>
        </w:rPr>
        <w:t>a rast prihodkov.</w:t>
      </w:r>
    </w:p>
    <w:p w14:paraId="6F914078" w14:textId="77777777" w:rsidR="00A155A2" w:rsidRPr="00267E7A" w:rsidRDefault="00A155A2" w:rsidP="00A155A2">
      <w:pPr>
        <w:autoSpaceDE w:val="0"/>
        <w:autoSpaceDN w:val="0"/>
        <w:adjustRightInd w:val="0"/>
        <w:spacing w:after="0"/>
        <w:jc w:val="both"/>
        <w:rPr>
          <w:rFonts w:ascii="Arial" w:hAnsi="Arial" w:cs="Arial"/>
          <w:b/>
          <w:bCs/>
          <w:sz w:val="20"/>
          <w:szCs w:val="20"/>
          <w:lang w:eastAsia="sl-SI"/>
        </w:rPr>
      </w:pPr>
    </w:p>
    <w:p w14:paraId="32633BA6" w14:textId="77777777" w:rsidR="00A155A2" w:rsidRPr="00267E7A" w:rsidRDefault="00A155A2" w:rsidP="00A155A2">
      <w:pPr>
        <w:autoSpaceDE w:val="0"/>
        <w:autoSpaceDN w:val="0"/>
        <w:adjustRightInd w:val="0"/>
        <w:spacing w:after="0"/>
        <w:jc w:val="both"/>
        <w:rPr>
          <w:rFonts w:ascii="Arial" w:hAnsi="Arial" w:cs="Arial"/>
          <w:b/>
          <w:bCs/>
          <w:sz w:val="20"/>
          <w:szCs w:val="20"/>
          <w:lang w:eastAsia="sl-SI"/>
        </w:rPr>
      </w:pPr>
      <w:r w:rsidRPr="00AB3EFD">
        <w:rPr>
          <w:rFonts w:ascii="Arial" w:hAnsi="Arial" w:cs="Arial"/>
          <w:b/>
          <w:bCs/>
          <w:sz w:val="20"/>
          <w:szCs w:val="20"/>
          <w:lang w:eastAsia="sl-SI"/>
        </w:rPr>
        <w:t>Enostaven dostop</w:t>
      </w:r>
      <w:r w:rsidRPr="00267E7A">
        <w:rPr>
          <w:rFonts w:ascii="Arial" w:hAnsi="Arial" w:cs="Arial"/>
          <w:b/>
          <w:bCs/>
          <w:sz w:val="20"/>
          <w:szCs w:val="20"/>
          <w:lang w:eastAsia="sl-SI"/>
        </w:rPr>
        <w:t xml:space="preserve"> zavezanca do stanja dolga in potrdila o poravnanih obveznostih </w:t>
      </w:r>
    </w:p>
    <w:p w14:paraId="23F4131E"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Zavezanci lahko </w:t>
      </w:r>
      <w:r w:rsidRPr="004E07AD">
        <w:rPr>
          <w:rFonts w:ascii="Arial" w:hAnsi="Arial" w:cs="Arial"/>
          <w:sz w:val="20"/>
          <w:szCs w:val="20"/>
          <w:lang w:eastAsia="sl-SI"/>
        </w:rPr>
        <w:t>na spletnem</w:t>
      </w:r>
      <w:r w:rsidRPr="00267E7A">
        <w:rPr>
          <w:rFonts w:ascii="Arial" w:hAnsi="Arial" w:cs="Arial"/>
          <w:sz w:val="20"/>
          <w:szCs w:val="20"/>
          <w:lang w:eastAsia="sl-SI"/>
        </w:rPr>
        <w:t xml:space="preserve"> portal</w:t>
      </w:r>
      <w:r>
        <w:rPr>
          <w:rFonts w:ascii="Arial" w:hAnsi="Arial" w:cs="Arial"/>
          <w:sz w:val="20"/>
          <w:szCs w:val="20"/>
          <w:lang w:eastAsia="sl-SI"/>
        </w:rPr>
        <w:t>u</w:t>
      </w:r>
      <w:r w:rsidRPr="00267E7A">
        <w:rPr>
          <w:rFonts w:ascii="Arial" w:hAnsi="Arial" w:cs="Arial"/>
          <w:sz w:val="20"/>
          <w:szCs w:val="20"/>
          <w:lang w:eastAsia="sl-SI"/>
        </w:rPr>
        <w:t xml:space="preserve"> FURS v okviru spletne storitve </w:t>
      </w:r>
      <w:r w:rsidRPr="00457FB9">
        <w:rPr>
          <w:rFonts w:ascii="Arial" w:hAnsi="Arial" w:cs="Arial"/>
          <w:sz w:val="20"/>
          <w:szCs w:val="20"/>
          <w:lang w:eastAsia="sl-SI"/>
        </w:rPr>
        <w:t>»</w:t>
      </w:r>
      <w:proofErr w:type="spellStart"/>
      <w:r w:rsidRPr="00267E7A">
        <w:rPr>
          <w:rFonts w:ascii="Arial" w:hAnsi="Arial" w:cs="Arial"/>
          <w:sz w:val="20"/>
          <w:szCs w:val="20"/>
          <w:lang w:eastAsia="sl-SI"/>
        </w:rPr>
        <w:t>eKartica</w:t>
      </w:r>
      <w:proofErr w:type="spellEnd"/>
      <w:r w:rsidRPr="00267E7A">
        <w:rPr>
          <w:rFonts w:ascii="Arial" w:hAnsi="Arial" w:cs="Arial"/>
          <w:sz w:val="20"/>
          <w:szCs w:val="20"/>
          <w:lang w:eastAsia="sl-SI"/>
        </w:rPr>
        <w:t xml:space="preserve">« ali </w:t>
      </w:r>
      <w:r>
        <w:rPr>
          <w:rFonts w:ascii="Arial" w:hAnsi="Arial" w:cs="Arial"/>
          <w:sz w:val="20"/>
          <w:szCs w:val="20"/>
          <w:lang w:eastAsia="sl-SI"/>
        </w:rPr>
        <w:t>v</w:t>
      </w:r>
      <w:r w:rsidRPr="00267E7A">
        <w:rPr>
          <w:rFonts w:ascii="Arial" w:hAnsi="Arial" w:cs="Arial"/>
          <w:sz w:val="20"/>
          <w:szCs w:val="20"/>
          <w:lang w:eastAsia="sl-SI"/>
        </w:rPr>
        <w:t xml:space="preserve"> mobiln</w:t>
      </w:r>
      <w:r>
        <w:rPr>
          <w:rFonts w:ascii="Arial" w:hAnsi="Arial" w:cs="Arial"/>
          <w:sz w:val="20"/>
          <w:szCs w:val="20"/>
          <w:lang w:eastAsia="sl-SI"/>
        </w:rPr>
        <w:t>i</w:t>
      </w:r>
      <w:r w:rsidRPr="00267E7A">
        <w:rPr>
          <w:rFonts w:ascii="Arial" w:hAnsi="Arial" w:cs="Arial"/>
          <w:sz w:val="20"/>
          <w:szCs w:val="20"/>
          <w:lang w:eastAsia="sl-SI"/>
        </w:rPr>
        <w:t xml:space="preserve"> aplikacij</w:t>
      </w:r>
      <w:r>
        <w:rPr>
          <w:rFonts w:ascii="Arial" w:hAnsi="Arial" w:cs="Arial"/>
          <w:sz w:val="20"/>
          <w:szCs w:val="20"/>
          <w:lang w:eastAsia="sl-SI"/>
        </w:rPr>
        <w:t>i</w:t>
      </w:r>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eDavki</w:t>
      </w:r>
      <w:proofErr w:type="spellEnd"/>
      <w:r w:rsidRPr="00267E7A">
        <w:rPr>
          <w:rFonts w:ascii="Arial" w:hAnsi="Arial" w:cs="Arial"/>
          <w:sz w:val="20"/>
          <w:szCs w:val="20"/>
          <w:lang w:eastAsia="sl-SI"/>
        </w:rPr>
        <w:t xml:space="preserve"> na zavihku »Knjigovodsko stanje« redno preverjajo stanje in zapadlost terjatev in obveznosti na svoji knjigovodski kartici. </w:t>
      </w:r>
      <w:r>
        <w:rPr>
          <w:rFonts w:ascii="Arial" w:hAnsi="Arial" w:cs="Arial"/>
          <w:sz w:val="20"/>
          <w:szCs w:val="20"/>
          <w:lang w:eastAsia="sl-SI"/>
        </w:rPr>
        <w:t>L</w:t>
      </w:r>
      <w:r w:rsidRPr="00267E7A">
        <w:rPr>
          <w:rFonts w:ascii="Arial" w:hAnsi="Arial" w:cs="Arial"/>
          <w:sz w:val="20"/>
          <w:szCs w:val="20"/>
          <w:lang w:eastAsia="sl-SI"/>
        </w:rPr>
        <w:t>et</w:t>
      </w:r>
      <w:r>
        <w:rPr>
          <w:rFonts w:ascii="Arial" w:hAnsi="Arial" w:cs="Arial"/>
          <w:sz w:val="20"/>
          <w:szCs w:val="20"/>
          <w:lang w:eastAsia="sl-SI"/>
        </w:rPr>
        <w:t>a</w:t>
      </w:r>
      <w:r w:rsidRPr="00267E7A">
        <w:rPr>
          <w:rFonts w:ascii="Arial" w:hAnsi="Arial" w:cs="Arial"/>
          <w:sz w:val="20"/>
          <w:szCs w:val="20"/>
          <w:lang w:eastAsia="sl-SI"/>
        </w:rPr>
        <w:t xml:space="preserve"> 2024 je bilo </w:t>
      </w:r>
      <w:r>
        <w:rPr>
          <w:rFonts w:ascii="Arial" w:hAnsi="Arial" w:cs="Arial"/>
          <w:sz w:val="20"/>
          <w:szCs w:val="20"/>
          <w:lang w:eastAsia="sl-SI"/>
        </w:rPr>
        <w:t>v</w:t>
      </w:r>
      <w:r w:rsidRPr="00267E7A">
        <w:rPr>
          <w:rFonts w:ascii="Arial" w:hAnsi="Arial" w:cs="Arial"/>
          <w:sz w:val="20"/>
          <w:szCs w:val="20"/>
          <w:lang w:eastAsia="sl-SI"/>
        </w:rPr>
        <w:t xml:space="preserve"> en</w:t>
      </w:r>
      <w:r>
        <w:rPr>
          <w:rFonts w:ascii="Arial" w:hAnsi="Arial" w:cs="Arial"/>
          <w:sz w:val="20"/>
          <w:szCs w:val="20"/>
          <w:lang w:eastAsia="sl-SI"/>
        </w:rPr>
        <w:t>i</w:t>
      </w:r>
      <w:r w:rsidRPr="00267E7A">
        <w:rPr>
          <w:rFonts w:ascii="Arial" w:hAnsi="Arial" w:cs="Arial"/>
          <w:sz w:val="20"/>
          <w:szCs w:val="20"/>
          <w:lang w:eastAsia="sl-SI"/>
        </w:rPr>
        <w:t xml:space="preserve"> ali drug</w:t>
      </w:r>
      <w:r>
        <w:rPr>
          <w:rFonts w:ascii="Arial" w:hAnsi="Arial" w:cs="Arial"/>
          <w:sz w:val="20"/>
          <w:szCs w:val="20"/>
          <w:lang w:eastAsia="sl-SI"/>
        </w:rPr>
        <w:t>i</w:t>
      </w:r>
      <w:r w:rsidRPr="00267E7A">
        <w:rPr>
          <w:rFonts w:ascii="Arial" w:hAnsi="Arial" w:cs="Arial"/>
          <w:sz w:val="20"/>
          <w:szCs w:val="20"/>
          <w:lang w:eastAsia="sl-SI"/>
        </w:rPr>
        <w:t xml:space="preserve"> spletn</w:t>
      </w:r>
      <w:r>
        <w:rPr>
          <w:rFonts w:ascii="Arial" w:hAnsi="Arial" w:cs="Arial"/>
          <w:sz w:val="20"/>
          <w:szCs w:val="20"/>
          <w:lang w:eastAsia="sl-SI"/>
        </w:rPr>
        <w:t>i</w:t>
      </w:r>
      <w:r w:rsidRPr="00267E7A">
        <w:rPr>
          <w:rFonts w:ascii="Arial" w:hAnsi="Arial" w:cs="Arial"/>
          <w:sz w:val="20"/>
          <w:szCs w:val="20"/>
          <w:lang w:eastAsia="sl-SI"/>
        </w:rPr>
        <w:t xml:space="preserve"> storitv</w:t>
      </w:r>
      <w:r>
        <w:rPr>
          <w:rFonts w:ascii="Arial" w:hAnsi="Arial" w:cs="Arial"/>
          <w:sz w:val="20"/>
          <w:szCs w:val="20"/>
          <w:lang w:eastAsia="sl-SI"/>
        </w:rPr>
        <w:t>i</w:t>
      </w:r>
      <w:r w:rsidRPr="00267E7A">
        <w:rPr>
          <w:rFonts w:ascii="Arial" w:hAnsi="Arial" w:cs="Arial"/>
          <w:sz w:val="20"/>
          <w:szCs w:val="20"/>
          <w:lang w:eastAsia="sl-SI"/>
        </w:rPr>
        <w:t xml:space="preserve"> opravljenih 6.554.463 vpogledov v </w:t>
      </w:r>
      <w:proofErr w:type="spellStart"/>
      <w:r w:rsidRPr="00267E7A">
        <w:rPr>
          <w:rFonts w:ascii="Arial" w:hAnsi="Arial" w:cs="Arial"/>
          <w:sz w:val="20"/>
          <w:szCs w:val="20"/>
          <w:lang w:eastAsia="sl-SI"/>
        </w:rPr>
        <w:t>eKartico</w:t>
      </w:r>
      <w:proofErr w:type="spellEnd"/>
      <w:r w:rsidRPr="00267E7A">
        <w:rPr>
          <w:rFonts w:ascii="Arial" w:hAnsi="Arial" w:cs="Arial"/>
          <w:sz w:val="20"/>
          <w:szCs w:val="20"/>
          <w:lang w:eastAsia="sl-SI"/>
        </w:rPr>
        <w:t>.</w:t>
      </w:r>
    </w:p>
    <w:p w14:paraId="658E2822"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19A69013"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Ena od storitev </w:t>
      </w:r>
      <w:r>
        <w:rPr>
          <w:rFonts w:ascii="Arial" w:hAnsi="Arial" w:cs="Arial"/>
          <w:sz w:val="20"/>
          <w:szCs w:val="20"/>
          <w:lang w:eastAsia="sl-SI"/>
        </w:rPr>
        <w:t>za</w:t>
      </w:r>
      <w:r w:rsidRPr="00267E7A">
        <w:rPr>
          <w:rFonts w:ascii="Arial" w:hAnsi="Arial" w:cs="Arial"/>
          <w:sz w:val="20"/>
          <w:szCs w:val="20"/>
          <w:lang w:eastAsia="sl-SI"/>
        </w:rPr>
        <w:t xml:space="preserve"> vpogled v evidence je razkritje podatkov fizičnim osebam o tem, ali in kako delodajalec zanje plačuje obvezne prispevke za socialno varnost iz delovnega razmerja. Zavezanci so </w:t>
      </w:r>
      <w:r>
        <w:rPr>
          <w:rFonts w:ascii="Arial" w:hAnsi="Arial" w:cs="Arial"/>
          <w:sz w:val="20"/>
          <w:szCs w:val="20"/>
          <w:lang w:eastAsia="sl-SI"/>
        </w:rPr>
        <w:t>na portalu</w:t>
      </w:r>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eDavk</w:t>
      </w:r>
      <w:r>
        <w:rPr>
          <w:rFonts w:ascii="Arial" w:hAnsi="Arial" w:cs="Arial"/>
          <w:sz w:val="20"/>
          <w:szCs w:val="20"/>
          <w:lang w:eastAsia="sl-SI"/>
        </w:rPr>
        <w:t>i</w:t>
      </w:r>
      <w:proofErr w:type="spellEnd"/>
      <w:r w:rsidRPr="00267E7A">
        <w:rPr>
          <w:rFonts w:ascii="Arial" w:hAnsi="Arial" w:cs="Arial"/>
          <w:sz w:val="20"/>
          <w:szCs w:val="20"/>
          <w:lang w:eastAsia="sl-SI"/>
        </w:rPr>
        <w:t xml:space="preserve"> v letu 2024 opravili 30.869 t</w:t>
      </w:r>
      <w:r>
        <w:rPr>
          <w:rFonts w:ascii="Arial" w:hAnsi="Arial" w:cs="Arial"/>
          <w:sz w:val="20"/>
          <w:szCs w:val="20"/>
          <w:lang w:eastAsia="sl-SI"/>
        </w:rPr>
        <w:t>akš</w:t>
      </w:r>
      <w:r w:rsidRPr="00267E7A">
        <w:rPr>
          <w:rFonts w:ascii="Arial" w:hAnsi="Arial" w:cs="Arial"/>
          <w:sz w:val="20"/>
          <w:szCs w:val="20"/>
          <w:lang w:eastAsia="sl-SI"/>
        </w:rPr>
        <w:t xml:space="preserve">nih vpogledov, kar je </w:t>
      </w:r>
      <w:r>
        <w:rPr>
          <w:rFonts w:ascii="Arial" w:hAnsi="Arial" w:cs="Arial"/>
          <w:sz w:val="20"/>
          <w:szCs w:val="20"/>
          <w:lang w:eastAsia="sl-SI"/>
        </w:rPr>
        <w:t xml:space="preserve">bilo </w:t>
      </w:r>
      <w:r w:rsidRPr="00267E7A">
        <w:rPr>
          <w:rFonts w:ascii="Arial" w:hAnsi="Arial" w:cs="Arial"/>
          <w:sz w:val="20"/>
          <w:szCs w:val="20"/>
          <w:lang w:eastAsia="sl-SI"/>
        </w:rPr>
        <w:t>za 20,9 odstotka manj kakor v letu 2023.</w:t>
      </w:r>
    </w:p>
    <w:p w14:paraId="25F1D5B6"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49A0726B"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V letu 2024 je FURS zavezancem na njihovo zahtevo iz knjigovodske evidence izdal 94.241 različnih dokumentov v postopkih preverjanja poravnanih obveznosti </w:t>
      </w:r>
      <w:r>
        <w:rPr>
          <w:rFonts w:ascii="Arial" w:hAnsi="Arial" w:cs="Arial"/>
          <w:sz w:val="20"/>
          <w:szCs w:val="20"/>
          <w:lang w:eastAsia="sl-SI"/>
        </w:rPr>
        <w:t>ali</w:t>
      </w:r>
      <w:r w:rsidRPr="00267E7A">
        <w:rPr>
          <w:rFonts w:ascii="Arial" w:hAnsi="Arial" w:cs="Arial"/>
          <w:sz w:val="20"/>
          <w:szCs w:val="20"/>
          <w:lang w:eastAsia="sl-SI"/>
        </w:rPr>
        <w:t xml:space="preserve"> 8,3 odstotka </w:t>
      </w:r>
      <w:r w:rsidRPr="00E5748B">
        <w:rPr>
          <w:rFonts w:ascii="Arial" w:hAnsi="Arial" w:cs="Arial"/>
          <w:sz w:val="20"/>
          <w:szCs w:val="20"/>
          <w:lang w:eastAsia="sl-SI"/>
        </w:rPr>
        <w:t>več kakor</w:t>
      </w:r>
      <w:r w:rsidRPr="00267E7A">
        <w:rPr>
          <w:rFonts w:ascii="Arial" w:hAnsi="Arial" w:cs="Arial"/>
          <w:sz w:val="20"/>
          <w:szCs w:val="20"/>
          <w:lang w:eastAsia="sl-SI"/>
        </w:rPr>
        <w:t xml:space="preserve"> v letu 2023, ko je bilo izdanih 87.005</w:t>
      </w:r>
      <w:r>
        <w:rPr>
          <w:rFonts w:ascii="Arial" w:hAnsi="Arial" w:cs="Arial"/>
          <w:sz w:val="20"/>
          <w:szCs w:val="20"/>
          <w:lang w:eastAsia="sl-SI"/>
        </w:rPr>
        <w:t xml:space="preserve"> </w:t>
      </w:r>
      <w:r w:rsidRPr="00267E7A">
        <w:rPr>
          <w:rFonts w:ascii="Arial" w:hAnsi="Arial" w:cs="Arial"/>
          <w:sz w:val="20"/>
          <w:szCs w:val="20"/>
          <w:lang w:eastAsia="sl-SI"/>
        </w:rPr>
        <w:t xml:space="preserve">dokumentov. </w:t>
      </w:r>
      <w:r>
        <w:rPr>
          <w:rFonts w:ascii="Arial" w:hAnsi="Arial" w:cs="Arial"/>
          <w:sz w:val="20"/>
          <w:szCs w:val="20"/>
          <w:lang w:eastAsia="sl-SI"/>
        </w:rPr>
        <w:t>R</w:t>
      </w:r>
      <w:r w:rsidRPr="00267E7A">
        <w:rPr>
          <w:rFonts w:ascii="Arial" w:hAnsi="Arial" w:cs="Arial"/>
          <w:sz w:val="20"/>
          <w:szCs w:val="20"/>
          <w:lang w:eastAsia="sl-SI"/>
        </w:rPr>
        <w:t xml:space="preserve">ast je posledica povečanega </w:t>
      </w:r>
      <w:r w:rsidRPr="00E5748B">
        <w:rPr>
          <w:rFonts w:ascii="Arial" w:hAnsi="Arial" w:cs="Arial"/>
          <w:sz w:val="20"/>
          <w:szCs w:val="20"/>
          <w:lang w:eastAsia="sl-SI"/>
        </w:rPr>
        <w:t>števila izdanih IOP</w:t>
      </w:r>
      <w:r w:rsidRPr="00267E7A">
        <w:rPr>
          <w:rFonts w:ascii="Arial" w:hAnsi="Arial" w:cs="Arial"/>
          <w:sz w:val="20"/>
          <w:szCs w:val="20"/>
          <w:lang w:eastAsia="sl-SI"/>
        </w:rPr>
        <w:t xml:space="preserve"> </w:t>
      </w:r>
      <w:r>
        <w:rPr>
          <w:rFonts w:ascii="Arial" w:hAnsi="Arial" w:cs="Arial"/>
          <w:sz w:val="20"/>
          <w:szCs w:val="20"/>
          <w:lang w:eastAsia="sl-SI"/>
        </w:rPr>
        <w:t>na portalu</w:t>
      </w:r>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eDavk</w:t>
      </w:r>
      <w:r>
        <w:rPr>
          <w:rFonts w:ascii="Arial" w:hAnsi="Arial" w:cs="Arial"/>
          <w:sz w:val="20"/>
          <w:szCs w:val="20"/>
          <w:lang w:eastAsia="sl-SI"/>
        </w:rPr>
        <w:t>i</w:t>
      </w:r>
      <w:proofErr w:type="spellEnd"/>
      <w:r>
        <w:rPr>
          <w:rFonts w:ascii="Arial" w:hAnsi="Arial" w:cs="Arial"/>
          <w:sz w:val="20"/>
          <w:szCs w:val="20"/>
          <w:lang w:eastAsia="sl-SI"/>
        </w:rPr>
        <w:t>, in sicer</w:t>
      </w:r>
      <w:r w:rsidRPr="00267E7A">
        <w:rPr>
          <w:rFonts w:ascii="Arial" w:hAnsi="Arial" w:cs="Arial"/>
          <w:sz w:val="20"/>
          <w:szCs w:val="20"/>
          <w:lang w:eastAsia="sl-SI"/>
        </w:rPr>
        <w:t xml:space="preserve"> za 11,5 odstotka, medtem ko se je izdaja teh potrdil na finančnih uradih zmanjšala za 4,2 odstotka. </w:t>
      </w:r>
    </w:p>
    <w:p w14:paraId="2B5261C4"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127D6F74"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r w:rsidRPr="00267E7A">
        <w:rPr>
          <w:rFonts w:ascii="Arial" w:hAnsi="Arial" w:cs="Arial"/>
          <w:sz w:val="20"/>
          <w:szCs w:val="20"/>
          <w:lang w:eastAsia="sl-SI"/>
        </w:rPr>
        <w:t xml:space="preserve">Delež izdanih dokumentov zavezancem </w:t>
      </w:r>
      <w:r>
        <w:rPr>
          <w:rFonts w:ascii="Arial" w:hAnsi="Arial" w:cs="Arial"/>
          <w:sz w:val="20"/>
          <w:szCs w:val="20"/>
          <w:lang w:eastAsia="sl-SI"/>
        </w:rPr>
        <w:t>na</w:t>
      </w:r>
      <w:r w:rsidRPr="00267E7A">
        <w:rPr>
          <w:rFonts w:ascii="Arial" w:hAnsi="Arial" w:cs="Arial"/>
          <w:sz w:val="20"/>
          <w:szCs w:val="20"/>
          <w:lang w:eastAsia="sl-SI"/>
        </w:rPr>
        <w:t xml:space="preserve"> portal</w:t>
      </w:r>
      <w:r>
        <w:rPr>
          <w:rFonts w:ascii="Arial" w:hAnsi="Arial" w:cs="Arial"/>
          <w:sz w:val="20"/>
          <w:szCs w:val="20"/>
          <w:lang w:eastAsia="sl-SI"/>
        </w:rPr>
        <w:t>u</w:t>
      </w:r>
      <w:r w:rsidRPr="00267E7A">
        <w:rPr>
          <w:rFonts w:ascii="Arial" w:hAnsi="Arial" w:cs="Arial"/>
          <w:sz w:val="20"/>
          <w:szCs w:val="20"/>
          <w:lang w:eastAsia="sl-SI"/>
        </w:rPr>
        <w:t xml:space="preserve"> </w:t>
      </w:r>
      <w:proofErr w:type="spellStart"/>
      <w:r w:rsidRPr="00267E7A">
        <w:rPr>
          <w:rFonts w:ascii="Arial" w:hAnsi="Arial" w:cs="Arial"/>
          <w:sz w:val="20"/>
          <w:szCs w:val="20"/>
          <w:lang w:eastAsia="sl-SI"/>
        </w:rPr>
        <w:t>eDavki</w:t>
      </w:r>
      <w:proofErr w:type="spellEnd"/>
      <w:r w:rsidRPr="00267E7A">
        <w:rPr>
          <w:rFonts w:ascii="Arial" w:hAnsi="Arial" w:cs="Arial"/>
          <w:sz w:val="20"/>
          <w:szCs w:val="20"/>
          <w:lang w:eastAsia="sl-SI"/>
        </w:rPr>
        <w:t xml:space="preserve"> </w:t>
      </w:r>
      <w:r>
        <w:rPr>
          <w:rFonts w:ascii="Arial" w:hAnsi="Arial" w:cs="Arial"/>
          <w:sz w:val="20"/>
          <w:szCs w:val="20"/>
          <w:lang w:eastAsia="sl-SI"/>
        </w:rPr>
        <w:t xml:space="preserve">je </w:t>
      </w:r>
      <w:r w:rsidRPr="00267E7A">
        <w:rPr>
          <w:rFonts w:ascii="Arial" w:hAnsi="Arial" w:cs="Arial"/>
          <w:sz w:val="20"/>
          <w:szCs w:val="20"/>
          <w:lang w:eastAsia="sl-SI"/>
        </w:rPr>
        <w:t xml:space="preserve">v letu 2024 </w:t>
      </w:r>
      <w:r>
        <w:rPr>
          <w:rFonts w:ascii="Arial" w:hAnsi="Arial" w:cs="Arial"/>
          <w:sz w:val="20"/>
          <w:szCs w:val="20"/>
          <w:lang w:eastAsia="sl-SI"/>
        </w:rPr>
        <w:t>obsegal</w:t>
      </w:r>
      <w:r w:rsidRPr="00267E7A">
        <w:rPr>
          <w:rFonts w:ascii="Arial" w:hAnsi="Arial" w:cs="Arial"/>
          <w:sz w:val="20"/>
          <w:szCs w:val="20"/>
          <w:lang w:eastAsia="sl-SI"/>
        </w:rPr>
        <w:t xml:space="preserve"> 82 odstotk</w:t>
      </w:r>
      <w:r>
        <w:rPr>
          <w:rFonts w:ascii="Arial" w:hAnsi="Arial" w:cs="Arial"/>
          <w:sz w:val="20"/>
          <w:szCs w:val="20"/>
          <w:lang w:eastAsia="sl-SI"/>
        </w:rPr>
        <w:t>ov</w:t>
      </w:r>
      <w:r w:rsidRPr="00267E7A">
        <w:rPr>
          <w:rFonts w:ascii="Arial" w:hAnsi="Arial" w:cs="Arial"/>
          <w:sz w:val="20"/>
          <w:szCs w:val="20"/>
          <w:lang w:eastAsia="sl-SI"/>
        </w:rPr>
        <w:t xml:space="preserve"> vseh izdanih dokumentov v postopku preverjanja poravnanih obveznosti</w:t>
      </w:r>
      <w:r>
        <w:rPr>
          <w:rFonts w:ascii="Arial" w:hAnsi="Arial" w:cs="Arial"/>
          <w:sz w:val="20"/>
          <w:szCs w:val="20"/>
          <w:lang w:eastAsia="sl-SI"/>
        </w:rPr>
        <w:t>. To</w:t>
      </w:r>
      <w:r w:rsidRPr="00267E7A">
        <w:rPr>
          <w:rFonts w:ascii="Arial" w:hAnsi="Arial" w:cs="Arial"/>
          <w:sz w:val="20"/>
          <w:szCs w:val="20"/>
          <w:lang w:eastAsia="sl-SI"/>
        </w:rPr>
        <w:t xml:space="preserve"> je </w:t>
      </w:r>
      <w:r>
        <w:rPr>
          <w:rFonts w:ascii="Arial" w:hAnsi="Arial" w:cs="Arial"/>
          <w:sz w:val="20"/>
          <w:szCs w:val="20"/>
          <w:lang w:eastAsia="sl-SI"/>
        </w:rPr>
        <w:t xml:space="preserve">bilo </w:t>
      </w:r>
      <w:r w:rsidRPr="00267E7A">
        <w:rPr>
          <w:rFonts w:ascii="Arial" w:hAnsi="Arial" w:cs="Arial"/>
          <w:sz w:val="20"/>
          <w:szCs w:val="20"/>
          <w:lang w:eastAsia="sl-SI"/>
        </w:rPr>
        <w:t>za 2,3 odstotka več kakor v letu 2023. Največj</w:t>
      </w:r>
      <w:r>
        <w:rPr>
          <w:rFonts w:ascii="Arial" w:hAnsi="Arial" w:cs="Arial"/>
          <w:sz w:val="20"/>
          <w:szCs w:val="20"/>
          <w:lang w:eastAsia="sl-SI"/>
        </w:rPr>
        <w:t>a</w:t>
      </w:r>
      <w:r w:rsidRPr="00267E7A">
        <w:rPr>
          <w:rFonts w:ascii="Arial" w:hAnsi="Arial" w:cs="Arial"/>
          <w:sz w:val="20"/>
          <w:szCs w:val="20"/>
          <w:lang w:eastAsia="sl-SI"/>
        </w:rPr>
        <w:t xml:space="preserve"> rast </w:t>
      </w:r>
      <w:r>
        <w:rPr>
          <w:rFonts w:ascii="Arial" w:hAnsi="Arial" w:cs="Arial"/>
          <w:sz w:val="20"/>
          <w:szCs w:val="20"/>
          <w:lang w:eastAsia="sl-SI"/>
        </w:rPr>
        <w:t>je bila pri</w:t>
      </w:r>
      <w:r w:rsidRPr="00267E7A">
        <w:rPr>
          <w:rFonts w:ascii="Arial" w:hAnsi="Arial" w:cs="Arial"/>
          <w:sz w:val="20"/>
          <w:szCs w:val="20"/>
          <w:lang w:eastAsia="sl-SI"/>
        </w:rPr>
        <w:t xml:space="preserve"> zahtevanih izpisih IOP; v letu 2023 je bilo teh izpisov</w:t>
      </w:r>
      <w:r>
        <w:rPr>
          <w:rFonts w:ascii="Arial" w:hAnsi="Arial" w:cs="Arial"/>
          <w:sz w:val="20"/>
          <w:szCs w:val="20"/>
          <w:lang w:eastAsia="sl-SI"/>
        </w:rPr>
        <w:t xml:space="preserve"> </w:t>
      </w:r>
      <w:r w:rsidRPr="00267E7A">
        <w:rPr>
          <w:rFonts w:ascii="Arial" w:hAnsi="Arial" w:cs="Arial"/>
          <w:sz w:val="20"/>
          <w:szCs w:val="20"/>
          <w:lang w:eastAsia="sl-SI"/>
        </w:rPr>
        <w:t>4.425, let</w:t>
      </w:r>
      <w:r>
        <w:rPr>
          <w:rFonts w:ascii="Arial" w:hAnsi="Arial" w:cs="Arial"/>
          <w:sz w:val="20"/>
          <w:szCs w:val="20"/>
          <w:lang w:eastAsia="sl-SI"/>
        </w:rPr>
        <w:t>o</w:t>
      </w:r>
      <w:r w:rsidRPr="00267E7A">
        <w:rPr>
          <w:rFonts w:ascii="Arial" w:hAnsi="Arial" w:cs="Arial"/>
          <w:sz w:val="20"/>
          <w:szCs w:val="20"/>
          <w:lang w:eastAsia="sl-SI"/>
        </w:rPr>
        <w:t xml:space="preserve"> </w:t>
      </w:r>
      <w:r>
        <w:rPr>
          <w:rFonts w:ascii="Arial" w:hAnsi="Arial" w:cs="Arial"/>
          <w:sz w:val="20"/>
          <w:szCs w:val="20"/>
          <w:lang w:eastAsia="sl-SI"/>
        </w:rPr>
        <w:t>pozneje pa</w:t>
      </w:r>
      <w:r w:rsidRPr="00267E7A">
        <w:rPr>
          <w:rFonts w:ascii="Arial" w:hAnsi="Arial" w:cs="Arial"/>
          <w:sz w:val="20"/>
          <w:szCs w:val="20"/>
          <w:lang w:eastAsia="sl-SI"/>
        </w:rPr>
        <w:t xml:space="preserve"> že 5.918</w:t>
      </w:r>
      <w:r>
        <w:rPr>
          <w:rFonts w:ascii="Arial" w:hAnsi="Arial" w:cs="Arial"/>
          <w:sz w:val="20"/>
          <w:szCs w:val="20"/>
          <w:lang w:eastAsia="sl-SI"/>
        </w:rPr>
        <w:t xml:space="preserve"> ali</w:t>
      </w:r>
      <w:r w:rsidRPr="00267E7A">
        <w:rPr>
          <w:rFonts w:ascii="Arial" w:hAnsi="Arial" w:cs="Arial"/>
          <w:sz w:val="20"/>
          <w:szCs w:val="20"/>
          <w:lang w:eastAsia="sl-SI"/>
        </w:rPr>
        <w:t xml:space="preserve"> za 33,7 odstotka več. </w:t>
      </w:r>
    </w:p>
    <w:p w14:paraId="7129610C" w14:textId="77777777" w:rsidR="00A155A2" w:rsidRPr="00267E7A" w:rsidRDefault="00A155A2" w:rsidP="00A155A2">
      <w:pPr>
        <w:autoSpaceDE w:val="0"/>
        <w:autoSpaceDN w:val="0"/>
        <w:adjustRightInd w:val="0"/>
        <w:spacing w:after="0"/>
        <w:jc w:val="both"/>
        <w:rPr>
          <w:rFonts w:ascii="Arial" w:hAnsi="Arial" w:cs="Arial"/>
          <w:sz w:val="20"/>
          <w:szCs w:val="20"/>
          <w:lang w:eastAsia="sl-SI"/>
        </w:rPr>
      </w:pPr>
    </w:p>
    <w:p w14:paraId="5B7CF421" w14:textId="77777777" w:rsidR="00A155A2" w:rsidRPr="00721DA2" w:rsidRDefault="00A155A2" w:rsidP="00A155A2">
      <w:pPr>
        <w:autoSpaceDE w:val="0"/>
        <w:autoSpaceDN w:val="0"/>
        <w:adjustRightInd w:val="0"/>
        <w:spacing w:after="0"/>
        <w:jc w:val="both"/>
        <w:rPr>
          <w:rFonts w:ascii="Arial" w:hAnsi="Arial" w:cs="Arial"/>
          <w:sz w:val="20"/>
          <w:szCs w:val="20"/>
          <w:lang w:eastAsia="sl-SI"/>
        </w:rPr>
      </w:pPr>
      <w:r w:rsidRPr="00721DA2">
        <w:rPr>
          <w:rFonts w:ascii="Arial" w:hAnsi="Arial" w:cs="Arial"/>
          <w:sz w:val="20"/>
          <w:szCs w:val="20"/>
          <w:lang w:eastAsia="sl-SI"/>
        </w:rPr>
        <w:t>Z</w:t>
      </w:r>
      <w:r>
        <w:rPr>
          <w:rFonts w:ascii="Arial" w:hAnsi="Arial" w:cs="Arial"/>
          <w:sz w:val="20"/>
          <w:szCs w:val="20"/>
          <w:lang w:eastAsia="sl-SI"/>
        </w:rPr>
        <w:t>a</w:t>
      </w:r>
      <w:r w:rsidRPr="00721DA2">
        <w:rPr>
          <w:rFonts w:ascii="Arial" w:hAnsi="Arial" w:cs="Arial"/>
          <w:sz w:val="20"/>
          <w:szCs w:val="20"/>
          <w:lang w:eastAsia="sl-SI"/>
        </w:rPr>
        <w:t xml:space="preserve"> lažje plačevanj</w:t>
      </w:r>
      <w:r>
        <w:rPr>
          <w:rFonts w:ascii="Arial" w:hAnsi="Arial" w:cs="Arial"/>
          <w:sz w:val="20"/>
          <w:szCs w:val="20"/>
          <w:lang w:eastAsia="sl-SI"/>
        </w:rPr>
        <w:t>e</w:t>
      </w:r>
      <w:r w:rsidRPr="00721DA2">
        <w:rPr>
          <w:rFonts w:ascii="Arial" w:hAnsi="Arial" w:cs="Arial"/>
          <w:sz w:val="20"/>
          <w:szCs w:val="20"/>
          <w:lang w:eastAsia="sl-SI"/>
        </w:rPr>
        <w:t xml:space="preserve"> obveznosti je bil 24. decembra 2024 dopoln</w:t>
      </w:r>
      <w:r>
        <w:rPr>
          <w:rFonts w:ascii="Arial" w:hAnsi="Arial" w:cs="Arial"/>
          <w:sz w:val="20"/>
          <w:szCs w:val="20"/>
          <w:lang w:eastAsia="sl-SI"/>
        </w:rPr>
        <w:t>j</w:t>
      </w:r>
      <w:r w:rsidRPr="00721DA2">
        <w:rPr>
          <w:rFonts w:ascii="Arial" w:hAnsi="Arial" w:cs="Arial"/>
          <w:sz w:val="20"/>
          <w:szCs w:val="20"/>
          <w:lang w:eastAsia="sl-SI"/>
        </w:rPr>
        <w:t>e</w:t>
      </w:r>
      <w:r>
        <w:rPr>
          <w:rFonts w:ascii="Arial" w:hAnsi="Arial" w:cs="Arial"/>
          <w:sz w:val="20"/>
          <w:szCs w:val="20"/>
          <w:lang w:eastAsia="sl-SI"/>
        </w:rPr>
        <w:t>n</w:t>
      </w:r>
      <w:r w:rsidRPr="00721DA2">
        <w:rPr>
          <w:rFonts w:ascii="Arial" w:hAnsi="Arial" w:cs="Arial"/>
          <w:sz w:val="20"/>
          <w:szCs w:val="20"/>
          <w:lang w:eastAsia="sl-SI"/>
        </w:rPr>
        <w:t xml:space="preserve"> dokument Obvestil</w:t>
      </w:r>
      <w:r>
        <w:rPr>
          <w:rFonts w:ascii="Arial" w:hAnsi="Arial" w:cs="Arial"/>
          <w:sz w:val="20"/>
          <w:szCs w:val="20"/>
          <w:lang w:eastAsia="sl-SI"/>
        </w:rPr>
        <w:t>o</w:t>
      </w:r>
      <w:r w:rsidRPr="00721DA2">
        <w:rPr>
          <w:rFonts w:ascii="Arial" w:hAnsi="Arial" w:cs="Arial"/>
          <w:sz w:val="20"/>
          <w:szCs w:val="20"/>
          <w:lang w:eastAsia="sl-SI"/>
        </w:rPr>
        <w:t xml:space="preserve"> o dolgu. </w:t>
      </w:r>
      <w:r w:rsidRPr="00E5748B">
        <w:rPr>
          <w:rFonts w:ascii="Arial" w:hAnsi="Arial" w:cs="Arial"/>
          <w:sz w:val="20"/>
          <w:szCs w:val="20"/>
          <w:lang w:eastAsia="sl-SI"/>
        </w:rPr>
        <w:t xml:space="preserve">Pri </w:t>
      </w:r>
      <w:r>
        <w:rPr>
          <w:rFonts w:ascii="Arial" w:hAnsi="Arial" w:cs="Arial"/>
          <w:sz w:val="20"/>
          <w:szCs w:val="20"/>
          <w:lang w:eastAsia="sl-SI"/>
        </w:rPr>
        <w:t>pripravi</w:t>
      </w:r>
      <w:r w:rsidRPr="00E5748B">
        <w:rPr>
          <w:rFonts w:ascii="Arial" w:hAnsi="Arial" w:cs="Arial"/>
          <w:sz w:val="20"/>
          <w:szCs w:val="20"/>
          <w:lang w:eastAsia="sl-SI"/>
        </w:rPr>
        <w:t xml:space="preserve"> </w:t>
      </w:r>
      <w:r w:rsidRPr="00721DA2">
        <w:rPr>
          <w:rFonts w:ascii="Arial" w:hAnsi="Arial" w:cs="Arial"/>
          <w:sz w:val="20"/>
          <w:szCs w:val="20"/>
          <w:lang w:eastAsia="sl-SI"/>
        </w:rPr>
        <w:t xml:space="preserve">tega na portalu </w:t>
      </w:r>
      <w:proofErr w:type="spellStart"/>
      <w:r w:rsidRPr="00721DA2">
        <w:rPr>
          <w:rFonts w:ascii="Arial" w:hAnsi="Arial" w:cs="Arial"/>
          <w:sz w:val="20"/>
          <w:szCs w:val="20"/>
          <w:lang w:eastAsia="sl-SI"/>
        </w:rPr>
        <w:t>eDavki</w:t>
      </w:r>
      <w:proofErr w:type="spellEnd"/>
      <w:r w:rsidRPr="00721DA2">
        <w:rPr>
          <w:rFonts w:ascii="Arial" w:hAnsi="Arial" w:cs="Arial"/>
          <w:sz w:val="20"/>
          <w:szCs w:val="20"/>
          <w:lang w:eastAsia="sl-SI"/>
        </w:rPr>
        <w:t xml:space="preserve"> ali na finančnem uradu se v prilogi </w:t>
      </w:r>
      <w:r>
        <w:rPr>
          <w:rFonts w:ascii="Arial" w:hAnsi="Arial" w:cs="Arial"/>
          <w:sz w:val="20"/>
          <w:szCs w:val="20"/>
          <w:lang w:eastAsia="sl-SI"/>
        </w:rPr>
        <w:t>ustvarijo</w:t>
      </w:r>
      <w:r w:rsidRPr="00721DA2">
        <w:rPr>
          <w:rFonts w:ascii="Arial" w:hAnsi="Arial" w:cs="Arial"/>
          <w:sz w:val="20"/>
          <w:szCs w:val="20"/>
          <w:lang w:eastAsia="sl-SI"/>
        </w:rPr>
        <w:t xml:space="preserve"> tudi plačilna navodila s QR</w:t>
      </w:r>
      <w:r>
        <w:rPr>
          <w:rFonts w:ascii="Arial" w:hAnsi="Arial" w:cs="Arial"/>
          <w:sz w:val="20"/>
          <w:szCs w:val="20"/>
          <w:lang w:eastAsia="sl-SI"/>
        </w:rPr>
        <w:t>-</w:t>
      </w:r>
      <w:r w:rsidRPr="00721DA2">
        <w:rPr>
          <w:rFonts w:ascii="Arial" w:hAnsi="Arial" w:cs="Arial"/>
          <w:sz w:val="20"/>
          <w:szCs w:val="20"/>
          <w:lang w:eastAsia="sl-SI"/>
        </w:rPr>
        <w:t>kodo za plačilo.</w:t>
      </w:r>
    </w:p>
    <w:p w14:paraId="63AE900B" w14:textId="77777777" w:rsidR="00A155A2" w:rsidRPr="00267E7A" w:rsidRDefault="00A155A2" w:rsidP="00A155A2">
      <w:pPr>
        <w:pStyle w:val="Brezrazmikov"/>
        <w:spacing w:line="276" w:lineRule="auto"/>
        <w:jc w:val="both"/>
        <w:rPr>
          <w:rFonts w:ascii="Arial" w:hAnsi="Arial" w:cs="Arial"/>
          <w:sz w:val="20"/>
          <w:szCs w:val="20"/>
          <w:lang w:eastAsia="sl-SI"/>
        </w:rPr>
      </w:pPr>
    </w:p>
    <w:p w14:paraId="3AD8F214" w14:textId="77777777" w:rsidR="00A155A2" w:rsidRPr="00267E7A" w:rsidRDefault="00A155A2" w:rsidP="00A155A2">
      <w:pPr>
        <w:pStyle w:val="Brezrazmikov"/>
        <w:spacing w:line="276" w:lineRule="auto"/>
        <w:jc w:val="both"/>
        <w:rPr>
          <w:rFonts w:ascii="Arial" w:hAnsi="Arial" w:cs="Arial"/>
          <w:b/>
          <w:bCs/>
          <w:sz w:val="20"/>
          <w:szCs w:val="20"/>
          <w:lang w:eastAsia="sl-SI"/>
        </w:rPr>
      </w:pPr>
      <w:r w:rsidRPr="00267E7A">
        <w:rPr>
          <w:rFonts w:ascii="Arial" w:hAnsi="Arial" w:cs="Arial"/>
          <w:b/>
          <w:bCs/>
          <w:sz w:val="20"/>
          <w:szCs w:val="20"/>
          <w:lang w:eastAsia="sl-SI"/>
        </w:rPr>
        <w:t>Potrdila in razkritja iz evidenc v povezavi z izplačili javnih sredstev in pridobitvijo ugodnosti</w:t>
      </w:r>
    </w:p>
    <w:p w14:paraId="2FCBBB50"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Vse več organov pri spreje</w:t>
      </w:r>
      <w:r>
        <w:rPr>
          <w:rFonts w:ascii="Arial" w:hAnsi="Arial" w:cs="Arial"/>
          <w:sz w:val="20"/>
          <w:szCs w:val="20"/>
          <w:lang w:eastAsia="sl-SI"/>
        </w:rPr>
        <w:t>tju</w:t>
      </w:r>
      <w:r w:rsidRPr="00267E7A">
        <w:rPr>
          <w:rFonts w:ascii="Arial" w:hAnsi="Arial" w:cs="Arial"/>
          <w:sz w:val="20"/>
          <w:szCs w:val="20"/>
          <w:lang w:eastAsia="sl-SI"/>
        </w:rPr>
        <w:t xml:space="preserve"> zakonov, ukrepov in razpisov, ki omogočajo izplačila javnih sredstev subjektom in podelit</w:t>
      </w:r>
      <w:r>
        <w:rPr>
          <w:rFonts w:ascii="Arial" w:hAnsi="Arial" w:cs="Arial"/>
          <w:sz w:val="20"/>
          <w:szCs w:val="20"/>
          <w:lang w:eastAsia="sl-SI"/>
        </w:rPr>
        <w:t>e</w:t>
      </w:r>
      <w:r w:rsidRPr="00267E7A">
        <w:rPr>
          <w:rFonts w:ascii="Arial" w:hAnsi="Arial" w:cs="Arial"/>
          <w:sz w:val="20"/>
          <w:szCs w:val="20"/>
          <w:lang w:eastAsia="sl-SI"/>
        </w:rPr>
        <w:t xml:space="preserve">v </w:t>
      </w:r>
      <w:r>
        <w:rPr>
          <w:rFonts w:ascii="Arial" w:hAnsi="Arial" w:cs="Arial"/>
          <w:sz w:val="20"/>
          <w:szCs w:val="20"/>
          <w:lang w:eastAsia="sl-SI"/>
        </w:rPr>
        <w:t>nekaterih</w:t>
      </w:r>
      <w:r w:rsidRPr="00267E7A">
        <w:rPr>
          <w:rFonts w:ascii="Arial" w:hAnsi="Arial" w:cs="Arial"/>
          <w:sz w:val="20"/>
          <w:szCs w:val="20"/>
          <w:lang w:eastAsia="sl-SI"/>
        </w:rPr>
        <w:t xml:space="preserve"> pravic</w:t>
      </w:r>
      <w:r>
        <w:rPr>
          <w:rFonts w:ascii="Arial" w:hAnsi="Arial" w:cs="Arial"/>
          <w:sz w:val="20"/>
          <w:szCs w:val="20"/>
          <w:lang w:eastAsia="sl-SI"/>
        </w:rPr>
        <w:t>,</w:t>
      </w:r>
      <w:r w:rsidRPr="00267E7A">
        <w:rPr>
          <w:rFonts w:ascii="Arial" w:hAnsi="Arial" w:cs="Arial"/>
          <w:sz w:val="20"/>
          <w:szCs w:val="20"/>
          <w:lang w:eastAsia="sl-SI"/>
        </w:rPr>
        <w:t xml:space="preserve"> za njihovo pridobitev</w:t>
      </w:r>
      <w:r w:rsidRPr="00252962">
        <w:rPr>
          <w:rFonts w:ascii="Arial" w:hAnsi="Arial" w:cs="Arial"/>
          <w:sz w:val="20"/>
          <w:szCs w:val="20"/>
          <w:lang w:eastAsia="sl-SI"/>
        </w:rPr>
        <w:t xml:space="preserve"> </w:t>
      </w:r>
      <w:r>
        <w:rPr>
          <w:rFonts w:ascii="Arial" w:hAnsi="Arial" w:cs="Arial"/>
          <w:sz w:val="20"/>
          <w:szCs w:val="20"/>
          <w:lang w:eastAsia="sl-SI"/>
        </w:rPr>
        <w:t xml:space="preserve">postavlja </w:t>
      </w:r>
      <w:r w:rsidRPr="00267E7A">
        <w:rPr>
          <w:rFonts w:ascii="Arial" w:hAnsi="Arial" w:cs="Arial"/>
          <w:sz w:val="20"/>
          <w:szCs w:val="20"/>
          <w:lang w:eastAsia="sl-SI"/>
        </w:rPr>
        <w:t xml:space="preserve">pogoj, da ima upravičenec poravnane obvezne dajatve in druge denarne nedavčne obveznosti do FURS. </w:t>
      </w:r>
    </w:p>
    <w:p w14:paraId="35DDC1EE" w14:textId="77777777" w:rsidR="00A155A2" w:rsidRPr="00267E7A" w:rsidRDefault="00A155A2" w:rsidP="00A155A2">
      <w:pPr>
        <w:pStyle w:val="Brezrazmikov"/>
        <w:spacing w:line="276" w:lineRule="auto"/>
        <w:jc w:val="both"/>
        <w:rPr>
          <w:rFonts w:ascii="Arial" w:hAnsi="Arial" w:cs="Arial"/>
          <w:sz w:val="20"/>
          <w:szCs w:val="20"/>
          <w:lang w:eastAsia="sl-SI"/>
        </w:rPr>
      </w:pPr>
    </w:p>
    <w:p w14:paraId="1765A772"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Organi lahko iz evidenc FURS pridobijo podatke o izpolnjenih obveznostih </w:t>
      </w:r>
      <w:r w:rsidRPr="00C4409B">
        <w:rPr>
          <w:rFonts w:ascii="Arial" w:hAnsi="Arial" w:cs="Arial"/>
          <w:sz w:val="20"/>
          <w:szCs w:val="20"/>
          <w:lang w:eastAsia="sl-SI"/>
        </w:rPr>
        <w:t xml:space="preserve">upravičencev </w:t>
      </w:r>
      <w:r>
        <w:rPr>
          <w:rFonts w:ascii="Arial" w:hAnsi="Arial" w:cs="Arial"/>
          <w:sz w:val="20"/>
          <w:szCs w:val="20"/>
          <w:lang w:eastAsia="sl-SI"/>
        </w:rPr>
        <w:t>ob</w:t>
      </w:r>
      <w:r w:rsidRPr="00C4409B">
        <w:rPr>
          <w:rFonts w:ascii="Arial" w:hAnsi="Arial" w:cs="Arial"/>
          <w:sz w:val="20"/>
          <w:szCs w:val="20"/>
          <w:lang w:eastAsia="sl-SI"/>
        </w:rPr>
        <w:t xml:space="preserve"> vložitv</w:t>
      </w:r>
      <w:r>
        <w:rPr>
          <w:rFonts w:ascii="Arial" w:hAnsi="Arial" w:cs="Arial"/>
          <w:sz w:val="20"/>
          <w:szCs w:val="20"/>
          <w:lang w:eastAsia="sl-SI"/>
        </w:rPr>
        <w:t>i</w:t>
      </w:r>
      <w:r w:rsidRPr="00267E7A">
        <w:rPr>
          <w:rFonts w:ascii="Arial" w:hAnsi="Arial" w:cs="Arial"/>
          <w:sz w:val="20"/>
          <w:szCs w:val="20"/>
          <w:lang w:eastAsia="sl-SI"/>
        </w:rPr>
        <w:t xml:space="preserve"> zahteve </w:t>
      </w:r>
      <w:r>
        <w:rPr>
          <w:rFonts w:ascii="Arial" w:hAnsi="Arial" w:cs="Arial"/>
          <w:sz w:val="20"/>
          <w:szCs w:val="20"/>
          <w:lang w:eastAsia="sl-SI"/>
        </w:rPr>
        <w:t>ali</w:t>
      </w:r>
      <w:r w:rsidRPr="00267E7A">
        <w:rPr>
          <w:rFonts w:ascii="Arial" w:hAnsi="Arial" w:cs="Arial"/>
          <w:sz w:val="20"/>
          <w:szCs w:val="20"/>
          <w:lang w:eastAsia="sl-SI"/>
        </w:rPr>
        <w:t xml:space="preserve"> </w:t>
      </w:r>
      <w:r>
        <w:rPr>
          <w:rFonts w:ascii="Arial" w:hAnsi="Arial" w:cs="Arial"/>
          <w:sz w:val="20"/>
          <w:szCs w:val="20"/>
          <w:lang w:eastAsia="sl-SI"/>
        </w:rPr>
        <w:t>med</w:t>
      </w:r>
      <w:r w:rsidRPr="0046176B">
        <w:rPr>
          <w:rFonts w:ascii="Arial" w:hAnsi="Arial" w:cs="Arial"/>
          <w:sz w:val="20"/>
          <w:szCs w:val="20"/>
          <w:lang w:eastAsia="sl-SI"/>
        </w:rPr>
        <w:t xml:space="preserve"> p</w:t>
      </w:r>
      <w:r w:rsidRPr="00267E7A">
        <w:rPr>
          <w:rFonts w:ascii="Arial" w:hAnsi="Arial" w:cs="Arial"/>
          <w:sz w:val="20"/>
          <w:szCs w:val="20"/>
          <w:lang w:eastAsia="sl-SI"/>
        </w:rPr>
        <w:t>ostopk</w:t>
      </w:r>
      <w:r>
        <w:rPr>
          <w:rFonts w:ascii="Arial" w:hAnsi="Arial" w:cs="Arial"/>
          <w:sz w:val="20"/>
          <w:szCs w:val="20"/>
          <w:lang w:eastAsia="sl-SI"/>
        </w:rPr>
        <w:t>om</w:t>
      </w:r>
      <w:r w:rsidRPr="00267E7A">
        <w:rPr>
          <w:rFonts w:ascii="Arial" w:hAnsi="Arial" w:cs="Arial"/>
          <w:sz w:val="20"/>
          <w:szCs w:val="20"/>
          <w:lang w:eastAsia="sl-SI"/>
        </w:rPr>
        <w:t xml:space="preserve"> odobritve ugodnosti ali pravice. </w:t>
      </w:r>
      <w:r>
        <w:rPr>
          <w:rFonts w:ascii="Arial" w:hAnsi="Arial" w:cs="Arial"/>
          <w:sz w:val="20"/>
          <w:szCs w:val="20"/>
          <w:lang w:eastAsia="sl-SI"/>
        </w:rPr>
        <w:t>Č</w:t>
      </w:r>
      <w:r w:rsidRPr="00267E7A">
        <w:rPr>
          <w:rFonts w:ascii="Arial" w:hAnsi="Arial" w:cs="Arial"/>
          <w:sz w:val="20"/>
          <w:szCs w:val="20"/>
          <w:lang w:eastAsia="sl-SI"/>
        </w:rPr>
        <w:t>e obveznosti niso izpolnjene, ni mogoče pridobiti ugodnosti, n</w:t>
      </w:r>
      <w:r>
        <w:rPr>
          <w:rFonts w:ascii="Arial" w:hAnsi="Arial" w:cs="Arial"/>
          <w:sz w:val="20"/>
          <w:szCs w:val="20"/>
          <w:lang w:eastAsia="sl-SI"/>
        </w:rPr>
        <w:t xml:space="preserve">a </w:t>
      </w:r>
      <w:r w:rsidRPr="00267E7A">
        <w:rPr>
          <w:rFonts w:ascii="Arial" w:hAnsi="Arial" w:cs="Arial"/>
          <w:sz w:val="20"/>
          <w:szCs w:val="20"/>
          <w:lang w:eastAsia="sl-SI"/>
        </w:rPr>
        <w:t>pr</w:t>
      </w:r>
      <w:r>
        <w:rPr>
          <w:rFonts w:ascii="Arial" w:hAnsi="Arial" w:cs="Arial"/>
          <w:sz w:val="20"/>
          <w:szCs w:val="20"/>
          <w:lang w:eastAsia="sl-SI"/>
        </w:rPr>
        <w:t>imer</w:t>
      </w:r>
      <w:r w:rsidRPr="00267E7A">
        <w:rPr>
          <w:rFonts w:ascii="Arial" w:hAnsi="Arial" w:cs="Arial"/>
          <w:sz w:val="20"/>
          <w:szCs w:val="20"/>
          <w:lang w:eastAsia="sl-SI"/>
        </w:rPr>
        <w:t xml:space="preserve"> postati izvajalec javnega naročila, podaljšati pogodbe za izvajanje javnih naročil, pridobiti subvencije iz javnih sredstev, začeti opravljati dejavnost kot samostojni podjetnik </w:t>
      </w:r>
      <w:r>
        <w:rPr>
          <w:rFonts w:ascii="Arial" w:hAnsi="Arial" w:cs="Arial"/>
          <w:sz w:val="20"/>
          <w:szCs w:val="20"/>
          <w:lang w:eastAsia="sl-SI"/>
        </w:rPr>
        <w:t>ali</w:t>
      </w:r>
      <w:r w:rsidRPr="00267E7A">
        <w:rPr>
          <w:rFonts w:ascii="Arial" w:hAnsi="Arial" w:cs="Arial"/>
          <w:sz w:val="20"/>
          <w:szCs w:val="20"/>
          <w:lang w:eastAsia="sl-SI"/>
        </w:rPr>
        <w:t xml:space="preserve"> ustanoviti novo gospodarsko družbo, opravljati čezmejne storitve, pridobiti delovne viz</w:t>
      </w:r>
      <w:r>
        <w:rPr>
          <w:rFonts w:ascii="Arial" w:hAnsi="Arial" w:cs="Arial"/>
          <w:sz w:val="20"/>
          <w:szCs w:val="20"/>
          <w:lang w:eastAsia="sl-SI"/>
        </w:rPr>
        <w:t>um</w:t>
      </w:r>
      <w:r w:rsidRPr="00267E7A">
        <w:rPr>
          <w:rFonts w:ascii="Arial" w:hAnsi="Arial" w:cs="Arial"/>
          <w:sz w:val="20"/>
          <w:szCs w:val="20"/>
          <w:lang w:eastAsia="sl-SI"/>
        </w:rPr>
        <w:t xml:space="preserve">e, državljanstva, licence </w:t>
      </w:r>
      <w:r>
        <w:rPr>
          <w:rFonts w:ascii="Arial" w:hAnsi="Arial" w:cs="Arial"/>
          <w:sz w:val="20"/>
          <w:szCs w:val="20"/>
          <w:lang w:eastAsia="sl-SI"/>
        </w:rPr>
        <w:t>in podobno</w:t>
      </w:r>
      <w:r w:rsidRPr="00267E7A">
        <w:rPr>
          <w:rFonts w:ascii="Arial" w:hAnsi="Arial" w:cs="Arial"/>
          <w:sz w:val="20"/>
          <w:szCs w:val="20"/>
          <w:lang w:eastAsia="sl-SI"/>
        </w:rPr>
        <w:t xml:space="preserve">. </w:t>
      </w:r>
      <w:r>
        <w:rPr>
          <w:rFonts w:ascii="Arial" w:hAnsi="Arial" w:cs="Arial"/>
          <w:sz w:val="20"/>
          <w:szCs w:val="20"/>
          <w:lang w:eastAsia="sl-SI"/>
        </w:rPr>
        <w:t>Takšna preverjanja</w:t>
      </w:r>
      <w:r w:rsidRPr="00267E7A">
        <w:rPr>
          <w:rFonts w:ascii="Arial" w:hAnsi="Arial" w:cs="Arial"/>
          <w:sz w:val="20"/>
          <w:szCs w:val="20"/>
          <w:lang w:eastAsia="sl-SI"/>
        </w:rPr>
        <w:t xml:space="preserve"> posredno vpliva</w:t>
      </w:r>
      <w:r>
        <w:rPr>
          <w:rFonts w:ascii="Arial" w:hAnsi="Arial" w:cs="Arial"/>
          <w:sz w:val="20"/>
          <w:szCs w:val="20"/>
          <w:lang w:eastAsia="sl-SI"/>
        </w:rPr>
        <w:t>jo</w:t>
      </w:r>
      <w:r w:rsidRPr="00267E7A">
        <w:rPr>
          <w:rFonts w:ascii="Arial" w:hAnsi="Arial" w:cs="Arial"/>
          <w:sz w:val="20"/>
          <w:szCs w:val="20"/>
          <w:lang w:eastAsia="sl-SI"/>
        </w:rPr>
        <w:t xml:space="preserve"> na pravočasno plačevanje obveznosti </w:t>
      </w:r>
      <w:r>
        <w:rPr>
          <w:rFonts w:ascii="Arial" w:hAnsi="Arial" w:cs="Arial"/>
          <w:sz w:val="20"/>
          <w:szCs w:val="20"/>
          <w:lang w:eastAsia="sl-SI"/>
        </w:rPr>
        <w:t>od</w:t>
      </w:r>
      <w:r w:rsidRPr="00267E7A">
        <w:rPr>
          <w:rFonts w:ascii="Arial" w:hAnsi="Arial" w:cs="Arial"/>
          <w:sz w:val="20"/>
          <w:szCs w:val="20"/>
          <w:lang w:eastAsia="sl-SI"/>
        </w:rPr>
        <w:t xml:space="preserve"> obveznih dajatev in drugih denarnih nedavčnih obveznosti.</w:t>
      </w:r>
    </w:p>
    <w:p w14:paraId="31D58E0A" w14:textId="77777777" w:rsidR="00A155A2" w:rsidRPr="00267E7A" w:rsidRDefault="00A155A2" w:rsidP="00A155A2">
      <w:pPr>
        <w:pStyle w:val="Brezrazmikov"/>
        <w:spacing w:line="276" w:lineRule="auto"/>
        <w:jc w:val="both"/>
        <w:rPr>
          <w:rFonts w:ascii="Arial" w:hAnsi="Arial" w:cs="Arial"/>
          <w:sz w:val="20"/>
          <w:szCs w:val="20"/>
          <w:lang w:eastAsia="sl-SI"/>
        </w:rPr>
      </w:pPr>
    </w:p>
    <w:p w14:paraId="68B6F65D"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FURS je v letu 2024 upravičencem </w:t>
      </w:r>
      <w:r>
        <w:rPr>
          <w:rFonts w:ascii="Arial" w:hAnsi="Arial" w:cs="Arial"/>
          <w:sz w:val="20"/>
          <w:szCs w:val="20"/>
          <w:lang w:eastAsia="sl-SI"/>
        </w:rPr>
        <w:t>predložil</w:t>
      </w:r>
      <w:r w:rsidRPr="00267E7A">
        <w:rPr>
          <w:rFonts w:ascii="Arial" w:hAnsi="Arial" w:cs="Arial"/>
          <w:sz w:val="20"/>
          <w:szCs w:val="20"/>
          <w:lang w:eastAsia="sl-SI"/>
        </w:rPr>
        <w:t xml:space="preserve"> 525.406 razkritij o poravnanih obveznostih</w:t>
      </w:r>
      <w:r>
        <w:rPr>
          <w:rFonts w:ascii="Arial" w:hAnsi="Arial" w:cs="Arial"/>
          <w:sz w:val="20"/>
          <w:szCs w:val="20"/>
          <w:lang w:eastAsia="sl-SI"/>
        </w:rPr>
        <w:t xml:space="preserve"> ali </w:t>
      </w:r>
      <w:r w:rsidRPr="00267E7A">
        <w:rPr>
          <w:rFonts w:ascii="Arial" w:hAnsi="Arial" w:cs="Arial"/>
          <w:sz w:val="20"/>
          <w:szCs w:val="20"/>
          <w:lang w:eastAsia="sl-SI"/>
        </w:rPr>
        <w:t>za 40,3</w:t>
      </w:r>
      <w:r>
        <w:rPr>
          <w:rFonts w:ascii="Arial" w:hAnsi="Arial" w:cs="Arial"/>
          <w:sz w:val="20"/>
          <w:szCs w:val="20"/>
          <w:lang w:eastAsia="sl-SI"/>
        </w:rPr>
        <w:t xml:space="preserve"> </w:t>
      </w:r>
      <w:r w:rsidRPr="00267E7A">
        <w:rPr>
          <w:rFonts w:ascii="Arial" w:hAnsi="Arial" w:cs="Arial"/>
          <w:sz w:val="20"/>
          <w:szCs w:val="20"/>
          <w:lang w:eastAsia="sl-SI"/>
        </w:rPr>
        <w:t>odstotka več</w:t>
      </w:r>
      <w:r w:rsidRPr="00252962">
        <w:rPr>
          <w:rFonts w:ascii="Arial" w:hAnsi="Arial" w:cs="Arial"/>
          <w:sz w:val="20"/>
          <w:szCs w:val="20"/>
          <w:lang w:eastAsia="sl-SI"/>
        </w:rPr>
        <w:t xml:space="preserve"> </w:t>
      </w:r>
      <w:r>
        <w:rPr>
          <w:rFonts w:ascii="Arial" w:hAnsi="Arial" w:cs="Arial"/>
          <w:sz w:val="20"/>
          <w:szCs w:val="20"/>
          <w:lang w:eastAsia="sl-SI"/>
        </w:rPr>
        <w:t>kakor v letu pred tem</w:t>
      </w:r>
      <w:r w:rsidRPr="00267E7A">
        <w:rPr>
          <w:rFonts w:ascii="Arial" w:hAnsi="Arial" w:cs="Arial"/>
          <w:sz w:val="20"/>
          <w:szCs w:val="20"/>
          <w:lang w:eastAsia="sl-SI"/>
        </w:rPr>
        <w:t xml:space="preserve">. </w:t>
      </w:r>
      <w:r>
        <w:rPr>
          <w:rFonts w:ascii="Arial" w:hAnsi="Arial" w:cs="Arial"/>
          <w:sz w:val="20"/>
          <w:szCs w:val="20"/>
          <w:lang w:eastAsia="sl-SI"/>
        </w:rPr>
        <w:t>Rast</w:t>
      </w:r>
      <w:r w:rsidRPr="00267E7A">
        <w:rPr>
          <w:rFonts w:ascii="Arial" w:hAnsi="Arial" w:cs="Arial"/>
          <w:sz w:val="20"/>
          <w:szCs w:val="20"/>
          <w:lang w:eastAsia="sl-SI"/>
        </w:rPr>
        <w:t xml:space="preserve"> je posledica povečanja števila poizvedb ZZZS za namene izdaje potrdila A1, A</w:t>
      </w:r>
      <w:r>
        <w:rPr>
          <w:rFonts w:ascii="Arial" w:hAnsi="Arial" w:cs="Arial"/>
          <w:sz w:val="20"/>
          <w:szCs w:val="20"/>
          <w:lang w:eastAsia="sl-SI"/>
        </w:rPr>
        <w:t xml:space="preserve">gencije Republike Slovenije za kmetijske trge in razvoj podeželja </w:t>
      </w:r>
      <w:r w:rsidRPr="00267E7A">
        <w:rPr>
          <w:rFonts w:ascii="Arial" w:hAnsi="Arial" w:cs="Arial"/>
          <w:sz w:val="20"/>
          <w:szCs w:val="20"/>
          <w:lang w:eastAsia="sl-SI"/>
        </w:rPr>
        <w:t xml:space="preserve">in </w:t>
      </w:r>
      <w:r>
        <w:rPr>
          <w:rFonts w:ascii="Arial" w:hAnsi="Arial" w:cs="Arial"/>
          <w:sz w:val="20"/>
          <w:szCs w:val="20"/>
          <w:lang w:eastAsia="sl-SI"/>
        </w:rPr>
        <w:t>upravnih enot</w:t>
      </w:r>
      <w:r w:rsidRPr="00267E7A">
        <w:rPr>
          <w:rFonts w:ascii="Arial" w:hAnsi="Arial" w:cs="Arial"/>
          <w:sz w:val="20"/>
          <w:szCs w:val="20"/>
          <w:lang w:eastAsia="sl-SI"/>
        </w:rPr>
        <w:t xml:space="preserve"> ter v manjšem številu nekaterih drugih organov.</w:t>
      </w:r>
    </w:p>
    <w:p w14:paraId="4E163ABB" w14:textId="77777777" w:rsidR="00A155A2" w:rsidRPr="00267E7A" w:rsidRDefault="00A155A2" w:rsidP="00A155A2">
      <w:pPr>
        <w:pStyle w:val="Brezrazmikov"/>
        <w:spacing w:line="276" w:lineRule="auto"/>
        <w:jc w:val="both"/>
        <w:rPr>
          <w:rFonts w:ascii="Arial" w:hAnsi="Arial" w:cs="Arial"/>
          <w:sz w:val="20"/>
          <w:szCs w:val="20"/>
          <w:lang w:eastAsia="sl-SI"/>
        </w:rPr>
      </w:pPr>
    </w:p>
    <w:p w14:paraId="45D7F5D2"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V letu 2024 je bilo 516.995 </w:t>
      </w:r>
      <w:r>
        <w:rPr>
          <w:rFonts w:ascii="Arial" w:hAnsi="Arial" w:cs="Arial"/>
          <w:sz w:val="20"/>
          <w:szCs w:val="20"/>
          <w:lang w:eastAsia="sl-SI"/>
        </w:rPr>
        <w:t>ali</w:t>
      </w:r>
      <w:r w:rsidRPr="00267E7A">
        <w:rPr>
          <w:rFonts w:ascii="Arial" w:hAnsi="Arial" w:cs="Arial"/>
          <w:sz w:val="20"/>
          <w:szCs w:val="20"/>
          <w:lang w:eastAsia="sl-SI"/>
        </w:rPr>
        <w:t xml:space="preserve"> 98,4 odstotka razkritij </w:t>
      </w:r>
      <w:r>
        <w:rPr>
          <w:rFonts w:ascii="Arial" w:hAnsi="Arial" w:cs="Arial"/>
          <w:sz w:val="20"/>
          <w:szCs w:val="20"/>
          <w:lang w:eastAsia="sl-SI"/>
        </w:rPr>
        <w:t>poslanih</w:t>
      </w:r>
      <w:r w:rsidRPr="00267E7A">
        <w:rPr>
          <w:rFonts w:ascii="Arial" w:hAnsi="Arial" w:cs="Arial"/>
          <w:sz w:val="20"/>
          <w:szCs w:val="20"/>
          <w:lang w:eastAsia="sl-SI"/>
        </w:rPr>
        <w:t xml:space="preserve"> </w:t>
      </w:r>
      <w:r>
        <w:rPr>
          <w:rFonts w:ascii="Arial" w:hAnsi="Arial" w:cs="Arial"/>
          <w:sz w:val="20"/>
          <w:szCs w:val="20"/>
          <w:lang w:eastAsia="sl-SI"/>
        </w:rPr>
        <w:t>v okviru samodejne</w:t>
      </w:r>
      <w:r w:rsidRPr="00267E7A">
        <w:rPr>
          <w:rFonts w:ascii="Arial" w:hAnsi="Arial" w:cs="Arial"/>
          <w:sz w:val="20"/>
          <w:szCs w:val="20"/>
          <w:lang w:eastAsia="sl-SI"/>
        </w:rPr>
        <w:t xml:space="preserve"> izmenjav</w:t>
      </w:r>
      <w:r>
        <w:rPr>
          <w:rFonts w:ascii="Arial" w:hAnsi="Arial" w:cs="Arial"/>
          <w:sz w:val="20"/>
          <w:szCs w:val="20"/>
          <w:lang w:eastAsia="sl-SI"/>
        </w:rPr>
        <w:t>e</w:t>
      </w:r>
      <w:r w:rsidRPr="00267E7A">
        <w:rPr>
          <w:rFonts w:ascii="Arial" w:hAnsi="Arial" w:cs="Arial"/>
          <w:sz w:val="20"/>
          <w:szCs w:val="20"/>
          <w:lang w:eastAsia="sl-SI"/>
        </w:rPr>
        <w:t xml:space="preserve"> podatkov med organi. </w:t>
      </w:r>
      <w:r>
        <w:rPr>
          <w:rFonts w:ascii="Arial" w:hAnsi="Arial" w:cs="Arial"/>
          <w:sz w:val="20"/>
          <w:szCs w:val="20"/>
          <w:lang w:eastAsia="sl-SI"/>
        </w:rPr>
        <w:t>Samodejna</w:t>
      </w:r>
      <w:r w:rsidRPr="00267E7A">
        <w:rPr>
          <w:rFonts w:ascii="Arial" w:hAnsi="Arial" w:cs="Arial"/>
          <w:sz w:val="20"/>
          <w:szCs w:val="20"/>
          <w:lang w:eastAsia="sl-SI"/>
        </w:rPr>
        <w:t xml:space="preserve"> izmenjava razkrit</w:t>
      </w:r>
      <w:r>
        <w:rPr>
          <w:rFonts w:ascii="Arial" w:hAnsi="Arial" w:cs="Arial"/>
          <w:sz w:val="20"/>
          <w:szCs w:val="20"/>
          <w:lang w:eastAsia="sl-SI"/>
        </w:rPr>
        <w:t>i</w:t>
      </w:r>
      <w:r w:rsidRPr="00267E7A">
        <w:rPr>
          <w:rFonts w:ascii="Arial" w:hAnsi="Arial" w:cs="Arial"/>
          <w:sz w:val="20"/>
          <w:szCs w:val="20"/>
          <w:lang w:eastAsia="sl-SI"/>
        </w:rPr>
        <w:t xml:space="preserve">j je nujna </w:t>
      </w:r>
      <w:r>
        <w:rPr>
          <w:rFonts w:ascii="Arial" w:hAnsi="Arial" w:cs="Arial"/>
          <w:sz w:val="20"/>
          <w:szCs w:val="20"/>
          <w:lang w:eastAsia="sl-SI"/>
        </w:rPr>
        <w:t>zaradi</w:t>
      </w:r>
      <w:r w:rsidRPr="00267E7A">
        <w:rPr>
          <w:rFonts w:ascii="Arial" w:hAnsi="Arial" w:cs="Arial"/>
          <w:sz w:val="20"/>
          <w:szCs w:val="20"/>
          <w:lang w:eastAsia="sl-SI"/>
        </w:rPr>
        <w:t xml:space="preserve"> velik</w:t>
      </w:r>
      <w:r>
        <w:rPr>
          <w:rFonts w:ascii="Arial" w:hAnsi="Arial" w:cs="Arial"/>
          <w:sz w:val="20"/>
          <w:szCs w:val="20"/>
          <w:lang w:eastAsia="sl-SI"/>
        </w:rPr>
        <w:t>ega</w:t>
      </w:r>
      <w:r w:rsidRPr="00267E7A">
        <w:rPr>
          <w:rFonts w:ascii="Arial" w:hAnsi="Arial" w:cs="Arial"/>
          <w:sz w:val="20"/>
          <w:szCs w:val="20"/>
          <w:lang w:eastAsia="sl-SI"/>
        </w:rPr>
        <w:t xml:space="preserve"> obseg</w:t>
      </w:r>
      <w:r>
        <w:rPr>
          <w:rFonts w:ascii="Arial" w:hAnsi="Arial" w:cs="Arial"/>
          <w:sz w:val="20"/>
          <w:szCs w:val="20"/>
          <w:lang w:eastAsia="sl-SI"/>
        </w:rPr>
        <w:t>a</w:t>
      </w:r>
      <w:r w:rsidRPr="00267E7A">
        <w:rPr>
          <w:rFonts w:ascii="Arial" w:hAnsi="Arial" w:cs="Arial"/>
          <w:sz w:val="20"/>
          <w:szCs w:val="20"/>
          <w:lang w:eastAsia="sl-SI"/>
        </w:rPr>
        <w:t xml:space="preserve"> vlog, zato so bile tudi v letu 2024 </w:t>
      </w:r>
      <w:r>
        <w:rPr>
          <w:rFonts w:ascii="Arial" w:hAnsi="Arial" w:cs="Arial"/>
          <w:sz w:val="20"/>
          <w:szCs w:val="20"/>
          <w:lang w:eastAsia="sl-SI"/>
        </w:rPr>
        <w:t>s ciljem njegovega dodatnega povečanja</w:t>
      </w:r>
      <w:r w:rsidRPr="00267E7A">
        <w:rPr>
          <w:rFonts w:ascii="Arial" w:hAnsi="Arial" w:cs="Arial"/>
          <w:sz w:val="20"/>
          <w:szCs w:val="20"/>
          <w:lang w:eastAsia="sl-SI"/>
        </w:rPr>
        <w:t xml:space="preserve"> dane pobude za sklenitev dogovorov o izmenjavi z več organi</w:t>
      </w:r>
      <w:r>
        <w:rPr>
          <w:rFonts w:ascii="Arial" w:hAnsi="Arial" w:cs="Arial"/>
          <w:sz w:val="20"/>
          <w:szCs w:val="20"/>
          <w:lang w:eastAsia="sl-SI"/>
        </w:rPr>
        <w:t xml:space="preserve"> –</w:t>
      </w:r>
      <w:r w:rsidRPr="00267E7A">
        <w:rPr>
          <w:rFonts w:ascii="Arial" w:hAnsi="Arial" w:cs="Arial"/>
          <w:sz w:val="20"/>
          <w:szCs w:val="20"/>
          <w:lang w:eastAsia="sl-SI"/>
        </w:rPr>
        <w:t xml:space="preserve"> nekateri s</w:t>
      </w:r>
      <w:r>
        <w:rPr>
          <w:rFonts w:ascii="Arial" w:hAnsi="Arial" w:cs="Arial"/>
          <w:sz w:val="20"/>
          <w:szCs w:val="20"/>
          <w:lang w:eastAsia="sl-SI"/>
        </w:rPr>
        <w:t>e</w:t>
      </w:r>
      <w:r w:rsidRPr="00267E7A">
        <w:rPr>
          <w:rFonts w:ascii="Arial" w:hAnsi="Arial" w:cs="Arial"/>
          <w:sz w:val="20"/>
          <w:szCs w:val="20"/>
          <w:lang w:eastAsia="sl-SI"/>
        </w:rPr>
        <w:t xml:space="preserve"> </w:t>
      </w:r>
      <w:r>
        <w:rPr>
          <w:rFonts w:ascii="Arial" w:hAnsi="Arial" w:cs="Arial"/>
          <w:sz w:val="20"/>
          <w:szCs w:val="20"/>
          <w:lang w:eastAsia="sl-SI"/>
        </w:rPr>
        <w:t>izvajajo</w:t>
      </w:r>
      <w:r w:rsidRPr="00267E7A">
        <w:rPr>
          <w:rFonts w:ascii="Arial" w:hAnsi="Arial" w:cs="Arial"/>
          <w:sz w:val="20"/>
          <w:szCs w:val="20"/>
          <w:lang w:eastAsia="sl-SI"/>
        </w:rPr>
        <w:t>, n</w:t>
      </w:r>
      <w:r>
        <w:rPr>
          <w:rFonts w:ascii="Arial" w:hAnsi="Arial" w:cs="Arial"/>
          <w:sz w:val="20"/>
          <w:szCs w:val="20"/>
          <w:lang w:eastAsia="sl-SI"/>
        </w:rPr>
        <w:t xml:space="preserve">a </w:t>
      </w:r>
      <w:r w:rsidRPr="00267E7A">
        <w:rPr>
          <w:rFonts w:ascii="Arial" w:hAnsi="Arial" w:cs="Arial"/>
          <w:sz w:val="20"/>
          <w:szCs w:val="20"/>
          <w:lang w:eastAsia="sl-SI"/>
        </w:rPr>
        <w:t>pr</w:t>
      </w:r>
      <w:r>
        <w:rPr>
          <w:rFonts w:ascii="Arial" w:hAnsi="Arial" w:cs="Arial"/>
          <w:sz w:val="20"/>
          <w:szCs w:val="20"/>
          <w:lang w:eastAsia="sl-SI"/>
        </w:rPr>
        <w:t>imer</w:t>
      </w:r>
      <w:r w:rsidRPr="00267E7A">
        <w:rPr>
          <w:rFonts w:ascii="Arial" w:hAnsi="Arial" w:cs="Arial"/>
          <w:sz w:val="20"/>
          <w:szCs w:val="20"/>
          <w:lang w:eastAsia="sl-SI"/>
        </w:rPr>
        <w:t xml:space="preserve"> z M</w:t>
      </w:r>
      <w:r>
        <w:rPr>
          <w:rFonts w:ascii="Arial" w:hAnsi="Arial" w:cs="Arial"/>
          <w:sz w:val="20"/>
          <w:szCs w:val="20"/>
          <w:lang w:eastAsia="sl-SI"/>
        </w:rPr>
        <w:t>inistrstvom za digitalno preobrazbo</w:t>
      </w:r>
      <w:r w:rsidRPr="00267E7A">
        <w:rPr>
          <w:rFonts w:ascii="Arial" w:hAnsi="Arial" w:cs="Arial"/>
          <w:sz w:val="20"/>
          <w:szCs w:val="20"/>
          <w:lang w:eastAsia="sl-SI"/>
        </w:rPr>
        <w:t xml:space="preserve"> </w:t>
      </w:r>
      <w:r>
        <w:rPr>
          <w:rFonts w:ascii="Arial" w:hAnsi="Arial" w:cs="Arial"/>
          <w:sz w:val="20"/>
          <w:szCs w:val="20"/>
          <w:lang w:eastAsia="sl-SI"/>
        </w:rPr>
        <w:t xml:space="preserve">Republike Slovenije </w:t>
      </w:r>
      <w:r w:rsidRPr="00267E7A">
        <w:rPr>
          <w:rFonts w:ascii="Arial" w:hAnsi="Arial" w:cs="Arial"/>
          <w:sz w:val="20"/>
          <w:szCs w:val="20"/>
          <w:lang w:eastAsia="sl-SI"/>
        </w:rPr>
        <w:t xml:space="preserve">in </w:t>
      </w:r>
      <w:r>
        <w:rPr>
          <w:rFonts w:ascii="Arial" w:hAnsi="Arial" w:cs="Arial"/>
          <w:sz w:val="20"/>
          <w:szCs w:val="20"/>
          <w:lang w:eastAsia="sl-SI"/>
        </w:rPr>
        <w:t xml:space="preserve">družbo </w:t>
      </w:r>
      <w:r w:rsidRPr="00267E7A">
        <w:rPr>
          <w:rFonts w:ascii="Arial" w:hAnsi="Arial" w:cs="Arial"/>
          <w:sz w:val="20"/>
          <w:szCs w:val="20"/>
          <w:lang w:eastAsia="sl-SI"/>
        </w:rPr>
        <w:t>Borzen ter</w:t>
      </w:r>
      <w:r>
        <w:rPr>
          <w:rFonts w:ascii="Arial" w:hAnsi="Arial" w:cs="Arial"/>
          <w:sz w:val="20"/>
          <w:szCs w:val="20"/>
          <w:lang w:eastAsia="sl-SI"/>
        </w:rPr>
        <w:t xml:space="preserve"> Zavodom Republike Slovenije za zaposlovanje (v nadaljnjem besedilu: ZRSZ)</w:t>
      </w:r>
      <w:r w:rsidRPr="00267E7A">
        <w:rPr>
          <w:rFonts w:ascii="Arial" w:hAnsi="Arial" w:cs="Arial"/>
          <w:sz w:val="20"/>
          <w:szCs w:val="20"/>
          <w:lang w:eastAsia="sl-SI"/>
        </w:rPr>
        <w:t xml:space="preserve">. </w:t>
      </w:r>
    </w:p>
    <w:p w14:paraId="08FE439F" w14:textId="77777777" w:rsidR="00A155A2" w:rsidRPr="00267E7A" w:rsidRDefault="00A155A2" w:rsidP="00A155A2">
      <w:pPr>
        <w:pStyle w:val="Brezrazmikov"/>
        <w:spacing w:line="276" w:lineRule="auto"/>
        <w:jc w:val="both"/>
        <w:rPr>
          <w:rFonts w:ascii="Arial" w:hAnsi="Arial" w:cs="Arial"/>
          <w:sz w:val="20"/>
          <w:szCs w:val="20"/>
          <w:lang w:eastAsia="sl-SI"/>
        </w:rPr>
      </w:pPr>
    </w:p>
    <w:p w14:paraId="1D74E56F" w14:textId="77777777" w:rsidR="00A155A2" w:rsidRPr="00267E7A" w:rsidRDefault="00A155A2" w:rsidP="00A155A2">
      <w:pPr>
        <w:pStyle w:val="Brezrazmikov"/>
        <w:spacing w:line="276" w:lineRule="auto"/>
        <w:jc w:val="both"/>
        <w:rPr>
          <w:rFonts w:ascii="Arial" w:hAnsi="Arial" w:cs="Arial"/>
          <w:sz w:val="20"/>
          <w:szCs w:val="20"/>
          <w:lang w:eastAsia="sl-SI"/>
        </w:rPr>
      </w:pPr>
      <w:r w:rsidRPr="00267E7A">
        <w:rPr>
          <w:rFonts w:ascii="Arial" w:hAnsi="Arial" w:cs="Arial"/>
          <w:sz w:val="20"/>
          <w:szCs w:val="20"/>
          <w:lang w:eastAsia="sl-SI"/>
        </w:rPr>
        <w:t xml:space="preserve">Zaradi uvedbe </w:t>
      </w:r>
      <w:r>
        <w:rPr>
          <w:rFonts w:ascii="Arial" w:hAnsi="Arial" w:cs="Arial"/>
          <w:sz w:val="20"/>
          <w:szCs w:val="20"/>
          <w:lang w:eastAsia="sl-SI"/>
        </w:rPr>
        <w:t>samodejnih</w:t>
      </w:r>
      <w:r w:rsidRPr="00267E7A">
        <w:rPr>
          <w:rFonts w:ascii="Arial" w:hAnsi="Arial" w:cs="Arial"/>
          <w:sz w:val="20"/>
          <w:szCs w:val="20"/>
          <w:lang w:eastAsia="sl-SI"/>
        </w:rPr>
        <w:t xml:space="preserve"> izmenjav se število pisnih razkritij organov na njihovo zahtevo zmanjšuje. Leta 2022 je bilo v pisni obliki izdanih 13.577 razkritij, let</w:t>
      </w:r>
      <w:r>
        <w:rPr>
          <w:rFonts w:ascii="Arial" w:hAnsi="Arial" w:cs="Arial"/>
          <w:sz w:val="20"/>
          <w:szCs w:val="20"/>
          <w:lang w:eastAsia="sl-SI"/>
        </w:rPr>
        <w:t>o</w:t>
      </w:r>
      <w:r w:rsidRPr="00267E7A">
        <w:rPr>
          <w:rFonts w:ascii="Arial" w:hAnsi="Arial" w:cs="Arial"/>
          <w:sz w:val="20"/>
          <w:szCs w:val="20"/>
          <w:lang w:eastAsia="sl-SI"/>
        </w:rPr>
        <w:t xml:space="preserve"> </w:t>
      </w:r>
      <w:r>
        <w:rPr>
          <w:rFonts w:ascii="Arial" w:hAnsi="Arial" w:cs="Arial"/>
          <w:sz w:val="20"/>
          <w:szCs w:val="20"/>
          <w:lang w:eastAsia="sl-SI"/>
        </w:rPr>
        <w:t>pozneje</w:t>
      </w:r>
      <w:r w:rsidRPr="00267E7A">
        <w:rPr>
          <w:rFonts w:ascii="Arial" w:hAnsi="Arial" w:cs="Arial"/>
          <w:sz w:val="20"/>
          <w:szCs w:val="20"/>
          <w:lang w:eastAsia="sl-SI"/>
        </w:rPr>
        <w:t xml:space="preserve"> 9.942</w:t>
      </w:r>
      <w:r>
        <w:rPr>
          <w:rFonts w:ascii="Arial" w:hAnsi="Arial" w:cs="Arial"/>
          <w:sz w:val="20"/>
          <w:szCs w:val="20"/>
          <w:lang w:eastAsia="sl-SI"/>
        </w:rPr>
        <w:t>,</w:t>
      </w:r>
      <w:r w:rsidRPr="00267E7A">
        <w:rPr>
          <w:rFonts w:ascii="Arial" w:hAnsi="Arial" w:cs="Arial"/>
          <w:sz w:val="20"/>
          <w:szCs w:val="20"/>
          <w:lang w:eastAsia="sl-SI"/>
        </w:rPr>
        <w:t xml:space="preserve"> v letu 2024</w:t>
      </w:r>
      <w:r>
        <w:rPr>
          <w:rFonts w:ascii="Arial" w:hAnsi="Arial" w:cs="Arial"/>
          <w:sz w:val="20"/>
          <w:szCs w:val="20"/>
          <w:lang w:eastAsia="sl-SI"/>
        </w:rPr>
        <w:t xml:space="preserve"> pa</w:t>
      </w:r>
      <w:r w:rsidRPr="00267E7A">
        <w:rPr>
          <w:rFonts w:ascii="Arial" w:hAnsi="Arial" w:cs="Arial"/>
          <w:sz w:val="20"/>
          <w:szCs w:val="20"/>
          <w:lang w:eastAsia="sl-SI"/>
        </w:rPr>
        <w:t xml:space="preserve"> 8.411. Najbolj se </w:t>
      </w:r>
      <w:r>
        <w:rPr>
          <w:rFonts w:ascii="Arial" w:hAnsi="Arial" w:cs="Arial"/>
          <w:sz w:val="20"/>
          <w:szCs w:val="20"/>
          <w:lang w:eastAsia="sl-SI"/>
        </w:rPr>
        <w:t xml:space="preserve">je </w:t>
      </w:r>
      <w:r w:rsidRPr="00267E7A">
        <w:rPr>
          <w:rFonts w:ascii="Arial" w:hAnsi="Arial" w:cs="Arial"/>
          <w:sz w:val="20"/>
          <w:szCs w:val="20"/>
          <w:lang w:eastAsia="sl-SI"/>
        </w:rPr>
        <w:t xml:space="preserve">zmanjšala izmenjava pisnih razkritij med FURS in ZRSZ na področju </w:t>
      </w:r>
      <w:r>
        <w:rPr>
          <w:rFonts w:ascii="Arial" w:hAnsi="Arial" w:cs="Arial"/>
          <w:sz w:val="20"/>
          <w:szCs w:val="20"/>
          <w:lang w:eastAsia="sl-SI"/>
        </w:rPr>
        <w:t>u</w:t>
      </w:r>
      <w:r w:rsidRPr="00267E7A">
        <w:rPr>
          <w:rFonts w:ascii="Arial" w:hAnsi="Arial" w:cs="Arial"/>
          <w:sz w:val="20"/>
          <w:szCs w:val="20"/>
          <w:lang w:eastAsia="sl-SI"/>
        </w:rPr>
        <w:t>veljavljanja pravic iz zavarovanja za primer brezpos</w:t>
      </w:r>
      <w:r>
        <w:rPr>
          <w:rFonts w:ascii="Arial" w:hAnsi="Arial" w:cs="Arial"/>
          <w:sz w:val="20"/>
          <w:szCs w:val="20"/>
          <w:lang w:eastAsia="sl-SI"/>
        </w:rPr>
        <w:t>e</w:t>
      </w:r>
      <w:r w:rsidRPr="00267E7A">
        <w:rPr>
          <w:rFonts w:ascii="Arial" w:hAnsi="Arial" w:cs="Arial"/>
          <w:sz w:val="20"/>
          <w:szCs w:val="20"/>
          <w:lang w:eastAsia="sl-SI"/>
        </w:rPr>
        <w:t>lnosti zaradi uvedbe izmenjave podatkov. V letu 2022 je bilo teh pisnih razkritij 1.802, let</w:t>
      </w:r>
      <w:r>
        <w:rPr>
          <w:rFonts w:ascii="Arial" w:hAnsi="Arial" w:cs="Arial"/>
          <w:sz w:val="20"/>
          <w:szCs w:val="20"/>
          <w:lang w:eastAsia="sl-SI"/>
        </w:rPr>
        <w:t>o</w:t>
      </w:r>
      <w:r w:rsidRPr="00267E7A">
        <w:rPr>
          <w:rFonts w:ascii="Arial" w:hAnsi="Arial" w:cs="Arial"/>
          <w:sz w:val="20"/>
          <w:szCs w:val="20"/>
          <w:lang w:eastAsia="sl-SI"/>
        </w:rPr>
        <w:t xml:space="preserve"> </w:t>
      </w:r>
      <w:r>
        <w:rPr>
          <w:rFonts w:ascii="Arial" w:hAnsi="Arial" w:cs="Arial"/>
          <w:sz w:val="20"/>
          <w:szCs w:val="20"/>
          <w:lang w:eastAsia="sl-SI"/>
        </w:rPr>
        <w:t>pozneje</w:t>
      </w:r>
      <w:r w:rsidRPr="00267E7A">
        <w:rPr>
          <w:rFonts w:ascii="Arial" w:hAnsi="Arial" w:cs="Arial"/>
          <w:sz w:val="20"/>
          <w:szCs w:val="20"/>
          <w:lang w:eastAsia="sl-SI"/>
        </w:rPr>
        <w:t xml:space="preserve"> 1.996</w:t>
      </w:r>
      <w:r>
        <w:rPr>
          <w:rFonts w:ascii="Arial" w:hAnsi="Arial" w:cs="Arial"/>
          <w:sz w:val="20"/>
          <w:szCs w:val="20"/>
          <w:lang w:eastAsia="sl-SI"/>
        </w:rPr>
        <w:t>,</w:t>
      </w:r>
      <w:r w:rsidRPr="00267E7A">
        <w:rPr>
          <w:rFonts w:ascii="Arial" w:hAnsi="Arial" w:cs="Arial"/>
          <w:sz w:val="20"/>
          <w:szCs w:val="20"/>
          <w:lang w:eastAsia="sl-SI"/>
        </w:rPr>
        <w:t xml:space="preserve"> v letu 2024 </w:t>
      </w:r>
      <w:r>
        <w:rPr>
          <w:rFonts w:ascii="Arial" w:hAnsi="Arial" w:cs="Arial"/>
          <w:sz w:val="20"/>
          <w:szCs w:val="20"/>
          <w:lang w:eastAsia="sl-SI"/>
        </w:rPr>
        <w:t xml:space="preserve">pa </w:t>
      </w:r>
      <w:r w:rsidRPr="00267E7A">
        <w:rPr>
          <w:rFonts w:ascii="Arial" w:hAnsi="Arial" w:cs="Arial"/>
          <w:sz w:val="20"/>
          <w:szCs w:val="20"/>
          <w:lang w:eastAsia="sl-SI"/>
        </w:rPr>
        <w:t xml:space="preserve">le še 503. S spremenjenim načinom pridobivanja podatkov so se na obeh straneh zmanjšala administrativna opravila </w:t>
      </w:r>
      <w:r>
        <w:rPr>
          <w:rFonts w:ascii="Arial" w:hAnsi="Arial" w:cs="Arial"/>
          <w:sz w:val="20"/>
          <w:szCs w:val="20"/>
          <w:lang w:eastAsia="sl-SI"/>
        </w:rPr>
        <w:t>in</w:t>
      </w:r>
      <w:r w:rsidRPr="00267E7A">
        <w:rPr>
          <w:rFonts w:ascii="Arial" w:hAnsi="Arial" w:cs="Arial"/>
          <w:sz w:val="20"/>
          <w:szCs w:val="20"/>
          <w:lang w:eastAsia="sl-SI"/>
        </w:rPr>
        <w:t xml:space="preserve"> </w:t>
      </w:r>
      <w:r>
        <w:rPr>
          <w:rFonts w:ascii="Arial" w:hAnsi="Arial" w:cs="Arial"/>
          <w:sz w:val="20"/>
          <w:szCs w:val="20"/>
          <w:lang w:eastAsia="sl-SI"/>
        </w:rPr>
        <w:t>s tem</w:t>
      </w:r>
      <w:r w:rsidRPr="00267E7A">
        <w:rPr>
          <w:rFonts w:ascii="Arial" w:hAnsi="Arial" w:cs="Arial"/>
          <w:sz w:val="20"/>
          <w:szCs w:val="20"/>
          <w:lang w:eastAsia="sl-SI"/>
        </w:rPr>
        <w:t xml:space="preserve"> razbremenili uslužbenci. </w:t>
      </w:r>
    </w:p>
    <w:p w14:paraId="28928F6B" w14:textId="77777777" w:rsidR="00A155A2" w:rsidRDefault="00A155A2" w:rsidP="00A155A2">
      <w:pPr>
        <w:pStyle w:val="Brezrazmikov"/>
        <w:jc w:val="both"/>
      </w:pPr>
      <w:r w:rsidRPr="00CF1A06">
        <w:rPr>
          <w:rFonts w:ascii="Arial" w:hAnsi="Arial" w:cs="Arial"/>
          <w:sz w:val="20"/>
          <w:szCs w:val="20"/>
          <w:lang w:eastAsia="sl-SI"/>
        </w:rPr>
        <w:t xml:space="preserve"> </w:t>
      </w:r>
    </w:p>
    <w:p w14:paraId="1994C946" w14:textId="77777777" w:rsidR="00A155A2" w:rsidRDefault="00A155A2" w:rsidP="00A155A2">
      <w:pPr>
        <w:autoSpaceDE w:val="0"/>
        <w:autoSpaceDN w:val="0"/>
        <w:adjustRightInd w:val="0"/>
        <w:spacing w:after="0"/>
        <w:jc w:val="both"/>
        <w:rPr>
          <w:rFonts w:ascii="Arial" w:hAnsi="Arial" w:cs="Arial"/>
          <w:i/>
          <w:iCs/>
          <w:sz w:val="20"/>
          <w:szCs w:val="20"/>
        </w:rPr>
      </w:pPr>
      <w:r w:rsidRPr="00DF6908">
        <w:rPr>
          <w:rFonts w:ascii="Arial" w:hAnsi="Arial" w:cs="Arial"/>
          <w:i/>
          <w:sz w:val="20"/>
          <w:szCs w:val="20"/>
        </w:rPr>
        <w:t>Preglednica 2</w:t>
      </w:r>
      <w:r>
        <w:rPr>
          <w:rFonts w:ascii="Arial" w:hAnsi="Arial" w:cs="Arial"/>
          <w:i/>
          <w:sz w:val="20"/>
          <w:szCs w:val="20"/>
        </w:rPr>
        <w:t>7</w:t>
      </w:r>
      <w:r w:rsidRPr="00DF6908">
        <w:rPr>
          <w:rFonts w:ascii="Arial" w:hAnsi="Arial" w:cs="Arial"/>
          <w:i/>
          <w:iCs/>
          <w:sz w:val="20"/>
          <w:szCs w:val="20"/>
        </w:rPr>
        <w:t>: Število razkrit</w:t>
      </w:r>
      <w:r>
        <w:rPr>
          <w:rFonts w:ascii="Arial" w:hAnsi="Arial" w:cs="Arial"/>
          <w:i/>
          <w:iCs/>
          <w:sz w:val="20"/>
          <w:szCs w:val="20"/>
        </w:rPr>
        <w:t>i</w:t>
      </w:r>
      <w:r w:rsidRPr="00DF6908">
        <w:rPr>
          <w:rFonts w:ascii="Arial" w:hAnsi="Arial" w:cs="Arial"/>
          <w:i/>
          <w:iCs/>
          <w:sz w:val="20"/>
          <w:szCs w:val="20"/>
        </w:rPr>
        <w:t>j iz knjigovodske evidence in evidence o davkih v povezavi s pridobitvami ugodnosti</w:t>
      </w:r>
      <w:r>
        <w:rPr>
          <w:rFonts w:ascii="Arial" w:hAnsi="Arial" w:cs="Arial"/>
          <w:i/>
          <w:iCs/>
          <w:sz w:val="20"/>
          <w:szCs w:val="20"/>
        </w:rPr>
        <w:t xml:space="preserve"> oziroma </w:t>
      </w:r>
      <w:r w:rsidRPr="00DF6908">
        <w:rPr>
          <w:rFonts w:ascii="Arial" w:hAnsi="Arial" w:cs="Arial"/>
          <w:i/>
          <w:iCs/>
          <w:sz w:val="20"/>
          <w:szCs w:val="20"/>
        </w:rPr>
        <w:t>pravic</w:t>
      </w:r>
    </w:p>
    <w:p w14:paraId="7BFA4E41" w14:textId="77777777" w:rsidR="00A155A2" w:rsidRDefault="00A155A2" w:rsidP="00A155A2">
      <w:pPr>
        <w:autoSpaceDE w:val="0"/>
        <w:autoSpaceDN w:val="0"/>
        <w:adjustRightInd w:val="0"/>
        <w:spacing w:after="0"/>
        <w:jc w:val="both"/>
        <w:rPr>
          <w:rFonts w:ascii="Arial" w:hAnsi="Arial" w:cs="Arial"/>
          <w:i/>
          <w:iCs/>
          <w:sz w:val="20"/>
          <w:szCs w:val="20"/>
        </w:rPr>
      </w:pPr>
    </w:p>
    <w:tbl>
      <w:tblPr>
        <w:tblpPr w:leftFromText="141" w:rightFromText="141" w:vertAnchor="text" w:tblpX="-31"/>
        <w:tblW w:w="9050" w:type="dxa"/>
        <w:tblCellMar>
          <w:left w:w="0" w:type="dxa"/>
          <w:right w:w="0" w:type="dxa"/>
        </w:tblCellMar>
        <w:tblLook w:val="04A0" w:firstRow="1" w:lastRow="0" w:firstColumn="1" w:lastColumn="0" w:noHBand="0" w:noVBand="1"/>
      </w:tblPr>
      <w:tblGrid>
        <w:gridCol w:w="3811"/>
        <w:gridCol w:w="904"/>
        <w:gridCol w:w="832"/>
        <w:gridCol w:w="877"/>
        <w:gridCol w:w="856"/>
        <w:gridCol w:w="677"/>
        <w:gridCol w:w="1093"/>
      </w:tblGrid>
      <w:tr w:rsidR="00A155A2" w:rsidRPr="00A841B4" w14:paraId="428EE7C8" w14:textId="77777777" w:rsidTr="001C77D2">
        <w:trPr>
          <w:trHeight w:val="204"/>
        </w:trPr>
        <w:tc>
          <w:tcPr>
            <w:tcW w:w="3811" w:type="dxa"/>
            <w:tcBorders>
              <w:top w:val="single" w:sz="8" w:space="0" w:color="000000"/>
              <w:left w:val="single" w:sz="8" w:space="0" w:color="000000"/>
              <w:bottom w:val="single" w:sz="8" w:space="0" w:color="000000"/>
              <w:right w:val="single" w:sz="8" w:space="0" w:color="000000"/>
            </w:tcBorders>
            <w:shd w:val="clear" w:color="auto" w:fill="2E869B"/>
            <w:noWrap/>
            <w:tcMar>
              <w:top w:w="0" w:type="dxa"/>
              <w:left w:w="108" w:type="dxa"/>
              <w:bottom w:w="0" w:type="dxa"/>
              <w:right w:w="108" w:type="dxa"/>
            </w:tcMar>
          </w:tcPr>
          <w:p w14:paraId="4C990CEC" w14:textId="77777777" w:rsidR="00A155A2" w:rsidRPr="00A841B4" w:rsidRDefault="00A155A2" w:rsidP="001C77D2">
            <w:pPr>
              <w:spacing w:line="260" w:lineRule="exact"/>
              <w:jc w:val="center"/>
              <w:rPr>
                <w:rFonts w:ascii="Arial" w:hAnsi="Arial" w:cs="Arial"/>
                <w:b/>
                <w:bCs/>
                <w:color w:val="FFFFFF"/>
                <w:sz w:val="18"/>
                <w:szCs w:val="18"/>
                <w:highlight w:val="cyan"/>
                <w:lang w:eastAsia="sl-SI"/>
              </w:rPr>
            </w:pPr>
          </w:p>
        </w:tc>
        <w:tc>
          <w:tcPr>
            <w:tcW w:w="904" w:type="dxa"/>
            <w:tcBorders>
              <w:top w:val="single" w:sz="8" w:space="0" w:color="000000"/>
              <w:left w:val="nil"/>
              <w:bottom w:val="single" w:sz="8" w:space="0" w:color="000000"/>
              <w:right w:val="single" w:sz="4" w:space="0" w:color="auto"/>
            </w:tcBorders>
            <w:shd w:val="clear" w:color="auto" w:fill="2E869B"/>
            <w:vAlign w:val="center"/>
          </w:tcPr>
          <w:p w14:paraId="26919693" w14:textId="77777777" w:rsidR="00A155A2" w:rsidRPr="00A841B4" w:rsidRDefault="00A155A2" w:rsidP="001C77D2">
            <w:pPr>
              <w:spacing w:line="260" w:lineRule="exact"/>
              <w:jc w:val="center"/>
              <w:rPr>
                <w:rFonts w:ascii="Arial" w:hAnsi="Arial" w:cs="Arial"/>
                <w:b/>
                <w:bCs/>
                <w:color w:val="FFFFFF"/>
                <w:sz w:val="18"/>
                <w:szCs w:val="18"/>
                <w:lang w:eastAsia="sl-SI"/>
              </w:rPr>
            </w:pPr>
            <w:r w:rsidRPr="00A841B4">
              <w:rPr>
                <w:rFonts w:ascii="Arial" w:hAnsi="Arial" w:cs="Arial"/>
                <w:b/>
                <w:bCs/>
                <w:color w:val="FFFFFF"/>
                <w:sz w:val="18"/>
                <w:szCs w:val="18"/>
                <w:lang w:eastAsia="sl-SI"/>
              </w:rPr>
              <w:t>2020</w:t>
            </w:r>
          </w:p>
        </w:tc>
        <w:tc>
          <w:tcPr>
            <w:tcW w:w="832" w:type="dxa"/>
            <w:tcBorders>
              <w:top w:val="single" w:sz="8" w:space="0" w:color="000000"/>
              <w:left w:val="single" w:sz="4" w:space="0" w:color="auto"/>
              <w:bottom w:val="single" w:sz="8" w:space="0" w:color="000000"/>
              <w:right w:val="single" w:sz="4" w:space="0" w:color="auto"/>
            </w:tcBorders>
            <w:shd w:val="clear" w:color="auto" w:fill="2E869B"/>
            <w:vAlign w:val="center"/>
          </w:tcPr>
          <w:p w14:paraId="3A4A3AE7" w14:textId="77777777" w:rsidR="00A155A2" w:rsidRPr="00A841B4" w:rsidRDefault="00A155A2" w:rsidP="001C77D2">
            <w:pPr>
              <w:spacing w:line="260" w:lineRule="exact"/>
              <w:jc w:val="center"/>
              <w:rPr>
                <w:rFonts w:ascii="Arial" w:hAnsi="Arial" w:cs="Arial"/>
                <w:b/>
                <w:bCs/>
                <w:color w:val="FFFFFF"/>
                <w:sz w:val="18"/>
                <w:szCs w:val="18"/>
                <w:lang w:eastAsia="sl-SI"/>
              </w:rPr>
            </w:pPr>
            <w:r w:rsidRPr="00A841B4">
              <w:rPr>
                <w:rFonts w:ascii="Arial" w:hAnsi="Arial" w:cs="Arial"/>
                <w:b/>
                <w:bCs/>
                <w:color w:val="FFFFFF"/>
                <w:sz w:val="18"/>
                <w:szCs w:val="18"/>
                <w:lang w:eastAsia="sl-SI"/>
              </w:rPr>
              <w:t>2021</w:t>
            </w:r>
          </w:p>
        </w:tc>
        <w:tc>
          <w:tcPr>
            <w:tcW w:w="877" w:type="dxa"/>
            <w:tcBorders>
              <w:top w:val="single" w:sz="8" w:space="0" w:color="000000"/>
              <w:left w:val="single" w:sz="4" w:space="0" w:color="auto"/>
              <w:bottom w:val="single" w:sz="8" w:space="0" w:color="000000"/>
              <w:right w:val="single" w:sz="4" w:space="0" w:color="auto"/>
            </w:tcBorders>
            <w:shd w:val="clear" w:color="auto" w:fill="2E869B"/>
            <w:vAlign w:val="center"/>
          </w:tcPr>
          <w:p w14:paraId="4CC27DEB" w14:textId="77777777" w:rsidR="00A155A2" w:rsidRPr="00A841B4" w:rsidRDefault="00A155A2" w:rsidP="001C77D2">
            <w:pPr>
              <w:spacing w:line="260" w:lineRule="exact"/>
              <w:jc w:val="center"/>
              <w:rPr>
                <w:rFonts w:ascii="Arial" w:hAnsi="Arial" w:cs="Arial"/>
                <w:b/>
                <w:bCs/>
                <w:color w:val="FFFFFF"/>
                <w:sz w:val="18"/>
                <w:szCs w:val="18"/>
                <w:lang w:eastAsia="sl-SI"/>
              </w:rPr>
            </w:pPr>
            <w:r w:rsidRPr="00A841B4">
              <w:rPr>
                <w:rFonts w:ascii="Arial" w:hAnsi="Arial" w:cs="Arial"/>
                <w:b/>
                <w:bCs/>
                <w:color w:val="FFFFFF"/>
                <w:sz w:val="18"/>
                <w:szCs w:val="18"/>
                <w:lang w:eastAsia="sl-SI"/>
              </w:rPr>
              <w:t>2022</w:t>
            </w:r>
          </w:p>
        </w:tc>
        <w:tc>
          <w:tcPr>
            <w:tcW w:w="856" w:type="dxa"/>
            <w:tcBorders>
              <w:top w:val="single" w:sz="8" w:space="0" w:color="000000"/>
              <w:left w:val="single" w:sz="4" w:space="0" w:color="auto"/>
              <w:bottom w:val="single" w:sz="8" w:space="0" w:color="000000"/>
              <w:right w:val="single" w:sz="4" w:space="0" w:color="auto"/>
            </w:tcBorders>
            <w:shd w:val="clear" w:color="auto" w:fill="2E869B"/>
            <w:vAlign w:val="center"/>
          </w:tcPr>
          <w:p w14:paraId="5C657D95" w14:textId="77777777" w:rsidR="00A155A2" w:rsidRPr="00A841B4" w:rsidRDefault="00A155A2" w:rsidP="001C77D2">
            <w:pPr>
              <w:spacing w:line="260" w:lineRule="exact"/>
              <w:jc w:val="center"/>
              <w:rPr>
                <w:rFonts w:ascii="Arial" w:hAnsi="Arial" w:cs="Arial"/>
                <w:b/>
                <w:bCs/>
                <w:color w:val="FFFFFF"/>
                <w:sz w:val="18"/>
                <w:szCs w:val="18"/>
                <w:lang w:eastAsia="sl-SI"/>
              </w:rPr>
            </w:pPr>
            <w:r w:rsidRPr="00A841B4">
              <w:rPr>
                <w:rFonts w:ascii="Arial" w:hAnsi="Arial" w:cs="Arial"/>
                <w:b/>
                <w:bCs/>
                <w:color w:val="FFFFFF"/>
                <w:sz w:val="18"/>
                <w:szCs w:val="18"/>
                <w:lang w:eastAsia="sl-SI"/>
              </w:rPr>
              <w:t>2023</w:t>
            </w:r>
          </w:p>
        </w:tc>
        <w:tc>
          <w:tcPr>
            <w:tcW w:w="677" w:type="dxa"/>
            <w:tcBorders>
              <w:top w:val="single" w:sz="8" w:space="0" w:color="000000"/>
              <w:left w:val="single" w:sz="4" w:space="0" w:color="auto"/>
              <w:bottom w:val="single" w:sz="8" w:space="0" w:color="000000"/>
              <w:right w:val="single" w:sz="4" w:space="0" w:color="auto"/>
            </w:tcBorders>
            <w:shd w:val="clear" w:color="auto" w:fill="2E869B"/>
            <w:vAlign w:val="center"/>
          </w:tcPr>
          <w:p w14:paraId="3C8F9578" w14:textId="77777777" w:rsidR="00A155A2" w:rsidRPr="00A841B4" w:rsidRDefault="00A155A2" w:rsidP="001C77D2">
            <w:pPr>
              <w:spacing w:line="260" w:lineRule="exact"/>
              <w:jc w:val="center"/>
              <w:rPr>
                <w:rFonts w:ascii="Arial" w:hAnsi="Arial" w:cs="Arial"/>
                <w:b/>
                <w:bCs/>
                <w:color w:val="FFFFFF"/>
                <w:sz w:val="18"/>
                <w:szCs w:val="18"/>
                <w:lang w:eastAsia="sl-SI"/>
              </w:rPr>
            </w:pPr>
            <w:r>
              <w:rPr>
                <w:rFonts w:ascii="Arial" w:hAnsi="Arial" w:cs="Arial"/>
                <w:b/>
                <w:bCs/>
                <w:color w:val="FFFFFF"/>
                <w:sz w:val="18"/>
                <w:szCs w:val="18"/>
                <w:lang w:eastAsia="sl-SI"/>
              </w:rPr>
              <w:t>2024</w:t>
            </w:r>
          </w:p>
        </w:tc>
        <w:tc>
          <w:tcPr>
            <w:tcW w:w="1093" w:type="dxa"/>
            <w:tcBorders>
              <w:top w:val="single" w:sz="8" w:space="0" w:color="000000"/>
              <w:left w:val="single" w:sz="4" w:space="0" w:color="auto"/>
              <w:bottom w:val="single" w:sz="8" w:space="0" w:color="000000"/>
              <w:right w:val="single" w:sz="8" w:space="0" w:color="000000"/>
            </w:tcBorders>
            <w:shd w:val="clear" w:color="auto" w:fill="2E869B"/>
            <w:tcMar>
              <w:top w:w="0" w:type="dxa"/>
              <w:left w:w="108" w:type="dxa"/>
              <w:bottom w:w="0" w:type="dxa"/>
              <w:right w:w="108" w:type="dxa"/>
            </w:tcMar>
            <w:vAlign w:val="center"/>
            <w:hideMark/>
          </w:tcPr>
          <w:p w14:paraId="6B65FC5A" w14:textId="77777777" w:rsidR="00A155A2" w:rsidRPr="00A841B4" w:rsidRDefault="00A155A2" w:rsidP="001C77D2">
            <w:pPr>
              <w:spacing w:line="260" w:lineRule="exact"/>
              <w:jc w:val="center"/>
              <w:rPr>
                <w:rFonts w:ascii="Arial" w:hAnsi="Arial" w:cs="Arial"/>
                <w:b/>
                <w:bCs/>
                <w:color w:val="FFFFFF"/>
                <w:sz w:val="18"/>
                <w:szCs w:val="18"/>
                <w:lang w:eastAsia="sl-SI"/>
              </w:rPr>
            </w:pPr>
            <w:r w:rsidRPr="00A841B4">
              <w:rPr>
                <w:rFonts w:ascii="Arial" w:hAnsi="Arial" w:cs="Arial"/>
                <w:b/>
                <w:bCs/>
                <w:color w:val="FFFFFF"/>
                <w:sz w:val="18"/>
                <w:szCs w:val="18"/>
                <w:lang w:eastAsia="sl-SI"/>
              </w:rPr>
              <w:t>IND</w:t>
            </w:r>
            <w:r>
              <w:rPr>
                <w:rFonts w:ascii="Arial" w:hAnsi="Arial" w:cs="Arial"/>
                <w:b/>
                <w:bCs/>
                <w:color w:val="FFFFFF"/>
                <w:sz w:val="18"/>
                <w:szCs w:val="18"/>
                <w:lang w:eastAsia="sl-SI"/>
              </w:rPr>
              <w:t>EKS</w:t>
            </w:r>
            <w:r w:rsidRPr="00A841B4">
              <w:rPr>
                <w:rFonts w:ascii="Arial" w:hAnsi="Arial" w:cs="Arial"/>
                <w:b/>
                <w:bCs/>
                <w:color w:val="FFFFFF"/>
                <w:sz w:val="18"/>
                <w:szCs w:val="18"/>
                <w:lang w:eastAsia="sl-SI"/>
              </w:rPr>
              <w:t xml:space="preserve"> 202</w:t>
            </w:r>
            <w:r>
              <w:rPr>
                <w:rFonts w:ascii="Arial" w:hAnsi="Arial" w:cs="Arial"/>
                <w:b/>
                <w:bCs/>
                <w:color w:val="FFFFFF"/>
                <w:sz w:val="18"/>
                <w:szCs w:val="18"/>
                <w:lang w:eastAsia="sl-SI"/>
              </w:rPr>
              <w:t xml:space="preserve">4 </w:t>
            </w:r>
            <w:r w:rsidRPr="00A841B4">
              <w:rPr>
                <w:rFonts w:ascii="Arial" w:hAnsi="Arial" w:cs="Arial"/>
                <w:b/>
                <w:bCs/>
                <w:color w:val="FFFFFF"/>
                <w:sz w:val="18"/>
                <w:szCs w:val="18"/>
                <w:lang w:eastAsia="sl-SI"/>
              </w:rPr>
              <w:t>/</w:t>
            </w:r>
            <w:r>
              <w:rPr>
                <w:rFonts w:ascii="Arial" w:hAnsi="Arial" w:cs="Arial"/>
                <w:b/>
                <w:bCs/>
                <w:color w:val="FFFFFF"/>
                <w:sz w:val="18"/>
                <w:szCs w:val="18"/>
                <w:lang w:eastAsia="sl-SI"/>
              </w:rPr>
              <w:t xml:space="preserve"> </w:t>
            </w:r>
            <w:r w:rsidRPr="00A841B4">
              <w:rPr>
                <w:rFonts w:ascii="Arial" w:hAnsi="Arial" w:cs="Arial"/>
                <w:b/>
                <w:bCs/>
                <w:color w:val="FFFFFF"/>
                <w:sz w:val="18"/>
                <w:szCs w:val="18"/>
                <w:lang w:eastAsia="sl-SI"/>
              </w:rPr>
              <w:t>202</w:t>
            </w:r>
            <w:r>
              <w:rPr>
                <w:rFonts w:ascii="Arial" w:hAnsi="Arial" w:cs="Arial"/>
                <w:b/>
                <w:bCs/>
                <w:color w:val="FFFFFF"/>
                <w:sz w:val="18"/>
                <w:szCs w:val="18"/>
                <w:lang w:eastAsia="sl-SI"/>
              </w:rPr>
              <w:t>3</w:t>
            </w:r>
          </w:p>
        </w:tc>
      </w:tr>
      <w:tr w:rsidR="00A155A2" w:rsidRPr="00A841B4" w14:paraId="2CC60EAC" w14:textId="77777777" w:rsidTr="001C77D2">
        <w:trPr>
          <w:trHeight w:val="204"/>
        </w:trPr>
        <w:tc>
          <w:tcPr>
            <w:tcW w:w="3811" w:type="dxa"/>
            <w:tcBorders>
              <w:top w:val="single" w:sz="8" w:space="0" w:color="000000"/>
              <w:left w:val="single" w:sz="8" w:space="0" w:color="000000"/>
              <w:bottom w:val="single" w:sz="8" w:space="0" w:color="000000"/>
              <w:right w:val="single" w:sz="8" w:space="0" w:color="000000"/>
            </w:tcBorders>
            <w:shd w:val="clear" w:color="auto" w:fill="2E869B"/>
            <w:noWrap/>
            <w:tcMar>
              <w:top w:w="0" w:type="dxa"/>
              <w:left w:w="108" w:type="dxa"/>
              <w:bottom w:w="0" w:type="dxa"/>
              <w:right w:w="108" w:type="dxa"/>
            </w:tcMar>
          </w:tcPr>
          <w:p w14:paraId="7F5EAA76" w14:textId="77777777" w:rsidR="00A155A2" w:rsidRPr="00A841B4" w:rsidRDefault="00A155A2" w:rsidP="001C77D2">
            <w:pPr>
              <w:spacing w:line="260" w:lineRule="exact"/>
              <w:jc w:val="center"/>
              <w:rPr>
                <w:rFonts w:ascii="Arial" w:hAnsi="Arial" w:cs="Arial"/>
                <w:b/>
                <w:bCs/>
                <w:color w:val="FFFFFF"/>
                <w:sz w:val="18"/>
                <w:szCs w:val="18"/>
                <w:highlight w:val="cyan"/>
                <w:lang w:eastAsia="sl-SI"/>
              </w:rPr>
            </w:pPr>
          </w:p>
        </w:tc>
        <w:tc>
          <w:tcPr>
            <w:tcW w:w="904" w:type="dxa"/>
            <w:tcBorders>
              <w:top w:val="single" w:sz="8" w:space="0" w:color="000000"/>
              <w:left w:val="nil"/>
              <w:bottom w:val="single" w:sz="8" w:space="0" w:color="000000"/>
              <w:right w:val="single" w:sz="4" w:space="0" w:color="auto"/>
            </w:tcBorders>
            <w:shd w:val="clear" w:color="auto" w:fill="2E869B"/>
            <w:vAlign w:val="center"/>
          </w:tcPr>
          <w:p w14:paraId="6DBE63A8" w14:textId="77777777" w:rsidR="00A155A2" w:rsidRPr="00A841B4" w:rsidRDefault="00A155A2" w:rsidP="001C77D2">
            <w:pPr>
              <w:spacing w:line="260" w:lineRule="exact"/>
              <w:jc w:val="center"/>
              <w:rPr>
                <w:rFonts w:ascii="Arial" w:hAnsi="Arial" w:cs="Arial"/>
                <w:b/>
                <w:bCs/>
                <w:color w:val="FFFFFF"/>
                <w:sz w:val="18"/>
                <w:szCs w:val="18"/>
                <w:lang w:eastAsia="sl-SI"/>
              </w:rPr>
            </w:pPr>
          </w:p>
        </w:tc>
        <w:tc>
          <w:tcPr>
            <w:tcW w:w="832" w:type="dxa"/>
            <w:tcBorders>
              <w:top w:val="single" w:sz="8" w:space="0" w:color="000000"/>
              <w:left w:val="single" w:sz="4" w:space="0" w:color="auto"/>
              <w:bottom w:val="single" w:sz="8" w:space="0" w:color="000000"/>
              <w:right w:val="single" w:sz="4" w:space="0" w:color="auto"/>
            </w:tcBorders>
            <w:shd w:val="clear" w:color="auto" w:fill="2E869B"/>
            <w:vAlign w:val="center"/>
          </w:tcPr>
          <w:p w14:paraId="3C02085C" w14:textId="77777777" w:rsidR="00A155A2" w:rsidRPr="00A841B4" w:rsidRDefault="00A155A2" w:rsidP="001C77D2">
            <w:pPr>
              <w:spacing w:line="260" w:lineRule="exact"/>
              <w:jc w:val="center"/>
              <w:rPr>
                <w:rFonts w:ascii="Arial" w:hAnsi="Arial" w:cs="Arial"/>
                <w:b/>
                <w:bCs/>
                <w:color w:val="FFFFFF"/>
                <w:sz w:val="18"/>
                <w:szCs w:val="18"/>
                <w:lang w:eastAsia="sl-SI"/>
              </w:rPr>
            </w:pPr>
          </w:p>
        </w:tc>
        <w:tc>
          <w:tcPr>
            <w:tcW w:w="877" w:type="dxa"/>
            <w:tcBorders>
              <w:top w:val="single" w:sz="8" w:space="0" w:color="000000"/>
              <w:left w:val="single" w:sz="4" w:space="0" w:color="auto"/>
              <w:bottom w:val="single" w:sz="8" w:space="0" w:color="000000"/>
              <w:right w:val="single" w:sz="4" w:space="0" w:color="auto"/>
            </w:tcBorders>
            <w:shd w:val="clear" w:color="auto" w:fill="2E869B"/>
            <w:vAlign w:val="center"/>
          </w:tcPr>
          <w:p w14:paraId="350793A7" w14:textId="77777777" w:rsidR="00A155A2" w:rsidRPr="00A841B4" w:rsidRDefault="00A155A2" w:rsidP="001C77D2">
            <w:pPr>
              <w:spacing w:line="260" w:lineRule="exact"/>
              <w:jc w:val="center"/>
              <w:rPr>
                <w:rFonts w:ascii="Arial" w:hAnsi="Arial" w:cs="Arial"/>
                <w:b/>
                <w:bCs/>
                <w:color w:val="FFFFFF"/>
                <w:sz w:val="18"/>
                <w:szCs w:val="18"/>
                <w:lang w:eastAsia="sl-SI"/>
              </w:rPr>
            </w:pPr>
          </w:p>
        </w:tc>
        <w:tc>
          <w:tcPr>
            <w:tcW w:w="856" w:type="dxa"/>
            <w:tcBorders>
              <w:top w:val="single" w:sz="8" w:space="0" w:color="000000"/>
              <w:left w:val="single" w:sz="4" w:space="0" w:color="auto"/>
              <w:bottom w:val="single" w:sz="8" w:space="0" w:color="000000"/>
              <w:right w:val="single" w:sz="4" w:space="0" w:color="auto"/>
            </w:tcBorders>
            <w:shd w:val="clear" w:color="auto" w:fill="2E869B"/>
            <w:vAlign w:val="center"/>
          </w:tcPr>
          <w:p w14:paraId="7EB84C86" w14:textId="77777777" w:rsidR="00A155A2" w:rsidRPr="00A841B4" w:rsidRDefault="00A155A2" w:rsidP="001C77D2">
            <w:pPr>
              <w:spacing w:line="260" w:lineRule="exact"/>
              <w:jc w:val="center"/>
              <w:rPr>
                <w:rFonts w:ascii="Arial" w:hAnsi="Arial" w:cs="Arial"/>
                <w:b/>
                <w:bCs/>
                <w:color w:val="FFFFFF"/>
                <w:sz w:val="18"/>
                <w:szCs w:val="18"/>
                <w:lang w:eastAsia="sl-SI"/>
              </w:rPr>
            </w:pPr>
          </w:p>
        </w:tc>
        <w:tc>
          <w:tcPr>
            <w:tcW w:w="677" w:type="dxa"/>
            <w:tcBorders>
              <w:top w:val="single" w:sz="8" w:space="0" w:color="000000"/>
              <w:left w:val="single" w:sz="4" w:space="0" w:color="auto"/>
              <w:bottom w:val="single" w:sz="8" w:space="0" w:color="000000"/>
              <w:right w:val="single" w:sz="4" w:space="0" w:color="auto"/>
            </w:tcBorders>
            <w:shd w:val="clear" w:color="auto" w:fill="2E869B"/>
            <w:vAlign w:val="center"/>
          </w:tcPr>
          <w:p w14:paraId="7F5CAF3B" w14:textId="77777777" w:rsidR="00A155A2" w:rsidRPr="00A841B4" w:rsidRDefault="00A155A2" w:rsidP="001C77D2">
            <w:pPr>
              <w:spacing w:line="260" w:lineRule="exact"/>
              <w:jc w:val="center"/>
              <w:rPr>
                <w:rFonts w:ascii="Arial" w:hAnsi="Arial" w:cs="Arial"/>
                <w:b/>
                <w:bCs/>
                <w:color w:val="FFFFFF"/>
                <w:sz w:val="18"/>
                <w:szCs w:val="18"/>
                <w:lang w:eastAsia="sl-SI"/>
              </w:rPr>
            </w:pPr>
          </w:p>
        </w:tc>
        <w:tc>
          <w:tcPr>
            <w:tcW w:w="1093" w:type="dxa"/>
            <w:tcBorders>
              <w:top w:val="single" w:sz="8" w:space="0" w:color="000000"/>
              <w:left w:val="single" w:sz="4" w:space="0" w:color="auto"/>
              <w:bottom w:val="single" w:sz="8" w:space="0" w:color="000000"/>
              <w:right w:val="single" w:sz="8" w:space="0" w:color="000000"/>
            </w:tcBorders>
            <w:shd w:val="clear" w:color="auto" w:fill="2E869B"/>
            <w:tcMar>
              <w:top w:w="0" w:type="dxa"/>
              <w:left w:w="108" w:type="dxa"/>
              <w:bottom w:w="0" w:type="dxa"/>
              <w:right w:w="108" w:type="dxa"/>
            </w:tcMar>
            <w:vAlign w:val="center"/>
          </w:tcPr>
          <w:p w14:paraId="21BB62B2" w14:textId="77777777" w:rsidR="00A155A2" w:rsidRPr="00A841B4" w:rsidRDefault="00A155A2" w:rsidP="001C77D2">
            <w:pPr>
              <w:spacing w:line="260" w:lineRule="exact"/>
              <w:jc w:val="center"/>
              <w:rPr>
                <w:rFonts w:ascii="Arial" w:hAnsi="Arial" w:cs="Arial"/>
                <w:b/>
                <w:bCs/>
                <w:color w:val="FFFFFF"/>
                <w:sz w:val="18"/>
                <w:szCs w:val="18"/>
                <w:lang w:eastAsia="sl-SI"/>
              </w:rPr>
            </w:pPr>
          </w:p>
        </w:tc>
      </w:tr>
      <w:tr w:rsidR="00A155A2" w:rsidRPr="00A841B4" w14:paraId="7C1197EA" w14:textId="77777777" w:rsidTr="001C77D2">
        <w:trPr>
          <w:trHeight w:val="95"/>
        </w:trPr>
        <w:tc>
          <w:tcPr>
            <w:tcW w:w="381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452DA551" w14:textId="77777777" w:rsidR="00A155A2" w:rsidRPr="00A841B4" w:rsidRDefault="00A155A2" w:rsidP="001C77D2">
            <w:pPr>
              <w:spacing w:line="240" w:lineRule="auto"/>
              <w:jc w:val="both"/>
              <w:rPr>
                <w:rFonts w:ascii="Arial" w:hAnsi="Arial" w:cs="Arial"/>
                <w:sz w:val="18"/>
                <w:szCs w:val="18"/>
                <w:lang w:eastAsia="sl-SI"/>
              </w:rPr>
            </w:pPr>
            <w:r w:rsidRPr="00A841B4">
              <w:rPr>
                <w:rFonts w:ascii="Arial" w:hAnsi="Arial" w:cs="Arial"/>
                <w:sz w:val="18"/>
                <w:szCs w:val="18"/>
                <w:lang w:eastAsia="sl-SI"/>
              </w:rPr>
              <w:t>Razkritja iz knjigovodske evidence (neobstoj dolga) in evidence o davkih (predloženi REK</w:t>
            </w:r>
            <w:r>
              <w:rPr>
                <w:rFonts w:ascii="Arial" w:hAnsi="Arial" w:cs="Arial"/>
                <w:sz w:val="18"/>
                <w:szCs w:val="18"/>
                <w:lang w:eastAsia="sl-SI"/>
              </w:rPr>
              <w:t>-</w:t>
            </w:r>
            <w:r w:rsidRPr="00A841B4">
              <w:rPr>
                <w:rFonts w:ascii="Arial" w:hAnsi="Arial" w:cs="Arial"/>
                <w:sz w:val="18"/>
                <w:szCs w:val="18"/>
                <w:lang w:eastAsia="sl-SI"/>
              </w:rPr>
              <w:t>obračuni za prispevke za socialno varnost)</w:t>
            </w:r>
            <w:r w:rsidRPr="00A841B4">
              <w:rPr>
                <w:rFonts w:ascii="Arial" w:hAnsi="Arial" w:cs="Arial"/>
                <w:sz w:val="18"/>
                <w:szCs w:val="18"/>
              </w:rPr>
              <w:t>*</w:t>
            </w:r>
          </w:p>
        </w:tc>
        <w:tc>
          <w:tcPr>
            <w:tcW w:w="904" w:type="dxa"/>
            <w:tcBorders>
              <w:top w:val="nil"/>
              <w:left w:val="nil"/>
              <w:bottom w:val="single" w:sz="8" w:space="0" w:color="000000"/>
              <w:right w:val="single" w:sz="4" w:space="0" w:color="auto"/>
            </w:tcBorders>
            <w:vAlign w:val="center"/>
          </w:tcPr>
          <w:p w14:paraId="032BDD2F" w14:textId="77777777" w:rsidR="00A155A2" w:rsidRPr="00A841B4" w:rsidRDefault="00A155A2" w:rsidP="001C77D2">
            <w:pPr>
              <w:jc w:val="center"/>
              <w:rPr>
                <w:rFonts w:ascii="Arial" w:hAnsi="Arial" w:cs="Arial"/>
                <w:sz w:val="18"/>
                <w:szCs w:val="18"/>
                <w:lang w:eastAsia="sl-SI"/>
              </w:rPr>
            </w:pPr>
            <w:r w:rsidRPr="00A841B4">
              <w:rPr>
                <w:rFonts w:ascii="Arial" w:hAnsi="Arial" w:cs="Arial"/>
                <w:sz w:val="18"/>
                <w:szCs w:val="18"/>
                <w:lang w:eastAsia="sl-SI"/>
              </w:rPr>
              <w:t>445.987</w:t>
            </w:r>
          </w:p>
        </w:tc>
        <w:tc>
          <w:tcPr>
            <w:tcW w:w="832" w:type="dxa"/>
            <w:tcBorders>
              <w:top w:val="single" w:sz="8" w:space="0" w:color="000000"/>
              <w:left w:val="single" w:sz="4" w:space="0" w:color="auto"/>
              <w:bottom w:val="single" w:sz="8" w:space="0" w:color="000000"/>
              <w:right w:val="single" w:sz="4" w:space="0" w:color="auto"/>
            </w:tcBorders>
            <w:vAlign w:val="center"/>
          </w:tcPr>
          <w:p w14:paraId="44D115DC" w14:textId="77777777" w:rsidR="00A155A2" w:rsidRPr="00A841B4" w:rsidRDefault="00A155A2" w:rsidP="001C77D2">
            <w:pPr>
              <w:jc w:val="center"/>
              <w:rPr>
                <w:rFonts w:ascii="Arial" w:hAnsi="Arial" w:cs="Arial"/>
                <w:sz w:val="18"/>
                <w:szCs w:val="18"/>
                <w:lang w:eastAsia="sl-SI"/>
              </w:rPr>
            </w:pPr>
            <w:r w:rsidRPr="00A841B4">
              <w:rPr>
                <w:rFonts w:ascii="Arial" w:hAnsi="Arial" w:cs="Arial"/>
                <w:sz w:val="18"/>
                <w:szCs w:val="18"/>
                <w:lang w:eastAsia="sl-SI"/>
              </w:rPr>
              <w:t>387.717</w:t>
            </w:r>
          </w:p>
        </w:tc>
        <w:tc>
          <w:tcPr>
            <w:tcW w:w="877" w:type="dxa"/>
            <w:tcBorders>
              <w:top w:val="nil"/>
              <w:left w:val="single" w:sz="4" w:space="0" w:color="auto"/>
              <w:bottom w:val="single" w:sz="8" w:space="0" w:color="000000"/>
              <w:right w:val="single" w:sz="4" w:space="0" w:color="auto"/>
            </w:tcBorders>
            <w:vAlign w:val="center"/>
          </w:tcPr>
          <w:p w14:paraId="24408533" w14:textId="77777777" w:rsidR="00A155A2" w:rsidRPr="00A841B4" w:rsidRDefault="00A155A2" w:rsidP="001C77D2">
            <w:pPr>
              <w:spacing w:line="260" w:lineRule="exact"/>
              <w:jc w:val="center"/>
              <w:rPr>
                <w:rFonts w:ascii="Arial" w:hAnsi="Arial" w:cs="Arial"/>
                <w:sz w:val="18"/>
                <w:szCs w:val="18"/>
                <w:lang w:eastAsia="sl-SI"/>
              </w:rPr>
            </w:pPr>
            <w:r w:rsidRPr="00A841B4">
              <w:rPr>
                <w:rFonts w:ascii="Arial" w:hAnsi="Arial" w:cs="Arial"/>
                <w:sz w:val="18"/>
                <w:szCs w:val="18"/>
                <w:lang w:eastAsia="sl-SI"/>
              </w:rPr>
              <w:t>563.447</w:t>
            </w:r>
          </w:p>
        </w:tc>
        <w:tc>
          <w:tcPr>
            <w:tcW w:w="856" w:type="dxa"/>
            <w:tcBorders>
              <w:top w:val="nil"/>
              <w:left w:val="single" w:sz="4" w:space="0" w:color="auto"/>
              <w:bottom w:val="single" w:sz="8" w:space="0" w:color="000000"/>
              <w:right w:val="single" w:sz="4" w:space="0" w:color="auto"/>
            </w:tcBorders>
            <w:vAlign w:val="center"/>
          </w:tcPr>
          <w:p w14:paraId="5A42ABB3" w14:textId="77777777" w:rsidR="00A155A2" w:rsidRPr="00A841B4" w:rsidRDefault="00A155A2" w:rsidP="001C77D2">
            <w:pPr>
              <w:spacing w:line="260" w:lineRule="exact"/>
              <w:jc w:val="center"/>
              <w:rPr>
                <w:rFonts w:ascii="Arial" w:hAnsi="Arial" w:cs="Arial"/>
                <w:sz w:val="18"/>
                <w:szCs w:val="18"/>
                <w:lang w:eastAsia="sl-SI"/>
              </w:rPr>
            </w:pPr>
            <w:r w:rsidRPr="00A841B4">
              <w:rPr>
                <w:rFonts w:ascii="Arial" w:hAnsi="Arial" w:cs="Arial"/>
                <w:sz w:val="18"/>
                <w:szCs w:val="18"/>
                <w:lang w:eastAsia="sl-SI"/>
              </w:rPr>
              <w:t>374.564</w:t>
            </w:r>
          </w:p>
        </w:tc>
        <w:tc>
          <w:tcPr>
            <w:tcW w:w="677" w:type="dxa"/>
            <w:tcBorders>
              <w:top w:val="nil"/>
              <w:left w:val="single" w:sz="4" w:space="0" w:color="auto"/>
              <w:bottom w:val="single" w:sz="8" w:space="0" w:color="000000"/>
              <w:right w:val="single" w:sz="4" w:space="0" w:color="auto"/>
            </w:tcBorders>
            <w:vAlign w:val="center"/>
          </w:tcPr>
          <w:p w14:paraId="4AC1D861" w14:textId="77777777" w:rsidR="00A155A2" w:rsidRPr="00A841B4" w:rsidRDefault="00A155A2" w:rsidP="001C77D2">
            <w:pPr>
              <w:spacing w:line="260" w:lineRule="exact"/>
              <w:jc w:val="center"/>
              <w:rPr>
                <w:rFonts w:ascii="Arial" w:hAnsi="Arial" w:cs="Arial"/>
                <w:sz w:val="18"/>
                <w:szCs w:val="18"/>
                <w:lang w:eastAsia="sl-SI"/>
              </w:rPr>
            </w:pPr>
            <w:r>
              <w:rPr>
                <w:rFonts w:ascii="Arial" w:hAnsi="Arial" w:cs="Arial"/>
                <w:sz w:val="18"/>
                <w:szCs w:val="18"/>
                <w:lang w:eastAsia="sl-SI"/>
              </w:rPr>
              <w:t>525.406</w:t>
            </w:r>
          </w:p>
        </w:tc>
        <w:tc>
          <w:tcPr>
            <w:tcW w:w="1093"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0996DFBA" w14:textId="77777777" w:rsidR="00A155A2" w:rsidRPr="00A841B4" w:rsidRDefault="00A155A2" w:rsidP="001C77D2">
            <w:pPr>
              <w:spacing w:line="260" w:lineRule="exact"/>
              <w:jc w:val="center"/>
              <w:rPr>
                <w:rFonts w:ascii="Arial" w:hAnsi="Arial" w:cs="Arial"/>
                <w:sz w:val="18"/>
                <w:szCs w:val="18"/>
                <w:lang w:eastAsia="sl-SI"/>
              </w:rPr>
            </w:pPr>
            <w:r>
              <w:rPr>
                <w:rFonts w:ascii="Arial" w:hAnsi="Arial" w:cs="Arial"/>
                <w:sz w:val="18"/>
                <w:szCs w:val="18"/>
                <w:lang w:eastAsia="sl-SI"/>
              </w:rPr>
              <w:t>140</w:t>
            </w:r>
            <w:r w:rsidRPr="00A841B4">
              <w:rPr>
                <w:rFonts w:ascii="Arial" w:hAnsi="Arial" w:cs="Arial"/>
                <w:sz w:val="18"/>
                <w:szCs w:val="18"/>
                <w:lang w:eastAsia="sl-SI"/>
              </w:rPr>
              <w:t>,3</w:t>
            </w:r>
          </w:p>
        </w:tc>
      </w:tr>
    </w:tbl>
    <w:p w14:paraId="49FDF8CC" w14:textId="77777777" w:rsidR="00A155A2" w:rsidRPr="005F05C3" w:rsidRDefault="00A155A2" w:rsidP="00A155A2">
      <w:pPr>
        <w:spacing w:after="0"/>
        <w:jc w:val="both"/>
        <w:rPr>
          <w:rFonts w:ascii="Arial" w:hAnsi="Arial" w:cs="Arial"/>
          <w:sz w:val="16"/>
          <w:szCs w:val="16"/>
        </w:rPr>
      </w:pPr>
      <w:r w:rsidRPr="005F05C3">
        <w:rPr>
          <w:rFonts w:ascii="Arial" w:hAnsi="Arial" w:cs="Arial"/>
          <w:sz w:val="20"/>
        </w:rPr>
        <w:t> </w:t>
      </w:r>
      <w:r w:rsidRPr="005F05C3">
        <w:rPr>
          <w:rFonts w:ascii="Arial" w:hAnsi="Arial" w:cs="Arial"/>
          <w:sz w:val="16"/>
          <w:szCs w:val="16"/>
        </w:rPr>
        <w:t>*</w:t>
      </w:r>
      <w:r w:rsidRPr="005F05C3">
        <w:t xml:space="preserve"> </w:t>
      </w:r>
      <w:r w:rsidRPr="005F05C3">
        <w:rPr>
          <w:rFonts w:ascii="Arial" w:hAnsi="Arial" w:cs="Arial"/>
          <w:sz w:val="16"/>
          <w:szCs w:val="16"/>
        </w:rPr>
        <w:t xml:space="preserve">Nekateri zakoni določajo kot </w:t>
      </w:r>
      <w:r>
        <w:rPr>
          <w:rFonts w:ascii="Arial" w:hAnsi="Arial" w:cs="Arial"/>
          <w:sz w:val="16"/>
          <w:szCs w:val="16"/>
        </w:rPr>
        <w:t>merilo</w:t>
      </w:r>
      <w:r w:rsidRPr="005F05C3">
        <w:rPr>
          <w:rFonts w:ascii="Arial" w:hAnsi="Arial" w:cs="Arial"/>
          <w:sz w:val="16"/>
          <w:szCs w:val="16"/>
        </w:rPr>
        <w:t xml:space="preserve"> samo prvi pogoj v zvezi z razkritjem iz knjigovodske evidence.</w:t>
      </w:r>
    </w:p>
    <w:p w14:paraId="2F3E8FA3" w14:textId="77777777" w:rsidR="00A155A2" w:rsidRDefault="00A155A2" w:rsidP="00A155A2">
      <w:pPr>
        <w:rPr>
          <w:rFonts w:ascii="Arial" w:hAnsi="Arial" w:cs="Arial"/>
          <w:b/>
          <w:bCs/>
        </w:rPr>
      </w:pPr>
      <w:r w:rsidRPr="005F05C3">
        <w:rPr>
          <w:rFonts w:ascii="Arial" w:hAnsi="Arial" w:cs="Arial"/>
          <w:i/>
          <w:sz w:val="20"/>
          <w:szCs w:val="20"/>
        </w:rPr>
        <w:t>Vir: FURS</w:t>
      </w:r>
    </w:p>
    <w:p w14:paraId="752E86B0" w14:textId="77777777" w:rsidR="00A155A2" w:rsidRDefault="00A155A2"/>
    <w:sectPr w:rsidR="00A155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A574" w14:textId="77777777" w:rsidR="008E6831" w:rsidRDefault="008E6831" w:rsidP="008E6831">
      <w:pPr>
        <w:spacing w:after="0" w:line="240" w:lineRule="auto"/>
      </w:pPr>
      <w:r>
        <w:separator/>
      </w:r>
    </w:p>
  </w:endnote>
  <w:endnote w:type="continuationSeparator" w:id="0">
    <w:p w14:paraId="085D63E2" w14:textId="77777777" w:rsidR="008E6831" w:rsidRDefault="008E6831" w:rsidP="008E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31E5" w14:textId="77777777" w:rsidR="008E6831" w:rsidRDefault="008E6831" w:rsidP="008E6831">
      <w:pPr>
        <w:spacing w:after="0" w:line="240" w:lineRule="auto"/>
      </w:pPr>
      <w:r>
        <w:separator/>
      </w:r>
    </w:p>
  </w:footnote>
  <w:footnote w:type="continuationSeparator" w:id="0">
    <w:p w14:paraId="04DE6A78" w14:textId="77777777" w:rsidR="008E6831" w:rsidRDefault="008E6831" w:rsidP="008E6831">
      <w:pPr>
        <w:spacing w:after="0" w:line="240" w:lineRule="auto"/>
      </w:pPr>
      <w:r>
        <w:continuationSeparator/>
      </w:r>
    </w:p>
  </w:footnote>
  <w:footnote w:id="1">
    <w:p w14:paraId="7D840E2D" w14:textId="77777777" w:rsidR="00BE437C" w:rsidRDefault="00BE437C" w:rsidP="00BE437C">
      <w:pPr>
        <w:pStyle w:val="Sprotnaopomba-besedilo"/>
      </w:pPr>
      <w:r>
        <w:rPr>
          <w:rStyle w:val="Sprotnaopomba-sklic"/>
        </w:rPr>
        <w:footnoteRef/>
      </w:r>
      <w:r>
        <w:t xml:space="preserve"> </w:t>
      </w:r>
      <w:r w:rsidRPr="00721DA2">
        <w:rPr>
          <w:sz w:val="16"/>
          <w:szCs w:val="16"/>
        </w:rPr>
        <w:t>Plačilo 23,1 milijona EUR je vključen</w:t>
      </w:r>
      <w:r>
        <w:rPr>
          <w:sz w:val="16"/>
          <w:szCs w:val="16"/>
        </w:rPr>
        <w:t>o</w:t>
      </w:r>
      <w:r w:rsidRPr="00721DA2">
        <w:rPr>
          <w:sz w:val="16"/>
          <w:szCs w:val="16"/>
        </w:rPr>
        <w:t xml:space="preserve"> v javnofinančnih prihodkih v letu 2024 kot trošarina.</w:t>
      </w:r>
    </w:p>
  </w:footnote>
  <w:footnote w:id="2">
    <w:p w14:paraId="19E3B956" w14:textId="77777777" w:rsidR="00A155A2" w:rsidRDefault="00A155A2" w:rsidP="00A155A2">
      <w:pPr>
        <w:pStyle w:val="Sprotnaopomba-besedilo"/>
        <w:spacing w:line="240" w:lineRule="auto"/>
        <w:jc w:val="both"/>
      </w:pPr>
      <w:r>
        <w:rPr>
          <w:rStyle w:val="Sprotnaopomba-sklic"/>
        </w:rPr>
        <w:footnoteRef/>
      </w:r>
      <w:r>
        <w:t xml:space="preserve"> </w:t>
      </w:r>
      <w:r w:rsidRPr="003A10E9">
        <w:rPr>
          <w:rFonts w:cs="Arial"/>
          <w:sz w:val="16"/>
          <w:szCs w:val="16"/>
        </w:rPr>
        <w:t xml:space="preserve">Gre za kumulativni davčni dolg, ki se nanaša </w:t>
      </w:r>
      <w:r w:rsidRPr="001D099E">
        <w:rPr>
          <w:rFonts w:cs="Arial"/>
          <w:sz w:val="16"/>
          <w:szCs w:val="16"/>
        </w:rPr>
        <w:t>na dolgove, nastale</w:t>
      </w:r>
      <w:r>
        <w:rPr>
          <w:rFonts w:cs="Arial"/>
          <w:sz w:val="16"/>
          <w:szCs w:val="16"/>
        </w:rPr>
        <w:t xml:space="preserve"> v</w:t>
      </w:r>
      <w:r w:rsidRPr="003A10E9">
        <w:rPr>
          <w:rFonts w:cs="Arial"/>
          <w:sz w:val="16"/>
          <w:szCs w:val="16"/>
        </w:rPr>
        <w:t xml:space="preserve"> zadnjih </w:t>
      </w:r>
      <w:r>
        <w:rPr>
          <w:rFonts w:cs="Arial"/>
          <w:sz w:val="16"/>
          <w:szCs w:val="16"/>
        </w:rPr>
        <w:t>desetih</w:t>
      </w:r>
      <w:r w:rsidRPr="003A10E9">
        <w:rPr>
          <w:rFonts w:cs="Arial"/>
          <w:sz w:val="16"/>
          <w:szCs w:val="16"/>
        </w:rPr>
        <w:t xml:space="preserve"> let</w:t>
      </w:r>
      <w:r>
        <w:rPr>
          <w:rFonts w:cs="Arial"/>
          <w:sz w:val="16"/>
          <w:szCs w:val="16"/>
        </w:rPr>
        <w:t>ih</w:t>
      </w:r>
      <w:r w:rsidRPr="003A10E9">
        <w:rPr>
          <w:rFonts w:cs="Arial"/>
          <w:sz w:val="16"/>
          <w:szCs w:val="16"/>
        </w:rPr>
        <w:t xml:space="preserve">, kar je povezano z rokom absolutnega zastaranja davčnih obveznosti. Struktura davčnega dolga glede na nastanek dolga po </w:t>
      </w:r>
      <w:r>
        <w:rPr>
          <w:rFonts w:cs="Arial"/>
          <w:sz w:val="16"/>
          <w:szCs w:val="16"/>
        </w:rPr>
        <w:t>merilu</w:t>
      </w:r>
      <w:r w:rsidRPr="003A10E9">
        <w:rPr>
          <w:rFonts w:cs="Arial"/>
          <w:sz w:val="16"/>
          <w:szCs w:val="16"/>
        </w:rPr>
        <w:t xml:space="preserve"> dospelosti v plačilo je predmet preglednice</w:t>
      </w:r>
      <w:r>
        <w:rPr>
          <w:rFonts w:cs="Arial"/>
          <w:sz w:val="16"/>
          <w:szCs w:val="16"/>
        </w:rPr>
        <w:t xml:space="preserve"> 8.</w:t>
      </w:r>
    </w:p>
  </w:footnote>
  <w:footnote w:id="3">
    <w:p w14:paraId="5049D36F" w14:textId="77777777" w:rsidR="00A155A2" w:rsidRDefault="00A155A2" w:rsidP="00A155A2">
      <w:pPr>
        <w:pStyle w:val="Sprotnaopomba-besedilo"/>
      </w:pPr>
      <w:r>
        <w:rPr>
          <w:rStyle w:val="Sprotnaopomba-sklic"/>
        </w:rPr>
        <w:footnoteRef/>
      </w:r>
      <w:r>
        <w:t xml:space="preserve"> </w:t>
      </w:r>
      <w:r w:rsidRPr="00721DA2">
        <w:rPr>
          <w:sz w:val="16"/>
          <w:szCs w:val="16"/>
        </w:rPr>
        <w:t>Plačilo 23,1 milijona EUR je vključen</w:t>
      </w:r>
      <w:r>
        <w:rPr>
          <w:sz w:val="16"/>
          <w:szCs w:val="16"/>
        </w:rPr>
        <w:t>o</w:t>
      </w:r>
      <w:r w:rsidRPr="00721DA2">
        <w:rPr>
          <w:sz w:val="16"/>
          <w:szCs w:val="16"/>
        </w:rPr>
        <w:t xml:space="preserve"> v javnofinančnih prihodkih v letu 2024 kot trošarina.</w:t>
      </w:r>
    </w:p>
  </w:footnote>
  <w:footnote w:id="4">
    <w:p w14:paraId="3B413632" w14:textId="77777777" w:rsidR="00A155A2" w:rsidRPr="00D13C0E" w:rsidRDefault="00A155A2" w:rsidP="00A155A2">
      <w:pPr>
        <w:pStyle w:val="Brezrazmikov"/>
        <w:rPr>
          <w:rFonts w:ascii="Arial" w:hAnsi="Arial" w:cs="Arial"/>
          <w:sz w:val="16"/>
          <w:szCs w:val="16"/>
        </w:rPr>
      </w:pPr>
      <w:r w:rsidRPr="00DB201B">
        <w:rPr>
          <w:rStyle w:val="Sprotnaopomba-sklic"/>
          <w:rFonts w:ascii="Arial" w:hAnsi="Arial" w:cs="Arial"/>
          <w:sz w:val="16"/>
          <w:szCs w:val="16"/>
        </w:rPr>
        <w:footnoteRef/>
      </w:r>
      <w:r w:rsidRPr="00DB201B">
        <w:rPr>
          <w:rFonts w:ascii="Arial" w:hAnsi="Arial" w:cs="Arial"/>
          <w:sz w:val="16"/>
          <w:szCs w:val="16"/>
        </w:rPr>
        <w:t xml:space="preserve"> </w:t>
      </w:r>
      <w:r w:rsidRPr="00DB201B">
        <w:rPr>
          <w:rFonts w:ascii="Arial" w:hAnsi="Arial" w:cs="Arial"/>
          <w:sz w:val="16"/>
          <w:szCs w:val="16"/>
        </w:rPr>
        <w:t xml:space="preserve">Vir podatkov: spletna stran MF, Javnofinančna statistika: </w:t>
      </w:r>
      <w:hyperlink r:id="rId1" w:history="1">
        <w:r w:rsidRPr="00DB201B">
          <w:rPr>
            <w:rFonts w:ascii="Arial" w:hAnsi="Arial" w:cs="Arial"/>
            <w:sz w:val="16"/>
            <w:szCs w:val="16"/>
            <w:u w:val="single"/>
          </w:rPr>
          <w:t>Letni-pregled-javnofinancnih-gibanj-januar-2025.pdf</w:t>
        </w:r>
      </w:hyperlink>
    </w:p>
  </w:footnote>
  <w:footnote w:id="5">
    <w:p w14:paraId="4FC8F315" w14:textId="77777777" w:rsidR="00A155A2" w:rsidRPr="00DB201B" w:rsidRDefault="00A155A2" w:rsidP="00A155A2">
      <w:pPr>
        <w:pStyle w:val="Sprotnaopomba-besedilo"/>
        <w:spacing w:line="276" w:lineRule="auto"/>
        <w:jc w:val="both"/>
        <w:rPr>
          <w:sz w:val="16"/>
          <w:szCs w:val="16"/>
        </w:rPr>
      </w:pPr>
      <w:r w:rsidRPr="00DB201B">
        <w:rPr>
          <w:rStyle w:val="Sprotnaopomba-sklic"/>
          <w:sz w:val="16"/>
          <w:szCs w:val="16"/>
        </w:rPr>
        <w:footnoteRef/>
      </w:r>
      <w:r w:rsidRPr="00DB201B">
        <w:rPr>
          <w:sz w:val="16"/>
          <w:szCs w:val="16"/>
        </w:rPr>
        <w:t xml:space="preserve"> </w:t>
      </w:r>
      <w:r w:rsidRPr="00DB201B">
        <w:rPr>
          <w:sz w:val="16"/>
          <w:szCs w:val="16"/>
        </w:rPr>
        <w:t xml:space="preserve">Uradni list RS, št. 13/11 – uradno prečiščeno besedilo, 32/12, 94/12, 101/13 – </w:t>
      </w:r>
      <w:proofErr w:type="spellStart"/>
      <w:r w:rsidRPr="00DB201B">
        <w:rPr>
          <w:sz w:val="16"/>
          <w:szCs w:val="16"/>
        </w:rPr>
        <w:t>ZDavNepr</w:t>
      </w:r>
      <w:proofErr w:type="spellEnd"/>
      <w:r w:rsidRPr="00DB201B">
        <w:rPr>
          <w:sz w:val="16"/>
          <w:szCs w:val="16"/>
        </w:rPr>
        <w:t xml:space="preserve">, 111/13, 22/14 – </w:t>
      </w:r>
      <w:proofErr w:type="spellStart"/>
      <w:r w:rsidRPr="00DB201B">
        <w:rPr>
          <w:sz w:val="16"/>
          <w:szCs w:val="16"/>
        </w:rPr>
        <w:t>odl</w:t>
      </w:r>
      <w:proofErr w:type="spellEnd"/>
      <w:r w:rsidRPr="00DB201B">
        <w:rPr>
          <w:sz w:val="16"/>
          <w:szCs w:val="16"/>
        </w:rPr>
        <w:t xml:space="preserve">. US, 25/14 – ZFU, 40/14 – ZIN-B, 90/14, 91/15, 63/16, 69/17, 13/18 – ZJF-H, 36/19, 66/19, 145/20 – </w:t>
      </w:r>
      <w:proofErr w:type="spellStart"/>
      <w:r w:rsidRPr="00DB201B">
        <w:rPr>
          <w:sz w:val="16"/>
          <w:szCs w:val="16"/>
        </w:rPr>
        <w:t>odl</w:t>
      </w:r>
      <w:proofErr w:type="spellEnd"/>
      <w:r w:rsidRPr="00DB201B">
        <w:rPr>
          <w:sz w:val="16"/>
          <w:szCs w:val="16"/>
        </w:rPr>
        <w:t xml:space="preserve">. US, 203/20 – ZIUPOPDVE, 39/22 – ZFU-A, 52/22 – </w:t>
      </w:r>
      <w:proofErr w:type="spellStart"/>
      <w:r w:rsidRPr="00DB201B">
        <w:rPr>
          <w:sz w:val="16"/>
          <w:szCs w:val="16"/>
        </w:rPr>
        <w:t>odl</w:t>
      </w:r>
      <w:proofErr w:type="spellEnd"/>
      <w:r w:rsidRPr="00DB201B">
        <w:rPr>
          <w:sz w:val="16"/>
          <w:szCs w:val="16"/>
        </w:rPr>
        <w:t>. US</w:t>
      </w:r>
      <w:r>
        <w:rPr>
          <w:sz w:val="16"/>
          <w:szCs w:val="16"/>
        </w:rPr>
        <w:t>,</w:t>
      </w:r>
      <w:r w:rsidRPr="00DB201B">
        <w:rPr>
          <w:sz w:val="16"/>
          <w:szCs w:val="16"/>
        </w:rPr>
        <w:t xml:space="preserve"> 87/22 – </w:t>
      </w:r>
      <w:proofErr w:type="spellStart"/>
      <w:r w:rsidRPr="00DB201B">
        <w:rPr>
          <w:sz w:val="16"/>
          <w:szCs w:val="16"/>
        </w:rPr>
        <w:t>odl</w:t>
      </w:r>
      <w:proofErr w:type="spellEnd"/>
      <w:r w:rsidRPr="00DB201B">
        <w:rPr>
          <w:sz w:val="16"/>
          <w:szCs w:val="16"/>
        </w:rPr>
        <w:t>. US,</w:t>
      </w:r>
      <w:r>
        <w:rPr>
          <w:sz w:val="16"/>
          <w:szCs w:val="16"/>
        </w:rPr>
        <w:t xml:space="preserve"> </w:t>
      </w:r>
      <w:r w:rsidRPr="00DB201B">
        <w:rPr>
          <w:sz w:val="16"/>
          <w:szCs w:val="16"/>
        </w:rPr>
        <w:t>163/22</w:t>
      </w:r>
      <w:r>
        <w:rPr>
          <w:sz w:val="16"/>
          <w:szCs w:val="16"/>
        </w:rPr>
        <w:t>,</w:t>
      </w:r>
      <w:r w:rsidRPr="00DB201B">
        <w:rPr>
          <w:sz w:val="16"/>
          <w:szCs w:val="16"/>
        </w:rPr>
        <w:t xml:space="preserve"> 109/23 – </w:t>
      </w:r>
      <w:proofErr w:type="spellStart"/>
      <w:r w:rsidRPr="00DB201B">
        <w:rPr>
          <w:sz w:val="16"/>
          <w:szCs w:val="16"/>
        </w:rPr>
        <w:t>odl</w:t>
      </w:r>
      <w:proofErr w:type="spellEnd"/>
      <w:r w:rsidRPr="00DB201B">
        <w:rPr>
          <w:sz w:val="16"/>
          <w:szCs w:val="16"/>
        </w:rPr>
        <w:t>. US, 131/23 – ZORZFS in 100/24.</w:t>
      </w:r>
    </w:p>
    <w:p w14:paraId="6B223B14" w14:textId="77777777" w:rsidR="00A155A2" w:rsidRPr="00CC6663" w:rsidRDefault="00A155A2" w:rsidP="00A155A2">
      <w:pPr>
        <w:pStyle w:val="Sprotnaopomba-besedilo"/>
        <w:spacing w:line="276" w:lineRule="auto"/>
        <w:rPr>
          <w:sz w:val="16"/>
          <w:szCs w:val="16"/>
        </w:rPr>
      </w:pPr>
    </w:p>
    <w:p w14:paraId="1B414EED" w14:textId="77777777" w:rsidR="00A155A2" w:rsidRPr="004E7D0E" w:rsidRDefault="00A155A2" w:rsidP="00A155A2">
      <w:pPr>
        <w:pStyle w:val="Sprotnaopomba-besedilo"/>
        <w:spacing w:line="276" w:lineRule="auto"/>
        <w:rPr>
          <w:sz w:val="16"/>
          <w:szCs w:val="16"/>
        </w:rPr>
      </w:pPr>
    </w:p>
  </w:footnote>
  <w:footnote w:id="6">
    <w:p w14:paraId="337D99DD" w14:textId="77777777" w:rsidR="00A155A2" w:rsidRPr="00DB201B" w:rsidRDefault="00A155A2" w:rsidP="00A155A2">
      <w:pPr>
        <w:pStyle w:val="Sprotnaopomba-besedilo"/>
        <w:spacing w:line="240" w:lineRule="auto"/>
        <w:jc w:val="both"/>
        <w:rPr>
          <w:sz w:val="16"/>
          <w:szCs w:val="16"/>
        </w:rPr>
      </w:pPr>
      <w:r w:rsidRPr="001C6B5B">
        <w:rPr>
          <w:rStyle w:val="Sprotnaopomba-sklic"/>
          <w:sz w:val="18"/>
          <w:szCs w:val="18"/>
        </w:rPr>
        <w:footnoteRef/>
      </w:r>
      <w:r w:rsidRPr="001C6B5B">
        <w:rPr>
          <w:sz w:val="18"/>
          <w:szCs w:val="18"/>
        </w:rPr>
        <w:t xml:space="preserve"> </w:t>
      </w:r>
      <w:r w:rsidRPr="00DB201B">
        <w:rPr>
          <w:sz w:val="16"/>
          <w:szCs w:val="16"/>
        </w:rPr>
        <w:t xml:space="preserve">Z Zakonom o spremembah in dopolnitvah Zakona o finančnem poslovanju, postopkih zaradi insolventnosti in prisilnem </w:t>
      </w:r>
      <w:r w:rsidRPr="001D18D8">
        <w:rPr>
          <w:sz w:val="16"/>
          <w:szCs w:val="16"/>
        </w:rPr>
        <w:t>prenehanju (Uradni list RS, št. 27/16) je</w:t>
      </w:r>
      <w:r w:rsidRPr="00DB201B">
        <w:rPr>
          <w:sz w:val="16"/>
          <w:szCs w:val="16"/>
        </w:rPr>
        <w:t xml:space="preserve"> bila spremenjena opredelitev prednostnih terjatev, na katere odpust ne učinkuje, </w:t>
      </w:r>
      <w:r>
        <w:rPr>
          <w:sz w:val="16"/>
          <w:szCs w:val="16"/>
        </w:rPr>
        <w:t>in sicer tako</w:t>
      </w:r>
      <w:r w:rsidRPr="00DB201B">
        <w:rPr>
          <w:sz w:val="16"/>
          <w:szCs w:val="16"/>
        </w:rPr>
        <w:t xml:space="preserve">, da se za prednostne terjatve štejejo vse terjatve </w:t>
      </w:r>
      <w:r>
        <w:rPr>
          <w:sz w:val="16"/>
          <w:szCs w:val="16"/>
        </w:rPr>
        <w:t>od</w:t>
      </w:r>
      <w:r w:rsidRPr="00DB201B">
        <w:rPr>
          <w:sz w:val="16"/>
          <w:szCs w:val="16"/>
        </w:rPr>
        <w:t xml:space="preserve"> prispevkov, ki so nastale pred začetkom postopka zaradi insolventnosti</w:t>
      </w:r>
      <w:r>
        <w:rPr>
          <w:sz w:val="16"/>
          <w:szCs w:val="16"/>
        </w:rPr>
        <w:t>,</w:t>
      </w:r>
      <w:r w:rsidRPr="00DB201B">
        <w:rPr>
          <w:sz w:val="16"/>
          <w:szCs w:val="16"/>
        </w:rPr>
        <w:t xml:space="preserve"> in ne več samo terjatve </w:t>
      </w:r>
      <w:r>
        <w:rPr>
          <w:sz w:val="16"/>
          <w:szCs w:val="16"/>
        </w:rPr>
        <w:t>od</w:t>
      </w:r>
      <w:r w:rsidRPr="00DB201B">
        <w:rPr>
          <w:sz w:val="16"/>
          <w:szCs w:val="16"/>
        </w:rPr>
        <w:t xml:space="preserve"> prispevkov, ki so nastale v zadnjem letu pred začetkom postopka zaradi insolventnosti.</w:t>
      </w:r>
    </w:p>
  </w:footnote>
  <w:footnote w:id="7">
    <w:p w14:paraId="74847CDD" w14:textId="77777777" w:rsidR="00A155A2" w:rsidRDefault="00A155A2" w:rsidP="00A155A2">
      <w:pPr>
        <w:pStyle w:val="Sprotnaopomba-besedilo"/>
      </w:pPr>
      <w:r w:rsidRPr="00DB201B">
        <w:rPr>
          <w:rStyle w:val="Sprotnaopomba-sklic"/>
          <w:sz w:val="16"/>
          <w:szCs w:val="16"/>
        </w:rPr>
        <w:footnoteRef/>
      </w:r>
      <w:r w:rsidRPr="00DB201B">
        <w:rPr>
          <w:sz w:val="16"/>
          <w:szCs w:val="16"/>
        </w:rPr>
        <w:t xml:space="preserve"> </w:t>
      </w:r>
      <w:r w:rsidRPr="00DB201B">
        <w:rPr>
          <w:rFonts w:cs="Arial"/>
          <w:sz w:val="16"/>
          <w:szCs w:val="16"/>
        </w:rPr>
        <w:t xml:space="preserve">Podatki izhajajo iz statističnih poročil </w:t>
      </w:r>
      <w:r>
        <w:rPr>
          <w:rFonts w:cs="Arial"/>
          <w:sz w:val="16"/>
          <w:szCs w:val="16"/>
        </w:rPr>
        <w:t>o</w:t>
      </w:r>
      <w:r w:rsidRPr="00DB201B">
        <w:rPr>
          <w:rFonts w:cs="Arial"/>
          <w:sz w:val="16"/>
          <w:szCs w:val="16"/>
        </w:rPr>
        <w:t xml:space="preserve"> </w:t>
      </w:r>
      <w:proofErr w:type="spellStart"/>
      <w:r w:rsidRPr="00DB201B">
        <w:rPr>
          <w:rFonts w:cs="Arial"/>
          <w:sz w:val="16"/>
          <w:szCs w:val="16"/>
        </w:rPr>
        <w:t>insolvenčnih</w:t>
      </w:r>
      <w:proofErr w:type="spellEnd"/>
      <w:r w:rsidRPr="00DB201B">
        <w:rPr>
          <w:rFonts w:cs="Arial"/>
          <w:sz w:val="16"/>
          <w:szCs w:val="16"/>
        </w:rPr>
        <w:t xml:space="preserve"> postopk</w:t>
      </w:r>
      <w:r>
        <w:rPr>
          <w:rFonts w:cs="Arial"/>
          <w:sz w:val="16"/>
          <w:szCs w:val="16"/>
        </w:rPr>
        <w:t>ih</w:t>
      </w:r>
      <w:r w:rsidRPr="00DB201B">
        <w:rPr>
          <w:rFonts w:cs="Arial"/>
          <w:sz w:val="16"/>
          <w:szCs w:val="16"/>
        </w:rPr>
        <w:t xml:space="preserve">, ki jih </w:t>
      </w:r>
      <w:r w:rsidRPr="003C6D97">
        <w:rPr>
          <w:rFonts w:cs="Arial"/>
          <w:sz w:val="16"/>
          <w:szCs w:val="16"/>
        </w:rPr>
        <w:t xml:space="preserve">pripravlja </w:t>
      </w:r>
      <w:r w:rsidRPr="001D18D8">
        <w:rPr>
          <w:rFonts w:cs="Arial"/>
          <w:sz w:val="16"/>
          <w:szCs w:val="16"/>
        </w:rPr>
        <w:t>ministrstvo</w:t>
      </w:r>
      <w:r w:rsidRPr="00DB201B">
        <w:rPr>
          <w:rFonts w:cs="Arial"/>
          <w:sz w:val="16"/>
          <w:szCs w:val="16"/>
        </w:rPr>
        <w:t xml:space="preserve"> za pravosodje.</w:t>
      </w:r>
    </w:p>
  </w:footnote>
  <w:footnote w:id="8">
    <w:p w14:paraId="19B7125D" w14:textId="77777777" w:rsidR="00A155A2" w:rsidRDefault="00A155A2" w:rsidP="00A155A2">
      <w:pPr>
        <w:pStyle w:val="Sprotnaopomba-besedilo"/>
      </w:pPr>
      <w:r>
        <w:rPr>
          <w:rStyle w:val="Sprotnaopomba-sklic"/>
        </w:rPr>
        <w:footnoteRef/>
      </w:r>
      <w:r>
        <w:t xml:space="preserve"> </w:t>
      </w:r>
      <w:r w:rsidRPr="00721DA2">
        <w:rPr>
          <w:sz w:val="16"/>
          <w:szCs w:val="16"/>
        </w:rPr>
        <w:t>Uradni list RS, št. 102/23</w:t>
      </w:r>
      <w:r>
        <w:rPr>
          <w:sz w:val="16"/>
          <w:szCs w:val="16"/>
        </w:rPr>
        <w:t>.</w:t>
      </w:r>
    </w:p>
  </w:footnote>
  <w:footnote w:id="9">
    <w:p w14:paraId="1F4838CD" w14:textId="77777777" w:rsidR="00A155A2" w:rsidRPr="00721DA2" w:rsidRDefault="00A155A2" w:rsidP="00A155A2">
      <w:pPr>
        <w:pStyle w:val="Sprotnaopomba-besedilo"/>
        <w:rPr>
          <w:sz w:val="16"/>
          <w:szCs w:val="16"/>
        </w:rPr>
      </w:pPr>
      <w:r w:rsidRPr="00DB201B">
        <w:rPr>
          <w:rStyle w:val="Sprotnaopomba-sklic"/>
          <w:sz w:val="16"/>
          <w:szCs w:val="16"/>
        </w:rPr>
        <w:footnoteRef/>
      </w:r>
      <w:r w:rsidRPr="00DB201B">
        <w:rPr>
          <w:sz w:val="16"/>
          <w:szCs w:val="16"/>
        </w:rPr>
        <w:t xml:space="preserve"> </w:t>
      </w:r>
      <w:r w:rsidRPr="00721DA2">
        <w:rPr>
          <w:sz w:val="16"/>
          <w:szCs w:val="16"/>
        </w:rPr>
        <w:t>Plačilo 23,1 mil</w:t>
      </w:r>
      <w:r>
        <w:rPr>
          <w:sz w:val="16"/>
          <w:szCs w:val="16"/>
        </w:rPr>
        <w:t>i</w:t>
      </w:r>
      <w:r w:rsidRPr="00721DA2">
        <w:rPr>
          <w:sz w:val="16"/>
          <w:szCs w:val="16"/>
        </w:rPr>
        <w:t>jona EUR je vključen</w:t>
      </w:r>
      <w:r>
        <w:rPr>
          <w:sz w:val="16"/>
          <w:szCs w:val="16"/>
        </w:rPr>
        <w:t>o</w:t>
      </w:r>
      <w:r w:rsidRPr="00721DA2">
        <w:rPr>
          <w:sz w:val="16"/>
          <w:szCs w:val="16"/>
        </w:rPr>
        <w:t xml:space="preserve"> v javnofinančnih prihodkih v letu 2024 kot trošarina.</w:t>
      </w:r>
    </w:p>
  </w:footnote>
  <w:footnote w:id="10">
    <w:p w14:paraId="30B7E119" w14:textId="77777777" w:rsidR="00A155A2" w:rsidRPr="00FB57B6" w:rsidRDefault="00A155A2" w:rsidP="00A155A2">
      <w:pPr>
        <w:pStyle w:val="Sprotnaopomba-besedilo"/>
        <w:spacing w:line="240" w:lineRule="auto"/>
        <w:jc w:val="both"/>
        <w:rPr>
          <w:sz w:val="16"/>
          <w:szCs w:val="16"/>
        </w:rPr>
      </w:pPr>
      <w:r w:rsidRPr="00FB57B6">
        <w:rPr>
          <w:rStyle w:val="Sprotnaopomba-sklic"/>
          <w:sz w:val="16"/>
          <w:szCs w:val="16"/>
        </w:rPr>
        <w:footnoteRef/>
      </w:r>
      <w:r w:rsidRPr="00FB57B6">
        <w:rPr>
          <w:sz w:val="16"/>
          <w:szCs w:val="16"/>
        </w:rPr>
        <w:t xml:space="preserve"> </w:t>
      </w:r>
      <w:r w:rsidRPr="00FB57B6">
        <w:rPr>
          <w:sz w:val="16"/>
          <w:szCs w:val="16"/>
        </w:rPr>
        <w:t>V skupino nedavčnih prihodkov s</w:t>
      </w:r>
      <w:r>
        <w:rPr>
          <w:sz w:val="16"/>
          <w:szCs w:val="16"/>
        </w:rPr>
        <w:t>padajo</w:t>
      </w:r>
      <w:r w:rsidRPr="00FB57B6">
        <w:rPr>
          <w:sz w:val="16"/>
          <w:szCs w:val="16"/>
        </w:rPr>
        <w:t xml:space="preserve"> prihodki iz udeležbe pri dobičku in dohodku od premoženja, takse in pristojbine, denarne kazni in drugi nedavčni prihodki.</w:t>
      </w:r>
    </w:p>
    <w:p w14:paraId="194340A5" w14:textId="77777777" w:rsidR="00A155A2" w:rsidRPr="00FB57B6" w:rsidRDefault="00A155A2" w:rsidP="00A155A2">
      <w:pPr>
        <w:pStyle w:val="Sprotnaopomba-besedilo"/>
        <w:spacing w:line="240" w:lineRule="auto"/>
        <w:jc w:val="both"/>
        <w:rPr>
          <w:sz w:val="16"/>
          <w:szCs w:val="16"/>
        </w:rPr>
      </w:pPr>
    </w:p>
    <w:p w14:paraId="4413B523" w14:textId="77777777" w:rsidR="00A155A2" w:rsidRDefault="00A155A2" w:rsidP="00A155A2">
      <w:pPr>
        <w:pStyle w:val="Sprotnaopomba-besedilo"/>
        <w:spacing w:line="240" w:lineRule="auto"/>
        <w:rPr>
          <w:sz w:val="16"/>
          <w:szCs w:val="16"/>
        </w:rPr>
      </w:pPr>
    </w:p>
    <w:p w14:paraId="4318C639" w14:textId="77777777" w:rsidR="00A155A2" w:rsidRDefault="00A155A2" w:rsidP="00A155A2">
      <w:pPr>
        <w:pStyle w:val="Sprotnaopomba-besedilo"/>
        <w:spacing w:line="240" w:lineRule="auto"/>
        <w:rPr>
          <w:sz w:val="16"/>
          <w:szCs w:val="16"/>
        </w:rPr>
      </w:pPr>
    </w:p>
    <w:p w14:paraId="28794FA0" w14:textId="77777777" w:rsidR="00A155A2" w:rsidRPr="007C1B99" w:rsidRDefault="00A155A2" w:rsidP="00A155A2">
      <w:pPr>
        <w:pStyle w:val="Sprotnaopomba-besedilo"/>
        <w:spacing w:line="240" w:lineRule="auto"/>
        <w:rPr>
          <w:sz w:val="16"/>
          <w:szCs w:val="16"/>
        </w:rPr>
      </w:pPr>
    </w:p>
  </w:footnote>
  <w:footnote w:id="11">
    <w:p w14:paraId="50F07B93" w14:textId="77777777" w:rsidR="00A155A2" w:rsidRPr="0032114F" w:rsidRDefault="00A155A2" w:rsidP="00A155A2">
      <w:pPr>
        <w:pStyle w:val="Brezrazmikov"/>
        <w:rPr>
          <w:rFonts w:ascii="Arial" w:hAnsi="Arial" w:cs="Arial"/>
          <w:color w:val="00B050"/>
          <w:sz w:val="16"/>
          <w:szCs w:val="16"/>
        </w:rPr>
      </w:pPr>
      <w:r w:rsidRPr="00DB201B">
        <w:rPr>
          <w:rStyle w:val="Sprotnaopomba-sklic"/>
          <w:rFonts w:ascii="Arial" w:hAnsi="Arial" w:cs="Arial"/>
          <w:sz w:val="16"/>
          <w:szCs w:val="16"/>
        </w:rPr>
        <w:footnoteRef/>
      </w:r>
      <w:r w:rsidRPr="00DB201B">
        <w:rPr>
          <w:rFonts w:ascii="Arial" w:hAnsi="Arial" w:cs="Arial"/>
          <w:sz w:val="16"/>
          <w:szCs w:val="16"/>
        </w:rPr>
        <w:t xml:space="preserve"> </w:t>
      </w:r>
      <w:r w:rsidRPr="00DB201B">
        <w:rPr>
          <w:rFonts w:ascii="Arial" w:hAnsi="Arial" w:cs="Arial"/>
          <w:sz w:val="16"/>
          <w:szCs w:val="16"/>
        </w:rPr>
        <w:t>Uradni list RS, št. 141/06, 46/07, 102/07, 28/09, 101/11, 24/12, 32/12 – ZDavP-2E, 19/13, 45/14, 97/14, 39/15, 40/16, 85/16, 30/17, 37/18, 43/19, 80/19, 106/20, 200/20, 135/21, 43/22, 166/22</w:t>
      </w:r>
      <w:r>
        <w:rPr>
          <w:rFonts w:ascii="Arial" w:hAnsi="Arial" w:cs="Arial"/>
          <w:sz w:val="16"/>
          <w:szCs w:val="16"/>
        </w:rPr>
        <w:t xml:space="preserve">, </w:t>
      </w:r>
      <w:r w:rsidRPr="00DB201B">
        <w:rPr>
          <w:rFonts w:ascii="Arial" w:hAnsi="Arial" w:cs="Arial"/>
          <w:sz w:val="16"/>
          <w:szCs w:val="16"/>
        </w:rPr>
        <w:t>74/23</w:t>
      </w:r>
      <w:r>
        <w:rPr>
          <w:rFonts w:ascii="Arial" w:hAnsi="Arial" w:cs="Arial"/>
          <w:sz w:val="16"/>
          <w:szCs w:val="16"/>
        </w:rPr>
        <w:t xml:space="preserve">, </w:t>
      </w:r>
      <w:hyperlink r:id="rId2" w:tgtFrame="_blank" w:tooltip="Zakon o spremembah in dopolnitvah Zakona o davčnem postopku (ZDavP-2O)" w:history="1">
        <w:r w:rsidRPr="00721DA2">
          <w:rPr>
            <w:rFonts w:ascii="Arial" w:hAnsi="Arial" w:cs="Arial"/>
            <w:color w:val="3E7C94"/>
            <w:sz w:val="16"/>
            <w:szCs w:val="16"/>
            <w:u w:val="single"/>
            <w:shd w:val="clear" w:color="auto" w:fill="FFFFFF"/>
          </w:rPr>
          <w:t>100/24</w:t>
        </w:r>
      </w:hyperlink>
      <w:r w:rsidRPr="00721DA2">
        <w:rPr>
          <w:rFonts w:ascii="Arial" w:hAnsi="Arial" w:cs="Arial"/>
          <w:color w:val="737373"/>
          <w:sz w:val="16"/>
          <w:szCs w:val="16"/>
          <w:shd w:val="clear" w:color="auto" w:fill="FFFFFF"/>
        </w:rPr>
        <w:t> – ZDavP-2O in </w:t>
      </w:r>
      <w:hyperlink r:id="rId3" w:tgtFrame="_blank" w:tooltip="Pravilnik o spremembah in dopolnitvah Pravilnika o izvajanju Zakona o davčnem postopku" w:history="1">
        <w:r w:rsidRPr="00721DA2">
          <w:rPr>
            <w:rFonts w:ascii="Arial" w:hAnsi="Arial" w:cs="Arial"/>
            <w:color w:val="3E7C94"/>
            <w:sz w:val="16"/>
            <w:szCs w:val="16"/>
            <w:u w:val="single"/>
            <w:shd w:val="clear" w:color="auto" w:fill="FFFFFF"/>
          </w:rPr>
          <w:t>112/24</w:t>
        </w:r>
      </w:hyperlink>
      <w:r>
        <w:rPr>
          <w:rFonts w:ascii="Arial" w:hAnsi="Arial" w:cs="Arial"/>
          <w:color w:val="3E7C94"/>
          <w:sz w:val="16"/>
          <w:szCs w:val="16"/>
          <w:shd w:val="clear" w:color="auto" w:fill="FFFFFF"/>
        </w:rPr>
        <w:t>.</w:t>
      </w:r>
    </w:p>
  </w:footnote>
  <w:footnote w:id="12">
    <w:p w14:paraId="34C19710" w14:textId="77777777" w:rsidR="00A155A2" w:rsidRPr="00DB201B" w:rsidRDefault="00A155A2" w:rsidP="00A155A2">
      <w:pPr>
        <w:pStyle w:val="Sprotnaopomba-besedilo"/>
        <w:rPr>
          <w:sz w:val="16"/>
          <w:szCs w:val="16"/>
        </w:rPr>
      </w:pPr>
      <w:r w:rsidRPr="00DB201B">
        <w:rPr>
          <w:rStyle w:val="Sprotnaopomba-sklic"/>
          <w:sz w:val="16"/>
          <w:szCs w:val="16"/>
        </w:rPr>
        <w:footnoteRef/>
      </w:r>
      <w:r w:rsidRPr="00DB201B">
        <w:rPr>
          <w:sz w:val="16"/>
          <w:szCs w:val="16"/>
        </w:rPr>
        <w:t xml:space="preserve"> </w:t>
      </w:r>
      <w:r w:rsidRPr="00DB201B">
        <w:rPr>
          <w:rFonts w:eastAsia="Calibri" w:cs="Arial"/>
          <w:sz w:val="16"/>
          <w:szCs w:val="16"/>
        </w:rPr>
        <w:t xml:space="preserve">Z novelo ZDavP-2O, ki je </w:t>
      </w:r>
      <w:r>
        <w:rPr>
          <w:rFonts w:eastAsia="Calibri" w:cs="Arial"/>
          <w:sz w:val="16"/>
          <w:szCs w:val="16"/>
        </w:rPr>
        <w:t>začela</w:t>
      </w:r>
      <w:r w:rsidRPr="00DB201B">
        <w:rPr>
          <w:rFonts w:eastAsia="Calibri" w:cs="Arial"/>
          <w:sz w:val="16"/>
          <w:szCs w:val="16"/>
        </w:rPr>
        <w:t xml:space="preserve"> velja</w:t>
      </w:r>
      <w:r>
        <w:rPr>
          <w:rFonts w:eastAsia="Calibri" w:cs="Arial"/>
          <w:sz w:val="16"/>
          <w:szCs w:val="16"/>
        </w:rPr>
        <w:t>ti</w:t>
      </w:r>
      <w:r w:rsidRPr="00DB201B">
        <w:rPr>
          <w:rFonts w:eastAsia="Calibri" w:cs="Arial"/>
          <w:sz w:val="16"/>
          <w:szCs w:val="16"/>
        </w:rPr>
        <w:t xml:space="preserve"> 27.</w:t>
      </w:r>
      <w:r>
        <w:rPr>
          <w:rFonts w:eastAsia="Calibri" w:cs="Arial"/>
          <w:sz w:val="16"/>
          <w:szCs w:val="16"/>
        </w:rPr>
        <w:t xml:space="preserve"> novembra </w:t>
      </w:r>
      <w:r w:rsidRPr="00DB201B">
        <w:rPr>
          <w:rFonts w:eastAsia="Calibri" w:cs="Arial"/>
          <w:sz w:val="16"/>
          <w:szCs w:val="16"/>
        </w:rPr>
        <w:t xml:space="preserve">2024, se je iz 101. člena ZDavP-2 črtala možnost odloga plačila. </w:t>
      </w:r>
    </w:p>
  </w:footnote>
  <w:footnote w:id="13">
    <w:p w14:paraId="01CD006E" w14:textId="77777777" w:rsidR="00A155A2" w:rsidRDefault="00A155A2" w:rsidP="00A155A2">
      <w:pPr>
        <w:pStyle w:val="Sprotnaopomba-besedilo"/>
      </w:pPr>
      <w:r w:rsidRPr="00DB201B">
        <w:rPr>
          <w:rStyle w:val="Sprotnaopomba-sklic"/>
          <w:sz w:val="16"/>
          <w:szCs w:val="16"/>
        </w:rPr>
        <w:footnoteRef/>
      </w:r>
      <w:r w:rsidRPr="00DB201B">
        <w:rPr>
          <w:sz w:val="16"/>
          <w:szCs w:val="16"/>
        </w:rPr>
        <w:t xml:space="preserve"> </w:t>
      </w:r>
      <w:r w:rsidRPr="00DB201B">
        <w:rPr>
          <w:rFonts w:eastAsia="Calibri" w:cs="Arial"/>
          <w:sz w:val="16"/>
          <w:szCs w:val="16"/>
        </w:rPr>
        <w:t xml:space="preserve">Z novelo ZDavP-2O, ki je </w:t>
      </w:r>
      <w:r>
        <w:rPr>
          <w:rFonts w:eastAsia="Calibri" w:cs="Arial"/>
          <w:sz w:val="16"/>
          <w:szCs w:val="16"/>
        </w:rPr>
        <w:t>začela</w:t>
      </w:r>
      <w:r w:rsidRPr="00DB201B">
        <w:rPr>
          <w:rFonts w:eastAsia="Calibri" w:cs="Arial"/>
          <w:sz w:val="16"/>
          <w:szCs w:val="16"/>
        </w:rPr>
        <w:t xml:space="preserve"> velja</w:t>
      </w:r>
      <w:r>
        <w:rPr>
          <w:rFonts w:eastAsia="Calibri" w:cs="Arial"/>
          <w:sz w:val="16"/>
          <w:szCs w:val="16"/>
        </w:rPr>
        <w:t>ti</w:t>
      </w:r>
      <w:r w:rsidRPr="00DB201B">
        <w:rPr>
          <w:rFonts w:eastAsia="Calibri" w:cs="Arial"/>
          <w:sz w:val="16"/>
          <w:szCs w:val="16"/>
        </w:rPr>
        <w:t xml:space="preserve"> 27.</w:t>
      </w:r>
      <w:r>
        <w:rPr>
          <w:rFonts w:eastAsia="Calibri" w:cs="Arial"/>
          <w:sz w:val="16"/>
          <w:szCs w:val="16"/>
        </w:rPr>
        <w:t xml:space="preserve"> novembra </w:t>
      </w:r>
      <w:r w:rsidRPr="00DB201B">
        <w:rPr>
          <w:rFonts w:eastAsia="Calibri" w:cs="Arial"/>
          <w:sz w:val="16"/>
          <w:szCs w:val="16"/>
        </w:rPr>
        <w:t>2024, se je iz 102. člena ZDavP-2 črtala možnost odloga plačila.</w:t>
      </w:r>
    </w:p>
  </w:footnote>
  <w:footnote w:id="14">
    <w:p w14:paraId="3096379B" w14:textId="77777777" w:rsidR="00A155A2" w:rsidRPr="00DB201B" w:rsidRDefault="00A155A2" w:rsidP="00A155A2">
      <w:pPr>
        <w:pStyle w:val="Sprotnaopomba-besedilo"/>
        <w:spacing w:line="240" w:lineRule="auto"/>
        <w:rPr>
          <w:sz w:val="16"/>
          <w:szCs w:val="16"/>
        </w:rPr>
      </w:pPr>
      <w:r w:rsidRPr="00DB201B">
        <w:rPr>
          <w:rStyle w:val="Sprotnaopomba-sklic"/>
          <w:sz w:val="16"/>
          <w:szCs w:val="16"/>
        </w:rPr>
        <w:footnoteRef/>
      </w:r>
      <w:r w:rsidRPr="00DB201B">
        <w:rPr>
          <w:sz w:val="16"/>
          <w:szCs w:val="16"/>
        </w:rPr>
        <w:t xml:space="preserve"> </w:t>
      </w:r>
      <w:r w:rsidRPr="00DB201B">
        <w:rPr>
          <w:sz w:val="16"/>
          <w:szCs w:val="16"/>
        </w:rPr>
        <w:t xml:space="preserve">Uradni list RS, št. 65/09 – uradno prečiščeno besedilo, 33/11, 91/11, 32/12, 57/12, 44/13 – </w:t>
      </w:r>
      <w:proofErr w:type="spellStart"/>
      <w:r w:rsidRPr="00DB201B">
        <w:rPr>
          <w:sz w:val="16"/>
          <w:szCs w:val="16"/>
        </w:rPr>
        <w:t>odl</w:t>
      </w:r>
      <w:proofErr w:type="spellEnd"/>
      <w:r w:rsidRPr="00DB201B">
        <w:rPr>
          <w:sz w:val="16"/>
          <w:szCs w:val="16"/>
        </w:rPr>
        <w:t xml:space="preserve">. US, 82/13, 55/15, 15/17, 22/19 – </w:t>
      </w:r>
      <w:proofErr w:type="spellStart"/>
      <w:r w:rsidRPr="00DB201B">
        <w:rPr>
          <w:sz w:val="16"/>
          <w:szCs w:val="16"/>
        </w:rPr>
        <w:t>ZPosS</w:t>
      </w:r>
      <w:proofErr w:type="spellEnd"/>
      <w:r w:rsidRPr="00DB201B">
        <w:rPr>
          <w:sz w:val="16"/>
          <w:szCs w:val="16"/>
        </w:rPr>
        <w:t xml:space="preserve">, 158/20 – </w:t>
      </w:r>
      <w:proofErr w:type="spellStart"/>
      <w:r w:rsidRPr="00DB201B">
        <w:rPr>
          <w:sz w:val="16"/>
          <w:szCs w:val="16"/>
        </w:rPr>
        <w:t>ZIntPK</w:t>
      </w:r>
      <w:proofErr w:type="spellEnd"/>
      <w:r w:rsidRPr="00DB201B">
        <w:rPr>
          <w:sz w:val="16"/>
          <w:szCs w:val="16"/>
        </w:rPr>
        <w:t xml:space="preserve">-C, 18/21, 18/23 – ZDU-1O, </w:t>
      </w:r>
      <w:hyperlink r:id="rId4" w:tgtFrame="_blank" w:tooltip="Zakon o spremembah in dopolnitvah Zakona o gospodarskih družbah" w:history="1">
        <w:r w:rsidRPr="00DB201B">
          <w:rPr>
            <w:rStyle w:val="Hiperpovezava"/>
            <w:rFonts w:eastAsiaTheme="majorEastAsia" w:cs="Arial"/>
            <w:sz w:val="16"/>
            <w:szCs w:val="16"/>
            <w:shd w:val="clear" w:color="auto" w:fill="FFFFFF"/>
          </w:rPr>
          <w:t>75/23</w:t>
        </w:r>
      </w:hyperlink>
      <w:r w:rsidRPr="00DB201B">
        <w:rPr>
          <w:rStyle w:val="Hiperpovezava"/>
          <w:rFonts w:eastAsiaTheme="majorEastAsia" w:cs="Arial"/>
          <w:sz w:val="16"/>
          <w:szCs w:val="16"/>
          <w:shd w:val="clear" w:color="auto" w:fill="FFFFFF"/>
        </w:rPr>
        <w:t xml:space="preserve"> in 102/24</w:t>
      </w:r>
      <w:r>
        <w:rPr>
          <w:rStyle w:val="Hiperpovezava"/>
          <w:rFonts w:eastAsiaTheme="majorEastAsia" w:cs="Arial"/>
          <w:sz w:val="16"/>
          <w:szCs w:val="16"/>
          <w:shd w:val="clear" w:color="auto" w:fill="FFFFFF"/>
        </w:rPr>
        <w:t>.</w:t>
      </w:r>
    </w:p>
  </w:footnote>
  <w:footnote w:id="15">
    <w:p w14:paraId="0DDFFF45" w14:textId="77777777" w:rsidR="00A155A2" w:rsidRPr="001E1B7D" w:rsidRDefault="00A155A2" w:rsidP="00A155A2">
      <w:pPr>
        <w:pStyle w:val="Sprotnaopomba-besedilo"/>
        <w:spacing w:line="240" w:lineRule="auto"/>
        <w:rPr>
          <w:rFonts w:cs="Arial"/>
          <w:sz w:val="16"/>
          <w:szCs w:val="16"/>
        </w:rPr>
      </w:pPr>
      <w:r w:rsidRPr="00DB201B">
        <w:rPr>
          <w:rStyle w:val="Sprotnaopomba-sklic"/>
          <w:sz w:val="16"/>
          <w:szCs w:val="16"/>
        </w:rPr>
        <w:footnoteRef/>
      </w:r>
      <w:r w:rsidRPr="00DB201B">
        <w:rPr>
          <w:sz w:val="16"/>
          <w:szCs w:val="16"/>
        </w:rPr>
        <w:t xml:space="preserve"> </w:t>
      </w:r>
      <w:bookmarkStart w:id="23" w:name="_Hlk193373951"/>
      <w:r w:rsidRPr="00DB201B">
        <w:rPr>
          <w:rFonts w:cs="Arial"/>
          <w:sz w:val="16"/>
          <w:szCs w:val="16"/>
          <w:shd w:val="clear" w:color="auto" w:fill="FFFFFF"/>
        </w:rPr>
        <w:t>Uradni list RS, št. </w:t>
      </w:r>
      <w:hyperlink r:id="rId5" w:tgtFrame="_blank" w:tooltip="Zakon o finančnem poslovanju, postopkih zaradi insolventnosti in prisilnem prenehanju (uradno prečiščeno besedilo)" w:history="1">
        <w:r w:rsidRPr="00DB201B">
          <w:rPr>
            <w:rStyle w:val="Hiperpovezava"/>
            <w:rFonts w:eastAsiaTheme="majorEastAsia" w:cs="Arial"/>
            <w:sz w:val="16"/>
            <w:szCs w:val="16"/>
            <w:shd w:val="clear" w:color="auto" w:fill="FFFFFF"/>
          </w:rPr>
          <w:t>176/21</w:t>
        </w:r>
      </w:hyperlink>
      <w:r w:rsidRPr="00DB201B">
        <w:rPr>
          <w:rFonts w:cs="Arial"/>
          <w:sz w:val="16"/>
          <w:szCs w:val="16"/>
          <w:shd w:val="clear" w:color="auto" w:fill="FFFFFF"/>
        </w:rPr>
        <w:t> – uradno prečiščeno besedilo, </w:t>
      </w:r>
      <w:hyperlink r:id="rId6" w:tgtFrame="_blank" w:tooltip="Popravek Uradnega prečiščenega besedila Zakona o finančnem poslovanju, postopkih zaradi insolventnosti in prisilnem prenehanju (ZFPPIPP-UPB17)" w:history="1">
        <w:r w:rsidRPr="00DB201B">
          <w:rPr>
            <w:rStyle w:val="Hiperpovezava"/>
            <w:rFonts w:eastAsiaTheme="majorEastAsia" w:cs="Arial"/>
            <w:sz w:val="16"/>
            <w:szCs w:val="16"/>
            <w:shd w:val="clear" w:color="auto" w:fill="FFFFFF"/>
          </w:rPr>
          <w:t xml:space="preserve">178/21 – </w:t>
        </w:r>
        <w:proofErr w:type="spellStart"/>
        <w:r w:rsidRPr="00DB201B">
          <w:rPr>
            <w:rStyle w:val="Hiperpovezava"/>
            <w:rFonts w:eastAsiaTheme="majorEastAsia" w:cs="Arial"/>
            <w:sz w:val="16"/>
            <w:szCs w:val="16"/>
            <w:shd w:val="clear" w:color="auto" w:fill="FFFFFF"/>
          </w:rPr>
          <w:t>popr</w:t>
        </w:r>
        <w:proofErr w:type="spellEnd"/>
        <w:r w:rsidRPr="00DB201B">
          <w:rPr>
            <w:rStyle w:val="Hiperpovezava"/>
            <w:rFonts w:eastAsiaTheme="majorEastAsia" w:cs="Arial"/>
            <w:sz w:val="16"/>
            <w:szCs w:val="16"/>
            <w:shd w:val="clear" w:color="auto" w:fill="FFFFFF"/>
          </w:rPr>
          <w:t>.</w:t>
        </w:r>
      </w:hyperlink>
      <w:r w:rsidRPr="00DB201B">
        <w:rPr>
          <w:rFonts w:cs="Arial"/>
          <w:sz w:val="16"/>
          <w:szCs w:val="16"/>
          <w:shd w:val="clear" w:color="auto" w:fill="FFFFFF"/>
        </w:rPr>
        <w:t>, </w:t>
      </w:r>
      <w:hyperlink r:id="rId7" w:tgtFrame="_blank" w:tooltip="Odločba o delni razveljavitvi drugega odstavka 34. člena Zakona o spremembah in dopolnitvah Zakona o finančnem poslovanju, postopkih zaradi insolventnosti in prisilnem prenehanju" w:history="1">
        <w:r w:rsidRPr="00DB201B">
          <w:rPr>
            <w:rStyle w:val="Hiperpovezava"/>
            <w:rFonts w:eastAsiaTheme="majorEastAsia" w:cs="Arial"/>
            <w:sz w:val="16"/>
            <w:szCs w:val="16"/>
            <w:shd w:val="clear" w:color="auto" w:fill="FFFFFF"/>
          </w:rPr>
          <w:t>196/21</w:t>
        </w:r>
      </w:hyperlink>
      <w:r w:rsidRPr="00DB201B">
        <w:rPr>
          <w:rFonts w:cs="Arial"/>
          <w:sz w:val="16"/>
          <w:szCs w:val="16"/>
          <w:shd w:val="clear" w:color="auto" w:fill="FFFFFF"/>
        </w:rPr>
        <w:t xml:space="preserve"> – </w:t>
      </w:r>
      <w:proofErr w:type="spellStart"/>
      <w:r w:rsidRPr="00DB201B">
        <w:rPr>
          <w:rFonts w:cs="Arial"/>
          <w:sz w:val="16"/>
          <w:szCs w:val="16"/>
          <w:shd w:val="clear" w:color="auto" w:fill="FFFFFF"/>
        </w:rPr>
        <w:t>odl</w:t>
      </w:r>
      <w:proofErr w:type="spellEnd"/>
      <w:r w:rsidRPr="00DB201B">
        <w:rPr>
          <w:rFonts w:cs="Arial"/>
          <w:sz w:val="16"/>
          <w:szCs w:val="16"/>
          <w:shd w:val="clear" w:color="auto" w:fill="FFFFFF"/>
        </w:rPr>
        <w:t>. US</w:t>
      </w:r>
      <w:r>
        <w:rPr>
          <w:rFonts w:cs="Arial"/>
          <w:sz w:val="16"/>
          <w:szCs w:val="16"/>
          <w:shd w:val="clear" w:color="auto" w:fill="FFFFFF"/>
        </w:rPr>
        <w:t>,</w:t>
      </w:r>
      <w:r w:rsidRPr="00DB201B">
        <w:rPr>
          <w:rFonts w:cs="Arial"/>
          <w:sz w:val="16"/>
          <w:szCs w:val="16"/>
          <w:shd w:val="clear" w:color="auto" w:fill="FFFFFF"/>
        </w:rPr>
        <w:t> </w:t>
      </w:r>
      <w:hyperlink r:id="rId8" w:tgtFrame="_blank" w:tooltip="Odločba o ugotovitvi, da druga alineja 2. točke drugega odstavka 399. člena v zvezi z 2. točko prvega odstavka 401. člena in drugim odstavkom 401. člena Zakona o finančnem poslovanju, postopkih zaradi insolventnosti in prisilnem prenehanju, kolikor se nanaša n" w:history="1">
        <w:r w:rsidRPr="00DB201B">
          <w:rPr>
            <w:rStyle w:val="Hiperpovezava"/>
            <w:rFonts w:eastAsiaTheme="majorEastAsia" w:cs="Arial"/>
            <w:sz w:val="16"/>
            <w:szCs w:val="16"/>
            <w:shd w:val="clear" w:color="auto" w:fill="FFFFFF"/>
          </w:rPr>
          <w:t>157/22</w:t>
        </w:r>
      </w:hyperlink>
      <w:r w:rsidRPr="00DB201B">
        <w:rPr>
          <w:rFonts w:cs="Arial"/>
          <w:sz w:val="16"/>
          <w:szCs w:val="16"/>
          <w:shd w:val="clear" w:color="auto" w:fill="FFFFFF"/>
        </w:rPr>
        <w:t xml:space="preserve"> – </w:t>
      </w:r>
      <w:proofErr w:type="spellStart"/>
      <w:r w:rsidRPr="00DB201B">
        <w:rPr>
          <w:rFonts w:cs="Arial"/>
          <w:sz w:val="16"/>
          <w:szCs w:val="16"/>
          <w:shd w:val="clear" w:color="auto" w:fill="FFFFFF"/>
        </w:rPr>
        <w:t>odl</w:t>
      </w:r>
      <w:proofErr w:type="spellEnd"/>
      <w:r w:rsidRPr="00DB201B">
        <w:rPr>
          <w:rFonts w:cs="Arial"/>
          <w:sz w:val="16"/>
          <w:szCs w:val="16"/>
          <w:shd w:val="clear" w:color="auto" w:fill="FFFFFF"/>
        </w:rPr>
        <w:t xml:space="preserve">. US, 35/23 – </w:t>
      </w:r>
      <w:proofErr w:type="spellStart"/>
      <w:r w:rsidRPr="00DB201B">
        <w:rPr>
          <w:rFonts w:cs="Arial"/>
          <w:sz w:val="16"/>
          <w:szCs w:val="16"/>
          <w:shd w:val="clear" w:color="auto" w:fill="FFFFFF"/>
        </w:rPr>
        <w:t>odl</w:t>
      </w:r>
      <w:proofErr w:type="spellEnd"/>
      <w:r w:rsidRPr="00DB201B">
        <w:rPr>
          <w:rFonts w:cs="Arial"/>
          <w:sz w:val="16"/>
          <w:szCs w:val="16"/>
          <w:shd w:val="clear" w:color="auto" w:fill="FFFFFF"/>
        </w:rPr>
        <w:t xml:space="preserve">. US, 57/23 – </w:t>
      </w:r>
      <w:proofErr w:type="spellStart"/>
      <w:r w:rsidRPr="00DB201B">
        <w:rPr>
          <w:rFonts w:cs="Arial"/>
          <w:sz w:val="16"/>
          <w:szCs w:val="16"/>
          <w:shd w:val="clear" w:color="auto" w:fill="FFFFFF"/>
        </w:rPr>
        <w:t>odl</w:t>
      </w:r>
      <w:proofErr w:type="spellEnd"/>
      <w:r w:rsidRPr="00DB201B">
        <w:rPr>
          <w:rFonts w:cs="Arial"/>
          <w:sz w:val="16"/>
          <w:szCs w:val="16"/>
          <w:shd w:val="clear" w:color="auto" w:fill="FFFFFF"/>
        </w:rPr>
        <w:t>. US</w:t>
      </w:r>
      <w:r>
        <w:rPr>
          <w:rFonts w:cs="Arial"/>
          <w:sz w:val="16"/>
          <w:szCs w:val="16"/>
          <w:shd w:val="clear" w:color="auto" w:fill="FFFFFF"/>
        </w:rPr>
        <w:t>,</w:t>
      </w:r>
      <w:r w:rsidRPr="00DB201B">
        <w:rPr>
          <w:rFonts w:cs="Arial"/>
          <w:sz w:val="16"/>
          <w:szCs w:val="16"/>
          <w:shd w:val="clear" w:color="auto" w:fill="FFFFFF"/>
        </w:rPr>
        <w:t xml:space="preserve"> 102/23</w:t>
      </w:r>
      <w:bookmarkEnd w:id="23"/>
      <w:r>
        <w:rPr>
          <w:rFonts w:cs="Arial"/>
          <w:sz w:val="16"/>
          <w:szCs w:val="16"/>
          <w:shd w:val="clear" w:color="auto" w:fill="FFFFFF"/>
        </w:rPr>
        <w:t xml:space="preserve"> in </w:t>
      </w:r>
      <w:hyperlink r:id="rId9" w:tgtFrame="_blank" w:tooltip="Odločba o ugotovitvi, da sta tretji in četrti odstavek 234. člena Zakona o finančnem poslovanju, postopkih zaradi insolventnosti in prisilnem prenehanju v neskladju z Ustavo" w:history="1">
        <w:r w:rsidRPr="00721DA2">
          <w:rPr>
            <w:rFonts w:eastAsia="Calibri" w:cs="Arial"/>
            <w:color w:val="3E7C94"/>
            <w:sz w:val="16"/>
            <w:szCs w:val="16"/>
            <w:u w:val="single"/>
            <w:shd w:val="clear" w:color="auto" w:fill="FFFFFF"/>
          </w:rPr>
          <w:t>25/25</w:t>
        </w:r>
      </w:hyperlink>
      <w:r w:rsidRPr="00721DA2">
        <w:rPr>
          <w:rFonts w:eastAsia="Calibri" w:cs="Arial"/>
          <w:color w:val="737373"/>
          <w:sz w:val="16"/>
          <w:szCs w:val="16"/>
          <w:shd w:val="clear" w:color="auto" w:fill="FFFFFF"/>
        </w:rPr>
        <w:t xml:space="preserve"> – </w:t>
      </w:r>
      <w:proofErr w:type="spellStart"/>
      <w:r w:rsidRPr="00721DA2">
        <w:rPr>
          <w:rFonts w:eastAsia="Calibri" w:cs="Arial"/>
          <w:color w:val="737373"/>
          <w:sz w:val="16"/>
          <w:szCs w:val="16"/>
          <w:shd w:val="clear" w:color="auto" w:fill="FFFFFF"/>
        </w:rPr>
        <w:t>odl</w:t>
      </w:r>
      <w:proofErr w:type="spellEnd"/>
      <w:r w:rsidRPr="00721DA2">
        <w:rPr>
          <w:rFonts w:eastAsia="Calibri" w:cs="Arial"/>
          <w:color w:val="737373"/>
          <w:sz w:val="16"/>
          <w:szCs w:val="16"/>
          <w:shd w:val="clear" w:color="auto" w:fill="FFFFFF"/>
        </w:rPr>
        <w:t>. US</w:t>
      </w:r>
      <w:r>
        <w:rPr>
          <w:rFonts w:eastAsia="Calibri" w:cs="Arial"/>
          <w:color w:val="737373"/>
          <w:sz w:val="16"/>
          <w:szCs w:val="16"/>
          <w:shd w:val="clear" w:color="auto" w:fill="FFFFFF"/>
        </w:rPr>
        <w:t>.</w:t>
      </w:r>
    </w:p>
  </w:footnote>
  <w:footnote w:id="16">
    <w:p w14:paraId="6550A8E5" w14:textId="77777777" w:rsidR="00A155A2" w:rsidRPr="00721DA2" w:rsidRDefault="00A155A2" w:rsidP="00A155A2">
      <w:pPr>
        <w:pStyle w:val="Sprotnaopomba-besedilo"/>
      </w:pPr>
      <w:r w:rsidRPr="00721DA2">
        <w:rPr>
          <w:rStyle w:val="Sprotnaopomba-sklic"/>
        </w:rPr>
        <w:footnoteRef/>
      </w:r>
      <w:r w:rsidRPr="00721DA2">
        <w:t xml:space="preserve"> </w:t>
      </w:r>
      <w:r w:rsidRPr="00721DA2">
        <w:rPr>
          <w:rFonts w:eastAsia="Calibri" w:cs="Arial"/>
          <w:sz w:val="16"/>
          <w:szCs w:val="16"/>
          <w:shd w:val="clear" w:color="auto" w:fill="FFFFFF"/>
        </w:rPr>
        <w:t>Uradni list RS, št. </w:t>
      </w:r>
      <w:hyperlink r:id="rId10" w:tgtFrame="_blank" w:tooltip="Obligacijski zakonik (uradno prečiščeno besedilo) (OZ-UPB1)" w:history="1">
        <w:r w:rsidRPr="00721DA2">
          <w:rPr>
            <w:rFonts w:eastAsia="Calibri" w:cs="Arial"/>
            <w:sz w:val="16"/>
            <w:szCs w:val="16"/>
            <w:u w:val="single"/>
            <w:shd w:val="clear" w:color="auto" w:fill="FFFFFF"/>
          </w:rPr>
          <w:t>97/07</w:t>
        </w:r>
      </w:hyperlink>
      <w:r w:rsidRPr="00721DA2">
        <w:rPr>
          <w:rFonts w:eastAsia="Calibri" w:cs="Arial"/>
          <w:sz w:val="16"/>
          <w:szCs w:val="16"/>
          <w:shd w:val="clear" w:color="auto" w:fill="FFFFFF"/>
        </w:rPr>
        <w:t> – uradno prečiščeno besedilo, </w:t>
      </w:r>
      <w:hyperlink r:id="rId11" w:tgtFrame="_blank" w:tooltip="Odločba o razveljavitvi 184. člena Obligacijskega zakonika" w:history="1">
        <w:r w:rsidRPr="00721DA2">
          <w:rPr>
            <w:rFonts w:eastAsia="Calibri" w:cs="Arial"/>
            <w:sz w:val="16"/>
            <w:szCs w:val="16"/>
            <w:u w:val="single"/>
            <w:shd w:val="clear" w:color="auto" w:fill="FFFFFF"/>
          </w:rPr>
          <w:t>64/16</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odl</w:t>
      </w:r>
      <w:proofErr w:type="spellEnd"/>
      <w:r w:rsidRPr="00721DA2">
        <w:rPr>
          <w:rFonts w:eastAsia="Calibri" w:cs="Arial"/>
          <w:sz w:val="16"/>
          <w:szCs w:val="16"/>
          <w:shd w:val="clear" w:color="auto" w:fill="FFFFFF"/>
        </w:rPr>
        <w:t>. US in </w:t>
      </w:r>
      <w:hyperlink r:id="rId12" w:tgtFrame="_blank" w:tooltip="Avtentična razlaga 631. člena Obligacijskega zakonika (OROZ631)" w:history="1">
        <w:r w:rsidRPr="00721DA2">
          <w:rPr>
            <w:rFonts w:eastAsia="Calibri" w:cs="Arial"/>
            <w:sz w:val="16"/>
            <w:szCs w:val="16"/>
            <w:u w:val="single"/>
            <w:shd w:val="clear" w:color="auto" w:fill="FFFFFF"/>
          </w:rPr>
          <w:t>20/18</w:t>
        </w:r>
      </w:hyperlink>
      <w:r w:rsidRPr="00721DA2">
        <w:rPr>
          <w:rFonts w:eastAsia="Calibri" w:cs="Arial"/>
          <w:sz w:val="16"/>
          <w:szCs w:val="16"/>
          <w:shd w:val="clear" w:color="auto" w:fill="FFFFFF"/>
        </w:rPr>
        <w:t> – OROZ631</w:t>
      </w:r>
      <w:r>
        <w:rPr>
          <w:rFonts w:eastAsia="Calibri" w:cs="Arial"/>
          <w:sz w:val="16"/>
          <w:szCs w:val="16"/>
          <w:shd w:val="clear" w:color="auto" w:fill="FFFFFF"/>
        </w:rPr>
        <w:t>.</w:t>
      </w:r>
    </w:p>
  </w:footnote>
  <w:footnote w:id="17">
    <w:p w14:paraId="626C472F" w14:textId="77777777" w:rsidR="00A155A2" w:rsidRPr="00721DA2" w:rsidRDefault="00A155A2" w:rsidP="00A155A2">
      <w:pPr>
        <w:pStyle w:val="Sprotnaopomba-besedilo"/>
      </w:pPr>
      <w:r w:rsidRPr="00721DA2">
        <w:rPr>
          <w:rStyle w:val="Sprotnaopomba-sklic"/>
        </w:rPr>
        <w:footnoteRef/>
      </w:r>
      <w:r w:rsidRPr="00721DA2">
        <w:t xml:space="preserve"> </w:t>
      </w:r>
      <w:r w:rsidRPr="00721DA2">
        <w:rPr>
          <w:rFonts w:eastAsia="Calibri" w:cs="Arial"/>
          <w:sz w:val="16"/>
          <w:szCs w:val="16"/>
          <w:shd w:val="clear" w:color="auto" w:fill="FFFFFF"/>
        </w:rPr>
        <w:t>Uradni list RS, št. </w:t>
      </w:r>
      <w:hyperlink r:id="rId13" w:tgtFrame="_blank" w:tooltip="Družinski zakonik (DZ)" w:history="1">
        <w:r w:rsidRPr="00721DA2">
          <w:rPr>
            <w:rFonts w:eastAsia="Calibri" w:cs="Arial"/>
            <w:sz w:val="16"/>
            <w:szCs w:val="16"/>
            <w:u w:val="single"/>
            <w:shd w:val="clear" w:color="auto" w:fill="FFFFFF"/>
          </w:rPr>
          <w:t>15/17</w:t>
        </w:r>
      </w:hyperlink>
      <w:r w:rsidRPr="00721DA2">
        <w:rPr>
          <w:rFonts w:eastAsia="Calibri" w:cs="Arial"/>
          <w:sz w:val="16"/>
          <w:szCs w:val="16"/>
          <w:shd w:val="clear" w:color="auto" w:fill="FFFFFF"/>
        </w:rPr>
        <w:t>, </w:t>
      </w:r>
      <w:hyperlink r:id="rId14" w:tgtFrame="_blank" w:tooltip="Zakon o nevladnih organizacijah (ZNOrg)" w:history="1">
        <w:r w:rsidRPr="00721DA2">
          <w:rPr>
            <w:rFonts w:eastAsia="Calibri" w:cs="Arial"/>
            <w:sz w:val="16"/>
            <w:szCs w:val="16"/>
            <w:u w:val="single"/>
            <w:shd w:val="clear" w:color="auto" w:fill="FFFFFF"/>
          </w:rPr>
          <w:t>21/18</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ZNOrg</w:t>
      </w:r>
      <w:proofErr w:type="spellEnd"/>
      <w:r w:rsidRPr="00721DA2">
        <w:rPr>
          <w:rFonts w:eastAsia="Calibri" w:cs="Arial"/>
          <w:sz w:val="16"/>
          <w:szCs w:val="16"/>
          <w:shd w:val="clear" w:color="auto" w:fill="FFFFFF"/>
        </w:rPr>
        <w:t>, </w:t>
      </w:r>
      <w:hyperlink r:id="rId15" w:tgtFrame="_blank" w:tooltip="Zakon o spremembah Družinskega zakonika (DZ-A)" w:history="1">
        <w:r w:rsidRPr="00721DA2">
          <w:rPr>
            <w:rFonts w:eastAsia="Calibri" w:cs="Arial"/>
            <w:sz w:val="16"/>
            <w:szCs w:val="16"/>
            <w:u w:val="single"/>
            <w:shd w:val="clear" w:color="auto" w:fill="FFFFFF"/>
          </w:rPr>
          <w:t>22/19</w:t>
        </w:r>
      </w:hyperlink>
      <w:r w:rsidRPr="00721DA2">
        <w:rPr>
          <w:rFonts w:eastAsia="Calibri" w:cs="Arial"/>
          <w:sz w:val="16"/>
          <w:szCs w:val="16"/>
          <w:shd w:val="clear" w:color="auto" w:fill="FFFFFF"/>
        </w:rPr>
        <w:t>, </w:t>
      </w:r>
      <w:hyperlink r:id="rId16" w:tgtFrame="_blank" w:tooltip="Zakon o spremembah in dopolnitvah Zakona o matičnem registru (ZMatR-C)" w:history="1">
        <w:r w:rsidRPr="00721DA2">
          <w:rPr>
            <w:rFonts w:eastAsia="Calibri" w:cs="Arial"/>
            <w:sz w:val="16"/>
            <w:szCs w:val="16"/>
            <w:u w:val="single"/>
            <w:shd w:val="clear" w:color="auto" w:fill="FFFFFF"/>
          </w:rPr>
          <w:t>67/19</w:t>
        </w:r>
      </w:hyperlink>
      <w:r w:rsidRPr="00721DA2">
        <w:rPr>
          <w:rFonts w:eastAsia="Calibri" w:cs="Arial"/>
          <w:sz w:val="16"/>
          <w:szCs w:val="16"/>
          <w:shd w:val="clear" w:color="auto" w:fill="FFFFFF"/>
        </w:rPr>
        <w:t> – ZMatR-C, </w:t>
      </w:r>
      <w:hyperlink r:id="rId17" w:tgtFrame="_blank" w:tooltip="Zakon o obravnavi otrok in mladostnikov s čustvenimi in vedenjskimi težavami in motnjami v vzgoji in izobraževanju (ZOOMTVI)" w:history="1">
        <w:r w:rsidRPr="00721DA2">
          <w:rPr>
            <w:rFonts w:eastAsia="Calibri" w:cs="Arial"/>
            <w:sz w:val="16"/>
            <w:szCs w:val="16"/>
            <w:u w:val="single"/>
            <w:shd w:val="clear" w:color="auto" w:fill="FFFFFF"/>
          </w:rPr>
          <w:t>200/20</w:t>
        </w:r>
      </w:hyperlink>
      <w:r w:rsidRPr="00721DA2">
        <w:rPr>
          <w:rFonts w:eastAsia="Calibri" w:cs="Arial"/>
          <w:sz w:val="16"/>
          <w:szCs w:val="16"/>
          <w:shd w:val="clear" w:color="auto" w:fill="FFFFFF"/>
        </w:rPr>
        <w:t> – ZOOMTVI, </w:t>
      </w:r>
      <w:hyperlink r:id="rId18"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zvelj" w:history="1">
        <w:r w:rsidRPr="00721DA2">
          <w:rPr>
            <w:rFonts w:eastAsia="Calibri" w:cs="Arial"/>
            <w:sz w:val="16"/>
            <w:szCs w:val="16"/>
            <w:u w:val="single"/>
            <w:shd w:val="clear" w:color="auto" w:fill="FFFFFF"/>
          </w:rPr>
          <w:t>94/22</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odl</w:t>
      </w:r>
      <w:proofErr w:type="spellEnd"/>
      <w:r w:rsidRPr="00721DA2">
        <w:rPr>
          <w:rFonts w:eastAsia="Calibri" w:cs="Arial"/>
          <w:sz w:val="16"/>
          <w:szCs w:val="16"/>
          <w:shd w:val="clear" w:color="auto" w:fill="FFFFFF"/>
        </w:rPr>
        <w:t>. US, </w:t>
      </w:r>
      <w:hyperlink r:id="rId19" w:tgtFrame="_blank" w:tooltip="Odločba o ugotovitvi, da sta bila 135. in 138. člen Zakona o zakonski zvezi in družinskih razmerjih v neskladju z Ustavo, o razveljavitvi prvega stavka tretjega odstavka 2. člena Zakona o partnerski zvezi in o ugotovitvi, da sta prvi odstavek 213. člena in 223" w:history="1">
        <w:r w:rsidRPr="00721DA2">
          <w:rPr>
            <w:rFonts w:eastAsia="Calibri" w:cs="Arial"/>
            <w:sz w:val="16"/>
            <w:szCs w:val="16"/>
            <w:u w:val="single"/>
            <w:shd w:val="clear" w:color="auto" w:fill="FFFFFF"/>
          </w:rPr>
          <w:t>94/22</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odl</w:t>
      </w:r>
      <w:proofErr w:type="spellEnd"/>
      <w:r w:rsidRPr="00721DA2">
        <w:rPr>
          <w:rFonts w:eastAsia="Calibri" w:cs="Arial"/>
          <w:sz w:val="16"/>
          <w:szCs w:val="16"/>
          <w:shd w:val="clear" w:color="auto" w:fill="FFFFFF"/>
        </w:rPr>
        <w:t>. US, </w:t>
      </w:r>
      <w:hyperlink r:id="rId20" w:tgtFrame="_blank" w:tooltip="Zakon o spremembah Družinskega zakonika (DZ-B)" w:history="1">
        <w:r w:rsidRPr="00721DA2">
          <w:rPr>
            <w:rFonts w:eastAsia="Calibri" w:cs="Arial"/>
            <w:sz w:val="16"/>
            <w:szCs w:val="16"/>
            <w:u w:val="single"/>
            <w:shd w:val="clear" w:color="auto" w:fill="FFFFFF"/>
          </w:rPr>
          <w:t>5/23</w:t>
        </w:r>
      </w:hyperlink>
      <w:r w:rsidRPr="00721DA2">
        <w:rPr>
          <w:rFonts w:eastAsia="Calibri" w:cs="Arial"/>
          <w:sz w:val="16"/>
          <w:szCs w:val="16"/>
          <w:shd w:val="clear" w:color="auto" w:fill="FFFFFF"/>
        </w:rPr>
        <w:t> in </w:t>
      </w:r>
      <w:hyperlink r:id="rId21" w:tgtFrame="_blank" w:tooltip="Odločba o delni razveljavitvi tretjega odstavka 184.člena in prve povedi četrtega odstavka 184.člena Družinskega zakonika" w:history="1">
        <w:r w:rsidRPr="00721DA2">
          <w:rPr>
            <w:rFonts w:eastAsia="Calibri" w:cs="Arial"/>
            <w:sz w:val="16"/>
            <w:szCs w:val="16"/>
            <w:u w:val="single"/>
            <w:shd w:val="clear" w:color="auto" w:fill="FFFFFF"/>
          </w:rPr>
          <w:t>34/24</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odl</w:t>
      </w:r>
      <w:proofErr w:type="spellEnd"/>
      <w:r w:rsidRPr="00721DA2">
        <w:rPr>
          <w:rFonts w:eastAsia="Calibri" w:cs="Arial"/>
          <w:sz w:val="16"/>
          <w:szCs w:val="16"/>
          <w:shd w:val="clear" w:color="auto" w:fill="FFFFFF"/>
        </w:rPr>
        <w:t>. US</w:t>
      </w:r>
      <w:r>
        <w:rPr>
          <w:rFonts w:eastAsia="Calibri" w:cs="Arial"/>
          <w:sz w:val="16"/>
          <w:szCs w:val="16"/>
          <w:shd w:val="clear" w:color="auto" w:fill="FFFFFF"/>
        </w:rPr>
        <w:t>.</w:t>
      </w:r>
      <w:r w:rsidRPr="00721DA2">
        <w:rPr>
          <w:rFonts w:eastAsia="Calibri" w:cs="Arial"/>
          <w:sz w:val="16"/>
          <w:szCs w:val="16"/>
          <w:shd w:val="clear" w:color="auto" w:fill="FFFFFF"/>
        </w:rPr>
        <w:t xml:space="preserve"> </w:t>
      </w:r>
    </w:p>
  </w:footnote>
  <w:footnote w:id="18">
    <w:p w14:paraId="6EF3C8C9" w14:textId="77777777" w:rsidR="00A155A2" w:rsidRPr="00721DA2" w:rsidRDefault="00A155A2" w:rsidP="00A155A2">
      <w:pPr>
        <w:pStyle w:val="Sprotnaopomba-besedilo"/>
      </w:pPr>
      <w:r w:rsidRPr="00721DA2">
        <w:rPr>
          <w:rStyle w:val="Sprotnaopomba-sklic"/>
        </w:rPr>
        <w:footnoteRef/>
      </w:r>
      <w:r w:rsidRPr="00721DA2">
        <w:t xml:space="preserve"> </w:t>
      </w:r>
      <w:r w:rsidRPr="00721DA2">
        <w:rPr>
          <w:rFonts w:eastAsia="Calibri" w:cs="Arial"/>
          <w:sz w:val="16"/>
          <w:szCs w:val="16"/>
          <w:shd w:val="clear" w:color="auto" w:fill="FFFFFF"/>
        </w:rPr>
        <w:t>Uradni list RS, št. </w:t>
      </w:r>
      <w:hyperlink r:id="rId22" w:tgtFrame="_blank" w:tooltip="Zakon o splošnem upravnem postopku (uradno prečiščeno besedilo) (ZUP-UPB2)" w:history="1">
        <w:r w:rsidRPr="00721DA2">
          <w:rPr>
            <w:rFonts w:eastAsia="Calibri" w:cs="Arial"/>
            <w:sz w:val="16"/>
            <w:szCs w:val="16"/>
            <w:u w:val="single"/>
            <w:shd w:val="clear" w:color="auto" w:fill="FFFFFF"/>
          </w:rPr>
          <w:t>24/06</w:t>
        </w:r>
      </w:hyperlink>
      <w:r w:rsidRPr="00721DA2">
        <w:rPr>
          <w:rFonts w:eastAsia="Calibri" w:cs="Arial"/>
          <w:sz w:val="16"/>
          <w:szCs w:val="16"/>
          <w:shd w:val="clear" w:color="auto" w:fill="FFFFFF"/>
        </w:rPr>
        <w:t> – uradno prečiščeno besedilo, </w:t>
      </w:r>
      <w:hyperlink r:id="rId23" w:tgtFrame="_blank" w:tooltip="Zakon o upravnem sporu (ZUS-1)" w:history="1">
        <w:r w:rsidRPr="00721DA2">
          <w:rPr>
            <w:rFonts w:eastAsia="Calibri" w:cs="Arial"/>
            <w:sz w:val="16"/>
            <w:szCs w:val="16"/>
            <w:u w:val="single"/>
            <w:shd w:val="clear" w:color="auto" w:fill="FFFFFF"/>
          </w:rPr>
          <w:t>105/06</w:t>
        </w:r>
      </w:hyperlink>
      <w:r w:rsidRPr="00721DA2">
        <w:rPr>
          <w:rFonts w:eastAsia="Calibri" w:cs="Arial"/>
          <w:sz w:val="16"/>
          <w:szCs w:val="16"/>
          <w:shd w:val="clear" w:color="auto" w:fill="FFFFFF"/>
        </w:rPr>
        <w:t> – ZUS-1, </w:t>
      </w:r>
      <w:hyperlink r:id="rId24" w:tgtFrame="_blank" w:tooltip="Zakon o spremembah in dopolnitvah Zakona o splošnem upravnem postopku (ZUP-E)" w:history="1">
        <w:r w:rsidRPr="00721DA2">
          <w:rPr>
            <w:rFonts w:eastAsia="Calibri" w:cs="Arial"/>
            <w:sz w:val="16"/>
            <w:szCs w:val="16"/>
            <w:u w:val="single"/>
            <w:shd w:val="clear" w:color="auto" w:fill="FFFFFF"/>
          </w:rPr>
          <w:t>126/07</w:t>
        </w:r>
      </w:hyperlink>
      <w:r w:rsidRPr="00721DA2">
        <w:rPr>
          <w:rFonts w:eastAsia="Calibri" w:cs="Arial"/>
          <w:sz w:val="16"/>
          <w:szCs w:val="16"/>
          <w:shd w:val="clear" w:color="auto" w:fill="FFFFFF"/>
        </w:rPr>
        <w:t>, </w:t>
      </w:r>
      <w:hyperlink r:id="rId25" w:tgtFrame="_blank" w:tooltip="Zakon o spremembi in dopolnitvah Zakona o splošnem upravnem postopku (ZUP-F)" w:history="1">
        <w:r w:rsidRPr="00721DA2">
          <w:rPr>
            <w:rFonts w:eastAsia="Calibri" w:cs="Arial"/>
            <w:sz w:val="16"/>
            <w:szCs w:val="16"/>
            <w:u w:val="single"/>
            <w:shd w:val="clear" w:color="auto" w:fill="FFFFFF"/>
          </w:rPr>
          <w:t>65/08</w:t>
        </w:r>
      </w:hyperlink>
      <w:r w:rsidRPr="00721DA2">
        <w:rPr>
          <w:rFonts w:eastAsia="Calibri" w:cs="Arial"/>
          <w:sz w:val="16"/>
          <w:szCs w:val="16"/>
          <w:shd w:val="clear" w:color="auto" w:fill="FFFFFF"/>
        </w:rPr>
        <w:t>, </w:t>
      </w:r>
      <w:hyperlink r:id="rId26" w:tgtFrame="_blank" w:tooltip="Zakon o spremembah in dopolnitvah Zakona o splošnem upravnem postopku (ZUP-G)" w:history="1">
        <w:r w:rsidRPr="00721DA2">
          <w:rPr>
            <w:rFonts w:eastAsia="Calibri" w:cs="Arial"/>
            <w:sz w:val="16"/>
            <w:szCs w:val="16"/>
            <w:u w:val="single"/>
            <w:shd w:val="clear" w:color="auto" w:fill="FFFFFF"/>
          </w:rPr>
          <w:t>8/10</w:t>
        </w:r>
      </w:hyperlink>
      <w:r w:rsidRPr="00721DA2">
        <w:rPr>
          <w:rFonts w:eastAsia="Calibri" w:cs="Arial"/>
          <w:sz w:val="16"/>
          <w:szCs w:val="16"/>
          <w:shd w:val="clear" w:color="auto" w:fill="FFFFFF"/>
        </w:rPr>
        <w:t>, </w:t>
      </w:r>
      <w:hyperlink r:id="rId27" w:tgtFrame="_blank" w:tooltip="Zakon o spremembah in dopolnitvi Zakona o splošnem upravnem postopku (ZUP-H)" w:history="1">
        <w:r w:rsidRPr="00721DA2">
          <w:rPr>
            <w:rFonts w:eastAsia="Calibri" w:cs="Arial"/>
            <w:sz w:val="16"/>
            <w:szCs w:val="16"/>
            <w:u w:val="single"/>
            <w:shd w:val="clear" w:color="auto" w:fill="FFFFFF"/>
          </w:rPr>
          <w:t>82/13</w:t>
        </w:r>
      </w:hyperlink>
      <w:r w:rsidRPr="00721DA2">
        <w:rPr>
          <w:rFonts w:eastAsia="Calibri" w:cs="Arial"/>
          <w:sz w:val="16"/>
          <w:szCs w:val="16"/>
          <w:shd w:val="clear" w:color="auto" w:fill="FFFFFF"/>
        </w:rPr>
        <w:t>, </w:t>
      </w:r>
      <w:hyperlink r:id="rId28" w:tgtFrame="_blank" w:tooltip="Zakon o interventnih ukrepih za omilitev posledic drugega vala epidemije COVID-19 (ZIUOPDVE)" w:history="1">
        <w:r w:rsidRPr="00721DA2">
          <w:rPr>
            <w:rFonts w:eastAsia="Calibri" w:cs="Arial"/>
            <w:sz w:val="16"/>
            <w:szCs w:val="16"/>
            <w:u w:val="single"/>
            <w:shd w:val="clear" w:color="auto" w:fill="FFFFFF"/>
          </w:rPr>
          <w:t>175/20</w:t>
        </w:r>
      </w:hyperlink>
      <w:r w:rsidRPr="00721DA2">
        <w:rPr>
          <w:rFonts w:eastAsia="Calibri" w:cs="Arial"/>
          <w:sz w:val="16"/>
          <w:szCs w:val="16"/>
          <w:shd w:val="clear" w:color="auto" w:fill="FFFFFF"/>
        </w:rPr>
        <w:t> – ZIUOPDVE in </w:t>
      </w:r>
      <w:hyperlink r:id="rId29" w:tgtFrame="_blank" w:tooltip="Zakon o debirokratizaciji (ZDeb)" w:history="1">
        <w:r w:rsidRPr="00721DA2">
          <w:rPr>
            <w:rFonts w:eastAsia="Calibri" w:cs="Arial"/>
            <w:sz w:val="16"/>
            <w:szCs w:val="16"/>
            <w:u w:val="single"/>
            <w:shd w:val="clear" w:color="auto" w:fill="FFFFFF"/>
          </w:rPr>
          <w:t>3/22</w:t>
        </w:r>
      </w:hyperlink>
      <w:r w:rsidRPr="00721DA2">
        <w:rPr>
          <w:rFonts w:eastAsia="Calibri" w:cs="Arial"/>
          <w:sz w:val="16"/>
          <w:szCs w:val="16"/>
          <w:shd w:val="clear" w:color="auto" w:fill="FFFFFF"/>
        </w:rPr>
        <w:t xml:space="preserve"> – </w:t>
      </w:r>
      <w:proofErr w:type="spellStart"/>
      <w:r w:rsidRPr="00721DA2">
        <w:rPr>
          <w:rFonts w:eastAsia="Calibri" w:cs="Arial"/>
          <w:sz w:val="16"/>
          <w:szCs w:val="16"/>
          <w:shd w:val="clear" w:color="auto" w:fill="FFFFFF"/>
        </w:rPr>
        <w:t>ZDeb</w:t>
      </w:r>
      <w:proofErr w:type="spellEnd"/>
      <w:r>
        <w:rPr>
          <w:rFonts w:eastAsia="Calibri" w:cs="Arial"/>
          <w:sz w:val="16"/>
          <w:szCs w:val="16"/>
          <w:shd w:val="clear" w:color="auto" w:fill="FFFFFF"/>
        </w:rPr>
        <w:t>.</w:t>
      </w:r>
    </w:p>
  </w:footnote>
  <w:footnote w:id="19">
    <w:p w14:paraId="196ACABF" w14:textId="77777777" w:rsidR="00A155A2" w:rsidRPr="00245B41" w:rsidRDefault="00A155A2" w:rsidP="00A155A2">
      <w:pPr>
        <w:pStyle w:val="Sprotnaopomba-besedilo"/>
        <w:rPr>
          <w:rFonts w:cs="Arial"/>
          <w:sz w:val="16"/>
          <w:szCs w:val="16"/>
        </w:rPr>
      </w:pPr>
      <w:r w:rsidRPr="00721DA2">
        <w:rPr>
          <w:rStyle w:val="Sprotnaopomba-sklic"/>
          <w:rFonts w:cs="Arial"/>
          <w:sz w:val="16"/>
          <w:szCs w:val="16"/>
        </w:rPr>
        <w:footnoteRef/>
      </w:r>
      <w:r w:rsidRPr="00721DA2">
        <w:rPr>
          <w:rFonts w:cs="Arial"/>
          <w:sz w:val="16"/>
          <w:szCs w:val="16"/>
        </w:rPr>
        <w:t xml:space="preserve"> </w:t>
      </w:r>
      <w:r w:rsidRPr="00721DA2">
        <w:rPr>
          <w:rFonts w:eastAsia="Calibri" w:cs="Arial"/>
          <w:sz w:val="16"/>
          <w:szCs w:val="16"/>
          <w:shd w:val="clear" w:color="auto" w:fill="FFFFFF"/>
        </w:rPr>
        <w:t>Uradni list RS, št. </w:t>
      </w:r>
      <w:hyperlink r:id="rId30" w:tgtFrame="_blank" w:tooltip="Zakon o nujnem posredovanju za obravnavo visokih cen energije (ZNPOVCE)" w:history="1">
        <w:r w:rsidRPr="00721DA2">
          <w:rPr>
            <w:rFonts w:eastAsia="Calibri" w:cs="Arial"/>
            <w:sz w:val="16"/>
            <w:szCs w:val="16"/>
            <w:u w:val="single"/>
            <w:shd w:val="clear" w:color="auto" w:fill="FFFFFF"/>
          </w:rPr>
          <w:t>158/22</w:t>
        </w:r>
      </w:hyperlink>
      <w:r w:rsidRPr="00721DA2">
        <w:rPr>
          <w:rFonts w:eastAsia="Calibri" w:cs="Arial"/>
          <w:sz w:val="16"/>
          <w:szCs w:val="16"/>
          <w:shd w:val="clear" w:color="auto" w:fill="FFFFFF"/>
        </w:rPr>
        <w:t> in </w:t>
      </w:r>
      <w:hyperlink r:id="rId31" w:tgtFrame="_blank" w:tooltip="Zakon o spremembah Zakona o nujnem posredovanju za obravnavo visokih cen energije (ZNPOVCE-A)" w:history="1">
        <w:r w:rsidRPr="00721DA2">
          <w:rPr>
            <w:rFonts w:eastAsia="Calibri" w:cs="Arial"/>
            <w:sz w:val="16"/>
            <w:szCs w:val="16"/>
            <w:u w:val="single"/>
            <w:shd w:val="clear" w:color="auto" w:fill="FFFFFF"/>
          </w:rPr>
          <w:t>49/23</w:t>
        </w:r>
      </w:hyperlink>
      <w:r>
        <w:rPr>
          <w:rFonts w:eastAsia="Calibri" w:cs="Arial"/>
          <w:sz w:val="16"/>
          <w:szCs w:val="16"/>
          <w:shd w:val="clear" w:color="auto" w:fill="FFFFFF"/>
        </w:rPr>
        <w:t>.</w:t>
      </w:r>
    </w:p>
  </w:footnote>
  <w:footnote w:id="20">
    <w:p w14:paraId="30F0C174" w14:textId="77777777" w:rsidR="00A155A2" w:rsidRPr="00721DA2" w:rsidRDefault="00A155A2" w:rsidP="00A155A2">
      <w:pPr>
        <w:pStyle w:val="Sprotnaopomba-besedilo"/>
        <w:rPr>
          <w:rFonts w:cs="Arial"/>
          <w:sz w:val="16"/>
          <w:szCs w:val="16"/>
        </w:rPr>
      </w:pPr>
      <w:r w:rsidRPr="00721DA2">
        <w:rPr>
          <w:rStyle w:val="Sprotnaopomba-sklic"/>
          <w:rFonts w:cs="Arial"/>
          <w:sz w:val="16"/>
          <w:szCs w:val="16"/>
        </w:rPr>
        <w:footnoteRef/>
      </w:r>
      <w:r w:rsidRPr="00721DA2">
        <w:rPr>
          <w:rFonts w:cs="Arial"/>
          <w:sz w:val="16"/>
          <w:szCs w:val="16"/>
        </w:rPr>
        <w:t xml:space="preserve"> </w:t>
      </w:r>
      <w:r w:rsidRPr="00721DA2">
        <w:rPr>
          <w:rFonts w:eastAsia="Calibri" w:cs="Arial"/>
          <w:sz w:val="16"/>
          <w:szCs w:val="16"/>
          <w:shd w:val="clear" w:color="auto" w:fill="FFFFFF"/>
        </w:rPr>
        <w:t>Uradni list RS, št. </w:t>
      </w:r>
      <w:hyperlink r:id="rId32" w:tgtFrame="_blank" w:tooltip="Zakon o spremembah in dopolnitvah Zakona o odpravi posledic naravnih nesreč (ZOPNN-F)" w:history="1">
        <w:r w:rsidRPr="00721DA2">
          <w:rPr>
            <w:rFonts w:eastAsia="Calibri" w:cs="Arial"/>
            <w:sz w:val="16"/>
            <w:szCs w:val="16"/>
            <w:u w:val="single"/>
            <w:shd w:val="clear" w:color="auto" w:fill="FFFFFF"/>
          </w:rPr>
          <w:t>88/23</w:t>
        </w:r>
      </w:hyperlink>
      <w:r w:rsidRPr="00721DA2">
        <w:rPr>
          <w:rFonts w:eastAsia="Calibri" w:cs="Arial"/>
          <w:sz w:val="16"/>
          <w:szCs w:val="16"/>
          <w:shd w:val="clear" w:color="auto" w:fill="FFFFFF"/>
        </w:rPr>
        <w:t>, </w:t>
      </w:r>
      <w:hyperlink r:id="rId33" w:tgtFrame="_blank" w:tooltip="Zakon o interventnih ukrepih za odpravo posledic poplav in zemeljskih plazov iz avgusta 2023 (ZIUOPZP)" w:history="1">
        <w:r w:rsidRPr="00721DA2">
          <w:rPr>
            <w:rFonts w:eastAsia="Calibri" w:cs="Arial"/>
            <w:sz w:val="16"/>
            <w:szCs w:val="16"/>
            <w:u w:val="single"/>
            <w:shd w:val="clear" w:color="auto" w:fill="FFFFFF"/>
          </w:rPr>
          <w:t>95/23</w:t>
        </w:r>
      </w:hyperlink>
      <w:r w:rsidRPr="00721DA2">
        <w:rPr>
          <w:rFonts w:eastAsia="Calibri" w:cs="Arial"/>
          <w:sz w:val="16"/>
          <w:szCs w:val="16"/>
          <w:shd w:val="clear" w:color="auto" w:fill="FFFFFF"/>
        </w:rPr>
        <w:t> – ZIUOPZP in </w:t>
      </w:r>
      <w:hyperlink r:id="rId34" w:tgtFrame="_blank" w:tooltip="Zakon o spremembah in dopolnitvah Zakona o interventnih ukrepih za odpravo posledic poplav in zemeljskih plazov iz avgusta 2023 (ZIUOPZP-A)" w:history="1">
        <w:r w:rsidRPr="00721DA2">
          <w:rPr>
            <w:rFonts w:eastAsia="Calibri" w:cs="Arial"/>
            <w:sz w:val="16"/>
            <w:szCs w:val="16"/>
            <w:u w:val="single"/>
            <w:shd w:val="clear" w:color="auto" w:fill="FFFFFF"/>
          </w:rPr>
          <w:t>117/23</w:t>
        </w:r>
      </w:hyperlink>
      <w:r w:rsidRPr="00721DA2">
        <w:rPr>
          <w:rFonts w:eastAsia="Calibri" w:cs="Arial"/>
          <w:sz w:val="16"/>
          <w:szCs w:val="16"/>
          <w:shd w:val="clear" w:color="auto" w:fill="FFFFFF"/>
        </w:rPr>
        <w:t> – ZIUOPZP-A</w:t>
      </w:r>
      <w:r>
        <w:rPr>
          <w:rFonts w:eastAsia="Calibri" w:cs="Arial"/>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C54"/>
    <w:multiLevelType w:val="hybridMultilevel"/>
    <w:tmpl w:val="56FC868A"/>
    <w:lvl w:ilvl="0" w:tplc="76AC1A70">
      <w:start w:val="49"/>
      <w:numFmt w:val="bullet"/>
      <w:lvlText w:val=""/>
      <w:lvlJc w:val="left"/>
      <w:pPr>
        <w:ind w:left="-1536" w:hanging="360"/>
      </w:pPr>
      <w:rPr>
        <w:rFonts w:ascii="Symbol" w:eastAsia="Times New Roman" w:hAnsi="Symbol" w:cs="Times New Roman" w:hint="default"/>
      </w:rPr>
    </w:lvl>
    <w:lvl w:ilvl="1" w:tplc="04240003" w:tentative="1">
      <w:start w:val="1"/>
      <w:numFmt w:val="bullet"/>
      <w:lvlText w:val="o"/>
      <w:lvlJc w:val="left"/>
      <w:pPr>
        <w:ind w:left="-816" w:hanging="360"/>
      </w:pPr>
      <w:rPr>
        <w:rFonts w:ascii="Courier New" w:hAnsi="Courier New" w:cs="Courier New" w:hint="default"/>
      </w:rPr>
    </w:lvl>
    <w:lvl w:ilvl="2" w:tplc="04240005" w:tentative="1">
      <w:start w:val="1"/>
      <w:numFmt w:val="bullet"/>
      <w:lvlText w:val=""/>
      <w:lvlJc w:val="left"/>
      <w:pPr>
        <w:ind w:left="-96" w:hanging="360"/>
      </w:pPr>
      <w:rPr>
        <w:rFonts w:ascii="Wingdings" w:hAnsi="Wingdings" w:hint="default"/>
      </w:rPr>
    </w:lvl>
    <w:lvl w:ilvl="3" w:tplc="04240001" w:tentative="1">
      <w:start w:val="1"/>
      <w:numFmt w:val="bullet"/>
      <w:lvlText w:val=""/>
      <w:lvlJc w:val="left"/>
      <w:pPr>
        <w:ind w:left="624" w:hanging="360"/>
      </w:pPr>
      <w:rPr>
        <w:rFonts w:ascii="Symbol" w:hAnsi="Symbol" w:hint="default"/>
      </w:rPr>
    </w:lvl>
    <w:lvl w:ilvl="4" w:tplc="04240003" w:tentative="1">
      <w:start w:val="1"/>
      <w:numFmt w:val="bullet"/>
      <w:lvlText w:val="o"/>
      <w:lvlJc w:val="left"/>
      <w:pPr>
        <w:ind w:left="1344" w:hanging="360"/>
      </w:pPr>
      <w:rPr>
        <w:rFonts w:ascii="Courier New" w:hAnsi="Courier New" w:cs="Courier New" w:hint="default"/>
      </w:rPr>
    </w:lvl>
    <w:lvl w:ilvl="5" w:tplc="04240005" w:tentative="1">
      <w:start w:val="1"/>
      <w:numFmt w:val="bullet"/>
      <w:lvlText w:val=""/>
      <w:lvlJc w:val="left"/>
      <w:pPr>
        <w:ind w:left="2064" w:hanging="360"/>
      </w:pPr>
      <w:rPr>
        <w:rFonts w:ascii="Wingdings" w:hAnsi="Wingdings" w:hint="default"/>
      </w:rPr>
    </w:lvl>
    <w:lvl w:ilvl="6" w:tplc="04240001" w:tentative="1">
      <w:start w:val="1"/>
      <w:numFmt w:val="bullet"/>
      <w:lvlText w:val=""/>
      <w:lvlJc w:val="left"/>
      <w:pPr>
        <w:ind w:left="2784" w:hanging="360"/>
      </w:pPr>
      <w:rPr>
        <w:rFonts w:ascii="Symbol" w:hAnsi="Symbol" w:hint="default"/>
      </w:rPr>
    </w:lvl>
    <w:lvl w:ilvl="7" w:tplc="04240003" w:tentative="1">
      <w:start w:val="1"/>
      <w:numFmt w:val="bullet"/>
      <w:lvlText w:val="o"/>
      <w:lvlJc w:val="left"/>
      <w:pPr>
        <w:ind w:left="3504" w:hanging="360"/>
      </w:pPr>
      <w:rPr>
        <w:rFonts w:ascii="Courier New" w:hAnsi="Courier New" w:cs="Courier New" w:hint="default"/>
      </w:rPr>
    </w:lvl>
    <w:lvl w:ilvl="8" w:tplc="04240005" w:tentative="1">
      <w:start w:val="1"/>
      <w:numFmt w:val="bullet"/>
      <w:lvlText w:val=""/>
      <w:lvlJc w:val="left"/>
      <w:pPr>
        <w:ind w:left="4224" w:hanging="360"/>
      </w:pPr>
      <w:rPr>
        <w:rFonts w:ascii="Wingdings" w:hAnsi="Wingdings" w:hint="default"/>
      </w:rPr>
    </w:lvl>
  </w:abstractNum>
  <w:abstractNum w:abstractNumId="1" w15:restartNumberingAfterBreak="0">
    <w:nsid w:val="064C45FA"/>
    <w:multiLevelType w:val="hybridMultilevel"/>
    <w:tmpl w:val="F51E04EC"/>
    <w:lvl w:ilvl="0" w:tplc="7D64DAE8">
      <w:start w:val="31"/>
      <w:numFmt w:val="bullet"/>
      <w:lvlText w:val="-"/>
      <w:lvlJc w:val="left"/>
      <w:pPr>
        <w:ind w:left="720" w:hanging="360"/>
      </w:pPr>
      <w:rPr>
        <w:rFonts w:ascii="Arial" w:eastAsia="Times New Roman" w:hAnsi="Arial" w:cs="Arial" w:hint="default"/>
      </w:rPr>
    </w:lvl>
    <w:lvl w:ilvl="1" w:tplc="22AA4D56">
      <w:numFmt w:val="bullet"/>
      <w:lvlText w:val="•"/>
      <w:lvlJc w:val="left"/>
      <w:pPr>
        <w:ind w:left="1788" w:hanging="708"/>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9A24585"/>
    <w:multiLevelType w:val="hybridMultilevel"/>
    <w:tmpl w:val="52BA02E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A1E59DB"/>
    <w:multiLevelType w:val="hybridMultilevel"/>
    <w:tmpl w:val="EFF408B8"/>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1266DE"/>
    <w:multiLevelType w:val="hybridMultilevel"/>
    <w:tmpl w:val="5A04BB5C"/>
    <w:lvl w:ilvl="0" w:tplc="89CA91F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F10DB8"/>
    <w:multiLevelType w:val="hybridMultilevel"/>
    <w:tmpl w:val="13AC2F4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E1247D"/>
    <w:multiLevelType w:val="hybridMultilevel"/>
    <w:tmpl w:val="EF682A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356F8E"/>
    <w:multiLevelType w:val="hybridMultilevel"/>
    <w:tmpl w:val="1716E5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40542C"/>
    <w:multiLevelType w:val="hybridMultilevel"/>
    <w:tmpl w:val="BFE0A6FA"/>
    <w:lvl w:ilvl="0" w:tplc="76AC1A70">
      <w:start w:val="49"/>
      <w:numFmt w:val="bullet"/>
      <w:lvlText w:val=""/>
      <w:lvlJc w:val="left"/>
      <w:pPr>
        <w:ind w:left="720" w:hanging="360"/>
      </w:pPr>
      <w:rPr>
        <w:rFonts w:ascii="Symbol" w:eastAsia="Times New Roman" w:hAnsi="Symbol"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224C53"/>
    <w:multiLevelType w:val="hybridMultilevel"/>
    <w:tmpl w:val="A306C804"/>
    <w:lvl w:ilvl="0" w:tplc="BA04DF14">
      <w:start w:val="6"/>
      <w:numFmt w:val="bullet"/>
      <w:lvlText w:val=""/>
      <w:lvlJc w:val="left"/>
      <w:pPr>
        <w:ind w:left="720" w:hanging="360"/>
      </w:pPr>
      <w:rPr>
        <w:rFonts w:ascii="Symbol" w:eastAsia="Calibri" w:hAnsi="Symbol"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B810E5"/>
    <w:multiLevelType w:val="hybridMultilevel"/>
    <w:tmpl w:val="8D322438"/>
    <w:lvl w:ilvl="0" w:tplc="76AC1A70">
      <w:start w:val="49"/>
      <w:numFmt w:val="bullet"/>
      <w:lvlText w:val=""/>
      <w:lvlJc w:val="left"/>
      <w:pPr>
        <w:ind w:left="1428" w:hanging="360"/>
      </w:pPr>
      <w:rPr>
        <w:rFonts w:ascii="Symbol" w:eastAsia="Times New Roman" w:hAnsi="Symbol"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3426DCA"/>
    <w:multiLevelType w:val="hybridMultilevel"/>
    <w:tmpl w:val="353ED5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407060"/>
    <w:multiLevelType w:val="hybridMultilevel"/>
    <w:tmpl w:val="CFEE5FA2"/>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2" w15:restartNumberingAfterBreak="0">
    <w:nsid w:val="47CC33E0"/>
    <w:multiLevelType w:val="hybridMultilevel"/>
    <w:tmpl w:val="B6DCADA6"/>
    <w:lvl w:ilvl="0" w:tplc="427883A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73403"/>
    <w:multiLevelType w:val="hybridMultilevel"/>
    <w:tmpl w:val="61FEC9A8"/>
    <w:lvl w:ilvl="0" w:tplc="8C3C5A98">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292307"/>
    <w:multiLevelType w:val="hybridMultilevel"/>
    <w:tmpl w:val="0DC81A78"/>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693218"/>
    <w:multiLevelType w:val="hybridMultilevel"/>
    <w:tmpl w:val="F49485F2"/>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C142C2"/>
    <w:multiLevelType w:val="hybridMultilevel"/>
    <w:tmpl w:val="BBB6E82E"/>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9" w15:restartNumberingAfterBreak="0">
    <w:nsid w:val="6EF86B36"/>
    <w:multiLevelType w:val="hybridMultilevel"/>
    <w:tmpl w:val="A976996A"/>
    <w:lvl w:ilvl="0" w:tplc="226E4734">
      <w:start w:val="1"/>
      <w:numFmt w:val="bullet"/>
      <w:lvlText w:val=""/>
      <w:lvlJc w:val="left"/>
      <w:pPr>
        <w:ind w:left="678" w:hanging="360"/>
      </w:pPr>
      <w:rPr>
        <w:rFonts w:ascii="Symbol" w:hAnsi="Symbol" w:hint="default"/>
      </w:rPr>
    </w:lvl>
    <w:lvl w:ilvl="1" w:tplc="04240003" w:tentative="1">
      <w:start w:val="1"/>
      <w:numFmt w:val="bullet"/>
      <w:lvlText w:val="o"/>
      <w:lvlJc w:val="left"/>
      <w:pPr>
        <w:ind w:left="1398" w:hanging="360"/>
      </w:pPr>
      <w:rPr>
        <w:rFonts w:ascii="Courier New" w:hAnsi="Courier New" w:cs="Courier New" w:hint="default"/>
      </w:rPr>
    </w:lvl>
    <w:lvl w:ilvl="2" w:tplc="04240005" w:tentative="1">
      <w:start w:val="1"/>
      <w:numFmt w:val="bullet"/>
      <w:lvlText w:val=""/>
      <w:lvlJc w:val="left"/>
      <w:pPr>
        <w:ind w:left="2118" w:hanging="360"/>
      </w:pPr>
      <w:rPr>
        <w:rFonts w:ascii="Wingdings" w:hAnsi="Wingdings" w:hint="default"/>
      </w:rPr>
    </w:lvl>
    <w:lvl w:ilvl="3" w:tplc="04240001" w:tentative="1">
      <w:start w:val="1"/>
      <w:numFmt w:val="bullet"/>
      <w:lvlText w:val=""/>
      <w:lvlJc w:val="left"/>
      <w:pPr>
        <w:ind w:left="2838" w:hanging="360"/>
      </w:pPr>
      <w:rPr>
        <w:rFonts w:ascii="Symbol" w:hAnsi="Symbol" w:hint="default"/>
      </w:rPr>
    </w:lvl>
    <w:lvl w:ilvl="4" w:tplc="04240003" w:tentative="1">
      <w:start w:val="1"/>
      <w:numFmt w:val="bullet"/>
      <w:lvlText w:val="o"/>
      <w:lvlJc w:val="left"/>
      <w:pPr>
        <w:ind w:left="3558" w:hanging="360"/>
      </w:pPr>
      <w:rPr>
        <w:rFonts w:ascii="Courier New" w:hAnsi="Courier New" w:cs="Courier New" w:hint="default"/>
      </w:rPr>
    </w:lvl>
    <w:lvl w:ilvl="5" w:tplc="04240005" w:tentative="1">
      <w:start w:val="1"/>
      <w:numFmt w:val="bullet"/>
      <w:lvlText w:val=""/>
      <w:lvlJc w:val="left"/>
      <w:pPr>
        <w:ind w:left="4278" w:hanging="360"/>
      </w:pPr>
      <w:rPr>
        <w:rFonts w:ascii="Wingdings" w:hAnsi="Wingdings" w:hint="default"/>
      </w:rPr>
    </w:lvl>
    <w:lvl w:ilvl="6" w:tplc="04240001" w:tentative="1">
      <w:start w:val="1"/>
      <w:numFmt w:val="bullet"/>
      <w:lvlText w:val=""/>
      <w:lvlJc w:val="left"/>
      <w:pPr>
        <w:ind w:left="4998" w:hanging="360"/>
      </w:pPr>
      <w:rPr>
        <w:rFonts w:ascii="Symbol" w:hAnsi="Symbol" w:hint="default"/>
      </w:rPr>
    </w:lvl>
    <w:lvl w:ilvl="7" w:tplc="04240003" w:tentative="1">
      <w:start w:val="1"/>
      <w:numFmt w:val="bullet"/>
      <w:lvlText w:val="o"/>
      <w:lvlJc w:val="left"/>
      <w:pPr>
        <w:ind w:left="5718" w:hanging="360"/>
      </w:pPr>
      <w:rPr>
        <w:rFonts w:ascii="Courier New" w:hAnsi="Courier New" w:cs="Courier New" w:hint="default"/>
      </w:rPr>
    </w:lvl>
    <w:lvl w:ilvl="8" w:tplc="04240005" w:tentative="1">
      <w:start w:val="1"/>
      <w:numFmt w:val="bullet"/>
      <w:lvlText w:val=""/>
      <w:lvlJc w:val="left"/>
      <w:pPr>
        <w:ind w:left="6438" w:hanging="360"/>
      </w:pPr>
      <w:rPr>
        <w:rFonts w:ascii="Wingdings" w:hAnsi="Wingdings" w:hint="default"/>
      </w:rPr>
    </w:lvl>
  </w:abstractNum>
  <w:abstractNum w:abstractNumId="30" w15:restartNumberingAfterBreak="0">
    <w:nsid w:val="71922DA4"/>
    <w:multiLevelType w:val="hybridMultilevel"/>
    <w:tmpl w:val="3D2C295E"/>
    <w:lvl w:ilvl="0" w:tplc="8C3C5A98">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932012"/>
    <w:multiLevelType w:val="hybridMultilevel"/>
    <w:tmpl w:val="6E38E13C"/>
    <w:lvl w:ilvl="0" w:tplc="BCF21006">
      <w:start w:val="2"/>
      <w:numFmt w:val="bullet"/>
      <w:lvlText w:val="–"/>
      <w:lvlJc w:val="left"/>
      <w:pPr>
        <w:ind w:left="502"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4C33403"/>
    <w:multiLevelType w:val="hybridMultilevel"/>
    <w:tmpl w:val="C0DEA726"/>
    <w:lvl w:ilvl="0" w:tplc="91F88120">
      <w:start w:val="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C568BB"/>
    <w:multiLevelType w:val="hybridMultilevel"/>
    <w:tmpl w:val="D9A07B08"/>
    <w:lvl w:ilvl="0" w:tplc="C5E80B78">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A3D4A9F"/>
    <w:multiLevelType w:val="hybridMultilevel"/>
    <w:tmpl w:val="FAF420F8"/>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5" w15:restartNumberingAfterBreak="0">
    <w:nsid w:val="7B373F17"/>
    <w:multiLevelType w:val="hybridMultilevel"/>
    <w:tmpl w:val="EAFEB14A"/>
    <w:lvl w:ilvl="0" w:tplc="BCF21006">
      <w:start w:val="2"/>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1A52E2"/>
    <w:multiLevelType w:val="hybridMultilevel"/>
    <w:tmpl w:val="FD16EFEA"/>
    <w:lvl w:ilvl="0" w:tplc="76AC1A70">
      <w:start w:val="49"/>
      <w:numFmt w:val="bullet"/>
      <w:lvlText w:val=""/>
      <w:lvlJc w:val="left"/>
      <w:pPr>
        <w:ind w:left="720" w:hanging="360"/>
      </w:pPr>
      <w:rPr>
        <w:rFonts w:ascii="Symbol" w:eastAsia="Times New Roman" w:hAnsi="Symbol"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2A42A9"/>
    <w:multiLevelType w:val="hybridMultilevel"/>
    <w:tmpl w:val="FFDE904A"/>
    <w:lvl w:ilvl="0" w:tplc="1098D4D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442689">
    <w:abstractNumId w:val="15"/>
  </w:num>
  <w:num w:numId="2" w16cid:durableId="579561118">
    <w:abstractNumId w:val="9"/>
  </w:num>
  <w:num w:numId="3" w16cid:durableId="410473407">
    <w:abstractNumId w:val="24"/>
  </w:num>
  <w:num w:numId="4" w16cid:durableId="1140419244">
    <w:abstractNumId w:val="27"/>
  </w:num>
  <w:num w:numId="5" w16cid:durableId="954601979">
    <w:abstractNumId w:val="17"/>
  </w:num>
  <w:num w:numId="6" w16cid:durableId="173888934">
    <w:abstractNumId w:val="11"/>
  </w:num>
  <w:num w:numId="7" w16cid:durableId="184054211">
    <w:abstractNumId w:val="32"/>
  </w:num>
  <w:num w:numId="8" w16cid:durableId="1574314301">
    <w:abstractNumId w:val="1"/>
  </w:num>
  <w:num w:numId="9" w16cid:durableId="1063135418">
    <w:abstractNumId w:val="29"/>
  </w:num>
  <w:num w:numId="10" w16cid:durableId="623463151">
    <w:abstractNumId w:val="18"/>
  </w:num>
  <w:num w:numId="11" w16cid:durableId="832337641">
    <w:abstractNumId w:val="19"/>
  </w:num>
  <w:num w:numId="12" w16cid:durableId="1026636391">
    <w:abstractNumId w:val="2"/>
  </w:num>
  <w:num w:numId="13" w16cid:durableId="928196092">
    <w:abstractNumId w:val="16"/>
    <w:lvlOverride w:ilvl="0">
      <w:startOverride w:val="1"/>
    </w:lvlOverride>
  </w:num>
  <w:num w:numId="14" w16cid:durableId="1053234835">
    <w:abstractNumId w:val="5"/>
  </w:num>
  <w:num w:numId="15" w16cid:durableId="1422684236">
    <w:abstractNumId w:val="26"/>
  </w:num>
  <w:num w:numId="16" w16cid:durableId="1794059718">
    <w:abstractNumId w:val="7"/>
  </w:num>
  <w:num w:numId="17" w16cid:durableId="359094063">
    <w:abstractNumId w:val="22"/>
  </w:num>
  <w:num w:numId="18" w16cid:durableId="989795313">
    <w:abstractNumId w:val="31"/>
  </w:num>
  <w:num w:numId="19" w16cid:durableId="1359893945">
    <w:abstractNumId w:val="20"/>
  </w:num>
  <w:num w:numId="20" w16cid:durableId="292755735">
    <w:abstractNumId w:val="37"/>
  </w:num>
  <w:num w:numId="21" w16cid:durableId="1363363647">
    <w:abstractNumId w:val="3"/>
  </w:num>
  <w:num w:numId="22" w16cid:durableId="368336387">
    <w:abstractNumId w:val="8"/>
  </w:num>
  <w:num w:numId="23" w16cid:durableId="917131548">
    <w:abstractNumId w:val="10"/>
  </w:num>
  <w:num w:numId="24" w16cid:durableId="1662808297">
    <w:abstractNumId w:val="21"/>
  </w:num>
  <w:num w:numId="25" w16cid:durableId="1633100283">
    <w:abstractNumId w:val="0"/>
  </w:num>
  <w:num w:numId="26" w16cid:durableId="806356613">
    <w:abstractNumId w:val="14"/>
  </w:num>
  <w:num w:numId="27" w16cid:durableId="419067454">
    <w:abstractNumId w:val="34"/>
  </w:num>
  <w:num w:numId="28" w16cid:durableId="219094817">
    <w:abstractNumId w:val="4"/>
  </w:num>
  <w:num w:numId="29" w16cid:durableId="2047560609">
    <w:abstractNumId w:val="28"/>
  </w:num>
  <w:num w:numId="30" w16cid:durableId="230117571">
    <w:abstractNumId w:val="25"/>
  </w:num>
  <w:num w:numId="31" w16cid:durableId="734935094">
    <w:abstractNumId w:val="30"/>
  </w:num>
  <w:num w:numId="32" w16cid:durableId="1279335592">
    <w:abstractNumId w:val="23"/>
  </w:num>
  <w:num w:numId="33" w16cid:durableId="603810892">
    <w:abstractNumId w:val="33"/>
  </w:num>
  <w:num w:numId="34" w16cid:durableId="461196551">
    <w:abstractNumId w:val="35"/>
  </w:num>
  <w:num w:numId="35" w16cid:durableId="1507741792">
    <w:abstractNumId w:val="36"/>
  </w:num>
  <w:num w:numId="36" w16cid:durableId="731847545">
    <w:abstractNumId w:val="12"/>
  </w:num>
  <w:num w:numId="37" w16cid:durableId="573122909">
    <w:abstractNumId w:val="6"/>
  </w:num>
  <w:num w:numId="38" w16cid:durableId="549655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31"/>
    <w:rsid w:val="000451F9"/>
    <w:rsid w:val="0006342D"/>
    <w:rsid w:val="000D08D7"/>
    <w:rsid w:val="000E6327"/>
    <w:rsid w:val="001F7D8D"/>
    <w:rsid w:val="002E4B69"/>
    <w:rsid w:val="005D144A"/>
    <w:rsid w:val="00627CFC"/>
    <w:rsid w:val="006A143D"/>
    <w:rsid w:val="006D553D"/>
    <w:rsid w:val="0073616B"/>
    <w:rsid w:val="007D14FD"/>
    <w:rsid w:val="007D728C"/>
    <w:rsid w:val="007D766D"/>
    <w:rsid w:val="008166AA"/>
    <w:rsid w:val="008D36C5"/>
    <w:rsid w:val="008E6831"/>
    <w:rsid w:val="00944039"/>
    <w:rsid w:val="0098710F"/>
    <w:rsid w:val="009B5A85"/>
    <w:rsid w:val="00A008EC"/>
    <w:rsid w:val="00A155A2"/>
    <w:rsid w:val="00A15E0A"/>
    <w:rsid w:val="00A4100A"/>
    <w:rsid w:val="00AC0F42"/>
    <w:rsid w:val="00AE0A78"/>
    <w:rsid w:val="00B35218"/>
    <w:rsid w:val="00B841D4"/>
    <w:rsid w:val="00BE437C"/>
    <w:rsid w:val="00C252F5"/>
    <w:rsid w:val="00E220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981B"/>
  <w15:chartTrackingRefBased/>
  <w15:docId w15:val="{5C4E1124-2A64-40D7-8667-455A0C18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6831"/>
    <w:pPr>
      <w:spacing w:after="200" w:line="276" w:lineRule="auto"/>
    </w:pPr>
    <w:rPr>
      <w:rFonts w:ascii="Calibri" w:eastAsia="Calibri" w:hAnsi="Calibri" w:cs="Times New Roman"/>
      <w:kern w:val="0"/>
      <w14:ligatures w14:val="none"/>
    </w:rPr>
  </w:style>
  <w:style w:type="paragraph" w:styleId="Naslov1">
    <w:name w:val="heading 1"/>
    <w:aliases w:val="NASLOV"/>
    <w:basedOn w:val="Navaden"/>
    <w:next w:val="Navaden"/>
    <w:link w:val="Naslov1Znak"/>
    <w:qFormat/>
    <w:rsid w:val="008E6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E6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8E683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E683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E683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E683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E683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E683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E683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E683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E683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8E683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E683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E683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E683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E683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E683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E6831"/>
    <w:rPr>
      <w:rFonts w:eastAsiaTheme="majorEastAsia" w:cstheme="majorBidi"/>
      <w:color w:val="272727" w:themeColor="text1" w:themeTint="D8"/>
    </w:rPr>
  </w:style>
  <w:style w:type="paragraph" w:styleId="Naslov">
    <w:name w:val="Title"/>
    <w:basedOn w:val="Navaden"/>
    <w:next w:val="Navaden"/>
    <w:link w:val="NaslovZnak"/>
    <w:uiPriority w:val="10"/>
    <w:qFormat/>
    <w:rsid w:val="008E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E683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E683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E683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E6831"/>
    <w:pPr>
      <w:spacing w:before="160"/>
      <w:jc w:val="center"/>
    </w:pPr>
    <w:rPr>
      <w:i/>
      <w:iCs/>
      <w:color w:val="404040" w:themeColor="text1" w:themeTint="BF"/>
    </w:rPr>
  </w:style>
  <w:style w:type="character" w:customStyle="1" w:styleId="CitatZnak">
    <w:name w:val="Citat Znak"/>
    <w:basedOn w:val="Privzetapisavaodstavka"/>
    <w:link w:val="Citat"/>
    <w:uiPriority w:val="29"/>
    <w:rsid w:val="008E6831"/>
    <w:rPr>
      <w:i/>
      <w:iCs/>
      <w:color w:val="404040" w:themeColor="text1" w:themeTint="BF"/>
    </w:rPr>
  </w:style>
  <w:style w:type="paragraph" w:styleId="Odstavekseznama">
    <w:name w:val="List Paragraph"/>
    <w:basedOn w:val="Navaden"/>
    <w:link w:val="OdstavekseznamaZnak"/>
    <w:uiPriority w:val="34"/>
    <w:qFormat/>
    <w:rsid w:val="008E6831"/>
    <w:pPr>
      <w:ind w:left="720"/>
      <w:contextualSpacing/>
    </w:pPr>
  </w:style>
  <w:style w:type="character" w:styleId="Intenzivenpoudarek">
    <w:name w:val="Intense Emphasis"/>
    <w:basedOn w:val="Privzetapisavaodstavka"/>
    <w:uiPriority w:val="21"/>
    <w:qFormat/>
    <w:rsid w:val="008E6831"/>
    <w:rPr>
      <w:i/>
      <w:iCs/>
      <w:color w:val="0F4761" w:themeColor="accent1" w:themeShade="BF"/>
    </w:rPr>
  </w:style>
  <w:style w:type="paragraph" w:styleId="Intenzivencitat">
    <w:name w:val="Intense Quote"/>
    <w:basedOn w:val="Navaden"/>
    <w:next w:val="Navaden"/>
    <w:link w:val="IntenzivencitatZnak"/>
    <w:uiPriority w:val="30"/>
    <w:qFormat/>
    <w:rsid w:val="008E6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E6831"/>
    <w:rPr>
      <w:i/>
      <w:iCs/>
      <w:color w:val="0F4761" w:themeColor="accent1" w:themeShade="BF"/>
    </w:rPr>
  </w:style>
  <w:style w:type="character" w:styleId="Intenzivensklic">
    <w:name w:val="Intense Reference"/>
    <w:basedOn w:val="Privzetapisavaodstavka"/>
    <w:uiPriority w:val="32"/>
    <w:qFormat/>
    <w:rsid w:val="008E6831"/>
    <w:rPr>
      <w:b/>
      <w:bCs/>
      <w:smallCaps/>
      <w:color w:val="0F4761" w:themeColor="accent1" w:themeShade="BF"/>
      <w:spacing w:val="5"/>
    </w:rPr>
  </w:style>
  <w:style w:type="paragraph" w:styleId="Glava">
    <w:name w:val="header"/>
    <w:basedOn w:val="Navaden"/>
    <w:link w:val="GlavaZnak"/>
    <w:uiPriority w:val="99"/>
    <w:rsid w:val="008E6831"/>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8E6831"/>
    <w:rPr>
      <w:rFonts w:ascii="Arial" w:eastAsia="Times New Roman" w:hAnsi="Arial" w:cs="Times New Roman"/>
      <w:kern w:val="0"/>
      <w:sz w:val="20"/>
      <w:szCs w:val="24"/>
      <w14:ligatures w14:val="none"/>
    </w:rPr>
  </w:style>
  <w:style w:type="character" w:styleId="Hiperpovezava">
    <w:name w:val="Hyperlink"/>
    <w:rsid w:val="008E6831"/>
    <w:rPr>
      <w:color w:val="0000FF"/>
      <w:u w:val="single"/>
    </w:rPr>
  </w:style>
  <w:style w:type="paragraph" w:customStyle="1" w:styleId="Naslovpredpisa">
    <w:name w:val="Naslov_predpisa"/>
    <w:basedOn w:val="Navaden"/>
    <w:link w:val="NaslovpredpisaZnak"/>
    <w:qFormat/>
    <w:rsid w:val="008E6831"/>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E6831"/>
    <w:rPr>
      <w:rFonts w:ascii="Arial" w:eastAsia="Times New Roman" w:hAnsi="Arial" w:cs="Arial"/>
      <w:b/>
      <w:kern w:val="0"/>
      <w:lang w:eastAsia="sl-SI"/>
      <w14:ligatures w14:val="none"/>
    </w:rPr>
  </w:style>
  <w:style w:type="paragraph" w:customStyle="1" w:styleId="Poglavje">
    <w:name w:val="Poglavje"/>
    <w:basedOn w:val="Navaden"/>
    <w:qFormat/>
    <w:rsid w:val="008E683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uiPriority w:val="99"/>
    <w:qFormat/>
    <w:rsid w:val="008E683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uiPriority w:val="99"/>
    <w:rsid w:val="008E6831"/>
    <w:rPr>
      <w:rFonts w:ascii="Arial" w:eastAsia="Times New Roman" w:hAnsi="Arial" w:cs="Arial"/>
      <w:kern w:val="0"/>
      <w:lang w:eastAsia="sl-SI"/>
      <w14:ligatures w14:val="none"/>
    </w:rPr>
  </w:style>
  <w:style w:type="paragraph" w:customStyle="1" w:styleId="Oddelek">
    <w:name w:val="Oddelek"/>
    <w:basedOn w:val="Navaden"/>
    <w:link w:val="OddelekZnak1"/>
    <w:qFormat/>
    <w:rsid w:val="008E683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8E6831"/>
    <w:rPr>
      <w:rFonts w:ascii="Arial" w:eastAsia="Times New Roman" w:hAnsi="Arial" w:cs="Arial"/>
      <w:b/>
      <w:kern w:val="0"/>
      <w:lang w:eastAsia="sl-SI"/>
      <w14:ligatures w14:val="none"/>
    </w:rPr>
  </w:style>
  <w:style w:type="paragraph" w:styleId="Sprotnaopomba-besedilo">
    <w:name w:val="footnote text"/>
    <w:basedOn w:val="Navaden"/>
    <w:link w:val="Sprotnaopomba-besediloZnak"/>
    <w:uiPriority w:val="99"/>
    <w:rsid w:val="008E6831"/>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uiPriority w:val="99"/>
    <w:rsid w:val="008E6831"/>
    <w:rPr>
      <w:rFonts w:ascii="Arial" w:eastAsia="Times New Roman" w:hAnsi="Arial" w:cs="Times New Roman"/>
      <w:kern w:val="0"/>
      <w:sz w:val="20"/>
      <w:szCs w:val="20"/>
      <w14:ligatures w14:val="none"/>
    </w:rPr>
  </w:style>
  <w:style w:type="character" w:styleId="Sprotnaopomba-sklic">
    <w:name w:val="footnote reference"/>
    <w:uiPriority w:val="99"/>
    <w:rsid w:val="008E6831"/>
    <w:rPr>
      <w:vertAlign w:val="superscript"/>
    </w:rPr>
  </w:style>
  <w:style w:type="paragraph" w:styleId="Pripombabesedilo">
    <w:name w:val="annotation text"/>
    <w:basedOn w:val="Navaden"/>
    <w:link w:val="PripombabesediloZnak"/>
    <w:uiPriority w:val="99"/>
    <w:semiHidden/>
    <w:rsid w:val="008E6831"/>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semiHidden/>
    <w:rsid w:val="008E6831"/>
    <w:rPr>
      <w:rFonts w:ascii="Times New Roman" w:eastAsia="Times New Roman" w:hAnsi="Times New Roman" w:cs="Times New Roman"/>
      <w:kern w:val="0"/>
      <w:sz w:val="20"/>
      <w:szCs w:val="20"/>
      <w14:ligatures w14:val="none"/>
    </w:rPr>
  </w:style>
  <w:style w:type="paragraph" w:customStyle="1" w:styleId="Odstavekseznama1">
    <w:name w:val="Odstavek seznama1"/>
    <w:basedOn w:val="Navaden"/>
    <w:qFormat/>
    <w:rsid w:val="008E6831"/>
    <w:pPr>
      <w:spacing w:after="0" w:line="240" w:lineRule="auto"/>
      <w:ind w:left="720"/>
      <w:contextualSpacing/>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8E6831"/>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rsid w:val="00A155A2"/>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A155A2"/>
    <w:rPr>
      <w:rFonts w:ascii="Arial" w:eastAsia="Times New Roman" w:hAnsi="Arial" w:cs="Times New Roman"/>
      <w:kern w:val="0"/>
      <w:sz w:val="20"/>
      <w:szCs w:val="24"/>
      <w14:ligatures w14:val="none"/>
    </w:rPr>
  </w:style>
  <w:style w:type="paragraph" w:styleId="Zgradbadokumenta">
    <w:name w:val="Document Map"/>
    <w:basedOn w:val="Navaden"/>
    <w:link w:val="ZgradbadokumentaZnak"/>
    <w:rsid w:val="00A155A2"/>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A155A2"/>
    <w:rPr>
      <w:rFonts w:ascii="Tahoma" w:eastAsia="Times New Roman" w:hAnsi="Tahoma" w:cs="Tahoma"/>
      <w:kern w:val="0"/>
      <w:sz w:val="16"/>
      <w:szCs w:val="16"/>
      <w14:ligatures w14:val="none"/>
    </w:rPr>
  </w:style>
  <w:style w:type="table" w:styleId="Tabelamrea">
    <w:name w:val="Table Grid"/>
    <w:basedOn w:val="Navadnatabela"/>
    <w:rsid w:val="00A155A2"/>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155A2"/>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A155A2"/>
    <w:pPr>
      <w:tabs>
        <w:tab w:val="left" w:pos="1701"/>
      </w:tabs>
      <w:spacing w:after="0" w:line="260" w:lineRule="exact"/>
      <w:ind w:left="1701" w:hanging="1701"/>
    </w:pPr>
    <w:rPr>
      <w:rFonts w:ascii="Arial" w:eastAsia="Times New Roman" w:hAnsi="Arial"/>
      <w:b/>
      <w:sz w:val="20"/>
      <w:szCs w:val="24"/>
      <w:lang w:val="it-IT"/>
    </w:rPr>
  </w:style>
  <w:style w:type="paragraph" w:customStyle="1" w:styleId="podpisi">
    <w:name w:val="podpisi"/>
    <w:basedOn w:val="Navaden"/>
    <w:qFormat/>
    <w:rsid w:val="00A155A2"/>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A155A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A155A2"/>
    <w:rPr>
      <w:rFonts w:ascii="Arial" w:eastAsia="Times New Roman" w:hAnsi="Arial" w:cs="Arial"/>
      <w:b/>
      <w:bCs/>
      <w:color w:val="000000"/>
      <w:spacing w:val="40"/>
      <w:kern w:val="0"/>
      <w:lang w:eastAsia="sl-SI"/>
      <w14:ligatures w14:val="none"/>
    </w:rPr>
  </w:style>
  <w:style w:type="paragraph" w:customStyle="1" w:styleId="Alineazaodstavkom">
    <w:name w:val="Alinea za odstavkom"/>
    <w:basedOn w:val="Navaden"/>
    <w:link w:val="AlineazaodstavkomZnak"/>
    <w:qFormat/>
    <w:rsid w:val="00A155A2"/>
    <w:pPr>
      <w:numPr>
        <w:numId w:val="14"/>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A155A2"/>
    <w:rPr>
      <w:rFonts w:ascii="Arial" w:eastAsia="Times New Roman" w:hAnsi="Arial" w:cs="Arial"/>
      <w:kern w:val="0"/>
      <w:lang w:eastAsia="sl-SI"/>
      <w14:ligatures w14:val="none"/>
    </w:rPr>
  </w:style>
  <w:style w:type="character" w:styleId="tevilkastrani">
    <w:name w:val="page number"/>
    <w:rsid w:val="00A155A2"/>
  </w:style>
  <w:style w:type="character" w:styleId="Pripombasklic">
    <w:name w:val="annotation reference"/>
    <w:uiPriority w:val="99"/>
    <w:semiHidden/>
    <w:rsid w:val="00A155A2"/>
    <w:rPr>
      <w:sz w:val="16"/>
      <w:szCs w:val="16"/>
    </w:rPr>
  </w:style>
  <w:style w:type="paragraph" w:styleId="Besedilooblaka">
    <w:name w:val="Balloon Text"/>
    <w:basedOn w:val="Navaden"/>
    <w:link w:val="BesedilooblakaZnak"/>
    <w:semiHidden/>
    <w:rsid w:val="00A155A2"/>
    <w:pPr>
      <w:spacing w:after="0" w:line="260" w:lineRule="exact"/>
    </w:pPr>
    <w:rPr>
      <w:rFonts w:ascii="Tahoma" w:eastAsia="Times New Roman" w:hAnsi="Tahoma" w:cs="Tahoma"/>
      <w:sz w:val="16"/>
      <w:szCs w:val="16"/>
    </w:rPr>
  </w:style>
  <w:style w:type="character" w:customStyle="1" w:styleId="BesedilooblakaZnak">
    <w:name w:val="Besedilo oblačka Znak"/>
    <w:basedOn w:val="Privzetapisavaodstavka"/>
    <w:link w:val="Besedilooblaka"/>
    <w:semiHidden/>
    <w:rsid w:val="00A155A2"/>
    <w:rPr>
      <w:rFonts w:ascii="Tahoma" w:eastAsia="Times New Roman" w:hAnsi="Tahoma" w:cs="Tahoma"/>
      <w:kern w:val="0"/>
      <w:sz w:val="16"/>
      <w:szCs w:val="16"/>
      <w14:ligatures w14:val="none"/>
    </w:rPr>
  </w:style>
  <w:style w:type="paragraph" w:customStyle="1" w:styleId="Par-number1">
    <w:name w:val="Par-number 1."/>
    <w:basedOn w:val="Navaden"/>
    <w:next w:val="Navaden"/>
    <w:rsid w:val="00A155A2"/>
    <w:pPr>
      <w:widowControl w:val="0"/>
      <w:numPr>
        <w:numId w:val="11"/>
      </w:numPr>
      <w:spacing w:after="0" w:line="360" w:lineRule="auto"/>
    </w:pPr>
    <w:rPr>
      <w:rFonts w:ascii="Times New Roman" w:eastAsia="Times New Roman" w:hAnsi="Times New Roman"/>
      <w:sz w:val="24"/>
      <w:szCs w:val="20"/>
      <w:lang w:eastAsia="fr-BE"/>
    </w:rPr>
  </w:style>
  <w:style w:type="paragraph" w:customStyle="1" w:styleId="Par-numberi">
    <w:name w:val="Par-number (i)"/>
    <w:basedOn w:val="Navaden"/>
    <w:next w:val="Navaden"/>
    <w:rsid w:val="00A155A2"/>
    <w:pPr>
      <w:widowControl w:val="0"/>
      <w:numPr>
        <w:numId w:val="12"/>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A155A2"/>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semiHidden/>
    <w:rsid w:val="00A155A2"/>
    <w:rPr>
      <w:rFonts w:ascii="Arial" w:eastAsia="Times New Roman" w:hAnsi="Arial" w:cs="Times New Roman"/>
      <w:b/>
      <w:bCs/>
      <w:kern w:val="0"/>
      <w:sz w:val="20"/>
      <w:szCs w:val="20"/>
      <w14:ligatures w14:val="none"/>
    </w:rPr>
  </w:style>
  <w:style w:type="paragraph" w:customStyle="1" w:styleId="Odstavek">
    <w:name w:val="Odstavek"/>
    <w:basedOn w:val="Navaden"/>
    <w:link w:val="OdstavekZnak"/>
    <w:qFormat/>
    <w:rsid w:val="00A155A2"/>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A155A2"/>
    <w:rPr>
      <w:rFonts w:ascii="Arial" w:eastAsia="Times New Roman" w:hAnsi="Arial" w:cs="Arial"/>
      <w:kern w:val="0"/>
      <w:lang w:eastAsia="sl-SI"/>
      <w14:ligatures w14:val="none"/>
    </w:rPr>
  </w:style>
  <w:style w:type="paragraph" w:customStyle="1" w:styleId="Alineazatoko">
    <w:name w:val="Alinea za točko"/>
    <w:basedOn w:val="Navaden"/>
    <w:link w:val="AlineazatokoZnak"/>
    <w:qFormat/>
    <w:rsid w:val="00A155A2"/>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A155A2"/>
    <w:rPr>
      <w:rFonts w:ascii="Arial" w:eastAsia="Times New Roman" w:hAnsi="Arial" w:cs="Arial"/>
      <w:kern w:val="0"/>
      <w:lang w:eastAsia="sl-SI"/>
      <w14:ligatures w14:val="none"/>
    </w:rPr>
  </w:style>
  <w:style w:type="character" w:customStyle="1" w:styleId="rkovnatokazaodstavkomZnak">
    <w:name w:val="Črkovna točka_za odstavkom Znak"/>
    <w:link w:val="rkovnatokazaodstavkom"/>
    <w:rsid w:val="00A155A2"/>
    <w:rPr>
      <w:rFonts w:ascii="Arial" w:hAnsi="Arial"/>
    </w:rPr>
  </w:style>
  <w:style w:type="paragraph" w:customStyle="1" w:styleId="rkovnatokazaodstavkom">
    <w:name w:val="Črkovna točka_za odstavkom"/>
    <w:basedOn w:val="Navaden"/>
    <w:link w:val="rkovnatokazaodstavkomZnak"/>
    <w:qFormat/>
    <w:rsid w:val="00A155A2"/>
    <w:pPr>
      <w:numPr>
        <w:numId w:val="13"/>
      </w:numPr>
      <w:overflowPunct w:val="0"/>
      <w:autoSpaceDE w:val="0"/>
      <w:autoSpaceDN w:val="0"/>
      <w:adjustRightInd w:val="0"/>
      <w:spacing w:after="0" w:line="200" w:lineRule="exact"/>
      <w:jc w:val="both"/>
      <w:textAlignment w:val="baseline"/>
    </w:pPr>
    <w:rPr>
      <w:rFonts w:ascii="Arial" w:eastAsiaTheme="minorHAnsi" w:hAnsi="Arial" w:cstheme="minorBidi"/>
      <w:kern w:val="2"/>
      <w14:ligatures w14:val="standardContextual"/>
    </w:rPr>
  </w:style>
  <w:style w:type="paragraph" w:customStyle="1" w:styleId="Odsek">
    <w:name w:val="Odsek"/>
    <w:basedOn w:val="Oddelek"/>
    <w:link w:val="OdsekZnak"/>
    <w:qFormat/>
    <w:rsid w:val="00A155A2"/>
    <w:pPr>
      <w:numPr>
        <w:numId w:val="10"/>
      </w:numPr>
      <w:ind w:left="0" w:firstLine="0"/>
    </w:pPr>
  </w:style>
  <w:style w:type="character" w:customStyle="1" w:styleId="OdsekZnak">
    <w:name w:val="Odsek Znak"/>
    <w:link w:val="Odsek"/>
    <w:rsid w:val="00A155A2"/>
    <w:rPr>
      <w:rFonts w:ascii="Arial" w:eastAsia="Times New Roman" w:hAnsi="Arial" w:cs="Arial"/>
      <w:b/>
      <w:kern w:val="0"/>
      <w:lang w:eastAsia="sl-SI"/>
      <w14:ligatures w14:val="none"/>
    </w:rPr>
  </w:style>
  <w:style w:type="paragraph" w:customStyle="1" w:styleId="len">
    <w:name w:val="Člen"/>
    <w:basedOn w:val="Navaden"/>
    <w:link w:val="lenZnak"/>
    <w:qFormat/>
    <w:rsid w:val="00A155A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A155A2"/>
    <w:rPr>
      <w:rFonts w:ascii="Arial" w:eastAsia="Times New Roman" w:hAnsi="Arial" w:cs="Arial"/>
      <w:b/>
      <w:kern w:val="0"/>
      <w:lang w:eastAsia="sl-SI"/>
      <w14:ligatures w14:val="none"/>
    </w:rPr>
  </w:style>
  <w:style w:type="paragraph" w:customStyle="1" w:styleId="lennaslov">
    <w:name w:val="Člen_naslov"/>
    <w:basedOn w:val="len"/>
    <w:qFormat/>
    <w:rsid w:val="00A155A2"/>
    <w:pPr>
      <w:spacing w:before="0"/>
    </w:pPr>
  </w:style>
  <w:style w:type="paragraph" w:styleId="Telobesedila-zamik">
    <w:name w:val="Body Text Indent"/>
    <w:basedOn w:val="Navaden"/>
    <w:link w:val="Telobesedila-zamikZnak"/>
    <w:rsid w:val="00A155A2"/>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A155A2"/>
    <w:rPr>
      <w:rFonts w:ascii="Arial" w:eastAsia="Times New Roman" w:hAnsi="Arial" w:cs="Times New Roman"/>
      <w:kern w:val="0"/>
      <w:sz w:val="20"/>
      <w:szCs w:val="24"/>
      <w:lang w:val="en-US"/>
      <w14:ligatures w14:val="none"/>
    </w:rPr>
  </w:style>
  <w:style w:type="character" w:customStyle="1" w:styleId="OdstavekseznamaZnak">
    <w:name w:val="Odstavek seznama Znak"/>
    <w:link w:val="Odstavekseznama"/>
    <w:uiPriority w:val="34"/>
    <w:rsid w:val="00A155A2"/>
    <w:rPr>
      <w:rFonts w:ascii="Calibri" w:eastAsia="Calibri" w:hAnsi="Calibri" w:cs="Times New Roman"/>
      <w:kern w:val="0"/>
      <w14:ligatures w14:val="none"/>
    </w:rPr>
  </w:style>
  <w:style w:type="paragraph" w:styleId="Brezrazmikov">
    <w:name w:val="No Spacing"/>
    <w:uiPriority w:val="1"/>
    <w:qFormat/>
    <w:rsid w:val="00A155A2"/>
    <w:pPr>
      <w:spacing w:after="0" w:line="240" w:lineRule="auto"/>
    </w:pPr>
    <w:rPr>
      <w:rFonts w:ascii="Calibri" w:eastAsia="Calibri" w:hAnsi="Calibri" w:cs="Times New Roman"/>
      <w:kern w:val="0"/>
      <w14:ligatures w14:val="none"/>
    </w:rPr>
  </w:style>
  <w:style w:type="paragraph" w:styleId="Revizija">
    <w:name w:val="Revision"/>
    <w:hidden/>
    <w:uiPriority w:val="99"/>
    <w:semiHidden/>
    <w:rsid w:val="00A155A2"/>
    <w:pPr>
      <w:spacing w:after="0" w:line="240" w:lineRule="auto"/>
    </w:pPr>
    <w:rPr>
      <w:rFonts w:ascii="Calibri" w:eastAsia="Calibri" w:hAnsi="Calibri" w:cs="Times New Roman"/>
      <w:kern w:val="0"/>
      <w14:ligatures w14:val="none"/>
    </w:rPr>
  </w:style>
  <w:style w:type="paragraph" w:customStyle="1" w:styleId="FURSNavaden">
    <w:name w:val="FURS Navaden"/>
    <w:basedOn w:val="Navaden"/>
    <w:link w:val="FURSNavadenZnak"/>
    <w:qFormat/>
    <w:rsid w:val="00A155A2"/>
    <w:pPr>
      <w:spacing w:after="0" w:line="260" w:lineRule="atLeast"/>
      <w:jc w:val="both"/>
    </w:pPr>
    <w:rPr>
      <w:rFonts w:ascii="Arial" w:hAnsi="Arial"/>
      <w:sz w:val="20"/>
      <w:szCs w:val="24"/>
      <w:lang w:eastAsia="sl-SI"/>
    </w:rPr>
  </w:style>
  <w:style w:type="character" w:customStyle="1" w:styleId="FURSNavadenZnak">
    <w:name w:val="FURS Navaden Znak"/>
    <w:link w:val="FURSNavaden"/>
    <w:rsid w:val="00A155A2"/>
    <w:rPr>
      <w:rFonts w:ascii="Arial" w:eastAsia="Calibri" w:hAnsi="Arial" w:cs="Times New Roman"/>
      <w:kern w:val="0"/>
      <w:sz w:val="20"/>
      <w:szCs w:val="24"/>
      <w:lang w:eastAsia="sl-SI"/>
      <w14:ligatures w14:val="none"/>
    </w:rPr>
  </w:style>
  <w:style w:type="table" w:customStyle="1" w:styleId="Tabela-mrea1">
    <w:name w:val="Tabela - mreža1"/>
    <w:basedOn w:val="Navadnatabela"/>
    <w:next w:val="Tabelamrea"/>
    <w:uiPriority w:val="59"/>
    <w:rsid w:val="00A155A2"/>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A155A2"/>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A155A2"/>
    <w:rPr>
      <w:b/>
      <w:bCs/>
    </w:rPr>
  </w:style>
  <w:style w:type="paragraph" w:styleId="Golobesedilo">
    <w:name w:val="Plain Text"/>
    <w:basedOn w:val="Navaden"/>
    <w:link w:val="GolobesediloZnak"/>
    <w:uiPriority w:val="99"/>
    <w:semiHidden/>
    <w:unhideWhenUsed/>
    <w:rsid w:val="00A155A2"/>
    <w:pPr>
      <w:spacing w:after="0" w:line="240" w:lineRule="auto"/>
    </w:pPr>
    <w:rPr>
      <w:rFonts w:eastAsiaTheme="minorHAnsi" w:cs="Consolas"/>
      <w:szCs w:val="21"/>
    </w:rPr>
  </w:style>
  <w:style w:type="character" w:customStyle="1" w:styleId="GolobesediloZnak">
    <w:name w:val="Golo besedilo Znak"/>
    <w:basedOn w:val="Privzetapisavaodstavka"/>
    <w:link w:val="Golobesedilo"/>
    <w:uiPriority w:val="99"/>
    <w:semiHidden/>
    <w:rsid w:val="00A155A2"/>
    <w:rPr>
      <w:rFonts w:ascii="Calibri" w:hAnsi="Calibri" w:cs="Consolas"/>
      <w:kern w:val="0"/>
      <w:szCs w:val="21"/>
      <w14:ligatures w14:val="none"/>
    </w:rPr>
  </w:style>
  <w:style w:type="paragraph" w:customStyle="1" w:styleId="Default">
    <w:name w:val="Default"/>
    <w:basedOn w:val="Navaden"/>
    <w:rsid w:val="00A155A2"/>
    <w:pPr>
      <w:autoSpaceDE w:val="0"/>
      <w:autoSpaceDN w:val="0"/>
      <w:spacing w:after="0" w:line="240" w:lineRule="auto"/>
    </w:pPr>
    <w:rPr>
      <w:rFonts w:ascii="Arial" w:eastAsiaTheme="minorHAnsi" w:hAnsi="Arial" w:cs="Arial"/>
      <w:color w:val="000000"/>
      <w:sz w:val="24"/>
      <w:szCs w:val="24"/>
      <w:lang w:eastAsia="sl-SI"/>
    </w:rPr>
  </w:style>
  <w:style w:type="table" w:styleId="Tabelatemnamrea5poudarek5">
    <w:name w:val="Grid Table 5 Dark Accent 5"/>
    <w:basedOn w:val="Navadnatabela"/>
    <w:uiPriority w:val="50"/>
    <w:rsid w:val="00A155A2"/>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Slog1">
    <w:name w:val="Slog1"/>
    <w:basedOn w:val="Navadnatabela"/>
    <w:uiPriority w:val="99"/>
    <w:rsid w:val="00A155A2"/>
    <w:pPr>
      <w:spacing w:after="0" w:line="240" w:lineRule="auto"/>
    </w:pPr>
    <w:rPr>
      <w:rFonts w:ascii="Calibri" w:eastAsia="Calibri" w:hAnsi="Calibri" w:cs="Times New Roman"/>
      <w:kern w:val="0"/>
      <w:sz w:val="20"/>
      <w:szCs w:val="20"/>
      <w:lang w:eastAsia="sl-SI"/>
      <w14:ligatures w14:val="none"/>
    </w:rPr>
    <w:tblPr/>
  </w:style>
  <w:style w:type="character" w:customStyle="1" w:styleId="roles">
    <w:name w:val="roles"/>
    <w:basedOn w:val="Privzetapisavaodstavka"/>
    <w:rsid w:val="00A155A2"/>
  </w:style>
  <w:style w:type="character" w:customStyle="1" w:styleId="Nerazreenaomemba1">
    <w:name w:val="Nerazrešena omemba1"/>
    <w:basedOn w:val="Privzetapisavaodstavka"/>
    <w:uiPriority w:val="99"/>
    <w:semiHidden/>
    <w:unhideWhenUsed/>
    <w:rsid w:val="00A155A2"/>
    <w:rPr>
      <w:color w:val="605E5C"/>
      <w:shd w:val="clear" w:color="auto" w:fill="E1DFDD"/>
    </w:rPr>
  </w:style>
  <w:style w:type="character" w:styleId="SledenaHiperpovezava">
    <w:name w:val="FollowedHyperlink"/>
    <w:basedOn w:val="Privzetapisavaodstavka"/>
    <w:uiPriority w:val="99"/>
    <w:semiHidden/>
    <w:unhideWhenUsed/>
    <w:rsid w:val="00A155A2"/>
    <w:rPr>
      <w:color w:val="96607D" w:themeColor="followedHyperlink"/>
      <w:u w:val="single"/>
    </w:rPr>
  </w:style>
  <w:style w:type="paragraph" w:styleId="Telobesedila">
    <w:name w:val="Body Text"/>
    <w:basedOn w:val="Navaden"/>
    <w:link w:val="TelobesedilaZnak"/>
    <w:uiPriority w:val="99"/>
    <w:semiHidden/>
    <w:unhideWhenUsed/>
    <w:rsid w:val="00A155A2"/>
    <w:pPr>
      <w:spacing w:after="120"/>
    </w:pPr>
  </w:style>
  <w:style w:type="character" w:customStyle="1" w:styleId="TelobesedilaZnak">
    <w:name w:val="Telo besedila Znak"/>
    <w:basedOn w:val="Privzetapisavaodstavka"/>
    <w:link w:val="Telobesedila"/>
    <w:uiPriority w:val="99"/>
    <w:semiHidden/>
    <w:rsid w:val="00A155A2"/>
    <w:rPr>
      <w:rFonts w:ascii="Calibri" w:eastAsia="Calibri" w:hAnsi="Calibri" w:cs="Times New Roman"/>
      <w:kern w:val="0"/>
      <w14:ligatures w14:val="none"/>
    </w:rPr>
  </w:style>
  <w:style w:type="paragraph" w:styleId="Konnaopomba-besedilo">
    <w:name w:val="endnote text"/>
    <w:basedOn w:val="Navaden"/>
    <w:link w:val="Konnaopomba-besediloZnak"/>
    <w:uiPriority w:val="99"/>
    <w:semiHidden/>
    <w:unhideWhenUsed/>
    <w:rsid w:val="00A155A2"/>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155A2"/>
    <w:rPr>
      <w:rFonts w:ascii="Calibri" w:eastAsia="Calibri" w:hAnsi="Calibri" w:cs="Times New Roman"/>
      <w:kern w:val="0"/>
      <w:sz w:val="20"/>
      <w:szCs w:val="20"/>
      <w14:ligatures w14:val="none"/>
    </w:rPr>
  </w:style>
  <w:style w:type="character" w:styleId="Konnaopomba-sklic">
    <w:name w:val="endnote reference"/>
    <w:basedOn w:val="Privzetapisavaodstavka"/>
    <w:uiPriority w:val="99"/>
    <w:semiHidden/>
    <w:unhideWhenUsed/>
    <w:rsid w:val="00A155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uradni-list.si/glasilo-uradni-list-rs/vsebina/2025-01-0860" TargetMode="Externa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5" Type="http://schemas.openxmlformats.org/officeDocument/2006/relationships/customXml" Target="../customXml/item5.xml"/><Relationship Id="rId15" Type="http://schemas.openxmlformats.org/officeDocument/2006/relationships/hyperlink" Target="https://www.uradni-list.si/glasilo-uradni-list-rs/vsebina/2025-01-0860" TargetMode="External"/><Relationship Id="rId23" Type="http://schemas.openxmlformats.org/officeDocument/2006/relationships/chart" Target="charts/chart5.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radni-list.si/glasilo-uradni-list-rs/vsebina/2025-01-0860"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17-01-0729" TargetMode="External"/><Relationship Id="rId18" Type="http://schemas.openxmlformats.org/officeDocument/2006/relationships/hyperlink" Target="https://www.uradni-list.si/glasilo-uradni-list-rs/vsebina/2022-01-2371" TargetMode="External"/><Relationship Id="rId26" Type="http://schemas.openxmlformats.org/officeDocument/2006/relationships/hyperlink" Target="https://www.uradni-list.si/glasilo-uradni-list-rs/vsebina/2010-01-0251" TargetMode="External"/><Relationship Id="rId3" Type="http://schemas.openxmlformats.org/officeDocument/2006/relationships/hyperlink" Target="https://www.uradni-list.si/glasilo-uradni-list-rs/vsebina/2024-01-3725" TargetMode="External"/><Relationship Id="rId21" Type="http://schemas.openxmlformats.org/officeDocument/2006/relationships/hyperlink" Target="https://www.uradni-list.si/glasilo-uradni-list-rs/vsebina/2024-01-0997" TargetMode="External"/><Relationship Id="rId34" Type="http://schemas.openxmlformats.org/officeDocument/2006/relationships/hyperlink" Target="https://www.uradni-list.si/glasilo-uradni-list-rs/vsebina/2023-01-3410" TargetMode="External"/><Relationship Id="rId7" Type="http://schemas.openxmlformats.org/officeDocument/2006/relationships/hyperlink" Target="http://www.uradni-list.si/1/objava.jsp?sop=2021-01-3903" TargetMode="External"/><Relationship Id="rId12" Type="http://schemas.openxmlformats.org/officeDocument/2006/relationships/hyperlink" Target="https://www.uradni-list.si/glasilo-uradni-list-rs/vsebina/2018-01-0865" TargetMode="External"/><Relationship Id="rId17" Type="http://schemas.openxmlformats.org/officeDocument/2006/relationships/hyperlink" Target="https://www.uradni-list.si/glasilo-uradni-list-rs/vsebina/2020-01-3628" TargetMode="External"/><Relationship Id="rId25" Type="http://schemas.openxmlformats.org/officeDocument/2006/relationships/hyperlink" Target="https://www.uradni-list.si/glasilo-uradni-list-rs/vsebina/2008-01-2816" TargetMode="External"/><Relationship Id="rId33" Type="http://schemas.openxmlformats.org/officeDocument/2006/relationships/hyperlink" Target="https://www.uradni-list.si/glasilo-uradni-list-rs/vsebina/2023-01-2670" TargetMode="External"/><Relationship Id="rId2" Type="http://schemas.openxmlformats.org/officeDocument/2006/relationships/hyperlink" Target="https://www.uradni-list.si/glasilo-uradni-list-rs/vsebina/2024-01-3102" TargetMode="External"/><Relationship Id="rId16" Type="http://schemas.openxmlformats.org/officeDocument/2006/relationships/hyperlink" Target="https://www.uradni-list.si/glasilo-uradni-list-rs/vsebina/2019-01-2936" TargetMode="External"/><Relationship Id="rId20" Type="http://schemas.openxmlformats.org/officeDocument/2006/relationships/hyperlink" Target="https://www.uradni-list.si/glasilo-uradni-list-rs/vsebina/2023-01-0098" TargetMode="External"/><Relationship Id="rId29" Type="http://schemas.openxmlformats.org/officeDocument/2006/relationships/hyperlink" Target="https://www.uradni-list.si/glasilo-uradni-list-rs/vsebina/2022-01-0014" TargetMode="External"/><Relationship Id="rId1" Type="http://schemas.openxmlformats.org/officeDocument/2006/relationships/hyperlink" Target="https://www.gov.si/assets/ministrstva/MF/ekonomska-in-fiskalna-poltika/Blagajne-JF/Letni-pregled-javnofinancnih-gibanj-januar-2025.pdf" TargetMode="External"/><Relationship Id="rId6" Type="http://schemas.openxmlformats.org/officeDocument/2006/relationships/hyperlink" Target="http://www.uradni-list.si/1/objava.jsp?sop=2021-21-3524" TargetMode="External"/><Relationship Id="rId11" Type="http://schemas.openxmlformats.org/officeDocument/2006/relationships/hyperlink" Target="https://www.uradni-list.si/glasilo-uradni-list-rs/vsebina/2016-01-2761" TargetMode="External"/><Relationship Id="rId24" Type="http://schemas.openxmlformats.org/officeDocument/2006/relationships/hyperlink" Target="https://www.uradni-list.si/glasilo-uradni-list-rs/vsebina/2007-01-6415" TargetMode="External"/><Relationship Id="rId32" Type="http://schemas.openxmlformats.org/officeDocument/2006/relationships/hyperlink" Target="https://www.uradni-list.si/glasilo-uradni-list-rs/vsebina/2023-01-2599" TargetMode="External"/><Relationship Id="rId5" Type="http://schemas.openxmlformats.org/officeDocument/2006/relationships/hyperlink" Target="http://www.uradni-list.si/1/objava.jsp?sop=2021-01-3463" TargetMode="External"/><Relationship Id="rId15" Type="http://schemas.openxmlformats.org/officeDocument/2006/relationships/hyperlink" Target="https://www.uradni-list.si/glasilo-uradni-list-rs/vsebina/2019-01-0917" TargetMode="External"/><Relationship Id="rId23" Type="http://schemas.openxmlformats.org/officeDocument/2006/relationships/hyperlink" Target="https://www.uradni-list.si/glasilo-uradni-list-rs/vsebina/2006-01-4487" TargetMode="External"/><Relationship Id="rId28" Type="http://schemas.openxmlformats.org/officeDocument/2006/relationships/hyperlink" Target="https://www.uradni-list.si/glasilo-uradni-list-rs/vsebina/2020-01-3096" TargetMode="External"/><Relationship Id="rId10" Type="http://schemas.openxmlformats.org/officeDocument/2006/relationships/hyperlink" Target="https://www.uradni-list.si/glasilo-uradni-list-rs/vsebina/2007-01-4826" TargetMode="External"/><Relationship Id="rId19" Type="http://schemas.openxmlformats.org/officeDocument/2006/relationships/hyperlink" Target="https://www.uradni-list.si/glasilo-uradni-list-rs/vsebina/2022-01-2372" TargetMode="External"/><Relationship Id="rId31" Type="http://schemas.openxmlformats.org/officeDocument/2006/relationships/hyperlink" Target="https://www.uradni-list.si/glasilo-uradni-list-rs/vsebina/2023-01-1517" TargetMode="External"/><Relationship Id="rId4" Type="http://schemas.openxmlformats.org/officeDocument/2006/relationships/hyperlink" Target="http://www.uradni-list.si/1/objava.jsp?sop=2023-01-2381" TargetMode="External"/><Relationship Id="rId9" Type="http://schemas.openxmlformats.org/officeDocument/2006/relationships/hyperlink" Target="https://www.uradni-list.si/glasilo-uradni-list-rs/vsebina/2025-01-0870" TargetMode="External"/><Relationship Id="rId14" Type="http://schemas.openxmlformats.org/officeDocument/2006/relationships/hyperlink" Target="https://www.uradni-list.si/glasilo-uradni-list-rs/vsebina/2018-01-0887" TargetMode="External"/><Relationship Id="rId22" Type="http://schemas.openxmlformats.org/officeDocument/2006/relationships/hyperlink" Target="https://www.uradni-list.si/glasilo-uradni-list-rs/vsebina/2006-01-0970" TargetMode="External"/><Relationship Id="rId27" Type="http://schemas.openxmlformats.org/officeDocument/2006/relationships/hyperlink" Target="https://www.uradni-list.si/glasilo-uradni-list-rs/vsebina/2013-01-3034" TargetMode="External"/><Relationship Id="rId30" Type="http://schemas.openxmlformats.org/officeDocument/2006/relationships/hyperlink" Target="https://www.uradni-list.si/glasilo-uradni-list-rs/vsebina/2022-01-4016" TargetMode="External"/><Relationship Id="rId8" Type="http://schemas.openxmlformats.org/officeDocument/2006/relationships/hyperlink" Target="http://www.uradni-list.si/1/objava.jsp?sop=2022-01-394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u00nt02\OE\UP%20SSI%20Oddelek%20za%20sistemsko%20podporo\Poro&#269;ila\Poro&#269;ilo_dav&#269;ni%20dolg\na%20dan%2031.12.2024\31.12.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gu00nt02\OE\UP%20SSI%20Oddelek%20za%20sistemsko%20podporo\Poro&#269;ila\Poro&#269;ilo_dav&#269;ni%20dolg\na%20dan%2031.12.2024\tabela%20-%20A,%20I%20-%20dolg%20in%20skupaj.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u00nt02\OE\UP%20SSI%20Oddelek%20za%20sistemsko%20podporo\Poro&#269;ila\Poro&#269;ilo_dav&#269;ni%20dolg\na%20dan%2031.12.2024\31.12.202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gu00nt02\OE\UP%20SSI%20Oddelek%20za%20sistemsko%20podporo\Poro&#269;ila\Poro&#269;ilo_dav&#269;ni%20dolg\na%20dan%2031.12.2024\Kopija%20datoteke%2031.12.2024_%2018.3.2025.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gu00nt02\OE\UP%20SSI%20Oddelek%20za%20sistemsko%20podporo\Poro&#269;ila\2024\Letno%20poro&#269;ilo\Tabele%20izterjave%20za%20poro&#269;ilo%20FURS%20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170862131197945"/>
          <c:y val="0.15741412088884785"/>
          <c:w val="0.64722222222222225"/>
          <c:h val="0.6157407407407407"/>
        </c:manualLayout>
      </c:layout>
      <c:pie3DChart>
        <c:varyColors val="1"/>
        <c:ser>
          <c:idx val="0"/>
          <c:order val="0"/>
          <c:dPt>
            <c:idx val="0"/>
            <c:bubble3D val="0"/>
            <c:spPr>
              <a:solidFill>
                <a:schemeClr val="accent5">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713-43CE-B133-7262142F8F49}"/>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713-43CE-B133-7262142F8F49}"/>
              </c:ext>
            </c:extLst>
          </c:dPt>
          <c:dPt>
            <c:idx val="2"/>
            <c:bubble3D val="0"/>
            <c:spPr>
              <a:solidFill>
                <a:schemeClr val="bg1">
                  <a:lumMod val="6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713-43CE-B133-7262142F8F4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713-43CE-B133-7262142F8F49}"/>
              </c:ext>
            </c:extLst>
          </c:dPt>
          <c:dLbls>
            <c:dLbl>
              <c:idx val="0"/>
              <c:layout>
                <c:manualLayout>
                  <c:x val="1.2087704153259913E-2"/>
                  <c:y val="-0.312557327373808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747F2C53-0898-4FC4-8914-07A34C45EC98}" type="CATEGORYNAME">
                      <a:rPr lang="en-US" sz="800" b="0" i="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0" i="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r>
                      <a:rPr lang="en-US" sz="800" b="0" i="0" baseline="0">
                        <a:solidFill>
                          <a:sysClr val="windowText" lastClr="000000"/>
                        </a:solidFill>
                        <a:latin typeface="Arial" panose="020B0604020202020204" pitchFamily="34" charset="0"/>
                        <a:cs typeface="Arial" panose="020B0604020202020204" pitchFamily="34" charset="0"/>
                      </a:rPr>
                      <a:t>    </a:t>
                    </a:r>
                    <a:fld id="{EB39C6EA-E765-493E-A0CD-8E26E6CC9F2D}" type="VALUE">
                      <a:rPr lang="en-US" sz="800" b="0" i="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[VREDNOST]</a:t>
                    </a:fld>
                    <a:r>
                      <a:rPr lang="en-US" sz="800" b="0" i="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endParaRPr lang="sl-SI"/>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13584392132287915"/>
                      <c:h val="0.15512122577924925"/>
                    </c:manualLayout>
                  </c15:layout>
                  <c15:dlblFieldTable/>
                  <c15:showDataLabelsRange val="0"/>
                </c:ext>
                <c:ext xmlns:c16="http://schemas.microsoft.com/office/drawing/2014/chart" uri="{C3380CC4-5D6E-409C-BE32-E72D297353CC}">
                  <c16:uniqueId val="{00000001-D713-43CE-B133-7262142F8F49}"/>
                </c:ext>
              </c:extLst>
            </c:dLbl>
            <c:dLbl>
              <c:idx val="1"/>
              <c:layout>
                <c:manualLayout>
                  <c:x val="-8.130431370497293E-2"/>
                  <c:y val="4.7659570987799466E-2"/>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E7648FA4-3654-423B-B509-7CF20E5EBD40}" type="CATEGORYNAME">
                      <a:rPr lang="en-US" sz="800" b="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fld id="{813403E1-C6E9-40BE-8F29-D52E97BC3B3B}" type="VALUE">
                      <a:rPr lang="en-US" sz="800" b="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[VREDNOST]</a:t>
                    </a:fld>
                    <a:r>
                      <a:rPr lang="en-US" sz="800" b="0" baseline="0">
                        <a:solidFill>
                          <a:sysClr val="windowText" lastClr="000000"/>
                        </a:solidFill>
                        <a:latin typeface="Arial" panose="020B0604020202020204" pitchFamily="34" charset="0"/>
                        <a:cs typeface="Arial" panose="020B0604020202020204" pitchFamily="34" charset="0"/>
                      </a:rPr>
                      <a:t> %</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713-43CE-B133-7262142F8F49}"/>
                </c:ext>
              </c:extLst>
            </c:dLbl>
            <c:dLbl>
              <c:idx val="2"/>
              <c:layout>
                <c:manualLayout>
                  <c:x val="-0.17083195995849357"/>
                  <c:y val="1.696665351263707E-2"/>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36B45B6B-06D6-4F82-AE16-79CF645D44F3}" type="CATEGORYNAME">
                      <a:rPr lang="en-US" sz="800" b="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endParaRPr lang="en-US" sz="800" b="0" baseline="0">
                      <a:solidFill>
                        <a:sysClr val="windowText" lastClr="000000"/>
                      </a:solidFill>
                      <a:latin typeface="Arial" panose="020B0604020202020204" pitchFamily="34" charset="0"/>
                      <a:cs typeface="Arial" panose="020B0604020202020204" pitchFamily="34" charset="0"/>
                    </a:endParaRPr>
                  </a:p>
                  <a:p>
                    <a:pPr>
                      <a:defRPr sz="800">
                        <a:solidFill>
                          <a:sysClr val="windowText" lastClr="000000"/>
                        </a:solidFill>
                        <a:latin typeface="Arial" panose="020B0604020202020204" pitchFamily="34" charset="0"/>
                        <a:cs typeface="Arial" panose="020B0604020202020204" pitchFamily="34" charset="0"/>
                      </a:defRPr>
                    </a:pPr>
                    <a:fld id="{F70A9B40-9C4B-4A53-83C2-F94E60D3D7CF}" type="VALUE">
                      <a:rPr lang="en-US" sz="800" b="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[VREDNOST]</a:t>
                    </a:fld>
                    <a:r>
                      <a:rPr lang="en-US" sz="800" b="0" baseline="0">
                        <a:solidFill>
                          <a:sysClr val="windowText" lastClr="000000"/>
                        </a:solidFill>
                        <a:latin typeface="Arial" panose="020B0604020202020204" pitchFamily="34" charset="0"/>
                        <a:cs typeface="Arial" panose="020B0604020202020204" pitchFamily="34" charset="0"/>
                      </a:rPr>
                      <a:t> %</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713-43CE-B133-7262142F8F49}"/>
                </c:ext>
              </c:extLst>
            </c:dLbl>
            <c:dLbl>
              <c:idx val="3"/>
              <c:layout>
                <c:manualLayout>
                  <c:x val="9.959388657653491E-2"/>
                  <c:y val="-6.7820639630728652E-2"/>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2257C277-9D69-4C7C-B996-9B72E996F970}" type="CATEGORYNAME">
                      <a:rPr lang="en-US" sz="800" b="0" i="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0" i="0" baseline="0">
                        <a:solidFill>
                          <a:sysClr val="windowText" lastClr="000000"/>
                        </a:solidFill>
                        <a:latin typeface="Arial" panose="020B0604020202020204" pitchFamily="34" charset="0"/>
                        <a:cs typeface="Arial" panose="020B0604020202020204" pitchFamily="34" charset="0"/>
                      </a:rPr>
                      <a:t> </a:t>
                    </a:r>
                    <a:fld id="{FB8D05DC-9A2E-4C65-958D-FA21824A2E40}" type="VALUE">
                      <a:rPr lang="en-US" sz="800" b="0" i="0" baseline="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[VREDNOST]</a:t>
                    </a:fld>
                    <a:r>
                      <a:rPr lang="en-US" sz="800" b="0" i="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endParaRPr lang="sl-SI"/>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14162689354637892"/>
                      <c:h val="6.8524440383736868E-2"/>
                    </c:manualLayout>
                  </c15:layout>
                  <c15:dlblFieldTable/>
                  <c15:showDataLabelsRange val="0"/>
                </c:ext>
                <c:ext xmlns:c16="http://schemas.microsoft.com/office/drawing/2014/chart" uri="{C3380CC4-5D6E-409C-BE32-E72D297353CC}">
                  <c16:uniqueId val="{00000007-D713-43CE-B133-7262142F8F4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'[Realizacija JFP FURS DECEMBER 2024 - po ZR _ delovna.xlsx]Graf_Prejemniki_LP'!$C$15:$C$18</c:f>
              <c:strCache>
                <c:ptCount val="4"/>
                <c:pt idx="0">
                  <c:v>Država</c:v>
                </c:pt>
                <c:pt idx="1">
                  <c:v>Zavod za pokojninsko in invalidsko zavarovanje Slovenije </c:v>
                </c:pt>
                <c:pt idx="2">
                  <c:v>Zavod za zdravstveno zavarovanje Slovenije </c:v>
                </c:pt>
                <c:pt idx="3">
                  <c:v>Občine</c:v>
                </c:pt>
              </c:strCache>
            </c:strRef>
          </c:cat>
          <c:val>
            <c:numRef>
              <c:f>'[Realizacija JFP FURS DECEMBER 2024 - po ZR _ delovna.xlsx]Graf_Prejemniki_LP'!$D$15:$D$18</c:f>
              <c:numCache>
                <c:formatCode>#,##0.0</c:formatCode>
                <c:ptCount val="4"/>
                <c:pt idx="0">
                  <c:v>54.057633260546176</c:v>
                </c:pt>
                <c:pt idx="1">
                  <c:v>25.335974460810728</c:v>
                </c:pt>
                <c:pt idx="2">
                  <c:v>18.884943488670871</c:v>
                </c:pt>
                <c:pt idx="3">
                  <c:v>1.7214487899722237</c:v>
                </c:pt>
              </c:numCache>
            </c:numRef>
          </c:val>
          <c:extLst>
            <c:ext xmlns:c16="http://schemas.microsoft.com/office/drawing/2014/chart" uri="{C3380CC4-5D6E-409C-BE32-E72D297353CC}">
              <c16:uniqueId val="{00000008-D713-43CE-B133-7262142F8F4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6350"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73552894211577"/>
          <c:y val="0.18613783371220857"/>
          <c:w val="0.65044910179640714"/>
          <c:h val="0.56527663383081295"/>
        </c:manualLayout>
      </c:layout>
      <c:pie3DChart>
        <c:varyColors val="1"/>
        <c:ser>
          <c:idx val="0"/>
          <c:order val="0"/>
          <c:explosion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64-4262-942F-F023ACF0B36D}"/>
              </c:ext>
            </c:extLst>
          </c:dPt>
          <c:dPt>
            <c:idx val="1"/>
            <c:bubble3D val="0"/>
            <c:spPr>
              <a:solidFill>
                <a:schemeClr val="accent5">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64-4262-942F-F023ACF0B36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64-4262-942F-F023ACF0B36D}"/>
              </c:ext>
            </c:extLst>
          </c:dPt>
          <c:dPt>
            <c:idx val="3"/>
            <c:bubble3D val="0"/>
            <c:spPr>
              <a:solidFill>
                <a:schemeClr val="accent3">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364-4262-942F-F023ACF0B36D}"/>
              </c:ext>
            </c:extLst>
          </c:dPt>
          <c:dPt>
            <c:idx val="4"/>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3364-4262-942F-F023ACF0B36D}"/>
              </c:ext>
            </c:extLst>
          </c:dPt>
          <c:dPt>
            <c:idx val="5"/>
            <c:bubble3D val="0"/>
            <c:spPr>
              <a:solidFill>
                <a:schemeClr val="accent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3364-4262-942F-F023ACF0B36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364-4262-942F-F023ACF0B36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364-4262-942F-F023ACF0B36D}"/>
              </c:ext>
            </c:extLst>
          </c:dPt>
          <c:dLbls>
            <c:dLbl>
              <c:idx val="0"/>
              <c:layout>
                <c:manualLayout>
                  <c:x val="9.6927878409817605E-2"/>
                  <c:y val="8.5948233023864576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93E3DC8B-880E-403E-9FCB-8DCE2F450B0E}" type="CATEGORYNAME">
                      <a:rPr lang="en-US" sz="80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22,2 %</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22681853669636587"/>
                      <c:h val="0.19214869133724696"/>
                    </c:manualLayout>
                  </c15:layout>
                  <c15:dlblFieldTable/>
                  <c15:showDataLabelsRange val="0"/>
                </c:ext>
                <c:ext xmlns:c16="http://schemas.microsoft.com/office/drawing/2014/chart" uri="{C3380CC4-5D6E-409C-BE32-E72D297353CC}">
                  <c16:uniqueId val="{00000001-3364-4262-942F-F023ACF0B36D}"/>
                </c:ext>
              </c:extLst>
            </c:dLbl>
            <c:dLbl>
              <c:idx val="1"/>
              <c:layout>
                <c:manualLayout>
                  <c:x val="5.7312193005681716E-2"/>
                  <c:y val="-1.5641392063171833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baseline="0">
                        <a:solidFill>
                          <a:sysClr val="windowText" lastClr="000000"/>
                        </a:solidFill>
                        <a:latin typeface="Arial" panose="020B0604020202020204" pitchFamily="34" charset="0"/>
                        <a:cs typeface="Arial" panose="020B0604020202020204" pitchFamily="34" charset="0"/>
                      </a:rPr>
                      <a:t>Prispevki za socialno varnost in transferni prihodki </a:t>
                    </a:r>
                  </a:p>
                  <a:p>
                    <a:pPr>
                      <a:defRPr sz="800">
                        <a:solidFill>
                          <a:sysClr val="windowText" lastClr="000000"/>
                        </a:solidFill>
                        <a:latin typeface="Arial" panose="020B0604020202020204" pitchFamily="34" charset="0"/>
                        <a:cs typeface="Arial" panose="020B0604020202020204" pitchFamily="34" charset="0"/>
                      </a:defRPr>
                    </a:pPr>
                    <a:r>
                      <a:rPr lang="en-US" sz="800" b="0" i="0" baseline="0">
                        <a:solidFill>
                          <a:sysClr val="windowText" lastClr="000000"/>
                        </a:solidFill>
                        <a:latin typeface="Arial" panose="020B0604020202020204" pitchFamily="34" charset="0"/>
                        <a:cs typeface="Arial" panose="020B0604020202020204" pitchFamily="34" charset="0"/>
                      </a:rPr>
                      <a:t>44,7 %</a:t>
                    </a:r>
                  </a:p>
                  <a:p>
                    <a:pPr>
                      <a:defRPr sz="800">
                        <a:solidFill>
                          <a:sysClr val="windowText" lastClr="000000"/>
                        </a:solidFill>
                        <a:latin typeface="Arial" panose="020B0604020202020204" pitchFamily="34" charset="0"/>
                        <a:cs typeface="Arial" panose="020B0604020202020204" pitchFamily="34" charset="0"/>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3003403251064205"/>
                      <c:h val="0.26624581678327547"/>
                    </c:manualLayout>
                  </c15:layout>
                  <c15:showDataLabelsRange val="0"/>
                </c:ext>
                <c:ext xmlns:c16="http://schemas.microsoft.com/office/drawing/2014/chart" uri="{C3380CC4-5D6E-409C-BE32-E72D297353CC}">
                  <c16:uniqueId val="{00000003-3364-4262-942F-F023ACF0B36D}"/>
                </c:ext>
              </c:extLst>
            </c:dLbl>
            <c:dLbl>
              <c:idx val="2"/>
              <c:layout>
                <c:manualLayout>
                  <c:x val="1.9008274189941506E-2"/>
                  <c:y val="0.2421550359640158"/>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Davki na plačilno listo in delovno silo </a:t>
                    </a:r>
                  </a:p>
                  <a:p>
                    <a:pPr>
                      <a:defRPr sz="800">
                        <a:solidFill>
                          <a:sysClr val="windowText" lastClr="000000"/>
                        </a:solidFill>
                        <a:latin typeface="Arial" panose="020B0604020202020204" pitchFamily="34" charset="0"/>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0,1 %</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25544354601414732"/>
                      <c:h val="0.20487133764767954"/>
                    </c:manualLayout>
                  </c15:layout>
                  <c15:showDataLabelsRange val="0"/>
                </c:ext>
                <c:ext xmlns:c16="http://schemas.microsoft.com/office/drawing/2014/chart" uri="{C3380CC4-5D6E-409C-BE32-E72D297353CC}">
                  <c16:uniqueId val="{00000005-3364-4262-942F-F023ACF0B36D}"/>
                </c:ext>
              </c:extLst>
            </c:dLbl>
            <c:dLbl>
              <c:idx val="3"/>
              <c:layout>
                <c:manualLayout>
                  <c:x val="-4.8725033249767548E-2"/>
                  <c:y val="-2.4977292914721616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16BEDAE8-E9C4-444A-8D34-F57DEB48A571}" type="CATEGORYNAME">
                      <a:rPr lang="en-US" sz="80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1,5 %</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19440717331858179"/>
                      <c:h val="0.20063045554420197"/>
                    </c:manualLayout>
                  </c15:layout>
                  <c15:dlblFieldTable/>
                  <c15:showDataLabelsRange val="0"/>
                </c:ext>
                <c:ext xmlns:c16="http://schemas.microsoft.com/office/drawing/2014/chart" uri="{C3380CC4-5D6E-409C-BE32-E72D297353CC}">
                  <c16:uniqueId val="{00000007-3364-4262-942F-F023ACF0B36D}"/>
                </c:ext>
              </c:extLst>
            </c:dLbl>
            <c:dLbl>
              <c:idx val="4"/>
              <c:layout>
                <c:manualLayout>
                  <c:x val="-1.6625421822272224E-2"/>
                  <c:y val="5.2396977348785762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EEB6740F-41EC-48FC-B1AF-09FF4FEA9EDA}" type="CATEGORYNAME">
                      <a:rPr lang="en-US" sz="80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30,2 %</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28655307792408302"/>
                      <c:h val="0.20269966254218225"/>
                    </c:manualLayout>
                  </c15:layout>
                  <c15:dlblFieldTable/>
                  <c15:showDataLabelsRange val="0"/>
                </c:ext>
                <c:ext xmlns:c16="http://schemas.microsoft.com/office/drawing/2014/chart" uri="{C3380CC4-5D6E-409C-BE32-E72D297353CC}">
                  <c16:uniqueId val="{00000009-3364-4262-942F-F023ACF0B36D}"/>
                </c:ext>
              </c:extLst>
            </c:dLbl>
            <c:dLbl>
              <c:idx val="5"/>
              <c:layout>
                <c:manualLayout>
                  <c:x val="-0.24159746023569789"/>
                  <c:y val="-4.0490541713887176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E4A63DC8-FF01-4229-A7F9-671FD4BB7B91}" type="CATEGORYNAME">
                      <a:rPr lang="en-US" sz="800">
                        <a:solidFill>
                          <a:sysClr val="windowText" lastClr="000000"/>
                        </a:solidFill>
                        <a:latin typeface="Arial" panose="020B0604020202020204" pitchFamily="34" charset="0"/>
                        <a:cs typeface="Arial" panose="020B0604020202020204" pitchFamily="34" charset="0"/>
                      </a:rPr>
                      <a:pPr>
                        <a:defRPr sz="800">
                          <a:solidFill>
                            <a:sysClr val="windowText" lastClr="000000"/>
                          </a:solidFill>
                          <a:latin typeface="Arial" panose="020B0604020202020204" pitchFamily="34" charset="0"/>
                          <a:cs typeface="Arial" panose="020B0604020202020204" pitchFamily="34" charset="0"/>
                        </a:defRPr>
                      </a:pPr>
                      <a:t>[IME KATEGORIJE]</a:t>
                    </a:fld>
                    <a:r>
                      <a:rPr lang="en-US" sz="800" baseline="0">
                        <a:solidFill>
                          <a:sysClr val="windowText" lastClr="000000"/>
                        </a:solidFill>
                        <a:latin typeface="Arial" panose="020B0604020202020204" pitchFamily="34" charset="0"/>
                        <a:cs typeface="Arial" panose="020B0604020202020204" pitchFamily="34" charset="0"/>
                      </a:rPr>
                      <a:t> </a:t>
                    </a:r>
                  </a:p>
                  <a:p>
                    <a:pPr>
                      <a:defRPr sz="800">
                        <a:solidFill>
                          <a:sysClr val="windowText" lastClr="000000"/>
                        </a:solidFill>
                        <a:latin typeface="Arial" panose="020B0604020202020204" pitchFamily="34" charset="0"/>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0,8 %</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extLst>
                <c:ext xmlns:c15="http://schemas.microsoft.com/office/drawing/2012/chart" uri="{CE6537A1-D6FC-4f65-9D91-7224C49458BB}">
                  <c15:layout>
                    <c:manualLayout>
                      <c:w val="0.37398134056772314"/>
                      <c:h val="0.19082049391129013"/>
                    </c:manualLayout>
                  </c15:layout>
                  <c15:dlblFieldTable/>
                  <c15:showDataLabelsRange val="0"/>
                </c:ext>
                <c:ext xmlns:c16="http://schemas.microsoft.com/office/drawing/2014/chart" uri="{C3380CC4-5D6E-409C-BE32-E72D297353CC}">
                  <c16:uniqueId val="{0000000B-3364-4262-942F-F023ACF0B36D}"/>
                </c:ext>
              </c:extLst>
            </c:dLbl>
            <c:dLbl>
              <c:idx val="6"/>
              <c:layout>
                <c:manualLayout>
                  <c:x val="1.005377376608421E-2"/>
                  <c:y val="-7.8652323971314608E-2"/>
                </c:manualLayout>
              </c:layout>
              <c:tx>
                <c:rich>
                  <a:bodyPr/>
                  <a:lstStyle/>
                  <a:p>
                    <a:fld id="{AF7E2B6A-F4D3-43B4-A0CA-CFF82212AE29}" type="CATEGORYNAME">
                      <a:rPr lang="en-US"/>
                      <a:pPr/>
                      <a:t>[IME KATEGORIJE]</a:t>
                    </a:fld>
                    <a:r>
                      <a:rPr lang="en-US" baseline="0"/>
                      <a:t> 0,5 %</a:t>
                    </a: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364-4262-942F-F023ACF0B36D}"/>
                </c:ext>
              </c:extLst>
            </c:dLbl>
            <c:dLbl>
              <c:idx val="7"/>
              <c:layout>
                <c:manualLayout>
                  <c:x val="0.18775290420535989"/>
                  <c:y val="1.7861460065583395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sz="800" baseline="0">
                      <a:solidFill>
                        <a:sysClr val="windowText" lastClr="000000"/>
                      </a:solidFill>
                      <a:latin typeface="Arial" panose="020B0604020202020204" pitchFamily="34" charset="0"/>
                      <a:cs typeface="Arial" panose="020B0604020202020204" pitchFamily="34" charset="0"/>
                    </a:endParaRPr>
                  </a:p>
                  <a:p>
                    <a:pPr>
                      <a:defRPr sz="800">
                        <a:solidFill>
                          <a:sysClr val="windowText" lastClr="000000"/>
                        </a:solidFill>
                        <a:latin typeface="Arial" panose="020B0604020202020204" pitchFamily="34" charset="0"/>
                        <a:cs typeface="Arial" panose="020B0604020202020204" pitchFamily="34" charset="0"/>
                      </a:defRPr>
                    </a:pPr>
                    <a:endParaRPr lang="en-US" sz="800">
                      <a:solidFill>
                        <a:sysClr val="windowText" lastClr="000000"/>
                      </a:solidFill>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38526966640380717"/>
                      <c:h val="0.12601430546372544"/>
                    </c:manualLayout>
                  </c15:layout>
                  <c15:showDataLabelsRange val="0"/>
                </c:ext>
                <c:ext xmlns:c16="http://schemas.microsoft.com/office/drawing/2014/chart" uri="{C3380CC4-5D6E-409C-BE32-E72D297353CC}">
                  <c16:uniqueId val="{0000000F-3364-4262-942F-F023ACF0B36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'[Realizacija JFP FURS DECEMBER 2024 - po ZR _ delovna.xlsx]Graf_Dajatve_LP'!$C$8:$C$15</c:f>
              <c:strCache>
                <c:ptCount val="8"/>
                <c:pt idx="0">
                  <c:v>Davki na dohodek in dobiček</c:v>
                </c:pt>
                <c:pt idx="1">
                  <c:v>Prispevki za socialno varnost in Transferni prihodki</c:v>
                </c:pt>
                <c:pt idx="2">
                  <c:v>Davki na plačilno listi in delovno silo</c:v>
                </c:pt>
                <c:pt idx="3">
                  <c:v>Davki na premoženje</c:v>
                </c:pt>
                <c:pt idx="4">
                  <c:v>Domači davki na blago in storitve</c:v>
                </c:pt>
                <c:pt idx="5">
                  <c:v>Davki na mednarodno trgovino in transakcije</c:v>
                </c:pt>
                <c:pt idx="6">
                  <c:v>Nedavčni prihodki</c:v>
                </c:pt>
                <c:pt idx="7">
                  <c:v>Nerazporejeni</c:v>
                </c:pt>
              </c:strCache>
            </c:strRef>
          </c:cat>
          <c:val>
            <c:numRef>
              <c:f>'[Realizacija JFP FURS DECEMBER 2024 - po ZR _ delovna.xlsx]Graf_Dajatve_LP'!$D$8:$D$15</c:f>
              <c:numCache>
                <c:formatCode>#,##0.00</c:formatCode>
                <c:ptCount val="8"/>
                <c:pt idx="0">
                  <c:v>22.167123635868048</c:v>
                </c:pt>
                <c:pt idx="1">
                  <c:v>44.650171670917956</c:v>
                </c:pt>
                <c:pt idx="2">
                  <c:v>0.12742416969760953</c:v>
                </c:pt>
                <c:pt idx="3">
                  <c:v>1.4739313856485028</c:v>
                </c:pt>
                <c:pt idx="4">
                  <c:v>30.23223824400208</c:v>
                </c:pt>
                <c:pt idx="5">
                  <c:v>0.86294127123634068</c:v>
                </c:pt>
                <c:pt idx="6">
                  <c:v>0.51911902721154202</c:v>
                </c:pt>
                <c:pt idx="7">
                  <c:v>-3.2949484825800859E-2</c:v>
                </c:pt>
              </c:numCache>
            </c:numRef>
          </c:val>
          <c:extLst>
            <c:ext xmlns:c16="http://schemas.microsoft.com/office/drawing/2014/chart" uri="{C3380CC4-5D6E-409C-BE32-E72D297353CC}">
              <c16:uniqueId val="{00000010-3364-4262-942F-F023ACF0B36D}"/>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6350"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2-4CE7-9B73-4FB7A3E4CC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2-4CE7-9B73-4FB7A3E4CC22}"/>
              </c:ext>
            </c:extLst>
          </c:dPt>
          <c:dLbls>
            <c:dLbl>
              <c:idx val="0"/>
              <c:layout>
                <c:manualLayout>
                  <c:x val="7.832364783117475E-2"/>
                  <c:y val="0.13840035638107995"/>
                </c:manualLayout>
              </c:layout>
              <c:tx>
                <c:rich>
                  <a:bodyPr/>
                  <a:lstStyle/>
                  <a:p>
                    <a:r>
                      <a:rPr lang="en-US" sz="900">
                        <a:latin typeface="Arial" pitchFamily="34" charset="0"/>
                        <a:cs typeface="Arial" pitchFamily="34" charset="0"/>
                      </a:rPr>
                      <a:t>Pravne osebe
54,7</a:t>
                    </a:r>
                    <a:r>
                      <a:rPr lang="en-US" sz="900" baseline="0">
                        <a:latin typeface="Arial" pitchFamily="34" charset="0"/>
                        <a:cs typeface="Arial" pitchFamily="34" charset="0"/>
                      </a:rPr>
                      <a:t> </a:t>
                    </a:r>
                    <a:r>
                      <a:rPr lang="en-US" sz="900">
                        <a:latin typeface="Arial" pitchFamily="34" charset="0"/>
                        <a:cs typeface="Arial" pitchFamily="34" charset="0"/>
                      </a:rPr>
                      <a:t>%</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D82-4CE7-9B73-4FB7A3E4CC22}"/>
                </c:ext>
              </c:extLst>
            </c:dLbl>
            <c:dLbl>
              <c:idx val="1"/>
              <c:layout>
                <c:manualLayout>
                  <c:x val="-6.9290728312128971E-2"/>
                  <c:y val="-0.20925764758985493"/>
                </c:manualLayout>
              </c:layout>
              <c:tx>
                <c:rich>
                  <a:bodyPr/>
                  <a:lstStyle/>
                  <a:p>
                    <a:r>
                      <a:rPr lang="en-US" sz="900">
                        <a:latin typeface="Arial" pitchFamily="34" charset="0"/>
                        <a:cs typeface="Arial" pitchFamily="34" charset="0"/>
                      </a:rPr>
                      <a:t>Fizične</a:t>
                    </a:r>
                    <a:r>
                      <a:rPr lang="en-US" sz="1000">
                        <a:latin typeface="Arial" pitchFamily="34" charset="0"/>
                        <a:cs typeface="Arial" pitchFamily="34" charset="0"/>
                      </a:rPr>
                      <a:t> osebe
45,3 %</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D82-4CE7-9B73-4FB7A3E4CC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 in PO'!$E$7:$E$8</c:f>
              <c:strCache>
                <c:ptCount val="2"/>
                <c:pt idx="0">
                  <c:v>Pravne osebe</c:v>
                </c:pt>
                <c:pt idx="1">
                  <c:v>Fizične osebe</c:v>
                </c:pt>
              </c:strCache>
            </c:strRef>
          </c:cat>
          <c:val>
            <c:numRef>
              <c:f>'FO in PO'!$H$7:$H$8</c:f>
              <c:numCache>
                <c:formatCode>#,##0</c:formatCode>
                <c:ptCount val="2"/>
                <c:pt idx="0">
                  <c:v>493311646.12</c:v>
                </c:pt>
                <c:pt idx="1">
                  <c:v>408625610.39999998</c:v>
                </c:pt>
              </c:numCache>
            </c:numRef>
          </c:val>
          <c:extLst>
            <c:ext xmlns:c16="http://schemas.microsoft.com/office/drawing/2014/chart" uri="{C3380CC4-5D6E-409C-BE32-E72D297353CC}">
              <c16:uniqueId val="{00000004-FD82-4CE7-9B73-4FB7A3E4CC2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pivotSource>
    <c:name>[tabela - A, I - dolg in skupaj.xlsx]List6!Vrtilna tabela3</c:name>
    <c:fmtId val="-1"/>
  </c:pivotSource>
  <c:chart>
    <c:autoTitleDeleted val="0"/>
    <c:pivotFmts>
      <c:pivotFmt>
        <c:idx val="0"/>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1"/>
        <c:dLbl>
          <c:idx val="0"/>
          <c:numFmt formatCode="#,##0" sourceLinked="0"/>
          <c:spPr/>
          <c:txPr>
            <a:bodyPr/>
            <a:lstStyle/>
            <a:p>
              <a:pPr>
                <a:defRPr sz="1000"/>
              </a:pPr>
              <a:endParaRPr lang="sl-SI"/>
            </a:p>
          </c:txPr>
          <c:dLblPos val="r"/>
          <c:showLegendKey val="0"/>
          <c:showVal val="1"/>
          <c:showCatName val="0"/>
          <c:showSerName val="0"/>
          <c:showPercent val="0"/>
          <c:showBubbleSize val="0"/>
          <c:extLst>
            <c:ext xmlns:c15="http://schemas.microsoft.com/office/drawing/2012/chart" uri="{CE6537A1-D6FC-4f65-9D91-7224C49458BB}"/>
          </c:extLst>
        </c:dLbl>
      </c:pivotFmt>
      <c:pivotFmt>
        <c:idx val="2"/>
        <c:dLbl>
          <c:idx val="0"/>
          <c:layout>
            <c:manualLayout>
              <c:x val="-3.6213573427257188E-17"/>
              <c:y val="1.385281385281386E-2"/>
            </c:manualLayout>
          </c:layout>
          <c:dLblPos val="r"/>
          <c:showLegendKey val="0"/>
          <c:showVal val="1"/>
          <c:showCatName val="0"/>
          <c:showSerName val="0"/>
          <c:showPercent val="0"/>
          <c:showBubbleSize val="0"/>
          <c:extLst>
            <c:ext xmlns:c15="http://schemas.microsoft.com/office/drawing/2012/chart" uri="{CE6537A1-D6FC-4f65-9D91-7224C49458BB}"/>
          </c:extLst>
        </c:dLbl>
      </c:pivotFmt>
      <c:pivotFmt>
        <c:idx val="3"/>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numFmt formatCode="#,##0" sourceLinked="0"/>
          <c:spPr/>
          <c:txPr>
            <a:bodyPr/>
            <a:lstStyle/>
            <a:p>
              <a:pPr>
                <a:defRPr sz="1000"/>
              </a:pPr>
              <a:endParaRPr lang="sl-SI"/>
            </a:p>
          </c:txPr>
          <c:dLblPos val="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5.9259259259259274E-3"/>
              <c:y val="2.7705627705627765E-2"/>
            </c:manualLayout>
          </c:layout>
          <c:dLblPos val="r"/>
          <c:showLegendKey val="0"/>
          <c:showVal val="1"/>
          <c:showCatName val="0"/>
          <c:showSerName val="0"/>
          <c:showPercent val="0"/>
          <c:showBubbleSize val="0"/>
          <c:extLst>
            <c:ext xmlns:c15="http://schemas.microsoft.com/office/drawing/2012/chart" uri="{CE6537A1-D6FC-4f65-9D91-7224C49458BB}"/>
          </c:extLst>
        </c:dLbl>
      </c:pivotFmt>
      <c:pivotFmt>
        <c:idx val="6"/>
        <c:marker>
          <c:symbol val="triangle"/>
          <c:size val="7"/>
        </c:marker>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numFmt formatCode="#,##0" sourceLinked="0"/>
          <c:spPr/>
          <c:txPr>
            <a:bodyPr/>
            <a:lstStyle/>
            <a:p>
              <a:pPr>
                <a:defRPr/>
              </a:pPr>
              <a:endParaRPr lang="sl-SI"/>
            </a:p>
          </c:txPr>
          <c:dLblPos val="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3.6213573427257188E-17"/>
              <c:y val="3.4632034632034632E-2"/>
            </c:manualLayout>
          </c:layout>
          <c:dLblPos val="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1.5802469135802456E-2"/>
              <c:y val="-4.8485121178034565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5.9259259259258901E-3"/>
              <c:y val="-6.9264069264069264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5.9259259259258901E-3"/>
              <c:y val="3.8095238095238099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7.9012345679012382E-3"/>
              <c:y val="-4.8484848484848485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1.1851851851851863E-2"/>
              <c:y val="-5.8874731567644951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0"/>
              <c:y val="5.5411255411255397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3.9506172839506182E-3"/>
              <c:y val="-4.5021645021645032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0"/>
              <c:y val="-4.1558441558441593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1.9753086419753109E-3"/>
              <c:y val="-4.8484848484848485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0"/>
              <c:y val="-3.1168831168831183E-2"/>
            </c:manualLayout>
          </c:layout>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0"/>
              <c:y val="-3.1168831168831169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5.8997050147492694E-3"/>
              <c:y val="-4.8484848484848485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1.8233618233618243E-2"/>
              <c:y val="5.4945054945054944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2.0512820512820516E-2"/>
              <c:y val="5.128205128205128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3.6467236467236486E-2"/>
              <c:y val="5.8608058608058573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0"/>
              <c:y val="7.6923076923076927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6.8610634648370514E-3"/>
              <c:y val="5.4945054945054944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6.8610634648370514E-3"/>
              <c:y val="4.7619047619047693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2.4110910186859553E-3"/>
              <c:y val="-5.1587301587301584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0"/>
              <c:y val="6.3492063492063475E-2"/>
            </c:manualLayout>
          </c:layout>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2.4110910186859553E-3"/>
              <c:y val="5.5555555555555629E-2"/>
            </c:manualLayout>
          </c:layout>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0"/>
              <c:y val="5.5555555555555483E-2"/>
            </c:manualLayout>
          </c:layout>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0"/>
              <c:y val="-5.9523809523809521E-2"/>
            </c:manualLayout>
          </c:layout>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4.8221820373719106E-3"/>
              <c:y val="-5.9523809523809514E-2"/>
            </c:manualLayout>
          </c:layout>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0"/>
              <c:y val="4.7619047619047547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0"/>
              <c:y val="-4.7619047619047616E-2"/>
            </c:manualLayout>
          </c:layout>
          <c:numFmt formatCode="#,##0" sourceLinked="0"/>
          <c:spPr/>
          <c:txPr>
            <a:bodyPr/>
            <a:lstStyle/>
            <a:p>
              <a:pPr>
                <a:defRPr sz="1000"/>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2.4110910186859553E-3"/>
              <c:y val="-6.3492063492063489E-2"/>
            </c:manualLayout>
          </c:layout>
          <c:numFmt formatCode="#,##0" sourceLinked="0"/>
          <c:spPr/>
          <c:txPr>
            <a:bodyPr/>
            <a:lstStyle/>
            <a:p>
              <a:pPr>
                <a:defRPr sz="1000"/>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2.8933092224231509E-2"/>
              <c:y val="0.11904761904761904"/>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3.3755274261603373E-2"/>
              <c:y val="-7.5396825396825476E-2"/>
            </c:manualLayout>
          </c:layout>
          <c:numFmt formatCode="#,##0" sourceLinked="0"/>
          <c:spPr/>
          <c:txPr>
            <a:bodyPr/>
            <a:lstStyle/>
            <a:p>
              <a:pPr>
                <a:defRPr sz="1000"/>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1.68778269804882E-2"/>
              <c:y val="0.11111111111111119"/>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2.6522001205545511E-2"/>
              <c:y val="-7.936507936507936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0"/>
              <c:y val="-7.9365079365079361E-2"/>
            </c:manualLayout>
          </c:layout>
          <c:numFmt formatCode="#,##0" sourceLinked="0"/>
          <c:spPr/>
          <c:txPr>
            <a:bodyPr/>
            <a:lstStyle/>
            <a:p>
              <a:pPr>
                <a:defRPr sz="1000"/>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8.8405649415545698E-17"/>
              <c:y val="-6.349206349206348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0"/>
              <c:y val="5.158730158730158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0"/>
              <c:y val="-5.1587301587301626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0"/>
              <c:y val="-3.5714285714285712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6.920415224913495E-3"/>
              <c:y val="-3.5714285714285726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2.3068050749710804E-3"/>
              <c:y val="-2.380952380952388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layout>
            <c:manualLayout>
              <c:x val="-8.4581875651897525E-17"/>
              <c:y val="2.3809523809523735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8.4581875651897525E-17"/>
              <c:y val="-3.17460317460317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layout>
            <c:manualLayout>
              <c:x val="-8.4581875651897525E-17"/>
              <c:y val="-2.7777777777777776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8.4581875651897525E-17"/>
              <c:y val="3.17460317460317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2.3068050749710804E-3"/>
              <c:y val="7.1428571428571425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6.920415224913495E-3"/>
              <c:y val="-3.17460317460317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2.3067751167175255E-3"/>
              <c:y val="5.268736519321216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4.6136101499424141E-3"/>
              <c:y val="-5.158730158730158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1.384083044982699E-2"/>
              <c:y val="-1.190476190476190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9.5613720568902515E-3"/>
              <c:y val="4.125412541254125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0"/>
              <c:y val="-2.8877887788778877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8.4581875651897525E-17"/>
              <c:y val="-3.9682539682539666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8.4581875651897525E-17"/>
              <c:y val="-3.5714285714285712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1.7688459584030613E-3"/>
              <c:y val="-3.7023329643476266E-2"/>
            </c:manualLayout>
          </c:layout>
          <c:numFmt formatCode="#,##0" sourceLinked="0"/>
          <c:spPr/>
          <c:txPr>
            <a:bodyPr anchorCtr="0"/>
            <a:lstStyle/>
            <a:p>
              <a:pPr algn="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5.306750758342943E-3"/>
              <c:y val="4.763340921907308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2.7036157987384833E-3"/>
              <c:y val="4.244031830238716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2.7036310231872318E-3"/>
              <c:y val="-7.214859681001413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9.9131434112295263E-17"/>
              <c:y val="-2.65251989389920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0"/>
              <c:y val="-5.128205128205132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4.77042337507445E-3"/>
              <c:y val="6.1538461538461542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5.306750758342943E-3"/>
              <c:y val="4.763340921907308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2.7036310231872318E-3"/>
              <c:y val="-7.214859681001413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0"/>
              <c:y val="-5.128205128205132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9.9131434112295263E-17"/>
              <c:y val="-2.65251989389920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4.77042337507445E-3"/>
              <c:y val="6.1538461538461542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4"/>
        <c:marker>
          <c:symbol val="triangle"/>
          <c:size val="7"/>
        </c:marker>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1.7688459584030613E-3"/>
              <c:y val="-3.7023329643476266E-2"/>
            </c:manualLayout>
          </c:layout>
          <c:numFmt formatCode="#,##0" sourceLinked="0"/>
          <c:spPr/>
          <c:txPr>
            <a:bodyPr anchorCtr="0"/>
            <a:lstStyle/>
            <a:p>
              <a:pPr algn="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2.7036157987384833E-3"/>
              <c:y val="4.244031830238716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5.306750758342943E-3"/>
              <c:y val="4.7633409219073081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2.7036310231872318E-3"/>
              <c:y val="-7.214859681001413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0"/>
              <c:y val="-5.128205128205132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9.9131434112295263E-17"/>
              <c:y val="-2.6525198938992044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4.77042337507445E-3"/>
              <c:y val="6.1538461538461542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4"/>
        <c:marker>
          <c:symbol val="triangle"/>
          <c:size val="7"/>
        </c:marker>
        <c:dLbl>
          <c:idx val="0"/>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1.7688459584030613E-3"/>
              <c:y val="-3.7023329643476266E-2"/>
            </c:manualLayout>
          </c:layout>
          <c:numFmt formatCode="#,##0" sourceLinked="0"/>
          <c:spPr/>
          <c:txPr>
            <a:bodyPr anchorCtr="0"/>
            <a:lstStyle/>
            <a:p>
              <a:pPr algn="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2.7036157987384833E-3"/>
              <c:y val="4.2440318302387169E-2"/>
            </c:manualLayout>
          </c:layout>
          <c:numFmt formatCode="#,##0" sourceLinked="0"/>
          <c:spPr/>
          <c:txPr>
            <a:bodyPr/>
            <a:lstStyle/>
            <a:p>
              <a:pPr>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7852425438629724"/>
          <c:y val="5.2319806178073885E-2"/>
          <c:w val="0.54114480770404583"/>
          <c:h val="0.74922610531371003"/>
        </c:manualLayout>
      </c:layout>
      <c:lineChart>
        <c:grouping val="standard"/>
        <c:varyColors val="0"/>
        <c:ser>
          <c:idx val="0"/>
          <c:order val="0"/>
          <c:tx>
            <c:strRef>
              <c:f>List6!$B$1:$B$2</c:f>
              <c:strCache>
                <c:ptCount val="1"/>
                <c:pt idx="0">
                  <c:v>Aktivni dolg</c:v>
                </c:pt>
              </c:strCache>
            </c:strRef>
          </c:tx>
          <c:dLbls>
            <c:dLbl>
              <c:idx val="0"/>
              <c:layout>
                <c:manualLayout>
                  <c:x val="-5.306750758342943E-3"/>
                  <c:y val="4.7633409219073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51-4A6D-B8F3-131B1577F22A}"/>
                </c:ext>
              </c:extLst>
            </c:dLbl>
            <c:dLbl>
              <c:idx val="1"/>
              <c:layout>
                <c:manualLayout>
                  <c:x val="2.7036310231872318E-3"/>
                  <c:y val="-7.2148596810014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51-4A6D-B8F3-131B1577F22A}"/>
                </c:ext>
              </c:extLst>
            </c:dLbl>
            <c:dLbl>
              <c:idx val="2"/>
              <c:layout>
                <c:manualLayout>
                  <c:x val="0"/>
                  <c:y val="-5.1282051282051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51-4A6D-B8F3-131B1577F22A}"/>
                </c:ext>
              </c:extLst>
            </c:dLbl>
            <c:numFmt formatCode="#,##0" sourceLinked="0"/>
            <c:spPr>
              <a:noFill/>
              <a:ln>
                <a:noFill/>
              </a:ln>
              <a:effectLst/>
            </c:spPr>
            <c:txPr>
              <a:bodyPr/>
              <a:lstStyle/>
              <a:p>
                <a:pPr>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List6!$A$3:$A$6</c:f>
              <c:strCache>
                <c:ptCount val="3"/>
                <c:pt idx="0">
                  <c:v>31.12.2022</c:v>
                </c:pt>
                <c:pt idx="1">
                  <c:v>31.12.2023</c:v>
                </c:pt>
                <c:pt idx="2">
                  <c:v>31.12.2024</c:v>
                </c:pt>
              </c:strCache>
            </c:strRef>
          </c:cat>
          <c:val>
            <c:numRef>
              <c:f>List6!$B$3:$B$6</c:f>
              <c:numCache>
                <c:formatCode>#,##0</c:formatCode>
                <c:ptCount val="3"/>
                <c:pt idx="0">
                  <c:v>439625363</c:v>
                </c:pt>
                <c:pt idx="1">
                  <c:v>431764129.53999996</c:v>
                </c:pt>
                <c:pt idx="2">
                  <c:v>481817858</c:v>
                </c:pt>
              </c:numCache>
            </c:numRef>
          </c:val>
          <c:smooth val="0"/>
          <c:extLst>
            <c:ext xmlns:c16="http://schemas.microsoft.com/office/drawing/2014/chart" uri="{C3380CC4-5D6E-409C-BE32-E72D297353CC}">
              <c16:uniqueId val="{00000003-3151-4A6D-B8F3-131B1577F22A}"/>
            </c:ext>
          </c:extLst>
        </c:ser>
        <c:ser>
          <c:idx val="1"/>
          <c:order val="1"/>
          <c:tx>
            <c:strRef>
              <c:f>List6!$C$1:$C$2</c:f>
              <c:strCache>
                <c:ptCount val="1"/>
                <c:pt idx="0">
                  <c:v>Skupaj dolg</c:v>
                </c:pt>
              </c:strCache>
            </c:strRef>
          </c:tx>
          <c:dLbls>
            <c:dLbl>
              <c:idx val="0"/>
              <c:layout>
                <c:manualLayout>
                  <c:x val="-9.9131434112295263E-17"/>
                  <c:y val="-2.6525198938992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51-4A6D-B8F3-131B1577F22A}"/>
                </c:ext>
              </c:extLst>
            </c:dLbl>
            <c:dLbl>
              <c:idx val="1"/>
              <c:layout>
                <c:manualLayout>
                  <c:x val="4.77042337507445E-3"/>
                  <c:y val="6.15384615384615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51-4A6D-B8F3-131B1577F22A}"/>
                </c:ext>
              </c:extLst>
            </c:dLbl>
            <c:numFmt formatCode="#,##0" sourceLinked="0"/>
            <c:spPr>
              <a:noFill/>
              <a:ln>
                <a:noFill/>
              </a:ln>
              <a:effectLst/>
            </c:spPr>
            <c:txPr>
              <a:bodyPr/>
              <a:lstStyle/>
              <a:p>
                <a:pPr>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List6!$A$3:$A$6</c:f>
              <c:strCache>
                <c:ptCount val="3"/>
                <c:pt idx="0">
                  <c:v>31.12.2022</c:v>
                </c:pt>
                <c:pt idx="1">
                  <c:v>31.12.2023</c:v>
                </c:pt>
                <c:pt idx="2">
                  <c:v>31.12.2024</c:v>
                </c:pt>
              </c:strCache>
            </c:strRef>
          </c:cat>
          <c:val>
            <c:numRef>
              <c:f>List6!$C$3:$C$6</c:f>
              <c:numCache>
                <c:formatCode>#,##0</c:formatCode>
                <c:ptCount val="3"/>
                <c:pt idx="0">
                  <c:v>896349989.80999994</c:v>
                </c:pt>
                <c:pt idx="1">
                  <c:v>841808793.95999992</c:v>
                </c:pt>
                <c:pt idx="2">
                  <c:v>901937257</c:v>
                </c:pt>
              </c:numCache>
            </c:numRef>
          </c:val>
          <c:smooth val="0"/>
          <c:extLst>
            <c:ext xmlns:c16="http://schemas.microsoft.com/office/drawing/2014/chart" uri="{C3380CC4-5D6E-409C-BE32-E72D297353CC}">
              <c16:uniqueId val="{00000006-3151-4A6D-B8F3-131B1577F22A}"/>
            </c:ext>
          </c:extLst>
        </c:ser>
        <c:ser>
          <c:idx val="2"/>
          <c:order val="2"/>
          <c:tx>
            <c:strRef>
              <c:f>List6!$D$1:$D$2</c:f>
              <c:strCache>
                <c:ptCount val="1"/>
                <c:pt idx="0">
                  <c:v>Pogojno izterljivi dolg</c:v>
                </c:pt>
              </c:strCache>
            </c:strRef>
          </c:tx>
          <c:marker>
            <c:symbol val="triangle"/>
            <c:size val="7"/>
          </c:marker>
          <c:dLbls>
            <c:dLbl>
              <c:idx val="0"/>
              <c:layout>
                <c:manualLayout>
                  <c:x val="-1.7688459584030613E-3"/>
                  <c:y val="-3.7023329643476266E-2"/>
                </c:manualLayout>
              </c:layout>
              <c:numFmt formatCode="#,##0" sourceLinked="0"/>
              <c:spPr/>
              <c:txPr>
                <a:bodyPr anchorCtr="0"/>
                <a:lstStyle/>
                <a:p>
                  <a:pPr algn="r">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51-4A6D-B8F3-131B1577F22A}"/>
                </c:ext>
              </c:extLst>
            </c:dLbl>
            <c:dLbl>
              <c:idx val="1"/>
              <c:layout>
                <c:manualLayout>
                  <c:x val="2.7036157987384833E-3"/>
                  <c:y val="4.2440318302387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51-4A6D-B8F3-131B1577F22A}"/>
                </c:ext>
              </c:extLst>
            </c:dLbl>
            <c:numFmt formatCode="#,##0" sourceLinked="0"/>
            <c:spPr>
              <a:noFill/>
              <a:ln>
                <a:noFill/>
              </a:ln>
              <a:effectLst/>
            </c:spPr>
            <c:txPr>
              <a:bodyPr/>
              <a:lstStyle/>
              <a:p>
                <a:pPr>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List6!$A$3:$A$6</c:f>
              <c:strCache>
                <c:ptCount val="3"/>
                <c:pt idx="0">
                  <c:v>31.12.2022</c:v>
                </c:pt>
                <c:pt idx="1">
                  <c:v>31.12.2023</c:v>
                </c:pt>
                <c:pt idx="2">
                  <c:v>31.12.2024</c:v>
                </c:pt>
              </c:strCache>
            </c:strRef>
          </c:cat>
          <c:val>
            <c:numRef>
              <c:f>List6!$D$3:$D$6</c:f>
              <c:numCache>
                <c:formatCode>#,##0</c:formatCode>
                <c:ptCount val="3"/>
                <c:pt idx="0">
                  <c:v>456724626.81</c:v>
                </c:pt>
                <c:pt idx="1">
                  <c:v>410044664.41999996</c:v>
                </c:pt>
                <c:pt idx="2">
                  <c:v>420119399</c:v>
                </c:pt>
              </c:numCache>
            </c:numRef>
          </c:val>
          <c:smooth val="0"/>
          <c:extLst>
            <c:ext xmlns:c16="http://schemas.microsoft.com/office/drawing/2014/chart" uri="{C3380CC4-5D6E-409C-BE32-E72D297353CC}">
              <c16:uniqueId val="{00000009-3151-4A6D-B8F3-131B1577F22A}"/>
            </c:ext>
          </c:extLst>
        </c:ser>
        <c:dLbls>
          <c:showLegendKey val="0"/>
          <c:showVal val="0"/>
          <c:showCatName val="0"/>
          <c:showSerName val="0"/>
          <c:showPercent val="0"/>
          <c:showBubbleSize val="0"/>
        </c:dLbls>
        <c:marker val="1"/>
        <c:smooth val="0"/>
        <c:axId val="590184552"/>
        <c:axId val="590184944"/>
      </c:lineChart>
      <c:catAx>
        <c:axId val="590184552"/>
        <c:scaling>
          <c:orientation val="minMax"/>
        </c:scaling>
        <c:delete val="0"/>
        <c:axPos val="b"/>
        <c:numFmt formatCode="General" sourceLinked="1"/>
        <c:majorTickMark val="out"/>
        <c:minorTickMark val="none"/>
        <c:tickLblPos val="nextTo"/>
        <c:txPr>
          <a:bodyPr rot="0" vert="horz"/>
          <a:lstStyle/>
          <a:p>
            <a:pPr>
              <a:defRPr>
                <a:solidFill>
                  <a:sysClr val="windowText" lastClr="000000"/>
                </a:solidFill>
              </a:defRPr>
            </a:pPr>
            <a:endParaRPr lang="sl-SI"/>
          </a:p>
        </c:txPr>
        <c:crossAx val="590184944"/>
        <c:crosses val="autoZero"/>
        <c:auto val="0"/>
        <c:lblAlgn val="ctr"/>
        <c:lblOffset val="100"/>
        <c:noMultiLvlLbl val="0"/>
      </c:catAx>
      <c:valAx>
        <c:axId val="590184944"/>
        <c:scaling>
          <c:orientation val="minMax"/>
        </c:scaling>
        <c:delete val="0"/>
        <c:axPos val="l"/>
        <c:numFmt formatCode="#,##0" sourceLinked="0"/>
        <c:majorTickMark val="out"/>
        <c:minorTickMark val="none"/>
        <c:tickLblPos val="nextTo"/>
        <c:txPr>
          <a:bodyPr rot="0" vert="horz"/>
          <a:lstStyle/>
          <a:p>
            <a:pPr>
              <a:defRPr>
                <a:solidFill>
                  <a:sysClr val="windowText" lastClr="000000"/>
                </a:solidFill>
              </a:defRPr>
            </a:pPr>
            <a:endParaRPr lang="sl-SI"/>
          </a:p>
        </c:txPr>
        <c:crossAx val="590184552"/>
        <c:crosses val="autoZero"/>
        <c:crossBetween val="between"/>
      </c:valAx>
      <c:spPr>
        <a:noFill/>
      </c:spPr>
    </c:plotArea>
    <c:legend>
      <c:legendPos val="r"/>
      <c:layout>
        <c:manualLayout>
          <c:xMode val="edge"/>
          <c:yMode val="edge"/>
          <c:x val="0.81362763464942556"/>
          <c:y val="5.3790026246719157E-2"/>
          <c:w val="0.16028791570999959"/>
          <c:h val="0.83954572986069054"/>
        </c:manualLayout>
      </c:layout>
      <c:overlay val="0"/>
      <c:txPr>
        <a:bodyPr/>
        <a:lstStyle/>
        <a:p>
          <a:pPr>
            <a:defRPr>
              <a:solidFill>
                <a:sysClr val="windowText" lastClr="000000"/>
              </a:solidFill>
            </a:defRPr>
          </a:pPr>
          <a:endParaRPr lang="sl-SI"/>
        </a:p>
      </c:txPr>
    </c:legend>
    <c:plotVisOnly val="1"/>
    <c:dispBlanksAs val="gap"/>
    <c:showDLblsOverMax val="0"/>
  </c:chart>
  <c:txPr>
    <a:bodyPr/>
    <a:lstStyle/>
    <a:p>
      <a:pPr>
        <a:defRPr sz="900" b="0" i="0" u="none" strike="noStrike" baseline="0">
          <a:solidFill>
            <a:srgbClr val="000000"/>
          </a:solidFill>
          <a:latin typeface="Arial" pitchFamily="34" charset="0"/>
          <a:ea typeface="Calibri"/>
          <a:cs typeface="Arial" pitchFamily="34" charset="0"/>
        </a:defRPr>
      </a:pPr>
      <a:endParaRPr lang="sl-SI"/>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0.14991756683680868"/>
          <c:y val="0.19018779527559052"/>
          <c:w val="0.80923037086731286"/>
          <c:h val="0.78923055670672748"/>
        </c:manualLayout>
      </c:layout>
      <c:pie3DChart>
        <c:varyColors val="1"/>
        <c:ser>
          <c:idx val="0"/>
          <c:order val="0"/>
          <c:explosion val="11"/>
          <c:dPt>
            <c:idx val="0"/>
            <c:bubble3D val="0"/>
            <c:explosion val="4"/>
            <c:extLst>
              <c:ext xmlns:c16="http://schemas.microsoft.com/office/drawing/2014/chart" uri="{C3380CC4-5D6E-409C-BE32-E72D297353CC}">
                <c16:uniqueId val="{00000001-7376-49CB-A424-385F91587050}"/>
              </c:ext>
            </c:extLst>
          </c:dPt>
          <c:dPt>
            <c:idx val="2"/>
            <c:bubble3D val="0"/>
            <c:extLst>
              <c:ext xmlns:c16="http://schemas.microsoft.com/office/drawing/2014/chart" uri="{C3380CC4-5D6E-409C-BE32-E72D297353CC}">
                <c16:uniqueId val="{00000002-7376-49CB-A424-385F91587050}"/>
              </c:ext>
            </c:extLst>
          </c:dPt>
          <c:dLbls>
            <c:dLbl>
              <c:idx val="0"/>
              <c:layout>
                <c:manualLayout>
                  <c:x val="6.7460986651791968E-2"/>
                  <c:y val="-0.10509674987435082"/>
                </c:manualLayout>
              </c:layout>
              <c:tx>
                <c:rich>
                  <a:bodyPr/>
                  <a:lstStyle/>
                  <a:p>
                    <a:r>
                      <a:rPr lang="en-US" sz="800">
                        <a:latin typeface="Arial" pitchFamily="34" charset="0"/>
                        <a:cs typeface="Arial" pitchFamily="34" charset="0"/>
                      </a:rPr>
                      <a:t>Državni proračun
70,7 %</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376-49CB-A424-385F91587050}"/>
                </c:ext>
              </c:extLst>
            </c:dLbl>
            <c:dLbl>
              <c:idx val="1"/>
              <c:layout>
                <c:manualLayout>
                  <c:x val="-1.7318164718701762E-2"/>
                  <c:y val="0.23882153486795013"/>
                </c:manualLayout>
              </c:layout>
              <c:tx>
                <c:rich>
                  <a:bodyPr/>
                  <a:lstStyle/>
                  <a:p>
                    <a:r>
                      <a:rPr lang="en-US" sz="800">
                        <a:latin typeface="Arial" pitchFamily="34" charset="0"/>
                        <a:cs typeface="Arial" pitchFamily="34" charset="0"/>
                      </a:rPr>
                      <a:t>Zavod za pokojninsko  in invalidsko zavarovanje Slovenije 
17,2 %</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376-49CB-A424-385F91587050}"/>
                </c:ext>
              </c:extLst>
            </c:dLbl>
            <c:dLbl>
              <c:idx val="2"/>
              <c:layout>
                <c:manualLayout>
                  <c:x val="-0.13880086653089285"/>
                  <c:y val="0.1177693080918077"/>
                </c:manualLayout>
              </c:layout>
              <c:tx>
                <c:rich>
                  <a:bodyPr/>
                  <a:lstStyle/>
                  <a:p>
                    <a:r>
                      <a:rPr lang="en-US" sz="800">
                        <a:latin typeface="Arial" pitchFamily="34" charset="0"/>
                        <a:cs typeface="Arial" pitchFamily="34" charset="0"/>
                      </a:rPr>
                      <a:t>Zavod za zdravstveno  zavarovanje Slovenije  
9,1 %</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376-49CB-A424-385F91587050}"/>
                </c:ext>
              </c:extLst>
            </c:dLbl>
            <c:dLbl>
              <c:idx val="3"/>
              <c:layout>
                <c:manualLayout>
                  <c:x val="-0.13596570198082736"/>
                  <c:y val="-3.3872960855969567E-2"/>
                </c:manualLayout>
              </c:layout>
              <c:tx>
                <c:rich>
                  <a:bodyPr/>
                  <a:lstStyle/>
                  <a:p>
                    <a:r>
                      <a:rPr lang="en-US" sz="800">
                        <a:latin typeface="Arial" pitchFamily="34" charset="0"/>
                        <a:cs typeface="Arial" pitchFamily="34" charset="0"/>
                      </a:rPr>
                      <a:t>Proračuni občin
2,3 %</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7376-49CB-A424-385F91587050}"/>
                </c:ext>
              </c:extLst>
            </c:dLbl>
            <c:dLbl>
              <c:idx val="4"/>
              <c:layout>
                <c:manualLayout>
                  <c:x val="0.35853407436085705"/>
                  <c:y val="4.1840422688678262E-2"/>
                </c:manualLayout>
              </c:layout>
              <c:tx>
                <c:rich>
                  <a:bodyPr/>
                  <a:lstStyle/>
                  <a:p>
                    <a:fld id="{0EF6722D-58C2-447D-8FA6-078036CAFA7C}" type="CATEGORYNAME">
                      <a:rPr lang="en-US" sz="800"/>
                      <a:pPr/>
                      <a:t>[IME KATEGORIJE]</a:t>
                    </a:fld>
                    <a:r>
                      <a:rPr lang="en-US" sz="800" baseline="0"/>
                      <a:t>
0,7 %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376-49CB-A424-385F91587050}"/>
                </c:ext>
              </c:extLst>
            </c:dLbl>
            <c:spPr>
              <a:noFill/>
              <a:ln>
                <a:noFill/>
              </a:ln>
              <a:effectLst/>
            </c:spPr>
            <c:txPr>
              <a:bodyPr/>
              <a:lstStyle/>
              <a:p>
                <a:pPr>
                  <a:defRPr sz="800">
                    <a:latin typeface="Arial" pitchFamily="34" charset="0"/>
                    <a:cs typeface="Arial" pitchFamily="34" charset="0"/>
                  </a:defRPr>
                </a:pPr>
                <a:endParaRPr lang="sl-SI"/>
              </a:p>
            </c:txPr>
            <c:showLegendKey val="0"/>
            <c:showVal val="0"/>
            <c:showCatName val="1"/>
            <c:showSerName val="0"/>
            <c:showPercent val="1"/>
            <c:showBubbleSize val="0"/>
            <c:showLeaderLines val="1"/>
            <c:extLst>
              <c:ext xmlns:c15="http://schemas.microsoft.com/office/drawing/2012/chart" uri="{CE6537A1-D6FC-4f65-9D91-7224C49458BB}"/>
            </c:extLst>
          </c:dLbls>
          <c:cat>
            <c:strRef>
              <c:f>'dolg po blagajni'!$D$18:$D$22</c:f>
              <c:strCache>
                <c:ptCount val="5"/>
                <c:pt idx="0">
                  <c:v>Državni proračun</c:v>
                </c:pt>
                <c:pt idx="1">
                  <c:v>ZPIZ </c:v>
                </c:pt>
                <c:pt idx="2">
                  <c:v>ZZZS</c:v>
                </c:pt>
                <c:pt idx="3">
                  <c:v>Proračuni občin</c:v>
                </c:pt>
                <c:pt idx="4">
                  <c:v>Drugi prejemniki</c:v>
                </c:pt>
              </c:strCache>
            </c:strRef>
          </c:cat>
          <c:val>
            <c:numRef>
              <c:f>'dolg po blagajni'!$K$18:$K$22</c:f>
              <c:numCache>
                <c:formatCode>#,##0.0</c:formatCode>
                <c:ptCount val="5"/>
                <c:pt idx="0">
                  <c:v>70.68375078777791</c:v>
                </c:pt>
                <c:pt idx="1">
                  <c:v>17.169558835509996</c:v>
                </c:pt>
                <c:pt idx="2">
                  <c:v>9.1239282290785777</c:v>
                </c:pt>
                <c:pt idx="3">
                  <c:v>2.3353298509987153</c:v>
                </c:pt>
                <c:pt idx="4">
                  <c:v>0.68743229663479799</c:v>
                </c:pt>
              </c:numCache>
            </c:numRef>
          </c:val>
          <c:extLst>
            <c:ext xmlns:c16="http://schemas.microsoft.com/office/drawing/2014/chart" uri="{C3380CC4-5D6E-409C-BE32-E72D297353CC}">
              <c16:uniqueId val="{00000006-7376-49CB-A424-385F91587050}"/>
            </c:ext>
          </c:extLst>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72135008227622"/>
          <c:y val="0.33024643732828274"/>
          <c:w val="0.42584370502400809"/>
          <c:h val="0.57669159838446438"/>
        </c:manualLayout>
      </c:layout>
      <c:pieChart>
        <c:varyColors val="1"/>
        <c:ser>
          <c:idx val="0"/>
          <c:order val="0"/>
          <c:explosion val="3"/>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EBD-4864-9D31-E1BA68DCB9A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EBD-4864-9D31-E1BA68DCB9A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EBD-4864-9D31-E1BA68DCB9A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EBD-4864-9D31-E1BA68DCB9A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EBD-4864-9D31-E1BA68DCB9A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EBD-4864-9D31-E1BA68DCB9A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EBD-4864-9D31-E1BA68DCB9A3}"/>
              </c:ext>
            </c:extLst>
          </c:dPt>
          <c:dLbls>
            <c:dLbl>
              <c:idx val="0"/>
              <c:layout>
                <c:manualLayout>
                  <c:x val="7.345576603663727E-3"/>
                  <c:y val="-6.6317481627577238E-2"/>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ED68F00B-28B6-452C-9BF4-D2F8E1827D33}" type="CATEGORYNAME">
                      <a:rPr lang="en-US" sz="900" b="0">
                        <a:solidFill>
                          <a:sysClr val="windowText" lastClr="000000"/>
                        </a:solidFill>
                      </a:rPr>
                      <a:pPr>
                        <a:defRPr sz="900" b="0">
                          <a:solidFill>
                            <a:sysClr val="windowText" lastClr="000000"/>
                          </a:solidFill>
                          <a:latin typeface="Arial" panose="020B0604020202020204" pitchFamily="34" charset="0"/>
                          <a:cs typeface="Arial" panose="020B0604020202020204" pitchFamily="34" charset="0"/>
                        </a:defRPr>
                      </a:pPr>
                      <a:t>[IME KATEGORIJE]</a:t>
                    </a:fld>
                    <a:r>
                      <a:rPr lang="en-US" sz="900" b="0" baseline="0">
                        <a:solidFill>
                          <a:sysClr val="windowText" lastClr="000000"/>
                        </a:solidFill>
                      </a:rPr>
                      <a:t>
31,6 %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BD-4864-9D31-E1BA68DCB9A3}"/>
                </c:ext>
              </c:extLst>
            </c:dLbl>
            <c:dLbl>
              <c:idx val="1"/>
              <c:layout>
                <c:manualLayout>
                  <c:x val="0.21908714838237781"/>
                  <c:y val="-6.5127269967405713E-2"/>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FCE15439-0706-467D-B838-EC8EDECFD788}" type="CATEGORYNAME">
                      <a:rPr lang="en-US" sz="900" b="0">
                        <a:solidFill>
                          <a:sysClr val="windowText" lastClr="000000"/>
                        </a:solidFill>
                      </a:rPr>
                      <a:pPr>
                        <a:defRPr sz="900" b="0">
                          <a:solidFill>
                            <a:sysClr val="windowText" lastClr="000000"/>
                          </a:solidFill>
                          <a:latin typeface="Arial" panose="020B0604020202020204" pitchFamily="34" charset="0"/>
                          <a:cs typeface="Arial" panose="020B0604020202020204" pitchFamily="34" charset="0"/>
                        </a:defRPr>
                      </a:pPr>
                      <a:t>[IME KATEGORIJE]</a:t>
                    </a:fld>
                    <a:r>
                      <a:rPr lang="en-US" sz="900" b="0" baseline="0">
                        <a:solidFill>
                          <a:sysClr val="windowText" lastClr="000000"/>
                        </a:solidFill>
                      </a:rPr>
                      <a:t>
28,5 %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EBD-4864-9D31-E1BA68DCB9A3}"/>
                </c:ext>
              </c:extLst>
            </c:dLbl>
            <c:dLbl>
              <c:idx val="2"/>
              <c:layout>
                <c:manualLayout>
                  <c:x val="-5.8423239568634093E-2"/>
                  <c:y val="5.2101815973924361E-2"/>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582CF0E4-7C72-4727-ADCD-195DF60CFCF1}" type="CATEGORYNAME">
                      <a:rPr lang="en-US" sz="900">
                        <a:solidFill>
                          <a:sysClr val="windowText" lastClr="000000"/>
                        </a:solidFill>
                      </a:rPr>
                      <a:pPr>
                        <a:defRPr sz="900" b="0">
                          <a:solidFill>
                            <a:sysClr val="windowText" lastClr="000000"/>
                          </a:solidFill>
                          <a:latin typeface="Arial" panose="020B0604020202020204" pitchFamily="34" charset="0"/>
                          <a:cs typeface="Arial" panose="020B0604020202020204" pitchFamily="34" charset="0"/>
                        </a:defRPr>
                      </a:pPr>
                      <a:t>[IME KATEGORIJE]</a:t>
                    </a:fld>
                    <a:r>
                      <a:rPr lang="en-US" sz="900" baseline="0">
                        <a:solidFill>
                          <a:sysClr val="windowText" lastClr="000000"/>
                        </a:solidFill>
                      </a:rPr>
                      <a:t>
0,0 %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EBD-4864-9D31-E1BA68DCB9A3}"/>
                </c:ext>
              </c:extLst>
            </c:dLbl>
            <c:dLbl>
              <c:idx val="3"/>
              <c:layout>
                <c:manualLayout>
                  <c:x val="-0.1978042317076345"/>
                  <c:y val="-0.13658868618541584"/>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aseline="0"/>
                      <a:t>Davki na premoženje 2,5 %</a:t>
                    </a:r>
                    <a:endParaRPr 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EBD-4864-9D31-E1BA68DCB9A3}"/>
                </c:ext>
              </c:extLst>
            </c:dLbl>
            <c:dLbl>
              <c:idx val="4"/>
              <c:layout>
                <c:manualLayout>
                  <c:x val="-8.0555555555555561E-2"/>
                  <c:y val="-0.13888888888888892"/>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6827605-2AA1-41D6-AAB6-02B6E22ED862}" type="CATEGORYNAME">
                      <a:rPr lang="en-US" sz="900" b="0">
                        <a:solidFill>
                          <a:sysClr val="windowText" lastClr="000000"/>
                        </a:solidFill>
                        <a:latin typeface="Arial" panose="020B0604020202020204" pitchFamily="34" charset="0"/>
                        <a:cs typeface="Arial" panose="020B0604020202020204" pitchFamily="34" charset="0"/>
                      </a:rPr>
                      <a:pPr>
                        <a:defRPr sz="900" b="0">
                          <a:solidFill>
                            <a:sysClr val="windowText" lastClr="000000"/>
                          </a:solidFill>
                          <a:latin typeface="Arial" panose="020B0604020202020204" pitchFamily="34" charset="0"/>
                          <a:cs typeface="Arial" panose="020B0604020202020204" pitchFamily="34" charset="0"/>
                        </a:defRPr>
                      </a:pPr>
                      <a:t>[IME KATEGORIJE]</a:t>
                    </a:fld>
                    <a:r>
                      <a:rPr lang="en-US" sz="900" b="0" baseline="0">
                        <a:solidFill>
                          <a:sysClr val="windowText" lastClr="000000"/>
                        </a:solidFill>
                        <a:latin typeface="Arial" panose="020B0604020202020204" pitchFamily="34" charset="0"/>
                        <a:cs typeface="Arial" panose="020B0604020202020204" pitchFamily="34" charset="0"/>
                      </a:rPr>
                      <a:t>
37,2 %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EBD-4864-9D31-E1BA68DCB9A3}"/>
                </c:ext>
              </c:extLst>
            </c:dLbl>
            <c:dLbl>
              <c:idx val="5"/>
              <c:layout>
                <c:manualLayout>
                  <c:x val="-0.10283807245129227"/>
                  <c:y val="-1.5197580642571335E-17"/>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Davki na mednarodno</a:t>
                    </a:r>
                    <a:r>
                      <a:rPr lang="en-US" baseline="0"/>
                      <a:t> trgovino in transakcije
0,2 %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9EBD-4864-9D31-E1BA68DCB9A3}"/>
                </c:ext>
              </c:extLst>
            </c:dLbl>
            <c:dLbl>
              <c:idx val="6"/>
              <c:layout>
                <c:manualLayout>
                  <c:x val="9.3043970313073876E-2"/>
                  <c:y val="-5.9685733464819493E-2"/>
                </c:manualLayout>
              </c:layout>
              <c:tx>
                <c:rich>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DB00FA18-ABE0-40DF-AF1C-F0A56A354D67}" type="CATEGORYNAME">
                      <a:rPr lang="en-US" sz="900" b="0">
                        <a:solidFill>
                          <a:sysClr val="windowText" lastClr="000000"/>
                        </a:solidFill>
                      </a:rPr>
                      <a:pPr>
                        <a:defRPr sz="900" b="0">
                          <a:solidFill>
                            <a:sysClr val="windowText" lastClr="000000"/>
                          </a:solidFill>
                          <a:latin typeface="Arial" panose="020B0604020202020204" pitchFamily="34" charset="0"/>
                          <a:cs typeface="Arial" panose="020B0604020202020204" pitchFamily="34" charset="0"/>
                        </a:defRPr>
                      </a:pPr>
                      <a:t>[IME KATEGORIJE]</a:t>
                    </a:fld>
                    <a:r>
                      <a:rPr lang="en-US" sz="900" b="0" baseline="0">
                        <a:solidFill>
                          <a:sysClr val="windowText" lastClr="000000"/>
                        </a:solidFill>
                      </a:rPr>
                      <a:t>
0,0 %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EBD-4864-9D31-E1BA68DCB9A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'dolg po davkih_tabela  '!$B$85:$B$91</c:f>
              <c:strCache>
                <c:ptCount val="7"/>
                <c:pt idx="0">
                  <c:v>Davki na dohodek in dobiček</c:v>
                </c:pt>
                <c:pt idx="1">
                  <c:v>Prispevki za socialno varnost</c:v>
                </c:pt>
                <c:pt idx="2">
                  <c:v>Davki na plačilno listo</c:v>
                </c:pt>
                <c:pt idx="3">
                  <c:v>Davki na premoženje</c:v>
                </c:pt>
                <c:pt idx="4">
                  <c:v>Domači davki na blago in storitve</c:v>
                </c:pt>
                <c:pt idx="5">
                  <c:v>Davki na mednaradno trgovino in transakcije</c:v>
                </c:pt>
                <c:pt idx="6">
                  <c:v>Drugi davki</c:v>
                </c:pt>
              </c:strCache>
            </c:strRef>
          </c:cat>
          <c:val>
            <c:numRef>
              <c:f>'dolg po davkih_tabela  '!$C$85:$C$91</c:f>
              <c:numCache>
                <c:formatCode>#,##0.0</c:formatCode>
                <c:ptCount val="7"/>
                <c:pt idx="0">
                  <c:v>31.6</c:v>
                </c:pt>
                <c:pt idx="1">
                  <c:v>28.548922945443628</c:v>
                </c:pt>
                <c:pt idx="2">
                  <c:v>2.6167212047809162E-2</c:v>
                </c:pt>
                <c:pt idx="3">
                  <c:v>2.5207034043769698</c:v>
                </c:pt>
                <c:pt idx="4">
                  <c:v>37.200000000000003</c:v>
                </c:pt>
                <c:pt idx="5">
                  <c:v>0.24003793814602578</c:v>
                </c:pt>
                <c:pt idx="6">
                  <c:v>2.5711860269462941E-2</c:v>
                </c:pt>
              </c:numCache>
            </c:numRef>
          </c:val>
          <c:extLst>
            <c:ext xmlns:c16="http://schemas.microsoft.com/office/drawing/2014/chart" uri="{C3380CC4-5D6E-409C-BE32-E72D297353CC}">
              <c16:uniqueId val="{0000000E-9EBD-4864-9D31-E1BA68DCB9A3}"/>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95459429910775"/>
          <c:y val="0.2137705597194961"/>
          <c:w val="0.6971989770893473"/>
          <c:h val="0.6845384341394285"/>
        </c:manualLayout>
      </c:layout>
      <c:pie3DChart>
        <c:varyColors val="1"/>
        <c:ser>
          <c:idx val="0"/>
          <c:order val="0"/>
          <c:explosion val="25"/>
          <c:dPt>
            <c:idx val="0"/>
            <c:bubble3D val="0"/>
            <c:explosion val="18"/>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C462-48C5-8B4B-A8F434652C65}"/>
              </c:ext>
            </c:extLst>
          </c:dPt>
          <c:dPt>
            <c:idx val="1"/>
            <c:bubble3D val="0"/>
            <c:explosion val="2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C462-48C5-8B4B-A8F434652C65}"/>
              </c:ext>
            </c:extLst>
          </c:dPt>
          <c:dPt>
            <c:idx val="2"/>
            <c:bubble3D val="0"/>
            <c:explosion val="17"/>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C462-48C5-8B4B-A8F434652C65}"/>
              </c:ext>
            </c:extLst>
          </c:dPt>
          <c:dPt>
            <c:idx val="3"/>
            <c:bubble3D val="0"/>
            <c:explosion val="16"/>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C462-48C5-8B4B-A8F434652C65}"/>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C462-48C5-8B4B-A8F434652C65}"/>
              </c:ext>
            </c:extLst>
          </c:dPt>
          <c:dPt>
            <c:idx val="5"/>
            <c:bubble3D val="0"/>
            <c:explosion val="18"/>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C462-48C5-8B4B-A8F434652C65}"/>
              </c:ext>
            </c:extLst>
          </c:dPt>
          <c:dLbls>
            <c:dLbl>
              <c:idx val="0"/>
              <c:layout>
                <c:manualLayout>
                  <c:x val="8.6709632373196163E-2"/>
                  <c:y val="4.2979773846331094E-2"/>
                </c:manualLayout>
              </c:layout>
              <c:tx>
                <c:rich>
                  <a:bodyPr/>
                  <a:lstStyle/>
                  <a:p>
                    <a:fld id="{E4FCDBA9-D6D0-4BC4-B356-3D9893729B58}" type="CATEGORYNAME">
                      <a:rPr lang="en-US" sz="800"/>
                      <a:pPr/>
                      <a:t>[IME KATEGORIJE]</a:t>
                    </a:fld>
                    <a:r>
                      <a:rPr lang="en-US" sz="800" baseline="0"/>
                      <a:t>; </a:t>
                    </a:r>
                    <a:fld id="{066CF063-B3B0-46C3-AADD-BC708C9105EE}" type="VALUE">
                      <a:rPr lang="en-US" sz="800" baseline="0"/>
                      <a:pPr/>
                      <a:t>[VREDNOST]</a:t>
                    </a:fld>
                    <a:r>
                      <a:rPr lang="en-US" sz="800" baseline="0"/>
                      <a:t>; </a:t>
                    </a:r>
                    <a:fld id="{00F6283D-F8DE-4CE3-BB68-8D2BDB380C1C}" type="PERCENTAGE">
                      <a:rPr lang="en-US" sz="800" baseline="0"/>
                      <a:pPr/>
                      <a:t>[ODSTOTEK]</a:t>
                    </a:fld>
                    <a:endParaRPr lang="en-US" sz="800"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62-48C5-8B4B-A8F434652C65}"/>
                </c:ext>
              </c:extLst>
            </c:dLbl>
            <c:dLbl>
              <c:idx val="1"/>
              <c:layout>
                <c:manualLayout>
                  <c:x val="-4.8406994312351424E-2"/>
                  <c:y val="5.33207270291964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62-48C5-8B4B-A8F434652C65}"/>
                </c:ext>
              </c:extLst>
            </c:dLbl>
            <c:dLbl>
              <c:idx val="2"/>
              <c:layout>
                <c:manualLayout>
                  <c:x val="-0.12411216202501571"/>
                  <c:y val="2.405695419600596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62-48C5-8B4B-A8F434652C65}"/>
                </c:ext>
              </c:extLst>
            </c:dLbl>
            <c:dLbl>
              <c:idx val="3"/>
              <c:layout>
                <c:manualLayout>
                  <c:x val="-2.6192266241768881E-2"/>
                  <c:y val="-0.1204662855229400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462-48C5-8B4B-A8F434652C65}"/>
                </c:ext>
              </c:extLst>
            </c:dLbl>
            <c:dLbl>
              <c:idx val="4"/>
              <c:layout>
                <c:manualLayout>
                  <c:x val="8.7558436334947323E-2"/>
                  <c:y val="-6.421323548148716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462-48C5-8B4B-A8F434652C65}"/>
                </c:ext>
              </c:extLst>
            </c:dLbl>
            <c:dLbl>
              <c:idx val="5"/>
              <c:layout>
                <c:manualLayout>
                  <c:x val="7.420138298036906E-2"/>
                  <c:y val="-3.4345743189868258E-2"/>
                </c:manualLayout>
              </c:layout>
              <c:tx>
                <c:rich>
                  <a:bodyPr/>
                  <a:lstStyle/>
                  <a:p>
                    <a:fld id="{7ECAD9E1-C508-4F1B-BD29-01AE6CD60103}" type="CATEGORYNAME">
                      <a:rPr lang="en-US"/>
                      <a:pPr/>
                      <a:t>[IME KATEGORIJE]</a:t>
                    </a:fld>
                    <a:r>
                      <a:rPr lang="en-US" baseline="0"/>
                      <a:t>; </a:t>
                    </a:r>
                    <a:fld id="{EA7FFA4B-E6A2-41FE-986D-1B301CDAB03F}" type="VALUE">
                      <a:rPr lang="en-US" baseline="0"/>
                      <a:pPr/>
                      <a:t>[VREDNOST]</a:t>
                    </a:fld>
                    <a:r>
                      <a:rPr lang="en-US" baseline="0"/>
                      <a:t>; 0,6%</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462-48C5-8B4B-A8F434652C6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'rubeži graf'!$A$4:$A$9</c:f>
              <c:strCache>
                <c:ptCount val="6"/>
                <c:pt idx="0">
                  <c:v>Motorna vozila</c:v>
                </c:pt>
                <c:pt idx="1">
                  <c:v>Gotovina</c:v>
                </c:pt>
                <c:pt idx="2">
                  <c:v>Vrednostni papirji</c:v>
                </c:pt>
                <c:pt idx="3">
                  <c:v>Trgovsko blago</c:v>
                </c:pt>
                <c:pt idx="4">
                  <c:v>Osnovna sredstva</c:v>
                </c:pt>
                <c:pt idx="5">
                  <c:v>Druge premičnine</c:v>
                </c:pt>
              </c:strCache>
            </c:strRef>
          </c:cat>
          <c:val>
            <c:numRef>
              <c:f>'rubeži graf'!$B$4:$B$9</c:f>
              <c:numCache>
                <c:formatCode>#,##0</c:formatCode>
                <c:ptCount val="6"/>
                <c:pt idx="0">
                  <c:v>1553</c:v>
                </c:pt>
                <c:pt idx="1">
                  <c:v>851</c:v>
                </c:pt>
                <c:pt idx="2">
                  <c:v>7</c:v>
                </c:pt>
                <c:pt idx="3">
                  <c:v>1657</c:v>
                </c:pt>
                <c:pt idx="4">
                  <c:v>1224</c:v>
                </c:pt>
                <c:pt idx="5">
                  <c:v>31</c:v>
                </c:pt>
              </c:numCache>
            </c:numRef>
          </c:val>
          <c:extLst>
            <c:ext xmlns:c16="http://schemas.microsoft.com/office/drawing/2014/chart" uri="{C3380CC4-5D6E-409C-BE32-E72D297353CC}">
              <c16:uniqueId val="{0000000C-C462-48C5-8B4B-A8F434652C65}"/>
            </c:ext>
          </c:extLst>
        </c:ser>
        <c:dLbls>
          <c:dLblPos val="inEnd"/>
          <c:showLegendKey val="0"/>
          <c:showVal val="1"/>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C9012830C474E459D50EBCA3B3D6B63" ma:contentTypeVersion="9" ma:contentTypeDescription="Ustvari nov dokument." ma:contentTypeScope="" ma:versionID="fd664f5bf107ced33aa7595770fde875">
  <xsd:schema xmlns:xsd="http://www.w3.org/2001/XMLSchema" xmlns:xs="http://www.w3.org/2001/XMLSchema" xmlns:p="http://schemas.microsoft.com/office/2006/metadata/properties" xmlns:ns2="151a32cb-68d4-46e2-8990-209d00cbea1a" targetNamespace="http://schemas.microsoft.com/office/2006/metadata/properties" ma:root="true" ma:fieldsID="a3b2270566a2f69ad3c9649f02e63972" ns2:_="">
    <xsd:import namespace="151a32cb-68d4-46e2-8990-209d00cbea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51a32cb-68d4-46e2-8990-209d00cbea1a"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A97F0C6-DCD9-405F-894F-7C6BBD27A61D}">
  <ds:schemaRefs>
    <ds:schemaRef ds:uri="http://schemas.microsoft.com/sharepoint/v3/contenttype/forms"/>
  </ds:schemaRefs>
</ds:datastoreItem>
</file>

<file path=customXml/itemProps2.xml><?xml version="1.0" encoding="utf-8"?>
<ds:datastoreItem xmlns:ds="http://schemas.openxmlformats.org/officeDocument/2006/customXml" ds:itemID="{4B9E63B9-FE99-4770-900D-032356B396FF}">
  <ds:schemaRefs>
    <ds:schemaRef ds:uri="http://schemas.openxmlformats.org/officeDocument/2006/bibliography"/>
  </ds:schemaRefs>
</ds:datastoreItem>
</file>

<file path=customXml/itemProps3.xml><?xml version="1.0" encoding="utf-8"?>
<ds:datastoreItem xmlns:ds="http://schemas.openxmlformats.org/officeDocument/2006/customXml" ds:itemID="{7B12326C-AF8F-4ACD-82B7-8CDF7DE70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F0865-7327-402D-BF6B-D12FDDC727AC}">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151a32cb-68d4-46e2-8990-209d00cbea1a"/>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B06E414A-4CBA-4C91-984E-C07C3BBF1B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15737</Words>
  <Characters>89704</Characters>
  <Application>Microsoft Office Word</Application>
  <DocSecurity>0</DocSecurity>
  <Lines>747</Lines>
  <Paragraphs>210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Bevc</dc:creator>
  <cp:keywords/>
  <dc:description/>
  <cp:lastModifiedBy>Irma Medle</cp:lastModifiedBy>
  <cp:revision>2</cp:revision>
  <dcterms:created xsi:type="dcterms:W3CDTF">2025-09-24T06:18:00Z</dcterms:created>
  <dcterms:modified xsi:type="dcterms:W3CDTF">2025-09-24T06:18:00Z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0x0101002C9012830C474E459D50EBCA3B3D6B63</vt:lpwstr>
  </property>
</Properties>
</file>