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5252" w14:textId="77777777" w:rsidR="00A40F77" w:rsidRPr="00457816" w:rsidRDefault="00A40F77" w:rsidP="00A40F77">
      <w:pPr>
        <w:spacing w:line="240" w:lineRule="auto"/>
        <w:jc w:val="right"/>
        <w:rPr>
          <w:rFonts w:cs="Arial"/>
          <w:bCs/>
          <w:szCs w:val="20"/>
        </w:rPr>
      </w:pPr>
      <w:bookmarkStart w:id="0" w:name="_Hlk89428144"/>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8"/>
        <w:gridCol w:w="4789"/>
        <w:gridCol w:w="655"/>
        <w:gridCol w:w="2271"/>
      </w:tblGrid>
      <w:tr w:rsidR="00C8002E" w:rsidRPr="00457816" w14:paraId="5403C029" w14:textId="77777777" w:rsidTr="00FC73C0">
        <w:trPr>
          <w:gridAfter w:val="2"/>
          <w:wAfter w:w="2926" w:type="dxa"/>
        </w:trPr>
        <w:tc>
          <w:tcPr>
            <w:tcW w:w="6237" w:type="dxa"/>
            <w:gridSpan w:val="2"/>
          </w:tcPr>
          <w:p w14:paraId="73851857" w14:textId="0810268C" w:rsidR="00C8002E" w:rsidRPr="006B37A8" w:rsidRDefault="00C8002E" w:rsidP="00FC73C0">
            <w:pPr>
              <w:pStyle w:val="Neotevilenodstavek"/>
              <w:spacing w:before="120" w:after="120"/>
              <w:rPr>
                <w:rFonts w:cs="Arial"/>
                <w:sz w:val="20"/>
                <w:lang w:eastAsia="sl-SI"/>
              </w:rPr>
            </w:pPr>
            <w:r w:rsidRPr="006B37A8">
              <w:rPr>
                <w:rFonts w:cs="Arial"/>
                <w:sz w:val="20"/>
                <w:lang w:eastAsia="sl-SI"/>
              </w:rPr>
              <w:t xml:space="preserve">Številka: </w:t>
            </w:r>
            <w:r>
              <w:rPr>
                <w:rFonts w:cs="Arial"/>
                <w:sz w:val="20"/>
                <w:lang w:eastAsia="sl-SI"/>
              </w:rPr>
              <w:t>007-</w:t>
            </w:r>
            <w:r w:rsidR="00214B36">
              <w:rPr>
                <w:rFonts w:cs="Arial"/>
                <w:sz w:val="20"/>
                <w:lang w:eastAsia="sl-SI"/>
              </w:rPr>
              <w:t>476</w:t>
            </w:r>
            <w:r>
              <w:rPr>
                <w:rFonts w:cs="Arial"/>
                <w:sz w:val="20"/>
                <w:lang w:eastAsia="sl-SI"/>
              </w:rPr>
              <w:t>/2025/</w:t>
            </w:r>
            <w:r w:rsidR="00DE30E6">
              <w:rPr>
                <w:rFonts w:cs="Arial"/>
                <w:sz w:val="20"/>
                <w:lang w:eastAsia="sl-SI"/>
              </w:rPr>
              <w:t>4</w:t>
            </w:r>
            <w:r w:rsidR="001776D9">
              <w:rPr>
                <w:rFonts w:cs="Arial"/>
                <w:sz w:val="20"/>
                <w:lang w:eastAsia="sl-SI"/>
              </w:rPr>
              <w:t>2</w:t>
            </w:r>
          </w:p>
        </w:tc>
      </w:tr>
      <w:tr w:rsidR="00C8002E" w:rsidRPr="00457816" w14:paraId="3D4451AE" w14:textId="77777777" w:rsidTr="00FC73C0">
        <w:trPr>
          <w:gridAfter w:val="2"/>
          <w:wAfter w:w="2926" w:type="dxa"/>
        </w:trPr>
        <w:tc>
          <w:tcPr>
            <w:tcW w:w="6237" w:type="dxa"/>
            <w:gridSpan w:val="2"/>
          </w:tcPr>
          <w:p w14:paraId="2EEFB6CB" w14:textId="4D6201BF" w:rsidR="00C8002E" w:rsidRPr="00457816" w:rsidRDefault="00C8002E" w:rsidP="00FC73C0">
            <w:pPr>
              <w:pStyle w:val="Neotevilenodstavek"/>
              <w:spacing w:before="120" w:after="120"/>
              <w:rPr>
                <w:rFonts w:cs="Arial"/>
                <w:sz w:val="20"/>
                <w:lang w:eastAsia="sl-SI"/>
              </w:rPr>
            </w:pPr>
            <w:r w:rsidRPr="00457816">
              <w:rPr>
                <w:rFonts w:cs="Arial"/>
                <w:sz w:val="20"/>
                <w:lang w:eastAsia="sl-SI"/>
              </w:rPr>
              <w:t xml:space="preserve">Ljubljana, </w:t>
            </w:r>
            <w:r w:rsidR="00DE30E6">
              <w:rPr>
                <w:rFonts w:cs="Arial"/>
                <w:sz w:val="20"/>
                <w:lang w:eastAsia="sl-SI"/>
              </w:rPr>
              <w:t>2</w:t>
            </w:r>
            <w:r w:rsidR="00311340">
              <w:rPr>
                <w:rFonts w:cs="Arial"/>
                <w:sz w:val="20"/>
                <w:lang w:eastAsia="sl-SI"/>
              </w:rPr>
              <w:t>8</w:t>
            </w:r>
            <w:r>
              <w:rPr>
                <w:rFonts w:cs="Arial"/>
                <w:sz w:val="20"/>
                <w:lang w:eastAsia="sl-SI"/>
              </w:rPr>
              <w:t xml:space="preserve">. </w:t>
            </w:r>
            <w:r w:rsidR="00214B36">
              <w:rPr>
                <w:rFonts w:cs="Arial"/>
                <w:sz w:val="20"/>
                <w:lang w:eastAsia="sl-SI"/>
              </w:rPr>
              <w:t>1</w:t>
            </w:r>
            <w:r w:rsidR="005740E7">
              <w:rPr>
                <w:rFonts w:cs="Arial"/>
                <w:sz w:val="20"/>
                <w:lang w:eastAsia="sl-SI"/>
              </w:rPr>
              <w:t>1</w:t>
            </w:r>
            <w:r>
              <w:rPr>
                <w:rFonts w:cs="Arial"/>
                <w:sz w:val="20"/>
                <w:lang w:eastAsia="sl-SI"/>
              </w:rPr>
              <w:t>. 2025</w:t>
            </w:r>
          </w:p>
        </w:tc>
      </w:tr>
      <w:tr w:rsidR="00C8002E" w:rsidRPr="00457816" w14:paraId="35399FC8" w14:textId="77777777" w:rsidTr="00FC73C0">
        <w:trPr>
          <w:gridAfter w:val="2"/>
          <w:wAfter w:w="2926" w:type="dxa"/>
        </w:trPr>
        <w:tc>
          <w:tcPr>
            <w:tcW w:w="6237" w:type="dxa"/>
            <w:gridSpan w:val="2"/>
          </w:tcPr>
          <w:p w14:paraId="00FE4214" w14:textId="055750C3" w:rsidR="00C8002E" w:rsidRPr="00457816" w:rsidRDefault="00C8002E" w:rsidP="00FC73C0">
            <w:pPr>
              <w:pStyle w:val="Neotevilenodstavek"/>
              <w:spacing w:before="120" w:after="120"/>
              <w:rPr>
                <w:rFonts w:cs="Arial"/>
                <w:sz w:val="20"/>
                <w:lang w:eastAsia="sl-SI"/>
              </w:rPr>
            </w:pPr>
            <w:r w:rsidRPr="00457816">
              <w:rPr>
                <w:rFonts w:cs="Arial"/>
                <w:sz w:val="20"/>
                <w:lang w:eastAsia="sl-SI"/>
              </w:rPr>
              <w:t xml:space="preserve">EVA: </w:t>
            </w:r>
            <w:r w:rsidR="00E95102">
              <w:rPr>
                <w:rFonts w:cs="Arial"/>
                <w:sz w:val="20"/>
                <w:lang w:eastAsia="sl-SI"/>
              </w:rPr>
              <w:t>2025-1611-0059</w:t>
            </w:r>
          </w:p>
        </w:tc>
      </w:tr>
      <w:tr w:rsidR="00C8002E" w:rsidRPr="00457816" w14:paraId="2A0A7E4F" w14:textId="77777777" w:rsidTr="00FC73C0">
        <w:trPr>
          <w:gridAfter w:val="2"/>
          <w:wAfter w:w="2926" w:type="dxa"/>
        </w:trPr>
        <w:tc>
          <w:tcPr>
            <w:tcW w:w="6237" w:type="dxa"/>
            <w:gridSpan w:val="2"/>
          </w:tcPr>
          <w:p w14:paraId="7EB37D11" w14:textId="77777777" w:rsidR="00C8002E" w:rsidRPr="00457816" w:rsidRDefault="00C8002E" w:rsidP="00FC73C0">
            <w:pPr>
              <w:pStyle w:val="Brezrazmikov"/>
              <w:rPr>
                <w:sz w:val="20"/>
                <w:szCs w:val="20"/>
                <w:lang w:val="sl-SI"/>
              </w:rPr>
            </w:pPr>
          </w:p>
          <w:p w14:paraId="46D1F078" w14:textId="77777777" w:rsidR="00C8002E" w:rsidRPr="00457816" w:rsidRDefault="00C8002E" w:rsidP="00FC73C0">
            <w:pPr>
              <w:pStyle w:val="Brezrazmikov"/>
              <w:rPr>
                <w:sz w:val="20"/>
                <w:szCs w:val="20"/>
                <w:lang w:val="sl-SI"/>
              </w:rPr>
            </w:pPr>
            <w:r w:rsidRPr="00457816">
              <w:rPr>
                <w:sz w:val="20"/>
                <w:szCs w:val="20"/>
                <w:lang w:val="sl-SI"/>
              </w:rPr>
              <w:t>GENERALNI SEKRETARIAT VLADE REPUBLIKE SLOVENIJE</w:t>
            </w:r>
          </w:p>
          <w:p w14:paraId="7F03146A" w14:textId="77777777" w:rsidR="00C8002E" w:rsidRPr="00457816" w:rsidRDefault="00C8002E" w:rsidP="00FC73C0">
            <w:pPr>
              <w:pStyle w:val="Brezrazmikov"/>
              <w:rPr>
                <w:sz w:val="20"/>
                <w:szCs w:val="20"/>
                <w:lang w:val="sl-SI"/>
              </w:rPr>
            </w:pPr>
            <w:hyperlink r:id="rId11" w:history="1">
              <w:r w:rsidRPr="00457816">
                <w:rPr>
                  <w:rStyle w:val="Hiperpovezava"/>
                  <w:sz w:val="20"/>
                  <w:szCs w:val="20"/>
                  <w:lang w:val="sl-SI"/>
                </w:rPr>
                <w:t>Gp.gs@gov.si</w:t>
              </w:r>
            </w:hyperlink>
          </w:p>
          <w:p w14:paraId="34332B22" w14:textId="77777777" w:rsidR="00C8002E" w:rsidRPr="00457816" w:rsidRDefault="00C8002E" w:rsidP="00FC73C0">
            <w:pPr>
              <w:pStyle w:val="Brezrazmikov"/>
              <w:rPr>
                <w:sz w:val="20"/>
                <w:szCs w:val="20"/>
                <w:lang w:val="sl-SI"/>
              </w:rPr>
            </w:pPr>
          </w:p>
        </w:tc>
      </w:tr>
      <w:tr w:rsidR="00C8002E" w:rsidRPr="00457816" w14:paraId="60907CE6" w14:textId="77777777" w:rsidTr="00FC73C0">
        <w:tc>
          <w:tcPr>
            <w:tcW w:w="9163" w:type="dxa"/>
            <w:gridSpan w:val="4"/>
          </w:tcPr>
          <w:p w14:paraId="6F9C770F" w14:textId="23E52A13" w:rsidR="00C8002E" w:rsidRPr="00457816" w:rsidRDefault="00C8002E" w:rsidP="00FC73C0">
            <w:pPr>
              <w:pStyle w:val="Naslovpredpisa"/>
              <w:spacing w:before="0" w:after="0" w:line="260" w:lineRule="atLeast"/>
              <w:jc w:val="both"/>
              <w:rPr>
                <w:sz w:val="20"/>
                <w:szCs w:val="20"/>
                <w:lang w:eastAsia="sl-SI"/>
              </w:rPr>
            </w:pPr>
            <w:r w:rsidRPr="00457816">
              <w:rPr>
                <w:sz w:val="20"/>
                <w:szCs w:val="20"/>
              </w:rPr>
              <w:t xml:space="preserve">ZADEVA: </w:t>
            </w:r>
            <w:r w:rsidRPr="00661DE5">
              <w:rPr>
                <w:sz w:val="20"/>
                <w:szCs w:val="20"/>
              </w:rPr>
              <w:t xml:space="preserve">Predlog Zakona o </w:t>
            </w:r>
            <w:r>
              <w:rPr>
                <w:sz w:val="20"/>
                <w:szCs w:val="20"/>
              </w:rPr>
              <w:t xml:space="preserve">spremembah in </w:t>
            </w:r>
            <w:r w:rsidR="002708D6">
              <w:rPr>
                <w:sz w:val="20"/>
                <w:szCs w:val="20"/>
              </w:rPr>
              <w:t xml:space="preserve">dopolnitvi </w:t>
            </w:r>
            <w:r w:rsidRPr="00CE3BD9">
              <w:rPr>
                <w:sz w:val="20"/>
                <w:szCs w:val="20"/>
              </w:rPr>
              <w:t>Zakon</w:t>
            </w:r>
            <w:r>
              <w:rPr>
                <w:sz w:val="20"/>
                <w:szCs w:val="20"/>
              </w:rPr>
              <w:t>a</w:t>
            </w:r>
            <w:r w:rsidRPr="00CE3BD9">
              <w:rPr>
                <w:sz w:val="20"/>
                <w:szCs w:val="20"/>
              </w:rPr>
              <w:t xml:space="preserve"> o prvem pokojninskem skladu Republike Slovenije in preoblikovanju pooblaščenih investicijskih družb</w:t>
            </w:r>
          </w:p>
        </w:tc>
      </w:tr>
      <w:tr w:rsidR="00C8002E" w:rsidRPr="00457816" w14:paraId="03AE6D97" w14:textId="77777777" w:rsidTr="00FC73C0">
        <w:tc>
          <w:tcPr>
            <w:tcW w:w="9163" w:type="dxa"/>
            <w:gridSpan w:val="4"/>
          </w:tcPr>
          <w:p w14:paraId="2214668A" w14:textId="77777777" w:rsidR="00C8002E" w:rsidRPr="00457816" w:rsidRDefault="00C8002E" w:rsidP="00FC73C0">
            <w:pPr>
              <w:pStyle w:val="Brezrazmikov"/>
              <w:rPr>
                <w:b/>
                <w:sz w:val="20"/>
                <w:szCs w:val="20"/>
                <w:lang w:val="sl-SI"/>
              </w:rPr>
            </w:pPr>
            <w:r w:rsidRPr="00457816">
              <w:rPr>
                <w:b/>
                <w:sz w:val="20"/>
                <w:szCs w:val="20"/>
                <w:lang w:val="sl-SI"/>
              </w:rPr>
              <w:t>1. Predlog sklepa vlade:</w:t>
            </w:r>
          </w:p>
        </w:tc>
      </w:tr>
      <w:tr w:rsidR="00C8002E" w:rsidRPr="00457816" w14:paraId="2BEE636F" w14:textId="77777777" w:rsidTr="00FC73C0">
        <w:tc>
          <w:tcPr>
            <w:tcW w:w="9163" w:type="dxa"/>
            <w:gridSpan w:val="4"/>
          </w:tcPr>
          <w:p w14:paraId="55AEE8D6" w14:textId="77777777" w:rsidR="00C8002E" w:rsidRPr="00457816" w:rsidRDefault="00C8002E" w:rsidP="00FC73C0">
            <w:pPr>
              <w:pStyle w:val="Brezrazmikov"/>
              <w:jc w:val="both"/>
              <w:rPr>
                <w:sz w:val="20"/>
                <w:szCs w:val="20"/>
                <w:lang w:val="sl-SI"/>
              </w:rPr>
            </w:pPr>
          </w:p>
          <w:p w14:paraId="32272F50" w14:textId="6077AD1A" w:rsidR="00C8002E" w:rsidRPr="00457816" w:rsidRDefault="00C8002E" w:rsidP="00FC73C0">
            <w:pPr>
              <w:pStyle w:val="Brezrazmikov"/>
              <w:jc w:val="both"/>
              <w:rPr>
                <w:sz w:val="20"/>
                <w:szCs w:val="20"/>
                <w:lang w:val="sl-SI"/>
              </w:rPr>
            </w:pPr>
            <w:r w:rsidRPr="00457816">
              <w:rPr>
                <w:sz w:val="20"/>
                <w:szCs w:val="20"/>
                <w:lang w:val="sl-SI"/>
              </w:rPr>
              <w:t>Na podlagi drugega odstavka 2. člena Zakona o Vladi Republike Slovenije (Uradni list RS, št. 24/05 – uradno prečiščeno besedilo, 109/08, 38/10 – ZUKN, 8/12, 21/13, 47/13 – ZDU-1G, 65/14, 55/17</w:t>
            </w:r>
            <w:r w:rsidR="00C666F3">
              <w:rPr>
                <w:sz w:val="20"/>
                <w:szCs w:val="20"/>
                <w:lang w:val="sl-SI"/>
              </w:rPr>
              <w:t>,</w:t>
            </w:r>
            <w:r w:rsidRPr="00457816">
              <w:rPr>
                <w:sz w:val="20"/>
                <w:szCs w:val="20"/>
                <w:lang w:val="sl-SI"/>
              </w:rPr>
              <w:t xml:space="preserve"> 163/22</w:t>
            </w:r>
            <w:r w:rsidR="00C666F3">
              <w:rPr>
                <w:sz w:val="20"/>
                <w:szCs w:val="20"/>
                <w:lang w:val="sl-SI"/>
              </w:rPr>
              <w:t xml:space="preserve"> </w:t>
            </w:r>
            <w:r w:rsidR="00C666F3" w:rsidRPr="00C666F3">
              <w:rPr>
                <w:sz w:val="20"/>
                <w:szCs w:val="20"/>
                <w:lang w:val="sl-SI"/>
              </w:rPr>
              <w:t>in 57/25 – ZF</w:t>
            </w:r>
            <w:r w:rsidRPr="00457816">
              <w:rPr>
                <w:sz w:val="20"/>
                <w:szCs w:val="20"/>
                <w:lang w:val="sl-SI"/>
              </w:rPr>
              <w:t>) je Vlada Republike Slovenije na svoji … seji dne … pod točko… sprejela naslednji</w:t>
            </w:r>
          </w:p>
          <w:p w14:paraId="244ED42D" w14:textId="77777777" w:rsidR="00C8002E" w:rsidRPr="00457816" w:rsidRDefault="00C8002E" w:rsidP="00FC73C0">
            <w:pPr>
              <w:pStyle w:val="Brezrazmikov"/>
              <w:jc w:val="both"/>
              <w:rPr>
                <w:sz w:val="20"/>
                <w:szCs w:val="20"/>
                <w:lang w:val="sl-SI"/>
              </w:rPr>
            </w:pPr>
          </w:p>
          <w:p w14:paraId="7F2E7A17" w14:textId="77777777" w:rsidR="00C8002E" w:rsidRPr="00457816" w:rsidRDefault="00C8002E" w:rsidP="00FC73C0">
            <w:pPr>
              <w:pStyle w:val="Brezrazmikov"/>
              <w:jc w:val="center"/>
              <w:rPr>
                <w:sz w:val="20"/>
                <w:szCs w:val="20"/>
                <w:lang w:val="sl-SI" w:eastAsia="sl-SI"/>
              </w:rPr>
            </w:pPr>
            <w:r w:rsidRPr="00457816">
              <w:rPr>
                <w:sz w:val="20"/>
                <w:szCs w:val="20"/>
                <w:lang w:val="sl-SI"/>
              </w:rPr>
              <w:t>S K L E P</w:t>
            </w:r>
            <w:r>
              <w:rPr>
                <w:sz w:val="20"/>
                <w:szCs w:val="20"/>
                <w:lang w:val="sl-SI"/>
              </w:rPr>
              <w:t xml:space="preserve"> </w:t>
            </w:r>
            <w:r w:rsidRPr="00457816">
              <w:rPr>
                <w:sz w:val="20"/>
                <w:szCs w:val="20"/>
                <w:lang w:val="sl-SI"/>
              </w:rPr>
              <w:t xml:space="preserve">: </w:t>
            </w:r>
          </w:p>
          <w:p w14:paraId="350EC9F4" w14:textId="77777777" w:rsidR="00C8002E" w:rsidRPr="00457816" w:rsidRDefault="00C8002E" w:rsidP="00FC73C0">
            <w:pPr>
              <w:autoSpaceDE w:val="0"/>
              <w:autoSpaceDN w:val="0"/>
              <w:adjustRightInd w:val="0"/>
              <w:ind w:left="540"/>
              <w:jc w:val="both"/>
              <w:rPr>
                <w:rFonts w:cs="Arial"/>
                <w:szCs w:val="20"/>
              </w:rPr>
            </w:pPr>
          </w:p>
          <w:p w14:paraId="13666A63" w14:textId="298BEE99" w:rsidR="00C8002E" w:rsidRPr="00457816" w:rsidRDefault="00C8002E" w:rsidP="00FC73C0">
            <w:pPr>
              <w:pStyle w:val="Brezrazmikov"/>
              <w:jc w:val="both"/>
              <w:rPr>
                <w:sz w:val="20"/>
                <w:szCs w:val="20"/>
                <w:lang w:val="sl-SI"/>
              </w:rPr>
            </w:pPr>
            <w:r w:rsidRPr="00457816">
              <w:rPr>
                <w:sz w:val="20"/>
                <w:szCs w:val="20"/>
                <w:lang w:val="sl-SI"/>
              </w:rPr>
              <w:t xml:space="preserve">Vlada Republike Slovenije je določila besedilo </w:t>
            </w:r>
            <w:r w:rsidR="00C666F3">
              <w:rPr>
                <w:sz w:val="20"/>
                <w:szCs w:val="20"/>
                <w:lang w:val="sl-SI"/>
              </w:rPr>
              <w:t>P</w:t>
            </w:r>
            <w:r w:rsidRPr="00457816">
              <w:rPr>
                <w:sz w:val="20"/>
                <w:szCs w:val="20"/>
                <w:lang w:val="sl-SI"/>
              </w:rPr>
              <w:t>redloga</w:t>
            </w:r>
            <w:r>
              <w:rPr>
                <w:sz w:val="20"/>
                <w:szCs w:val="20"/>
                <w:lang w:val="sl-SI"/>
              </w:rPr>
              <w:t xml:space="preserve"> </w:t>
            </w:r>
            <w:r w:rsidR="00C666F3">
              <w:rPr>
                <w:sz w:val="20"/>
                <w:szCs w:val="20"/>
                <w:lang w:val="sl-SI"/>
              </w:rPr>
              <w:t>z</w:t>
            </w:r>
            <w:r>
              <w:rPr>
                <w:sz w:val="20"/>
                <w:szCs w:val="20"/>
                <w:lang w:val="sl-SI"/>
              </w:rPr>
              <w:t xml:space="preserve">akona o spremembah in </w:t>
            </w:r>
            <w:r w:rsidR="002708D6">
              <w:rPr>
                <w:sz w:val="20"/>
                <w:szCs w:val="20"/>
                <w:lang w:val="sl-SI"/>
              </w:rPr>
              <w:t xml:space="preserve">dopolnitvi </w:t>
            </w:r>
            <w:r w:rsidRPr="00CE3BD9">
              <w:rPr>
                <w:sz w:val="20"/>
                <w:szCs w:val="20"/>
                <w:lang w:val="sl-SI"/>
              </w:rPr>
              <w:t>Zakon</w:t>
            </w:r>
            <w:r>
              <w:rPr>
                <w:sz w:val="20"/>
                <w:szCs w:val="20"/>
                <w:lang w:val="sl-SI"/>
              </w:rPr>
              <w:t>a</w:t>
            </w:r>
            <w:r w:rsidRPr="00CE3BD9">
              <w:rPr>
                <w:sz w:val="20"/>
                <w:szCs w:val="20"/>
                <w:lang w:val="sl-SI"/>
              </w:rPr>
              <w:t xml:space="preserve"> o prvem pokojninskem skladu Republike Slovenije in preoblikovanju pooblaščenih investicijskih družb</w:t>
            </w:r>
            <w:r>
              <w:rPr>
                <w:sz w:val="20"/>
                <w:szCs w:val="20"/>
                <w:lang w:val="sl-SI"/>
              </w:rPr>
              <w:t>,</w:t>
            </w:r>
            <w:r w:rsidRPr="00E03DC4">
              <w:rPr>
                <w:sz w:val="20"/>
                <w:szCs w:val="20"/>
                <w:lang w:val="sl-SI"/>
              </w:rPr>
              <w:t xml:space="preserve"> </w:t>
            </w:r>
            <w:r>
              <w:rPr>
                <w:sz w:val="20"/>
                <w:szCs w:val="20"/>
                <w:lang w:val="sl-SI"/>
              </w:rPr>
              <w:t>ter</w:t>
            </w:r>
            <w:r w:rsidRPr="00457816">
              <w:rPr>
                <w:sz w:val="20"/>
                <w:szCs w:val="20"/>
                <w:lang w:val="sl-SI"/>
              </w:rPr>
              <w:t xml:space="preserve"> ga predloži Državnemu zboru Republike Slovenije v obravnavo in sprejetje po </w:t>
            </w:r>
            <w:r>
              <w:rPr>
                <w:sz w:val="20"/>
                <w:szCs w:val="20"/>
                <w:lang w:val="sl-SI"/>
              </w:rPr>
              <w:t xml:space="preserve">rednem </w:t>
            </w:r>
            <w:r w:rsidRPr="00457816">
              <w:rPr>
                <w:sz w:val="20"/>
                <w:szCs w:val="20"/>
                <w:lang w:val="sl-SI"/>
              </w:rPr>
              <w:t>zakonodajnem postopku.</w:t>
            </w:r>
          </w:p>
          <w:p w14:paraId="5B0C1C26" w14:textId="77777777" w:rsidR="00C8002E" w:rsidRPr="00457816" w:rsidRDefault="00C8002E" w:rsidP="00FC73C0">
            <w:pPr>
              <w:rPr>
                <w:rFonts w:cs="Arial"/>
                <w:bCs/>
                <w:szCs w:val="20"/>
                <w:lang w:eastAsia="ar-SA"/>
              </w:rPr>
            </w:pPr>
          </w:p>
          <w:p w14:paraId="7AA0C2E1" w14:textId="77777777" w:rsidR="00C8002E" w:rsidRPr="00457816" w:rsidRDefault="00C8002E" w:rsidP="00FC73C0">
            <w:pPr>
              <w:rPr>
                <w:rFonts w:cs="Arial"/>
                <w:bCs/>
                <w:szCs w:val="20"/>
                <w:lang w:eastAsia="ar-SA"/>
              </w:rPr>
            </w:pPr>
          </w:p>
          <w:p w14:paraId="04613338" w14:textId="77777777" w:rsidR="00C8002E" w:rsidRPr="00457816" w:rsidRDefault="00C8002E" w:rsidP="00FC73C0">
            <w:pPr>
              <w:ind w:left="4956"/>
              <w:rPr>
                <w:rFonts w:cs="Arial"/>
                <w:bCs/>
                <w:szCs w:val="20"/>
                <w:lang w:eastAsia="ar-SA"/>
              </w:rPr>
            </w:pPr>
            <w:r w:rsidRPr="00457816">
              <w:rPr>
                <w:rFonts w:cs="Arial"/>
                <w:bCs/>
                <w:szCs w:val="20"/>
                <w:lang w:eastAsia="ar-SA"/>
              </w:rPr>
              <w:t xml:space="preserve">                                                                                                                                                                                                        Barbara Kolenko </w:t>
            </w:r>
            <w:proofErr w:type="spellStart"/>
            <w:r w:rsidRPr="00457816">
              <w:rPr>
                <w:rFonts w:cs="Arial"/>
                <w:bCs/>
                <w:szCs w:val="20"/>
                <w:lang w:eastAsia="ar-SA"/>
              </w:rPr>
              <w:t>Helbl</w:t>
            </w:r>
            <w:proofErr w:type="spellEnd"/>
          </w:p>
          <w:p w14:paraId="1FF69A07" w14:textId="77777777" w:rsidR="00C8002E" w:rsidRPr="00457816" w:rsidRDefault="00C8002E" w:rsidP="00FC73C0">
            <w:pPr>
              <w:rPr>
                <w:rFonts w:cs="Arial"/>
                <w:bCs/>
                <w:szCs w:val="20"/>
                <w:lang w:eastAsia="ar-SA"/>
              </w:rPr>
            </w:pPr>
            <w:r w:rsidRPr="00457816">
              <w:rPr>
                <w:rFonts w:cs="Arial"/>
                <w:bCs/>
                <w:szCs w:val="20"/>
                <w:lang w:eastAsia="ar-SA"/>
              </w:rPr>
              <w:t xml:space="preserve">                                                                                      GENERALNA SEKRETARKA</w:t>
            </w:r>
          </w:p>
          <w:p w14:paraId="527FB83D" w14:textId="77777777" w:rsidR="00C8002E" w:rsidRPr="00457816" w:rsidRDefault="00C8002E" w:rsidP="00FC73C0">
            <w:pPr>
              <w:pStyle w:val="Brezrazmikov"/>
              <w:jc w:val="both"/>
              <w:rPr>
                <w:sz w:val="20"/>
                <w:szCs w:val="20"/>
                <w:lang w:val="sl-SI"/>
              </w:rPr>
            </w:pPr>
          </w:p>
          <w:p w14:paraId="08CBD0C2" w14:textId="77777777" w:rsidR="00C8002E" w:rsidRPr="00457816" w:rsidRDefault="00C8002E" w:rsidP="00FC73C0">
            <w:pPr>
              <w:pStyle w:val="Brezrazmikov"/>
              <w:rPr>
                <w:sz w:val="20"/>
                <w:szCs w:val="20"/>
                <w:lang w:val="sl-SI"/>
              </w:rPr>
            </w:pPr>
          </w:p>
          <w:p w14:paraId="0E1458BA" w14:textId="77777777" w:rsidR="00C8002E" w:rsidRPr="00457816" w:rsidRDefault="00C8002E" w:rsidP="00FC73C0">
            <w:pPr>
              <w:pStyle w:val="Brezrazmikov"/>
              <w:rPr>
                <w:sz w:val="20"/>
                <w:szCs w:val="20"/>
                <w:lang w:val="sl-SI"/>
              </w:rPr>
            </w:pPr>
            <w:r w:rsidRPr="00457816">
              <w:rPr>
                <w:sz w:val="20"/>
                <w:szCs w:val="20"/>
                <w:lang w:val="sl-SI"/>
              </w:rPr>
              <w:t>Prejmejo:</w:t>
            </w:r>
          </w:p>
          <w:p w14:paraId="3D9C9E87" w14:textId="77777777" w:rsidR="00C8002E" w:rsidRPr="00457816" w:rsidRDefault="00C8002E" w:rsidP="00FC73C0">
            <w:pPr>
              <w:pStyle w:val="Brezrazmikov"/>
              <w:jc w:val="both"/>
              <w:rPr>
                <w:sz w:val="20"/>
                <w:szCs w:val="20"/>
                <w:lang w:val="sl-SI"/>
              </w:rPr>
            </w:pPr>
            <w:r w:rsidRPr="00457816">
              <w:rPr>
                <w:sz w:val="20"/>
                <w:szCs w:val="20"/>
                <w:lang w:val="sl-SI"/>
              </w:rPr>
              <w:t>– Državni zbor Republike Slovenije,</w:t>
            </w:r>
          </w:p>
          <w:p w14:paraId="3C7A7B68" w14:textId="77777777" w:rsidR="00C8002E" w:rsidRPr="00457816" w:rsidRDefault="00C8002E" w:rsidP="00FC73C0">
            <w:pPr>
              <w:pStyle w:val="Brezrazmikov"/>
              <w:jc w:val="both"/>
              <w:rPr>
                <w:sz w:val="20"/>
                <w:szCs w:val="20"/>
                <w:lang w:val="sl-SI"/>
              </w:rPr>
            </w:pPr>
            <w:r w:rsidRPr="00457816">
              <w:rPr>
                <w:sz w:val="20"/>
                <w:szCs w:val="20"/>
                <w:lang w:val="sl-SI"/>
              </w:rPr>
              <w:t>– Ministrstvo za finance,</w:t>
            </w:r>
          </w:p>
          <w:p w14:paraId="41DD20DE" w14:textId="77777777" w:rsidR="00C8002E" w:rsidRPr="00457816" w:rsidRDefault="00C8002E" w:rsidP="00FC73C0">
            <w:pPr>
              <w:pStyle w:val="Brezrazmikov"/>
              <w:jc w:val="both"/>
              <w:rPr>
                <w:sz w:val="20"/>
                <w:szCs w:val="20"/>
                <w:lang w:val="sl-SI"/>
              </w:rPr>
            </w:pPr>
            <w:r w:rsidRPr="00457816">
              <w:rPr>
                <w:sz w:val="20"/>
                <w:szCs w:val="20"/>
                <w:lang w:val="sl-SI"/>
              </w:rPr>
              <w:t>– Služba Vlade Republike Slovenije za zakonodajo.</w:t>
            </w:r>
          </w:p>
          <w:p w14:paraId="5B42C78D" w14:textId="77777777" w:rsidR="00C8002E" w:rsidRPr="00457816" w:rsidRDefault="00C8002E" w:rsidP="00FC73C0">
            <w:pPr>
              <w:pStyle w:val="Brezrazmikov"/>
              <w:jc w:val="both"/>
              <w:rPr>
                <w:iCs/>
                <w:sz w:val="20"/>
                <w:szCs w:val="20"/>
                <w:lang w:val="sl-SI"/>
              </w:rPr>
            </w:pPr>
          </w:p>
        </w:tc>
      </w:tr>
      <w:tr w:rsidR="00C8002E" w:rsidRPr="00457816" w14:paraId="2F658494" w14:textId="77777777" w:rsidTr="00FC73C0">
        <w:tc>
          <w:tcPr>
            <w:tcW w:w="9163" w:type="dxa"/>
            <w:gridSpan w:val="4"/>
          </w:tcPr>
          <w:p w14:paraId="736972C9" w14:textId="77777777" w:rsidR="00C8002E" w:rsidRPr="00457816" w:rsidRDefault="00C8002E" w:rsidP="00FC73C0">
            <w:pPr>
              <w:pStyle w:val="Brezrazmikov"/>
              <w:rPr>
                <w:b/>
                <w:sz w:val="20"/>
                <w:szCs w:val="20"/>
                <w:lang w:val="sl-SI"/>
              </w:rPr>
            </w:pPr>
            <w:r w:rsidRPr="00457816">
              <w:rPr>
                <w:b/>
                <w:sz w:val="20"/>
                <w:szCs w:val="20"/>
                <w:lang w:val="sl-SI"/>
              </w:rPr>
              <w:t>2. Predlog za obravnavo predloga zakona po nujnem ali skrajšanem postopku v državnem zboru z obrazložitvijo razlogov:</w:t>
            </w:r>
          </w:p>
        </w:tc>
      </w:tr>
      <w:tr w:rsidR="00C8002E" w:rsidRPr="00457816" w14:paraId="7E236F07" w14:textId="77777777" w:rsidTr="00FC73C0">
        <w:tc>
          <w:tcPr>
            <w:tcW w:w="9163" w:type="dxa"/>
            <w:gridSpan w:val="4"/>
          </w:tcPr>
          <w:p w14:paraId="649BE978" w14:textId="77777777" w:rsidR="00C8002E" w:rsidRPr="00457816" w:rsidRDefault="00C8002E" w:rsidP="00FC73C0">
            <w:pPr>
              <w:spacing w:line="240" w:lineRule="auto"/>
              <w:jc w:val="both"/>
              <w:rPr>
                <w:rFonts w:cs="Arial"/>
                <w:szCs w:val="20"/>
              </w:rPr>
            </w:pPr>
            <w:r w:rsidRPr="00457816">
              <w:rPr>
                <w:rFonts w:cs="Arial"/>
                <w:szCs w:val="20"/>
              </w:rPr>
              <w:t>/</w:t>
            </w:r>
          </w:p>
          <w:p w14:paraId="4C589A47" w14:textId="77777777" w:rsidR="00C8002E" w:rsidRPr="00457816" w:rsidRDefault="00C8002E" w:rsidP="00FC73C0">
            <w:pPr>
              <w:spacing w:line="240" w:lineRule="auto"/>
              <w:jc w:val="both"/>
              <w:rPr>
                <w:rFonts w:cs="Arial"/>
                <w:szCs w:val="20"/>
              </w:rPr>
            </w:pPr>
          </w:p>
        </w:tc>
      </w:tr>
      <w:tr w:rsidR="00C8002E" w:rsidRPr="00457816" w14:paraId="0ABC7E19" w14:textId="77777777" w:rsidTr="00FC73C0">
        <w:tc>
          <w:tcPr>
            <w:tcW w:w="9163" w:type="dxa"/>
            <w:gridSpan w:val="4"/>
          </w:tcPr>
          <w:p w14:paraId="30676C8F" w14:textId="77777777" w:rsidR="00C8002E" w:rsidRPr="00457816" w:rsidRDefault="00C8002E" w:rsidP="00FC73C0">
            <w:pPr>
              <w:pStyle w:val="Brezrazmikov"/>
              <w:rPr>
                <w:b/>
                <w:sz w:val="20"/>
                <w:szCs w:val="20"/>
                <w:lang w:val="sl-SI"/>
              </w:rPr>
            </w:pPr>
            <w:r w:rsidRPr="00457816">
              <w:rPr>
                <w:b/>
                <w:sz w:val="20"/>
                <w:szCs w:val="20"/>
                <w:lang w:val="sl-SI"/>
              </w:rPr>
              <w:t>3.a Osebe, odgovorne za strokovno pripravo in usklajenost gradiva:</w:t>
            </w:r>
          </w:p>
        </w:tc>
      </w:tr>
      <w:tr w:rsidR="00C8002E" w:rsidRPr="00457816" w14:paraId="0BE3BBF6" w14:textId="77777777" w:rsidTr="00FC73C0">
        <w:tc>
          <w:tcPr>
            <w:tcW w:w="9163" w:type="dxa"/>
            <w:gridSpan w:val="4"/>
          </w:tcPr>
          <w:p w14:paraId="7C3E37E1" w14:textId="77777777" w:rsidR="00C8002E" w:rsidRDefault="00C8002E" w:rsidP="00FC73C0">
            <w:pPr>
              <w:spacing w:line="276" w:lineRule="auto"/>
              <w:jc w:val="both"/>
              <w:rPr>
                <w:rFonts w:cs="Arial"/>
                <w:szCs w:val="20"/>
              </w:rPr>
            </w:pPr>
            <w:r w:rsidRPr="004C5FE4">
              <w:rPr>
                <w:rFonts w:cs="Arial"/>
                <w:szCs w:val="20"/>
              </w:rPr>
              <w:t xml:space="preserve">– </w:t>
            </w:r>
            <w:r w:rsidRPr="005E5F7B">
              <w:rPr>
                <w:rFonts w:cs="Arial"/>
                <w:szCs w:val="20"/>
              </w:rPr>
              <w:t>Urška Cvelbar, generalna direktorica Direktorata za finančni sistem,</w:t>
            </w:r>
          </w:p>
          <w:p w14:paraId="79F2B8C8" w14:textId="77777777" w:rsidR="00C8002E" w:rsidRPr="005E5F7B" w:rsidRDefault="00C8002E" w:rsidP="00FC73C0">
            <w:pPr>
              <w:spacing w:line="276" w:lineRule="auto"/>
              <w:jc w:val="both"/>
              <w:rPr>
                <w:rFonts w:cs="Arial"/>
                <w:szCs w:val="20"/>
              </w:rPr>
            </w:pPr>
            <w:r w:rsidRPr="006C1CA9">
              <w:rPr>
                <w:rFonts w:cs="Arial"/>
                <w:szCs w:val="20"/>
              </w:rPr>
              <w:t>–</w:t>
            </w:r>
            <w:r>
              <w:rPr>
                <w:rFonts w:cs="Arial"/>
                <w:szCs w:val="20"/>
              </w:rPr>
              <w:t xml:space="preserve"> Natalija Stošicki</w:t>
            </w:r>
            <w:r w:rsidRPr="00CF3156">
              <w:rPr>
                <w:rFonts w:cs="Arial"/>
                <w:szCs w:val="20"/>
              </w:rPr>
              <w:t>, vodja Sektorja za zavarovalništvo in trg kapitala, Direktorat za finančni sistem,</w:t>
            </w:r>
          </w:p>
          <w:p w14:paraId="6FA7CF35" w14:textId="77777777" w:rsidR="00C8002E" w:rsidRPr="00F628DD" w:rsidRDefault="00C8002E" w:rsidP="00FC73C0">
            <w:pPr>
              <w:pStyle w:val="Brezrazmikov"/>
              <w:rPr>
                <w:sz w:val="20"/>
                <w:szCs w:val="20"/>
                <w:lang w:val="sl-SI"/>
              </w:rPr>
            </w:pPr>
            <w:r w:rsidRPr="00F628DD">
              <w:rPr>
                <w:sz w:val="20"/>
                <w:szCs w:val="20"/>
                <w:lang w:val="sl-SI"/>
              </w:rPr>
              <w:t>– Andrej</w:t>
            </w:r>
            <w:r>
              <w:rPr>
                <w:sz w:val="20"/>
                <w:szCs w:val="20"/>
                <w:lang w:val="sl-SI"/>
              </w:rPr>
              <w:t xml:space="preserve"> Žagar</w:t>
            </w:r>
            <w:r w:rsidRPr="00F628DD">
              <w:rPr>
                <w:sz w:val="20"/>
                <w:szCs w:val="20"/>
                <w:lang w:val="sl-SI"/>
              </w:rPr>
              <w:t>, sekretar, Sektor za zavarovalništvo in trg kapitala, Direktorat za finančni sistem.</w:t>
            </w:r>
          </w:p>
          <w:p w14:paraId="13C51C84" w14:textId="77777777" w:rsidR="00C8002E" w:rsidRPr="00F628DD" w:rsidRDefault="00C8002E" w:rsidP="00FC73C0">
            <w:pPr>
              <w:spacing w:line="276" w:lineRule="auto"/>
              <w:jc w:val="both"/>
              <w:rPr>
                <w:rFonts w:cs="Arial"/>
                <w:iCs/>
                <w:szCs w:val="20"/>
              </w:rPr>
            </w:pPr>
          </w:p>
        </w:tc>
      </w:tr>
      <w:tr w:rsidR="00C8002E" w:rsidRPr="00457816" w14:paraId="569E8E48" w14:textId="77777777" w:rsidTr="00FC73C0">
        <w:tc>
          <w:tcPr>
            <w:tcW w:w="9163" w:type="dxa"/>
            <w:gridSpan w:val="4"/>
          </w:tcPr>
          <w:p w14:paraId="3AAE9533" w14:textId="77777777" w:rsidR="00C8002E" w:rsidRPr="00457816" w:rsidRDefault="00C8002E" w:rsidP="00FC73C0">
            <w:pPr>
              <w:pStyle w:val="Brezrazmikov"/>
              <w:rPr>
                <w:b/>
                <w:sz w:val="20"/>
                <w:szCs w:val="20"/>
                <w:lang w:val="sl-SI"/>
              </w:rPr>
            </w:pPr>
            <w:r w:rsidRPr="00457816">
              <w:rPr>
                <w:b/>
                <w:sz w:val="20"/>
                <w:szCs w:val="20"/>
                <w:lang w:val="sl-SI"/>
              </w:rPr>
              <w:t>3.b Zunanji strokovnjaki, ki so sodelovali pri pripravi dela ali celotnega gradiva:</w:t>
            </w:r>
          </w:p>
        </w:tc>
      </w:tr>
      <w:tr w:rsidR="00C8002E" w:rsidRPr="00457816" w14:paraId="7A73C49B" w14:textId="77777777" w:rsidTr="00FC73C0">
        <w:tc>
          <w:tcPr>
            <w:tcW w:w="9163" w:type="dxa"/>
            <w:gridSpan w:val="4"/>
          </w:tcPr>
          <w:p w14:paraId="1BC5484F" w14:textId="77777777" w:rsidR="00C8002E" w:rsidRPr="00457816" w:rsidRDefault="00C8002E" w:rsidP="00FC73C0">
            <w:pPr>
              <w:pStyle w:val="Brezrazmikov"/>
              <w:rPr>
                <w:sz w:val="20"/>
                <w:szCs w:val="20"/>
                <w:lang w:val="sl-SI"/>
              </w:rPr>
            </w:pPr>
            <w:r w:rsidRPr="00457816">
              <w:rPr>
                <w:sz w:val="20"/>
                <w:szCs w:val="20"/>
                <w:lang w:val="sl-SI"/>
              </w:rPr>
              <w:t>/</w:t>
            </w:r>
          </w:p>
        </w:tc>
      </w:tr>
      <w:tr w:rsidR="00C8002E" w:rsidRPr="00457816" w14:paraId="2D736C4F" w14:textId="77777777" w:rsidTr="00FC73C0">
        <w:tc>
          <w:tcPr>
            <w:tcW w:w="9163" w:type="dxa"/>
            <w:gridSpan w:val="4"/>
          </w:tcPr>
          <w:p w14:paraId="464A5A35" w14:textId="77777777" w:rsidR="00C8002E" w:rsidRPr="00457816" w:rsidRDefault="00C8002E" w:rsidP="00FC73C0">
            <w:pPr>
              <w:pStyle w:val="Brezrazmikov"/>
              <w:rPr>
                <w:b/>
                <w:iCs/>
                <w:sz w:val="20"/>
                <w:szCs w:val="20"/>
                <w:lang w:val="sl-SI"/>
              </w:rPr>
            </w:pPr>
            <w:r w:rsidRPr="00457816">
              <w:rPr>
                <w:b/>
                <w:iCs/>
                <w:sz w:val="20"/>
                <w:szCs w:val="20"/>
                <w:lang w:val="sl-SI"/>
              </w:rPr>
              <w:t>4. Predstavniki vlade, ki bodo sodelovali pri delu državnega zbora:</w:t>
            </w:r>
          </w:p>
        </w:tc>
      </w:tr>
      <w:tr w:rsidR="00C8002E" w:rsidRPr="00457816" w14:paraId="4214602D" w14:textId="77777777" w:rsidTr="00FC73C0">
        <w:tc>
          <w:tcPr>
            <w:tcW w:w="9163" w:type="dxa"/>
            <w:gridSpan w:val="4"/>
          </w:tcPr>
          <w:p w14:paraId="400EF05C" w14:textId="77777777" w:rsidR="00C8002E" w:rsidRPr="004C5FE4" w:rsidRDefault="00C8002E" w:rsidP="00FC73C0">
            <w:pPr>
              <w:spacing w:line="276" w:lineRule="auto"/>
              <w:jc w:val="both"/>
              <w:rPr>
                <w:rFonts w:cs="Arial"/>
                <w:szCs w:val="20"/>
              </w:rPr>
            </w:pPr>
            <w:r w:rsidRPr="004C5FE4">
              <w:rPr>
                <w:rFonts w:cs="Arial"/>
                <w:szCs w:val="20"/>
              </w:rPr>
              <w:lastRenderedPageBreak/>
              <w:t xml:space="preserve">– </w:t>
            </w:r>
            <w:r>
              <w:rPr>
                <w:rFonts w:cs="Arial"/>
                <w:szCs w:val="20"/>
              </w:rPr>
              <w:t>Klemen Boštjančič</w:t>
            </w:r>
            <w:r w:rsidRPr="004C5FE4">
              <w:rPr>
                <w:rFonts w:cs="Arial"/>
                <w:szCs w:val="20"/>
              </w:rPr>
              <w:t>, minister,</w:t>
            </w:r>
          </w:p>
          <w:p w14:paraId="1827D536" w14:textId="77777777" w:rsidR="00C8002E" w:rsidRPr="004C5FE4" w:rsidRDefault="00C8002E" w:rsidP="00FC73C0">
            <w:pPr>
              <w:spacing w:line="276" w:lineRule="auto"/>
              <w:jc w:val="both"/>
              <w:rPr>
                <w:rFonts w:cs="Arial"/>
                <w:szCs w:val="20"/>
              </w:rPr>
            </w:pPr>
            <w:r w:rsidRPr="004C5FE4">
              <w:rPr>
                <w:rFonts w:cs="Arial"/>
                <w:szCs w:val="20"/>
              </w:rPr>
              <w:t>–</w:t>
            </w:r>
            <w:r>
              <w:rPr>
                <w:rFonts w:cs="Arial"/>
                <w:szCs w:val="20"/>
              </w:rPr>
              <w:t xml:space="preserve"> Saša Jazbec</w:t>
            </w:r>
            <w:r w:rsidRPr="004C5FE4">
              <w:rPr>
                <w:rFonts w:cs="Arial"/>
                <w:szCs w:val="20"/>
              </w:rPr>
              <w:t>, državna sekretarka,</w:t>
            </w:r>
          </w:p>
          <w:p w14:paraId="4B2B3FA6" w14:textId="77777777" w:rsidR="00C8002E" w:rsidRDefault="00C8002E" w:rsidP="00FC73C0">
            <w:pPr>
              <w:spacing w:line="276" w:lineRule="auto"/>
              <w:jc w:val="both"/>
              <w:rPr>
                <w:rFonts w:cs="Arial"/>
                <w:szCs w:val="20"/>
              </w:rPr>
            </w:pPr>
            <w:r w:rsidRPr="006B77F8">
              <w:rPr>
                <w:rFonts w:cs="Arial"/>
                <w:szCs w:val="20"/>
              </w:rPr>
              <w:t>– Gordana Pipan, državna sekretarka,</w:t>
            </w:r>
          </w:p>
          <w:p w14:paraId="5535A4A3" w14:textId="77777777" w:rsidR="00C8002E" w:rsidRDefault="00C8002E" w:rsidP="00FC73C0">
            <w:pPr>
              <w:spacing w:line="276" w:lineRule="auto"/>
              <w:jc w:val="both"/>
              <w:rPr>
                <w:rFonts w:cs="Arial"/>
                <w:szCs w:val="20"/>
              </w:rPr>
            </w:pPr>
            <w:r w:rsidRPr="00615012">
              <w:rPr>
                <w:rFonts w:cs="Arial"/>
                <w:szCs w:val="20"/>
              </w:rPr>
              <w:t>–</w:t>
            </w:r>
            <w:r>
              <w:rPr>
                <w:rFonts w:cs="Arial"/>
                <w:szCs w:val="20"/>
              </w:rPr>
              <w:t xml:space="preserve"> Katja Božič</w:t>
            </w:r>
            <w:r w:rsidRPr="00615012">
              <w:rPr>
                <w:rFonts w:cs="Arial"/>
                <w:szCs w:val="20"/>
              </w:rPr>
              <w:t xml:space="preserve">, </w:t>
            </w:r>
            <w:r w:rsidRPr="006B77F8">
              <w:rPr>
                <w:rFonts w:cs="Arial"/>
                <w:szCs w:val="20"/>
              </w:rPr>
              <w:t>državna sekretarka,</w:t>
            </w:r>
          </w:p>
          <w:p w14:paraId="05F9D92F" w14:textId="77777777" w:rsidR="00C8002E" w:rsidRPr="006C1CA9" w:rsidRDefault="00C8002E" w:rsidP="00FC73C0">
            <w:pPr>
              <w:spacing w:line="240" w:lineRule="auto"/>
              <w:rPr>
                <w:rFonts w:cs="Arial"/>
                <w:szCs w:val="20"/>
              </w:rPr>
            </w:pPr>
            <w:r w:rsidRPr="00815544">
              <w:rPr>
                <w:rFonts w:cs="Arial"/>
                <w:szCs w:val="20"/>
              </w:rPr>
              <w:t xml:space="preserve">– </w:t>
            </w:r>
            <w:r w:rsidRPr="006C1CA9">
              <w:rPr>
                <w:rFonts w:cs="Arial"/>
                <w:szCs w:val="20"/>
              </w:rPr>
              <w:t>Nikolina Prah, državna sekretarka,</w:t>
            </w:r>
          </w:p>
          <w:p w14:paraId="5D0D9CFD" w14:textId="77777777" w:rsidR="00C8002E" w:rsidRDefault="00C8002E" w:rsidP="00FC73C0">
            <w:pPr>
              <w:spacing w:line="276" w:lineRule="auto"/>
              <w:jc w:val="both"/>
              <w:rPr>
                <w:rFonts w:cs="Arial"/>
                <w:szCs w:val="20"/>
              </w:rPr>
            </w:pPr>
            <w:r w:rsidRPr="006C1CA9">
              <w:rPr>
                <w:rFonts w:cs="Arial"/>
                <w:szCs w:val="20"/>
              </w:rPr>
              <w:t>– Urška Cvelbar, generalna direktorica Direktorata za finančni sistem,</w:t>
            </w:r>
          </w:p>
          <w:p w14:paraId="6E4C8999" w14:textId="77777777" w:rsidR="00C8002E" w:rsidRPr="006C1CA9" w:rsidRDefault="00C8002E" w:rsidP="00FC73C0">
            <w:pPr>
              <w:spacing w:line="276" w:lineRule="auto"/>
              <w:jc w:val="both"/>
              <w:rPr>
                <w:rFonts w:cs="Arial"/>
                <w:szCs w:val="20"/>
              </w:rPr>
            </w:pPr>
            <w:r w:rsidRPr="006C1CA9">
              <w:rPr>
                <w:rFonts w:cs="Arial"/>
                <w:szCs w:val="20"/>
              </w:rPr>
              <w:t>–</w:t>
            </w:r>
            <w:r>
              <w:rPr>
                <w:rFonts w:cs="Arial"/>
                <w:szCs w:val="20"/>
              </w:rPr>
              <w:t xml:space="preserve"> Natalija Stošicki</w:t>
            </w:r>
            <w:r w:rsidRPr="00CF3156">
              <w:rPr>
                <w:rFonts w:cs="Arial"/>
                <w:szCs w:val="20"/>
              </w:rPr>
              <w:t>, vodja Sektorja za zavarovalništvo in trg kapitala, Direktorat za finančni sistem,</w:t>
            </w:r>
          </w:p>
          <w:p w14:paraId="09479DCF" w14:textId="77777777" w:rsidR="00C8002E" w:rsidRPr="008825E2" w:rsidRDefault="00C8002E" w:rsidP="00FC73C0">
            <w:pPr>
              <w:pStyle w:val="Brezrazmikov"/>
              <w:rPr>
                <w:sz w:val="20"/>
                <w:szCs w:val="20"/>
                <w:lang w:val="sl-SI"/>
              </w:rPr>
            </w:pPr>
            <w:r w:rsidRPr="008825E2">
              <w:rPr>
                <w:sz w:val="20"/>
                <w:szCs w:val="20"/>
                <w:lang w:val="sl-SI"/>
              </w:rPr>
              <w:t>– Andrej</w:t>
            </w:r>
            <w:r>
              <w:rPr>
                <w:sz w:val="20"/>
                <w:szCs w:val="20"/>
                <w:lang w:val="sl-SI"/>
              </w:rPr>
              <w:t xml:space="preserve"> Žagar</w:t>
            </w:r>
            <w:r w:rsidRPr="008825E2">
              <w:rPr>
                <w:sz w:val="20"/>
                <w:szCs w:val="20"/>
                <w:lang w:val="sl-SI"/>
              </w:rPr>
              <w:t xml:space="preserve">, </w:t>
            </w:r>
            <w:r>
              <w:rPr>
                <w:sz w:val="20"/>
                <w:szCs w:val="20"/>
                <w:lang w:val="sl-SI"/>
              </w:rPr>
              <w:t>sekretar</w:t>
            </w:r>
            <w:r w:rsidRPr="008825E2">
              <w:rPr>
                <w:sz w:val="20"/>
                <w:szCs w:val="20"/>
                <w:lang w:val="sl-SI"/>
              </w:rPr>
              <w:t xml:space="preserve">, Sektor za zavarovalništvo in trg kapitala, Direktorat za finančni sistem. </w:t>
            </w:r>
          </w:p>
          <w:p w14:paraId="1B7DBEFB" w14:textId="77777777" w:rsidR="00C8002E" w:rsidRPr="008825E2" w:rsidDel="003F52A3" w:rsidRDefault="00C8002E" w:rsidP="00FC73C0">
            <w:pPr>
              <w:spacing w:line="276" w:lineRule="auto"/>
              <w:jc w:val="both"/>
              <w:rPr>
                <w:rFonts w:cs="Arial"/>
                <w:iCs/>
                <w:szCs w:val="20"/>
              </w:rPr>
            </w:pPr>
          </w:p>
        </w:tc>
      </w:tr>
      <w:tr w:rsidR="00C8002E" w:rsidRPr="00457816" w14:paraId="65CCE4AD" w14:textId="77777777" w:rsidTr="00FC73C0">
        <w:tc>
          <w:tcPr>
            <w:tcW w:w="9163" w:type="dxa"/>
            <w:gridSpan w:val="4"/>
          </w:tcPr>
          <w:p w14:paraId="22BA72A5" w14:textId="77777777" w:rsidR="00C8002E" w:rsidRPr="00457816" w:rsidRDefault="00C8002E" w:rsidP="00FC73C0">
            <w:pPr>
              <w:pStyle w:val="Brezrazmikov"/>
              <w:rPr>
                <w:b/>
                <w:sz w:val="20"/>
                <w:szCs w:val="20"/>
                <w:lang w:val="sl-SI"/>
              </w:rPr>
            </w:pPr>
            <w:r w:rsidRPr="00457816">
              <w:rPr>
                <w:b/>
                <w:sz w:val="20"/>
                <w:szCs w:val="20"/>
                <w:lang w:val="sl-SI"/>
              </w:rPr>
              <w:t>5. Kratek povzetek gradiva</w:t>
            </w:r>
          </w:p>
        </w:tc>
      </w:tr>
      <w:tr w:rsidR="00C8002E" w:rsidRPr="00457816" w14:paraId="0D37E589" w14:textId="77777777" w:rsidTr="00FC73C0">
        <w:tc>
          <w:tcPr>
            <w:tcW w:w="9163" w:type="dxa"/>
            <w:gridSpan w:val="4"/>
          </w:tcPr>
          <w:p w14:paraId="510AB2EE" w14:textId="77777777" w:rsidR="00CB13D2" w:rsidRPr="00CB13D2" w:rsidRDefault="00CB13D2" w:rsidP="00CB13D2">
            <w:pPr>
              <w:spacing w:line="240" w:lineRule="auto"/>
              <w:jc w:val="both"/>
              <w:rPr>
                <w:rFonts w:cs="Arial"/>
                <w:szCs w:val="20"/>
              </w:rPr>
            </w:pPr>
            <w:r w:rsidRPr="00CB13D2">
              <w:rPr>
                <w:rFonts w:cs="Arial"/>
                <w:szCs w:val="20"/>
              </w:rPr>
              <w:t xml:space="preserve">Poglavitne rešitve predloga zakona so: </w:t>
            </w:r>
          </w:p>
          <w:p w14:paraId="227F3CD7" w14:textId="77777777" w:rsidR="00CB13D2" w:rsidRPr="00CB13D2" w:rsidRDefault="00CB13D2" w:rsidP="00CB13D2">
            <w:pPr>
              <w:spacing w:line="240" w:lineRule="auto"/>
              <w:jc w:val="both"/>
              <w:rPr>
                <w:rFonts w:cs="Arial"/>
                <w:szCs w:val="20"/>
              </w:rPr>
            </w:pPr>
          </w:p>
          <w:p w14:paraId="064DB88F" w14:textId="5E6CB1AB" w:rsidR="00CB13D2" w:rsidRPr="00CB13D2" w:rsidRDefault="00CB13D2" w:rsidP="00CB13D2">
            <w:pPr>
              <w:spacing w:line="240" w:lineRule="auto"/>
              <w:jc w:val="both"/>
              <w:rPr>
                <w:rFonts w:cs="Arial"/>
                <w:szCs w:val="20"/>
              </w:rPr>
            </w:pPr>
            <w:r w:rsidRPr="00CB13D2">
              <w:rPr>
                <w:rFonts w:cs="Arial"/>
                <w:szCs w:val="20"/>
              </w:rPr>
              <w:t>1. omogoča se predčasno izplačilo odkupne vrednosti police: predlog zakona omogoča zavarovancem, da pred dopolnjenim 60. letom starosti zahtevajo izplačilo odkupne vrednosti police dodatnega pokojninskega zavarovanja P</w:t>
            </w:r>
            <w:r w:rsidR="00C666F3">
              <w:rPr>
                <w:rFonts w:cs="Arial"/>
                <w:szCs w:val="20"/>
              </w:rPr>
              <w:t>rvega pokojninskega sklada</w:t>
            </w:r>
            <w:r w:rsidRPr="00CB13D2">
              <w:rPr>
                <w:rFonts w:cs="Arial"/>
                <w:szCs w:val="20"/>
              </w:rPr>
              <w:t>;</w:t>
            </w:r>
          </w:p>
          <w:p w14:paraId="6EADFF1E" w14:textId="77777777" w:rsidR="00CB13D2" w:rsidRPr="00CB13D2" w:rsidRDefault="00CB13D2" w:rsidP="00CB13D2">
            <w:pPr>
              <w:spacing w:line="240" w:lineRule="auto"/>
              <w:jc w:val="both"/>
              <w:rPr>
                <w:rFonts w:cs="Arial"/>
                <w:szCs w:val="20"/>
              </w:rPr>
            </w:pPr>
          </w:p>
          <w:p w14:paraId="006DBEA8" w14:textId="0DC55280" w:rsidR="00C8002E" w:rsidRPr="00457816" w:rsidRDefault="00CB13D2" w:rsidP="0032183B">
            <w:pPr>
              <w:spacing w:line="240" w:lineRule="auto"/>
              <w:jc w:val="both"/>
              <w:rPr>
                <w:rFonts w:cs="Arial"/>
                <w:szCs w:val="20"/>
              </w:rPr>
            </w:pPr>
            <w:r w:rsidRPr="00CB13D2">
              <w:rPr>
                <w:rFonts w:cs="Arial"/>
                <w:szCs w:val="20"/>
              </w:rPr>
              <w:t xml:space="preserve">2. uvaja se možnost za enkratno izplačilo odkupne vrednosti rente: predlog zakona uvaja možnost za vse prejemnike mesečne pokojninske rente, da vložijo zahtevek za enkratno izplačilo odkupne vrednosti rente. To pomeni, da ne glede na višino njihovega premoženja lahko vsi upravičenci zahtevajo enkratno izplačilo. S tem se odpravlja omejitev iz sedanje ureditve, ki je to možnost omogočala samo tistim z zneskom premoženja pod določenim pragom. Novi zakon določa </w:t>
            </w:r>
            <w:r w:rsidR="00131EE0">
              <w:rPr>
                <w:rFonts w:cs="Arial"/>
                <w:szCs w:val="20"/>
              </w:rPr>
              <w:t>6</w:t>
            </w:r>
            <w:r w:rsidRPr="00CB13D2">
              <w:rPr>
                <w:rFonts w:cs="Arial"/>
                <w:szCs w:val="20"/>
              </w:rPr>
              <w:t>-mesečno čakalno dobo, način izračuna odkupne vrednosti in postopek v primeru smrti prejemnika rente</w:t>
            </w:r>
            <w:r w:rsidR="0032183B">
              <w:rPr>
                <w:rFonts w:cs="Arial"/>
                <w:szCs w:val="20"/>
              </w:rPr>
              <w:t>.</w:t>
            </w:r>
          </w:p>
        </w:tc>
      </w:tr>
      <w:tr w:rsidR="00C8002E" w:rsidRPr="00457816" w14:paraId="67512DDD" w14:textId="77777777" w:rsidTr="00FC73C0">
        <w:tc>
          <w:tcPr>
            <w:tcW w:w="9163" w:type="dxa"/>
            <w:gridSpan w:val="4"/>
          </w:tcPr>
          <w:p w14:paraId="346D7C95" w14:textId="77777777" w:rsidR="00C8002E" w:rsidRPr="00457816" w:rsidRDefault="00C8002E" w:rsidP="00FC73C0">
            <w:pPr>
              <w:pStyle w:val="Brezrazmikov"/>
              <w:rPr>
                <w:sz w:val="20"/>
                <w:szCs w:val="20"/>
                <w:lang w:val="sl-SI"/>
              </w:rPr>
            </w:pPr>
            <w:r w:rsidRPr="00457816">
              <w:rPr>
                <w:sz w:val="20"/>
                <w:szCs w:val="20"/>
                <w:lang w:val="sl-SI"/>
              </w:rPr>
              <w:t>6. Presoja posledic za:</w:t>
            </w:r>
          </w:p>
        </w:tc>
      </w:tr>
      <w:tr w:rsidR="00C8002E" w:rsidRPr="00457816" w14:paraId="2BA2C118" w14:textId="77777777" w:rsidTr="00FC73C0">
        <w:tc>
          <w:tcPr>
            <w:tcW w:w="1448" w:type="dxa"/>
          </w:tcPr>
          <w:p w14:paraId="305975A7" w14:textId="77777777" w:rsidR="00C8002E" w:rsidRPr="00457816" w:rsidRDefault="00C8002E" w:rsidP="00FC73C0">
            <w:pPr>
              <w:pStyle w:val="Brezrazmikov"/>
              <w:rPr>
                <w:iCs/>
                <w:sz w:val="20"/>
                <w:szCs w:val="20"/>
                <w:lang w:val="sl-SI"/>
              </w:rPr>
            </w:pPr>
            <w:r w:rsidRPr="00457816">
              <w:rPr>
                <w:iCs/>
                <w:sz w:val="20"/>
                <w:szCs w:val="20"/>
                <w:lang w:val="sl-SI"/>
              </w:rPr>
              <w:t>a)</w:t>
            </w:r>
          </w:p>
        </w:tc>
        <w:tc>
          <w:tcPr>
            <w:tcW w:w="5444" w:type="dxa"/>
            <w:gridSpan w:val="2"/>
          </w:tcPr>
          <w:p w14:paraId="73035B49" w14:textId="77777777" w:rsidR="00C8002E" w:rsidRPr="00457816" w:rsidRDefault="00C8002E" w:rsidP="00FC73C0">
            <w:pPr>
              <w:pStyle w:val="Brezrazmikov"/>
              <w:rPr>
                <w:sz w:val="20"/>
                <w:szCs w:val="20"/>
                <w:lang w:val="sl-SI"/>
              </w:rPr>
            </w:pPr>
            <w:r w:rsidRPr="00457816">
              <w:rPr>
                <w:sz w:val="20"/>
                <w:szCs w:val="20"/>
                <w:lang w:val="sl-SI"/>
              </w:rPr>
              <w:t>javnofinančna sredstva nad 40 000 EUR v tekočem in naslednjih treh letih</w:t>
            </w:r>
          </w:p>
        </w:tc>
        <w:tc>
          <w:tcPr>
            <w:tcW w:w="2271" w:type="dxa"/>
          </w:tcPr>
          <w:p w14:paraId="62D1F4A1" w14:textId="77777777" w:rsidR="00C8002E" w:rsidRPr="00457816" w:rsidRDefault="00C8002E" w:rsidP="00FC73C0">
            <w:pPr>
              <w:pStyle w:val="Brezrazmikov"/>
              <w:jc w:val="center"/>
              <w:rPr>
                <w:iCs/>
                <w:sz w:val="20"/>
                <w:szCs w:val="20"/>
                <w:lang w:val="sl-SI"/>
              </w:rPr>
            </w:pPr>
            <w:r w:rsidRPr="00457816">
              <w:rPr>
                <w:sz w:val="20"/>
                <w:szCs w:val="20"/>
                <w:lang w:val="sl-SI"/>
              </w:rPr>
              <w:t>NE</w:t>
            </w:r>
          </w:p>
        </w:tc>
      </w:tr>
      <w:tr w:rsidR="00C8002E" w:rsidRPr="00457816" w14:paraId="05D1B87E" w14:textId="77777777" w:rsidTr="00FC73C0">
        <w:tc>
          <w:tcPr>
            <w:tcW w:w="1448" w:type="dxa"/>
          </w:tcPr>
          <w:p w14:paraId="1DD6922F" w14:textId="77777777" w:rsidR="00C8002E" w:rsidRPr="00457816" w:rsidRDefault="00C8002E" w:rsidP="00FC73C0">
            <w:pPr>
              <w:pStyle w:val="Brezrazmikov"/>
              <w:rPr>
                <w:iCs/>
                <w:sz w:val="20"/>
                <w:szCs w:val="20"/>
                <w:lang w:val="sl-SI"/>
              </w:rPr>
            </w:pPr>
            <w:r w:rsidRPr="00457816">
              <w:rPr>
                <w:iCs/>
                <w:sz w:val="20"/>
                <w:szCs w:val="20"/>
                <w:lang w:val="sl-SI"/>
              </w:rPr>
              <w:t>b)</w:t>
            </w:r>
          </w:p>
        </w:tc>
        <w:tc>
          <w:tcPr>
            <w:tcW w:w="5444" w:type="dxa"/>
            <w:gridSpan w:val="2"/>
          </w:tcPr>
          <w:p w14:paraId="4BB2CE18" w14:textId="77777777" w:rsidR="00C8002E" w:rsidRPr="00457816" w:rsidRDefault="00C8002E" w:rsidP="00FC73C0">
            <w:pPr>
              <w:pStyle w:val="Brezrazmikov"/>
              <w:rPr>
                <w:iCs/>
                <w:sz w:val="20"/>
                <w:szCs w:val="20"/>
                <w:lang w:val="sl-SI"/>
              </w:rPr>
            </w:pPr>
            <w:r w:rsidRPr="00457816">
              <w:rPr>
                <w:bCs/>
                <w:sz w:val="20"/>
                <w:szCs w:val="20"/>
                <w:lang w:val="sl-SI"/>
              </w:rPr>
              <w:t>usklajenost slovenskega pravnega reda s pravnim redom Evropske unije</w:t>
            </w:r>
          </w:p>
        </w:tc>
        <w:tc>
          <w:tcPr>
            <w:tcW w:w="2271" w:type="dxa"/>
          </w:tcPr>
          <w:p w14:paraId="25995154" w14:textId="77777777" w:rsidR="00C8002E" w:rsidRPr="00457816" w:rsidRDefault="00C8002E" w:rsidP="00FC73C0">
            <w:pPr>
              <w:pStyle w:val="Brezrazmikov"/>
              <w:jc w:val="center"/>
              <w:rPr>
                <w:iCs/>
                <w:sz w:val="20"/>
                <w:szCs w:val="20"/>
                <w:lang w:val="sl-SI"/>
              </w:rPr>
            </w:pPr>
            <w:r>
              <w:rPr>
                <w:iCs/>
                <w:sz w:val="20"/>
                <w:szCs w:val="20"/>
                <w:lang w:val="sl-SI"/>
              </w:rPr>
              <w:t>NE</w:t>
            </w:r>
          </w:p>
        </w:tc>
      </w:tr>
      <w:tr w:rsidR="00C8002E" w:rsidRPr="00457816" w14:paraId="747BB971" w14:textId="77777777" w:rsidTr="00FC73C0">
        <w:tc>
          <w:tcPr>
            <w:tcW w:w="1448" w:type="dxa"/>
          </w:tcPr>
          <w:p w14:paraId="599F7D5C" w14:textId="77777777" w:rsidR="00C8002E" w:rsidRPr="00457816" w:rsidRDefault="00C8002E" w:rsidP="00FC73C0">
            <w:pPr>
              <w:pStyle w:val="Brezrazmikov"/>
              <w:rPr>
                <w:iCs/>
                <w:sz w:val="20"/>
                <w:szCs w:val="20"/>
                <w:lang w:val="sl-SI"/>
              </w:rPr>
            </w:pPr>
            <w:r w:rsidRPr="00457816">
              <w:rPr>
                <w:iCs/>
                <w:sz w:val="20"/>
                <w:szCs w:val="20"/>
                <w:lang w:val="sl-SI"/>
              </w:rPr>
              <w:t>c)</w:t>
            </w:r>
          </w:p>
        </w:tc>
        <w:tc>
          <w:tcPr>
            <w:tcW w:w="5444" w:type="dxa"/>
            <w:gridSpan w:val="2"/>
          </w:tcPr>
          <w:p w14:paraId="5699061E" w14:textId="77777777" w:rsidR="00C8002E" w:rsidRPr="00457816" w:rsidRDefault="00C8002E" w:rsidP="00FC73C0">
            <w:pPr>
              <w:pStyle w:val="Brezrazmikov"/>
              <w:rPr>
                <w:iCs/>
                <w:sz w:val="20"/>
                <w:szCs w:val="20"/>
                <w:lang w:val="sl-SI"/>
              </w:rPr>
            </w:pPr>
            <w:r w:rsidRPr="00457816">
              <w:rPr>
                <w:sz w:val="20"/>
                <w:szCs w:val="20"/>
                <w:lang w:val="sl-SI"/>
              </w:rPr>
              <w:t>administrativne posledice</w:t>
            </w:r>
          </w:p>
        </w:tc>
        <w:tc>
          <w:tcPr>
            <w:tcW w:w="2271" w:type="dxa"/>
          </w:tcPr>
          <w:p w14:paraId="478C829E" w14:textId="77777777" w:rsidR="00C8002E" w:rsidRPr="00457816" w:rsidRDefault="00C8002E" w:rsidP="00FC73C0">
            <w:pPr>
              <w:pStyle w:val="Brezrazmikov"/>
              <w:jc w:val="center"/>
              <w:rPr>
                <w:iCs/>
                <w:sz w:val="20"/>
                <w:szCs w:val="20"/>
                <w:lang w:val="sl-SI"/>
              </w:rPr>
            </w:pPr>
            <w:r w:rsidRPr="00457816">
              <w:rPr>
                <w:sz w:val="20"/>
                <w:szCs w:val="20"/>
                <w:lang w:val="sl-SI"/>
              </w:rPr>
              <w:t>NE</w:t>
            </w:r>
          </w:p>
        </w:tc>
      </w:tr>
      <w:tr w:rsidR="00C8002E" w:rsidRPr="00457816" w14:paraId="2D71F1E8" w14:textId="77777777" w:rsidTr="00FC73C0">
        <w:tc>
          <w:tcPr>
            <w:tcW w:w="1448" w:type="dxa"/>
          </w:tcPr>
          <w:p w14:paraId="49862048" w14:textId="77777777" w:rsidR="00C8002E" w:rsidRPr="00457816" w:rsidRDefault="00C8002E" w:rsidP="00FC73C0">
            <w:pPr>
              <w:pStyle w:val="Brezrazmikov"/>
              <w:rPr>
                <w:iCs/>
                <w:sz w:val="20"/>
                <w:szCs w:val="20"/>
                <w:lang w:val="sl-SI"/>
              </w:rPr>
            </w:pPr>
            <w:r w:rsidRPr="00457816">
              <w:rPr>
                <w:iCs/>
                <w:sz w:val="20"/>
                <w:szCs w:val="20"/>
                <w:lang w:val="sl-SI"/>
              </w:rPr>
              <w:t>č)</w:t>
            </w:r>
          </w:p>
        </w:tc>
        <w:tc>
          <w:tcPr>
            <w:tcW w:w="5444" w:type="dxa"/>
            <w:gridSpan w:val="2"/>
          </w:tcPr>
          <w:p w14:paraId="39914A4A" w14:textId="77777777" w:rsidR="00C8002E" w:rsidRPr="00457816" w:rsidRDefault="00C8002E" w:rsidP="00FC73C0">
            <w:pPr>
              <w:pStyle w:val="Brezrazmikov"/>
              <w:rPr>
                <w:bCs/>
                <w:sz w:val="20"/>
                <w:szCs w:val="20"/>
                <w:lang w:val="sl-SI"/>
              </w:rPr>
            </w:pPr>
            <w:r w:rsidRPr="00457816">
              <w:rPr>
                <w:sz w:val="20"/>
                <w:szCs w:val="20"/>
                <w:lang w:val="sl-SI"/>
              </w:rPr>
              <w:t>gospodarstvo, zlasti</w:t>
            </w:r>
            <w:r w:rsidRPr="00457816">
              <w:rPr>
                <w:bCs/>
                <w:sz w:val="20"/>
                <w:szCs w:val="20"/>
                <w:lang w:val="sl-SI"/>
              </w:rPr>
              <w:t xml:space="preserve"> mala in srednja podjetja ter konkurenčnost podjetij</w:t>
            </w:r>
          </w:p>
        </w:tc>
        <w:tc>
          <w:tcPr>
            <w:tcW w:w="2271" w:type="dxa"/>
          </w:tcPr>
          <w:p w14:paraId="15DBD473" w14:textId="77777777" w:rsidR="00C8002E" w:rsidRPr="00457816" w:rsidRDefault="00C8002E" w:rsidP="00FC73C0">
            <w:pPr>
              <w:pStyle w:val="Brezrazmikov"/>
              <w:jc w:val="center"/>
              <w:rPr>
                <w:iCs/>
                <w:sz w:val="20"/>
                <w:szCs w:val="20"/>
                <w:lang w:val="sl-SI"/>
              </w:rPr>
            </w:pPr>
            <w:r w:rsidRPr="00457816">
              <w:rPr>
                <w:sz w:val="20"/>
                <w:szCs w:val="20"/>
                <w:lang w:val="sl-SI"/>
              </w:rPr>
              <w:t>NE</w:t>
            </w:r>
          </w:p>
        </w:tc>
      </w:tr>
      <w:tr w:rsidR="00C8002E" w:rsidRPr="00457816" w14:paraId="3C8BE91F" w14:textId="77777777" w:rsidTr="00FC73C0">
        <w:tc>
          <w:tcPr>
            <w:tcW w:w="1448" w:type="dxa"/>
          </w:tcPr>
          <w:p w14:paraId="075A189E" w14:textId="77777777" w:rsidR="00C8002E" w:rsidRPr="00457816" w:rsidRDefault="00C8002E" w:rsidP="00FC73C0">
            <w:pPr>
              <w:pStyle w:val="Brezrazmikov"/>
              <w:rPr>
                <w:iCs/>
                <w:sz w:val="20"/>
                <w:szCs w:val="20"/>
                <w:lang w:val="sl-SI"/>
              </w:rPr>
            </w:pPr>
            <w:r w:rsidRPr="00457816">
              <w:rPr>
                <w:iCs/>
                <w:sz w:val="20"/>
                <w:szCs w:val="20"/>
                <w:lang w:val="sl-SI"/>
              </w:rPr>
              <w:t>d)</w:t>
            </w:r>
          </w:p>
        </w:tc>
        <w:tc>
          <w:tcPr>
            <w:tcW w:w="5444" w:type="dxa"/>
            <w:gridSpan w:val="2"/>
          </w:tcPr>
          <w:p w14:paraId="266F15E1" w14:textId="77777777" w:rsidR="00C8002E" w:rsidRPr="00457816" w:rsidRDefault="00C8002E" w:rsidP="00FC73C0">
            <w:pPr>
              <w:pStyle w:val="Brezrazmikov"/>
              <w:rPr>
                <w:bCs/>
                <w:sz w:val="20"/>
                <w:szCs w:val="20"/>
                <w:lang w:val="sl-SI"/>
              </w:rPr>
            </w:pPr>
            <w:r w:rsidRPr="00457816">
              <w:rPr>
                <w:bCs/>
                <w:sz w:val="20"/>
                <w:szCs w:val="20"/>
                <w:lang w:val="sl-SI"/>
              </w:rPr>
              <w:t>okolje, vključno s prostorskimi in varstvenimi vidiki</w:t>
            </w:r>
          </w:p>
        </w:tc>
        <w:tc>
          <w:tcPr>
            <w:tcW w:w="2271" w:type="dxa"/>
          </w:tcPr>
          <w:p w14:paraId="0EA72039" w14:textId="77777777" w:rsidR="00C8002E" w:rsidRPr="00457816" w:rsidRDefault="00C8002E" w:rsidP="00FC73C0">
            <w:pPr>
              <w:pStyle w:val="Brezrazmikov"/>
              <w:jc w:val="center"/>
              <w:rPr>
                <w:iCs/>
                <w:sz w:val="20"/>
                <w:szCs w:val="20"/>
                <w:lang w:val="sl-SI"/>
              </w:rPr>
            </w:pPr>
            <w:r w:rsidRPr="00457816">
              <w:rPr>
                <w:sz w:val="20"/>
                <w:szCs w:val="20"/>
                <w:lang w:val="sl-SI"/>
              </w:rPr>
              <w:t>NE</w:t>
            </w:r>
          </w:p>
        </w:tc>
      </w:tr>
      <w:tr w:rsidR="00C8002E" w:rsidRPr="00457816" w14:paraId="62046FF1" w14:textId="77777777" w:rsidTr="00FC73C0">
        <w:tc>
          <w:tcPr>
            <w:tcW w:w="1448" w:type="dxa"/>
          </w:tcPr>
          <w:p w14:paraId="5E7B2FDD" w14:textId="77777777" w:rsidR="00C8002E" w:rsidRPr="00457816" w:rsidRDefault="00C8002E" w:rsidP="00FC73C0">
            <w:pPr>
              <w:pStyle w:val="Brezrazmikov"/>
              <w:rPr>
                <w:iCs/>
                <w:sz w:val="20"/>
                <w:szCs w:val="20"/>
                <w:lang w:val="sl-SI"/>
              </w:rPr>
            </w:pPr>
            <w:r w:rsidRPr="00457816">
              <w:rPr>
                <w:iCs/>
                <w:sz w:val="20"/>
                <w:szCs w:val="20"/>
                <w:lang w:val="sl-SI"/>
              </w:rPr>
              <w:t>e)</w:t>
            </w:r>
          </w:p>
        </w:tc>
        <w:tc>
          <w:tcPr>
            <w:tcW w:w="5444" w:type="dxa"/>
            <w:gridSpan w:val="2"/>
          </w:tcPr>
          <w:p w14:paraId="36E816D0" w14:textId="77777777" w:rsidR="00C8002E" w:rsidRPr="00457816" w:rsidRDefault="00C8002E" w:rsidP="00FC73C0">
            <w:pPr>
              <w:pStyle w:val="Brezrazmikov"/>
              <w:rPr>
                <w:bCs/>
                <w:sz w:val="20"/>
                <w:szCs w:val="20"/>
                <w:lang w:val="sl-SI"/>
              </w:rPr>
            </w:pPr>
            <w:r w:rsidRPr="00457816">
              <w:rPr>
                <w:bCs/>
                <w:sz w:val="20"/>
                <w:szCs w:val="20"/>
                <w:lang w:val="sl-SI"/>
              </w:rPr>
              <w:t>socialno področje</w:t>
            </w:r>
          </w:p>
        </w:tc>
        <w:tc>
          <w:tcPr>
            <w:tcW w:w="2271" w:type="dxa"/>
          </w:tcPr>
          <w:p w14:paraId="00C00820" w14:textId="77777777" w:rsidR="00C8002E" w:rsidRPr="00457816" w:rsidRDefault="00C8002E" w:rsidP="00FC73C0">
            <w:pPr>
              <w:pStyle w:val="Brezrazmikov"/>
              <w:jc w:val="center"/>
              <w:rPr>
                <w:iCs/>
                <w:sz w:val="20"/>
                <w:szCs w:val="20"/>
                <w:lang w:val="sl-SI"/>
              </w:rPr>
            </w:pPr>
            <w:r w:rsidRPr="00457816">
              <w:rPr>
                <w:sz w:val="20"/>
                <w:szCs w:val="20"/>
                <w:lang w:val="sl-SI"/>
              </w:rPr>
              <w:t>NE</w:t>
            </w:r>
          </w:p>
        </w:tc>
      </w:tr>
      <w:tr w:rsidR="00C8002E" w:rsidRPr="00457816" w14:paraId="55755A26" w14:textId="77777777" w:rsidTr="00FC73C0">
        <w:tc>
          <w:tcPr>
            <w:tcW w:w="1448" w:type="dxa"/>
          </w:tcPr>
          <w:p w14:paraId="5F4752DB" w14:textId="77777777" w:rsidR="00C8002E" w:rsidRPr="00457816" w:rsidRDefault="00C8002E" w:rsidP="00FC73C0">
            <w:pPr>
              <w:pStyle w:val="Brezrazmikov"/>
              <w:rPr>
                <w:iCs/>
                <w:sz w:val="20"/>
                <w:szCs w:val="20"/>
                <w:lang w:val="sl-SI"/>
              </w:rPr>
            </w:pPr>
            <w:r w:rsidRPr="00457816">
              <w:rPr>
                <w:iCs/>
                <w:sz w:val="20"/>
                <w:szCs w:val="20"/>
                <w:lang w:val="sl-SI"/>
              </w:rPr>
              <w:t>f)</w:t>
            </w:r>
          </w:p>
        </w:tc>
        <w:tc>
          <w:tcPr>
            <w:tcW w:w="5444" w:type="dxa"/>
            <w:gridSpan w:val="2"/>
          </w:tcPr>
          <w:p w14:paraId="4E428CDA" w14:textId="77777777" w:rsidR="00C8002E" w:rsidRPr="00457816" w:rsidRDefault="00C8002E" w:rsidP="00FC73C0">
            <w:pPr>
              <w:pStyle w:val="Brezrazmikov"/>
              <w:rPr>
                <w:bCs/>
                <w:sz w:val="20"/>
                <w:szCs w:val="20"/>
                <w:lang w:val="sl-SI"/>
              </w:rPr>
            </w:pPr>
            <w:r w:rsidRPr="00457816">
              <w:rPr>
                <w:bCs/>
                <w:sz w:val="20"/>
                <w:szCs w:val="20"/>
                <w:lang w:val="sl-SI"/>
              </w:rPr>
              <w:t>dokumente razvojnega načrtovanja:</w:t>
            </w:r>
          </w:p>
          <w:p w14:paraId="6A22533F" w14:textId="77777777" w:rsidR="00C8002E" w:rsidRPr="00457816" w:rsidRDefault="00C8002E" w:rsidP="00FC73C0">
            <w:pPr>
              <w:pStyle w:val="Brezrazmikov"/>
              <w:numPr>
                <w:ilvl w:val="0"/>
                <w:numId w:val="11"/>
              </w:numPr>
              <w:tabs>
                <w:tab w:val="clear" w:pos="600"/>
                <w:tab w:val="num" w:pos="444"/>
              </w:tabs>
              <w:ind w:hanging="456"/>
              <w:rPr>
                <w:bCs/>
                <w:sz w:val="20"/>
                <w:szCs w:val="20"/>
                <w:lang w:val="sl-SI"/>
              </w:rPr>
            </w:pPr>
            <w:r w:rsidRPr="00457816">
              <w:rPr>
                <w:bCs/>
                <w:sz w:val="20"/>
                <w:szCs w:val="20"/>
                <w:lang w:val="sl-SI"/>
              </w:rPr>
              <w:t>nacionalne dokumente razvojnega načrtovanja,</w:t>
            </w:r>
          </w:p>
          <w:p w14:paraId="41E07FBD" w14:textId="77777777" w:rsidR="00C8002E" w:rsidRPr="00457816" w:rsidRDefault="00C8002E" w:rsidP="00FC73C0">
            <w:pPr>
              <w:pStyle w:val="Brezrazmikov"/>
              <w:numPr>
                <w:ilvl w:val="0"/>
                <w:numId w:val="11"/>
              </w:numPr>
              <w:tabs>
                <w:tab w:val="clear" w:pos="600"/>
                <w:tab w:val="num" w:pos="444"/>
              </w:tabs>
              <w:ind w:left="444" w:hanging="300"/>
              <w:rPr>
                <w:bCs/>
                <w:sz w:val="20"/>
                <w:szCs w:val="20"/>
                <w:lang w:val="sl-SI"/>
              </w:rPr>
            </w:pPr>
            <w:r w:rsidRPr="00457816">
              <w:rPr>
                <w:bCs/>
                <w:sz w:val="20"/>
                <w:szCs w:val="20"/>
                <w:lang w:val="sl-SI"/>
              </w:rPr>
              <w:t>razvojne politike na ravni programov po strukturi razvojne klasifikacije programskega proračuna</w:t>
            </w:r>
          </w:p>
          <w:p w14:paraId="5C91460F" w14:textId="77777777" w:rsidR="00C8002E" w:rsidRPr="00457816" w:rsidRDefault="00C8002E" w:rsidP="00FC73C0">
            <w:pPr>
              <w:pStyle w:val="Brezrazmikov"/>
              <w:numPr>
                <w:ilvl w:val="0"/>
                <w:numId w:val="11"/>
              </w:numPr>
              <w:tabs>
                <w:tab w:val="clear" w:pos="600"/>
                <w:tab w:val="num" w:pos="444"/>
              </w:tabs>
              <w:ind w:left="344" w:hanging="200"/>
              <w:rPr>
                <w:bCs/>
                <w:sz w:val="20"/>
                <w:szCs w:val="20"/>
                <w:lang w:val="sl-SI"/>
              </w:rPr>
            </w:pPr>
            <w:r w:rsidRPr="00457816">
              <w:rPr>
                <w:bCs/>
                <w:sz w:val="20"/>
                <w:szCs w:val="20"/>
                <w:lang w:val="sl-SI"/>
              </w:rPr>
              <w:t>razvojne dokumente Evropske unije in mednarodnih organizacij</w:t>
            </w:r>
          </w:p>
        </w:tc>
        <w:tc>
          <w:tcPr>
            <w:tcW w:w="2271" w:type="dxa"/>
          </w:tcPr>
          <w:p w14:paraId="4C398377" w14:textId="77777777" w:rsidR="00C8002E" w:rsidRPr="00457816" w:rsidRDefault="00C8002E" w:rsidP="00FC73C0">
            <w:pPr>
              <w:pStyle w:val="Brezrazmikov"/>
              <w:jc w:val="center"/>
              <w:rPr>
                <w:iCs/>
                <w:sz w:val="20"/>
                <w:szCs w:val="20"/>
                <w:lang w:val="sl-SI"/>
              </w:rPr>
            </w:pPr>
            <w:r w:rsidRPr="00457816">
              <w:rPr>
                <w:sz w:val="20"/>
                <w:szCs w:val="20"/>
                <w:lang w:val="sl-SI"/>
              </w:rPr>
              <w:t>NE</w:t>
            </w:r>
          </w:p>
        </w:tc>
      </w:tr>
      <w:tr w:rsidR="00C8002E" w:rsidRPr="00457816" w14:paraId="2CEFA04B" w14:textId="77777777" w:rsidTr="00FC73C0">
        <w:tc>
          <w:tcPr>
            <w:tcW w:w="9163" w:type="dxa"/>
            <w:gridSpan w:val="4"/>
          </w:tcPr>
          <w:p w14:paraId="12104F8E" w14:textId="77777777" w:rsidR="00C8002E" w:rsidRPr="00457816" w:rsidRDefault="00C8002E" w:rsidP="00FC73C0">
            <w:pPr>
              <w:pStyle w:val="Oddelek"/>
              <w:widowControl w:val="0"/>
              <w:numPr>
                <w:ilvl w:val="0"/>
                <w:numId w:val="0"/>
              </w:numPr>
              <w:spacing w:before="0" w:after="0" w:line="260" w:lineRule="exact"/>
              <w:jc w:val="left"/>
              <w:rPr>
                <w:rFonts w:cs="Arial"/>
                <w:sz w:val="20"/>
                <w:lang w:eastAsia="sl-SI"/>
              </w:rPr>
            </w:pPr>
            <w:r w:rsidRPr="00457816">
              <w:rPr>
                <w:rFonts w:cs="Arial"/>
                <w:sz w:val="20"/>
                <w:lang w:eastAsia="sl-SI"/>
              </w:rPr>
              <w:t>7.a Predstavitev ocene finančnih posledic nad 40 000 EUR</w:t>
            </w:r>
          </w:p>
          <w:p w14:paraId="16C8B5B5" w14:textId="77777777" w:rsidR="00C8002E" w:rsidRPr="00457816" w:rsidRDefault="00C8002E" w:rsidP="00FC73C0">
            <w:pPr>
              <w:pStyle w:val="Brezrazmikov"/>
              <w:rPr>
                <w:b/>
                <w:sz w:val="20"/>
                <w:szCs w:val="20"/>
                <w:lang w:val="sl-SI"/>
              </w:rPr>
            </w:pPr>
            <w:r w:rsidRPr="00457816">
              <w:rPr>
                <w:b/>
                <w:sz w:val="20"/>
                <w:szCs w:val="20"/>
                <w:lang w:val="sl-SI"/>
              </w:rPr>
              <w:t xml:space="preserve">     /</w:t>
            </w:r>
          </w:p>
        </w:tc>
      </w:tr>
      <w:tr w:rsidR="00C8002E" w:rsidRPr="00457816" w14:paraId="710B6CEF" w14:textId="77777777" w:rsidTr="00FC73C0">
        <w:trPr>
          <w:trHeight w:val="1910"/>
        </w:trPr>
        <w:tc>
          <w:tcPr>
            <w:tcW w:w="9163" w:type="dxa"/>
            <w:gridSpan w:val="4"/>
          </w:tcPr>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3"/>
              <w:gridCol w:w="1085"/>
              <w:gridCol w:w="1149"/>
              <w:gridCol w:w="424"/>
              <w:gridCol w:w="1181"/>
              <w:gridCol w:w="702"/>
              <w:gridCol w:w="703"/>
              <w:gridCol w:w="1510"/>
            </w:tblGrid>
            <w:tr w:rsidR="00C8002E" w:rsidRPr="00457816" w14:paraId="17AD1699" w14:textId="77777777" w:rsidTr="00FC73C0">
              <w:trPr>
                <w:cantSplit/>
                <w:trHeight w:val="35"/>
              </w:trPr>
              <w:tc>
                <w:tcPr>
                  <w:tcW w:w="8937" w:type="dxa"/>
                  <w:gridSpan w:val="8"/>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FE53848" w14:textId="77777777" w:rsidR="00C8002E" w:rsidRPr="00457816" w:rsidRDefault="00C8002E" w:rsidP="00FC73C0">
                  <w:pPr>
                    <w:pStyle w:val="Brezrazmikov"/>
                    <w:rPr>
                      <w:bCs/>
                      <w:sz w:val="20"/>
                      <w:szCs w:val="20"/>
                      <w:lang w:val="sl-SI" w:eastAsia="sl-SI"/>
                    </w:rPr>
                  </w:pPr>
                  <w:r w:rsidRPr="00457816">
                    <w:rPr>
                      <w:bCs/>
                      <w:sz w:val="20"/>
                      <w:szCs w:val="20"/>
                      <w:lang w:val="sl-SI" w:eastAsia="sl-SI"/>
                    </w:rPr>
                    <w:t>I. Ocena finančnih posledic, ki niso načrtovane v sprejetem proračunu</w:t>
                  </w:r>
                </w:p>
              </w:tc>
            </w:tr>
            <w:tr w:rsidR="00C8002E" w:rsidRPr="00457816" w14:paraId="6684D0CB" w14:textId="77777777" w:rsidTr="00FC73C0">
              <w:trPr>
                <w:cantSplit/>
                <w:trHeight w:val="276"/>
              </w:trPr>
              <w:tc>
                <w:tcPr>
                  <w:tcW w:w="3268" w:type="dxa"/>
                  <w:gridSpan w:val="2"/>
                  <w:tcBorders>
                    <w:top w:val="single" w:sz="4" w:space="0" w:color="auto"/>
                    <w:left w:val="single" w:sz="4" w:space="0" w:color="auto"/>
                    <w:bottom w:val="single" w:sz="4" w:space="0" w:color="auto"/>
                    <w:right w:val="single" w:sz="4" w:space="0" w:color="auto"/>
                  </w:tcBorders>
                  <w:vAlign w:val="center"/>
                </w:tcPr>
                <w:p w14:paraId="6648A98C" w14:textId="77777777" w:rsidR="00C8002E" w:rsidRPr="00457816" w:rsidRDefault="00C8002E" w:rsidP="00FC73C0">
                  <w:pPr>
                    <w:pStyle w:val="Brezrazmikov"/>
                    <w:jc w:val="center"/>
                    <w:rPr>
                      <w:sz w:val="20"/>
                      <w:szCs w:val="20"/>
                      <w:lang w:val="sl-SI"/>
                    </w:rPr>
                  </w:pP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0C9D4205" w14:textId="77777777" w:rsidR="00C8002E" w:rsidRPr="00457816" w:rsidRDefault="00C8002E" w:rsidP="00FC73C0">
                  <w:pPr>
                    <w:pStyle w:val="Brezrazmikov"/>
                    <w:jc w:val="center"/>
                    <w:rPr>
                      <w:sz w:val="20"/>
                      <w:szCs w:val="20"/>
                      <w:lang w:val="sl-SI"/>
                    </w:rPr>
                  </w:pPr>
                  <w:r w:rsidRPr="00457816">
                    <w:rPr>
                      <w:sz w:val="20"/>
                      <w:szCs w:val="20"/>
                      <w:lang w:val="sl-SI"/>
                    </w:rPr>
                    <w:t>Tekoče leto (t)</w:t>
                  </w:r>
                </w:p>
              </w:tc>
              <w:tc>
                <w:tcPr>
                  <w:tcW w:w="1181" w:type="dxa"/>
                  <w:tcBorders>
                    <w:top w:val="single" w:sz="4" w:space="0" w:color="auto"/>
                    <w:left w:val="single" w:sz="4" w:space="0" w:color="auto"/>
                    <w:bottom w:val="single" w:sz="4" w:space="0" w:color="auto"/>
                    <w:right w:val="single" w:sz="4" w:space="0" w:color="auto"/>
                  </w:tcBorders>
                  <w:vAlign w:val="center"/>
                </w:tcPr>
                <w:p w14:paraId="07FA6B59" w14:textId="77777777" w:rsidR="00C8002E" w:rsidRPr="00457816" w:rsidRDefault="00C8002E" w:rsidP="00FC73C0">
                  <w:pPr>
                    <w:pStyle w:val="Brezrazmikov"/>
                    <w:jc w:val="center"/>
                    <w:rPr>
                      <w:sz w:val="20"/>
                      <w:szCs w:val="20"/>
                      <w:lang w:val="sl-SI"/>
                    </w:rPr>
                  </w:pPr>
                  <w:r w:rsidRPr="00457816">
                    <w:rPr>
                      <w:sz w:val="20"/>
                      <w:szCs w:val="20"/>
                      <w:lang w:val="sl-SI"/>
                    </w:rPr>
                    <w:t>t + 1</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2CF4EB48" w14:textId="77777777" w:rsidR="00C8002E" w:rsidRPr="00457816" w:rsidRDefault="00C8002E" w:rsidP="00FC73C0">
                  <w:pPr>
                    <w:pStyle w:val="Brezrazmikov"/>
                    <w:jc w:val="center"/>
                    <w:rPr>
                      <w:sz w:val="20"/>
                      <w:szCs w:val="20"/>
                      <w:lang w:val="sl-SI"/>
                    </w:rPr>
                  </w:pPr>
                  <w:r w:rsidRPr="00457816">
                    <w:rPr>
                      <w:sz w:val="20"/>
                      <w:szCs w:val="20"/>
                      <w:lang w:val="sl-SI"/>
                    </w:rPr>
                    <w:t>t + 2</w:t>
                  </w:r>
                </w:p>
              </w:tc>
              <w:tc>
                <w:tcPr>
                  <w:tcW w:w="1510" w:type="dxa"/>
                  <w:tcBorders>
                    <w:top w:val="single" w:sz="4" w:space="0" w:color="auto"/>
                    <w:left w:val="single" w:sz="4" w:space="0" w:color="auto"/>
                    <w:bottom w:val="single" w:sz="4" w:space="0" w:color="auto"/>
                    <w:right w:val="single" w:sz="4" w:space="0" w:color="auto"/>
                  </w:tcBorders>
                  <w:vAlign w:val="center"/>
                </w:tcPr>
                <w:p w14:paraId="4AF2FA9A" w14:textId="77777777" w:rsidR="00C8002E" w:rsidRPr="00457816" w:rsidRDefault="00C8002E" w:rsidP="00FC73C0">
                  <w:pPr>
                    <w:pStyle w:val="Brezrazmikov"/>
                    <w:jc w:val="center"/>
                    <w:rPr>
                      <w:sz w:val="20"/>
                      <w:szCs w:val="20"/>
                      <w:lang w:val="sl-SI"/>
                    </w:rPr>
                  </w:pPr>
                  <w:r w:rsidRPr="00457816">
                    <w:rPr>
                      <w:sz w:val="20"/>
                      <w:szCs w:val="20"/>
                      <w:lang w:val="sl-SI"/>
                    </w:rPr>
                    <w:t>t + 3</w:t>
                  </w:r>
                </w:p>
              </w:tc>
            </w:tr>
            <w:tr w:rsidR="00C8002E" w:rsidRPr="00457816" w14:paraId="7D7635AD" w14:textId="77777777" w:rsidTr="00FC73C0">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104AD656" w14:textId="77777777" w:rsidR="00C8002E" w:rsidRPr="00457816" w:rsidRDefault="00C8002E" w:rsidP="00FC73C0">
                  <w:pPr>
                    <w:pStyle w:val="Brezrazmikov"/>
                    <w:rPr>
                      <w:bCs/>
                      <w:sz w:val="20"/>
                      <w:szCs w:val="20"/>
                      <w:lang w:val="sl-SI"/>
                    </w:rPr>
                  </w:pPr>
                  <w:r w:rsidRPr="00457816">
                    <w:rPr>
                      <w:bCs/>
                      <w:sz w:val="20"/>
                      <w:szCs w:val="20"/>
                      <w:lang w:val="sl-SI"/>
                    </w:rPr>
                    <w:t xml:space="preserve">Predvideno povečanje (+) ali zmanjšanje (–) prihodkov državnega proračuna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220D6BDF" w14:textId="77777777" w:rsidR="00C8002E" w:rsidRPr="00457816" w:rsidRDefault="00C8002E" w:rsidP="00FC73C0">
                  <w:pPr>
                    <w:pStyle w:val="Brezrazmikov"/>
                    <w:rPr>
                      <w:b/>
                      <w:sz w:val="20"/>
                      <w:szCs w:val="20"/>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77F0208D" w14:textId="77777777" w:rsidR="00C8002E" w:rsidRPr="00457816" w:rsidRDefault="00C8002E" w:rsidP="00FC73C0">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521DB98F" w14:textId="77777777" w:rsidR="00C8002E" w:rsidRPr="00457816" w:rsidRDefault="00C8002E" w:rsidP="00FC73C0">
                  <w:pPr>
                    <w:pStyle w:val="Brezrazmikov"/>
                    <w:rPr>
                      <w:b/>
                      <w:bCs/>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596471FF" w14:textId="77777777" w:rsidR="00C8002E" w:rsidRPr="00457816" w:rsidRDefault="00C8002E" w:rsidP="00FC73C0">
                  <w:pPr>
                    <w:pStyle w:val="Brezrazmikov"/>
                    <w:rPr>
                      <w:b/>
                      <w:bCs/>
                      <w:sz w:val="20"/>
                      <w:szCs w:val="20"/>
                      <w:lang w:val="sl-SI" w:eastAsia="sl-SI"/>
                    </w:rPr>
                  </w:pPr>
                </w:p>
              </w:tc>
            </w:tr>
            <w:tr w:rsidR="00C8002E" w:rsidRPr="00457816" w14:paraId="3E80526B" w14:textId="77777777" w:rsidTr="00FC73C0">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3AF61938" w14:textId="77777777" w:rsidR="00C8002E" w:rsidRPr="00457816" w:rsidRDefault="00C8002E" w:rsidP="00FC73C0">
                  <w:pPr>
                    <w:pStyle w:val="Brezrazmikov"/>
                    <w:rPr>
                      <w:bCs/>
                      <w:sz w:val="20"/>
                      <w:szCs w:val="20"/>
                      <w:lang w:val="sl-SI"/>
                    </w:rPr>
                  </w:pPr>
                  <w:r w:rsidRPr="00457816">
                    <w:rPr>
                      <w:bCs/>
                      <w:sz w:val="20"/>
                      <w:szCs w:val="20"/>
                      <w:lang w:val="sl-SI"/>
                    </w:rPr>
                    <w:t xml:space="preserve">Predvideno povečanje (+) ali zmanjšanje (–) prihodkov občinskih proračunov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0E325E6D" w14:textId="77777777" w:rsidR="00C8002E" w:rsidRPr="00457816" w:rsidRDefault="00C8002E" w:rsidP="00FC73C0">
                  <w:pPr>
                    <w:pStyle w:val="Brezrazmikov"/>
                    <w:rPr>
                      <w:b/>
                      <w:sz w:val="20"/>
                      <w:szCs w:val="20"/>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3D5D3059" w14:textId="77777777" w:rsidR="00C8002E" w:rsidRPr="00457816" w:rsidRDefault="00C8002E" w:rsidP="00FC73C0">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3B149B60" w14:textId="77777777" w:rsidR="00C8002E" w:rsidRPr="00457816" w:rsidRDefault="00C8002E" w:rsidP="00FC73C0">
                  <w:pPr>
                    <w:pStyle w:val="Brezrazmikov"/>
                    <w:rPr>
                      <w:b/>
                      <w:bCs/>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209991EF" w14:textId="77777777" w:rsidR="00C8002E" w:rsidRPr="00457816" w:rsidRDefault="00C8002E" w:rsidP="00FC73C0">
                  <w:pPr>
                    <w:pStyle w:val="Brezrazmikov"/>
                    <w:rPr>
                      <w:b/>
                      <w:bCs/>
                      <w:sz w:val="20"/>
                      <w:szCs w:val="20"/>
                      <w:lang w:val="sl-SI" w:eastAsia="sl-SI"/>
                    </w:rPr>
                  </w:pPr>
                </w:p>
              </w:tc>
            </w:tr>
            <w:tr w:rsidR="00C8002E" w:rsidRPr="00457816" w14:paraId="693B2D08" w14:textId="77777777" w:rsidTr="00FC73C0">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5BE6AF7B" w14:textId="77777777" w:rsidR="00C8002E" w:rsidRPr="00457816" w:rsidRDefault="00C8002E" w:rsidP="00FC73C0">
                  <w:pPr>
                    <w:pStyle w:val="Brezrazmikov"/>
                    <w:rPr>
                      <w:bCs/>
                      <w:sz w:val="20"/>
                      <w:szCs w:val="20"/>
                      <w:lang w:val="sl-SI"/>
                    </w:rPr>
                  </w:pPr>
                  <w:r w:rsidRPr="00457816">
                    <w:rPr>
                      <w:bCs/>
                      <w:sz w:val="20"/>
                      <w:szCs w:val="20"/>
                      <w:lang w:val="sl-SI"/>
                    </w:rPr>
                    <w:t xml:space="preserve">Predvideno povečanje (+) ali zmanjšanje (–) odhodkov državnega proračuna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3BE6EF01" w14:textId="77777777" w:rsidR="00C8002E" w:rsidRPr="00457816" w:rsidRDefault="00C8002E" w:rsidP="00FC73C0">
                  <w:pPr>
                    <w:pStyle w:val="Brezrazmikov"/>
                    <w:rPr>
                      <w:sz w:val="20"/>
                      <w:szCs w:val="20"/>
                      <w:lang w:val="sl-SI"/>
                    </w:rPr>
                  </w:pPr>
                </w:p>
              </w:tc>
              <w:tc>
                <w:tcPr>
                  <w:tcW w:w="1181" w:type="dxa"/>
                  <w:tcBorders>
                    <w:top w:val="single" w:sz="4" w:space="0" w:color="auto"/>
                    <w:left w:val="single" w:sz="4" w:space="0" w:color="auto"/>
                    <w:bottom w:val="single" w:sz="4" w:space="0" w:color="auto"/>
                    <w:right w:val="single" w:sz="4" w:space="0" w:color="auto"/>
                  </w:tcBorders>
                  <w:vAlign w:val="center"/>
                </w:tcPr>
                <w:p w14:paraId="256BD3BB" w14:textId="77777777" w:rsidR="00C8002E" w:rsidRPr="00457816" w:rsidRDefault="00C8002E" w:rsidP="00FC73C0">
                  <w:pPr>
                    <w:pStyle w:val="Brezrazmikov"/>
                    <w:rPr>
                      <w:sz w:val="20"/>
                      <w:szCs w:val="20"/>
                      <w:lang w:val="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34A662A8" w14:textId="77777777" w:rsidR="00C8002E" w:rsidRPr="00457816" w:rsidRDefault="00C8002E" w:rsidP="00FC73C0">
                  <w:pPr>
                    <w:pStyle w:val="Brezrazmikov"/>
                    <w:rPr>
                      <w:sz w:val="20"/>
                      <w:szCs w:val="20"/>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6E23A9EF" w14:textId="77777777" w:rsidR="00C8002E" w:rsidRPr="00457816" w:rsidRDefault="00C8002E" w:rsidP="00FC73C0">
                  <w:pPr>
                    <w:pStyle w:val="Brezrazmikov"/>
                    <w:rPr>
                      <w:sz w:val="20"/>
                      <w:szCs w:val="20"/>
                      <w:lang w:val="sl-SI"/>
                    </w:rPr>
                  </w:pPr>
                </w:p>
              </w:tc>
            </w:tr>
            <w:tr w:rsidR="00C8002E" w:rsidRPr="00457816" w14:paraId="39169931" w14:textId="77777777" w:rsidTr="00FC73C0">
              <w:trPr>
                <w:cantSplit/>
                <w:trHeight w:val="6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1E3B8BD0" w14:textId="77777777" w:rsidR="00C8002E" w:rsidRPr="00457816" w:rsidRDefault="00C8002E" w:rsidP="00FC73C0">
                  <w:pPr>
                    <w:pStyle w:val="Brezrazmikov"/>
                    <w:rPr>
                      <w:bCs/>
                      <w:sz w:val="20"/>
                      <w:szCs w:val="20"/>
                      <w:lang w:val="sl-SI"/>
                    </w:rPr>
                  </w:pPr>
                  <w:r w:rsidRPr="00457816">
                    <w:rPr>
                      <w:bCs/>
                      <w:sz w:val="20"/>
                      <w:szCs w:val="20"/>
                      <w:lang w:val="sl-SI"/>
                    </w:rPr>
                    <w:t>Predvideno povečanje (+) ali zmanjšanje (–) odhodkov občinskih proračunov</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6D6F605C" w14:textId="77777777" w:rsidR="00C8002E" w:rsidRPr="00457816" w:rsidRDefault="00C8002E" w:rsidP="00FC73C0">
                  <w:pPr>
                    <w:pStyle w:val="Brezrazmikov"/>
                    <w:rPr>
                      <w:sz w:val="20"/>
                      <w:szCs w:val="20"/>
                      <w:lang w:val="sl-SI"/>
                    </w:rPr>
                  </w:pPr>
                </w:p>
              </w:tc>
              <w:tc>
                <w:tcPr>
                  <w:tcW w:w="1181" w:type="dxa"/>
                  <w:tcBorders>
                    <w:top w:val="single" w:sz="4" w:space="0" w:color="auto"/>
                    <w:left w:val="single" w:sz="4" w:space="0" w:color="auto"/>
                    <w:bottom w:val="single" w:sz="4" w:space="0" w:color="auto"/>
                    <w:right w:val="single" w:sz="4" w:space="0" w:color="auto"/>
                  </w:tcBorders>
                  <w:vAlign w:val="center"/>
                </w:tcPr>
                <w:p w14:paraId="64D0934B" w14:textId="77777777" w:rsidR="00C8002E" w:rsidRPr="00457816" w:rsidRDefault="00C8002E" w:rsidP="00FC73C0">
                  <w:pPr>
                    <w:pStyle w:val="Brezrazmikov"/>
                    <w:rPr>
                      <w:sz w:val="20"/>
                      <w:szCs w:val="20"/>
                      <w:lang w:val="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30AF976A" w14:textId="77777777" w:rsidR="00C8002E" w:rsidRPr="00457816" w:rsidRDefault="00C8002E" w:rsidP="00FC73C0">
                  <w:pPr>
                    <w:pStyle w:val="Brezrazmikov"/>
                    <w:rPr>
                      <w:sz w:val="20"/>
                      <w:szCs w:val="20"/>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5B5077F3" w14:textId="77777777" w:rsidR="00C8002E" w:rsidRPr="00457816" w:rsidRDefault="00C8002E" w:rsidP="00FC73C0">
                  <w:pPr>
                    <w:pStyle w:val="Brezrazmikov"/>
                    <w:rPr>
                      <w:sz w:val="20"/>
                      <w:szCs w:val="20"/>
                      <w:lang w:val="sl-SI"/>
                    </w:rPr>
                  </w:pPr>
                </w:p>
              </w:tc>
            </w:tr>
            <w:tr w:rsidR="00C8002E" w:rsidRPr="00457816" w14:paraId="491907ED" w14:textId="77777777" w:rsidTr="00FC73C0">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32FFC691" w14:textId="77777777" w:rsidR="00C8002E" w:rsidRPr="00457816" w:rsidRDefault="00C8002E" w:rsidP="00FC73C0">
                  <w:pPr>
                    <w:pStyle w:val="Brezrazmikov"/>
                    <w:rPr>
                      <w:bCs/>
                      <w:sz w:val="20"/>
                      <w:szCs w:val="20"/>
                      <w:lang w:val="sl-SI"/>
                    </w:rPr>
                  </w:pPr>
                  <w:r w:rsidRPr="00457816">
                    <w:rPr>
                      <w:bCs/>
                      <w:sz w:val="20"/>
                      <w:szCs w:val="20"/>
                      <w:lang w:val="sl-SI"/>
                    </w:rPr>
                    <w:t>Predvideno povečanje (+) ali zmanjšanje (–) obveznosti za druga javnofinančna sredstva</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19717362" w14:textId="77777777" w:rsidR="00C8002E" w:rsidRPr="00457816" w:rsidRDefault="00C8002E" w:rsidP="00FC73C0">
                  <w:pPr>
                    <w:pStyle w:val="Brezrazmikov"/>
                    <w:rPr>
                      <w:b/>
                      <w:sz w:val="20"/>
                      <w:szCs w:val="20"/>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30642DC0" w14:textId="77777777" w:rsidR="00C8002E" w:rsidRPr="00457816" w:rsidRDefault="00C8002E" w:rsidP="00FC73C0">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0E3BEC9B" w14:textId="77777777" w:rsidR="00C8002E" w:rsidRPr="00457816" w:rsidRDefault="00C8002E" w:rsidP="00FC73C0">
                  <w:pPr>
                    <w:pStyle w:val="Brezrazmikov"/>
                    <w:rPr>
                      <w:b/>
                      <w:bCs/>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2BF09F39" w14:textId="77777777" w:rsidR="00C8002E" w:rsidRPr="00457816" w:rsidRDefault="00C8002E" w:rsidP="00FC73C0">
                  <w:pPr>
                    <w:pStyle w:val="Brezrazmikov"/>
                    <w:rPr>
                      <w:b/>
                      <w:bCs/>
                      <w:sz w:val="20"/>
                      <w:szCs w:val="20"/>
                      <w:lang w:val="sl-SI" w:eastAsia="sl-SI"/>
                    </w:rPr>
                  </w:pPr>
                </w:p>
              </w:tc>
            </w:tr>
            <w:tr w:rsidR="00C8002E" w:rsidRPr="00457816" w14:paraId="422867F0" w14:textId="77777777" w:rsidTr="00FC73C0">
              <w:trPr>
                <w:cantSplit/>
                <w:trHeight w:val="257"/>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051EE1B" w14:textId="77777777" w:rsidR="00C8002E" w:rsidRPr="00457816" w:rsidRDefault="00C8002E" w:rsidP="00FC73C0">
                  <w:pPr>
                    <w:pStyle w:val="Brezrazmikov"/>
                    <w:rPr>
                      <w:bCs/>
                      <w:sz w:val="20"/>
                      <w:szCs w:val="20"/>
                      <w:lang w:val="sl-SI" w:eastAsia="sl-SI"/>
                    </w:rPr>
                  </w:pPr>
                  <w:r w:rsidRPr="00457816">
                    <w:rPr>
                      <w:bCs/>
                      <w:sz w:val="20"/>
                      <w:szCs w:val="20"/>
                      <w:lang w:val="sl-SI" w:eastAsia="sl-SI"/>
                    </w:rPr>
                    <w:lastRenderedPageBreak/>
                    <w:t>II. Finančne posledice za državni proračun</w:t>
                  </w:r>
                </w:p>
              </w:tc>
            </w:tr>
            <w:tr w:rsidR="00C8002E" w:rsidRPr="00457816" w14:paraId="5723E647" w14:textId="77777777" w:rsidTr="00FC73C0">
              <w:trPr>
                <w:cantSplit/>
                <w:trHeight w:val="257"/>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3282BC5" w14:textId="77777777" w:rsidR="00C8002E" w:rsidRPr="00457816" w:rsidRDefault="00C8002E" w:rsidP="00FC73C0">
                  <w:pPr>
                    <w:pStyle w:val="Brezrazmikov"/>
                    <w:rPr>
                      <w:bCs/>
                      <w:sz w:val="20"/>
                      <w:szCs w:val="20"/>
                      <w:lang w:val="sl-SI" w:eastAsia="sl-SI"/>
                    </w:rPr>
                  </w:pPr>
                  <w:proofErr w:type="spellStart"/>
                  <w:r w:rsidRPr="00457816">
                    <w:rPr>
                      <w:bCs/>
                      <w:sz w:val="20"/>
                      <w:szCs w:val="20"/>
                      <w:lang w:val="sl-SI" w:eastAsia="sl-SI"/>
                    </w:rPr>
                    <w:t>II.a</w:t>
                  </w:r>
                  <w:proofErr w:type="spellEnd"/>
                  <w:r w:rsidRPr="00457816">
                    <w:rPr>
                      <w:bCs/>
                      <w:sz w:val="20"/>
                      <w:szCs w:val="20"/>
                      <w:lang w:val="sl-SI" w:eastAsia="sl-SI"/>
                    </w:rPr>
                    <w:t>. Pravice porabe za izvedbo predlaganih rešitev so zagotovljene:</w:t>
                  </w:r>
                </w:p>
              </w:tc>
            </w:tr>
            <w:tr w:rsidR="00C8002E" w:rsidRPr="00457816" w14:paraId="05868274" w14:textId="77777777" w:rsidTr="00FC73C0">
              <w:trPr>
                <w:cantSplit/>
                <w:trHeight w:val="100"/>
              </w:trPr>
              <w:tc>
                <w:tcPr>
                  <w:tcW w:w="2183" w:type="dxa"/>
                  <w:tcBorders>
                    <w:top w:val="single" w:sz="4" w:space="0" w:color="auto"/>
                    <w:left w:val="single" w:sz="4" w:space="0" w:color="auto"/>
                    <w:bottom w:val="single" w:sz="4" w:space="0" w:color="auto"/>
                    <w:right w:val="single" w:sz="4" w:space="0" w:color="auto"/>
                  </w:tcBorders>
                  <w:vAlign w:val="center"/>
                </w:tcPr>
                <w:p w14:paraId="17461719" w14:textId="77777777" w:rsidR="00C8002E" w:rsidRPr="00457816" w:rsidRDefault="00C8002E" w:rsidP="00FC73C0">
                  <w:pPr>
                    <w:pStyle w:val="Brezrazmikov"/>
                    <w:jc w:val="center"/>
                    <w:rPr>
                      <w:sz w:val="20"/>
                      <w:szCs w:val="20"/>
                      <w:lang w:val="sl-SI"/>
                    </w:rPr>
                  </w:pPr>
                  <w:r w:rsidRPr="00457816">
                    <w:rPr>
                      <w:sz w:val="20"/>
                      <w:szCs w:val="20"/>
                      <w:lang w:val="sl-SI"/>
                    </w:rPr>
                    <w:t>Ime proračunskega uporabnika</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76F0E3BC" w14:textId="77777777" w:rsidR="00C8002E" w:rsidRPr="00457816" w:rsidRDefault="00C8002E" w:rsidP="00FC73C0">
                  <w:pPr>
                    <w:pStyle w:val="Brezrazmikov"/>
                    <w:jc w:val="center"/>
                    <w:rPr>
                      <w:sz w:val="20"/>
                      <w:szCs w:val="20"/>
                      <w:lang w:val="sl-SI"/>
                    </w:rPr>
                  </w:pPr>
                  <w:r w:rsidRPr="00457816">
                    <w:rPr>
                      <w:sz w:val="20"/>
                      <w:szCs w:val="20"/>
                      <w:lang w:val="sl-SI"/>
                    </w:rPr>
                    <w:t>Šifra in naziv ukrepa, projekta</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125D9258" w14:textId="77777777" w:rsidR="00C8002E" w:rsidRPr="00457816" w:rsidRDefault="00C8002E" w:rsidP="00FC73C0">
                  <w:pPr>
                    <w:pStyle w:val="Brezrazmikov"/>
                    <w:jc w:val="center"/>
                    <w:rPr>
                      <w:sz w:val="20"/>
                      <w:szCs w:val="20"/>
                      <w:lang w:val="sl-SI"/>
                    </w:rPr>
                  </w:pPr>
                  <w:r w:rsidRPr="00457816">
                    <w:rPr>
                      <w:sz w:val="20"/>
                      <w:szCs w:val="20"/>
                      <w:lang w:val="sl-SI"/>
                    </w:rPr>
                    <w:t>Šifra in naziv proračunske postavke</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2AC3F4F0" w14:textId="77777777" w:rsidR="00C8002E" w:rsidRPr="00457816" w:rsidRDefault="00C8002E" w:rsidP="00FC73C0">
                  <w:pPr>
                    <w:pStyle w:val="Brezrazmikov"/>
                    <w:jc w:val="center"/>
                    <w:rPr>
                      <w:sz w:val="20"/>
                      <w:szCs w:val="20"/>
                      <w:lang w:val="sl-SI"/>
                    </w:rPr>
                  </w:pPr>
                  <w:r w:rsidRPr="00457816">
                    <w:rPr>
                      <w:sz w:val="20"/>
                      <w:szCs w:val="20"/>
                      <w:lang w:val="sl-SI"/>
                    </w:rPr>
                    <w:t>Znesek za tekoče leto (t)</w:t>
                  </w:r>
                </w:p>
              </w:tc>
              <w:tc>
                <w:tcPr>
                  <w:tcW w:w="1510" w:type="dxa"/>
                  <w:tcBorders>
                    <w:top w:val="single" w:sz="4" w:space="0" w:color="auto"/>
                    <w:left w:val="single" w:sz="4" w:space="0" w:color="auto"/>
                    <w:bottom w:val="single" w:sz="4" w:space="0" w:color="auto"/>
                    <w:right w:val="single" w:sz="4" w:space="0" w:color="auto"/>
                  </w:tcBorders>
                  <w:vAlign w:val="center"/>
                </w:tcPr>
                <w:p w14:paraId="3A987327" w14:textId="77777777" w:rsidR="00C8002E" w:rsidRPr="00457816" w:rsidRDefault="00C8002E" w:rsidP="00FC73C0">
                  <w:pPr>
                    <w:pStyle w:val="Brezrazmikov"/>
                    <w:jc w:val="center"/>
                    <w:rPr>
                      <w:sz w:val="20"/>
                      <w:szCs w:val="20"/>
                      <w:lang w:val="sl-SI"/>
                    </w:rPr>
                  </w:pPr>
                  <w:r w:rsidRPr="00457816">
                    <w:rPr>
                      <w:sz w:val="20"/>
                      <w:szCs w:val="20"/>
                      <w:lang w:val="sl-SI"/>
                    </w:rPr>
                    <w:t>Znesek z t + 1</w:t>
                  </w:r>
                </w:p>
              </w:tc>
            </w:tr>
            <w:tr w:rsidR="00C8002E" w:rsidRPr="00457816" w14:paraId="0289ECC7" w14:textId="77777777" w:rsidTr="00FC73C0">
              <w:trPr>
                <w:cantSplit/>
                <w:trHeight w:val="328"/>
              </w:trPr>
              <w:tc>
                <w:tcPr>
                  <w:tcW w:w="2183" w:type="dxa"/>
                  <w:tcBorders>
                    <w:top w:val="single" w:sz="4" w:space="0" w:color="auto"/>
                    <w:left w:val="single" w:sz="4" w:space="0" w:color="auto"/>
                    <w:bottom w:val="single" w:sz="4" w:space="0" w:color="auto"/>
                    <w:right w:val="single" w:sz="4" w:space="0" w:color="auto"/>
                  </w:tcBorders>
                  <w:vAlign w:val="center"/>
                </w:tcPr>
                <w:p w14:paraId="1447431B" w14:textId="77777777" w:rsidR="00C8002E" w:rsidRPr="00457816" w:rsidRDefault="00C8002E" w:rsidP="00FC73C0">
                  <w:pPr>
                    <w:pStyle w:val="Brezrazmikov"/>
                    <w:rPr>
                      <w:b/>
                      <w:sz w:val="20"/>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0CE627AC" w14:textId="77777777" w:rsidR="00C8002E" w:rsidRPr="00457816" w:rsidRDefault="00C8002E" w:rsidP="00FC73C0">
                  <w:pPr>
                    <w:pStyle w:val="Brezrazmikov"/>
                    <w:rPr>
                      <w:b/>
                      <w:sz w:val="20"/>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748CA22F" w14:textId="77777777" w:rsidR="00C8002E" w:rsidRPr="00457816" w:rsidRDefault="00C8002E" w:rsidP="00FC73C0">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5236E7D3" w14:textId="77777777" w:rsidR="00C8002E" w:rsidRPr="00457816" w:rsidRDefault="00C8002E" w:rsidP="00FC73C0">
                  <w:pPr>
                    <w:pStyle w:val="Brezrazmikov"/>
                    <w:rPr>
                      <w:b/>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1F686225" w14:textId="77777777" w:rsidR="00C8002E" w:rsidRPr="00457816" w:rsidRDefault="00C8002E" w:rsidP="00FC73C0">
                  <w:pPr>
                    <w:pStyle w:val="Brezrazmikov"/>
                    <w:rPr>
                      <w:b/>
                      <w:sz w:val="20"/>
                      <w:szCs w:val="20"/>
                      <w:lang w:val="sl-SI" w:eastAsia="sl-SI"/>
                    </w:rPr>
                  </w:pPr>
                </w:p>
              </w:tc>
            </w:tr>
            <w:tr w:rsidR="00C8002E" w:rsidRPr="00457816" w14:paraId="381AB415" w14:textId="77777777" w:rsidTr="00FC73C0">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004D3EC7" w14:textId="77777777" w:rsidR="00C8002E" w:rsidRPr="00457816" w:rsidRDefault="00C8002E" w:rsidP="00FC73C0">
                  <w:pPr>
                    <w:pStyle w:val="Brezrazmikov"/>
                    <w:rPr>
                      <w:b/>
                      <w:sz w:val="20"/>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2E6DF96A" w14:textId="77777777" w:rsidR="00C8002E" w:rsidRPr="00457816" w:rsidRDefault="00C8002E" w:rsidP="00FC73C0">
                  <w:pPr>
                    <w:pStyle w:val="Brezrazmikov"/>
                    <w:rPr>
                      <w:b/>
                      <w:sz w:val="20"/>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4C062CEC" w14:textId="77777777" w:rsidR="00C8002E" w:rsidRPr="00457816" w:rsidRDefault="00C8002E" w:rsidP="00FC73C0">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23F62603" w14:textId="77777777" w:rsidR="00C8002E" w:rsidRPr="00457816" w:rsidRDefault="00C8002E" w:rsidP="00FC73C0">
                  <w:pPr>
                    <w:pStyle w:val="Brezrazmikov"/>
                    <w:rPr>
                      <w:b/>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351D177C" w14:textId="77777777" w:rsidR="00C8002E" w:rsidRPr="00457816" w:rsidRDefault="00C8002E" w:rsidP="00FC73C0">
                  <w:pPr>
                    <w:pStyle w:val="Brezrazmikov"/>
                    <w:rPr>
                      <w:b/>
                      <w:sz w:val="20"/>
                      <w:szCs w:val="20"/>
                      <w:lang w:val="sl-SI" w:eastAsia="sl-SI"/>
                    </w:rPr>
                  </w:pPr>
                </w:p>
              </w:tc>
            </w:tr>
            <w:tr w:rsidR="00C8002E" w:rsidRPr="00457816" w14:paraId="227E6563" w14:textId="77777777" w:rsidTr="00FC73C0">
              <w:trPr>
                <w:cantSplit/>
                <w:trHeight w:val="95"/>
              </w:trPr>
              <w:tc>
                <w:tcPr>
                  <w:tcW w:w="6022" w:type="dxa"/>
                  <w:gridSpan w:val="5"/>
                  <w:tcBorders>
                    <w:top w:val="single" w:sz="4" w:space="0" w:color="auto"/>
                    <w:left w:val="single" w:sz="4" w:space="0" w:color="auto"/>
                    <w:bottom w:val="single" w:sz="4" w:space="0" w:color="auto"/>
                    <w:right w:val="single" w:sz="4" w:space="0" w:color="auto"/>
                  </w:tcBorders>
                  <w:vAlign w:val="center"/>
                </w:tcPr>
                <w:p w14:paraId="737B60C5" w14:textId="77777777" w:rsidR="00C8002E" w:rsidRPr="00457816" w:rsidRDefault="00C8002E" w:rsidP="00FC73C0">
                  <w:pPr>
                    <w:pStyle w:val="Brezrazmikov"/>
                    <w:rPr>
                      <w:bCs/>
                      <w:sz w:val="20"/>
                      <w:szCs w:val="20"/>
                      <w:lang w:val="sl-SI" w:eastAsia="sl-SI"/>
                    </w:rPr>
                  </w:pPr>
                  <w:r w:rsidRPr="00457816">
                    <w:rPr>
                      <w:bCs/>
                      <w:sz w:val="20"/>
                      <w:szCs w:val="20"/>
                      <w:lang w:val="sl-SI" w:eastAsia="sl-SI"/>
                    </w:rPr>
                    <w:t>SKUPAJ:</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5F3C48EB" w14:textId="77777777" w:rsidR="00C8002E" w:rsidRPr="00457816" w:rsidRDefault="00C8002E" w:rsidP="00FC73C0">
                  <w:pPr>
                    <w:pStyle w:val="Brezrazmikov"/>
                    <w:rPr>
                      <w:b/>
                      <w:sz w:val="20"/>
                      <w:szCs w:val="20"/>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26C65A2E" w14:textId="77777777" w:rsidR="00C8002E" w:rsidRPr="00457816" w:rsidRDefault="00C8002E" w:rsidP="00FC73C0">
                  <w:pPr>
                    <w:pStyle w:val="Brezrazmikov"/>
                    <w:rPr>
                      <w:bCs/>
                      <w:sz w:val="20"/>
                      <w:szCs w:val="20"/>
                      <w:lang w:val="sl-SI" w:eastAsia="sl-SI"/>
                    </w:rPr>
                  </w:pPr>
                </w:p>
              </w:tc>
            </w:tr>
            <w:tr w:rsidR="00C8002E" w:rsidRPr="00457816" w14:paraId="4F6A62DF" w14:textId="77777777" w:rsidTr="00FC73C0">
              <w:trPr>
                <w:cantSplit/>
                <w:trHeight w:val="294"/>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6045629" w14:textId="77777777" w:rsidR="00C8002E" w:rsidRPr="00457816" w:rsidRDefault="00C8002E" w:rsidP="00FC73C0">
                  <w:pPr>
                    <w:pStyle w:val="Brezrazmikov"/>
                    <w:rPr>
                      <w:bCs/>
                      <w:sz w:val="20"/>
                      <w:szCs w:val="20"/>
                      <w:lang w:val="sl-SI" w:eastAsia="sl-SI"/>
                    </w:rPr>
                  </w:pPr>
                  <w:proofErr w:type="spellStart"/>
                  <w:r w:rsidRPr="00457816">
                    <w:rPr>
                      <w:bCs/>
                      <w:sz w:val="20"/>
                      <w:szCs w:val="20"/>
                      <w:lang w:val="sl-SI" w:eastAsia="sl-SI"/>
                    </w:rPr>
                    <w:t>II.b</w:t>
                  </w:r>
                  <w:proofErr w:type="spellEnd"/>
                  <w:r w:rsidRPr="00457816">
                    <w:rPr>
                      <w:bCs/>
                      <w:sz w:val="20"/>
                      <w:szCs w:val="20"/>
                      <w:lang w:val="sl-SI" w:eastAsia="sl-SI"/>
                    </w:rPr>
                    <w:t>. Manjkajoče pravice porabe bodo zagotovljene s prerazporeditvijo:</w:t>
                  </w:r>
                </w:p>
              </w:tc>
            </w:tr>
            <w:tr w:rsidR="00C8002E" w:rsidRPr="00457816" w14:paraId="5479C54C" w14:textId="77777777" w:rsidTr="00FC73C0">
              <w:trPr>
                <w:cantSplit/>
                <w:trHeight w:val="100"/>
              </w:trPr>
              <w:tc>
                <w:tcPr>
                  <w:tcW w:w="2183" w:type="dxa"/>
                  <w:tcBorders>
                    <w:top w:val="single" w:sz="4" w:space="0" w:color="auto"/>
                    <w:left w:val="single" w:sz="4" w:space="0" w:color="auto"/>
                    <w:bottom w:val="single" w:sz="4" w:space="0" w:color="auto"/>
                    <w:right w:val="single" w:sz="4" w:space="0" w:color="auto"/>
                  </w:tcBorders>
                  <w:vAlign w:val="center"/>
                </w:tcPr>
                <w:p w14:paraId="3F5FE824" w14:textId="77777777" w:rsidR="00C8002E" w:rsidRPr="00457816" w:rsidRDefault="00C8002E" w:rsidP="00FC73C0">
                  <w:pPr>
                    <w:pStyle w:val="Brezrazmikov"/>
                    <w:jc w:val="center"/>
                    <w:rPr>
                      <w:sz w:val="20"/>
                      <w:szCs w:val="20"/>
                      <w:lang w:val="sl-SI"/>
                    </w:rPr>
                  </w:pPr>
                  <w:r w:rsidRPr="00457816">
                    <w:rPr>
                      <w:sz w:val="20"/>
                      <w:szCs w:val="20"/>
                      <w:lang w:val="sl-SI"/>
                    </w:rPr>
                    <w:t>Ime proračunskega uporabnika</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5D5992D4" w14:textId="77777777" w:rsidR="00C8002E" w:rsidRPr="00457816" w:rsidRDefault="00C8002E" w:rsidP="00FC73C0">
                  <w:pPr>
                    <w:pStyle w:val="Brezrazmikov"/>
                    <w:jc w:val="center"/>
                    <w:rPr>
                      <w:sz w:val="20"/>
                      <w:szCs w:val="20"/>
                      <w:lang w:val="sl-SI"/>
                    </w:rPr>
                  </w:pPr>
                  <w:r w:rsidRPr="00457816">
                    <w:rPr>
                      <w:sz w:val="20"/>
                      <w:szCs w:val="20"/>
                      <w:lang w:val="sl-SI"/>
                    </w:rPr>
                    <w:t>Šifra in naziv ukrepa, projekta</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5062C27B" w14:textId="77777777" w:rsidR="00C8002E" w:rsidRPr="00457816" w:rsidRDefault="00C8002E" w:rsidP="00FC73C0">
                  <w:pPr>
                    <w:pStyle w:val="Brezrazmikov"/>
                    <w:jc w:val="center"/>
                    <w:rPr>
                      <w:sz w:val="20"/>
                      <w:szCs w:val="20"/>
                      <w:lang w:val="sl-SI"/>
                    </w:rPr>
                  </w:pPr>
                  <w:r w:rsidRPr="00457816">
                    <w:rPr>
                      <w:sz w:val="20"/>
                      <w:szCs w:val="20"/>
                      <w:lang w:val="sl-SI"/>
                    </w:rPr>
                    <w:t>Šifra in naziv proračunske postavke</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77CBBEFF" w14:textId="77777777" w:rsidR="00C8002E" w:rsidRPr="00457816" w:rsidRDefault="00C8002E" w:rsidP="00FC73C0">
                  <w:pPr>
                    <w:pStyle w:val="Brezrazmikov"/>
                    <w:jc w:val="center"/>
                    <w:rPr>
                      <w:sz w:val="20"/>
                      <w:szCs w:val="20"/>
                      <w:lang w:val="sl-SI"/>
                    </w:rPr>
                  </w:pPr>
                  <w:r w:rsidRPr="00457816">
                    <w:rPr>
                      <w:sz w:val="20"/>
                      <w:szCs w:val="20"/>
                      <w:lang w:val="sl-SI"/>
                    </w:rPr>
                    <w:t>Znesek za tekoče leto (t)</w:t>
                  </w:r>
                </w:p>
              </w:tc>
              <w:tc>
                <w:tcPr>
                  <w:tcW w:w="1510" w:type="dxa"/>
                  <w:tcBorders>
                    <w:top w:val="single" w:sz="4" w:space="0" w:color="auto"/>
                    <w:left w:val="single" w:sz="4" w:space="0" w:color="auto"/>
                    <w:bottom w:val="single" w:sz="4" w:space="0" w:color="auto"/>
                    <w:right w:val="single" w:sz="4" w:space="0" w:color="auto"/>
                  </w:tcBorders>
                  <w:vAlign w:val="center"/>
                </w:tcPr>
                <w:p w14:paraId="5E6B466E" w14:textId="77777777" w:rsidR="00C8002E" w:rsidRPr="00457816" w:rsidRDefault="00C8002E" w:rsidP="00FC73C0">
                  <w:pPr>
                    <w:pStyle w:val="Brezrazmikov"/>
                    <w:jc w:val="center"/>
                    <w:rPr>
                      <w:sz w:val="20"/>
                      <w:szCs w:val="20"/>
                      <w:lang w:val="sl-SI"/>
                    </w:rPr>
                  </w:pPr>
                  <w:r w:rsidRPr="00457816">
                    <w:rPr>
                      <w:sz w:val="20"/>
                      <w:szCs w:val="20"/>
                      <w:lang w:val="sl-SI"/>
                    </w:rPr>
                    <w:t>Znesek za t + 1</w:t>
                  </w:r>
                </w:p>
              </w:tc>
            </w:tr>
            <w:tr w:rsidR="00C8002E" w:rsidRPr="00457816" w14:paraId="0DEDBA5C" w14:textId="77777777" w:rsidTr="00FC73C0">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5E92DE8E" w14:textId="77777777" w:rsidR="00C8002E" w:rsidRPr="00457816" w:rsidRDefault="00C8002E" w:rsidP="00FC73C0">
                  <w:pPr>
                    <w:pStyle w:val="Brezrazmikov"/>
                    <w:rPr>
                      <w:b/>
                      <w:sz w:val="20"/>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4370E7A5" w14:textId="77777777" w:rsidR="00C8002E" w:rsidRPr="00457816" w:rsidRDefault="00C8002E" w:rsidP="00FC73C0">
                  <w:pPr>
                    <w:pStyle w:val="Brezrazmikov"/>
                    <w:rPr>
                      <w:b/>
                      <w:sz w:val="20"/>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5D737AA8" w14:textId="77777777" w:rsidR="00C8002E" w:rsidRPr="00457816" w:rsidRDefault="00C8002E" w:rsidP="00FC73C0">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32357771" w14:textId="77777777" w:rsidR="00C8002E" w:rsidRPr="00457816" w:rsidRDefault="00C8002E" w:rsidP="00FC73C0">
                  <w:pPr>
                    <w:pStyle w:val="Brezrazmikov"/>
                    <w:rPr>
                      <w:b/>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4833FFEB" w14:textId="77777777" w:rsidR="00C8002E" w:rsidRPr="00457816" w:rsidRDefault="00C8002E" w:rsidP="00FC73C0">
                  <w:pPr>
                    <w:pStyle w:val="Brezrazmikov"/>
                    <w:rPr>
                      <w:b/>
                      <w:sz w:val="20"/>
                      <w:szCs w:val="20"/>
                      <w:lang w:val="sl-SI" w:eastAsia="sl-SI"/>
                    </w:rPr>
                  </w:pPr>
                </w:p>
              </w:tc>
            </w:tr>
            <w:tr w:rsidR="00C8002E" w:rsidRPr="00457816" w14:paraId="427B1E34" w14:textId="77777777" w:rsidTr="00FC73C0">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741302AE" w14:textId="77777777" w:rsidR="00C8002E" w:rsidRPr="00457816" w:rsidRDefault="00C8002E" w:rsidP="00FC73C0">
                  <w:pPr>
                    <w:pStyle w:val="Brezrazmikov"/>
                    <w:rPr>
                      <w:b/>
                      <w:sz w:val="20"/>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185AD44F" w14:textId="77777777" w:rsidR="00C8002E" w:rsidRPr="00457816" w:rsidRDefault="00C8002E" w:rsidP="00FC73C0">
                  <w:pPr>
                    <w:pStyle w:val="Brezrazmikov"/>
                    <w:rPr>
                      <w:b/>
                      <w:sz w:val="20"/>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6F8FA15B" w14:textId="77777777" w:rsidR="00C8002E" w:rsidRPr="00457816" w:rsidRDefault="00C8002E" w:rsidP="00FC73C0">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742E04E9" w14:textId="77777777" w:rsidR="00C8002E" w:rsidRPr="00457816" w:rsidRDefault="00C8002E" w:rsidP="00FC73C0">
                  <w:pPr>
                    <w:pStyle w:val="Brezrazmikov"/>
                    <w:rPr>
                      <w:b/>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247F4B5E" w14:textId="77777777" w:rsidR="00C8002E" w:rsidRPr="00457816" w:rsidRDefault="00C8002E" w:rsidP="00FC73C0">
                  <w:pPr>
                    <w:pStyle w:val="Brezrazmikov"/>
                    <w:rPr>
                      <w:b/>
                      <w:sz w:val="20"/>
                      <w:szCs w:val="20"/>
                      <w:lang w:val="sl-SI" w:eastAsia="sl-SI"/>
                    </w:rPr>
                  </w:pPr>
                </w:p>
              </w:tc>
            </w:tr>
            <w:tr w:rsidR="00C8002E" w:rsidRPr="00457816" w14:paraId="40310398" w14:textId="77777777" w:rsidTr="00FC73C0">
              <w:trPr>
                <w:cantSplit/>
                <w:trHeight w:val="95"/>
              </w:trPr>
              <w:tc>
                <w:tcPr>
                  <w:tcW w:w="6022" w:type="dxa"/>
                  <w:gridSpan w:val="5"/>
                  <w:tcBorders>
                    <w:top w:val="single" w:sz="4" w:space="0" w:color="auto"/>
                    <w:left w:val="single" w:sz="4" w:space="0" w:color="auto"/>
                    <w:bottom w:val="single" w:sz="4" w:space="0" w:color="auto"/>
                    <w:right w:val="single" w:sz="4" w:space="0" w:color="auto"/>
                  </w:tcBorders>
                  <w:vAlign w:val="center"/>
                </w:tcPr>
                <w:p w14:paraId="08428E8E" w14:textId="77777777" w:rsidR="00C8002E" w:rsidRPr="00457816" w:rsidRDefault="00C8002E" w:rsidP="00FC73C0">
                  <w:pPr>
                    <w:pStyle w:val="Brezrazmikov"/>
                    <w:rPr>
                      <w:bCs/>
                      <w:sz w:val="20"/>
                      <w:szCs w:val="20"/>
                      <w:lang w:val="sl-SI" w:eastAsia="sl-SI"/>
                    </w:rPr>
                  </w:pPr>
                  <w:r w:rsidRPr="00457816">
                    <w:rPr>
                      <w:bCs/>
                      <w:sz w:val="20"/>
                      <w:szCs w:val="20"/>
                      <w:lang w:val="sl-SI" w:eastAsia="sl-SI"/>
                    </w:rPr>
                    <w:t>SKUPAJ:</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7C639302" w14:textId="77777777" w:rsidR="00C8002E" w:rsidRPr="00457816" w:rsidRDefault="00C8002E" w:rsidP="00FC73C0">
                  <w:pPr>
                    <w:pStyle w:val="Brezrazmikov"/>
                    <w:rPr>
                      <w:bCs/>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130BA120" w14:textId="77777777" w:rsidR="00C8002E" w:rsidRPr="00457816" w:rsidRDefault="00C8002E" w:rsidP="00FC73C0">
                  <w:pPr>
                    <w:pStyle w:val="Brezrazmikov"/>
                    <w:rPr>
                      <w:bCs/>
                      <w:sz w:val="20"/>
                      <w:szCs w:val="20"/>
                      <w:lang w:val="sl-SI" w:eastAsia="sl-SI"/>
                    </w:rPr>
                  </w:pPr>
                </w:p>
              </w:tc>
            </w:tr>
            <w:tr w:rsidR="00C8002E" w:rsidRPr="00457816" w14:paraId="13510C5B" w14:textId="77777777" w:rsidTr="00FC73C0">
              <w:trPr>
                <w:cantSplit/>
                <w:trHeight w:val="207"/>
              </w:trPr>
              <w:tc>
                <w:tcPr>
                  <w:tcW w:w="8937" w:type="dxa"/>
                  <w:gridSpan w:val="8"/>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363B630" w14:textId="77777777" w:rsidR="00C8002E" w:rsidRPr="00457816" w:rsidRDefault="00C8002E" w:rsidP="00FC73C0">
                  <w:pPr>
                    <w:pStyle w:val="Brezrazmikov"/>
                    <w:rPr>
                      <w:bCs/>
                      <w:sz w:val="20"/>
                      <w:szCs w:val="20"/>
                      <w:lang w:val="sl-SI" w:eastAsia="sl-SI"/>
                    </w:rPr>
                  </w:pPr>
                  <w:proofErr w:type="spellStart"/>
                  <w:r w:rsidRPr="00457816">
                    <w:rPr>
                      <w:bCs/>
                      <w:sz w:val="20"/>
                      <w:szCs w:val="20"/>
                      <w:lang w:val="sl-SI" w:eastAsia="sl-SI"/>
                    </w:rPr>
                    <w:t>II.c</w:t>
                  </w:r>
                  <w:proofErr w:type="spellEnd"/>
                  <w:r w:rsidRPr="00457816">
                    <w:rPr>
                      <w:bCs/>
                      <w:sz w:val="20"/>
                      <w:szCs w:val="20"/>
                      <w:lang w:val="sl-SI" w:eastAsia="sl-SI"/>
                    </w:rPr>
                    <w:t>. Načrtovana nadomestitev zmanjšanih prihodkov oz. povečanih odhodkov proračuna:</w:t>
                  </w:r>
                </w:p>
              </w:tc>
            </w:tr>
            <w:tr w:rsidR="00C8002E" w:rsidRPr="00457816" w14:paraId="030DD63C" w14:textId="77777777" w:rsidTr="00FC73C0">
              <w:trPr>
                <w:cantSplit/>
                <w:trHeight w:val="100"/>
              </w:trPr>
              <w:tc>
                <w:tcPr>
                  <w:tcW w:w="4417" w:type="dxa"/>
                  <w:gridSpan w:val="3"/>
                  <w:tcBorders>
                    <w:top w:val="single" w:sz="4" w:space="0" w:color="auto"/>
                    <w:left w:val="single" w:sz="4" w:space="0" w:color="auto"/>
                    <w:bottom w:val="single" w:sz="4" w:space="0" w:color="auto"/>
                    <w:right w:val="single" w:sz="4" w:space="0" w:color="auto"/>
                  </w:tcBorders>
                  <w:vAlign w:val="center"/>
                </w:tcPr>
                <w:p w14:paraId="2753CC63" w14:textId="77777777" w:rsidR="00C8002E" w:rsidRPr="00457816" w:rsidRDefault="00C8002E" w:rsidP="00FC73C0">
                  <w:pPr>
                    <w:pStyle w:val="Brezrazmikov"/>
                    <w:jc w:val="center"/>
                    <w:rPr>
                      <w:sz w:val="20"/>
                      <w:szCs w:val="20"/>
                      <w:lang w:val="sl-SI"/>
                    </w:rPr>
                  </w:pPr>
                  <w:r w:rsidRPr="00457816">
                    <w:rPr>
                      <w:sz w:val="20"/>
                      <w:szCs w:val="20"/>
                      <w:lang w:val="sl-SI"/>
                    </w:rPr>
                    <w:t>Novi prihodki</w:t>
                  </w: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54D4B6D3" w14:textId="77777777" w:rsidR="00C8002E" w:rsidRPr="00457816" w:rsidRDefault="00C8002E" w:rsidP="00FC73C0">
                  <w:pPr>
                    <w:pStyle w:val="Brezrazmikov"/>
                    <w:jc w:val="center"/>
                    <w:rPr>
                      <w:sz w:val="20"/>
                      <w:szCs w:val="20"/>
                      <w:lang w:val="sl-SI"/>
                    </w:rPr>
                  </w:pPr>
                  <w:r w:rsidRPr="00457816">
                    <w:rPr>
                      <w:sz w:val="20"/>
                      <w:szCs w:val="20"/>
                      <w:lang w:val="sl-SI"/>
                    </w:rPr>
                    <w:t>Znesek za tekoče leto (t)</w:t>
                  </w: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7F7693B7" w14:textId="77777777" w:rsidR="00C8002E" w:rsidRPr="00457816" w:rsidRDefault="00C8002E" w:rsidP="00FC73C0">
                  <w:pPr>
                    <w:pStyle w:val="Brezrazmikov"/>
                    <w:jc w:val="center"/>
                    <w:rPr>
                      <w:sz w:val="20"/>
                      <w:szCs w:val="20"/>
                      <w:lang w:val="sl-SI"/>
                    </w:rPr>
                  </w:pPr>
                  <w:r w:rsidRPr="00457816">
                    <w:rPr>
                      <w:sz w:val="20"/>
                      <w:szCs w:val="20"/>
                      <w:lang w:val="sl-SI"/>
                    </w:rPr>
                    <w:t>Znesek za t + </w:t>
                  </w:r>
                </w:p>
              </w:tc>
            </w:tr>
            <w:tr w:rsidR="00C8002E" w:rsidRPr="00457816" w14:paraId="4C44ECC4" w14:textId="77777777" w:rsidTr="00FC73C0">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44E06DED" w14:textId="77777777" w:rsidR="00C8002E" w:rsidRPr="00457816" w:rsidRDefault="00C8002E" w:rsidP="00FC73C0">
                  <w:pPr>
                    <w:pStyle w:val="Brezrazmikov"/>
                    <w:rPr>
                      <w:b/>
                      <w:sz w:val="20"/>
                      <w:szCs w:val="20"/>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70E5E46E" w14:textId="77777777" w:rsidR="00C8002E" w:rsidRPr="00457816" w:rsidRDefault="00C8002E" w:rsidP="00FC73C0">
                  <w:pPr>
                    <w:pStyle w:val="Brezrazmikov"/>
                    <w:rPr>
                      <w:b/>
                      <w:sz w:val="20"/>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3E793DCE" w14:textId="77777777" w:rsidR="00C8002E" w:rsidRPr="00457816" w:rsidRDefault="00C8002E" w:rsidP="00FC73C0">
                  <w:pPr>
                    <w:pStyle w:val="Brezrazmikov"/>
                    <w:rPr>
                      <w:b/>
                      <w:sz w:val="20"/>
                      <w:szCs w:val="20"/>
                      <w:lang w:val="sl-SI" w:eastAsia="sl-SI"/>
                    </w:rPr>
                  </w:pPr>
                </w:p>
              </w:tc>
            </w:tr>
            <w:tr w:rsidR="00C8002E" w:rsidRPr="00457816" w14:paraId="3479AA8C" w14:textId="77777777" w:rsidTr="00FC73C0">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0B3BE862" w14:textId="77777777" w:rsidR="00C8002E" w:rsidRPr="00457816" w:rsidRDefault="00C8002E" w:rsidP="00FC73C0">
                  <w:pPr>
                    <w:pStyle w:val="Brezrazmikov"/>
                    <w:rPr>
                      <w:b/>
                      <w:sz w:val="20"/>
                      <w:szCs w:val="20"/>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144EAE87" w14:textId="77777777" w:rsidR="00C8002E" w:rsidRPr="00457816" w:rsidRDefault="00C8002E" w:rsidP="00FC73C0">
                  <w:pPr>
                    <w:pStyle w:val="Brezrazmikov"/>
                    <w:rPr>
                      <w:b/>
                      <w:sz w:val="20"/>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298A29FD" w14:textId="77777777" w:rsidR="00C8002E" w:rsidRPr="00457816" w:rsidRDefault="00C8002E" w:rsidP="00FC73C0">
                  <w:pPr>
                    <w:pStyle w:val="Brezrazmikov"/>
                    <w:rPr>
                      <w:b/>
                      <w:sz w:val="20"/>
                      <w:szCs w:val="20"/>
                      <w:lang w:val="sl-SI" w:eastAsia="sl-SI"/>
                    </w:rPr>
                  </w:pPr>
                </w:p>
              </w:tc>
            </w:tr>
            <w:tr w:rsidR="00C8002E" w:rsidRPr="00457816" w14:paraId="01A0844F" w14:textId="77777777" w:rsidTr="00FC73C0">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3A909C52" w14:textId="77777777" w:rsidR="00C8002E" w:rsidRPr="00457816" w:rsidRDefault="00C8002E" w:rsidP="00FC73C0">
                  <w:pPr>
                    <w:pStyle w:val="Brezrazmikov"/>
                    <w:rPr>
                      <w:b/>
                      <w:sz w:val="20"/>
                      <w:szCs w:val="20"/>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58C9B900" w14:textId="77777777" w:rsidR="00C8002E" w:rsidRPr="00457816" w:rsidRDefault="00C8002E" w:rsidP="00FC73C0">
                  <w:pPr>
                    <w:pStyle w:val="Brezrazmikov"/>
                    <w:rPr>
                      <w:b/>
                      <w:sz w:val="20"/>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4DCB0C37" w14:textId="77777777" w:rsidR="00C8002E" w:rsidRPr="00457816" w:rsidRDefault="00C8002E" w:rsidP="00FC73C0">
                  <w:pPr>
                    <w:pStyle w:val="Brezrazmikov"/>
                    <w:rPr>
                      <w:b/>
                      <w:sz w:val="20"/>
                      <w:szCs w:val="20"/>
                      <w:lang w:val="sl-SI" w:eastAsia="sl-SI"/>
                    </w:rPr>
                  </w:pPr>
                </w:p>
              </w:tc>
            </w:tr>
            <w:tr w:rsidR="00C8002E" w:rsidRPr="00457816" w14:paraId="4A1E7E80" w14:textId="77777777" w:rsidTr="00FC73C0">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06007483" w14:textId="77777777" w:rsidR="00C8002E" w:rsidRPr="00457816" w:rsidRDefault="00C8002E" w:rsidP="00FC73C0">
                  <w:pPr>
                    <w:pStyle w:val="Brezrazmikov"/>
                    <w:rPr>
                      <w:bCs/>
                      <w:sz w:val="20"/>
                      <w:szCs w:val="20"/>
                      <w:lang w:val="sl-SI" w:eastAsia="sl-SI"/>
                    </w:rPr>
                  </w:pPr>
                  <w:r w:rsidRPr="00457816">
                    <w:rPr>
                      <w:bCs/>
                      <w:sz w:val="20"/>
                      <w:szCs w:val="20"/>
                      <w:lang w:val="sl-SI" w:eastAsia="sl-SI"/>
                    </w:rPr>
                    <w:t>SKUPAJ:</w:t>
                  </w: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5A8286B4" w14:textId="77777777" w:rsidR="00C8002E" w:rsidRPr="00457816" w:rsidRDefault="00C8002E" w:rsidP="00FC73C0">
                  <w:pPr>
                    <w:pStyle w:val="Brezrazmikov"/>
                    <w:rPr>
                      <w:bCs/>
                      <w:sz w:val="20"/>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5C7686CE" w14:textId="77777777" w:rsidR="00C8002E" w:rsidRPr="00457816" w:rsidRDefault="00C8002E" w:rsidP="00FC73C0">
                  <w:pPr>
                    <w:pStyle w:val="Brezrazmikov"/>
                    <w:rPr>
                      <w:bCs/>
                      <w:sz w:val="20"/>
                      <w:szCs w:val="20"/>
                      <w:lang w:val="sl-SI" w:eastAsia="sl-SI"/>
                    </w:rPr>
                  </w:pPr>
                </w:p>
              </w:tc>
            </w:tr>
          </w:tbl>
          <w:p w14:paraId="0EE7E366" w14:textId="77777777" w:rsidR="00C8002E" w:rsidRPr="00457816" w:rsidRDefault="00C8002E" w:rsidP="00FC73C0">
            <w:pPr>
              <w:pStyle w:val="Brezrazmikov"/>
              <w:rPr>
                <w:bCs/>
                <w:sz w:val="20"/>
                <w:szCs w:val="20"/>
                <w:lang w:val="sl-SI"/>
              </w:rPr>
            </w:pPr>
          </w:p>
        </w:tc>
      </w:tr>
      <w:tr w:rsidR="00C8002E" w:rsidRPr="00457816" w14:paraId="63D95750" w14:textId="77777777" w:rsidTr="00FC73C0">
        <w:tc>
          <w:tcPr>
            <w:tcW w:w="9163" w:type="dxa"/>
            <w:gridSpan w:val="4"/>
          </w:tcPr>
          <w:p w14:paraId="5E5F0575" w14:textId="77777777" w:rsidR="00C8002E" w:rsidRPr="00457816" w:rsidRDefault="00C8002E" w:rsidP="00FC73C0">
            <w:pPr>
              <w:widowControl w:val="0"/>
              <w:rPr>
                <w:rFonts w:cs="Arial"/>
                <w:b/>
                <w:szCs w:val="20"/>
              </w:rPr>
            </w:pPr>
            <w:r w:rsidRPr="00457816">
              <w:rPr>
                <w:rFonts w:cs="Arial"/>
                <w:b/>
                <w:szCs w:val="20"/>
              </w:rPr>
              <w:lastRenderedPageBreak/>
              <w:t>OBRAZLOŽITEV:</w:t>
            </w:r>
          </w:p>
          <w:p w14:paraId="7E61446C" w14:textId="77777777" w:rsidR="00C8002E" w:rsidRPr="00457816" w:rsidRDefault="00C8002E" w:rsidP="00FC73C0">
            <w:pPr>
              <w:widowControl w:val="0"/>
              <w:numPr>
                <w:ilvl w:val="0"/>
                <w:numId w:val="7"/>
              </w:numPr>
              <w:suppressAutoHyphens/>
              <w:spacing w:line="260" w:lineRule="exact"/>
              <w:ind w:left="284" w:hanging="284"/>
              <w:jc w:val="both"/>
              <w:rPr>
                <w:rFonts w:cs="Arial"/>
                <w:b/>
                <w:szCs w:val="20"/>
                <w:lang w:eastAsia="sl-SI"/>
              </w:rPr>
            </w:pPr>
            <w:r w:rsidRPr="00457816">
              <w:rPr>
                <w:rFonts w:cs="Arial"/>
                <w:b/>
                <w:szCs w:val="20"/>
                <w:lang w:eastAsia="sl-SI"/>
              </w:rPr>
              <w:t>Ocena finančnih posledic, ki niso načrtovane v sprejetem proračunu</w:t>
            </w:r>
          </w:p>
          <w:p w14:paraId="748AEB27" w14:textId="77777777" w:rsidR="00C8002E" w:rsidRPr="00457816" w:rsidRDefault="00C8002E" w:rsidP="00FC73C0">
            <w:pPr>
              <w:widowControl w:val="0"/>
              <w:ind w:left="360" w:hanging="76"/>
              <w:jc w:val="both"/>
              <w:rPr>
                <w:rFonts w:cs="Arial"/>
                <w:szCs w:val="20"/>
                <w:lang w:eastAsia="sl-SI"/>
              </w:rPr>
            </w:pPr>
            <w:r w:rsidRPr="00457816">
              <w:rPr>
                <w:rFonts w:cs="Arial"/>
                <w:szCs w:val="20"/>
                <w:lang w:eastAsia="sl-SI"/>
              </w:rPr>
              <w:t>V zvezi s predlaganim vladnim gradivom se navedejo predvidene spremembe (povečanje, zmanjšanje):</w:t>
            </w:r>
          </w:p>
          <w:p w14:paraId="106C2431" w14:textId="77777777" w:rsidR="00C8002E" w:rsidRPr="00457816" w:rsidRDefault="00C8002E" w:rsidP="00FC73C0">
            <w:pPr>
              <w:widowControl w:val="0"/>
              <w:numPr>
                <w:ilvl w:val="0"/>
                <w:numId w:val="9"/>
              </w:numPr>
              <w:suppressAutoHyphens/>
              <w:spacing w:line="260" w:lineRule="exact"/>
              <w:jc w:val="both"/>
              <w:rPr>
                <w:rFonts w:cs="Arial"/>
                <w:szCs w:val="20"/>
              </w:rPr>
            </w:pPr>
            <w:r w:rsidRPr="00457816">
              <w:rPr>
                <w:rFonts w:cs="Arial"/>
                <w:szCs w:val="20"/>
                <w:lang w:eastAsia="sl-SI"/>
              </w:rPr>
              <w:t>prihodkov državnega proračuna in občinskih proračunov,</w:t>
            </w:r>
          </w:p>
          <w:p w14:paraId="1FB52A5E" w14:textId="77777777" w:rsidR="00C8002E" w:rsidRPr="00457816" w:rsidRDefault="00C8002E" w:rsidP="00FC73C0">
            <w:pPr>
              <w:widowControl w:val="0"/>
              <w:numPr>
                <w:ilvl w:val="0"/>
                <w:numId w:val="9"/>
              </w:numPr>
              <w:suppressAutoHyphens/>
              <w:spacing w:line="260" w:lineRule="exact"/>
              <w:jc w:val="both"/>
              <w:rPr>
                <w:rFonts w:cs="Arial"/>
                <w:szCs w:val="20"/>
              </w:rPr>
            </w:pPr>
            <w:r w:rsidRPr="00457816">
              <w:rPr>
                <w:rFonts w:cs="Arial"/>
                <w:szCs w:val="20"/>
                <w:lang w:eastAsia="sl-SI"/>
              </w:rPr>
              <w:t>odhodkov državnega proračuna, ki niso načrtovani na ukrepih oziroma projektih sprejetih proračunov,</w:t>
            </w:r>
          </w:p>
          <w:p w14:paraId="04272554" w14:textId="77777777" w:rsidR="00C8002E" w:rsidRPr="00457816" w:rsidRDefault="00C8002E" w:rsidP="00FC73C0">
            <w:pPr>
              <w:widowControl w:val="0"/>
              <w:numPr>
                <w:ilvl w:val="0"/>
                <w:numId w:val="9"/>
              </w:numPr>
              <w:suppressAutoHyphens/>
              <w:spacing w:line="260" w:lineRule="exact"/>
              <w:jc w:val="both"/>
              <w:rPr>
                <w:rFonts w:cs="Arial"/>
                <w:szCs w:val="20"/>
              </w:rPr>
            </w:pPr>
            <w:r w:rsidRPr="00457816">
              <w:rPr>
                <w:rFonts w:cs="Arial"/>
                <w:szCs w:val="20"/>
                <w:lang w:eastAsia="sl-SI"/>
              </w:rPr>
              <w:t>obveznosti za druga javnofinančna sredstva (drugi viri), ki niso načrtovana na ukrepih oziroma projektih sprejetih proračunov.</w:t>
            </w:r>
          </w:p>
          <w:p w14:paraId="6CCFBE70" w14:textId="77777777" w:rsidR="00C8002E" w:rsidRPr="00457816" w:rsidRDefault="00C8002E" w:rsidP="00FC73C0">
            <w:pPr>
              <w:widowControl w:val="0"/>
              <w:ind w:left="284"/>
              <w:rPr>
                <w:rFonts w:cs="Arial"/>
                <w:szCs w:val="20"/>
                <w:lang w:eastAsia="sl-SI"/>
              </w:rPr>
            </w:pPr>
          </w:p>
          <w:p w14:paraId="78C9ADFE" w14:textId="77777777" w:rsidR="00C8002E" w:rsidRPr="00457816" w:rsidRDefault="00C8002E" w:rsidP="00FC73C0">
            <w:pPr>
              <w:widowControl w:val="0"/>
              <w:numPr>
                <w:ilvl w:val="0"/>
                <w:numId w:val="7"/>
              </w:numPr>
              <w:suppressAutoHyphens/>
              <w:spacing w:line="260" w:lineRule="exact"/>
              <w:ind w:left="284" w:hanging="284"/>
              <w:jc w:val="both"/>
              <w:rPr>
                <w:rFonts w:cs="Arial"/>
                <w:b/>
                <w:szCs w:val="20"/>
                <w:lang w:eastAsia="sl-SI"/>
              </w:rPr>
            </w:pPr>
            <w:r w:rsidRPr="00457816">
              <w:rPr>
                <w:rFonts w:cs="Arial"/>
                <w:b/>
                <w:szCs w:val="20"/>
                <w:lang w:eastAsia="sl-SI"/>
              </w:rPr>
              <w:t>Finančne posledice za državni proračun</w:t>
            </w:r>
          </w:p>
          <w:p w14:paraId="6C24EB46" w14:textId="77777777" w:rsidR="00C8002E" w:rsidRPr="00457816" w:rsidRDefault="00C8002E" w:rsidP="00FC73C0">
            <w:pPr>
              <w:widowControl w:val="0"/>
              <w:ind w:left="284"/>
              <w:jc w:val="both"/>
              <w:rPr>
                <w:rFonts w:cs="Arial"/>
                <w:szCs w:val="20"/>
                <w:lang w:eastAsia="sl-SI"/>
              </w:rPr>
            </w:pPr>
            <w:r w:rsidRPr="00457816">
              <w:rPr>
                <w:rFonts w:cs="Arial"/>
                <w:szCs w:val="20"/>
                <w:lang w:eastAsia="sl-SI"/>
              </w:rPr>
              <w:t>Prikazane morajo biti finančne posledice za državni proračun, ki so na proračunskih postavkah načrtovane v dinamiki projektov oziroma ukrepov:</w:t>
            </w:r>
          </w:p>
          <w:p w14:paraId="5F62BBF6" w14:textId="77777777" w:rsidR="00C8002E" w:rsidRPr="00457816" w:rsidRDefault="00C8002E" w:rsidP="00FC73C0">
            <w:pPr>
              <w:widowControl w:val="0"/>
              <w:suppressAutoHyphens/>
              <w:ind w:left="720"/>
              <w:jc w:val="both"/>
              <w:rPr>
                <w:rFonts w:cs="Arial"/>
                <w:b/>
                <w:szCs w:val="20"/>
                <w:lang w:eastAsia="sl-SI"/>
              </w:rPr>
            </w:pPr>
            <w:proofErr w:type="spellStart"/>
            <w:r w:rsidRPr="00457816">
              <w:rPr>
                <w:rFonts w:cs="Arial"/>
                <w:b/>
                <w:szCs w:val="20"/>
                <w:lang w:eastAsia="sl-SI"/>
              </w:rPr>
              <w:t>II.a</w:t>
            </w:r>
            <w:proofErr w:type="spellEnd"/>
            <w:r w:rsidRPr="00457816">
              <w:rPr>
                <w:rFonts w:cs="Arial"/>
                <w:b/>
                <w:szCs w:val="20"/>
                <w:lang w:eastAsia="sl-SI"/>
              </w:rPr>
              <w:t xml:space="preserve"> Pravice porabe za izvedbo predlaganih rešitev so zagotovljene:</w:t>
            </w:r>
          </w:p>
          <w:p w14:paraId="69D1BCFB" w14:textId="77777777" w:rsidR="00C8002E" w:rsidRPr="00457816" w:rsidRDefault="00C8002E" w:rsidP="00FC73C0">
            <w:pPr>
              <w:widowControl w:val="0"/>
              <w:ind w:left="284"/>
              <w:jc w:val="both"/>
              <w:rPr>
                <w:rFonts w:cs="Arial"/>
                <w:szCs w:val="20"/>
                <w:lang w:eastAsia="sl-SI"/>
              </w:rPr>
            </w:pPr>
            <w:r w:rsidRPr="00457816">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457816">
              <w:rPr>
                <w:rFonts w:cs="Arial"/>
                <w:szCs w:val="20"/>
                <w:lang w:eastAsia="sl-SI"/>
              </w:rPr>
              <w:t>II.b</w:t>
            </w:r>
            <w:proofErr w:type="spellEnd"/>
            <w:r w:rsidRPr="00457816">
              <w:rPr>
                <w:rFonts w:cs="Arial"/>
                <w:szCs w:val="20"/>
                <w:lang w:eastAsia="sl-SI"/>
              </w:rPr>
              <w:t>). Pri uvrstitvi novega projekta oziroma ukrepa v načrt razvojnih programov se navedejo:</w:t>
            </w:r>
          </w:p>
          <w:p w14:paraId="2E4BE99D" w14:textId="77777777" w:rsidR="00C8002E" w:rsidRPr="00457816" w:rsidRDefault="00C8002E" w:rsidP="00FC73C0">
            <w:pPr>
              <w:widowControl w:val="0"/>
              <w:numPr>
                <w:ilvl w:val="0"/>
                <w:numId w:val="10"/>
              </w:numPr>
              <w:suppressAutoHyphens/>
              <w:spacing w:line="260" w:lineRule="exact"/>
              <w:jc w:val="both"/>
              <w:rPr>
                <w:rFonts w:cs="Arial"/>
                <w:szCs w:val="20"/>
                <w:lang w:eastAsia="sl-SI"/>
              </w:rPr>
            </w:pPr>
            <w:r w:rsidRPr="00457816">
              <w:rPr>
                <w:rFonts w:cs="Arial"/>
                <w:szCs w:val="20"/>
                <w:lang w:eastAsia="sl-SI"/>
              </w:rPr>
              <w:t>proračunski uporabnik, ki bo financiral novi projekt oziroma ukrep,</w:t>
            </w:r>
          </w:p>
          <w:p w14:paraId="314DEC40" w14:textId="77777777" w:rsidR="00C8002E" w:rsidRPr="00457816" w:rsidRDefault="00C8002E" w:rsidP="00FC73C0">
            <w:pPr>
              <w:widowControl w:val="0"/>
              <w:numPr>
                <w:ilvl w:val="0"/>
                <w:numId w:val="10"/>
              </w:numPr>
              <w:suppressAutoHyphens/>
              <w:spacing w:line="260" w:lineRule="exact"/>
              <w:jc w:val="both"/>
              <w:rPr>
                <w:rFonts w:cs="Arial"/>
                <w:szCs w:val="20"/>
                <w:lang w:eastAsia="sl-SI"/>
              </w:rPr>
            </w:pPr>
            <w:r w:rsidRPr="00457816">
              <w:rPr>
                <w:rFonts w:cs="Arial"/>
                <w:szCs w:val="20"/>
                <w:lang w:eastAsia="sl-SI"/>
              </w:rPr>
              <w:t xml:space="preserve">projekt oziroma ukrep, s katerim se bodo dosegli cilji vladnega gradiva, in </w:t>
            </w:r>
          </w:p>
          <w:p w14:paraId="156D2047" w14:textId="77777777" w:rsidR="00C8002E" w:rsidRPr="00457816" w:rsidRDefault="00C8002E" w:rsidP="00FC73C0">
            <w:pPr>
              <w:widowControl w:val="0"/>
              <w:numPr>
                <w:ilvl w:val="0"/>
                <w:numId w:val="10"/>
              </w:numPr>
              <w:suppressAutoHyphens/>
              <w:spacing w:line="260" w:lineRule="exact"/>
              <w:jc w:val="both"/>
              <w:rPr>
                <w:rFonts w:cs="Arial"/>
                <w:szCs w:val="20"/>
                <w:lang w:eastAsia="sl-SI"/>
              </w:rPr>
            </w:pPr>
            <w:r w:rsidRPr="00457816">
              <w:rPr>
                <w:rFonts w:cs="Arial"/>
                <w:szCs w:val="20"/>
                <w:lang w:eastAsia="sl-SI"/>
              </w:rPr>
              <w:t>proračunske postavke.</w:t>
            </w:r>
          </w:p>
          <w:p w14:paraId="167C1325" w14:textId="77777777" w:rsidR="00C8002E" w:rsidRPr="00457816" w:rsidRDefault="00C8002E" w:rsidP="00FC73C0">
            <w:pPr>
              <w:widowControl w:val="0"/>
              <w:ind w:left="284"/>
              <w:jc w:val="both"/>
              <w:rPr>
                <w:rFonts w:cs="Arial"/>
                <w:szCs w:val="20"/>
                <w:lang w:eastAsia="sl-SI"/>
              </w:rPr>
            </w:pPr>
            <w:r w:rsidRPr="00457816">
              <w:rPr>
                <w:rFonts w:cs="Arial"/>
                <w:szCs w:val="20"/>
                <w:lang w:eastAsia="sl-SI"/>
              </w:rPr>
              <w:t xml:space="preserve">Za zagotovitev pravic porabe na proračunskih postavkah, s katerih se bo financiral novi projekt oziroma ukrep, je treba izpolniti tudi točko </w:t>
            </w:r>
            <w:proofErr w:type="spellStart"/>
            <w:r w:rsidRPr="00457816">
              <w:rPr>
                <w:rFonts w:cs="Arial"/>
                <w:szCs w:val="20"/>
                <w:lang w:eastAsia="sl-SI"/>
              </w:rPr>
              <w:t>II.b</w:t>
            </w:r>
            <w:proofErr w:type="spellEnd"/>
            <w:r w:rsidRPr="00457816">
              <w:rPr>
                <w:rFonts w:cs="Arial"/>
                <w:szCs w:val="20"/>
                <w:lang w:eastAsia="sl-SI"/>
              </w:rPr>
              <w:t>, saj je za novi projekt oziroma ukrep mogoče zagotoviti pravice porabe le s prerazporeditvijo s proračunskih postavk, s katerih se financirajo že sprejeti oziroma veljavni projekti in ukrepi.</w:t>
            </w:r>
          </w:p>
          <w:p w14:paraId="30F733A1" w14:textId="77777777" w:rsidR="00C8002E" w:rsidRPr="00457816" w:rsidRDefault="00C8002E" w:rsidP="00FC73C0">
            <w:pPr>
              <w:widowControl w:val="0"/>
              <w:suppressAutoHyphens/>
              <w:ind w:left="714"/>
              <w:jc w:val="both"/>
              <w:rPr>
                <w:rFonts w:cs="Arial"/>
                <w:b/>
                <w:szCs w:val="20"/>
                <w:lang w:eastAsia="sl-SI"/>
              </w:rPr>
            </w:pPr>
            <w:proofErr w:type="spellStart"/>
            <w:r w:rsidRPr="00457816">
              <w:rPr>
                <w:rFonts w:cs="Arial"/>
                <w:b/>
                <w:szCs w:val="20"/>
                <w:lang w:eastAsia="sl-SI"/>
              </w:rPr>
              <w:t>II.b</w:t>
            </w:r>
            <w:proofErr w:type="spellEnd"/>
            <w:r w:rsidRPr="00457816">
              <w:rPr>
                <w:rFonts w:cs="Arial"/>
                <w:b/>
                <w:szCs w:val="20"/>
                <w:lang w:eastAsia="sl-SI"/>
              </w:rPr>
              <w:t xml:space="preserve"> Manjkajoče pravice porabe bodo zagotovljene s prerazporeditvijo:</w:t>
            </w:r>
          </w:p>
          <w:p w14:paraId="16848261" w14:textId="77777777" w:rsidR="00C8002E" w:rsidRPr="00457816" w:rsidRDefault="00C8002E" w:rsidP="00FC73C0">
            <w:pPr>
              <w:widowControl w:val="0"/>
              <w:ind w:left="284"/>
              <w:jc w:val="both"/>
              <w:rPr>
                <w:rFonts w:cs="Arial"/>
                <w:szCs w:val="20"/>
                <w:lang w:eastAsia="sl-SI"/>
              </w:rPr>
            </w:pPr>
            <w:r w:rsidRPr="00457816">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w:t>
            </w:r>
            <w:r w:rsidRPr="00457816">
              <w:rPr>
                <w:rFonts w:cs="Arial"/>
                <w:szCs w:val="20"/>
                <w:lang w:eastAsia="sl-SI"/>
              </w:rPr>
              <w:lastRenderedPageBreak/>
              <w:t xml:space="preserve">navedenih v točki </w:t>
            </w:r>
            <w:proofErr w:type="spellStart"/>
            <w:r w:rsidRPr="00457816">
              <w:rPr>
                <w:rFonts w:cs="Arial"/>
                <w:szCs w:val="20"/>
                <w:lang w:eastAsia="sl-SI"/>
              </w:rPr>
              <w:t>II.a</w:t>
            </w:r>
            <w:proofErr w:type="spellEnd"/>
            <w:r w:rsidRPr="00457816">
              <w:rPr>
                <w:rFonts w:cs="Arial"/>
                <w:szCs w:val="20"/>
                <w:lang w:eastAsia="sl-SI"/>
              </w:rPr>
              <w:t>.</w:t>
            </w:r>
          </w:p>
          <w:p w14:paraId="748A8360" w14:textId="77777777" w:rsidR="00C8002E" w:rsidRPr="00457816" w:rsidRDefault="00C8002E" w:rsidP="00FC73C0">
            <w:pPr>
              <w:widowControl w:val="0"/>
              <w:suppressAutoHyphens/>
              <w:ind w:left="714"/>
              <w:jc w:val="both"/>
              <w:rPr>
                <w:rFonts w:cs="Arial"/>
                <w:b/>
                <w:szCs w:val="20"/>
                <w:lang w:eastAsia="sl-SI"/>
              </w:rPr>
            </w:pPr>
            <w:proofErr w:type="spellStart"/>
            <w:r w:rsidRPr="00457816">
              <w:rPr>
                <w:rFonts w:cs="Arial"/>
                <w:b/>
                <w:szCs w:val="20"/>
                <w:lang w:eastAsia="sl-SI"/>
              </w:rPr>
              <w:t>II.c</w:t>
            </w:r>
            <w:proofErr w:type="spellEnd"/>
            <w:r w:rsidRPr="00457816">
              <w:rPr>
                <w:rFonts w:cs="Arial"/>
                <w:b/>
                <w:szCs w:val="20"/>
                <w:lang w:eastAsia="sl-SI"/>
              </w:rPr>
              <w:t xml:space="preserve"> Načrtovana nadomestitev zmanjšanih prihodkov in povečanih odhodkov proračuna:</w:t>
            </w:r>
          </w:p>
          <w:p w14:paraId="00DEE64D" w14:textId="77777777" w:rsidR="00C8002E" w:rsidRPr="00457816" w:rsidRDefault="00C8002E" w:rsidP="00FC73C0">
            <w:pPr>
              <w:widowControl w:val="0"/>
              <w:ind w:left="284"/>
              <w:jc w:val="both"/>
              <w:rPr>
                <w:rFonts w:cs="Arial"/>
                <w:szCs w:val="20"/>
                <w:lang w:eastAsia="sl-SI"/>
              </w:rPr>
            </w:pPr>
            <w:r w:rsidRPr="00457816">
              <w:rPr>
                <w:rFonts w:cs="Arial"/>
                <w:szCs w:val="20"/>
                <w:lang w:eastAsia="sl-SI"/>
              </w:rPr>
              <w:t xml:space="preserve">Če se povečani odhodki (pravice porabe) ne bodo zagotovili tako, kot je določeno v točkah </w:t>
            </w:r>
            <w:proofErr w:type="spellStart"/>
            <w:r w:rsidRPr="00457816">
              <w:rPr>
                <w:rFonts w:cs="Arial"/>
                <w:szCs w:val="20"/>
                <w:lang w:eastAsia="sl-SI"/>
              </w:rPr>
              <w:t>II.a</w:t>
            </w:r>
            <w:proofErr w:type="spellEnd"/>
            <w:r w:rsidRPr="00457816">
              <w:rPr>
                <w:rFonts w:cs="Arial"/>
                <w:szCs w:val="20"/>
                <w:lang w:eastAsia="sl-SI"/>
              </w:rPr>
              <w:t xml:space="preserve"> in </w:t>
            </w:r>
            <w:proofErr w:type="spellStart"/>
            <w:r w:rsidRPr="00457816">
              <w:rPr>
                <w:rFonts w:cs="Arial"/>
                <w:szCs w:val="20"/>
                <w:lang w:eastAsia="sl-SI"/>
              </w:rPr>
              <w:t>II.b</w:t>
            </w:r>
            <w:proofErr w:type="spellEnd"/>
            <w:r w:rsidRPr="00457816">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235C529" w14:textId="77777777" w:rsidR="00C8002E" w:rsidRPr="00457816" w:rsidRDefault="00C8002E" w:rsidP="00FC73C0">
            <w:pPr>
              <w:pStyle w:val="Brezrazmikov"/>
              <w:rPr>
                <w:sz w:val="20"/>
                <w:szCs w:val="20"/>
                <w:lang w:val="sl-SI"/>
              </w:rPr>
            </w:pPr>
          </w:p>
        </w:tc>
      </w:tr>
      <w:tr w:rsidR="00C8002E" w:rsidRPr="00457816" w14:paraId="57221DF7" w14:textId="77777777" w:rsidTr="00FC73C0">
        <w:tc>
          <w:tcPr>
            <w:tcW w:w="9163" w:type="dxa"/>
            <w:gridSpan w:val="4"/>
          </w:tcPr>
          <w:p w14:paraId="23F77DDA" w14:textId="77777777" w:rsidR="00C8002E" w:rsidRPr="00457816" w:rsidRDefault="00C8002E" w:rsidP="00FC73C0">
            <w:pPr>
              <w:pStyle w:val="Oddelek"/>
              <w:widowControl w:val="0"/>
              <w:numPr>
                <w:ilvl w:val="0"/>
                <w:numId w:val="0"/>
              </w:numPr>
              <w:spacing w:before="0" w:after="0" w:line="260" w:lineRule="exact"/>
              <w:jc w:val="left"/>
              <w:rPr>
                <w:rFonts w:cs="Arial"/>
                <w:sz w:val="20"/>
                <w:lang w:eastAsia="sl-SI"/>
              </w:rPr>
            </w:pPr>
            <w:r w:rsidRPr="00457816">
              <w:rPr>
                <w:rFonts w:cs="Arial"/>
                <w:sz w:val="20"/>
                <w:lang w:eastAsia="sl-SI"/>
              </w:rPr>
              <w:lastRenderedPageBreak/>
              <w:t>7.b Predstavitev ocene finančnih posledic pod 40.000 EUR:</w:t>
            </w:r>
          </w:p>
          <w:p w14:paraId="68A3E0FF" w14:textId="77777777" w:rsidR="00C8002E" w:rsidRPr="00457816" w:rsidRDefault="00C8002E" w:rsidP="00FC73C0">
            <w:pPr>
              <w:pStyle w:val="Oddelek"/>
              <w:numPr>
                <w:ilvl w:val="0"/>
                <w:numId w:val="0"/>
              </w:numPr>
              <w:spacing w:before="0" w:after="0" w:line="240" w:lineRule="auto"/>
              <w:jc w:val="left"/>
              <w:rPr>
                <w:rFonts w:cs="Arial"/>
                <w:b w:val="0"/>
                <w:sz w:val="20"/>
                <w:lang w:eastAsia="sl-SI"/>
              </w:rPr>
            </w:pPr>
          </w:p>
          <w:p w14:paraId="55A3FF93" w14:textId="77777777" w:rsidR="00FC3D17" w:rsidRPr="005C224E" w:rsidRDefault="00FC3D17" w:rsidP="00FC3D17">
            <w:pPr>
              <w:spacing w:line="240" w:lineRule="auto"/>
              <w:jc w:val="both"/>
              <w:rPr>
                <w:rFonts w:cs="Arial"/>
                <w:szCs w:val="20"/>
              </w:rPr>
            </w:pPr>
            <w:r>
              <w:rPr>
                <w:rFonts w:cs="Arial"/>
                <w:szCs w:val="20"/>
              </w:rPr>
              <w:t>Ocenjuje se</w:t>
            </w:r>
            <w:r w:rsidRPr="005C224E">
              <w:rPr>
                <w:rFonts w:cs="Arial"/>
                <w:szCs w:val="20"/>
              </w:rPr>
              <w:t>, da predlagane spremembe ZPSPID</w:t>
            </w:r>
            <w:r>
              <w:rPr>
                <w:rFonts w:cs="Arial"/>
                <w:szCs w:val="20"/>
              </w:rPr>
              <w:t xml:space="preserve"> </w:t>
            </w:r>
            <w:r w:rsidRPr="005C224E">
              <w:rPr>
                <w:rFonts w:cs="Arial"/>
                <w:szCs w:val="20"/>
              </w:rPr>
              <w:t>ne bodo imele finančnih posledic za proračun Republike Slovenije oziroma je možnost aktivacije državnega jamstva</w:t>
            </w:r>
            <w:r>
              <w:rPr>
                <w:rFonts w:cs="Arial"/>
                <w:szCs w:val="20"/>
              </w:rPr>
              <w:t xml:space="preserve"> v skladu z devetim odstavkom 32. člena ZPSPID</w:t>
            </w:r>
            <w:r w:rsidRPr="005C224E">
              <w:rPr>
                <w:rFonts w:cs="Arial"/>
                <w:szCs w:val="20"/>
              </w:rPr>
              <w:t xml:space="preserve"> minimalna. </w:t>
            </w:r>
            <w:r>
              <w:rPr>
                <w:rFonts w:cs="Arial"/>
                <w:szCs w:val="20"/>
              </w:rPr>
              <w:t>Ocena</w:t>
            </w:r>
            <w:r w:rsidRPr="005C224E">
              <w:rPr>
                <w:rFonts w:cs="Arial"/>
                <w:szCs w:val="20"/>
              </w:rPr>
              <w:t xml:space="preserve"> temelji na natančno določenem vrstnem redu zagotavljanja sredstev za poplačilo upravičencev Prvega pokojninskega sklada (PPS).</w:t>
            </w:r>
          </w:p>
          <w:p w14:paraId="0F90818C" w14:textId="77777777" w:rsidR="00FC3D17" w:rsidRPr="005C224E" w:rsidRDefault="00FC3D17" w:rsidP="00FC3D17">
            <w:pPr>
              <w:spacing w:line="240" w:lineRule="auto"/>
              <w:jc w:val="both"/>
              <w:rPr>
                <w:rFonts w:cs="Arial"/>
                <w:szCs w:val="20"/>
              </w:rPr>
            </w:pPr>
          </w:p>
          <w:p w14:paraId="71FB7771" w14:textId="6860CF90" w:rsidR="00C8002E" w:rsidRPr="00457816" w:rsidRDefault="00FC3D17" w:rsidP="00FC3D17">
            <w:pPr>
              <w:spacing w:line="240" w:lineRule="auto"/>
              <w:jc w:val="both"/>
              <w:rPr>
                <w:rFonts w:cs="Arial"/>
                <w:lang w:eastAsia="sl-SI"/>
              </w:rPr>
            </w:pPr>
            <w:r>
              <w:rPr>
                <w:rFonts w:cs="Arial"/>
                <w:szCs w:val="20"/>
              </w:rPr>
              <w:t>V s</w:t>
            </w:r>
            <w:r w:rsidRPr="005C224E">
              <w:rPr>
                <w:rFonts w:cs="Arial"/>
                <w:szCs w:val="20"/>
              </w:rPr>
              <w:t>klad</w:t>
            </w:r>
            <w:r>
              <w:rPr>
                <w:rFonts w:cs="Arial"/>
                <w:szCs w:val="20"/>
              </w:rPr>
              <w:t>u</w:t>
            </w:r>
            <w:r w:rsidRPr="005C224E">
              <w:rPr>
                <w:rFonts w:cs="Arial"/>
                <w:szCs w:val="20"/>
              </w:rPr>
              <w:t xml:space="preserve"> z devetim odstavkom 32. člena ZPSPID se za izplačilo zajamčenega donosa najprej uporabi premoženje samega PPS. Če ta sredstva ne zadoščajo, se aktivira premoženje Modre zavarovalnice, ki kot pravni naslednik Kapitalske družbe nosi obveznosti v zvezi s PPS, vključno z obveznostmi iz 313. člena Zakona o pokojninskem in invalidskem zavarovanju (Uradni list RS, št. 48/22 – uradno prečiščeno besedilo, 40/23 – ZČmIS-1, 78/23 – ZORR, 84/23 – ZDOsk-1, 125/23 – </w:t>
            </w:r>
            <w:proofErr w:type="spellStart"/>
            <w:r w:rsidRPr="005C224E">
              <w:rPr>
                <w:rFonts w:cs="Arial"/>
                <w:szCs w:val="20"/>
              </w:rPr>
              <w:t>odl</w:t>
            </w:r>
            <w:proofErr w:type="spellEnd"/>
            <w:r w:rsidRPr="005C224E">
              <w:rPr>
                <w:rFonts w:cs="Arial"/>
                <w:szCs w:val="20"/>
              </w:rPr>
              <w:t>. US in 133/23</w:t>
            </w:r>
            <w:r>
              <w:rPr>
                <w:rFonts w:cs="Arial"/>
                <w:szCs w:val="20"/>
              </w:rPr>
              <w:t xml:space="preserve">; </w:t>
            </w:r>
            <w:r w:rsidRPr="005C224E">
              <w:rPr>
                <w:rFonts w:cs="Arial"/>
                <w:szCs w:val="20"/>
              </w:rPr>
              <w:t xml:space="preserve">ZPIZ-2). Ta člen Modri zavarovalnici nalaga oblikovanje rezervacij in po potrebi vplačilo dodatnih sredstev za zagotovitev zajamčene vrednosti. Šele če premoženje PPS in Modre zavarovalnice ne zadošča, </w:t>
            </w:r>
            <w:r>
              <w:rPr>
                <w:rFonts w:cs="Arial"/>
                <w:szCs w:val="20"/>
              </w:rPr>
              <w:t xml:space="preserve">za zajamčeni donos </w:t>
            </w:r>
            <w:r w:rsidRPr="005C224E">
              <w:rPr>
                <w:rFonts w:cs="Arial"/>
                <w:szCs w:val="20"/>
              </w:rPr>
              <w:t>subsidiarno jamči Republika Slovenija. Zaradi te ureditve in obveznosti Modre zavarovalnice iz ZPIZ-2 ocenjujemo, da je verjetnost aktivacije državnega jamstva izjemno majhna</w:t>
            </w:r>
            <w:r>
              <w:rPr>
                <w:rFonts w:cs="Arial"/>
                <w:szCs w:val="20"/>
              </w:rPr>
              <w:t xml:space="preserve"> oziroma nična</w:t>
            </w:r>
            <w:r w:rsidRPr="005C224E">
              <w:rPr>
                <w:rFonts w:cs="Arial"/>
                <w:szCs w:val="20"/>
              </w:rPr>
              <w:t>.</w:t>
            </w:r>
          </w:p>
        </w:tc>
      </w:tr>
      <w:tr w:rsidR="00C8002E" w:rsidRPr="00457816" w14:paraId="1F3FC0B7" w14:textId="77777777" w:rsidTr="00FC73C0">
        <w:tc>
          <w:tcPr>
            <w:tcW w:w="9163" w:type="dxa"/>
            <w:gridSpan w:val="4"/>
          </w:tcPr>
          <w:p w14:paraId="52E46692" w14:textId="77777777" w:rsidR="00C8002E" w:rsidRPr="00457816" w:rsidRDefault="00C8002E" w:rsidP="00FC73C0">
            <w:pPr>
              <w:pStyle w:val="Oddelek"/>
              <w:widowControl w:val="0"/>
              <w:numPr>
                <w:ilvl w:val="0"/>
                <w:numId w:val="0"/>
              </w:numPr>
              <w:spacing w:before="0" w:after="0" w:line="260" w:lineRule="exact"/>
              <w:jc w:val="left"/>
              <w:rPr>
                <w:rFonts w:cs="Arial"/>
                <w:sz w:val="20"/>
                <w:lang w:eastAsia="sl-SI"/>
              </w:rPr>
            </w:pPr>
            <w:r w:rsidRPr="00457816">
              <w:rPr>
                <w:rFonts w:cs="Arial"/>
                <w:sz w:val="20"/>
                <w:lang w:eastAsia="sl-SI"/>
              </w:rPr>
              <w:t>8. Predstavitev sodelovanja z združenji občin:</w:t>
            </w:r>
          </w:p>
        </w:tc>
      </w:tr>
      <w:tr w:rsidR="00C8002E" w:rsidRPr="00457816" w14:paraId="4D596520" w14:textId="77777777" w:rsidTr="00FC73C0">
        <w:tc>
          <w:tcPr>
            <w:tcW w:w="6892" w:type="dxa"/>
            <w:gridSpan w:val="3"/>
          </w:tcPr>
          <w:p w14:paraId="6BD0DF81" w14:textId="77777777" w:rsidR="00C8002E" w:rsidRPr="00457816" w:rsidRDefault="00C8002E" w:rsidP="00FC73C0">
            <w:pPr>
              <w:pStyle w:val="Neotevilenodstavek"/>
              <w:widowControl w:val="0"/>
              <w:spacing w:before="0" w:after="0" w:line="276" w:lineRule="auto"/>
              <w:rPr>
                <w:rFonts w:cs="Arial"/>
                <w:iCs/>
                <w:sz w:val="20"/>
              </w:rPr>
            </w:pPr>
            <w:r w:rsidRPr="00457816">
              <w:rPr>
                <w:rFonts w:cs="Arial"/>
                <w:iCs/>
                <w:sz w:val="20"/>
              </w:rPr>
              <w:t>Vsebina predloženega gradiva (predpisa) vpliva na:</w:t>
            </w:r>
          </w:p>
          <w:p w14:paraId="471B4C74" w14:textId="77777777" w:rsidR="00C8002E" w:rsidRPr="00457816" w:rsidRDefault="00C8002E" w:rsidP="00FC73C0">
            <w:pPr>
              <w:pStyle w:val="Neotevilenodstavek"/>
              <w:widowControl w:val="0"/>
              <w:numPr>
                <w:ilvl w:val="0"/>
                <w:numId w:val="13"/>
              </w:numPr>
              <w:spacing w:before="0" w:after="0" w:line="276" w:lineRule="auto"/>
              <w:textAlignment w:val="auto"/>
              <w:rPr>
                <w:rFonts w:cs="Arial"/>
                <w:iCs/>
                <w:sz w:val="20"/>
              </w:rPr>
            </w:pPr>
            <w:r w:rsidRPr="00457816">
              <w:rPr>
                <w:rFonts w:cs="Arial"/>
                <w:iCs/>
                <w:sz w:val="20"/>
              </w:rPr>
              <w:t>pristojnosti občin,</w:t>
            </w:r>
          </w:p>
          <w:p w14:paraId="7D50C9E4" w14:textId="77777777" w:rsidR="00C8002E" w:rsidRPr="00457816" w:rsidRDefault="00C8002E" w:rsidP="00FC73C0">
            <w:pPr>
              <w:pStyle w:val="Neotevilenodstavek"/>
              <w:widowControl w:val="0"/>
              <w:numPr>
                <w:ilvl w:val="0"/>
                <w:numId w:val="13"/>
              </w:numPr>
              <w:spacing w:before="0" w:after="0" w:line="276" w:lineRule="auto"/>
              <w:textAlignment w:val="auto"/>
              <w:rPr>
                <w:rFonts w:cs="Arial"/>
                <w:iCs/>
                <w:sz w:val="20"/>
              </w:rPr>
            </w:pPr>
            <w:r w:rsidRPr="00457816">
              <w:rPr>
                <w:rFonts w:cs="Arial"/>
                <w:iCs/>
                <w:sz w:val="20"/>
              </w:rPr>
              <w:t>delovanje občin,</w:t>
            </w:r>
          </w:p>
          <w:p w14:paraId="1F5E222C" w14:textId="77777777" w:rsidR="00C8002E" w:rsidRPr="00457816" w:rsidRDefault="00C8002E" w:rsidP="00FC73C0">
            <w:pPr>
              <w:pStyle w:val="Neotevilenodstavek"/>
              <w:widowControl w:val="0"/>
              <w:numPr>
                <w:ilvl w:val="0"/>
                <w:numId w:val="13"/>
              </w:numPr>
              <w:spacing w:before="0" w:after="0" w:line="276" w:lineRule="auto"/>
              <w:textAlignment w:val="auto"/>
              <w:rPr>
                <w:rFonts w:cs="Arial"/>
                <w:sz w:val="20"/>
              </w:rPr>
            </w:pPr>
            <w:r w:rsidRPr="00457816">
              <w:rPr>
                <w:rFonts w:cs="Arial"/>
                <w:iCs/>
                <w:sz w:val="20"/>
              </w:rPr>
              <w:t>financiranje občin.</w:t>
            </w:r>
          </w:p>
        </w:tc>
        <w:tc>
          <w:tcPr>
            <w:tcW w:w="2271" w:type="dxa"/>
          </w:tcPr>
          <w:p w14:paraId="7951ACA6" w14:textId="77777777" w:rsidR="00C8002E" w:rsidRPr="00457816" w:rsidRDefault="00C8002E" w:rsidP="00FC73C0">
            <w:pPr>
              <w:widowControl w:val="0"/>
              <w:overflowPunct w:val="0"/>
              <w:autoSpaceDE w:val="0"/>
              <w:autoSpaceDN w:val="0"/>
              <w:adjustRightInd w:val="0"/>
              <w:spacing w:line="276" w:lineRule="auto"/>
              <w:jc w:val="center"/>
              <w:textAlignment w:val="baseline"/>
              <w:rPr>
                <w:rFonts w:cs="Arial"/>
                <w:iCs/>
                <w:szCs w:val="20"/>
                <w:lang w:eastAsia="sl-SI"/>
              </w:rPr>
            </w:pPr>
            <w:r w:rsidRPr="00457816">
              <w:rPr>
                <w:rFonts w:cs="Arial"/>
                <w:iCs/>
                <w:szCs w:val="20"/>
                <w:lang w:eastAsia="sl-SI"/>
              </w:rPr>
              <w:t>NE</w:t>
            </w:r>
          </w:p>
        </w:tc>
      </w:tr>
      <w:tr w:rsidR="00C8002E" w:rsidRPr="00457816" w14:paraId="07BE654B" w14:textId="77777777" w:rsidTr="00FC73C0">
        <w:tc>
          <w:tcPr>
            <w:tcW w:w="9163" w:type="dxa"/>
            <w:gridSpan w:val="4"/>
          </w:tcPr>
          <w:p w14:paraId="79894A2C" w14:textId="77777777" w:rsidR="00C8002E" w:rsidRPr="00457816" w:rsidRDefault="00C8002E" w:rsidP="00FC73C0">
            <w:pPr>
              <w:pStyle w:val="Neotevilenodstavek"/>
              <w:widowControl w:val="0"/>
              <w:spacing w:before="0" w:after="0" w:line="276" w:lineRule="auto"/>
              <w:rPr>
                <w:rFonts w:cs="Arial"/>
                <w:iCs/>
                <w:sz w:val="20"/>
              </w:rPr>
            </w:pPr>
            <w:r w:rsidRPr="00457816">
              <w:rPr>
                <w:rFonts w:cs="Arial"/>
                <w:iCs/>
                <w:sz w:val="20"/>
              </w:rPr>
              <w:t xml:space="preserve">Gradivo (predpis) je bilo poslano v mnenje: </w:t>
            </w:r>
          </w:p>
          <w:p w14:paraId="22EF7A1D" w14:textId="77777777" w:rsidR="00C8002E" w:rsidRPr="00457816" w:rsidRDefault="00C8002E" w:rsidP="00FC73C0">
            <w:pPr>
              <w:pStyle w:val="Neotevilenodstavek"/>
              <w:widowControl w:val="0"/>
              <w:numPr>
                <w:ilvl w:val="0"/>
                <w:numId w:val="14"/>
              </w:numPr>
              <w:spacing w:before="0" w:after="0" w:line="276" w:lineRule="auto"/>
              <w:textAlignment w:val="auto"/>
              <w:rPr>
                <w:rFonts w:cs="Arial"/>
                <w:iCs/>
                <w:sz w:val="20"/>
              </w:rPr>
            </w:pPr>
            <w:r w:rsidRPr="00457816">
              <w:rPr>
                <w:rFonts w:cs="Arial"/>
                <w:iCs/>
                <w:sz w:val="20"/>
              </w:rPr>
              <w:t>Skupnosti občin Slovenije SOS: NE</w:t>
            </w:r>
          </w:p>
          <w:p w14:paraId="582C7563" w14:textId="77777777" w:rsidR="00C8002E" w:rsidRPr="00457816" w:rsidRDefault="00C8002E" w:rsidP="00FC73C0">
            <w:pPr>
              <w:pStyle w:val="Neotevilenodstavek"/>
              <w:widowControl w:val="0"/>
              <w:numPr>
                <w:ilvl w:val="0"/>
                <w:numId w:val="14"/>
              </w:numPr>
              <w:spacing w:before="0" w:after="0" w:line="276" w:lineRule="auto"/>
              <w:textAlignment w:val="auto"/>
              <w:rPr>
                <w:rFonts w:cs="Arial"/>
                <w:iCs/>
                <w:sz w:val="20"/>
              </w:rPr>
            </w:pPr>
            <w:r w:rsidRPr="00457816">
              <w:rPr>
                <w:rFonts w:cs="Arial"/>
                <w:iCs/>
                <w:sz w:val="20"/>
              </w:rPr>
              <w:t>Združenju občin Slovenije ZOS: NE</w:t>
            </w:r>
          </w:p>
          <w:p w14:paraId="3CA0426A" w14:textId="77777777" w:rsidR="00C8002E" w:rsidRPr="00457816" w:rsidRDefault="00C8002E" w:rsidP="00FC73C0">
            <w:pPr>
              <w:pStyle w:val="Neotevilenodstavek"/>
              <w:widowControl w:val="0"/>
              <w:numPr>
                <w:ilvl w:val="0"/>
                <w:numId w:val="14"/>
              </w:numPr>
              <w:spacing w:before="0" w:after="0" w:line="276" w:lineRule="auto"/>
              <w:textAlignment w:val="auto"/>
              <w:rPr>
                <w:rFonts w:cs="Arial"/>
                <w:iCs/>
                <w:sz w:val="20"/>
              </w:rPr>
            </w:pPr>
            <w:r w:rsidRPr="00457816">
              <w:rPr>
                <w:rFonts w:cs="Arial"/>
                <w:iCs/>
                <w:sz w:val="20"/>
              </w:rPr>
              <w:t>Združenju mestnih občin Slovenije ZMOS: NE</w:t>
            </w:r>
          </w:p>
          <w:p w14:paraId="6B20A21D" w14:textId="77777777" w:rsidR="00C8002E" w:rsidRPr="00457816" w:rsidRDefault="00C8002E" w:rsidP="00FC73C0">
            <w:pPr>
              <w:pStyle w:val="Neotevilenodstavek"/>
              <w:widowControl w:val="0"/>
              <w:spacing w:before="0" w:after="0" w:line="276" w:lineRule="auto"/>
              <w:rPr>
                <w:rFonts w:cs="Arial"/>
                <w:iCs/>
                <w:sz w:val="20"/>
              </w:rPr>
            </w:pPr>
          </w:p>
          <w:p w14:paraId="5DF828EC" w14:textId="77777777" w:rsidR="00C8002E" w:rsidRPr="00457816" w:rsidRDefault="00C8002E" w:rsidP="00FC73C0">
            <w:pPr>
              <w:pStyle w:val="Neotevilenodstavek"/>
              <w:widowControl w:val="0"/>
              <w:spacing w:before="0" w:after="0" w:line="276" w:lineRule="auto"/>
              <w:rPr>
                <w:rFonts w:cs="Arial"/>
                <w:iCs/>
                <w:sz w:val="20"/>
              </w:rPr>
            </w:pPr>
            <w:r w:rsidRPr="00457816">
              <w:rPr>
                <w:rFonts w:cs="Arial"/>
                <w:iCs/>
                <w:sz w:val="20"/>
              </w:rPr>
              <w:t>Predlogi in pripombe združenj so bili upoštevani:</w:t>
            </w:r>
          </w:p>
          <w:p w14:paraId="1446BF47" w14:textId="77777777" w:rsidR="00C8002E" w:rsidRPr="00457816" w:rsidRDefault="00C8002E" w:rsidP="00FC73C0">
            <w:pPr>
              <w:pStyle w:val="Neotevilenodstavek"/>
              <w:widowControl w:val="0"/>
              <w:numPr>
                <w:ilvl w:val="0"/>
                <w:numId w:val="15"/>
              </w:numPr>
              <w:spacing w:before="0" w:after="0" w:line="276" w:lineRule="auto"/>
              <w:textAlignment w:val="auto"/>
              <w:rPr>
                <w:rFonts w:cs="Arial"/>
                <w:iCs/>
                <w:sz w:val="20"/>
              </w:rPr>
            </w:pPr>
            <w:r w:rsidRPr="00457816">
              <w:rPr>
                <w:rFonts w:cs="Arial"/>
                <w:iCs/>
                <w:sz w:val="20"/>
              </w:rPr>
              <w:t>v celoti,</w:t>
            </w:r>
          </w:p>
          <w:p w14:paraId="7924BC97" w14:textId="77777777" w:rsidR="00C8002E" w:rsidRPr="00457816" w:rsidRDefault="00C8002E" w:rsidP="00FC73C0">
            <w:pPr>
              <w:pStyle w:val="Neotevilenodstavek"/>
              <w:widowControl w:val="0"/>
              <w:numPr>
                <w:ilvl w:val="0"/>
                <w:numId w:val="15"/>
              </w:numPr>
              <w:spacing w:before="0" w:after="0" w:line="276" w:lineRule="auto"/>
              <w:textAlignment w:val="auto"/>
              <w:rPr>
                <w:rFonts w:cs="Arial"/>
                <w:iCs/>
                <w:sz w:val="20"/>
              </w:rPr>
            </w:pPr>
            <w:r w:rsidRPr="00457816">
              <w:rPr>
                <w:rFonts w:cs="Arial"/>
                <w:iCs/>
                <w:sz w:val="20"/>
              </w:rPr>
              <w:t>večinoma,</w:t>
            </w:r>
          </w:p>
          <w:p w14:paraId="1163D6BB" w14:textId="77777777" w:rsidR="00C8002E" w:rsidRPr="00457816" w:rsidRDefault="00C8002E" w:rsidP="00FC73C0">
            <w:pPr>
              <w:pStyle w:val="Neotevilenodstavek"/>
              <w:widowControl w:val="0"/>
              <w:numPr>
                <w:ilvl w:val="0"/>
                <w:numId w:val="15"/>
              </w:numPr>
              <w:spacing w:before="0" w:after="0" w:line="276" w:lineRule="auto"/>
              <w:textAlignment w:val="auto"/>
              <w:rPr>
                <w:rFonts w:cs="Arial"/>
                <w:iCs/>
                <w:sz w:val="20"/>
              </w:rPr>
            </w:pPr>
            <w:r w:rsidRPr="00457816">
              <w:rPr>
                <w:rFonts w:cs="Arial"/>
                <w:iCs/>
                <w:sz w:val="20"/>
              </w:rPr>
              <w:t>delno,</w:t>
            </w:r>
          </w:p>
          <w:p w14:paraId="3E3190BC" w14:textId="77777777" w:rsidR="00C8002E" w:rsidRPr="00457816" w:rsidRDefault="00C8002E" w:rsidP="00FC73C0">
            <w:pPr>
              <w:pStyle w:val="Neotevilenodstavek"/>
              <w:widowControl w:val="0"/>
              <w:numPr>
                <w:ilvl w:val="0"/>
                <w:numId w:val="15"/>
              </w:numPr>
              <w:spacing w:before="0" w:after="0" w:line="276" w:lineRule="auto"/>
              <w:textAlignment w:val="auto"/>
              <w:rPr>
                <w:rFonts w:cs="Arial"/>
                <w:iCs/>
                <w:sz w:val="20"/>
              </w:rPr>
            </w:pPr>
            <w:r w:rsidRPr="00457816">
              <w:rPr>
                <w:rFonts w:cs="Arial"/>
                <w:iCs/>
                <w:sz w:val="20"/>
              </w:rPr>
              <w:t>niso bili upoštevani.</w:t>
            </w:r>
          </w:p>
          <w:p w14:paraId="0E8A5D1C" w14:textId="77777777" w:rsidR="00C8002E" w:rsidRPr="00457816" w:rsidRDefault="00C8002E" w:rsidP="00FC73C0">
            <w:pPr>
              <w:pStyle w:val="Neotevilenodstavek"/>
              <w:widowControl w:val="0"/>
              <w:spacing w:before="0" w:after="0" w:line="276" w:lineRule="auto"/>
              <w:ind w:left="360"/>
              <w:rPr>
                <w:rFonts w:cs="Arial"/>
                <w:iCs/>
                <w:sz w:val="20"/>
              </w:rPr>
            </w:pPr>
          </w:p>
          <w:p w14:paraId="6D22A25B" w14:textId="77777777" w:rsidR="00C8002E" w:rsidRPr="00457816" w:rsidRDefault="00C8002E" w:rsidP="00FC73C0">
            <w:pPr>
              <w:pStyle w:val="Neotevilenodstavek"/>
              <w:widowControl w:val="0"/>
              <w:spacing w:before="0" w:after="0" w:line="276" w:lineRule="auto"/>
              <w:rPr>
                <w:rFonts w:cs="Arial"/>
                <w:iCs/>
                <w:sz w:val="20"/>
              </w:rPr>
            </w:pPr>
            <w:r w:rsidRPr="00457816">
              <w:rPr>
                <w:rFonts w:cs="Arial"/>
                <w:iCs/>
                <w:sz w:val="20"/>
              </w:rPr>
              <w:t>Bistveni predlogi in pripombe, ki niso bili upoštevani.</w:t>
            </w:r>
          </w:p>
          <w:p w14:paraId="64BB7D2F" w14:textId="77777777" w:rsidR="00C8002E" w:rsidRPr="00457816" w:rsidRDefault="00C8002E" w:rsidP="00FC73C0">
            <w:pPr>
              <w:pStyle w:val="Oddelek"/>
              <w:widowControl w:val="0"/>
              <w:numPr>
                <w:ilvl w:val="0"/>
                <w:numId w:val="0"/>
              </w:numPr>
              <w:spacing w:before="0" w:after="0" w:line="260" w:lineRule="exact"/>
              <w:jc w:val="left"/>
              <w:rPr>
                <w:rFonts w:cs="Arial"/>
                <w:sz w:val="20"/>
                <w:lang w:eastAsia="sl-SI"/>
              </w:rPr>
            </w:pPr>
            <w:r w:rsidRPr="00457816">
              <w:rPr>
                <w:rFonts w:cs="Arial"/>
                <w:iCs/>
                <w:sz w:val="20"/>
              </w:rPr>
              <w:t>/</w:t>
            </w:r>
          </w:p>
        </w:tc>
      </w:tr>
      <w:tr w:rsidR="00C8002E" w:rsidRPr="00457816" w14:paraId="032C897E" w14:textId="77777777" w:rsidTr="00FC73C0">
        <w:tc>
          <w:tcPr>
            <w:tcW w:w="9163" w:type="dxa"/>
            <w:gridSpan w:val="4"/>
          </w:tcPr>
          <w:p w14:paraId="2E40B355" w14:textId="77777777" w:rsidR="00C8002E" w:rsidRPr="00457816" w:rsidRDefault="00C8002E" w:rsidP="00FC73C0">
            <w:pPr>
              <w:pStyle w:val="Oddelek"/>
              <w:widowControl w:val="0"/>
              <w:numPr>
                <w:ilvl w:val="0"/>
                <w:numId w:val="0"/>
              </w:numPr>
              <w:spacing w:before="0" w:after="0" w:line="260" w:lineRule="exact"/>
              <w:jc w:val="left"/>
              <w:rPr>
                <w:rFonts w:cs="Arial"/>
                <w:sz w:val="20"/>
              </w:rPr>
            </w:pPr>
            <w:r w:rsidRPr="00457816">
              <w:rPr>
                <w:rFonts w:cs="Arial"/>
                <w:sz w:val="20"/>
                <w:lang w:eastAsia="sl-SI"/>
              </w:rPr>
              <w:t>9. Predstavitev sodelovanja javnosti</w:t>
            </w:r>
          </w:p>
        </w:tc>
      </w:tr>
      <w:tr w:rsidR="00C8002E" w:rsidRPr="00457816" w14:paraId="656F9073" w14:textId="77777777" w:rsidTr="00FC73C0">
        <w:tc>
          <w:tcPr>
            <w:tcW w:w="6892" w:type="dxa"/>
            <w:gridSpan w:val="3"/>
          </w:tcPr>
          <w:p w14:paraId="5EA3506F" w14:textId="77777777" w:rsidR="00C8002E" w:rsidRPr="00457816" w:rsidRDefault="00C8002E" w:rsidP="00FC73C0">
            <w:pPr>
              <w:pStyle w:val="Brezrazmikov"/>
              <w:rPr>
                <w:sz w:val="20"/>
                <w:szCs w:val="20"/>
                <w:lang w:val="sl-SI"/>
              </w:rPr>
            </w:pPr>
            <w:r w:rsidRPr="00457816">
              <w:rPr>
                <w:iCs/>
                <w:sz w:val="20"/>
                <w:szCs w:val="20"/>
                <w:lang w:val="sl-SI"/>
              </w:rPr>
              <w:t>Gradivo je bilo predhodno objavljeno na spletni strani predlagatelja</w:t>
            </w:r>
          </w:p>
        </w:tc>
        <w:tc>
          <w:tcPr>
            <w:tcW w:w="2271" w:type="dxa"/>
          </w:tcPr>
          <w:p w14:paraId="3A518BDE" w14:textId="77777777" w:rsidR="00C8002E" w:rsidRPr="00457816" w:rsidRDefault="00C8002E" w:rsidP="00FC73C0">
            <w:pPr>
              <w:pStyle w:val="Brezrazmikov"/>
              <w:rPr>
                <w:iCs/>
                <w:sz w:val="20"/>
                <w:szCs w:val="20"/>
                <w:lang w:val="sl-SI"/>
              </w:rPr>
            </w:pPr>
            <w:r w:rsidRPr="00457816">
              <w:rPr>
                <w:iCs/>
                <w:sz w:val="20"/>
                <w:szCs w:val="20"/>
                <w:lang w:val="sl-SI"/>
              </w:rPr>
              <w:t>DA</w:t>
            </w:r>
          </w:p>
        </w:tc>
      </w:tr>
      <w:tr w:rsidR="00C8002E" w:rsidRPr="00457816" w14:paraId="47E85C20" w14:textId="77777777" w:rsidTr="00FC73C0">
        <w:trPr>
          <w:trHeight w:val="274"/>
        </w:trPr>
        <w:tc>
          <w:tcPr>
            <w:tcW w:w="9163" w:type="dxa"/>
            <w:gridSpan w:val="4"/>
          </w:tcPr>
          <w:p w14:paraId="2B421DD0" w14:textId="77777777" w:rsidR="00216F8A" w:rsidRPr="00457816" w:rsidRDefault="00216F8A" w:rsidP="00216F8A">
            <w:pPr>
              <w:pStyle w:val="Brezrazmikov"/>
              <w:jc w:val="both"/>
              <w:rPr>
                <w:iCs/>
                <w:sz w:val="20"/>
                <w:szCs w:val="20"/>
                <w:lang w:val="sl-SI"/>
              </w:rPr>
            </w:pPr>
            <w:r w:rsidRPr="00457816">
              <w:rPr>
                <w:iCs/>
                <w:sz w:val="20"/>
                <w:szCs w:val="20"/>
                <w:lang w:val="sl-SI"/>
              </w:rPr>
              <w:t xml:space="preserve">Javna objava </w:t>
            </w:r>
            <w:r>
              <w:rPr>
                <w:sz w:val="20"/>
                <w:szCs w:val="20"/>
                <w:lang w:val="sl-SI"/>
              </w:rPr>
              <w:t>p</w:t>
            </w:r>
            <w:r w:rsidRPr="00AA2612">
              <w:rPr>
                <w:sz w:val="20"/>
                <w:szCs w:val="20"/>
                <w:lang w:val="sl-SI"/>
              </w:rPr>
              <w:t>redlog</w:t>
            </w:r>
            <w:r>
              <w:rPr>
                <w:sz w:val="20"/>
                <w:szCs w:val="20"/>
                <w:lang w:val="sl-SI"/>
              </w:rPr>
              <w:t>a</w:t>
            </w:r>
            <w:r w:rsidRPr="00AA2612">
              <w:rPr>
                <w:sz w:val="20"/>
                <w:szCs w:val="20"/>
                <w:lang w:val="sl-SI"/>
              </w:rPr>
              <w:t xml:space="preserve"> </w:t>
            </w:r>
            <w:r>
              <w:rPr>
                <w:rFonts w:eastAsia="Times New Roman"/>
                <w:sz w:val="20"/>
                <w:szCs w:val="20"/>
                <w:lang w:val="sl-SI"/>
              </w:rPr>
              <w:t>zakona</w:t>
            </w:r>
            <w:r w:rsidRPr="00457816">
              <w:rPr>
                <w:iCs/>
                <w:sz w:val="20"/>
                <w:szCs w:val="20"/>
                <w:lang w:val="sl-SI"/>
              </w:rPr>
              <w:t xml:space="preserve"> je potekala od </w:t>
            </w:r>
            <w:r>
              <w:rPr>
                <w:iCs/>
                <w:sz w:val="20"/>
                <w:szCs w:val="20"/>
                <w:lang w:val="sl-SI"/>
              </w:rPr>
              <w:t>17. 7. 2025</w:t>
            </w:r>
            <w:r w:rsidRPr="00472DA3">
              <w:rPr>
                <w:iCs/>
                <w:sz w:val="20"/>
                <w:szCs w:val="20"/>
                <w:lang w:val="sl-SI"/>
              </w:rPr>
              <w:t xml:space="preserve"> do </w:t>
            </w:r>
            <w:r>
              <w:rPr>
                <w:iCs/>
                <w:sz w:val="20"/>
                <w:szCs w:val="20"/>
                <w:lang w:val="sl-SI"/>
              </w:rPr>
              <w:t>31. 7. 2025.</w:t>
            </w:r>
          </w:p>
          <w:p w14:paraId="227E8663" w14:textId="77777777" w:rsidR="00216F8A" w:rsidRPr="00457816" w:rsidRDefault="00216F8A" w:rsidP="00216F8A">
            <w:pPr>
              <w:pStyle w:val="Brezrazmikov"/>
              <w:jc w:val="both"/>
              <w:rPr>
                <w:iCs/>
                <w:sz w:val="20"/>
                <w:szCs w:val="20"/>
                <w:lang w:val="sl-SI"/>
              </w:rPr>
            </w:pPr>
          </w:p>
          <w:p w14:paraId="6AF644ED" w14:textId="77777777" w:rsidR="00216F8A" w:rsidRPr="00457816" w:rsidRDefault="00216F8A" w:rsidP="00216F8A">
            <w:pPr>
              <w:pStyle w:val="Brezrazmikov"/>
              <w:jc w:val="both"/>
              <w:rPr>
                <w:iCs/>
                <w:sz w:val="20"/>
                <w:szCs w:val="20"/>
                <w:lang w:val="sl-SI"/>
              </w:rPr>
            </w:pPr>
            <w:r w:rsidRPr="00457816">
              <w:rPr>
                <w:iCs/>
                <w:sz w:val="20"/>
                <w:szCs w:val="20"/>
                <w:lang w:val="sl-SI"/>
              </w:rPr>
              <w:t>Spletni naslov, na katerem je bil predpis objavljen:</w:t>
            </w:r>
            <w:r w:rsidRPr="00435300">
              <w:rPr>
                <w:lang w:val="sl-SI"/>
              </w:rPr>
              <w:t xml:space="preserve"> </w:t>
            </w:r>
            <w:hyperlink r:id="rId12" w:history="1">
              <w:r w:rsidRPr="0069355A">
                <w:rPr>
                  <w:rStyle w:val="Hiperpovezava"/>
                  <w:iCs/>
                  <w:sz w:val="20"/>
                  <w:szCs w:val="20"/>
                  <w:lang w:val="sl-SI"/>
                </w:rPr>
                <w:t>https://e-uprava.gov.si/si/drzava-in-druzba/e-demokracija/predlogi-predpisov/predlog-predpisa.html?id=18001&amp;lang=si</w:t>
              </w:r>
            </w:hyperlink>
            <w:r>
              <w:rPr>
                <w:iCs/>
                <w:sz w:val="20"/>
                <w:szCs w:val="20"/>
                <w:lang w:val="sl-SI"/>
              </w:rPr>
              <w:t xml:space="preserve"> </w:t>
            </w:r>
          </w:p>
          <w:p w14:paraId="09883E87" w14:textId="77777777" w:rsidR="00C8002E" w:rsidRPr="00AA2612" w:rsidRDefault="00C8002E" w:rsidP="00FC73C0">
            <w:pPr>
              <w:pStyle w:val="Brezrazmikov"/>
              <w:jc w:val="both"/>
              <w:rPr>
                <w:sz w:val="20"/>
                <w:szCs w:val="20"/>
                <w:lang w:val="sl-SI"/>
              </w:rPr>
            </w:pPr>
          </w:p>
          <w:p w14:paraId="4AD36CCD" w14:textId="77777777" w:rsidR="00C8002E" w:rsidRPr="00457816" w:rsidRDefault="00C8002E" w:rsidP="00FC73C0">
            <w:pPr>
              <w:pStyle w:val="Brezrazmikov"/>
              <w:jc w:val="both"/>
              <w:rPr>
                <w:iCs/>
                <w:sz w:val="20"/>
                <w:szCs w:val="20"/>
                <w:lang w:val="sl-SI"/>
              </w:rPr>
            </w:pPr>
          </w:p>
          <w:p w14:paraId="2C01D14F" w14:textId="77777777" w:rsidR="00C8002E" w:rsidRPr="00457816" w:rsidRDefault="00C8002E" w:rsidP="00FC73C0">
            <w:pPr>
              <w:pStyle w:val="Brezrazmikov"/>
              <w:jc w:val="both"/>
              <w:rPr>
                <w:iCs/>
                <w:sz w:val="20"/>
                <w:szCs w:val="20"/>
                <w:lang w:val="sl-SI"/>
              </w:rPr>
            </w:pPr>
            <w:r w:rsidRPr="00457816">
              <w:rPr>
                <w:iCs/>
                <w:sz w:val="20"/>
                <w:szCs w:val="20"/>
                <w:lang w:val="sl-SI"/>
              </w:rPr>
              <w:t>V razpravo so bili vključeni:</w:t>
            </w:r>
          </w:p>
          <w:p w14:paraId="5CC79F8F" w14:textId="77777777" w:rsidR="00C8002E" w:rsidRPr="00457816" w:rsidRDefault="00C8002E" w:rsidP="00FC73C0">
            <w:pPr>
              <w:pStyle w:val="Brezrazmikov"/>
              <w:jc w:val="both"/>
              <w:rPr>
                <w:iCs/>
                <w:sz w:val="20"/>
                <w:szCs w:val="20"/>
                <w:lang w:val="sl-SI"/>
              </w:rPr>
            </w:pPr>
            <w:r w:rsidRPr="00457816">
              <w:rPr>
                <w:iCs/>
                <w:sz w:val="20"/>
                <w:szCs w:val="20"/>
                <w:lang w:val="sl-SI"/>
              </w:rPr>
              <w:t>– nevladne organizacije,</w:t>
            </w:r>
          </w:p>
          <w:p w14:paraId="7141254F" w14:textId="77777777" w:rsidR="00C8002E" w:rsidRPr="00457816" w:rsidRDefault="00C8002E" w:rsidP="00FC73C0">
            <w:pPr>
              <w:pStyle w:val="Brezrazmikov"/>
              <w:jc w:val="both"/>
              <w:rPr>
                <w:iCs/>
                <w:sz w:val="20"/>
                <w:szCs w:val="20"/>
                <w:lang w:val="sl-SI"/>
              </w:rPr>
            </w:pPr>
            <w:r w:rsidRPr="00457816">
              <w:rPr>
                <w:iCs/>
                <w:sz w:val="20"/>
                <w:szCs w:val="20"/>
                <w:lang w:val="sl-SI"/>
              </w:rPr>
              <w:t>– predstavniki zainteresirane javnosti,</w:t>
            </w:r>
          </w:p>
          <w:p w14:paraId="6B414B45" w14:textId="77777777" w:rsidR="00C8002E" w:rsidRPr="00457816" w:rsidRDefault="00C8002E" w:rsidP="00FC73C0">
            <w:pPr>
              <w:pStyle w:val="Brezrazmikov"/>
              <w:jc w:val="both"/>
              <w:rPr>
                <w:iCs/>
                <w:sz w:val="20"/>
                <w:szCs w:val="20"/>
                <w:lang w:val="sl-SI"/>
              </w:rPr>
            </w:pPr>
            <w:r w:rsidRPr="00457816">
              <w:rPr>
                <w:iCs/>
                <w:sz w:val="20"/>
                <w:szCs w:val="20"/>
                <w:lang w:val="sl-SI"/>
              </w:rPr>
              <w:t>– predstavniki strokovne javnosti.</w:t>
            </w:r>
          </w:p>
          <w:p w14:paraId="42F194C5" w14:textId="77777777" w:rsidR="00C8002E" w:rsidRPr="00457816" w:rsidRDefault="00C8002E" w:rsidP="00FC73C0">
            <w:pPr>
              <w:pStyle w:val="Brezrazmikov"/>
              <w:jc w:val="both"/>
              <w:rPr>
                <w:iCs/>
                <w:sz w:val="20"/>
                <w:szCs w:val="20"/>
                <w:lang w:val="sl-SI"/>
              </w:rPr>
            </w:pPr>
          </w:p>
          <w:p w14:paraId="48E52966" w14:textId="77777777" w:rsidR="00C8002E" w:rsidRDefault="00C8002E" w:rsidP="00FC73C0">
            <w:pPr>
              <w:pStyle w:val="Brezrazmikov"/>
              <w:jc w:val="both"/>
              <w:rPr>
                <w:iCs/>
                <w:sz w:val="20"/>
                <w:szCs w:val="20"/>
                <w:lang w:val="sl-SI"/>
              </w:rPr>
            </w:pPr>
            <w:r w:rsidRPr="00457816">
              <w:rPr>
                <w:iCs/>
                <w:sz w:val="20"/>
                <w:szCs w:val="20"/>
                <w:lang w:val="sl-SI"/>
              </w:rPr>
              <w:lastRenderedPageBreak/>
              <w:t>V času javne razprave predlog</w:t>
            </w:r>
            <w:r>
              <w:rPr>
                <w:iCs/>
                <w:sz w:val="20"/>
                <w:szCs w:val="20"/>
                <w:lang w:val="sl-SI"/>
              </w:rPr>
              <w:t xml:space="preserve">ov nismo prejeli. </w:t>
            </w:r>
          </w:p>
          <w:p w14:paraId="1A72141C" w14:textId="77777777" w:rsidR="00C8002E" w:rsidRPr="00457816" w:rsidRDefault="00C8002E" w:rsidP="00FC73C0">
            <w:pPr>
              <w:pStyle w:val="Brezrazmikov"/>
              <w:jc w:val="both"/>
              <w:rPr>
                <w:iCs/>
                <w:sz w:val="20"/>
                <w:szCs w:val="20"/>
                <w:lang w:val="sl-SI"/>
              </w:rPr>
            </w:pPr>
          </w:p>
          <w:p w14:paraId="257A38C9" w14:textId="77777777" w:rsidR="00C8002E" w:rsidRPr="00457816" w:rsidRDefault="00C8002E" w:rsidP="00FC73C0">
            <w:pPr>
              <w:pStyle w:val="Brezrazmikov"/>
              <w:jc w:val="both"/>
              <w:rPr>
                <w:iCs/>
                <w:sz w:val="20"/>
                <w:szCs w:val="20"/>
                <w:lang w:val="sl-SI"/>
              </w:rPr>
            </w:pPr>
            <w:r w:rsidRPr="00457816">
              <w:rPr>
                <w:iCs/>
                <w:sz w:val="20"/>
                <w:szCs w:val="20"/>
                <w:lang w:val="sl-SI"/>
              </w:rPr>
              <w:t xml:space="preserve">Bistvena mnenja, predlogi in pripombe, ki niso bili upoštevani, ter razlogi za neupoštevanje: </w:t>
            </w:r>
          </w:p>
          <w:p w14:paraId="5CE13CDA" w14:textId="77777777" w:rsidR="00C8002E" w:rsidRPr="00457816" w:rsidRDefault="00C8002E" w:rsidP="00FC73C0">
            <w:pPr>
              <w:pStyle w:val="Brezrazmikov"/>
              <w:jc w:val="both"/>
              <w:rPr>
                <w:iCs/>
                <w:sz w:val="20"/>
                <w:szCs w:val="20"/>
                <w:lang w:val="sl-SI"/>
              </w:rPr>
            </w:pPr>
            <w:r w:rsidRPr="00457816">
              <w:rPr>
                <w:iCs/>
                <w:sz w:val="20"/>
                <w:szCs w:val="20"/>
                <w:lang w:val="sl-SI"/>
              </w:rPr>
              <w:t>/</w:t>
            </w:r>
          </w:p>
        </w:tc>
      </w:tr>
      <w:tr w:rsidR="00C8002E" w:rsidRPr="00457816" w14:paraId="5B8F36C9" w14:textId="77777777" w:rsidTr="00FC73C0">
        <w:tc>
          <w:tcPr>
            <w:tcW w:w="6892" w:type="dxa"/>
            <w:gridSpan w:val="3"/>
          </w:tcPr>
          <w:p w14:paraId="382304CD" w14:textId="77777777" w:rsidR="00C8002E" w:rsidRPr="00457816" w:rsidRDefault="00C8002E" w:rsidP="00FC73C0">
            <w:pPr>
              <w:pStyle w:val="Oddelek"/>
              <w:widowControl w:val="0"/>
              <w:numPr>
                <w:ilvl w:val="0"/>
                <w:numId w:val="0"/>
              </w:numPr>
              <w:spacing w:before="0" w:after="0" w:line="260" w:lineRule="exact"/>
              <w:jc w:val="left"/>
              <w:rPr>
                <w:rFonts w:cs="Arial"/>
                <w:sz w:val="20"/>
              </w:rPr>
            </w:pPr>
            <w:r w:rsidRPr="00457816">
              <w:rPr>
                <w:rFonts w:cs="Arial"/>
                <w:sz w:val="20"/>
                <w:lang w:eastAsia="sl-SI"/>
              </w:rPr>
              <w:lastRenderedPageBreak/>
              <w:t>10. Pri pripravi gradiva so bile upoštevane zahteve iz Resolucije o normativni dejavnosti</w:t>
            </w:r>
          </w:p>
        </w:tc>
        <w:tc>
          <w:tcPr>
            <w:tcW w:w="2271" w:type="dxa"/>
          </w:tcPr>
          <w:p w14:paraId="327C09C2" w14:textId="77777777" w:rsidR="00C8002E" w:rsidRPr="00D20C60" w:rsidRDefault="00C8002E" w:rsidP="00FC73C0">
            <w:pPr>
              <w:pStyle w:val="Brezrazmikov"/>
              <w:rPr>
                <w:sz w:val="20"/>
                <w:szCs w:val="20"/>
                <w:lang w:val="sl-SI" w:eastAsia="sl-SI"/>
              </w:rPr>
            </w:pPr>
            <w:r w:rsidRPr="00D20C60">
              <w:rPr>
                <w:sz w:val="20"/>
                <w:szCs w:val="20"/>
                <w:lang w:val="sl-SI" w:eastAsia="sl-SI"/>
              </w:rPr>
              <w:t>DA</w:t>
            </w:r>
          </w:p>
        </w:tc>
      </w:tr>
      <w:tr w:rsidR="00C8002E" w:rsidRPr="00457816" w14:paraId="610658FC" w14:textId="77777777" w:rsidTr="00FC73C0">
        <w:tc>
          <w:tcPr>
            <w:tcW w:w="6892" w:type="dxa"/>
            <w:gridSpan w:val="3"/>
          </w:tcPr>
          <w:p w14:paraId="203598A9" w14:textId="77777777" w:rsidR="00C8002E" w:rsidRPr="00457816" w:rsidRDefault="00C8002E" w:rsidP="00FC73C0">
            <w:pPr>
              <w:pStyle w:val="Oddelek"/>
              <w:widowControl w:val="0"/>
              <w:numPr>
                <w:ilvl w:val="0"/>
                <w:numId w:val="0"/>
              </w:numPr>
              <w:spacing w:before="0" w:after="0" w:line="260" w:lineRule="exact"/>
              <w:jc w:val="left"/>
              <w:rPr>
                <w:rFonts w:cs="Arial"/>
                <w:sz w:val="20"/>
                <w:lang w:eastAsia="sl-SI"/>
              </w:rPr>
            </w:pPr>
            <w:r w:rsidRPr="00457816">
              <w:rPr>
                <w:rFonts w:cs="Arial"/>
                <w:sz w:val="20"/>
                <w:lang w:eastAsia="sl-SI"/>
              </w:rPr>
              <w:t>11. Gradivo je uvrščeno v delovni program vlade:</w:t>
            </w:r>
          </w:p>
        </w:tc>
        <w:tc>
          <w:tcPr>
            <w:tcW w:w="2271" w:type="dxa"/>
          </w:tcPr>
          <w:p w14:paraId="432E447D" w14:textId="77777777" w:rsidR="00C8002E" w:rsidRPr="00D20C60" w:rsidRDefault="00C8002E" w:rsidP="00FC73C0">
            <w:pPr>
              <w:pStyle w:val="Brezrazmikov"/>
              <w:rPr>
                <w:sz w:val="20"/>
                <w:szCs w:val="20"/>
                <w:lang w:val="sl-SI" w:eastAsia="sl-SI"/>
              </w:rPr>
            </w:pPr>
            <w:r w:rsidRPr="00D20C60">
              <w:rPr>
                <w:sz w:val="20"/>
                <w:szCs w:val="20"/>
                <w:lang w:val="sl-SI" w:eastAsia="sl-SI"/>
              </w:rPr>
              <w:t>NE</w:t>
            </w:r>
          </w:p>
        </w:tc>
      </w:tr>
      <w:tr w:rsidR="00C8002E" w:rsidRPr="00457816" w14:paraId="3BABB58E" w14:textId="77777777" w:rsidTr="00FC73C0">
        <w:tc>
          <w:tcPr>
            <w:tcW w:w="9163" w:type="dxa"/>
            <w:gridSpan w:val="4"/>
          </w:tcPr>
          <w:p w14:paraId="4B9092C3" w14:textId="77777777" w:rsidR="00C8002E" w:rsidRPr="00457816" w:rsidRDefault="00C8002E" w:rsidP="00FC73C0">
            <w:pPr>
              <w:pStyle w:val="Brezrazmikov"/>
              <w:rPr>
                <w:sz w:val="20"/>
                <w:szCs w:val="20"/>
                <w:lang w:val="sl-SI"/>
              </w:rPr>
            </w:pPr>
            <w:r w:rsidRPr="00457816">
              <w:rPr>
                <w:sz w:val="20"/>
                <w:szCs w:val="20"/>
                <w:lang w:val="sl-SI"/>
              </w:rPr>
              <w:t xml:space="preserve">                                                                                                         </w:t>
            </w:r>
          </w:p>
          <w:p w14:paraId="045B2D2B" w14:textId="77777777" w:rsidR="00C8002E" w:rsidRPr="00457816" w:rsidRDefault="00C8002E" w:rsidP="00FC73C0">
            <w:pPr>
              <w:pStyle w:val="Brezrazmikov"/>
              <w:rPr>
                <w:sz w:val="20"/>
                <w:szCs w:val="20"/>
                <w:lang w:val="sl-SI"/>
              </w:rPr>
            </w:pPr>
            <w:r w:rsidRPr="00457816">
              <w:rPr>
                <w:sz w:val="20"/>
                <w:szCs w:val="20"/>
                <w:lang w:val="sl-SI"/>
              </w:rPr>
              <w:t xml:space="preserve"> </w:t>
            </w:r>
          </w:p>
          <w:p w14:paraId="38E0746F" w14:textId="77777777" w:rsidR="00C8002E" w:rsidRPr="004C5FE4" w:rsidRDefault="00C8002E" w:rsidP="00FC73C0">
            <w:pPr>
              <w:pStyle w:val="Brezrazmikov"/>
              <w:ind w:left="6372"/>
              <w:rPr>
                <w:b/>
                <w:iCs/>
                <w:szCs w:val="20"/>
                <w:lang w:val="sl-SI"/>
              </w:rPr>
            </w:pPr>
            <w:r>
              <w:rPr>
                <w:b/>
                <w:szCs w:val="20"/>
                <w:lang w:val="sl-SI"/>
              </w:rPr>
              <w:t>Klemen Boštjančič</w:t>
            </w:r>
          </w:p>
          <w:p w14:paraId="15DF8771" w14:textId="77777777" w:rsidR="00C8002E" w:rsidRPr="00457816" w:rsidRDefault="00C8002E" w:rsidP="00FC73C0">
            <w:pPr>
              <w:pStyle w:val="Brezrazmikov"/>
              <w:rPr>
                <w:b/>
                <w:sz w:val="20"/>
                <w:szCs w:val="20"/>
                <w:lang w:val="sl-SI"/>
              </w:rPr>
            </w:pPr>
            <w:r w:rsidRPr="004C5FE4">
              <w:rPr>
                <w:b/>
                <w:szCs w:val="20"/>
                <w:lang w:val="sl-SI"/>
              </w:rPr>
              <w:t xml:space="preserve">                                                                                                                MINISTER</w:t>
            </w:r>
          </w:p>
          <w:p w14:paraId="3B5BA79C" w14:textId="77777777" w:rsidR="00C8002E" w:rsidRPr="00457816" w:rsidRDefault="00C8002E" w:rsidP="00FC73C0">
            <w:pPr>
              <w:pStyle w:val="Brezrazmikov"/>
              <w:rPr>
                <w:b/>
                <w:sz w:val="20"/>
                <w:szCs w:val="20"/>
                <w:lang w:val="sl-SI"/>
              </w:rPr>
            </w:pPr>
          </w:p>
          <w:p w14:paraId="4639CFEE" w14:textId="77777777" w:rsidR="00C8002E" w:rsidRPr="00457816" w:rsidRDefault="00C8002E" w:rsidP="00FC73C0">
            <w:pPr>
              <w:pStyle w:val="Brezrazmikov"/>
              <w:rPr>
                <w:b/>
                <w:sz w:val="20"/>
                <w:szCs w:val="20"/>
                <w:lang w:val="sl-SI"/>
              </w:rPr>
            </w:pPr>
          </w:p>
          <w:p w14:paraId="32EAC982" w14:textId="77777777" w:rsidR="00C8002E" w:rsidRPr="00457816" w:rsidRDefault="00C8002E" w:rsidP="00FC73C0">
            <w:pPr>
              <w:pStyle w:val="Brezrazmikov"/>
              <w:rPr>
                <w:b/>
                <w:sz w:val="20"/>
                <w:szCs w:val="20"/>
                <w:lang w:val="sl-SI"/>
              </w:rPr>
            </w:pPr>
          </w:p>
          <w:p w14:paraId="74415737" w14:textId="77777777" w:rsidR="00C8002E" w:rsidRPr="00457816" w:rsidRDefault="00C8002E" w:rsidP="00FC73C0">
            <w:pPr>
              <w:pStyle w:val="Brezrazmikov"/>
              <w:rPr>
                <w:b/>
                <w:sz w:val="20"/>
                <w:szCs w:val="20"/>
                <w:lang w:val="sl-SI"/>
              </w:rPr>
            </w:pPr>
            <w:r w:rsidRPr="00457816">
              <w:rPr>
                <w:b/>
                <w:sz w:val="20"/>
                <w:szCs w:val="20"/>
                <w:lang w:val="sl-SI"/>
              </w:rPr>
              <w:t xml:space="preserve">PRILOGE: </w:t>
            </w:r>
          </w:p>
          <w:p w14:paraId="09BBD4C4" w14:textId="77777777" w:rsidR="00C8002E" w:rsidRPr="00457816" w:rsidRDefault="00C8002E" w:rsidP="00FC73C0">
            <w:pPr>
              <w:pStyle w:val="Brezrazmikov"/>
              <w:numPr>
                <w:ilvl w:val="0"/>
                <w:numId w:val="12"/>
              </w:numPr>
              <w:jc w:val="both"/>
              <w:rPr>
                <w:sz w:val="20"/>
                <w:szCs w:val="20"/>
                <w:lang w:val="sl-SI"/>
              </w:rPr>
            </w:pPr>
            <w:r w:rsidRPr="00457816">
              <w:rPr>
                <w:sz w:val="20"/>
                <w:szCs w:val="20"/>
                <w:lang w:val="sl-SI"/>
              </w:rPr>
              <w:t>predlog sklepa Vlade Republike Slovenije,</w:t>
            </w:r>
          </w:p>
          <w:p w14:paraId="05DE1961" w14:textId="77777777" w:rsidR="00C8002E" w:rsidRPr="00457816" w:rsidRDefault="00C8002E" w:rsidP="00FC73C0">
            <w:pPr>
              <w:pStyle w:val="Brezrazmikov"/>
              <w:numPr>
                <w:ilvl w:val="0"/>
                <w:numId w:val="12"/>
              </w:numPr>
              <w:jc w:val="both"/>
              <w:rPr>
                <w:sz w:val="20"/>
                <w:szCs w:val="20"/>
                <w:lang w:val="sl-SI"/>
              </w:rPr>
            </w:pPr>
            <w:r w:rsidRPr="00457816">
              <w:rPr>
                <w:sz w:val="20"/>
                <w:szCs w:val="20"/>
                <w:lang w:val="sl-SI"/>
              </w:rPr>
              <w:t>predlog zakona,</w:t>
            </w:r>
          </w:p>
          <w:p w14:paraId="34805E3A" w14:textId="77777777" w:rsidR="00C8002E" w:rsidRPr="00457816" w:rsidRDefault="00C8002E" w:rsidP="00FC73C0">
            <w:pPr>
              <w:pStyle w:val="Brezrazmikov"/>
              <w:numPr>
                <w:ilvl w:val="0"/>
                <w:numId w:val="12"/>
              </w:numPr>
              <w:jc w:val="both"/>
              <w:rPr>
                <w:sz w:val="20"/>
                <w:szCs w:val="20"/>
                <w:lang w:val="sl-SI"/>
              </w:rPr>
            </w:pPr>
            <w:r w:rsidRPr="00457816">
              <w:rPr>
                <w:sz w:val="20"/>
                <w:szCs w:val="20"/>
                <w:lang w:val="sl-SI"/>
              </w:rPr>
              <w:t>izjava o skladnosti.</w:t>
            </w:r>
          </w:p>
        </w:tc>
      </w:tr>
    </w:tbl>
    <w:p w14:paraId="4560E44C" w14:textId="77777777" w:rsidR="00C8002E" w:rsidRDefault="00C8002E" w:rsidP="00C8002E">
      <w:pPr>
        <w:spacing w:line="276" w:lineRule="auto"/>
        <w:rPr>
          <w:rFonts w:cs="Arial"/>
          <w:bCs/>
          <w:szCs w:val="20"/>
        </w:rPr>
      </w:pPr>
    </w:p>
    <w:p w14:paraId="31231E0A" w14:textId="77777777" w:rsidR="00C8002E" w:rsidRDefault="00C8002E" w:rsidP="00C8002E">
      <w:pPr>
        <w:spacing w:line="276" w:lineRule="auto"/>
        <w:rPr>
          <w:rFonts w:cs="Arial"/>
          <w:bCs/>
          <w:szCs w:val="20"/>
        </w:rPr>
      </w:pPr>
    </w:p>
    <w:p w14:paraId="2B4424B9" w14:textId="77777777" w:rsidR="00C8002E" w:rsidRPr="00457816" w:rsidRDefault="00C8002E" w:rsidP="00C8002E">
      <w:pPr>
        <w:spacing w:line="276" w:lineRule="auto"/>
        <w:rPr>
          <w:rFonts w:cs="Arial"/>
          <w:szCs w:val="20"/>
        </w:rPr>
      </w:pPr>
      <w:r>
        <w:rPr>
          <w:rFonts w:cs="Arial"/>
          <w:bCs/>
          <w:szCs w:val="20"/>
        </w:rPr>
        <w:br w:type="page"/>
      </w:r>
      <w:r w:rsidRPr="00457816">
        <w:rPr>
          <w:rFonts w:cs="Arial"/>
          <w:szCs w:val="20"/>
        </w:rPr>
        <w:lastRenderedPageBreak/>
        <w:t xml:space="preserve">VLADA REPUBLIKE SLOVENIJE </w:t>
      </w:r>
    </w:p>
    <w:p w14:paraId="7041A4CC" w14:textId="77777777" w:rsidR="00C8002E" w:rsidRPr="00457816" w:rsidRDefault="00C8002E" w:rsidP="00C8002E">
      <w:pPr>
        <w:spacing w:line="276" w:lineRule="auto"/>
        <w:rPr>
          <w:rFonts w:cs="Arial"/>
          <w:szCs w:val="20"/>
        </w:rPr>
      </w:pPr>
    </w:p>
    <w:p w14:paraId="215C0CEA" w14:textId="77777777" w:rsidR="00C8002E" w:rsidRPr="00457816" w:rsidRDefault="00C8002E" w:rsidP="00C8002E">
      <w:pPr>
        <w:spacing w:line="276" w:lineRule="auto"/>
        <w:rPr>
          <w:rFonts w:cs="Arial"/>
          <w:szCs w:val="20"/>
        </w:rPr>
      </w:pPr>
    </w:p>
    <w:p w14:paraId="63682893" w14:textId="77777777" w:rsidR="00C8002E" w:rsidRPr="00457816" w:rsidRDefault="00C8002E" w:rsidP="00C8002E">
      <w:pPr>
        <w:spacing w:line="276" w:lineRule="auto"/>
        <w:rPr>
          <w:rFonts w:cs="Arial"/>
          <w:szCs w:val="20"/>
        </w:rPr>
      </w:pPr>
      <w:r w:rsidRPr="00457816">
        <w:rPr>
          <w:rFonts w:cs="Arial"/>
          <w:szCs w:val="20"/>
        </w:rPr>
        <w:t>Številka:</w:t>
      </w:r>
      <w:r w:rsidRPr="00457816">
        <w:rPr>
          <w:rFonts w:cs="Arial"/>
          <w:szCs w:val="20"/>
        </w:rPr>
        <w:tab/>
      </w:r>
    </w:p>
    <w:p w14:paraId="2DE978C1" w14:textId="77777777" w:rsidR="00C8002E" w:rsidRPr="00457816" w:rsidRDefault="00C8002E" w:rsidP="00C8002E">
      <w:pPr>
        <w:spacing w:line="276" w:lineRule="auto"/>
        <w:rPr>
          <w:rFonts w:cs="Arial"/>
          <w:szCs w:val="20"/>
        </w:rPr>
      </w:pPr>
      <w:r w:rsidRPr="00457816">
        <w:rPr>
          <w:rFonts w:cs="Arial"/>
          <w:szCs w:val="20"/>
        </w:rPr>
        <w:t>Ljubljana,</w:t>
      </w:r>
      <w:r w:rsidRPr="00457816">
        <w:rPr>
          <w:rFonts w:cs="Arial"/>
          <w:szCs w:val="20"/>
        </w:rPr>
        <w:tab/>
      </w:r>
    </w:p>
    <w:p w14:paraId="70CA466C" w14:textId="77777777" w:rsidR="00C8002E" w:rsidRPr="00457816" w:rsidRDefault="00C8002E" w:rsidP="00C8002E">
      <w:pPr>
        <w:spacing w:line="276" w:lineRule="auto"/>
        <w:rPr>
          <w:rFonts w:cs="Arial"/>
          <w:szCs w:val="20"/>
        </w:rPr>
      </w:pPr>
    </w:p>
    <w:p w14:paraId="1AFC93EC" w14:textId="77777777" w:rsidR="00C8002E" w:rsidRPr="00457816" w:rsidRDefault="00C8002E" w:rsidP="00C8002E">
      <w:pPr>
        <w:spacing w:line="276" w:lineRule="auto"/>
        <w:rPr>
          <w:rFonts w:cs="Arial"/>
          <w:szCs w:val="20"/>
        </w:rPr>
      </w:pPr>
    </w:p>
    <w:p w14:paraId="66C393C8" w14:textId="20E4E115" w:rsidR="00C8002E" w:rsidRPr="004C5FE4" w:rsidRDefault="00C8002E" w:rsidP="00C8002E">
      <w:pPr>
        <w:jc w:val="both"/>
        <w:rPr>
          <w:rFonts w:cs="Arial"/>
          <w:szCs w:val="20"/>
          <w:lang w:eastAsia="ar-SA"/>
        </w:rPr>
      </w:pPr>
      <w:r w:rsidRPr="004C5FE4">
        <w:rPr>
          <w:rFonts w:cs="Arial"/>
          <w:bCs/>
          <w:szCs w:val="20"/>
          <w:lang w:eastAsia="ar-SA"/>
        </w:rPr>
        <w:t xml:space="preserve">Na podlagi drugega odstavka 2. člena Zakona o Vladi Republike Slovenije (Uradni list RS, št. 24/05 – uradno prečiščeno besedilo, 109/08, 38/10 – ZUKN, 8/12, 21/13, 47/13 – ZDU-1G, </w:t>
      </w:r>
      <w:r w:rsidRPr="009F3D5F">
        <w:rPr>
          <w:rFonts w:cs="Arial"/>
          <w:szCs w:val="20"/>
        </w:rPr>
        <w:t>65/14</w:t>
      </w:r>
      <w:r>
        <w:rPr>
          <w:rFonts w:cs="Arial"/>
          <w:szCs w:val="20"/>
        </w:rPr>
        <w:t xml:space="preserve">, </w:t>
      </w:r>
      <w:r w:rsidRPr="009F3D5F">
        <w:rPr>
          <w:rFonts w:cs="Arial"/>
          <w:szCs w:val="20"/>
        </w:rPr>
        <w:t>55/17</w:t>
      </w:r>
      <w:r w:rsidR="00E04905">
        <w:rPr>
          <w:rFonts w:cs="Arial"/>
          <w:szCs w:val="20"/>
        </w:rPr>
        <w:t>,</w:t>
      </w:r>
      <w:r w:rsidRPr="001A1A91">
        <w:rPr>
          <w:rFonts w:cs="Arial"/>
          <w:szCs w:val="20"/>
        </w:rPr>
        <w:t xml:space="preserve"> 163/22</w:t>
      </w:r>
      <w:r w:rsidR="00E04905">
        <w:rPr>
          <w:rFonts w:cs="Arial"/>
          <w:szCs w:val="20"/>
        </w:rPr>
        <w:t xml:space="preserve">  </w:t>
      </w:r>
      <w:r w:rsidR="00E04905" w:rsidRPr="00E04905">
        <w:rPr>
          <w:rFonts w:cs="Arial"/>
          <w:szCs w:val="20"/>
        </w:rPr>
        <w:t>in 57/25 – ZF</w:t>
      </w:r>
      <w:r w:rsidRPr="004C5FE4">
        <w:rPr>
          <w:rFonts w:cs="Arial"/>
          <w:bCs/>
          <w:szCs w:val="20"/>
          <w:lang w:eastAsia="ar-SA"/>
        </w:rPr>
        <w:t>)</w:t>
      </w:r>
      <w:r w:rsidRPr="004C5FE4">
        <w:rPr>
          <w:rFonts w:cs="Arial"/>
          <w:szCs w:val="20"/>
          <w:lang w:eastAsia="ar-SA"/>
        </w:rPr>
        <w:t xml:space="preserve"> je Vlada Republike Slovenije na svoji … seji dne … pod točko … sprejela naslednji</w:t>
      </w:r>
    </w:p>
    <w:p w14:paraId="780951B2" w14:textId="77777777" w:rsidR="00C8002E" w:rsidRPr="00457816" w:rsidRDefault="00C8002E" w:rsidP="00C8002E">
      <w:pPr>
        <w:spacing w:line="276" w:lineRule="auto"/>
        <w:rPr>
          <w:rFonts w:cs="Arial"/>
          <w:szCs w:val="20"/>
        </w:rPr>
      </w:pPr>
    </w:p>
    <w:p w14:paraId="1890050A" w14:textId="77777777" w:rsidR="00C8002E" w:rsidRPr="00457816" w:rsidRDefault="00C8002E" w:rsidP="00C8002E">
      <w:pPr>
        <w:spacing w:line="276" w:lineRule="auto"/>
        <w:jc w:val="center"/>
        <w:rPr>
          <w:rFonts w:cs="Arial"/>
          <w:szCs w:val="20"/>
        </w:rPr>
      </w:pPr>
    </w:p>
    <w:p w14:paraId="681E0F58" w14:textId="77777777" w:rsidR="00C8002E" w:rsidRPr="00457816" w:rsidRDefault="00C8002E" w:rsidP="00C8002E">
      <w:pPr>
        <w:spacing w:line="276" w:lineRule="auto"/>
        <w:jc w:val="center"/>
        <w:rPr>
          <w:rFonts w:cs="Arial"/>
          <w:szCs w:val="20"/>
        </w:rPr>
      </w:pPr>
      <w:r w:rsidRPr="00457816">
        <w:rPr>
          <w:rFonts w:cs="Arial"/>
          <w:szCs w:val="20"/>
        </w:rPr>
        <w:t>S K L E P</w:t>
      </w:r>
      <w:r>
        <w:rPr>
          <w:rFonts w:cs="Arial"/>
          <w:szCs w:val="20"/>
        </w:rPr>
        <w:t xml:space="preserve"> </w:t>
      </w:r>
      <w:r w:rsidRPr="00457816">
        <w:rPr>
          <w:rFonts w:cs="Arial"/>
          <w:szCs w:val="20"/>
        </w:rPr>
        <w:t>:</w:t>
      </w:r>
    </w:p>
    <w:p w14:paraId="643FA471" w14:textId="77777777" w:rsidR="00C8002E" w:rsidRPr="00457816" w:rsidRDefault="00C8002E" w:rsidP="00C8002E">
      <w:pPr>
        <w:spacing w:line="276" w:lineRule="auto"/>
        <w:rPr>
          <w:rFonts w:cs="Arial"/>
          <w:szCs w:val="20"/>
        </w:rPr>
      </w:pPr>
    </w:p>
    <w:p w14:paraId="78947E74" w14:textId="77777777" w:rsidR="00C8002E" w:rsidRPr="00457816" w:rsidRDefault="00C8002E" w:rsidP="00C8002E">
      <w:pPr>
        <w:spacing w:line="276" w:lineRule="auto"/>
        <w:rPr>
          <w:rFonts w:cs="Arial"/>
          <w:szCs w:val="20"/>
        </w:rPr>
      </w:pPr>
    </w:p>
    <w:p w14:paraId="73C42E8F" w14:textId="784D394C" w:rsidR="00C8002E" w:rsidRPr="00457816" w:rsidRDefault="00C8002E" w:rsidP="00C8002E">
      <w:pPr>
        <w:spacing w:line="276" w:lineRule="auto"/>
        <w:jc w:val="both"/>
        <w:rPr>
          <w:rFonts w:cs="Arial"/>
          <w:szCs w:val="20"/>
        </w:rPr>
      </w:pPr>
      <w:r w:rsidRPr="00D20C60">
        <w:rPr>
          <w:rFonts w:cs="Arial"/>
          <w:szCs w:val="20"/>
        </w:rPr>
        <w:t xml:space="preserve">Vlada Republike Slovenije je določila besedilo </w:t>
      </w:r>
      <w:r w:rsidR="00E04905">
        <w:rPr>
          <w:rFonts w:cs="Arial"/>
          <w:szCs w:val="20"/>
        </w:rPr>
        <w:t>P</w:t>
      </w:r>
      <w:r w:rsidR="00E04905" w:rsidRPr="00D20C60">
        <w:rPr>
          <w:rFonts w:cs="Arial"/>
          <w:szCs w:val="20"/>
        </w:rPr>
        <w:t xml:space="preserve">redloga </w:t>
      </w:r>
      <w:r w:rsidR="00E04905">
        <w:rPr>
          <w:rFonts w:cs="Arial"/>
          <w:szCs w:val="20"/>
        </w:rPr>
        <w:t>z</w:t>
      </w:r>
      <w:r w:rsidR="00E04905" w:rsidRPr="00D20C60">
        <w:rPr>
          <w:rFonts w:cs="Arial"/>
          <w:szCs w:val="20"/>
        </w:rPr>
        <w:t xml:space="preserve">akona </w:t>
      </w:r>
      <w:r w:rsidRPr="00D20C60">
        <w:rPr>
          <w:rFonts w:cs="Arial"/>
          <w:szCs w:val="20"/>
        </w:rPr>
        <w:t xml:space="preserve">o spremembah in </w:t>
      </w:r>
      <w:r w:rsidR="002708D6" w:rsidRPr="00D20C60">
        <w:rPr>
          <w:rFonts w:cs="Arial"/>
          <w:szCs w:val="20"/>
        </w:rPr>
        <w:t>dopolnitv</w:t>
      </w:r>
      <w:r w:rsidR="002708D6">
        <w:rPr>
          <w:rFonts w:cs="Arial"/>
          <w:szCs w:val="20"/>
        </w:rPr>
        <w:t>i</w:t>
      </w:r>
      <w:r w:rsidR="002708D6" w:rsidRPr="00D20C60">
        <w:rPr>
          <w:rFonts w:cs="Arial"/>
          <w:szCs w:val="20"/>
        </w:rPr>
        <w:t xml:space="preserve"> </w:t>
      </w:r>
      <w:r w:rsidRPr="00D20C60">
        <w:rPr>
          <w:rFonts w:cs="Arial"/>
          <w:szCs w:val="20"/>
        </w:rPr>
        <w:t>Zakona o prvem pokojninskem skladu Republike Slovenije in preoblikovanju pooblaščenih investicijskih družb, ter ga predloži Državnemu zboru Republike Slovenije v obravnavo in sprejetje po rednem zakonodajnem postopku.</w:t>
      </w:r>
    </w:p>
    <w:p w14:paraId="483B1F0E" w14:textId="77777777" w:rsidR="00C8002E" w:rsidRPr="00457816" w:rsidRDefault="00C8002E" w:rsidP="00C8002E">
      <w:pPr>
        <w:spacing w:line="276" w:lineRule="auto"/>
        <w:rPr>
          <w:rFonts w:cs="Arial"/>
          <w:szCs w:val="20"/>
        </w:rPr>
      </w:pPr>
    </w:p>
    <w:p w14:paraId="1F2346B6" w14:textId="77777777" w:rsidR="00C8002E" w:rsidRPr="00457816" w:rsidRDefault="00C8002E" w:rsidP="00C8002E">
      <w:pPr>
        <w:spacing w:line="276" w:lineRule="auto"/>
        <w:rPr>
          <w:rFonts w:cs="Arial"/>
          <w:szCs w:val="20"/>
        </w:rPr>
      </w:pPr>
    </w:p>
    <w:p w14:paraId="275C79CD" w14:textId="77777777" w:rsidR="00C8002E" w:rsidRPr="00457816" w:rsidRDefault="00C8002E" w:rsidP="00C8002E">
      <w:pPr>
        <w:spacing w:line="276" w:lineRule="auto"/>
        <w:rPr>
          <w:rFonts w:cs="Arial"/>
          <w:szCs w:val="20"/>
        </w:rPr>
      </w:pPr>
      <w:r w:rsidRPr="00457816">
        <w:rPr>
          <w:rFonts w:cs="Arial"/>
          <w:szCs w:val="20"/>
        </w:rPr>
        <w:t xml:space="preserve">                                                                                                </w:t>
      </w:r>
      <w:r w:rsidRPr="000C4639">
        <w:rPr>
          <w:rFonts w:cs="Arial"/>
          <w:szCs w:val="20"/>
        </w:rPr>
        <w:t xml:space="preserve">Barbara Kolenko </w:t>
      </w:r>
      <w:proofErr w:type="spellStart"/>
      <w:r w:rsidRPr="000C4639">
        <w:rPr>
          <w:rFonts w:cs="Arial"/>
          <w:szCs w:val="20"/>
        </w:rPr>
        <w:t>Helbl</w:t>
      </w:r>
      <w:proofErr w:type="spellEnd"/>
    </w:p>
    <w:p w14:paraId="21B98477" w14:textId="77777777" w:rsidR="00C8002E" w:rsidRPr="00457816" w:rsidRDefault="00C8002E" w:rsidP="00C8002E">
      <w:pPr>
        <w:spacing w:line="276" w:lineRule="auto"/>
        <w:rPr>
          <w:rFonts w:cs="Arial"/>
          <w:szCs w:val="20"/>
        </w:rPr>
      </w:pPr>
      <w:r w:rsidRPr="00457816">
        <w:rPr>
          <w:rFonts w:cs="Arial"/>
          <w:szCs w:val="20"/>
        </w:rPr>
        <w:t xml:space="preserve">                                                                                        </w:t>
      </w:r>
      <w:r>
        <w:rPr>
          <w:rFonts w:cs="Arial"/>
          <w:szCs w:val="20"/>
        </w:rPr>
        <w:t xml:space="preserve">  </w:t>
      </w:r>
      <w:r w:rsidRPr="000C4639">
        <w:rPr>
          <w:rFonts w:cs="Arial"/>
          <w:szCs w:val="20"/>
        </w:rPr>
        <w:t>GENERALNA SEKRETARKA</w:t>
      </w:r>
    </w:p>
    <w:p w14:paraId="651B9EA6" w14:textId="77777777" w:rsidR="00C8002E" w:rsidRPr="00457816" w:rsidRDefault="00C8002E" w:rsidP="00C8002E">
      <w:pPr>
        <w:spacing w:line="276" w:lineRule="auto"/>
        <w:rPr>
          <w:rFonts w:cs="Arial"/>
          <w:szCs w:val="20"/>
        </w:rPr>
      </w:pPr>
    </w:p>
    <w:p w14:paraId="6FA222D7" w14:textId="77777777" w:rsidR="00C8002E" w:rsidRPr="00457816" w:rsidRDefault="00C8002E" w:rsidP="00C8002E">
      <w:pPr>
        <w:spacing w:line="276" w:lineRule="auto"/>
        <w:rPr>
          <w:rFonts w:cs="Arial"/>
          <w:szCs w:val="20"/>
        </w:rPr>
      </w:pPr>
    </w:p>
    <w:p w14:paraId="3A1F7875" w14:textId="77777777" w:rsidR="00C8002E" w:rsidRPr="00457816" w:rsidRDefault="00C8002E" w:rsidP="00C8002E">
      <w:pPr>
        <w:spacing w:line="276" w:lineRule="auto"/>
        <w:rPr>
          <w:rFonts w:cs="Arial"/>
          <w:szCs w:val="20"/>
        </w:rPr>
      </w:pPr>
    </w:p>
    <w:p w14:paraId="645CFF23" w14:textId="77777777" w:rsidR="00C8002E" w:rsidRPr="00457816" w:rsidRDefault="00C8002E" w:rsidP="00C8002E">
      <w:pPr>
        <w:spacing w:line="276" w:lineRule="auto"/>
        <w:rPr>
          <w:rFonts w:cs="Arial"/>
          <w:szCs w:val="20"/>
        </w:rPr>
      </w:pPr>
    </w:p>
    <w:p w14:paraId="5EB4CB5D" w14:textId="77777777" w:rsidR="00C8002E" w:rsidRPr="00457816" w:rsidRDefault="00C8002E" w:rsidP="00C8002E">
      <w:pPr>
        <w:spacing w:line="276" w:lineRule="auto"/>
        <w:rPr>
          <w:rFonts w:cs="Arial"/>
          <w:szCs w:val="20"/>
        </w:rPr>
      </w:pPr>
      <w:r w:rsidRPr="00457816">
        <w:rPr>
          <w:rFonts w:cs="Arial"/>
          <w:szCs w:val="20"/>
        </w:rPr>
        <w:t>Priloga sklepa:</w:t>
      </w:r>
    </w:p>
    <w:p w14:paraId="58EA8CF8" w14:textId="77777777" w:rsidR="00C8002E" w:rsidRPr="00457816" w:rsidRDefault="00C8002E" w:rsidP="00C8002E">
      <w:pPr>
        <w:numPr>
          <w:ilvl w:val="0"/>
          <w:numId w:val="6"/>
        </w:numPr>
        <w:spacing w:line="276" w:lineRule="auto"/>
        <w:rPr>
          <w:rFonts w:cs="Arial"/>
          <w:szCs w:val="20"/>
        </w:rPr>
      </w:pPr>
      <w:r w:rsidRPr="00457816">
        <w:rPr>
          <w:rFonts w:cs="Arial"/>
          <w:szCs w:val="20"/>
        </w:rPr>
        <w:t>predlog zakona</w:t>
      </w:r>
    </w:p>
    <w:p w14:paraId="392EEC4C" w14:textId="77777777" w:rsidR="00C8002E" w:rsidRPr="00457816" w:rsidRDefault="00C8002E" w:rsidP="00C8002E">
      <w:pPr>
        <w:spacing w:line="276" w:lineRule="auto"/>
        <w:rPr>
          <w:rFonts w:cs="Arial"/>
          <w:szCs w:val="20"/>
        </w:rPr>
      </w:pPr>
    </w:p>
    <w:p w14:paraId="582BF028" w14:textId="77777777" w:rsidR="00C8002E" w:rsidRPr="00457816" w:rsidRDefault="00C8002E" w:rsidP="00C8002E">
      <w:pPr>
        <w:spacing w:line="276" w:lineRule="auto"/>
        <w:rPr>
          <w:rFonts w:cs="Arial"/>
          <w:szCs w:val="20"/>
        </w:rPr>
      </w:pPr>
    </w:p>
    <w:p w14:paraId="28A9127D" w14:textId="77777777" w:rsidR="00C8002E" w:rsidRPr="00457816" w:rsidRDefault="00C8002E" w:rsidP="00C8002E">
      <w:pPr>
        <w:spacing w:line="276" w:lineRule="auto"/>
        <w:rPr>
          <w:rFonts w:cs="Arial"/>
          <w:szCs w:val="20"/>
        </w:rPr>
      </w:pPr>
      <w:r w:rsidRPr="00457816">
        <w:rPr>
          <w:rFonts w:cs="Arial"/>
          <w:szCs w:val="20"/>
        </w:rPr>
        <w:t>Prejmejo:</w:t>
      </w:r>
    </w:p>
    <w:p w14:paraId="793704B9" w14:textId="77777777" w:rsidR="00C8002E" w:rsidRPr="00457816" w:rsidRDefault="00C8002E" w:rsidP="00C8002E">
      <w:pPr>
        <w:numPr>
          <w:ilvl w:val="0"/>
          <w:numId w:val="5"/>
        </w:numPr>
        <w:spacing w:line="276" w:lineRule="auto"/>
        <w:rPr>
          <w:rFonts w:cs="Arial"/>
          <w:szCs w:val="20"/>
        </w:rPr>
      </w:pPr>
      <w:r w:rsidRPr="00457816">
        <w:rPr>
          <w:rFonts w:cs="Arial"/>
          <w:szCs w:val="20"/>
        </w:rPr>
        <w:t>Državni zbor Republike Slovenije,</w:t>
      </w:r>
    </w:p>
    <w:p w14:paraId="4EBD19B4" w14:textId="77777777" w:rsidR="00C8002E" w:rsidRPr="00457816" w:rsidRDefault="00C8002E" w:rsidP="00C8002E">
      <w:pPr>
        <w:numPr>
          <w:ilvl w:val="0"/>
          <w:numId w:val="5"/>
        </w:numPr>
        <w:spacing w:line="276" w:lineRule="auto"/>
        <w:rPr>
          <w:rFonts w:cs="Arial"/>
          <w:szCs w:val="20"/>
        </w:rPr>
      </w:pPr>
      <w:r w:rsidRPr="00457816">
        <w:rPr>
          <w:rFonts w:cs="Arial"/>
          <w:szCs w:val="20"/>
        </w:rPr>
        <w:t>Ministrstvo za finance,</w:t>
      </w:r>
    </w:p>
    <w:p w14:paraId="478FE8D4" w14:textId="77777777" w:rsidR="00C8002E" w:rsidRPr="00457816" w:rsidRDefault="00C8002E" w:rsidP="00C8002E">
      <w:pPr>
        <w:numPr>
          <w:ilvl w:val="0"/>
          <w:numId w:val="5"/>
        </w:numPr>
        <w:spacing w:line="276" w:lineRule="auto"/>
        <w:rPr>
          <w:rFonts w:cs="Arial"/>
          <w:szCs w:val="20"/>
        </w:rPr>
      </w:pPr>
      <w:r w:rsidRPr="00457816">
        <w:rPr>
          <w:rFonts w:cs="Arial"/>
          <w:szCs w:val="20"/>
        </w:rPr>
        <w:t>Služba Vlade Republike Slovenije za zakonodajo.</w:t>
      </w:r>
    </w:p>
    <w:p w14:paraId="76E3F011" w14:textId="77777777" w:rsidR="00C8002E" w:rsidRDefault="00C8002E" w:rsidP="00C8002E">
      <w:pPr>
        <w:spacing w:after="160" w:line="259" w:lineRule="auto"/>
        <w:rPr>
          <w:rFonts w:cs="Arial"/>
          <w:bCs/>
          <w:szCs w:val="20"/>
        </w:rPr>
      </w:pPr>
      <w:r>
        <w:rPr>
          <w:rFonts w:cs="Arial"/>
          <w:bCs/>
          <w:szCs w:val="20"/>
        </w:rPr>
        <w:br w:type="page"/>
      </w:r>
    </w:p>
    <w:p w14:paraId="0F29D12B" w14:textId="459C1105" w:rsidR="006A4AB7" w:rsidRDefault="00E47812" w:rsidP="006A4AB7">
      <w:pPr>
        <w:spacing w:line="240" w:lineRule="auto"/>
        <w:jc w:val="center"/>
        <w:rPr>
          <w:rFonts w:cs="Arial"/>
          <w:b/>
          <w:sz w:val="24"/>
        </w:rPr>
      </w:pPr>
      <w:r w:rsidRPr="00E47812">
        <w:rPr>
          <w:rFonts w:cs="Arial"/>
          <w:b/>
          <w:sz w:val="24"/>
        </w:rPr>
        <w:lastRenderedPageBreak/>
        <w:t xml:space="preserve">Zakon o spremembah in </w:t>
      </w:r>
      <w:r w:rsidR="002708D6" w:rsidRPr="00E47812">
        <w:rPr>
          <w:rFonts w:cs="Arial"/>
          <w:b/>
          <w:sz w:val="24"/>
        </w:rPr>
        <w:t>dopolnitv</w:t>
      </w:r>
      <w:r w:rsidR="002708D6">
        <w:rPr>
          <w:rFonts w:cs="Arial"/>
          <w:b/>
          <w:sz w:val="24"/>
        </w:rPr>
        <w:t>i</w:t>
      </w:r>
      <w:r w:rsidR="002708D6" w:rsidRPr="00E47812">
        <w:rPr>
          <w:rFonts w:cs="Arial"/>
          <w:b/>
          <w:sz w:val="24"/>
        </w:rPr>
        <w:t xml:space="preserve"> </w:t>
      </w:r>
      <w:r w:rsidRPr="00E47812">
        <w:rPr>
          <w:rFonts w:cs="Arial"/>
          <w:b/>
          <w:sz w:val="24"/>
        </w:rPr>
        <w:t>Zakona o prvem pokojninskem skladu Republike Slovenije in preoblikovanju pooblaščenih investicijskih družb</w:t>
      </w:r>
    </w:p>
    <w:p w14:paraId="654A8CC1" w14:textId="77777777" w:rsidR="00E47812" w:rsidRPr="00E47812" w:rsidRDefault="00E47812" w:rsidP="006A4AB7">
      <w:pPr>
        <w:spacing w:line="240" w:lineRule="auto"/>
        <w:jc w:val="center"/>
        <w:rPr>
          <w:rFonts w:cs="Arial"/>
          <w:b/>
          <w:sz w:val="24"/>
        </w:rPr>
      </w:pPr>
    </w:p>
    <w:p w14:paraId="524A214E" w14:textId="77777777" w:rsidR="008E0F84" w:rsidRPr="00457816" w:rsidRDefault="008E0F84" w:rsidP="008E0F84">
      <w:pPr>
        <w:spacing w:line="240" w:lineRule="auto"/>
        <w:ind w:left="1080" w:hanging="720"/>
        <w:rPr>
          <w:rFonts w:cs="Arial"/>
          <w:szCs w:val="20"/>
        </w:rPr>
      </w:pPr>
    </w:p>
    <w:p w14:paraId="00ECA081" w14:textId="77777777" w:rsidR="008E0F84" w:rsidRPr="00457816" w:rsidRDefault="008E0F84" w:rsidP="00871993">
      <w:pPr>
        <w:numPr>
          <w:ilvl w:val="0"/>
          <w:numId w:val="3"/>
        </w:numPr>
        <w:spacing w:line="240" w:lineRule="auto"/>
        <w:rPr>
          <w:rFonts w:cs="Arial"/>
          <w:b/>
          <w:szCs w:val="20"/>
        </w:rPr>
      </w:pPr>
      <w:r w:rsidRPr="00457816">
        <w:rPr>
          <w:rFonts w:cs="Arial"/>
          <w:b/>
          <w:szCs w:val="20"/>
        </w:rPr>
        <w:t>UVOD</w:t>
      </w:r>
    </w:p>
    <w:p w14:paraId="10D62F50" w14:textId="77777777" w:rsidR="008E0F84" w:rsidRPr="00457816" w:rsidRDefault="008E0F84" w:rsidP="008E0F84">
      <w:pPr>
        <w:spacing w:line="240" w:lineRule="auto"/>
        <w:jc w:val="both"/>
        <w:rPr>
          <w:rFonts w:cs="Arial"/>
          <w:szCs w:val="20"/>
        </w:rPr>
      </w:pPr>
    </w:p>
    <w:p w14:paraId="03E1B741" w14:textId="77777777" w:rsidR="008E0F84" w:rsidRPr="00457816" w:rsidRDefault="008E0F84" w:rsidP="00871993">
      <w:pPr>
        <w:numPr>
          <w:ilvl w:val="0"/>
          <w:numId w:val="4"/>
        </w:numPr>
        <w:spacing w:line="240" w:lineRule="auto"/>
        <w:rPr>
          <w:rFonts w:cs="Arial"/>
          <w:b/>
          <w:szCs w:val="20"/>
        </w:rPr>
      </w:pPr>
      <w:bookmarkStart w:id="1" w:name="_Hlk55770662"/>
      <w:r w:rsidRPr="00457816">
        <w:rPr>
          <w:rFonts w:cs="Arial"/>
          <w:b/>
          <w:szCs w:val="20"/>
        </w:rPr>
        <w:t>OCENA STANJA IN RAZLOGI ZA SPREJEM PREDLOGA ZAKONA</w:t>
      </w:r>
    </w:p>
    <w:p w14:paraId="053FF785" w14:textId="77777777" w:rsidR="008E0F84" w:rsidRPr="00457816" w:rsidRDefault="008E0F84" w:rsidP="008E0F84">
      <w:pPr>
        <w:spacing w:line="240" w:lineRule="auto"/>
        <w:ind w:left="720"/>
        <w:rPr>
          <w:rFonts w:cs="Arial"/>
          <w:b/>
          <w:szCs w:val="20"/>
        </w:rPr>
      </w:pPr>
    </w:p>
    <w:p w14:paraId="45BFD6E8" w14:textId="43807D7C" w:rsidR="00191170" w:rsidRPr="00191170" w:rsidRDefault="00191170" w:rsidP="003C08F2">
      <w:pPr>
        <w:spacing w:line="240" w:lineRule="auto"/>
        <w:jc w:val="both"/>
        <w:rPr>
          <w:rFonts w:cs="Arial"/>
          <w:szCs w:val="20"/>
          <w:u w:val="single"/>
        </w:rPr>
      </w:pPr>
      <w:bookmarkStart w:id="2" w:name="_Toc478018380"/>
      <w:bookmarkStart w:id="3" w:name="_Toc4064492"/>
      <w:bookmarkStart w:id="4" w:name="_Hlk55770710"/>
      <w:bookmarkEnd w:id="1"/>
      <w:r w:rsidRPr="00191170">
        <w:rPr>
          <w:rFonts w:cs="Arial"/>
          <w:szCs w:val="20"/>
          <w:u w:val="single"/>
        </w:rPr>
        <w:t xml:space="preserve">Osnovni podatki o </w:t>
      </w:r>
      <w:r w:rsidR="003C08F2" w:rsidRPr="00BD042F">
        <w:rPr>
          <w:rFonts w:cs="Arial"/>
          <w:szCs w:val="20"/>
          <w:u w:val="single"/>
        </w:rPr>
        <w:t>Prvem pokojninskem skladu</w:t>
      </w:r>
      <w:r w:rsidRPr="00191170">
        <w:rPr>
          <w:rFonts w:cs="Arial"/>
          <w:szCs w:val="20"/>
          <w:u w:val="single"/>
        </w:rPr>
        <w:t xml:space="preserve"> </w:t>
      </w:r>
    </w:p>
    <w:p w14:paraId="2AFFD31F" w14:textId="77777777" w:rsidR="003C08F2" w:rsidRDefault="003C08F2" w:rsidP="003C08F2">
      <w:pPr>
        <w:spacing w:line="240" w:lineRule="auto"/>
        <w:jc w:val="both"/>
        <w:rPr>
          <w:rFonts w:cs="Arial"/>
          <w:szCs w:val="20"/>
        </w:rPr>
      </w:pPr>
    </w:p>
    <w:p w14:paraId="6BA46975" w14:textId="077BA96F" w:rsidR="00191170" w:rsidRPr="00191170" w:rsidRDefault="00191170" w:rsidP="003C08F2">
      <w:pPr>
        <w:spacing w:line="240" w:lineRule="auto"/>
        <w:jc w:val="both"/>
        <w:rPr>
          <w:rFonts w:cs="Arial"/>
          <w:szCs w:val="20"/>
        </w:rPr>
      </w:pPr>
      <w:r w:rsidRPr="00191170">
        <w:rPr>
          <w:rFonts w:cs="Arial"/>
          <w:szCs w:val="20"/>
        </w:rPr>
        <w:t xml:space="preserve">Prvi pokojninski sklad (v </w:t>
      </w:r>
      <w:r w:rsidR="003C08F2">
        <w:rPr>
          <w:rFonts w:cs="Arial"/>
          <w:szCs w:val="20"/>
        </w:rPr>
        <w:t>nadaljnjem besedilu:</w:t>
      </w:r>
      <w:r w:rsidRPr="00191170">
        <w:rPr>
          <w:rFonts w:cs="Arial"/>
          <w:szCs w:val="20"/>
        </w:rPr>
        <w:t xml:space="preserve"> PPS) je bil ustanovljen </w:t>
      </w:r>
      <w:bookmarkStart w:id="5" w:name="_Hlk179918193"/>
      <w:r w:rsidR="003C08F2">
        <w:rPr>
          <w:rFonts w:cs="Arial"/>
          <w:szCs w:val="20"/>
        </w:rPr>
        <w:t xml:space="preserve">z </w:t>
      </w:r>
      <w:r w:rsidRPr="00191170">
        <w:rPr>
          <w:rFonts w:cs="Arial"/>
          <w:szCs w:val="20"/>
        </w:rPr>
        <w:t xml:space="preserve">Zakonom o prvem pokojninskem skladu Republike Slovenije in preoblikovanju pooblaščenih investicijskih družb </w:t>
      </w:r>
      <w:r w:rsidR="003C08F2">
        <w:rPr>
          <w:rFonts w:cs="Arial"/>
          <w:szCs w:val="20"/>
        </w:rPr>
        <w:t>(</w:t>
      </w:r>
      <w:r w:rsidR="003C08F2" w:rsidRPr="003C08F2">
        <w:rPr>
          <w:rFonts w:cs="Arial"/>
          <w:szCs w:val="20"/>
        </w:rPr>
        <w:t>Uradni list RS, št. 26/05 – uradno prečiščeno besedilo, 85/09 in 32/16</w:t>
      </w:r>
      <w:r w:rsidR="003C08F2">
        <w:rPr>
          <w:rFonts w:cs="Arial"/>
          <w:szCs w:val="20"/>
        </w:rPr>
        <w:t xml:space="preserve">; v nadaljnjem besedilu: </w:t>
      </w:r>
      <w:r w:rsidRPr="00191170">
        <w:rPr>
          <w:rFonts w:cs="Arial"/>
          <w:szCs w:val="20"/>
        </w:rPr>
        <w:t>ZPSPID</w:t>
      </w:r>
      <w:r w:rsidR="007D48A3">
        <w:rPr>
          <w:rFonts w:cs="Arial"/>
          <w:szCs w:val="20"/>
        </w:rPr>
        <w:t>)</w:t>
      </w:r>
      <w:r w:rsidRPr="00191170">
        <w:rPr>
          <w:rFonts w:cs="Arial"/>
          <w:szCs w:val="20"/>
        </w:rPr>
        <w:t xml:space="preserve">. </w:t>
      </w:r>
      <w:bookmarkEnd w:id="5"/>
      <w:r w:rsidRPr="00191170">
        <w:rPr>
          <w:rFonts w:cs="Arial"/>
          <w:szCs w:val="20"/>
        </w:rPr>
        <w:t xml:space="preserve">V skladu z </w:t>
      </w:r>
      <w:r w:rsidR="003C08F2" w:rsidRPr="003C08F2">
        <w:rPr>
          <w:rFonts w:cs="Arial"/>
          <w:szCs w:val="20"/>
        </w:rPr>
        <w:t xml:space="preserve">ZPSPID </w:t>
      </w:r>
      <w:r w:rsidRPr="00191170">
        <w:rPr>
          <w:rFonts w:cs="Arial"/>
          <w:szCs w:val="20"/>
        </w:rPr>
        <w:t>so delničarji pooblaščenih investicijskih družb (</w:t>
      </w:r>
      <w:r w:rsidR="00C666F3">
        <w:rPr>
          <w:rFonts w:cs="Arial"/>
          <w:szCs w:val="20"/>
        </w:rPr>
        <w:t xml:space="preserve">v nadaljnjem besedilu: </w:t>
      </w:r>
      <w:r w:rsidRPr="00191170">
        <w:rPr>
          <w:rFonts w:cs="Arial"/>
          <w:szCs w:val="20"/>
        </w:rPr>
        <w:t xml:space="preserve">PID), ki so še imeli neizkoriščene certifikate, le-te </w:t>
      </w:r>
      <w:r w:rsidR="007D3436" w:rsidRPr="00191170">
        <w:rPr>
          <w:rFonts w:cs="Arial"/>
          <w:szCs w:val="20"/>
        </w:rPr>
        <w:t xml:space="preserve">lahko </w:t>
      </w:r>
      <w:r w:rsidRPr="00191170">
        <w:rPr>
          <w:rFonts w:cs="Arial"/>
          <w:szCs w:val="20"/>
        </w:rPr>
        <w:t xml:space="preserve">obdržali v delnicah PID ali jih zamenjali za pokojninske bone, ki so se </w:t>
      </w:r>
      <w:r w:rsidR="007D48A3">
        <w:rPr>
          <w:rFonts w:cs="Arial"/>
          <w:szCs w:val="20"/>
        </w:rPr>
        <w:t>poz</w:t>
      </w:r>
      <w:r w:rsidRPr="00191170">
        <w:rPr>
          <w:rFonts w:cs="Arial"/>
          <w:szCs w:val="20"/>
        </w:rPr>
        <w:t xml:space="preserve">neje </w:t>
      </w:r>
      <w:r w:rsidR="007D48A3">
        <w:rPr>
          <w:rFonts w:cs="Arial"/>
          <w:szCs w:val="20"/>
        </w:rPr>
        <w:t>samodej</w:t>
      </w:r>
      <w:r w:rsidRPr="00191170">
        <w:rPr>
          <w:rFonts w:cs="Arial"/>
          <w:szCs w:val="20"/>
        </w:rPr>
        <w:t xml:space="preserve">no zamenjali za zavarovalno polico </w:t>
      </w:r>
      <w:r w:rsidR="003C08F2">
        <w:rPr>
          <w:rFonts w:cs="Arial"/>
          <w:szCs w:val="20"/>
        </w:rPr>
        <w:t>PPS</w:t>
      </w:r>
      <w:r w:rsidRPr="00191170">
        <w:rPr>
          <w:rFonts w:cs="Arial"/>
          <w:szCs w:val="20"/>
        </w:rPr>
        <w:t xml:space="preserve">. </w:t>
      </w:r>
    </w:p>
    <w:p w14:paraId="6F067D32" w14:textId="77777777" w:rsidR="003C08F2" w:rsidRDefault="003C08F2" w:rsidP="003C08F2">
      <w:pPr>
        <w:spacing w:line="240" w:lineRule="auto"/>
        <w:jc w:val="both"/>
        <w:rPr>
          <w:rFonts w:cs="Arial"/>
          <w:szCs w:val="20"/>
        </w:rPr>
      </w:pPr>
    </w:p>
    <w:p w14:paraId="1D6E8BEA" w14:textId="5B8808D8" w:rsidR="00191170" w:rsidRPr="00191170" w:rsidRDefault="00191170" w:rsidP="003C08F2">
      <w:pPr>
        <w:spacing w:line="240" w:lineRule="auto"/>
        <w:jc w:val="both"/>
        <w:rPr>
          <w:rFonts w:cs="Arial"/>
          <w:szCs w:val="20"/>
        </w:rPr>
      </w:pPr>
      <w:r w:rsidRPr="00191170">
        <w:rPr>
          <w:rFonts w:cs="Arial"/>
          <w:szCs w:val="20"/>
        </w:rPr>
        <w:t xml:space="preserve">Na podlagi ZPSPID je Kapitalska družba 13. 7. 1999 izdala pokojninske bone. V postopku je bilo izdanih skupno 143.690.043 pokojninskih bonov, in sicer 72.131.869 iz naslova zamenjave uslužbenskih certifikatov, iz naslova uresničitve pravice do izbire delnic pooblaščenih investicijskih družb pa 71.558.167. S pokojninskimi boni so imetniki lahko prosto razpolagali (od 1. 10. 1999 do 31. 12. 2002 se je z njimi trgovalo na prostem trgu </w:t>
      </w:r>
      <w:r w:rsidR="007D3436">
        <w:rPr>
          <w:rFonts w:cs="Arial"/>
          <w:szCs w:val="20"/>
        </w:rPr>
        <w:t>b</w:t>
      </w:r>
      <w:r w:rsidRPr="00191170">
        <w:rPr>
          <w:rFonts w:cs="Arial"/>
          <w:szCs w:val="20"/>
        </w:rPr>
        <w:t xml:space="preserve">orze) ali uresničili pravico do zamenjave za zavarovalno polico dodatnega pokojninskega zavarovanja PPS. Vsak posameznik je lahko za polico zamenjal </w:t>
      </w:r>
      <w:r w:rsidR="007D3436">
        <w:rPr>
          <w:rFonts w:cs="Arial"/>
          <w:szCs w:val="20"/>
        </w:rPr>
        <w:t>največ</w:t>
      </w:r>
      <w:r w:rsidRPr="00191170">
        <w:rPr>
          <w:rFonts w:cs="Arial"/>
          <w:szCs w:val="20"/>
        </w:rPr>
        <w:t xml:space="preserve"> 10.000 pokojninskih bonov.</w:t>
      </w:r>
    </w:p>
    <w:p w14:paraId="31E1BE17" w14:textId="77777777" w:rsidR="003C08F2" w:rsidRDefault="003C08F2" w:rsidP="003C08F2">
      <w:pPr>
        <w:spacing w:line="240" w:lineRule="auto"/>
        <w:jc w:val="both"/>
        <w:rPr>
          <w:rFonts w:cs="Arial"/>
          <w:szCs w:val="20"/>
        </w:rPr>
      </w:pPr>
    </w:p>
    <w:p w14:paraId="34FA64C1" w14:textId="0CC82867" w:rsidR="00191170" w:rsidRPr="00191170" w:rsidRDefault="00191170" w:rsidP="003C08F2">
      <w:pPr>
        <w:spacing w:line="240" w:lineRule="auto"/>
        <w:jc w:val="both"/>
        <w:rPr>
          <w:rFonts w:cs="Arial"/>
          <w:szCs w:val="20"/>
        </w:rPr>
      </w:pPr>
      <w:r w:rsidRPr="00191170">
        <w:rPr>
          <w:rFonts w:cs="Arial"/>
          <w:szCs w:val="20"/>
        </w:rPr>
        <w:t>Od 1. 1. 2003 je PPS zaprt</w:t>
      </w:r>
      <w:r w:rsidR="007D3436">
        <w:rPr>
          <w:rFonts w:cs="Arial"/>
          <w:szCs w:val="20"/>
        </w:rPr>
        <w:t>i</w:t>
      </w:r>
      <w:r w:rsidRPr="00191170">
        <w:rPr>
          <w:rFonts w:cs="Arial"/>
          <w:szCs w:val="20"/>
        </w:rPr>
        <w:t xml:space="preserve"> vzajemni pokojninski sklad, </w:t>
      </w:r>
      <w:r w:rsidR="003C08F2">
        <w:rPr>
          <w:rFonts w:cs="Arial"/>
          <w:szCs w:val="20"/>
        </w:rPr>
        <w:t xml:space="preserve">v katerega </w:t>
      </w:r>
      <w:r w:rsidRPr="00191170">
        <w:rPr>
          <w:rFonts w:cs="Arial"/>
          <w:szCs w:val="20"/>
        </w:rPr>
        <w:t>dodatna vplačila niso možna.</w:t>
      </w:r>
    </w:p>
    <w:p w14:paraId="512689B9" w14:textId="77777777" w:rsidR="005A497D" w:rsidRDefault="005A497D" w:rsidP="003C08F2">
      <w:pPr>
        <w:spacing w:line="240" w:lineRule="auto"/>
        <w:jc w:val="both"/>
        <w:rPr>
          <w:rFonts w:cs="Arial"/>
          <w:szCs w:val="20"/>
        </w:rPr>
      </w:pPr>
    </w:p>
    <w:p w14:paraId="04F8044D" w14:textId="13C556F4" w:rsidR="00191170" w:rsidRPr="00191170" w:rsidRDefault="005A497D" w:rsidP="003C08F2">
      <w:pPr>
        <w:spacing w:line="240" w:lineRule="auto"/>
        <w:jc w:val="both"/>
        <w:rPr>
          <w:rFonts w:cs="Arial"/>
          <w:szCs w:val="20"/>
        </w:rPr>
      </w:pPr>
      <w:r>
        <w:rPr>
          <w:rFonts w:cs="Arial"/>
          <w:szCs w:val="20"/>
        </w:rPr>
        <w:t xml:space="preserve">PPS </w:t>
      </w:r>
      <w:r w:rsidR="00191170" w:rsidRPr="00191170">
        <w:rPr>
          <w:rFonts w:cs="Arial"/>
          <w:szCs w:val="20"/>
        </w:rPr>
        <w:t>je sestavljen iz dveh delov, varčevalnega in kritnega dela. V varčevalnem delu so sredstva vseh varčevalcev, ki še niso dopolnili 60 let in še niso upravičeni do izplačila rente. V kritnem skladu</w:t>
      </w:r>
      <w:r>
        <w:rPr>
          <w:rFonts w:cs="Arial"/>
          <w:szCs w:val="20"/>
        </w:rPr>
        <w:t xml:space="preserve"> </w:t>
      </w:r>
      <w:r w:rsidR="00191170" w:rsidRPr="00191170">
        <w:rPr>
          <w:rFonts w:cs="Arial"/>
          <w:szCs w:val="20"/>
        </w:rPr>
        <w:t>so sredstva varčevalcev, k</w:t>
      </w:r>
      <w:r w:rsidR="007D3436">
        <w:rPr>
          <w:rFonts w:cs="Arial"/>
          <w:szCs w:val="20"/>
        </w:rPr>
        <w:t xml:space="preserve">i </w:t>
      </w:r>
      <w:r w:rsidR="00191170" w:rsidRPr="00191170">
        <w:rPr>
          <w:rFonts w:cs="Arial"/>
          <w:szCs w:val="20"/>
        </w:rPr>
        <w:t>se </w:t>
      </w:r>
      <w:r w:rsidR="007D3436">
        <w:rPr>
          <w:rFonts w:cs="Arial"/>
          <w:szCs w:val="20"/>
        </w:rPr>
        <w:t xml:space="preserve">jim </w:t>
      </w:r>
      <w:r w:rsidR="00191170" w:rsidRPr="00191170">
        <w:rPr>
          <w:rFonts w:cs="Arial"/>
          <w:szCs w:val="20"/>
        </w:rPr>
        <w:t xml:space="preserve">izplačuje </w:t>
      </w:r>
      <w:r>
        <w:rPr>
          <w:rFonts w:cs="Arial"/>
          <w:szCs w:val="20"/>
        </w:rPr>
        <w:t>pokojninsk</w:t>
      </w:r>
      <w:r w:rsidR="007D3436">
        <w:rPr>
          <w:rFonts w:cs="Arial"/>
          <w:szCs w:val="20"/>
        </w:rPr>
        <w:t>a</w:t>
      </w:r>
      <w:r>
        <w:rPr>
          <w:rFonts w:cs="Arial"/>
          <w:szCs w:val="20"/>
        </w:rPr>
        <w:t xml:space="preserve"> </w:t>
      </w:r>
      <w:r w:rsidR="00191170" w:rsidRPr="00191170">
        <w:rPr>
          <w:rFonts w:cs="Arial"/>
          <w:szCs w:val="20"/>
        </w:rPr>
        <w:t>rent</w:t>
      </w:r>
      <w:r w:rsidR="007D3436">
        <w:rPr>
          <w:rFonts w:cs="Arial"/>
          <w:szCs w:val="20"/>
        </w:rPr>
        <w:t>a</w:t>
      </w:r>
      <w:r w:rsidR="00191170" w:rsidRPr="00191170">
        <w:rPr>
          <w:rFonts w:cs="Arial"/>
          <w:szCs w:val="20"/>
        </w:rPr>
        <w:t xml:space="preserve">. Kritni sklad PPS je bil oblikovan 13. 7. 2004 in je namenjen izključno kritju obveznosti iz naslova izplačil pokojninskih rent. </w:t>
      </w:r>
    </w:p>
    <w:p w14:paraId="64FF275B" w14:textId="77777777" w:rsidR="005A497D" w:rsidRDefault="005A497D" w:rsidP="003C08F2">
      <w:pPr>
        <w:spacing w:line="240" w:lineRule="auto"/>
        <w:jc w:val="both"/>
        <w:rPr>
          <w:rFonts w:cs="Arial"/>
          <w:szCs w:val="20"/>
        </w:rPr>
      </w:pPr>
    </w:p>
    <w:p w14:paraId="39C9BCB0" w14:textId="6B80370F" w:rsidR="00191170" w:rsidRPr="00191170" w:rsidRDefault="00191170" w:rsidP="003C08F2">
      <w:pPr>
        <w:spacing w:line="240" w:lineRule="auto"/>
        <w:jc w:val="both"/>
        <w:rPr>
          <w:rFonts w:cs="Arial"/>
          <w:szCs w:val="20"/>
        </w:rPr>
      </w:pPr>
      <w:r w:rsidRPr="00191170">
        <w:rPr>
          <w:rFonts w:cs="Arial"/>
          <w:szCs w:val="20"/>
        </w:rPr>
        <w:t xml:space="preserve">PPS se </w:t>
      </w:r>
      <w:r w:rsidR="005A497D">
        <w:rPr>
          <w:rFonts w:cs="Arial"/>
          <w:szCs w:val="20"/>
        </w:rPr>
        <w:t>upravlja</w:t>
      </w:r>
      <w:r w:rsidRPr="00191170">
        <w:rPr>
          <w:rFonts w:cs="Arial"/>
          <w:szCs w:val="20"/>
        </w:rPr>
        <w:t xml:space="preserve"> na podlagi določb ZPSPID, Zakona o preoblikovanju Kapitalske družbe pokojninskega in invalidskega zavarovanja ter o naložbeni politiki Kapitalske družbe pokojninskega in invalidskega zavarovanja in Slovenske odškodninske družbe (</w:t>
      </w:r>
      <w:r w:rsidR="005A497D" w:rsidRPr="005A497D">
        <w:rPr>
          <w:rFonts w:cs="Arial"/>
          <w:szCs w:val="20"/>
        </w:rPr>
        <w:t>Uradni list RS, št. 79/10, 26/11 in 105/12 – ZSDH</w:t>
      </w:r>
      <w:r w:rsidR="005A497D">
        <w:rPr>
          <w:rFonts w:cs="Arial"/>
          <w:szCs w:val="20"/>
        </w:rPr>
        <w:t xml:space="preserve">; v nadaljnjem besedilu: </w:t>
      </w:r>
      <w:r w:rsidRPr="00191170">
        <w:rPr>
          <w:rFonts w:cs="Arial"/>
          <w:szCs w:val="20"/>
        </w:rPr>
        <w:t>ZPKDPIZ), Zakona o pokojninskem in invalidskem zavarovanju (</w:t>
      </w:r>
      <w:r w:rsidR="005A497D" w:rsidRPr="005A497D">
        <w:rPr>
          <w:rFonts w:cs="Arial"/>
          <w:szCs w:val="20"/>
        </w:rPr>
        <w:t xml:space="preserve">Uradni list RS, št. 48/22 – uradno prečiščeno besedilo, 40/23 – ZČmIS-1, 78/23 – ZORR, 84/23 – ZDOsk-1, 125/23 – </w:t>
      </w:r>
      <w:proofErr w:type="spellStart"/>
      <w:r w:rsidR="005A497D" w:rsidRPr="005A497D">
        <w:rPr>
          <w:rFonts w:cs="Arial"/>
          <w:szCs w:val="20"/>
        </w:rPr>
        <w:t>odl</w:t>
      </w:r>
      <w:proofErr w:type="spellEnd"/>
      <w:r w:rsidR="005A497D" w:rsidRPr="005A497D">
        <w:rPr>
          <w:rFonts w:cs="Arial"/>
          <w:szCs w:val="20"/>
        </w:rPr>
        <w:t>. US in 133/23</w:t>
      </w:r>
      <w:r w:rsidR="005A497D">
        <w:rPr>
          <w:rFonts w:cs="Arial"/>
          <w:szCs w:val="20"/>
        </w:rPr>
        <w:t xml:space="preserve">; v nadaljnjem besedilu: </w:t>
      </w:r>
      <w:r w:rsidRPr="00191170">
        <w:rPr>
          <w:rFonts w:cs="Arial"/>
          <w:szCs w:val="20"/>
        </w:rPr>
        <w:t>ZPIZ-2) in Zakona o zavarovalništvu (</w:t>
      </w:r>
      <w:r w:rsidR="00DB7AF8" w:rsidRPr="00DB7AF8">
        <w:rPr>
          <w:rFonts w:cs="Arial"/>
          <w:szCs w:val="20"/>
        </w:rPr>
        <w:t xml:space="preserve">Uradni list RS, št. 93/15, 9/19, 102/20, 48/23, 78/23 – ZZVZZ-T in 84/24 – </w:t>
      </w:r>
      <w:proofErr w:type="spellStart"/>
      <w:r w:rsidR="00DB7AF8" w:rsidRPr="00DB7AF8">
        <w:rPr>
          <w:rFonts w:cs="Arial"/>
          <w:szCs w:val="20"/>
        </w:rPr>
        <w:t>odl</w:t>
      </w:r>
      <w:proofErr w:type="spellEnd"/>
      <w:r w:rsidR="00DB7AF8" w:rsidRPr="00DB7AF8">
        <w:rPr>
          <w:rFonts w:cs="Arial"/>
          <w:szCs w:val="20"/>
        </w:rPr>
        <w:t>. US</w:t>
      </w:r>
      <w:r w:rsidR="00DB7AF8">
        <w:rPr>
          <w:rFonts w:cs="Arial"/>
          <w:szCs w:val="20"/>
        </w:rPr>
        <w:t>; v nadaljnjem besedilu:</w:t>
      </w:r>
      <w:r w:rsidR="00DB7AF8" w:rsidRPr="00DB7AF8">
        <w:rPr>
          <w:rFonts w:cs="Arial"/>
          <w:szCs w:val="20"/>
        </w:rPr>
        <w:t xml:space="preserve"> </w:t>
      </w:r>
      <w:r w:rsidRPr="00191170">
        <w:rPr>
          <w:rFonts w:cs="Arial"/>
          <w:szCs w:val="20"/>
        </w:rPr>
        <w:t xml:space="preserve">ZZavar-1). </w:t>
      </w:r>
    </w:p>
    <w:p w14:paraId="49842AB1" w14:textId="77777777" w:rsidR="00DB7AF8" w:rsidRDefault="00DB7AF8" w:rsidP="003C08F2">
      <w:pPr>
        <w:spacing w:line="240" w:lineRule="auto"/>
        <w:jc w:val="both"/>
        <w:rPr>
          <w:rFonts w:cs="Arial"/>
          <w:szCs w:val="20"/>
        </w:rPr>
      </w:pPr>
    </w:p>
    <w:p w14:paraId="0B58870E" w14:textId="14A59932" w:rsidR="00191170" w:rsidRPr="00191170" w:rsidRDefault="00191170" w:rsidP="003C08F2">
      <w:pPr>
        <w:spacing w:line="240" w:lineRule="auto"/>
        <w:jc w:val="both"/>
        <w:rPr>
          <w:rFonts w:cs="Arial"/>
          <w:szCs w:val="20"/>
        </w:rPr>
      </w:pPr>
      <w:r w:rsidRPr="00191170">
        <w:rPr>
          <w:rFonts w:cs="Arial"/>
          <w:szCs w:val="20"/>
        </w:rPr>
        <w:t>Polica dodatnega pokojninskega zavarovanja PPS je zavarovalna polica, pri kateri član prevzema naložbeno tveganje nad 1-odstotnim zajamčenim donosom, za katerega jamči Modra zavarovalnica, d.</w:t>
      </w:r>
      <w:r w:rsidR="007D3436">
        <w:rPr>
          <w:rFonts w:cs="Arial"/>
          <w:szCs w:val="20"/>
        </w:rPr>
        <w:t> </w:t>
      </w:r>
      <w:r w:rsidRPr="00191170">
        <w:rPr>
          <w:rFonts w:cs="Arial"/>
          <w:szCs w:val="20"/>
        </w:rPr>
        <w:t xml:space="preserve">d. Zavarovalna polica ni prenosljiva in je ni mogoče zastaviti. Član nima pravice zahtevati izplačila odkupne vrednosti police. </w:t>
      </w:r>
    </w:p>
    <w:p w14:paraId="419FF71A" w14:textId="77777777" w:rsidR="00BD042F" w:rsidRDefault="00BD042F" w:rsidP="003C08F2">
      <w:pPr>
        <w:spacing w:line="240" w:lineRule="auto"/>
        <w:jc w:val="both"/>
        <w:rPr>
          <w:rFonts w:cs="Arial"/>
          <w:szCs w:val="20"/>
        </w:rPr>
      </w:pPr>
    </w:p>
    <w:p w14:paraId="5E41D2C4" w14:textId="5F103125" w:rsidR="00191170" w:rsidRPr="00191170" w:rsidRDefault="00191170" w:rsidP="003C08F2">
      <w:pPr>
        <w:spacing w:line="240" w:lineRule="auto"/>
        <w:jc w:val="both"/>
        <w:rPr>
          <w:rFonts w:cs="Arial"/>
          <w:szCs w:val="20"/>
          <w:u w:val="single"/>
        </w:rPr>
      </w:pPr>
      <w:r w:rsidRPr="00191170">
        <w:rPr>
          <w:rFonts w:cs="Arial"/>
          <w:szCs w:val="20"/>
          <w:u w:val="single"/>
        </w:rPr>
        <w:t xml:space="preserve">Vrednost enote premoženja </w:t>
      </w:r>
    </w:p>
    <w:p w14:paraId="5A427C3F" w14:textId="77777777" w:rsidR="00BF44AA" w:rsidRDefault="00BF44AA" w:rsidP="003C08F2">
      <w:pPr>
        <w:spacing w:line="240" w:lineRule="auto"/>
        <w:jc w:val="both"/>
        <w:rPr>
          <w:rFonts w:cs="Arial"/>
          <w:szCs w:val="20"/>
        </w:rPr>
      </w:pPr>
    </w:p>
    <w:p w14:paraId="1E3F8943" w14:textId="2F8FF1F7" w:rsidR="00191170" w:rsidRPr="00191170" w:rsidRDefault="00191170" w:rsidP="003C08F2">
      <w:pPr>
        <w:spacing w:line="240" w:lineRule="auto"/>
        <w:jc w:val="both"/>
        <w:rPr>
          <w:rFonts w:cs="Arial"/>
          <w:szCs w:val="20"/>
        </w:rPr>
      </w:pPr>
      <w:r w:rsidRPr="00191170">
        <w:rPr>
          <w:rFonts w:cs="Arial"/>
          <w:szCs w:val="20"/>
        </w:rPr>
        <w:t>Začetna vrednost enote premoženja</w:t>
      </w:r>
      <w:r w:rsidR="00BF44AA">
        <w:rPr>
          <w:rFonts w:cs="Arial"/>
          <w:szCs w:val="20"/>
        </w:rPr>
        <w:t xml:space="preserve"> (v nadaljnjem besedilu: VEP)</w:t>
      </w:r>
      <w:r w:rsidRPr="00191170">
        <w:rPr>
          <w:rFonts w:cs="Arial"/>
          <w:szCs w:val="20"/>
        </w:rPr>
        <w:t xml:space="preserve"> je bila določena tako, da se je nominalna vrednost enega certifikata (100 SIT) valorizirala z indeksom drobnoprodajnih cen od 1.</w:t>
      </w:r>
      <w:r w:rsidR="004D22B8">
        <w:rPr>
          <w:rFonts w:cs="Arial"/>
          <w:szCs w:val="20"/>
        </w:rPr>
        <w:t> </w:t>
      </w:r>
      <w:r w:rsidRPr="00191170">
        <w:rPr>
          <w:rFonts w:cs="Arial"/>
          <w:szCs w:val="20"/>
        </w:rPr>
        <w:t>1.</w:t>
      </w:r>
      <w:r w:rsidR="004D22B8">
        <w:rPr>
          <w:rFonts w:cs="Arial"/>
          <w:szCs w:val="20"/>
        </w:rPr>
        <w:t> </w:t>
      </w:r>
      <w:r w:rsidRPr="00191170">
        <w:rPr>
          <w:rFonts w:cs="Arial"/>
          <w:szCs w:val="20"/>
        </w:rPr>
        <w:t>1993 do 13.</w:t>
      </w:r>
      <w:r w:rsidR="004D22B8">
        <w:rPr>
          <w:rFonts w:cs="Arial"/>
          <w:szCs w:val="20"/>
        </w:rPr>
        <w:t> </w:t>
      </w:r>
      <w:r w:rsidRPr="00191170">
        <w:rPr>
          <w:rFonts w:cs="Arial"/>
          <w:szCs w:val="20"/>
        </w:rPr>
        <w:t>7.</w:t>
      </w:r>
      <w:r w:rsidR="004D22B8">
        <w:rPr>
          <w:rFonts w:cs="Arial"/>
          <w:szCs w:val="20"/>
        </w:rPr>
        <w:t> </w:t>
      </w:r>
      <w:r w:rsidRPr="00191170">
        <w:rPr>
          <w:rFonts w:cs="Arial"/>
          <w:szCs w:val="20"/>
        </w:rPr>
        <w:t>1999 s koeficientom valorizacije 2,082349, kar pomeni, da je valorizirana vrednost enega certifikata znašala 208,2349 SIT. Ko se je certifikat zamenjal za pokojninski bon, je država odobrila še 20</w:t>
      </w:r>
      <w:r w:rsidR="004D22B8">
        <w:rPr>
          <w:rFonts w:cs="Arial"/>
          <w:szCs w:val="20"/>
        </w:rPr>
        <w:t>-odstotno</w:t>
      </w:r>
      <w:r w:rsidRPr="00191170">
        <w:rPr>
          <w:rFonts w:cs="Arial"/>
          <w:szCs w:val="20"/>
        </w:rPr>
        <w:t xml:space="preserve"> davčno olajšavo. </w:t>
      </w:r>
      <w:r w:rsidR="004D22B8">
        <w:rPr>
          <w:rFonts w:cs="Arial"/>
          <w:szCs w:val="20"/>
        </w:rPr>
        <w:t>Tako</w:t>
      </w:r>
      <w:r w:rsidRPr="00191170">
        <w:rPr>
          <w:rFonts w:cs="Arial"/>
          <w:szCs w:val="20"/>
        </w:rPr>
        <w:t xml:space="preserve"> izračunana osnova v znesku 249,88 SIT (1,0427 </w:t>
      </w:r>
      <w:r w:rsidR="00CA18E1">
        <w:rPr>
          <w:rFonts w:cs="Arial"/>
          <w:szCs w:val="20"/>
        </w:rPr>
        <w:t>evra</w:t>
      </w:r>
      <w:r w:rsidRPr="00191170">
        <w:rPr>
          <w:rFonts w:cs="Arial"/>
          <w:szCs w:val="20"/>
        </w:rPr>
        <w:t>) se od 13. 7. 1999 povečuje nominalno 1 % letno in se obračunava na konformni način.</w:t>
      </w:r>
    </w:p>
    <w:p w14:paraId="45B576D4" w14:textId="77777777" w:rsidR="00E77E25" w:rsidRDefault="00E77E25" w:rsidP="003C08F2">
      <w:pPr>
        <w:spacing w:line="240" w:lineRule="auto"/>
        <w:jc w:val="both"/>
        <w:rPr>
          <w:rFonts w:cs="Arial"/>
          <w:szCs w:val="20"/>
          <w:u w:val="single"/>
        </w:rPr>
      </w:pPr>
    </w:p>
    <w:p w14:paraId="367AE470" w14:textId="08DDF2BA" w:rsidR="00191170" w:rsidRPr="00191170" w:rsidRDefault="00191170" w:rsidP="003C08F2">
      <w:pPr>
        <w:spacing w:line="240" w:lineRule="auto"/>
        <w:jc w:val="both"/>
        <w:rPr>
          <w:rFonts w:cs="Arial"/>
          <w:szCs w:val="20"/>
          <w:u w:val="single"/>
        </w:rPr>
      </w:pPr>
      <w:r w:rsidRPr="00191170">
        <w:rPr>
          <w:rFonts w:cs="Arial"/>
          <w:szCs w:val="20"/>
          <w:u w:val="single"/>
        </w:rPr>
        <w:t>Sredstva v upravljanju</w:t>
      </w:r>
    </w:p>
    <w:p w14:paraId="4854DCBD" w14:textId="77777777" w:rsidR="00BF44AA" w:rsidRDefault="00BF44AA" w:rsidP="003C08F2">
      <w:pPr>
        <w:spacing w:line="240" w:lineRule="auto"/>
        <w:jc w:val="both"/>
        <w:rPr>
          <w:rFonts w:cs="Arial"/>
          <w:szCs w:val="20"/>
        </w:rPr>
      </w:pPr>
    </w:p>
    <w:p w14:paraId="239A63A6" w14:textId="4A87282F" w:rsidR="00191170" w:rsidRPr="00191170" w:rsidRDefault="007258CC" w:rsidP="003C08F2">
      <w:pPr>
        <w:spacing w:line="240" w:lineRule="auto"/>
        <w:jc w:val="both"/>
        <w:rPr>
          <w:rFonts w:cs="Arial"/>
          <w:szCs w:val="20"/>
        </w:rPr>
      </w:pPr>
      <w:r>
        <w:rPr>
          <w:rFonts w:cs="Arial"/>
          <w:szCs w:val="20"/>
        </w:rPr>
        <w:t>Č</w:t>
      </w:r>
      <w:r w:rsidR="00191170" w:rsidRPr="00191170">
        <w:rPr>
          <w:rFonts w:cs="Arial"/>
          <w:szCs w:val="20"/>
        </w:rPr>
        <w:t>ista vrednost sredstev</w:t>
      </w:r>
      <w:r w:rsidR="007B4566">
        <w:rPr>
          <w:rFonts w:cs="Arial"/>
          <w:szCs w:val="20"/>
        </w:rPr>
        <w:t>, ki pripadajo policam dodatnega pokojninskega zavarovanja PPS,</w:t>
      </w:r>
      <w:r w:rsidR="00191170" w:rsidRPr="00191170">
        <w:rPr>
          <w:rFonts w:cs="Arial"/>
          <w:szCs w:val="20"/>
        </w:rPr>
        <w:t xml:space="preserve"> je konec februarja 2025 dosegla 10,7 milijona evrov in je bila za 3,2 milijona evrov nižja od zajamčene vrednosti sredstev, ki je znašala 13,9 milijona evrov. Rezervacije zaradi nedoseganja zajamčene donosnosti sklada so bile večinoma oblikovane v letih 2013 in 2014 zaradi oslabitve naložbe v družbo Cimos, d.</w:t>
      </w:r>
      <w:r w:rsidR="004D22B8">
        <w:rPr>
          <w:rFonts w:cs="Arial"/>
          <w:szCs w:val="20"/>
        </w:rPr>
        <w:t> </w:t>
      </w:r>
      <w:r w:rsidR="00191170" w:rsidRPr="00191170">
        <w:rPr>
          <w:rFonts w:cs="Arial"/>
          <w:szCs w:val="20"/>
        </w:rPr>
        <w:t>d.</w:t>
      </w:r>
    </w:p>
    <w:p w14:paraId="18154BF6" w14:textId="77777777" w:rsidR="007258CC" w:rsidRDefault="007258CC" w:rsidP="003C08F2">
      <w:pPr>
        <w:spacing w:line="240" w:lineRule="auto"/>
        <w:jc w:val="both"/>
        <w:rPr>
          <w:rFonts w:cs="Arial"/>
          <w:szCs w:val="20"/>
        </w:rPr>
      </w:pPr>
    </w:p>
    <w:p w14:paraId="74ED8B4D" w14:textId="04CF1996" w:rsidR="00191170" w:rsidRPr="00191170" w:rsidRDefault="00191170" w:rsidP="003C08F2">
      <w:pPr>
        <w:spacing w:line="240" w:lineRule="auto"/>
        <w:jc w:val="both"/>
        <w:rPr>
          <w:rFonts w:cs="Arial"/>
          <w:szCs w:val="20"/>
        </w:rPr>
      </w:pPr>
      <w:r w:rsidRPr="00191170">
        <w:rPr>
          <w:rFonts w:cs="Arial"/>
          <w:szCs w:val="20"/>
        </w:rPr>
        <w:t>Število članov in obseg sredstev v skladu PPS se zmanjšujeta zaradi rednih prenehanj (uveljavitev pravice do pokojninske rente) in izrednih prenehanj (smrt članov pred pridobitvijo pokojninske rente).</w:t>
      </w:r>
    </w:p>
    <w:p w14:paraId="58060B6C" w14:textId="77777777" w:rsidR="00191170" w:rsidRPr="00191170" w:rsidRDefault="00191170" w:rsidP="003C08F2">
      <w:pPr>
        <w:spacing w:line="240" w:lineRule="auto"/>
        <w:jc w:val="both"/>
        <w:rPr>
          <w:rFonts w:cs="Arial"/>
          <w:szCs w:val="20"/>
        </w:rPr>
      </w:pPr>
    </w:p>
    <w:p w14:paraId="7AF11136" w14:textId="086CAFC1" w:rsidR="00191170" w:rsidRDefault="00191170" w:rsidP="003C08F2">
      <w:pPr>
        <w:spacing w:line="240" w:lineRule="auto"/>
        <w:jc w:val="both"/>
        <w:rPr>
          <w:rFonts w:cs="Arial"/>
          <w:sz w:val="18"/>
          <w:szCs w:val="18"/>
        </w:rPr>
      </w:pPr>
      <w:r w:rsidRPr="00191170">
        <w:rPr>
          <w:rFonts w:cs="Arial"/>
          <w:b/>
          <w:bCs/>
          <w:sz w:val="18"/>
          <w:szCs w:val="18"/>
        </w:rPr>
        <w:t>Slika 1</w:t>
      </w:r>
      <w:r w:rsidRPr="00191170">
        <w:rPr>
          <w:rFonts w:cs="Arial"/>
          <w:sz w:val="18"/>
          <w:szCs w:val="18"/>
        </w:rPr>
        <w:t>: Število članov PPS v obdobju 2004</w:t>
      </w:r>
      <w:r w:rsidR="00931C27">
        <w:rPr>
          <w:rFonts w:cs="Arial"/>
          <w:sz w:val="18"/>
          <w:szCs w:val="18"/>
        </w:rPr>
        <w:t>–</w:t>
      </w:r>
      <w:r w:rsidRPr="00191170">
        <w:rPr>
          <w:rFonts w:cs="Arial"/>
          <w:sz w:val="18"/>
          <w:szCs w:val="18"/>
        </w:rPr>
        <w:t>2024</w:t>
      </w:r>
    </w:p>
    <w:p w14:paraId="0B77EA29" w14:textId="77777777" w:rsidR="00931C27" w:rsidRPr="00191170" w:rsidRDefault="00931C27" w:rsidP="003C08F2">
      <w:pPr>
        <w:spacing w:line="240" w:lineRule="auto"/>
        <w:jc w:val="both"/>
        <w:rPr>
          <w:rFonts w:cs="Arial"/>
          <w:sz w:val="18"/>
          <w:szCs w:val="18"/>
        </w:rPr>
      </w:pPr>
    </w:p>
    <w:p w14:paraId="0D2E42CD" w14:textId="77777777" w:rsidR="00191170" w:rsidRPr="00191170" w:rsidRDefault="00191170" w:rsidP="007258CC">
      <w:pPr>
        <w:spacing w:line="240" w:lineRule="auto"/>
        <w:jc w:val="center"/>
        <w:rPr>
          <w:rFonts w:cs="Arial"/>
          <w:szCs w:val="20"/>
        </w:rPr>
      </w:pPr>
      <w:r w:rsidRPr="00191170">
        <w:rPr>
          <w:rFonts w:cs="Arial"/>
          <w:noProof/>
          <w:szCs w:val="20"/>
          <w:lang w:eastAsia="sl-SI"/>
        </w:rPr>
        <w:drawing>
          <wp:inline distT="0" distB="0" distL="0" distR="0" wp14:anchorId="3BB8EB60" wp14:editId="0FBFBA9B">
            <wp:extent cx="4370522" cy="2394489"/>
            <wp:effectExtent l="0" t="0" r="0" b="6350"/>
            <wp:docPr id="2113573590" name="Grafikon 1">
              <a:extLst xmlns:a="http://schemas.openxmlformats.org/drawingml/2006/main">
                <a:ext uri="{FF2B5EF4-FFF2-40B4-BE49-F238E27FC236}">
                  <a16:creationId xmlns:a16="http://schemas.microsoft.com/office/drawing/2014/main" id="{FB165590-E9CA-4C14-B9BF-F388352F71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AAADD0" w14:textId="77777777" w:rsidR="007258CC" w:rsidRDefault="007258CC" w:rsidP="003C08F2">
      <w:pPr>
        <w:spacing w:line="240" w:lineRule="auto"/>
        <w:jc w:val="both"/>
        <w:rPr>
          <w:rFonts w:cs="Arial"/>
          <w:szCs w:val="20"/>
        </w:rPr>
      </w:pPr>
    </w:p>
    <w:p w14:paraId="42C56174" w14:textId="28A38825" w:rsidR="00191170" w:rsidRPr="00191170" w:rsidRDefault="007258CC" w:rsidP="007258CC">
      <w:pPr>
        <w:spacing w:line="240" w:lineRule="auto"/>
        <w:jc w:val="center"/>
        <w:rPr>
          <w:rFonts w:cs="Arial"/>
          <w:sz w:val="18"/>
          <w:szCs w:val="18"/>
        </w:rPr>
      </w:pPr>
      <w:r w:rsidRPr="007258CC">
        <w:rPr>
          <w:rFonts w:cs="Arial"/>
          <w:sz w:val="18"/>
          <w:szCs w:val="18"/>
        </w:rPr>
        <w:t>Vir: Modra zavarovalnica</w:t>
      </w:r>
    </w:p>
    <w:p w14:paraId="293874B6" w14:textId="77777777" w:rsidR="00191170" w:rsidRPr="00191170" w:rsidRDefault="00191170" w:rsidP="003C08F2">
      <w:pPr>
        <w:spacing w:line="240" w:lineRule="auto"/>
        <w:jc w:val="both"/>
        <w:rPr>
          <w:rFonts w:cs="Arial"/>
          <w:szCs w:val="20"/>
        </w:rPr>
      </w:pPr>
    </w:p>
    <w:p w14:paraId="0114452F" w14:textId="135BD169" w:rsidR="00191170" w:rsidRPr="00191170" w:rsidRDefault="00191170" w:rsidP="003C08F2">
      <w:pPr>
        <w:spacing w:line="240" w:lineRule="auto"/>
        <w:jc w:val="both"/>
        <w:rPr>
          <w:rFonts w:cs="Arial"/>
          <w:sz w:val="18"/>
          <w:szCs w:val="18"/>
        </w:rPr>
      </w:pPr>
      <w:r w:rsidRPr="00191170">
        <w:rPr>
          <w:rFonts w:cs="Arial"/>
          <w:b/>
          <w:bCs/>
          <w:sz w:val="18"/>
          <w:szCs w:val="18"/>
        </w:rPr>
        <w:t>Slika 2</w:t>
      </w:r>
      <w:r w:rsidRPr="00191170">
        <w:rPr>
          <w:rFonts w:cs="Arial"/>
          <w:sz w:val="18"/>
          <w:szCs w:val="18"/>
        </w:rPr>
        <w:t>: Vrednost sredstev</w:t>
      </w:r>
      <w:r w:rsidR="007B4566" w:rsidRPr="007B4566">
        <w:rPr>
          <w:rFonts w:cs="Arial"/>
          <w:sz w:val="18"/>
          <w:szCs w:val="18"/>
        </w:rPr>
        <w:t>, ki pripada policam dodatnega pokojninskega zavarovanja</w:t>
      </w:r>
      <w:r w:rsidRPr="00191170">
        <w:rPr>
          <w:rFonts w:cs="Arial"/>
          <w:sz w:val="18"/>
          <w:szCs w:val="18"/>
        </w:rPr>
        <w:t xml:space="preserve"> PPS</w:t>
      </w:r>
      <w:r w:rsidR="007B4566" w:rsidRPr="007B4566">
        <w:rPr>
          <w:rFonts w:cs="Arial"/>
          <w:sz w:val="18"/>
          <w:szCs w:val="18"/>
        </w:rPr>
        <w:t>,</w:t>
      </w:r>
      <w:r w:rsidRPr="00191170">
        <w:rPr>
          <w:rFonts w:cs="Arial"/>
          <w:sz w:val="18"/>
          <w:szCs w:val="18"/>
        </w:rPr>
        <w:t xml:space="preserve"> v obdobju 2004</w:t>
      </w:r>
      <w:r w:rsidR="004D22B8">
        <w:rPr>
          <w:rFonts w:cs="Arial"/>
          <w:sz w:val="18"/>
          <w:szCs w:val="18"/>
        </w:rPr>
        <w:t>–</w:t>
      </w:r>
      <w:r w:rsidRPr="00191170">
        <w:rPr>
          <w:rFonts w:cs="Arial"/>
          <w:sz w:val="18"/>
          <w:szCs w:val="18"/>
        </w:rPr>
        <w:t xml:space="preserve">2024 (podatek </w:t>
      </w:r>
      <w:r w:rsidR="004D22B8">
        <w:rPr>
          <w:rFonts w:cs="Arial"/>
          <w:sz w:val="18"/>
          <w:szCs w:val="18"/>
        </w:rPr>
        <w:t>z</w:t>
      </w:r>
      <w:r w:rsidRPr="00191170">
        <w:rPr>
          <w:rFonts w:cs="Arial"/>
          <w:sz w:val="18"/>
          <w:szCs w:val="18"/>
        </w:rPr>
        <w:t>a konec leta v EUR)</w:t>
      </w:r>
    </w:p>
    <w:p w14:paraId="01AED4F3" w14:textId="77777777" w:rsidR="00191170" w:rsidRPr="00191170" w:rsidRDefault="00191170" w:rsidP="003C08F2">
      <w:pPr>
        <w:spacing w:line="240" w:lineRule="auto"/>
        <w:jc w:val="both"/>
        <w:rPr>
          <w:rFonts w:cs="Arial"/>
          <w:szCs w:val="20"/>
        </w:rPr>
      </w:pPr>
    </w:p>
    <w:p w14:paraId="2B2C1C96" w14:textId="77777777" w:rsidR="00191170" w:rsidRPr="00191170" w:rsidRDefault="00191170" w:rsidP="003C08F2">
      <w:pPr>
        <w:spacing w:line="240" w:lineRule="auto"/>
        <w:jc w:val="both"/>
        <w:rPr>
          <w:rFonts w:cs="Arial"/>
          <w:szCs w:val="20"/>
        </w:rPr>
      </w:pPr>
    </w:p>
    <w:p w14:paraId="56516F35" w14:textId="77777777" w:rsidR="00191170" w:rsidRPr="00191170" w:rsidRDefault="00191170" w:rsidP="007B4566">
      <w:pPr>
        <w:spacing w:line="240" w:lineRule="auto"/>
        <w:jc w:val="center"/>
        <w:rPr>
          <w:rFonts w:cs="Arial"/>
          <w:szCs w:val="20"/>
        </w:rPr>
      </w:pPr>
      <w:r w:rsidRPr="00191170">
        <w:rPr>
          <w:rFonts w:cs="Arial"/>
          <w:noProof/>
          <w:szCs w:val="20"/>
          <w:lang w:eastAsia="sl-SI"/>
        </w:rPr>
        <w:drawing>
          <wp:inline distT="0" distB="0" distL="0" distR="0" wp14:anchorId="3E81E332" wp14:editId="6AFE846A">
            <wp:extent cx="4207789" cy="2123267"/>
            <wp:effectExtent l="0" t="0" r="2540" b="0"/>
            <wp:docPr id="498140699" name="Grafikon 1">
              <a:extLst xmlns:a="http://schemas.openxmlformats.org/drawingml/2006/main">
                <a:ext uri="{FF2B5EF4-FFF2-40B4-BE49-F238E27FC236}">
                  <a16:creationId xmlns:a16="http://schemas.microsoft.com/office/drawing/2014/main" id="{07145215-08A7-40E8-8A03-E2F8D16235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D24251A" w14:textId="77777777" w:rsidR="00191170" w:rsidRPr="00191170" w:rsidRDefault="00191170" w:rsidP="003C08F2">
      <w:pPr>
        <w:spacing w:line="240" w:lineRule="auto"/>
        <w:jc w:val="both"/>
        <w:rPr>
          <w:rFonts w:cs="Arial"/>
          <w:szCs w:val="20"/>
        </w:rPr>
      </w:pPr>
    </w:p>
    <w:p w14:paraId="3EB01456" w14:textId="4D529A82" w:rsidR="00191170" w:rsidRPr="00191170" w:rsidRDefault="007B4566" w:rsidP="007B4566">
      <w:pPr>
        <w:spacing w:line="240" w:lineRule="auto"/>
        <w:jc w:val="center"/>
        <w:rPr>
          <w:rFonts w:cs="Arial"/>
          <w:sz w:val="18"/>
          <w:szCs w:val="18"/>
        </w:rPr>
      </w:pPr>
      <w:r w:rsidRPr="007B4566">
        <w:rPr>
          <w:rFonts w:cs="Arial"/>
          <w:sz w:val="18"/>
          <w:szCs w:val="18"/>
        </w:rPr>
        <w:t>Vir: Modra zavarovalnica</w:t>
      </w:r>
    </w:p>
    <w:p w14:paraId="57FC5FBD" w14:textId="77777777" w:rsidR="007B4566" w:rsidRDefault="007B4566" w:rsidP="003C08F2">
      <w:pPr>
        <w:spacing w:line="240" w:lineRule="auto"/>
        <w:jc w:val="both"/>
        <w:rPr>
          <w:rFonts w:cs="Arial"/>
          <w:szCs w:val="20"/>
        </w:rPr>
      </w:pPr>
    </w:p>
    <w:p w14:paraId="55C5425F" w14:textId="77777777" w:rsidR="00E77E25" w:rsidRDefault="00E77E25" w:rsidP="003C08F2">
      <w:pPr>
        <w:spacing w:line="240" w:lineRule="auto"/>
        <w:jc w:val="both"/>
        <w:rPr>
          <w:rFonts w:cs="Arial"/>
          <w:b/>
          <w:bCs/>
          <w:sz w:val="18"/>
          <w:szCs w:val="18"/>
        </w:rPr>
      </w:pPr>
    </w:p>
    <w:p w14:paraId="302965DF" w14:textId="77777777" w:rsidR="00E77E25" w:rsidRDefault="00E77E25" w:rsidP="003C08F2">
      <w:pPr>
        <w:spacing w:line="240" w:lineRule="auto"/>
        <w:jc w:val="both"/>
        <w:rPr>
          <w:rFonts w:cs="Arial"/>
          <w:b/>
          <w:bCs/>
          <w:sz w:val="18"/>
          <w:szCs w:val="18"/>
        </w:rPr>
      </w:pPr>
    </w:p>
    <w:p w14:paraId="6E7E5DB2" w14:textId="77777777" w:rsidR="00FC3D17" w:rsidRDefault="00FC3D17" w:rsidP="003C08F2">
      <w:pPr>
        <w:spacing w:line="240" w:lineRule="auto"/>
        <w:jc w:val="both"/>
        <w:rPr>
          <w:rFonts w:cs="Arial"/>
          <w:b/>
          <w:bCs/>
          <w:sz w:val="18"/>
          <w:szCs w:val="18"/>
        </w:rPr>
      </w:pPr>
    </w:p>
    <w:p w14:paraId="47596180" w14:textId="77777777" w:rsidR="00FC3D17" w:rsidRDefault="00FC3D17" w:rsidP="003C08F2">
      <w:pPr>
        <w:spacing w:line="240" w:lineRule="auto"/>
        <w:jc w:val="both"/>
        <w:rPr>
          <w:rFonts w:cs="Arial"/>
          <w:b/>
          <w:bCs/>
          <w:sz w:val="18"/>
          <w:szCs w:val="18"/>
        </w:rPr>
      </w:pPr>
    </w:p>
    <w:p w14:paraId="193B0649" w14:textId="77777777" w:rsidR="00FC3D17" w:rsidRDefault="00FC3D17" w:rsidP="003C08F2">
      <w:pPr>
        <w:spacing w:line="240" w:lineRule="auto"/>
        <w:jc w:val="both"/>
        <w:rPr>
          <w:rFonts w:cs="Arial"/>
          <w:b/>
          <w:bCs/>
          <w:sz w:val="18"/>
          <w:szCs w:val="18"/>
        </w:rPr>
      </w:pPr>
    </w:p>
    <w:p w14:paraId="535922F2" w14:textId="77777777" w:rsidR="00FC3D17" w:rsidRDefault="00FC3D17" w:rsidP="003C08F2">
      <w:pPr>
        <w:spacing w:line="240" w:lineRule="auto"/>
        <w:jc w:val="both"/>
        <w:rPr>
          <w:rFonts w:cs="Arial"/>
          <w:b/>
          <w:bCs/>
          <w:sz w:val="18"/>
          <w:szCs w:val="18"/>
        </w:rPr>
      </w:pPr>
    </w:p>
    <w:p w14:paraId="61DE0A5F" w14:textId="77777777" w:rsidR="00FC3D17" w:rsidRDefault="00FC3D17" w:rsidP="003C08F2">
      <w:pPr>
        <w:spacing w:line="240" w:lineRule="auto"/>
        <w:jc w:val="both"/>
        <w:rPr>
          <w:rFonts w:cs="Arial"/>
          <w:b/>
          <w:bCs/>
          <w:sz w:val="18"/>
          <w:szCs w:val="18"/>
        </w:rPr>
      </w:pPr>
    </w:p>
    <w:p w14:paraId="375CBECB" w14:textId="77777777" w:rsidR="00FC3D17" w:rsidRDefault="00FC3D17" w:rsidP="003C08F2">
      <w:pPr>
        <w:spacing w:line="240" w:lineRule="auto"/>
        <w:jc w:val="both"/>
        <w:rPr>
          <w:rFonts w:cs="Arial"/>
          <w:b/>
          <w:bCs/>
          <w:sz w:val="18"/>
          <w:szCs w:val="18"/>
        </w:rPr>
      </w:pPr>
    </w:p>
    <w:p w14:paraId="18DD0368" w14:textId="77777777" w:rsidR="00FC3D17" w:rsidRDefault="00FC3D17" w:rsidP="003C08F2">
      <w:pPr>
        <w:spacing w:line="240" w:lineRule="auto"/>
        <w:jc w:val="both"/>
        <w:rPr>
          <w:rFonts w:cs="Arial"/>
          <w:b/>
          <w:bCs/>
          <w:sz w:val="18"/>
          <w:szCs w:val="18"/>
        </w:rPr>
      </w:pPr>
    </w:p>
    <w:p w14:paraId="18167171" w14:textId="77777777" w:rsidR="00FC3D17" w:rsidRDefault="00FC3D17" w:rsidP="003C08F2">
      <w:pPr>
        <w:spacing w:line="240" w:lineRule="auto"/>
        <w:jc w:val="both"/>
        <w:rPr>
          <w:rFonts w:cs="Arial"/>
          <w:b/>
          <w:bCs/>
          <w:sz w:val="18"/>
          <w:szCs w:val="18"/>
        </w:rPr>
      </w:pPr>
    </w:p>
    <w:p w14:paraId="247E2568" w14:textId="77777777" w:rsidR="00FC3D17" w:rsidRDefault="00FC3D17" w:rsidP="003C08F2">
      <w:pPr>
        <w:spacing w:line="240" w:lineRule="auto"/>
        <w:jc w:val="both"/>
        <w:rPr>
          <w:rFonts w:cs="Arial"/>
          <w:b/>
          <w:bCs/>
          <w:sz w:val="18"/>
          <w:szCs w:val="18"/>
        </w:rPr>
      </w:pPr>
    </w:p>
    <w:p w14:paraId="0EAB5852" w14:textId="77777777" w:rsidR="00FC3D17" w:rsidRDefault="00FC3D17" w:rsidP="003C08F2">
      <w:pPr>
        <w:spacing w:line="240" w:lineRule="auto"/>
        <w:jc w:val="both"/>
        <w:rPr>
          <w:rFonts w:cs="Arial"/>
          <w:b/>
          <w:bCs/>
          <w:sz w:val="18"/>
          <w:szCs w:val="18"/>
        </w:rPr>
      </w:pPr>
    </w:p>
    <w:p w14:paraId="5356191A" w14:textId="77777777" w:rsidR="00FC3D17" w:rsidRDefault="00FC3D17" w:rsidP="003C08F2">
      <w:pPr>
        <w:spacing w:line="240" w:lineRule="auto"/>
        <w:jc w:val="both"/>
        <w:rPr>
          <w:rFonts w:cs="Arial"/>
          <w:b/>
          <w:bCs/>
          <w:sz w:val="18"/>
          <w:szCs w:val="18"/>
        </w:rPr>
      </w:pPr>
    </w:p>
    <w:p w14:paraId="12C983DE" w14:textId="77777777" w:rsidR="00FC3D17" w:rsidRDefault="00FC3D17" w:rsidP="003C08F2">
      <w:pPr>
        <w:spacing w:line="240" w:lineRule="auto"/>
        <w:jc w:val="both"/>
        <w:rPr>
          <w:rFonts w:cs="Arial"/>
          <w:b/>
          <w:bCs/>
          <w:sz w:val="18"/>
          <w:szCs w:val="18"/>
        </w:rPr>
      </w:pPr>
    </w:p>
    <w:p w14:paraId="10D40CAE" w14:textId="77777777" w:rsidR="00FC3D17" w:rsidRDefault="00FC3D17" w:rsidP="003C08F2">
      <w:pPr>
        <w:spacing w:line="240" w:lineRule="auto"/>
        <w:jc w:val="both"/>
        <w:rPr>
          <w:rFonts w:cs="Arial"/>
          <w:b/>
          <w:bCs/>
          <w:sz w:val="18"/>
          <w:szCs w:val="18"/>
        </w:rPr>
      </w:pPr>
    </w:p>
    <w:p w14:paraId="70DDCCE6" w14:textId="77777777" w:rsidR="00FC3D17" w:rsidRDefault="00FC3D17" w:rsidP="003C08F2">
      <w:pPr>
        <w:spacing w:line="240" w:lineRule="auto"/>
        <w:jc w:val="both"/>
        <w:rPr>
          <w:rFonts w:cs="Arial"/>
          <w:b/>
          <w:bCs/>
          <w:sz w:val="18"/>
          <w:szCs w:val="18"/>
        </w:rPr>
      </w:pPr>
    </w:p>
    <w:p w14:paraId="0409026F" w14:textId="31F721F0" w:rsidR="00191170" w:rsidRDefault="00191170" w:rsidP="003C08F2">
      <w:pPr>
        <w:spacing w:line="240" w:lineRule="auto"/>
        <w:jc w:val="both"/>
        <w:rPr>
          <w:rFonts w:cs="Arial"/>
          <w:sz w:val="18"/>
          <w:szCs w:val="18"/>
        </w:rPr>
      </w:pPr>
      <w:r w:rsidRPr="00191170">
        <w:rPr>
          <w:rFonts w:cs="Arial"/>
          <w:b/>
          <w:bCs/>
          <w:sz w:val="18"/>
          <w:szCs w:val="18"/>
        </w:rPr>
        <w:lastRenderedPageBreak/>
        <w:t>Slika 3</w:t>
      </w:r>
      <w:r w:rsidRPr="00191170">
        <w:rPr>
          <w:rFonts w:cs="Arial"/>
          <w:sz w:val="18"/>
          <w:szCs w:val="18"/>
        </w:rPr>
        <w:t>: Donosnost</w:t>
      </w:r>
      <w:r w:rsidR="007B4566">
        <w:rPr>
          <w:rFonts w:cs="Arial"/>
          <w:sz w:val="18"/>
          <w:szCs w:val="18"/>
        </w:rPr>
        <w:t xml:space="preserve"> premoženja, </w:t>
      </w:r>
      <w:r w:rsidR="007B4566" w:rsidRPr="007B4566">
        <w:rPr>
          <w:rFonts w:cs="Arial"/>
          <w:sz w:val="18"/>
          <w:szCs w:val="18"/>
        </w:rPr>
        <w:t>ki pripada policam dodatnega pokojninskega zavarovanja PPS</w:t>
      </w:r>
      <w:r w:rsidR="007B4566">
        <w:rPr>
          <w:rFonts w:cs="Arial"/>
          <w:sz w:val="18"/>
          <w:szCs w:val="18"/>
        </w:rPr>
        <w:t>,</w:t>
      </w:r>
      <w:r w:rsidRPr="00191170">
        <w:rPr>
          <w:rFonts w:cs="Arial"/>
          <w:sz w:val="18"/>
          <w:szCs w:val="18"/>
        </w:rPr>
        <w:t xml:space="preserve"> v obdobju 2003</w:t>
      </w:r>
      <w:r w:rsidR="004D22B8">
        <w:rPr>
          <w:rFonts w:cs="Arial"/>
          <w:sz w:val="18"/>
          <w:szCs w:val="18"/>
        </w:rPr>
        <w:t>–</w:t>
      </w:r>
      <w:r w:rsidRPr="00191170">
        <w:rPr>
          <w:rFonts w:cs="Arial"/>
          <w:sz w:val="18"/>
          <w:szCs w:val="18"/>
        </w:rPr>
        <w:t>2024</w:t>
      </w:r>
    </w:p>
    <w:p w14:paraId="6EDEFBD9" w14:textId="77777777" w:rsidR="00931C27" w:rsidRPr="00191170" w:rsidRDefault="00931C27" w:rsidP="003C08F2">
      <w:pPr>
        <w:spacing w:line="240" w:lineRule="auto"/>
        <w:jc w:val="both"/>
        <w:rPr>
          <w:rFonts w:cs="Arial"/>
          <w:sz w:val="18"/>
          <w:szCs w:val="18"/>
        </w:rPr>
      </w:pPr>
    </w:p>
    <w:p w14:paraId="68AF11F9" w14:textId="77777777" w:rsidR="00191170" w:rsidRPr="00191170" w:rsidRDefault="00191170" w:rsidP="007B4566">
      <w:pPr>
        <w:spacing w:line="240" w:lineRule="auto"/>
        <w:jc w:val="center"/>
        <w:rPr>
          <w:rFonts w:cs="Arial"/>
          <w:szCs w:val="20"/>
        </w:rPr>
      </w:pPr>
      <w:r w:rsidRPr="00191170">
        <w:rPr>
          <w:rFonts w:cs="Arial"/>
          <w:noProof/>
          <w:szCs w:val="20"/>
          <w:lang w:eastAsia="sl-SI"/>
        </w:rPr>
        <w:drawing>
          <wp:inline distT="0" distB="0" distL="0" distR="0" wp14:anchorId="4A725DC9" wp14:editId="4DD1236D">
            <wp:extent cx="4486760" cy="2704455"/>
            <wp:effectExtent l="0" t="0" r="0" b="1270"/>
            <wp:docPr id="821770905" name="Grafikon 1">
              <a:extLst xmlns:a="http://schemas.openxmlformats.org/drawingml/2006/main">
                <a:ext uri="{FF2B5EF4-FFF2-40B4-BE49-F238E27FC236}">
                  <a16:creationId xmlns:a16="http://schemas.microsoft.com/office/drawing/2014/main" id="{1627C972-6FC8-4343-B9AE-F670638ECF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7DF96F2" w14:textId="77777777" w:rsidR="00931C27" w:rsidRDefault="00931C27" w:rsidP="007B4566">
      <w:pPr>
        <w:spacing w:line="240" w:lineRule="auto"/>
        <w:jc w:val="center"/>
        <w:rPr>
          <w:rFonts w:cs="Arial"/>
          <w:sz w:val="18"/>
          <w:szCs w:val="18"/>
        </w:rPr>
      </w:pPr>
    </w:p>
    <w:p w14:paraId="1F515965" w14:textId="06236B7F" w:rsidR="00191170" w:rsidRPr="00191170" w:rsidRDefault="007B4566" w:rsidP="007B4566">
      <w:pPr>
        <w:spacing w:line="240" w:lineRule="auto"/>
        <w:jc w:val="center"/>
        <w:rPr>
          <w:rFonts w:cs="Arial"/>
          <w:sz w:val="18"/>
          <w:szCs w:val="18"/>
        </w:rPr>
      </w:pPr>
      <w:r w:rsidRPr="007B4566">
        <w:rPr>
          <w:rFonts w:cs="Arial"/>
          <w:sz w:val="18"/>
          <w:szCs w:val="18"/>
        </w:rPr>
        <w:t>Vir: Modra zavarovalnica</w:t>
      </w:r>
    </w:p>
    <w:p w14:paraId="278CC87C" w14:textId="77777777" w:rsidR="00191170" w:rsidRPr="00191170" w:rsidRDefault="00191170" w:rsidP="003C08F2">
      <w:pPr>
        <w:spacing w:line="240" w:lineRule="auto"/>
        <w:jc w:val="both"/>
        <w:rPr>
          <w:rFonts w:cs="Arial"/>
          <w:szCs w:val="20"/>
        </w:rPr>
      </w:pPr>
    </w:p>
    <w:p w14:paraId="5EF415C3" w14:textId="77777777" w:rsidR="00191170" w:rsidRPr="00191170" w:rsidRDefault="00191170" w:rsidP="003C08F2">
      <w:pPr>
        <w:spacing w:line="240" w:lineRule="auto"/>
        <w:jc w:val="both"/>
        <w:rPr>
          <w:rFonts w:cs="Arial"/>
          <w:szCs w:val="20"/>
          <w:u w:val="single"/>
        </w:rPr>
      </w:pPr>
      <w:r w:rsidRPr="00191170">
        <w:rPr>
          <w:rFonts w:cs="Arial"/>
          <w:szCs w:val="20"/>
          <w:u w:val="single"/>
        </w:rPr>
        <w:t>Naložbena politika</w:t>
      </w:r>
    </w:p>
    <w:p w14:paraId="54F3B613" w14:textId="77777777" w:rsidR="00191170" w:rsidRPr="00191170" w:rsidRDefault="00191170" w:rsidP="003C08F2">
      <w:pPr>
        <w:spacing w:line="240" w:lineRule="auto"/>
        <w:jc w:val="both"/>
        <w:rPr>
          <w:rFonts w:cs="Arial"/>
          <w:szCs w:val="20"/>
        </w:rPr>
      </w:pPr>
    </w:p>
    <w:p w14:paraId="249CE7BF" w14:textId="0E6D8542" w:rsidR="00191170" w:rsidRPr="00191170" w:rsidRDefault="00191170" w:rsidP="003C08F2">
      <w:pPr>
        <w:spacing w:line="240" w:lineRule="auto"/>
        <w:jc w:val="both"/>
        <w:rPr>
          <w:rFonts w:cs="Arial"/>
          <w:szCs w:val="20"/>
        </w:rPr>
      </w:pPr>
      <w:r w:rsidRPr="00191170">
        <w:rPr>
          <w:rFonts w:cs="Arial"/>
          <w:szCs w:val="20"/>
        </w:rPr>
        <w:t>Osnovni cilj Modr</w:t>
      </w:r>
      <w:r w:rsidR="004D22B8">
        <w:rPr>
          <w:rFonts w:cs="Arial"/>
          <w:szCs w:val="20"/>
        </w:rPr>
        <w:t>e</w:t>
      </w:r>
      <w:r w:rsidRPr="00191170">
        <w:rPr>
          <w:rFonts w:cs="Arial"/>
          <w:szCs w:val="20"/>
        </w:rPr>
        <w:t xml:space="preserve"> zavarovalnic</w:t>
      </w:r>
      <w:r w:rsidR="004D22B8">
        <w:rPr>
          <w:rFonts w:cs="Arial"/>
          <w:szCs w:val="20"/>
        </w:rPr>
        <w:t>e</w:t>
      </w:r>
      <w:r w:rsidR="00A07837">
        <w:rPr>
          <w:rFonts w:cs="Arial"/>
          <w:szCs w:val="20"/>
        </w:rPr>
        <w:t>, d.</w:t>
      </w:r>
      <w:r w:rsidR="004D22B8">
        <w:rPr>
          <w:rFonts w:cs="Arial"/>
          <w:szCs w:val="20"/>
        </w:rPr>
        <w:t> </w:t>
      </w:r>
      <w:r w:rsidR="00A07837">
        <w:rPr>
          <w:rFonts w:cs="Arial"/>
          <w:szCs w:val="20"/>
        </w:rPr>
        <w:t>d.</w:t>
      </w:r>
      <w:r w:rsidR="004D22B8">
        <w:rPr>
          <w:rFonts w:cs="Arial"/>
          <w:szCs w:val="20"/>
        </w:rPr>
        <w:t>,</w:t>
      </w:r>
      <w:r w:rsidRPr="00191170">
        <w:rPr>
          <w:rFonts w:cs="Arial"/>
          <w:szCs w:val="20"/>
        </w:rPr>
        <w:t xml:space="preserve"> pri upravljanju premoženja</w:t>
      </w:r>
      <w:r w:rsidR="00A07837">
        <w:rPr>
          <w:rFonts w:cs="Arial"/>
          <w:szCs w:val="20"/>
        </w:rPr>
        <w:t>, ki pripada policam dodatnega pokojninskega zavarovanja</w:t>
      </w:r>
      <w:r w:rsidRPr="00191170">
        <w:rPr>
          <w:rFonts w:cs="Arial"/>
          <w:szCs w:val="20"/>
        </w:rPr>
        <w:t xml:space="preserve"> PPS, </w:t>
      </w:r>
      <w:r w:rsidR="00CA18E1">
        <w:rPr>
          <w:rFonts w:cs="Arial"/>
          <w:szCs w:val="20"/>
        </w:rPr>
        <w:t>ostaja</w:t>
      </w:r>
      <w:r w:rsidRPr="00191170">
        <w:rPr>
          <w:rFonts w:cs="Arial"/>
          <w:szCs w:val="20"/>
        </w:rPr>
        <w:t xml:space="preserve"> prestrukturiranje portfelja. Večji del naložbene strukture sklada </w:t>
      </w:r>
      <w:r w:rsidR="004D22B8">
        <w:rPr>
          <w:rFonts w:cs="Arial"/>
          <w:szCs w:val="20"/>
        </w:rPr>
        <w:t>s</w:t>
      </w:r>
      <w:r w:rsidRPr="00191170">
        <w:rPr>
          <w:rFonts w:cs="Arial"/>
          <w:szCs w:val="20"/>
        </w:rPr>
        <w:t xml:space="preserve">o naložbe, ki jih je PPS prejel na zakonodajni podlagi in </w:t>
      </w:r>
      <w:r w:rsidR="004D22B8">
        <w:rPr>
          <w:rFonts w:cs="Arial"/>
          <w:szCs w:val="20"/>
        </w:rPr>
        <w:t xml:space="preserve">ki </w:t>
      </w:r>
      <w:r w:rsidRPr="00191170">
        <w:rPr>
          <w:rFonts w:cs="Arial"/>
          <w:szCs w:val="20"/>
        </w:rPr>
        <w:t xml:space="preserve">so tako glede vrste dovoljenih naložb kot tudi glede omejitev po posameznih naložbenih razredih v določenem obsegu neprimerne za pokojninski sklad. </w:t>
      </w:r>
      <w:r w:rsidR="00A07837">
        <w:rPr>
          <w:rFonts w:cs="Arial"/>
          <w:szCs w:val="20"/>
        </w:rPr>
        <w:t>V skladu z</w:t>
      </w:r>
      <w:r w:rsidRPr="00191170">
        <w:rPr>
          <w:rFonts w:cs="Arial"/>
          <w:szCs w:val="20"/>
        </w:rPr>
        <w:t xml:space="preserve"> naložbeno politiko in pričakovanimi likvidnostnimi potrebami so se prilivi investirali v lastniške in </w:t>
      </w:r>
      <w:proofErr w:type="spellStart"/>
      <w:r w:rsidRPr="00191170">
        <w:rPr>
          <w:rFonts w:cs="Arial"/>
          <w:szCs w:val="20"/>
        </w:rPr>
        <w:t>obvezniške</w:t>
      </w:r>
      <w:proofErr w:type="spellEnd"/>
      <w:r w:rsidRPr="00191170">
        <w:rPr>
          <w:rFonts w:cs="Arial"/>
          <w:szCs w:val="20"/>
        </w:rPr>
        <w:t xml:space="preserve"> naložbe. Pri nalaganju sredstev upravljavec sledi </w:t>
      </w:r>
      <w:r w:rsidR="004D22B8">
        <w:rPr>
          <w:rFonts w:cs="Arial"/>
          <w:szCs w:val="20"/>
        </w:rPr>
        <w:t>merilo</w:t>
      </w:r>
      <w:r w:rsidR="004D22B8" w:rsidRPr="00191170">
        <w:rPr>
          <w:rFonts w:cs="Arial"/>
          <w:szCs w:val="20"/>
        </w:rPr>
        <w:t xml:space="preserve">m </w:t>
      </w:r>
      <w:r w:rsidRPr="00191170">
        <w:rPr>
          <w:rFonts w:cs="Arial"/>
          <w:szCs w:val="20"/>
        </w:rPr>
        <w:t xml:space="preserve">varnosti, likvidnosti in donosnosti naložb. PPS razpolaga tudi s tržnimi lastniškimi papirji (npr. delnice Krke, Petrola in Telekoma) ter </w:t>
      </w:r>
      <w:r w:rsidRPr="0035473A">
        <w:rPr>
          <w:rFonts w:cs="Arial"/>
          <w:szCs w:val="20"/>
        </w:rPr>
        <w:t>ETF</w:t>
      </w:r>
      <w:r w:rsidR="003D0A2A">
        <w:rPr>
          <w:rFonts w:cs="Arial"/>
          <w:szCs w:val="20"/>
        </w:rPr>
        <w:t xml:space="preserve"> (Exchange </w:t>
      </w:r>
      <w:proofErr w:type="spellStart"/>
      <w:r w:rsidR="003D0A2A">
        <w:rPr>
          <w:rFonts w:cs="Arial"/>
          <w:szCs w:val="20"/>
        </w:rPr>
        <w:t>Traded</w:t>
      </w:r>
      <w:proofErr w:type="spellEnd"/>
      <w:r w:rsidR="003D0A2A">
        <w:rPr>
          <w:rFonts w:cs="Arial"/>
          <w:szCs w:val="20"/>
        </w:rPr>
        <w:t xml:space="preserve"> Fund)</w:t>
      </w:r>
      <w:r w:rsidRPr="00191170">
        <w:rPr>
          <w:rFonts w:cs="Arial"/>
          <w:szCs w:val="20"/>
        </w:rPr>
        <w:t xml:space="preserve"> na državne in podjetniške obveznice, ki </w:t>
      </w:r>
      <w:r w:rsidR="00A07837">
        <w:rPr>
          <w:rFonts w:cs="Arial"/>
          <w:szCs w:val="20"/>
        </w:rPr>
        <w:t>se</w:t>
      </w:r>
      <w:r w:rsidRPr="00191170">
        <w:rPr>
          <w:rFonts w:cs="Arial"/>
          <w:szCs w:val="20"/>
        </w:rPr>
        <w:t xml:space="preserve"> zaradi približevanja zakonski omejitvi 5</w:t>
      </w:r>
      <w:r w:rsidR="00CA18E1">
        <w:rPr>
          <w:rFonts w:cs="Arial"/>
          <w:szCs w:val="20"/>
        </w:rPr>
        <w:t> </w:t>
      </w:r>
      <w:r w:rsidR="004D22B8">
        <w:rPr>
          <w:rFonts w:cs="Arial"/>
          <w:szCs w:val="20"/>
        </w:rPr>
        <w:t>%</w:t>
      </w:r>
      <w:r w:rsidR="004D22B8" w:rsidRPr="00191170">
        <w:rPr>
          <w:rFonts w:cs="Arial"/>
          <w:szCs w:val="20"/>
        </w:rPr>
        <w:t xml:space="preserve"> </w:t>
      </w:r>
      <w:r w:rsidRPr="00191170">
        <w:rPr>
          <w:rFonts w:cs="Arial"/>
          <w:szCs w:val="20"/>
        </w:rPr>
        <w:t>po izdajatelju sproti prodaja</w:t>
      </w:r>
      <w:r w:rsidR="00A07837">
        <w:rPr>
          <w:rFonts w:cs="Arial"/>
          <w:szCs w:val="20"/>
        </w:rPr>
        <w:t>jo</w:t>
      </w:r>
      <w:r w:rsidR="004D22B8">
        <w:rPr>
          <w:rFonts w:cs="Arial"/>
          <w:szCs w:val="20"/>
        </w:rPr>
        <w:t>,</w:t>
      </w:r>
      <w:r w:rsidRPr="00191170">
        <w:rPr>
          <w:rFonts w:cs="Arial"/>
          <w:szCs w:val="20"/>
        </w:rPr>
        <w:t xml:space="preserve"> in s tem zagotavlja zakonsko usklajeno strukturo sklada. </w:t>
      </w:r>
    </w:p>
    <w:p w14:paraId="32B939A1" w14:textId="77777777" w:rsidR="00A07837" w:rsidRDefault="00A07837" w:rsidP="003C08F2">
      <w:pPr>
        <w:spacing w:line="240" w:lineRule="auto"/>
        <w:jc w:val="both"/>
        <w:rPr>
          <w:rFonts w:cs="Arial"/>
          <w:szCs w:val="20"/>
        </w:rPr>
      </w:pPr>
    </w:p>
    <w:p w14:paraId="1A2655E9" w14:textId="38C2E69B" w:rsidR="00D67971" w:rsidRPr="00191170" w:rsidRDefault="00191170" w:rsidP="003C08F2">
      <w:pPr>
        <w:spacing w:line="240" w:lineRule="auto"/>
        <w:jc w:val="both"/>
        <w:rPr>
          <w:rFonts w:cs="Arial"/>
          <w:szCs w:val="20"/>
        </w:rPr>
      </w:pPr>
      <w:r w:rsidRPr="00191170">
        <w:rPr>
          <w:rFonts w:cs="Arial"/>
          <w:szCs w:val="20"/>
        </w:rPr>
        <w:t xml:space="preserve">Največji delež naložb sklada </w:t>
      </w:r>
      <w:r w:rsidR="004D22B8">
        <w:rPr>
          <w:rFonts w:cs="Arial"/>
          <w:szCs w:val="20"/>
        </w:rPr>
        <w:t>s</w:t>
      </w:r>
      <w:r w:rsidRPr="00191170">
        <w:rPr>
          <w:rFonts w:cs="Arial"/>
          <w:szCs w:val="20"/>
        </w:rPr>
        <w:t>estavljajo državne obveznice (43 %), sledijo investicijski kuponi, ki vlagajo v obveznice (25 %), delnice (15 %) in investicijski kuponi, ki vlagajo v delnice (14 %).</w:t>
      </w:r>
      <w:r w:rsidR="00D67971">
        <w:rPr>
          <w:rFonts w:cs="Arial"/>
          <w:szCs w:val="20"/>
        </w:rPr>
        <w:t xml:space="preserve"> </w:t>
      </w:r>
    </w:p>
    <w:p w14:paraId="35A30DE4" w14:textId="77777777" w:rsidR="00B552FF" w:rsidRDefault="00B552FF" w:rsidP="003C08F2">
      <w:pPr>
        <w:spacing w:line="240" w:lineRule="auto"/>
        <w:jc w:val="both"/>
        <w:rPr>
          <w:rFonts w:cs="Arial"/>
          <w:szCs w:val="20"/>
        </w:rPr>
      </w:pPr>
      <w:bookmarkStart w:id="6" w:name="_Hlk192770637"/>
    </w:p>
    <w:p w14:paraId="0D43B47E" w14:textId="5D5CC71E" w:rsidR="00191170" w:rsidRPr="00A07837" w:rsidRDefault="004D22B8" w:rsidP="003C08F2">
      <w:pPr>
        <w:spacing w:line="240" w:lineRule="auto"/>
        <w:jc w:val="both"/>
        <w:rPr>
          <w:rFonts w:cs="Arial"/>
          <w:sz w:val="18"/>
          <w:szCs w:val="18"/>
        </w:rPr>
      </w:pPr>
      <w:r>
        <w:rPr>
          <w:rFonts w:cs="Arial"/>
          <w:b/>
          <w:bCs/>
          <w:sz w:val="18"/>
          <w:szCs w:val="18"/>
        </w:rPr>
        <w:t>Preglednic</w:t>
      </w:r>
      <w:r w:rsidR="00191170" w:rsidRPr="00191170">
        <w:rPr>
          <w:rFonts w:cs="Arial"/>
          <w:b/>
          <w:bCs/>
          <w:sz w:val="18"/>
          <w:szCs w:val="18"/>
        </w:rPr>
        <w:t xml:space="preserve">a </w:t>
      </w:r>
      <w:r w:rsidR="00191170" w:rsidRPr="00191170">
        <w:rPr>
          <w:rFonts w:cs="Arial"/>
          <w:b/>
          <w:bCs/>
          <w:sz w:val="18"/>
          <w:szCs w:val="18"/>
        </w:rPr>
        <w:fldChar w:fldCharType="begin"/>
      </w:r>
      <w:r w:rsidR="00191170" w:rsidRPr="00191170">
        <w:rPr>
          <w:rFonts w:cs="Arial"/>
          <w:b/>
          <w:bCs/>
          <w:sz w:val="18"/>
          <w:szCs w:val="18"/>
        </w:rPr>
        <w:instrText xml:space="preserve"> SEQ Tabela \* ARABIC </w:instrText>
      </w:r>
      <w:r w:rsidR="00191170" w:rsidRPr="00191170">
        <w:rPr>
          <w:rFonts w:cs="Arial"/>
          <w:b/>
          <w:bCs/>
          <w:sz w:val="18"/>
          <w:szCs w:val="18"/>
        </w:rPr>
        <w:fldChar w:fldCharType="separate"/>
      </w:r>
      <w:r w:rsidR="00191170" w:rsidRPr="00191170">
        <w:rPr>
          <w:rFonts w:cs="Arial"/>
          <w:b/>
          <w:bCs/>
          <w:sz w:val="18"/>
          <w:szCs w:val="18"/>
        </w:rPr>
        <w:t>1</w:t>
      </w:r>
      <w:r w:rsidR="00191170" w:rsidRPr="00191170">
        <w:rPr>
          <w:rFonts w:cs="Arial"/>
          <w:b/>
          <w:bCs/>
          <w:sz w:val="18"/>
          <w:szCs w:val="18"/>
        </w:rPr>
        <w:fldChar w:fldCharType="end"/>
      </w:r>
      <w:r w:rsidR="00191170" w:rsidRPr="00191170">
        <w:rPr>
          <w:rFonts w:cs="Arial"/>
          <w:sz w:val="18"/>
          <w:szCs w:val="18"/>
        </w:rPr>
        <w:t>: Sestava sredstev PPS na dan 28.</w:t>
      </w:r>
      <w:r>
        <w:rPr>
          <w:rFonts w:cs="Arial"/>
          <w:sz w:val="18"/>
          <w:szCs w:val="18"/>
        </w:rPr>
        <w:t> </w:t>
      </w:r>
      <w:r w:rsidR="00191170" w:rsidRPr="00191170">
        <w:rPr>
          <w:rFonts w:cs="Arial"/>
          <w:sz w:val="18"/>
          <w:szCs w:val="18"/>
        </w:rPr>
        <w:t>2.</w:t>
      </w:r>
      <w:r>
        <w:rPr>
          <w:rFonts w:cs="Arial"/>
          <w:sz w:val="18"/>
          <w:szCs w:val="18"/>
        </w:rPr>
        <w:t> </w:t>
      </w:r>
      <w:r w:rsidR="00191170" w:rsidRPr="00191170">
        <w:rPr>
          <w:rFonts w:cs="Arial"/>
          <w:sz w:val="18"/>
          <w:szCs w:val="18"/>
        </w:rPr>
        <w:t>2025</w:t>
      </w:r>
    </w:p>
    <w:p w14:paraId="0D4F64E4" w14:textId="77777777" w:rsidR="00A07837" w:rsidRPr="00191170" w:rsidRDefault="00A07837" w:rsidP="003C08F2">
      <w:pPr>
        <w:spacing w:line="240" w:lineRule="auto"/>
        <w:jc w:val="both"/>
        <w:rPr>
          <w:rFonts w:cs="Arial"/>
          <w:szCs w:val="20"/>
        </w:rPr>
      </w:pPr>
    </w:p>
    <w:tbl>
      <w:tblPr>
        <w:tblW w:w="3673" w:type="pct"/>
        <w:jc w:val="center"/>
        <w:tblBorders>
          <w:top w:val="single" w:sz="2" w:space="0" w:color="0061CF"/>
          <w:left w:val="single" w:sz="2" w:space="0" w:color="0061CF"/>
          <w:bottom w:val="single" w:sz="2" w:space="0" w:color="0061CF"/>
          <w:right w:val="single" w:sz="2" w:space="0" w:color="0061CF"/>
          <w:insideH w:val="single" w:sz="2" w:space="0" w:color="0061CF"/>
        </w:tblBorders>
        <w:tblLook w:val="0420" w:firstRow="1" w:lastRow="0" w:firstColumn="0" w:lastColumn="0" w:noHBand="0" w:noVBand="1"/>
      </w:tblPr>
      <w:tblGrid>
        <w:gridCol w:w="5392"/>
        <w:gridCol w:w="1268"/>
      </w:tblGrid>
      <w:tr w:rsidR="00191170" w:rsidRPr="00191170" w14:paraId="5D9AF954" w14:textId="77777777" w:rsidTr="006D450E">
        <w:trPr>
          <w:trHeight w:val="303"/>
          <w:tblHeader/>
          <w:jc w:val="center"/>
        </w:trPr>
        <w:tc>
          <w:tcPr>
            <w:tcW w:w="4048" w:type="pct"/>
            <w:shd w:val="clear" w:color="auto" w:fill="0061CF"/>
            <w:vAlign w:val="center"/>
          </w:tcPr>
          <w:p w14:paraId="796FED8F" w14:textId="77777777" w:rsidR="00191170" w:rsidRPr="00191170" w:rsidRDefault="00191170" w:rsidP="003C08F2">
            <w:pPr>
              <w:pBdr>
                <w:top w:val="nil"/>
                <w:left w:val="nil"/>
                <w:bottom w:val="nil"/>
                <w:right w:val="nil"/>
                <w:between w:val="nil"/>
              </w:pBdr>
              <w:spacing w:line="240" w:lineRule="auto"/>
              <w:jc w:val="both"/>
              <w:rPr>
                <w:rFonts w:cs="Arial"/>
                <w:szCs w:val="20"/>
              </w:rPr>
            </w:pPr>
            <w:r w:rsidRPr="00191170">
              <w:rPr>
                <w:rFonts w:cs="Arial"/>
                <w:szCs w:val="20"/>
              </w:rPr>
              <w:t>Sredstva</w:t>
            </w:r>
          </w:p>
        </w:tc>
        <w:tc>
          <w:tcPr>
            <w:tcW w:w="952" w:type="pct"/>
            <w:shd w:val="clear" w:color="auto" w:fill="0061CF"/>
            <w:vAlign w:val="center"/>
          </w:tcPr>
          <w:p w14:paraId="55F97218" w14:textId="77777777" w:rsidR="00191170" w:rsidRPr="00191170" w:rsidRDefault="00191170" w:rsidP="003C08F2">
            <w:pPr>
              <w:pBdr>
                <w:top w:val="nil"/>
                <w:left w:val="nil"/>
                <w:bottom w:val="nil"/>
                <w:right w:val="nil"/>
                <w:between w:val="nil"/>
              </w:pBdr>
              <w:spacing w:line="240" w:lineRule="auto"/>
              <w:jc w:val="both"/>
              <w:rPr>
                <w:rFonts w:cs="Arial"/>
                <w:szCs w:val="20"/>
              </w:rPr>
            </w:pPr>
            <w:r w:rsidRPr="00191170">
              <w:rPr>
                <w:rFonts w:cs="Arial"/>
                <w:szCs w:val="20"/>
              </w:rPr>
              <w:t>Delež</w:t>
            </w:r>
          </w:p>
        </w:tc>
      </w:tr>
      <w:tr w:rsidR="00191170" w:rsidRPr="00191170" w14:paraId="16D89042" w14:textId="77777777" w:rsidTr="006D450E">
        <w:trPr>
          <w:trHeight w:val="279"/>
          <w:jc w:val="center"/>
        </w:trPr>
        <w:tc>
          <w:tcPr>
            <w:tcW w:w="4048" w:type="pct"/>
            <w:vAlign w:val="center"/>
          </w:tcPr>
          <w:p w14:paraId="1D5BF9F6" w14:textId="4B4FB9EA" w:rsidR="00191170" w:rsidRPr="00191170" w:rsidRDefault="00191170" w:rsidP="004D22B8">
            <w:pPr>
              <w:pBdr>
                <w:top w:val="nil"/>
                <w:left w:val="nil"/>
                <w:bottom w:val="nil"/>
                <w:right w:val="nil"/>
                <w:between w:val="nil"/>
              </w:pBdr>
              <w:spacing w:line="240" w:lineRule="auto"/>
              <w:jc w:val="both"/>
              <w:rPr>
                <w:rFonts w:cs="Arial"/>
                <w:szCs w:val="20"/>
              </w:rPr>
            </w:pPr>
            <w:r w:rsidRPr="00191170">
              <w:rPr>
                <w:rFonts w:cs="Arial"/>
                <w:szCs w:val="20"/>
              </w:rPr>
              <w:t xml:space="preserve">Investicijski kuponi </w:t>
            </w:r>
            <w:r w:rsidR="004D22B8">
              <w:rPr>
                <w:rFonts w:cs="Arial"/>
                <w:szCs w:val="20"/>
              </w:rPr>
              <w:t>–</w:t>
            </w:r>
            <w:r w:rsidR="004D22B8" w:rsidRPr="00191170">
              <w:rPr>
                <w:rFonts w:cs="Arial"/>
                <w:szCs w:val="20"/>
              </w:rPr>
              <w:t xml:space="preserve"> </w:t>
            </w:r>
            <w:r w:rsidRPr="00191170">
              <w:rPr>
                <w:rFonts w:cs="Arial"/>
                <w:szCs w:val="20"/>
              </w:rPr>
              <w:t>podjetniške obveznice</w:t>
            </w:r>
          </w:p>
        </w:tc>
        <w:tc>
          <w:tcPr>
            <w:tcW w:w="952" w:type="pct"/>
            <w:vAlign w:val="center"/>
          </w:tcPr>
          <w:p w14:paraId="6C91222A" w14:textId="6F78B7B5" w:rsidR="00191170" w:rsidRPr="00191170" w:rsidRDefault="00191170" w:rsidP="003C08F2">
            <w:pPr>
              <w:pBdr>
                <w:top w:val="nil"/>
                <w:left w:val="nil"/>
                <w:bottom w:val="nil"/>
                <w:right w:val="nil"/>
                <w:between w:val="nil"/>
              </w:pBdr>
              <w:spacing w:line="240" w:lineRule="auto"/>
              <w:jc w:val="both"/>
              <w:rPr>
                <w:rFonts w:cs="Arial"/>
                <w:szCs w:val="20"/>
              </w:rPr>
            </w:pPr>
            <w:r w:rsidRPr="00191170">
              <w:rPr>
                <w:rFonts w:cs="Arial"/>
                <w:szCs w:val="20"/>
              </w:rPr>
              <w:t>10,44</w:t>
            </w:r>
            <w:r w:rsidR="006D3C03">
              <w:rPr>
                <w:rFonts w:cs="Arial"/>
                <w:szCs w:val="20"/>
              </w:rPr>
              <w:t xml:space="preserve"> </w:t>
            </w:r>
            <w:r w:rsidRPr="00191170">
              <w:rPr>
                <w:rFonts w:cs="Arial"/>
                <w:szCs w:val="20"/>
              </w:rPr>
              <w:t>%</w:t>
            </w:r>
          </w:p>
        </w:tc>
      </w:tr>
      <w:tr w:rsidR="00191170" w:rsidRPr="00191170" w14:paraId="4C91FD86" w14:textId="77777777" w:rsidTr="006D450E">
        <w:trPr>
          <w:trHeight w:val="269"/>
          <w:jc w:val="center"/>
        </w:trPr>
        <w:tc>
          <w:tcPr>
            <w:tcW w:w="4048" w:type="pct"/>
            <w:vAlign w:val="center"/>
          </w:tcPr>
          <w:p w14:paraId="0D22F624" w14:textId="4C9C350D" w:rsidR="00191170" w:rsidRPr="00191170" w:rsidRDefault="00191170" w:rsidP="004D22B8">
            <w:pPr>
              <w:pBdr>
                <w:top w:val="nil"/>
                <w:left w:val="nil"/>
                <w:bottom w:val="nil"/>
                <w:right w:val="nil"/>
                <w:between w:val="nil"/>
              </w:pBdr>
              <w:spacing w:line="240" w:lineRule="auto"/>
              <w:jc w:val="both"/>
              <w:rPr>
                <w:rFonts w:cs="Arial"/>
                <w:szCs w:val="20"/>
              </w:rPr>
            </w:pPr>
            <w:r w:rsidRPr="00191170">
              <w:rPr>
                <w:rFonts w:cs="Arial"/>
                <w:szCs w:val="20"/>
              </w:rPr>
              <w:t xml:space="preserve">Investicijski kuponi </w:t>
            </w:r>
            <w:r w:rsidR="004D22B8">
              <w:rPr>
                <w:rFonts w:cs="Arial"/>
                <w:szCs w:val="20"/>
              </w:rPr>
              <w:t>–</w:t>
            </w:r>
            <w:r w:rsidR="004D22B8" w:rsidRPr="00191170">
              <w:rPr>
                <w:rFonts w:cs="Arial"/>
                <w:szCs w:val="20"/>
              </w:rPr>
              <w:t xml:space="preserve"> </w:t>
            </w:r>
            <w:r w:rsidRPr="00191170">
              <w:rPr>
                <w:rFonts w:cs="Arial"/>
                <w:szCs w:val="20"/>
              </w:rPr>
              <w:t>državne obveznice</w:t>
            </w:r>
          </w:p>
        </w:tc>
        <w:tc>
          <w:tcPr>
            <w:tcW w:w="952" w:type="pct"/>
            <w:vAlign w:val="center"/>
          </w:tcPr>
          <w:p w14:paraId="11498578" w14:textId="052C909F" w:rsidR="00191170" w:rsidRPr="00191170" w:rsidRDefault="00191170" w:rsidP="003C08F2">
            <w:pPr>
              <w:pBdr>
                <w:top w:val="nil"/>
                <w:left w:val="nil"/>
                <w:bottom w:val="nil"/>
                <w:right w:val="nil"/>
                <w:between w:val="nil"/>
              </w:pBdr>
              <w:spacing w:line="240" w:lineRule="auto"/>
              <w:jc w:val="both"/>
              <w:rPr>
                <w:rFonts w:cs="Arial"/>
                <w:szCs w:val="20"/>
              </w:rPr>
            </w:pPr>
            <w:r w:rsidRPr="00191170">
              <w:rPr>
                <w:rFonts w:cs="Arial"/>
                <w:szCs w:val="20"/>
              </w:rPr>
              <w:t>15,03</w:t>
            </w:r>
            <w:r w:rsidR="006D3C03">
              <w:rPr>
                <w:rFonts w:cs="Arial"/>
                <w:szCs w:val="20"/>
              </w:rPr>
              <w:t xml:space="preserve"> </w:t>
            </w:r>
            <w:r w:rsidRPr="00191170">
              <w:rPr>
                <w:rFonts w:cs="Arial"/>
                <w:szCs w:val="20"/>
              </w:rPr>
              <w:t>%</w:t>
            </w:r>
          </w:p>
        </w:tc>
      </w:tr>
      <w:tr w:rsidR="00191170" w:rsidRPr="00191170" w14:paraId="5BC8A50E" w14:textId="77777777" w:rsidTr="006D450E">
        <w:trPr>
          <w:trHeight w:val="273"/>
          <w:jc w:val="center"/>
        </w:trPr>
        <w:tc>
          <w:tcPr>
            <w:tcW w:w="4048" w:type="pct"/>
            <w:vAlign w:val="center"/>
          </w:tcPr>
          <w:p w14:paraId="17B7C89C" w14:textId="77777777" w:rsidR="00191170" w:rsidRPr="00191170" w:rsidRDefault="00191170" w:rsidP="003C08F2">
            <w:pPr>
              <w:pBdr>
                <w:top w:val="nil"/>
                <w:left w:val="nil"/>
                <w:bottom w:val="nil"/>
                <w:right w:val="nil"/>
                <w:between w:val="nil"/>
              </w:pBdr>
              <w:spacing w:line="240" w:lineRule="auto"/>
              <w:jc w:val="both"/>
              <w:rPr>
                <w:rFonts w:cs="Arial"/>
                <w:szCs w:val="20"/>
              </w:rPr>
            </w:pPr>
            <w:r w:rsidRPr="00191170">
              <w:rPr>
                <w:rFonts w:cs="Arial"/>
                <w:szCs w:val="20"/>
              </w:rPr>
              <w:t>Delnice</w:t>
            </w:r>
          </w:p>
        </w:tc>
        <w:tc>
          <w:tcPr>
            <w:tcW w:w="952" w:type="pct"/>
            <w:vAlign w:val="center"/>
          </w:tcPr>
          <w:p w14:paraId="0097D4BA" w14:textId="19B4CC9A" w:rsidR="00191170" w:rsidRPr="00191170" w:rsidRDefault="00191170" w:rsidP="003C08F2">
            <w:pPr>
              <w:pBdr>
                <w:top w:val="nil"/>
                <w:left w:val="nil"/>
                <w:bottom w:val="nil"/>
                <w:right w:val="nil"/>
                <w:between w:val="nil"/>
              </w:pBdr>
              <w:spacing w:line="240" w:lineRule="auto"/>
              <w:jc w:val="both"/>
              <w:rPr>
                <w:rFonts w:cs="Arial"/>
                <w:szCs w:val="20"/>
              </w:rPr>
            </w:pPr>
            <w:r w:rsidRPr="00191170">
              <w:rPr>
                <w:rFonts w:cs="Arial"/>
                <w:szCs w:val="20"/>
              </w:rPr>
              <w:t>14,98</w:t>
            </w:r>
            <w:r w:rsidR="006D3C03">
              <w:rPr>
                <w:rFonts w:cs="Arial"/>
                <w:szCs w:val="20"/>
              </w:rPr>
              <w:t xml:space="preserve"> </w:t>
            </w:r>
            <w:r w:rsidRPr="00191170">
              <w:rPr>
                <w:rFonts w:cs="Arial"/>
                <w:szCs w:val="20"/>
              </w:rPr>
              <w:t>%</w:t>
            </w:r>
          </w:p>
        </w:tc>
      </w:tr>
      <w:tr w:rsidR="00191170" w:rsidRPr="00191170" w14:paraId="5073F0F7" w14:textId="77777777" w:rsidTr="006D450E">
        <w:trPr>
          <w:trHeight w:val="291"/>
          <w:jc w:val="center"/>
        </w:trPr>
        <w:tc>
          <w:tcPr>
            <w:tcW w:w="4048" w:type="pct"/>
            <w:vAlign w:val="center"/>
          </w:tcPr>
          <w:p w14:paraId="3B7100D9" w14:textId="1FAC14E8" w:rsidR="00191170" w:rsidRPr="00191170" w:rsidRDefault="00191170" w:rsidP="004D22B8">
            <w:pPr>
              <w:pBdr>
                <w:top w:val="nil"/>
                <w:left w:val="nil"/>
                <w:bottom w:val="nil"/>
                <w:right w:val="nil"/>
                <w:between w:val="nil"/>
              </w:pBdr>
              <w:spacing w:line="240" w:lineRule="auto"/>
              <w:jc w:val="both"/>
              <w:rPr>
                <w:rFonts w:cs="Arial"/>
                <w:szCs w:val="20"/>
              </w:rPr>
            </w:pPr>
            <w:r w:rsidRPr="00191170">
              <w:rPr>
                <w:rFonts w:cs="Arial"/>
                <w:szCs w:val="20"/>
              </w:rPr>
              <w:t xml:space="preserve">Investicijski kuponi </w:t>
            </w:r>
            <w:r w:rsidR="004D22B8">
              <w:rPr>
                <w:rFonts w:cs="Arial"/>
                <w:szCs w:val="20"/>
              </w:rPr>
              <w:t>–</w:t>
            </w:r>
            <w:r w:rsidR="004D22B8" w:rsidRPr="00191170">
              <w:rPr>
                <w:rFonts w:cs="Arial"/>
                <w:szCs w:val="20"/>
              </w:rPr>
              <w:t xml:space="preserve"> </w:t>
            </w:r>
            <w:r w:rsidRPr="00191170">
              <w:rPr>
                <w:rFonts w:cs="Arial"/>
                <w:szCs w:val="20"/>
              </w:rPr>
              <w:t>delnice</w:t>
            </w:r>
          </w:p>
        </w:tc>
        <w:tc>
          <w:tcPr>
            <w:tcW w:w="952" w:type="pct"/>
            <w:vAlign w:val="center"/>
          </w:tcPr>
          <w:p w14:paraId="793A6650" w14:textId="4819E332" w:rsidR="00191170" w:rsidRPr="00191170" w:rsidRDefault="00191170" w:rsidP="003C08F2">
            <w:pPr>
              <w:pBdr>
                <w:top w:val="nil"/>
                <w:left w:val="nil"/>
                <w:bottom w:val="nil"/>
                <w:right w:val="nil"/>
                <w:between w:val="nil"/>
              </w:pBdr>
              <w:spacing w:line="240" w:lineRule="auto"/>
              <w:jc w:val="both"/>
              <w:rPr>
                <w:rFonts w:cs="Arial"/>
                <w:szCs w:val="20"/>
              </w:rPr>
            </w:pPr>
            <w:r w:rsidRPr="00191170">
              <w:rPr>
                <w:rFonts w:cs="Arial"/>
                <w:szCs w:val="20"/>
              </w:rPr>
              <w:t>14,24</w:t>
            </w:r>
            <w:r w:rsidR="006D3C03">
              <w:rPr>
                <w:rFonts w:cs="Arial"/>
                <w:szCs w:val="20"/>
              </w:rPr>
              <w:t xml:space="preserve"> </w:t>
            </w:r>
            <w:r w:rsidRPr="00191170">
              <w:rPr>
                <w:rFonts w:cs="Arial"/>
                <w:szCs w:val="20"/>
              </w:rPr>
              <w:t>%</w:t>
            </w:r>
          </w:p>
        </w:tc>
      </w:tr>
      <w:tr w:rsidR="00191170" w:rsidRPr="00191170" w14:paraId="04A89CC3" w14:textId="77777777" w:rsidTr="006D450E">
        <w:trPr>
          <w:trHeight w:val="281"/>
          <w:jc w:val="center"/>
        </w:trPr>
        <w:tc>
          <w:tcPr>
            <w:tcW w:w="4048" w:type="pct"/>
            <w:vAlign w:val="center"/>
          </w:tcPr>
          <w:p w14:paraId="0AF00EC6" w14:textId="77777777" w:rsidR="00191170" w:rsidRPr="00191170" w:rsidRDefault="00191170" w:rsidP="003C08F2">
            <w:pPr>
              <w:pBdr>
                <w:top w:val="nil"/>
                <w:left w:val="nil"/>
                <w:bottom w:val="nil"/>
                <w:right w:val="nil"/>
                <w:between w:val="nil"/>
              </w:pBdr>
              <w:spacing w:line="240" w:lineRule="auto"/>
              <w:jc w:val="both"/>
              <w:rPr>
                <w:rFonts w:cs="Arial"/>
                <w:szCs w:val="20"/>
              </w:rPr>
            </w:pPr>
            <w:r w:rsidRPr="00191170">
              <w:rPr>
                <w:rFonts w:cs="Arial"/>
                <w:szCs w:val="20"/>
              </w:rPr>
              <w:t>Državne obveznice</w:t>
            </w:r>
          </w:p>
        </w:tc>
        <w:tc>
          <w:tcPr>
            <w:tcW w:w="952" w:type="pct"/>
            <w:vAlign w:val="center"/>
          </w:tcPr>
          <w:p w14:paraId="367369A5" w14:textId="242DD84C" w:rsidR="00191170" w:rsidRPr="00191170" w:rsidRDefault="00191170" w:rsidP="003C08F2">
            <w:pPr>
              <w:pBdr>
                <w:top w:val="nil"/>
                <w:left w:val="nil"/>
                <w:bottom w:val="nil"/>
                <w:right w:val="nil"/>
                <w:between w:val="nil"/>
              </w:pBdr>
              <w:spacing w:line="240" w:lineRule="auto"/>
              <w:jc w:val="both"/>
              <w:rPr>
                <w:rFonts w:cs="Arial"/>
                <w:szCs w:val="20"/>
              </w:rPr>
            </w:pPr>
            <w:r w:rsidRPr="00191170">
              <w:rPr>
                <w:rFonts w:cs="Arial"/>
                <w:szCs w:val="20"/>
              </w:rPr>
              <w:t>43,01</w:t>
            </w:r>
            <w:r w:rsidR="006D3C03">
              <w:rPr>
                <w:rFonts w:cs="Arial"/>
                <w:szCs w:val="20"/>
              </w:rPr>
              <w:t xml:space="preserve"> </w:t>
            </w:r>
            <w:r w:rsidRPr="00191170">
              <w:rPr>
                <w:rFonts w:cs="Arial"/>
                <w:szCs w:val="20"/>
              </w:rPr>
              <w:t>%</w:t>
            </w:r>
          </w:p>
        </w:tc>
      </w:tr>
      <w:tr w:rsidR="00191170" w:rsidRPr="00191170" w14:paraId="192FEBAD" w14:textId="77777777" w:rsidTr="006D450E">
        <w:trPr>
          <w:trHeight w:val="271"/>
          <w:jc w:val="center"/>
        </w:trPr>
        <w:tc>
          <w:tcPr>
            <w:tcW w:w="4048" w:type="pct"/>
            <w:vAlign w:val="center"/>
          </w:tcPr>
          <w:p w14:paraId="539292B2" w14:textId="77777777" w:rsidR="00191170" w:rsidRPr="00191170" w:rsidRDefault="00191170" w:rsidP="003C08F2">
            <w:pPr>
              <w:pBdr>
                <w:top w:val="nil"/>
                <w:left w:val="nil"/>
                <w:bottom w:val="nil"/>
                <w:right w:val="nil"/>
                <w:between w:val="nil"/>
              </w:pBdr>
              <w:spacing w:line="240" w:lineRule="auto"/>
              <w:jc w:val="both"/>
              <w:rPr>
                <w:rFonts w:cs="Arial"/>
                <w:szCs w:val="20"/>
              </w:rPr>
            </w:pPr>
            <w:r w:rsidRPr="00191170">
              <w:rPr>
                <w:rFonts w:cs="Arial"/>
                <w:szCs w:val="20"/>
              </w:rPr>
              <w:t>Denar</w:t>
            </w:r>
          </w:p>
        </w:tc>
        <w:tc>
          <w:tcPr>
            <w:tcW w:w="952" w:type="pct"/>
            <w:vAlign w:val="center"/>
          </w:tcPr>
          <w:p w14:paraId="391296CC" w14:textId="707A1C19" w:rsidR="00191170" w:rsidRPr="00191170" w:rsidRDefault="006D3C03" w:rsidP="003C08F2">
            <w:pPr>
              <w:pBdr>
                <w:top w:val="nil"/>
                <w:left w:val="nil"/>
                <w:bottom w:val="nil"/>
                <w:right w:val="nil"/>
                <w:between w:val="nil"/>
              </w:pBdr>
              <w:spacing w:line="240" w:lineRule="auto"/>
              <w:jc w:val="both"/>
              <w:rPr>
                <w:rFonts w:cs="Arial"/>
                <w:szCs w:val="20"/>
              </w:rPr>
            </w:pPr>
            <w:r>
              <w:rPr>
                <w:rFonts w:cs="Arial"/>
                <w:szCs w:val="20"/>
              </w:rPr>
              <w:t xml:space="preserve">  </w:t>
            </w:r>
            <w:r w:rsidR="00191170" w:rsidRPr="00191170">
              <w:rPr>
                <w:rFonts w:cs="Arial"/>
                <w:szCs w:val="20"/>
              </w:rPr>
              <w:t>2,30 %</w:t>
            </w:r>
          </w:p>
        </w:tc>
      </w:tr>
    </w:tbl>
    <w:p w14:paraId="0275C0BB" w14:textId="77777777" w:rsidR="006D450E" w:rsidRDefault="006D450E" w:rsidP="006D450E">
      <w:pPr>
        <w:spacing w:line="240" w:lineRule="auto"/>
        <w:rPr>
          <w:rFonts w:cs="Arial"/>
          <w:szCs w:val="20"/>
        </w:rPr>
      </w:pPr>
    </w:p>
    <w:p w14:paraId="6673C585" w14:textId="38B492F0" w:rsidR="00F51E2B" w:rsidRPr="00191170" w:rsidRDefault="00F51E2B" w:rsidP="006D450E">
      <w:pPr>
        <w:spacing w:line="240" w:lineRule="auto"/>
        <w:jc w:val="center"/>
        <w:rPr>
          <w:rFonts w:cs="Arial"/>
          <w:sz w:val="18"/>
          <w:szCs w:val="18"/>
        </w:rPr>
      </w:pPr>
      <w:r w:rsidRPr="007B4566">
        <w:rPr>
          <w:rFonts w:cs="Arial"/>
          <w:sz w:val="18"/>
          <w:szCs w:val="18"/>
        </w:rPr>
        <w:t>Vir: Modra zavarovalnica</w:t>
      </w:r>
    </w:p>
    <w:p w14:paraId="2FCC2727" w14:textId="026D5C75" w:rsidR="00191170" w:rsidRPr="00191170" w:rsidRDefault="00191170" w:rsidP="003C08F2">
      <w:pPr>
        <w:spacing w:line="240" w:lineRule="auto"/>
        <w:jc w:val="both"/>
        <w:rPr>
          <w:rFonts w:cs="Arial"/>
          <w:szCs w:val="20"/>
        </w:rPr>
      </w:pPr>
    </w:p>
    <w:bookmarkEnd w:id="6"/>
    <w:p w14:paraId="39744879" w14:textId="77777777" w:rsidR="00F51E2B" w:rsidRDefault="00F51E2B" w:rsidP="003C08F2">
      <w:pPr>
        <w:spacing w:line="240" w:lineRule="auto"/>
        <w:jc w:val="both"/>
        <w:rPr>
          <w:rFonts w:cs="Arial"/>
          <w:szCs w:val="20"/>
        </w:rPr>
      </w:pPr>
    </w:p>
    <w:p w14:paraId="06F9FE11" w14:textId="1F3CECAF" w:rsidR="006D450E" w:rsidRPr="009756EB" w:rsidRDefault="00D67971" w:rsidP="003C08F2">
      <w:pPr>
        <w:spacing w:line="240" w:lineRule="auto"/>
        <w:jc w:val="both"/>
        <w:rPr>
          <w:rFonts w:cs="Arial"/>
          <w:szCs w:val="20"/>
        </w:rPr>
      </w:pPr>
      <w:r w:rsidRPr="009756EB">
        <w:rPr>
          <w:rFonts w:cs="Arial"/>
          <w:szCs w:val="20"/>
        </w:rPr>
        <w:t xml:space="preserve">Netržne naložbe so ob koncu leta 2024 </w:t>
      </w:r>
      <w:r w:rsidR="006D3C03">
        <w:rPr>
          <w:rFonts w:cs="Arial"/>
          <w:szCs w:val="20"/>
        </w:rPr>
        <w:t>znaš</w:t>
      </w:r>
      <w:r w:rsidRPr="009756EB">
        <w:rPr>
          <w:rFonts w:cs="Arial"/>
          <w:szCs w:val="20"/>
        </w:rPr>
        <w:t>ale 10,44</w:t>
      </w:r>
      <w:r w:rsidR="006D3C03">
        <w:rPr>
          <w:rFonts w:cs="Arial"/>
          <w:szCs w:val="20"/>
        </w:rPr>
        <w:t> </w:t>
      </w:r>
      <w:r w:rsidRPr="009756EB">
        <w:rPr>
          <w:rFonts w:cs="Arial"/>
          <w:szCs w:val="20"/>
        </w:rPr>
        <w:t>% oz</w:t>
      </w:r>
      <w:r w:rsidR="006D3C03">
        <w:rPr>
          <w:rFonts w:cs="Arial"/>
          <w:szCs w:val="20"/>
        </w:rPr>
        <w:t>iroma</w:t>
      </w:r>
      <w:r w:rsidRPr="009756EB">
        <w:rPr>
          <w:rFonts w:cs="Arial"/>
          <w:szCs w:val="20"/>
        </w:rPr>
        <w:t xml:space="preserve"> 1,12 milijon</w:t>
      </w:r>
      <w:r w:rsidR="006D3C03">
        <w:rPr>
          <w:rFonts w:cs="Arial"/>
          <w:szCs w:val="20"/>
        </w:rPr>
        <w:t>a</w:t>
      </w:r>
      <w:r w:rsidRPr="009756EB">
        <w:rPr>
          <w:rFonts w:cs="Arial"/>
          <w:szCs w:val="20"/>
        </w:rPr>
        <w:t xml:space="preserve"> </w:t>
      </w:r>
      <w:r w:rsidR="008E46B2">
        <w:rPr>
          <w:rFonts w:cs="Arial"/>
          <w:szCs w:val="20"/>
        </w:rPr>
        <w:t>evrov</w:t>
      </w:r>
      <w:r w:rsidR="008E46B2" w:rsidRPr="009756EB">
        <w:rPr>
          <w:rFonts w:cs="Arial"/>
          <w:szCs w:val="20"/>
        </w:rPr>
        <w:t xml:space="preserve"> </w:t>
      </w:r>
      <w:r w:rsidRPr="009756EB">
        <w:rPr>
          <w:rFonts w:cs="Arial"/>
          <w:szCs w:val="20"/>
        </w:rPr>
        <w:t>sredstev PPS.</w:t>
      </w:r>
    </w:p>
    <w:p w14:paraId="404B242B" w14:textId="77777777" w:rsidR="006D450E" w:rsidRDefault="006D450E" w:rsidP="003C08F2">
      <w:pPr>
        <w:spacing w:line="240" w:lineRule="auto"/>
        <w:jc w:val="both"/>
        <w:rPr>
          <w:rFonts w:cs="Arial"/>
          <w:szCs w:val="20"/>
          <w:u w:val="single"/>
        </w:rPr>
      </w:pPr>
    </w:p>
    <w:p w14:paraId="1D0FD7FA" w14:textId="77777777" w:rsidR="006D450E" w:rsidRDefault="006D450E" w:rsidP="003C08F2">
      <w:pPr>
        <w:spacing w:line="240" w:lineRule="auto"/>
        <w:jc w:val="both"/>
        <w:rPr>
          <w:rFonts w:cs="Arial"/>
          <w:szCs w:val="20"/>
          <w:u w:val="single"/>
        </w:rPr>
      </w:pPr>
    </w:p>
    <w:p w14:paraId="0AA9F9D1" w14:textId="77777777" w:rsidR="009756EB" w:rsidRDefault="009756EB" w:rsidP="003C08F2">
      <w:pPr>
        <w:spacing w:line="240" w:lineRule="auto"/>
        <w:jc w:val="both"/>
        <w:rPr>
          <w:rFonts w:cs="Arial"/>
          <w:szCs w:val="20"/>
          <w:u w:val="single"/>
        </w:rPr>
      </w:pPr>
    </w:p>
    <w:p w14:paraId="657E16B6" w14:textId="77777777" w:rsidR="00EB242D" w:rsidRDefault="00EB242D" w:rsidP="003C08F2">
      <w:pPr>
        <w:spacing w:line="240" w:lineRule="auto"/>
        <w:jc w:val="both"/>
        <w:rPr>
          <w:rFonts w:cs="Arial"/>
          <w:szCs w:val="20"/>
          <w:u w:val="single"/>
        </w:rPr>
      </w:pPr>
    </w:p>
    <w:p w14:paraId="2E6E73C8" w14:textId="77777777" w:rsidR="00E77E25" w:rsidRDefault="00E77E25" w:rsidP="003C08F2">
      <w:pPr>
        <w:spacing w:line="240" w:lineRule="auto"/>
        <w:jc w:val="both"/>
        <w:rPr>
          <w:rFonts w:cs="Arial"/>
          <w:szCs w:val="20"/>
          <w:u w:val="single"/>
        </w:rPr>
      </w:pPr>
    </w:p>
    <w:p w14:paraId="4606DA03" w14:textId="0621D106" w:rsidR="00191170" w:rsidRPr="00191170" w:rsidRDefault="00191170" w:rsidP="003C08F2">
      <w:pPr>
        <w:spacing w:line="240" w:lineRule="auto"/>
        <w:jc w:val="both"/>
        <w:rPr>
          <w:rFonts w:cs="Arial"/>
          <w:szCs w:val="20"/>
          <w:u w:val="single"/>
        </w:rPr>
      </w:pPr>
      <w:r w:rsidRPr="00191170">
        <w:rPr>
          <w:rFonts w:cs="Arial"/>
          <w:szCs w:val="20"/>
          <w:u w:val="single"/>
        </w:rPr>
        <w:lastRenderedPageBreak/>
        <w:t>Izplačila</w:t>
      </w:r>
      <w:r w:rsidR="00F51E2B">
        <w:rPr>
          <w:rFonts w:cs="Arial"/>
          <w:szCs w:val="20"/>
          <w:u w:val="single"/>
        </w:rPr>
        <w:t xml:space="preserve"> pokojninski</w:t>
      </w:r>
      <w:r w:rsidR="006D3C03">
        <w:rPr>
          <w:rFonts w:cs="Arial"/>
          <w:szCs w:val="20"/>
          <w:u w:val="single"/>
        </w:rPr>
        <w:t>h</w:t>
      </w:r>
      <w:r w:rsidR="00F51E2B">
        <w:rPr>
          <w:rFonts w:cs="Arial"/>
          <w:szCs w:val="20"/>
          <w:u w:val="single"/>
        </w:rPr>
        <w:t xml:space="preserve"> rent</w:t>
      </w:r>
    </w:p>
    <w:p w14:paraId="22DD5527" w14:textId="77777777" w:rsidR="00EB242D" w:rsidRDefault="00EB242D" w:rsidP="003C08F2">
      <w:pPr>
        <w:spacing w:line="240" w:lineRule="auto"/>
        <w:jc w:val="both"/>
        <w:rPr>
          <w:rFonts w:cs="Arial"/>
          <w:szCs w:val="20"/>
        </w:rPr>
      </w:pPr>
    </w:p>
    <w:p w14:paraId="0FE66C93" w14:textId="313A4106" w:rsidR="00191170" w:rsidRPr="00191170" w:rsidRDefault="00191170" w:rsidP="003C08F2">
      <w:pPr>
        <w:spacing w:line="240" w:lineRule="auto"/>
        <w:jc w:val="both"/>
        <w:rPr>
          <w:rFonts w:cs="Arial"/>
          <w:szCs w:val="20"/>
        </w:rPr>
      </w:pPr>
      <w:r w:rsidRPr="00191170">
        <w:rPr>
          <w:rFonts w:cs="Arial"/>
          <w:szCs w:val="20"/>
        </w:rPr>
        <w:t xml:space="preserve">Zavarovalna polica dodatnega pokojninskega zavarovanja PPS je zavarovalna polica, ki zavarovancu zagotavlja naslednje pravice: </w:t>
      </w:r>
    </w:p>
    <w:p w14:paraId="15E001D2" w14:textId="7F50C452" w:rsidR="00191170" w:rsidRPr="00F51E2B" w:rsidRDefault="00191170" w:rsidP="00871993">
      <w:pPr>
        <w:pStyle w:val="Odstavekseznama"/>
        <w:numPr>
          <w:ilvl w:val="0"/>
          <w:numId w:val="16"/>
        </w:numPr>
        <w:spacing w:line="240" w:lineRule="auto"/>
        <w:jc w:val="both"/>
        <w:rPr>
          <w:rFonts w:cs="Arial"/>
          <w:szCs w:val="20"/>
        </w:rPr>
      </w:pPr>
      <w:r w:rsidRPr="00F51E2B">
        <w:rPr>
          <w:rFonts w:cs="Arial"/>
          <w:szCs w:val="20"/>
        </w:rPr>
        <w:t xml:space="preserve">pravico do pokojninske rente, ki jo imetnik </w:t>
      </w:r>
      <w:r w:rsidR="0061634B" w:rsidRPr="00F51E2B">
        <w:rPr>
          <w:rFonts w:cs="Arial"/>
          <w:szCs w:val="20"/>
        </w:rPr>
        <w:t xml:space="preserve">pridobi </w:t>
      </w:r>
      <w:r w:rsidRPr="00F51E2B">
        <w:rPr>
          <w:rFonts w:cs="Arial"/>
          <w:szCs w:val="20"/>
        </w:rPr>
        <w:t>z dopolnjenim 60. letom starosti (redno prenehanje članstva)</w:t>
      </w:r>
      <w:r w:rsidR="00F51E2B">
        <w:rPr>
          <w:rFonts w:cs="Arial"/>
          <w:szCs w:val="20"/>
        </w:rPr>
        <w:t>;</w:t>
      </w:r>
    </w:p>
    <w:p w14:paraId="4DB29487" w14:textId="79117A66" w:rsidR="00191170" w:rsidRPr="00F51E2B" w:rsidRDefault="00191170" w:rsidP="00871993">
      <w:pPr>
        <w:pStyle w:val="Odstavekseznama"/>
        <w:numPr>
          <w:ilvl w:val="0"/>
          <w:numId w:val="16"/>
        </w:numPr>
        <w:spacing w:line="240" w:lineRule="auto"/>
        <w:jc w:val="both"/>
        <w:rPr>
          <w:rFonts w:cs="Arial"/>
          <w:szCs w:val="20"/>
        </w:rPr>
      </w:pPr>
      <w:r w:rsidRPr="00F51E2B">
        <w:rPr>
          <w:rFonts w:cs="Arial"/>
          <w:szCs w:val="20"/>
        </w:rPr>
        <w:t xml:space="preserve">če zavarovanec umre pred pridobitvijo pravice do pokojninske rente, </w:t>
      </w:r>
      <w:r w:rsidR="0061634B">
        <w:rPr>
          <w:rFonts w:cs="Arial"/>
          <w:szCs w:val="20"/>
        </w:rPr>
        <w:t xml:space="preserve">se </w:t>
      </w:r>
      <w:r w:rsidRPr="00F51E2B">
        <w:rPr>
          <w:rFonts w:cs="Arial"/>
          <w:szCs w:val="20"/>
        </w:rPr>
        <w:t xml:space="preserve">pravica do zavarovalne vsote v višini odkupne vrednosti police </w:t>
      </w:r>
      <w:r w:rsidR="0061634B">
        <w:rPr>
          <w:rFonts w:cs="Arial"/>
          <w:szCs w:val="20"/>
        </w:rPr>
        <w:t xml:space="preserve">vključi v </w:t>
      </w:r>
      <w:r w:rsidRPr="00F51E2B">
        <w:rPr>
          <w:rFonts w:cs="Arial"/>
          <w:szCs w:val="20"/>
        </w:rPr>
        <w:t>njegov</w:t>
      </w:r>
      <w:r w:rsidR="0061634B">
        <w:rPr>
          <w:rFonts w:cs="Arial"/>
          <w:szCs w:val="20"/>
        </w:rPr>
        <w:t>o</w:t>
      </w:r>
      <w:r w:rsidRPr="00F51E2B">
        <w:rPr>
          <w:rFonts w:cs="Arial"/>
          <w:szCs w:val="20"/>
        </w:rPr>
        <w:t xml:space="preserve"> zapuščin</w:t>
      </w:r>
      <w:r w:rsidR="0061634B">
        <w:rPr>
          <w:rFonts w:cs="Arial"/>
          <w:szCs w:val="20"/>
        </w:rPr>
        <w:t>o</w:t>
      </w:r>
      <w:r w:rsidRPr="00F51E2B">
        <w:rPr>
          <w:rFonts w:cs="Arial"/>
          <w:szCs w:val="20"/>
        </w:rPr>
        <w:t xml:space="preserve"> in preide kot del njegove zapuščine na njegove dediče (izredno prenehanje članstva).</w:t>
      </w:r>
    </w:p>
    <w:p w14:paraId="4C17ACB5" w14:textId="77777777" w:rsidR="00F51E2B" w:rsidRDefault="00F51E2B" w:rsidP="003C08F2">
      <w:pPr>
        <w:spacing w:line="240" w:lineRule="auto"/>
        <w:jc w:val="both"/>
        <w:rPr>
          <w:rFonts w:cs="Arial"/>
          <w:szCs w:val="20"/>
        </w:rPr>
      </w:pPr>
    </w:p>
    <w:p w14:paraId="56F8E492" w14:textId="2303C477" w:rsidR="00191170" w:rsidRPr="00191170" w:rsidRDefault="00191170" w:rsidP="003C08F2">
      <w:pPr>
        <w:spacing w:line="240" w:lineRule="auto"/>
        <w:jc w:val="both"/>
        <w:rPr>
          <w:rFonts w:cs="Arial"/>
          <w:szCs w:val="20"/>
        </w:rPr>
      </w:pPr>
      <w:r w:rsidRPr="00191170">
        <w:rPr>
          <w:rFonts w:cs="Arial"/>
          <w:szCs w:val="20"/>
        </w:rPr>
        <w:t xml:space="preserve">Za kritje obveznosti iz naslova izplačil pokojninskih rent je oblikovan </w:t>
      </w:r>
      <w:r w:rsidR="0061634B">
        <w:rPr>
          <w:rFonts w:cs="Arial"/>
          <w:szCs w:val="20"/>
        </w:rPr>
        <w:t>k</w:t>
      </w:r>
      <w:r w:rsidRPr="00191170">
        <w:rPr>
          <w:rFonts w:cs="Arial"/>
          <w:szCs w:val="20"/>
        </w:rPr>
        <w:t xml:space="preserve">ritni sklad PPS. Ko zavarovanec uveljavi pravico do pokojninske rente, se na </w:t>
      </w:r>
      <w:r w:rsidR="0061634B">
        <w:rPr>
          <w:rFonts w:cs="Arial"/>
          <w:szCs w:val="20"/>
        </w:rPr>
        <w:t>k</w:t>
      </w:r>
      <w:r w:rsidRPr="00191170">
        <w:rPr>
          <w:rFonts w:cs="Arial"/>
          <w:szCs w:val="20"/>
        </w:rPr>
        <w:t xml:space="preserve">ritni sklad PPS prenese sorazmerni del sredstev, ki ustreza čisti vrednosti enot premoženja police v trenutku, ko imetnik police izpolni pogoje za pridobitev pravice do pokojninske rente. </w:t>
      </w:r>
    </w:p>
    <w:p w14:paraId="73D23E28" w14:textId="77777777" w:rsidR="00F51E2B" w:rsidRDefault="00F51E2B" w:rsidP="003C08F2">
      <w:pPr>
        <w:spacing w:line="240" w:lineRule="auto"/>
        <w:jc w:val="both"/>
        <w:rPr>
          <w:rFonts w:cs="Arial"/>
          <w:szCs w:val="20"/>
        </w:rPr>
      </w:pPr>
    </w:p>
    <w:p w14:paraId="2565939A" w14:textId="6294E158" w:rsidR="00191170" w:rsidRPr="00191170" w:rsidRDefault="00191170" w:rsidP="003C08F2">
      <w:pPr>
        <w:spacing w:line="240" w:lineRule="auto"/>
        <w:jc w:val="both"/>
        <w:rPr>
          <w:rFonts w:cs="Arial"/>
          <w:szCs w:val="20"/>
        </w:rPr>
      </w:pPr>
      <w:r w:rsidRPr="00191170">
        <w:rPr>
          <w:rFonts w:cs="Arial"/>
          <w:szCs w:val="20"/>
        </w:rPr>
        <w:t xml:space="preserve">Višina pokojninske rente PPS se izračuna z uporabo aktuarskih metod vrednotenja ob upoštevanju vrednosti enot premoženja na osebnem računu in zajamčenega donosa. Modra zavarovalnica, d. d., lahko na podlagi določil ZPSPID in splošnih pogojev PPS-SP01 zaradi racionalizacije poslovanja v dobro prejemnika pokojninske rente spremeni način izplačevanja rente, in sicer: </w:t>
      </w:r>
    </w:p>
    <w:p w14:paraId="44DC3743" w14:textId="77777777" w:rsidR="00191170" w:rsidRPr="00832C8E" w:rsidRDefault="00191170" w:rsidP="00871993">
      <w:pPr>
        <w:pStyle w:val="Odstavekseznama"/>
        <w:numPr>
          <w:ilvl w:val="0"/>
          <w:numId w:val="17"/>
        </w:numPr>
        <w:spacing w:line="240" w:lineRule="auto"/>
        <w:jc w:val="both"/>
        <w:rPr>
          <w:rFonts w:cs="Arial"/>
          <w:szCs w:val="20"/>
        </w:rPr>
      </w:pPr>
      <w:r w:rsidRPr="00832C8E">
        <w:rPr>
          <w:rFonts w:cs="Arial"/>
          <w:szCs w:val="20"/>
        </w:rPr>
        <w:t xml:space="preserve">skupina A: zavarovancem/članom, ki imajo na osebnem računu manj kot 2.000 točk, se izplača enkratna pokojninska renta, </w:t>
      </w:r>
    </w:p>
    <w:p w14:paraId="4F40E7A5" w14:textId="1A9E4B2F" w:rsidR="00191170" w:rsidRDefault="00191170" w:rsidP="00871993">
      <w:pPr>
        <w:pStyle w:val="Odstavekseznama"/>
        <w:numPr>
          <w:ilvl w:val="0"/>
          <w:numId w:val="17"/>
        </w:numPr>
        <w:spacing w:line="240" w:lineRule="auto"/>
        <w:jc w:val="both"/>
        <w:rPr>
          <w:rFonts w:cs="Arial"/>
          <w:szCs w:val="20"/>
        </w:rPr>
      </w:pPr>
      <w:r w:rsidRPr="00832C8E">
        <w:rPr>
          <w:rFonts w:cs="Arial"/>
          <w:szCs w:val="20"/>
        </w:rPr>
        <w:t xml:space="preserve">skupina B: zavarovancem/članom, ki so imetniki več kot 2.000 </w:t>
      </w:r>
      <w:r w:rsidR="0061634B">
        <w:rPr>
          <w:rFonts w:cs="Arial"/>
          <w:szCs w:val="20"/>
        </w:rPr>
        <w:t xml:space="preserve">točk in </w:t>
      </w:r>
      <w:r w:rsidRPr="00832C8E">
        <w:rPr>
          <w:rFonts w:cs="Arial"/>
          <w:szCs w:val="20"/>
        </w:rPr>
        <w:t>do 5.000 točk, se izplačuje letna pokojninska rent</w:t>
      </w:r>
      <w:r w:rsidR="0061634B">
        <w:rPr>
          <w:rFonts w:cs="Arial"/>
          <w:szCs w:val="20"/>
        </w:rPr>
        <w:t>a</w:t>
      </w:r>
      <w:r w:rsidR="00832C8E">
        <w:rPr>
          <w:rFonts w:cs="Arial"/>
          <w:szCs w:val="20"/>
        </w:rPr>
        <w:t>.</w:t>
      </w:r>
    </w:p>
    <w:p w14:paraId="2634AB4C" w14:textId="77777777" w:rsidR="00832C8E" w:rsidRPr="00832C8E" w:rsidRDefault="00832C8E" w:rsidP="00832C8E">
      <w:pPr>
        <w:pStyle w:val="Odstavekseznama"/>
        <w:spacing w:line="240" w:lineRule="auto"/>
        <w:jc w:val="both"/>
        <w:rPr>
          <w:rFonts w:cs="Arial"/>
          <w:szCs w:val="20"/>
        </w:rPr>
      </w:pPr>
    </w:p>
    <w:p w14:paraId="08038AC6" w14:textId="7BFB4717" w:rsidR="00191170" w:rsidRPr="00191170" w:rsidRDefault="00832C8E" w:rsidP="003C08F2">
      <w:pPr>
        <w:spacing w:line="240" w:lineRule="auto"/>
        <w:jc w:val="both"/>
        <w:rPr>
          <w:rFonts w:cs="Arial"/>
          <w:szCs w:val="20"/>
        </w:rPr>
      </w:pPr>
      <w:r>
        <w:rPr>
          <w:rFonts w:cs="Arial"/>
          <w:szCs w:val="20"/>
        </w:rPr>
        <w:t>Pri d</w:t>
      </w:r>
      <w:r w:rsidR="00191170" w:rsidRPr="00191170">
        <w:rPr>
          <w:rFonts w:cs="Arial"/>
          <w:szCs w:val="20"/>
        </w:rPr>
        <w:t>oživljenjsk</w:t>
      </w:r>
      <w:r>
        <w:rPr>
          <w:rFonts w:cs="Arial"/>
          <w:szCs w:val="20"/>
        </w:rPr>
        <w:t>i</w:t>
      </w:r>
      <w:r w:rsidR="00191170" w:rsidRPr="00191170">
        <w:rPr>
          <w:rFonts w:cs="Arial"/>
          <w:szCs w:val="20"/>
        </w:rPr>
        <w:t xml:space="preserve"> pokojninsk</w:t>
      </w:r>
      <w:r>
        <w:rPr>
          <w:rFonts w:cs="Arial"/>
          <w:szCs w:val="20"/>
        </w:rPr>
        <w:t>i</w:t>
      </w:r>
      <w:r w:rsidR="00191170" w:rsidRPr="00191170">
        <w:rPr>
          <w:rFonts w:cs="Arial"/>
          <w:szCs w:val="20"/>
        </w:rPr>
        <w:t xml:space="preserve"> rent</w:t>
      </w:r>
      <w:r>
        <w:rPr>
          <w:rFonts w:cs="Arial"/>
          <w:szCs w:val="20"/>
        </w:rPr>
        <w:t>i</w:t>
      </w:r>
      <w:r w:rsidR="00191170" w:rsidRPr="00191170">
        <w:rPr>
          <w:rFonts w:cs="Arial"/>
          <w:szCs w:val="20"/>
        </w:rPr>
        <w:t xml:space="preserve"> z zajamčeno dobo izplačevanja zavarovanec določi upravičenca, ki mu za obdobje izbrane zajamčene dobe 5,</w:t>
      </w:r>
      <w:r>
        <w:rPr>
          <w:rFonts w:cs="Arial"/>
          <w:szCs w:val="20"/>
        </w:rPr>
        <w:t xml:space="preserve"> </w:t>
      </w:r>
      <w:r w:rsidR="00191170" w:rsidRPr="00191170">
        <w:rPr>
          <w:rFonts w:cs="Arial"/>
          <w:szCs w:val="20"/>
        </w:rPr>
        <w:t>10 ali 15 let pripada pokojninska renta ob morebitni smrti zavarovanca. V primeru, da zavarovanec preživi izbrano obdobje zajamčene dobe, pravica upravičencu ugasne, zavarovanec pa rento prejema do svoje smrti.</w:t>
      </w:r>
    </w:p>
    <w:p w14:paraId="3724B875" w14:textId="77777777" w:rsidR="00832C8E" w:rsidRDefault="00832C8E" w:rsidP="003C08F2">
      <w:pPr>
        <w:spacing w:line="240" w:lineRule="auto"/>
        <w:jc w:val="both"/>
        <w:rPr>
          <w:rFonts w:cs="Arial"/>
          <w:szCs w:val="20"/>
        </w:rPr>
      </w:pPr>
    </w:p>
    <w:p w14:paraId="0AEF7BA4" w14:textId="4876864A" w:rsidR="00191170" w:rsidRPr="00191170" w:rsidRDefault="008E46B2" w:rsidP="003C08F2">
      <w:pPr>
        <w:spacing w:line="240" w:lineRule="auto"/>
        <w:jc w:val="both"/>
        <w:rPr>
          <w:rFonts w:cs="Arial"/>
          <w:szCs w:val="20"/>
        </w:rPr>
      </w:pPr>
      <w:r>
        <w:rPr>
          <w:rFonts w:cs="Arial"/>
          <w:szCs w:val="20"/>
        </w:rPr>
        <w:t>Z</w:t>
      </w:r>
      <w:r w:rsidRPr="00191170">
        <w:rPr>
          <w:rFonts w:cs="Arial"/>
          <w:szCs w:val="20"/>
        </w:rPr>
        <w:t xml:space="preserve">avarovanec </w:t>
      </w:r>
      <w:r>
        <w:rPr>
          <w:rFonts w:cs="Arial"/>
          <w:szCs w:val="20"/>
        </w:rPr>
        <w:t>je o</w:t>
      </w:r>
      <w:r w:rsidR="00191170" w:rsidRPr="00191170">
        <w:rPr>
          <w:rFonts w:cs="Arial"/>
          <w:szCs w:val="20"/>
        </w:rPr>
        <w:t xml:space="preserve"> možnostih, med katerimi lahko izbira, pisno obveščen v mesecu pred dopolnitvijo 60 let, </w:t>
      </w:r>
      <w:r>
        <w:rPr>
          <w:rFonts w:cs="Arial"/>
          <w:szCs w:val="20"/>
        </w:rPr>
        <w:t xml:space="preserve">in sicer </w:t>
      </w:r>
      <w:r w:rsidR="00191170" w:rsidRPr="00191170">
        <w:rPr>
          <w:rFonts w:cs="Arial"/>
          <w:szCs w:val="20"/>
        </w:rPr>
        <w:t xml:space="preserve">s predstavitvijo različnih vrst rent, vključno z njihovimi višinami in pozivom, da sporoči svojo odločitev ter bančni račun za nakazilo rente. </w:t>
      </w:r>
    </w:p>
    <w:p w14:paraId="34B7E305" w14:textId="16C52990" w:rsidR="00191170" w:rsidRPr="00191170" w:rsidRDefault="00191170" w:rsidP="003C08F2">
      <w:pPr>
        <w:spacing w:line="240" w:lineRule="auto"/>
        <w:jc w:val="both"/>
        <w:rPr>
          <w:rFonts w:cs="Arial"/>
          <w:szCs w:val="20"/>
        </w:rPr>
      </w:pPr>
    </w:p>
    <w:p w14:paraId="0D8D0532" w14:textId="77777777" w:rsidR="00191170" w:rsidRPr="00191170" w:rsidRDefault="00191170" w:rsidP="003C08F2">
      <w:pPr>
        <w:spacing w:line="240" w:lineRule="auto"/>
        <w:jc w:val="both"/>
        <w:rPr>
          <w:rFonts w:cs="Arial"/>
          <w:szCs w:val="20"/>
          <w:u w:val="single"/>
        </w:rPr>
      </w:pPr>
      <w:r w:rsidRPr="00191170">
        <w:rPr>
          <w:rFonts w:cs="Arial"/>
          <w:szCs w:val="20"/>
          <w:u w:val="single"/>
        </w:rPr>
        <w:t>Podatki o članih PPS</w:t>
      </w:r>
    </w:p>
    <w:p w14:paraId="6AF41D60" w14:textId="77777777" w:rsidR="00832C8E" w:rsidRDefault="00832C8E" w:rsidP="003C08F2">
      <w:pPr>
        <w:spacing w:line="240" w:lineRule="auto"/>
        <w:jc w:val="both"/>
        <w:rPr>
          <w:rFonts w:cs="Arial"/>
          <w:szCs w:val="20"/>
        </w:rPr>
      </w:pPr>
    </w:p>
    <w:p w14:paraId="760D027D" w14:textId="3F57C0C1" w:rsidR="00191170" w:rsidRPr="00191170" w:rsidRDefault="00191170" w:rsidP="003C08F2">
      <w:pPr>
        <w:spacing w:line="240" w:lineRule="auto"/>
        <w:jc w:val="both"/>
        <w:rPr>
          <w:rFonts w:cs="Arial"/>
          <w:szCs w:val="20"/>
        </w:rPr>
      </w:pPr>
      <w:r w:rsidRPr="00191170">
        <w:rPr>
          <w:rFonts w:cs="Arial"/>
          <w:szCs w:val="20"/>
        </w:rPr>
        <w:t xml:space="preserve">Vsak zavarovanec PPS ima na osebnem kapitalskem računu evidentirane enote premoženja (točke), pridobljene z zamenjavo pokojninskih bonov. Lahko ima več polic, vodenih na enotnem osebnem kapitalskem računu, pri čemer se pri uveljavitvi pravice do pokojninske rente upošteva vsota vseh enot premoženja (točk) v lasti zavarovanca. </w:t>
      </w:r>
    </w:p>
    <w:p w14:paraId="73107E7D" w14:textId="77777777" w:rsidR="00871993" w:rsidRDefault="00871993" w:rsidP="003C08F2">
      <w:pPr>
        <w:spacing w:line="240" w:lineRule="auto"/>
        <w:jc w:val="both"/>
        <w:rPr>
          <w:rFonts w:cs="Arial"/>
          <w:szCs w:val="20"/>
        </w:rPr>
      </w:pPr>
    </w:p>
    <w:p w14:paraId="6C255F82" w14:textId="248A9205" w:rsidR="00191170" w:rsidRPr="00191170" w:rsidRDefault="00191170" w:rsidP="003C08F2">
      <w:pPr>
        <w:spacing w:line="240" w:lineRule="auto"/>
        <w:jc w:val="both"/>
        <w:rPr>
          <w:rFonts w:cs="Arial"/>
          <w:szCs w:val="20"/>
        </w:rPr>
      </w:pPr>
      <w:r w:rsidRPr="00191170">
        <w:rPr>
          <w:rFonts w:cs="Arial"/>
          <w:szCs w:val="20"/>
        </w:rPr>
        <w:t>Po stanju na dan 28. 2. 2025 je v varčevalnem skladu PPS 11.840 članov, ki imajo skupaj 10.317.434 enot premoženja. Zajamčena vrednost sklada znaša 13.884.170 evrov.</w:t>
      </w:r>
    </w:p>
    <w:p w14:paraId="30A2EA2A" w14:textId="77777777" w:rsidR="00871993" w:rsidRDefault="00871993" w:rsidP="003C08F2">
      <w:pPr>
        <w:spacing w:line="240" w:lineRule="auto"/>
        <w:jc w:val="both"/>
        <w:rPr>
          <w:rFonts w:cs="Arial"/>
          <w:szCs w:val="20"/>
        </w:rPr>
      </w:pPr>
      <w:bookmarkStart w:id="7" w:name="_Hlk179898567"/>
    </w:p>
    <w:p w14:paraId="3644A3CC" w14:textId="060A94E9" w:rsidR="00191170" w:rsidRPr="00191170" w:rsidRDefault="00871993" w:rsidP="003C08F2">
      <w:pPr>
        <w:spacing w:line="240" w:lineRule="auto"/>
        <w:jc w:val="both"/>
        <w:rPr>
          <w:rFonts w:cs="Arial"/>
          <w:szCs w:val="20"/>
        </w:rPr>
      </w:pPr>
      <w:r>
        <w:rPr>
          <w:rFonts w:cs="Arial"/>
          <w:szCs w:val="20"/>
        </w:rPr>
        <w:t>Na</w:t>
      </w:r>
      <w:r w:rsidR="00191170" w:rsidRPr="00191170">
        <w:rPr>
          <w:rFonts w:cs="Arial"/>
          <w:szCs w:val="20"/>
        </w:rPr>
        <w:t xml:space="preserve"> dan 28. 2. 2025</w:t>
      </w:r>
      <w:r>
        <w:rPr>
          <w:rFonts w:cs="Arial"/>
          <w:szCs w:val="20"/>
        </w:rPr>
        <w:t xml:space="preserve"> se </w:t>
      </w:r>
      <w:r w:rsidR="00191170" w:rsidRPr="00191170">
        <w:rPr>
          <w:rFonts w:cs="Arial"/>
          <w:szCs w:val="20"/>
        </w:rPr>
        <w:t xml:space="preserve">94 % zavarovancev uvršča v skupino A (manj kot 2.000 točk), kar pomeni, da ob dopolnitvi 60 let lahko zahtevajo enkratno izplačilo rente. Povprečno zbrana sredstva v tej skupini znašajo 601 </w:t>
      </w:r>
      <w:r w:rsidR="008E46B2">
        <w:rPr>
          <w:rFonts w:cs="Arial"/>
          <w:szCs w:val="20"/>
        </w:rPr>
        <w:t>evro</w:t>
      </w:r>
      <w:r w:rsidR="00191170" w:rsidRPr="00191170">
        <w:rPr>
          <w:rFonts w:cs="Arial"/>
          <w:szCs w:val="20"/>
        </w:rPr>
        <w:t>.</w:t>
      </w:r>
      <w:r>
        <w:rPr>
          <w:rFonts w:cs="Arial"/>
          <w:szCs w:val="20"/>
        </w:rPr>
        <w:t xml:space="preserve"> </w:t>
      </w:r>
      <w:r w:rsidR="00191170" w:rsidRPr="00191170">
        <w:rPr>
          <w:rFonts w:cs="Arial"/>
          <w:szCs w:val="20"/>
        </w:rPr>
        <w:t>V skupini C, kjer imajo mesečno rento, je 5 % zavarovancev s povprečno zbranimi sredstvi v višini 13.016 evrov.</w:t>
      </w:r>
    </w:p>
    <w:p w14:paraId="01AAA3ED" w14:textId="77777777" w:rsidR="00871993" w:rsidRDefault="00871993" w:rsidP="003C08F2">
      <w:pPr>
        <w:spacing w:line="240" w:lineRule="auto"/>
        <w:jc w:val="both"/>
        <w:rPr>
          <w:rFonts w:cs="Arial"/>
          <w:szCs w:val="20"/>
        </w:rPr>
      </w:pPr>
    </w:p>
    <w:p w14:paraId="024C9AC9" w14:textId="0ED0D2A8" w:rsidR="00191170" w:rsidRPr="00191170" w:rsidRDefault="004D22B8" w:rsidP="003C08F2">
      <w:pPr>
        <w:spacing w:line="240" w:lineRule="auto"/>
        <w:jc w:val="both"/>
        <w:rPr>
          <w:rFonts w:cs="Arial"/>
          <w:sz w:val="18"/>
          <w:szCs w:val="18"/>
        </w:rPr>
      </w:pPr>
      <w:r>
        <w:rPr>
          <w:rFonts w:cs="Arial"/>
          <w:b/>
          <w:bCs/>
          <w:sz w:val="18"/>
          <w:szCs w:val="18"/>
        </w:rPr>
        <w:t>Preglednic</w:t>
      </w:r>
      <w:r w:rsidR="00191170" w:rsidRPr="00191170">
        <w:rPr>
          <w:rFonts w:cs="Arial"/>
          <w:b/>
          <w:bCs/>
          <w:sz w:val="18"/>
          <w:szCs w:val="18"/>
        </w:rPr>
        <w:t xml:space="preserve">a </w:t>
      </w:r>
      <w:r w:rsidR="00191170" w:rsidRPr="00191170">
        <w:rPr>
          <w:rFonts w:cs="Arial"/>
          <w:b/>
          <w:bCs/>
          <w:sz w:val="18"/>
          <w:szCs w:val="18"/>
        </w:rPr>
        <w:fldChar w:fldCharType="begin"/>
      </w:r>
      <w:r w:rsidR="00191170" w:rsidRPr="00191170">
        <w:rPr>
          <w:rFonts w:cs="Arial"/>
          <w:b/>
          <w:bCs/>
          <w:sz w:val="18"/>
          <w:szCs w:val="18"/>
        </w:rPr>
        <w:instrText xml:space="preserve"> SEQ Tabela \* ARABIC </w:instrText>
      </w:r>
      <w:r w:rsidR="00191170" w:rsidRPr="00191170">
        <w:rPr>
          <w:rFonts w:cs="Arial"/>
          <w:b/>
          <w:bCs/>
          <w:sz w:val="18"/>
          <w:szCs w:val="18"/>
        </w:rPr>
        <w:fldChar w:fldCharType="separate"/>
      </w:r>
      <w:r w:rsidR="00191170" w:rsidRPr="00191170">
        <w:rPr>
          <w:rFonts w:cs="Arial"/>
          <w:b/>
          <w:bCs/>
          <w:sz w:val="18"/>
          <w:szCs w:val="18"/>
        </w:rPr>
        <w:t>2</w:t>
      </w:r>
      <w:r w:rsidR="00191170" w:rsidRPr="00191170">
        <w:rPr>
          <w:rFonts w:cs="Arial"/>
          <w:b/>
          <w:bCs/>
          <w:sz w:val="18"/>
          <w:szCs w:val="18"/>
        </w:rPr>
        <w:fldChar w:fldCharType="end"/>
      </w:r>
      <w:r w:rsidR="00191170" w:rsidRPr="00191170">
        <w:rPr>
          <w:rFonts w:cs="Arial"/>
          <w:sz w:val="18"/>
          <w:szCs w:val="18"/>
        </w:rPr>
        <w:t>: S</w:t>
      </w:r>
      <w:r w:rsidR="007F73CA">
        <w:rPr>
          <w:rFonts w:cs="Arial"/>
          <w:sz w:val="18"/>
          <w:szCs w:val="18"/>
        </w:rPr>
        <w:t>estav</w:t>
      </w:r>
      <w:r w:rsidR="00191170" w:rsidRPr="00191170">
        <w:rPr>
          <w:rFonts w:cs="Arial"/>
          <w:sz w:val="18"/>
          <w:szCs w:val="18"/>
        </w:rPr>
        <w:t>a zavarovancev/članov po skupinah točk na dan 28.</w:t>
      </w:r>
      <w:r w:rsidR="008E46B2">
        <w:rPr>
          <w:rFonts w:cs="Arial"/>
          <w:sz w:val="18"/>
          <w:szCs w:val="18"/>
        </w:rPr>
        <w:t> </w:t>
      </w:r>
      <w:r w:rsidR="00191170" w:rsidRPr="00191170">
        <w:rPr>
          <w:rFonts w:cs="Arial"/>
          <w:sz w:val="18"/>
          <w:szCs w:val="18"/>
        </w:rPr>
        <w:t>2.</w:t>
      </w:r>
      <w:r w:rsidR="008E46B2">
        <w:rPr>
          <w:rFonts w:cs="Arial"/>
          <w:sz w:val="18"/>
          <w:szCs w:val="18"/>
        </w:rPr>
        <w:t> </w:t>
      </w:r>
      <w:r w:rsidR="00191170" w:rsidRPr="00191170">
        <w:rPr>
          <w:rFonts w:cs="Arial"/>
          <w:sz w:val="18"/>
          <w:szCs w:val="18"/>
        </w:rPr>
        <w:t>2025</w:t>
      </w:r>
    </w:p>
    <w:p w14:paraId="4FDAC40C" w14:textId="77777777" w:rsidR="00191170" w:rsidRPr="00191170" w:rsidRDefault="00191170" w:rsidP="003C08F2">
      <w:pPr>
        <w:spacing w:line="240" w:lineRule="auto"/>
        <w:jc w:val="both"/>
        <w:rPr>
          <w:rFonts w:cs="Arial"/>
          <w:szCs w:val="20"/>
        </w:rPr>
      </w:pPr>
    </w:p>
    <w:tbl>
      <w:tblPr>
        <w:tblStyle w:val="Tabelaseznam3poudarek11"/>
        <w:tblW w:w="7933" w:type="dxa"/>
        <w:jc w:val="center"/>
        <w:tblLook w:val="04A0" w:firstRow="1" w:lastRow="0" w:firstColumn="1" w:lastColumn="0" w:noHBand="0" w:noVBand="1"/>
      </w:tblPr>
      <w:tblGrid>
        <w:gridCol w:w="1980"/>
        <w:gridCol w:w="1843"/>
        <w:gridCol w:w="2126"/>
        <w:gridCol w:w="1984"/>
      </w:tblGrid>
      <w:tr w:rsidR="00191170" w:rsidRPr="003C08F2" w14:paraId="02A1BF65" w14:textId="77777777" w:rsidTr="005039CA">
        <w:trPr>
          <w:cnfStyle w:val="100000000000" w:firstRow="1" w:lastRow="0" w:firstColumn="0" w:lastColumn="0" w:oddVBand="0" w:evenVBand="0" w:oddHBand="0" w:evenHBand="0" w:firstRowFirstColumn="0" w:firstRowLastColumn="0" w:lastRowFirstColumn="0" w:lastRowLastColumn="0"/>
          <w:trHeight w:val="645"/>
          <w:jc w:val="center"/>
        </w:trPr>
        <w:tc>
          <w:tcPr>
            <w:cnfStyle w:val="001000000100" w:firstRow="0" w:lastRow="0" w:firstColumn="1" w:lastColumn="0" w:oddVBand="0" w:evenVBand="0" w:oddHBand="0" w:evenHBand="0" w:firstRowFirstColumn="1" w:firstRowLastColumn="0" w:lastRowFirstColumn="0" w:lastRowLastColumn="0"/>
            <w:tcW w:w="1980" w:type="dxa"/>
            <w:vAlign w:val="center"/>
          </w:tcPr>
          <w:p w14:paraId="169FCE97" w14:textId="77777777" w:rsidR="00191170" w:rsidRPr="00191170" w:rsidRDefault="00191170" w:rsidP="003C08F2">
            <w:pPr>
              <w:spacing w:line="240" w:lineRule="auto"/>
              <w:jc w:val="both"/>
              <w:rPr>
                <w:rFonts w:cs="Arial"/>
                <w:color w:val="auto"/>
                <w:szCs w:val="20"/>
              </w:rPr>
            </w:pPr>
            <w:r w:rsidRPr="00191170">
              <w:rPr>
                <w:rFonts w:cs="Arial"/>
                <w:color w:val="auto"/>
                <w:szCs w:val="20"/>
              </w:rPr>
              <w:t>Starost</w:t>
            </w:r>
          </w:p>
        </w:tc>
        <w:tc>
          <w:tcPr>
            <w:tcW w:w="1843" w:type="dxa"/>
            <w:vAlign w:val="center"/>
          </w:tcPr>
          <w:p w14:paraId="0BC53340" w14:textId="77777777" w:rsidR="00191170" w:rsidRPr="00191170" w:rsidRDefault="00191170" w:rsidP="003C08F2">
            <w:pPr>
              <w:spacing w:line="240" w:lineRule="auto"/>
              <w:jc w:val="both"/>
              <w:cnfStyle w:val="100000000000" w:firstRow="1" w:lastRow="0" w:firstColumn="0" w:lastColumn="0" w:oddVBand="0" w:evenVBand="0" w:oddHBand="0" w:evenHBand="0" w:firstRowFirstColumn="0" w:firstRowLastColumn="0" w:lastRowFirstColumn="0" w:lastRowLastColumn="0"/>
              <w:rPr>
                <w:rFonts w:cs="Arial"/>
                <w:color w:val="auto"/>
                <w:szCs w:val="20"/>
              </w:rPr>
            </w:pPr>
            <w:proofErr w:type="spellStart"/>
            <w:r w:rsidRPr="00191170">
              <w:rPr>
                <w:rFonts w:cs="Arial"/>
                <w:color w:val="auto"/>
                <w:szCs w:val="20"/>
              </w:rPr>
              <w:t>Št</w:t>
            </w:r>
            <w:proofErr w:type="spellEnd"/>
            <w:r w:rsidRPr="00191170">
              <w:rPr>
                <w:rFonts w:cs="Arial"/>
                <w:color w:val="auto"/>
                <w:szCs w:val="20"/>
              </w:rPr>
              <w:t xml:space="preserve">. </w:t>
            </w:r>
            <w:proofErr w:type="spellStart"/>
            <w:r w:rsidRPr="00191170">
              <w:rPr>
                <w:rFonts w:cs="Arial"/>
                <w:color w:val="auto"/>
                <w:szCs w:val="20"/>
              </w:rPr>
              <w:t>zavarovancev</w:t>
            </w:r>
            <w:proofErr w:type="spellEnd"/>
          </w:p>
        </w:tc>
        <w:tc>
          <w:tcPr>
            <w:tcW w:w="2126" w:type="dxa"/>
            <w:tcBorders>
              <w:right w:val="single" w:sz="4" w:space="0" w:color="0061CF"/>
            </w:tcBorders>
            <w:vAlign w:val="center"/>
          </w:tcPr>
          <w:p w14:paraId="274BE12A" w14:textId="77777777" w:rsidR="00191170" w:rsidRPr="00191170" w:rsidRDefault="00191170" w:rsidP="003C08F2">
            <w:pPr>
              <w:spacing w:line="240" w:lineRule="auto"/>
              <w:jc w:val="both"/>
              <w:cnfStyle w:val="100000000000" w:firstRow="1" w:lastRow="0" w:firstColumn="0" w:lastColumn="0" w:oddVBand="0" w:evenVBand="0" w:oddHBand="0" w:evenHBand="0" w:firstRowFirstColumn="0" w:firstRowLastColumn="0" w:lastRowFirstColumn="0" w:lastRowLastColumn="0"/>
              <w:rPr>
                <w:rFonts w:cs="Arial"/>
                <w:color w:val="auto"/>
                <w:szCs w:val="20"/>
              </w:rPr>
            </w:pPr>
            <w:r w:rsidRPr="00191170">
              <w:rPr>
                <w:rFonts w:cs="Arial"/>
                <w:color w:val="auto"/>
                <w:szCs w:val="20"/>
              </w:rPr>
              <w:t xml:space="preserve">Povprečno </w:t>
            </w:r>
            <w:proofErr w:type="spellStart"/>
            <w:r w:rsidRPr="00191170">
              <w:rPr>
                <w:rFonts w:cs="Arial"/>
                <w:color w:val="auto"/>
                <w:szCs w:val="20"/>
              </w:rPr>
              <w:t>št</w:t>
            </w:r>
            <w:proofErr w:type="spellEnd"/>
            <w:r w:rsidRPr="00191170">
              <w:rPr>
                <w:rFonts w:cs="Arial"/>
                <w:color w:val="auto"/>
                <w:szCs w:val="20"/>
              </w:rPr>
              <w:t xml:space="preserve">. </w:t>
            </w:r>
            <w:proofErr w:type="spellStart"/>
            <w:r w:rsidRPr="00191170">
              <w:rPr>
                <w:rFonts w:cs="Arial"/>
                <w:color w:val="auto"/>
                <w:szCs w:val="20"/>
              </w:rPr>
              <w:t>enot</w:t>
            </w:r>
            <w:proofErr w:type="spellEnd"/>
          </w:p>
        </w:tc>
        <w:tc>
          <w:tcPr>
            <w:tcW w:w="1984" w:type="dxa"/>
            <w:tcBorders>
              <w:right w:val="single" w:sz="4" w:space="0" w:color="0061CF"/>
            </w:tcBorders>
            <w:vAlign w:val="center"/>
          </w:tcPr>
          <w:p w14:paraId="2509C39A" w14:textId="77777777" w:rsidR="00191170" w:rsidRPr="00191170" w:rsidRDefault="00191170" w:rsidP="003C08F2">
            <w:pPr>
              <w:spacing w:line="240" w:lineRule="auto"/>
              <w:jc w:val="both"/>
              <w:cnfStyle w:val="100000000000" w:firstRow="1" w:lastRow="0" w:firstColumn="0" w:lastColumn="0" w:oddVBand="0" w:evenVBand="0" w:oddHBand="0" w:evenHBand="0" w:firstRowFirstColumn="0" w:firstRowLastColumn="0" w:lastRowFirstColumn="0" w:lastRowLastColumn="0"/>
              <w:rPr>
                <w:rFonts w:cs="Arial"/>
                <w:color w:val="auto"/>
                <w:szCs w:val="20"/>
              </w:rPr>
            </w:pPr>
            <w:proofErr w:type="spellStart"/>
            <w:r w:rsidRPr="00191170">
              <w:rPr>
                <w:rFonts w:cs="Arial"/>
                <w:color w:val="auto"/>
                <w:szCs w:val="20"/>
              </w:rPr>
              <w:t>Povprečna</w:t>
            </w:r>
            <w:proofErr w:type="spellEnd"/>
            <w:r w:rsidRPr="00191170">
              <w:rPr>
                <w:rFonts w:cs="Arial"/>
                <w:color w:val="auto"/>
                <w:szCs w:val="20"/>
              </w:rPr>
              <w:t xml:space="preserve"> </w:t>
            </w:r>
            <w:proofErr w:type="spellStart"/>
            <w:r w:rsidRPr="00191170">
              <w:rPr>
                <w:rFonts w:cs="Arial"/>
                <w:color w:val="auto"/>
                <w:szCs w:val="20"/>
              </w:rPr>
              <w:t>vrednost</w:t>
            </w:r>
            <w:proofErr w:type="spellEnd"/>
            <w:r w:rsidRPr="00191170">
              <w:rPr>
                <w:rFonts w:cs="Arial"/>
                <w:color w:val="auto"/>
                <w:szCs w:val="20"/>
              </w:rPr>
              <w:t xml:space="preserve"> </w:t>
            </w:r>
            <w:proofErr w:type="spellStart"/>
            <w:r w:rsidRPr="00191170">
              <w:rPr>
                <w:rFonts w:cs="Arial"/>
                <w:color w:val="auto"/>
                <w:szCs w:val="20"/>
              </w:rPr>
              <w:t>sredstev</w:t>
            </w:r>
            <w:proofErr w:type="spellEnd"/>
            <w:r w:rsidRPr="00191170">
              <w:rPr>
                <w:rFonts w:cs="Arial"/>
                <w:color w:val="auto"/>
                <w:szCs w:val="20"/>
              </w:rPr>
              <w:t xml:space="preserve"> v EUR</w:t>
            </w:r>
          </w:p>
        </w:tc>
      </w:tr>
      <w:tr w:rsidR="00871993" w:rsidRPr="00191170" w14:paraId="44EEEA68" w14:textId="77777777" w:rsidTr="005039CA">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2382E02" w14:textId="77777777" w:rsidR="00191170" w:rsidRPr="00191170" w:rsidRDefault="00191170" w:rsidP="003C08F2">
            <w:pPr>
              <w:spacing w:line="240" w:lineRule="auto"/>
              <w:jc w:val="both"/>
              <w:rPr>
                <w:rFonts w:cs="Arial"/>
                <w:szCs w:val="20"/>
              </w:rPr>
            </w:pPr>
            <w:r w:rsidRPr="00191170">
              <w:rPr>
                <w:rFonts w:cs="Arial"/>
                <w:szCs w:val="20"/>
              </w:rPr>
              <w:t xml:space="preserve">A (do 2.000 </w:t>
            </w:r>
            <w:proofErr w:type="spellStart"/>
            <w:r w:rsidRPr="00191170">
              <w:rPr>
                <w:rFonts w:cs="Arial"/>
                <w:szCs w:val="20"/>
              </w:rPr>
              <w:t>točk</w:t>
            </w:r>
            <w:proofErr w:type="spellEnd"/>
            <w:r w:rsidRPr="00191170">
              <w:rPr>
                <w:rFonts w:cs="Arial"/>
                <w:szCs w:val="20"/>
              </w:rPr>
              <w:t xml:space="preserve">) </w:t>
            </w:r>
          </w:p>
        </w:tc>
        <w:tc>
          <w:tcPr>
            <w:tcW w:w="1843" w:type="dxa"/>
            <w:vAlign w:val="center"/>
          </w:tcPr>
          <w:p w14:paraId="1049AB91" w14:textId="77777777" w:rsidR="00191170" w:rsidRPr="00191170" w:rsidRDefault="00191170" w:rsidP="00B86BA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11.205</w:t>
            </w:r>
          </w:p>
        </w:tc>
        <w:tc>
          <w:tcPr>
            <w:tcW w:w="2126" w:type="dxa"/>
            <w:vAlign w:val="center"/>
          </w:tcPr>
          <w:p w14:paraId="7547A3ED" w14:textId="77777777" w:rsidR="00191170" w:rsidRPr="00191170" w:rsidRDefault="00191170" w:rsidP="00B86BA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446</w:t>
            </w:r>
          </w:p>
        </w:tc>
        <w:tc>
          <w:tcPr>
            <w:tcW w:w="1984" w:type="dxa"/>
            <w:vAlign w:val="center"/>
          </w:tcPr>
          <w:p w14:paraId="5868BB86" w14:textId="77777777" w:rsidR="00191170" w:rsidRPr="00191170" w:rsidRDefault="00191170" w:rsidP="00B86BA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601</w:t>
            </w:r>
          </w:p>
        </w:tc>
      </w:tr>
      <w:tr w:rsidR="00871993" w:rsidRPr="00191170" w14:paraId="1347A90B" w14:textId="77777777" w:rsidTr="005039CA">
        <w:trPr>
          <w:trHeight w:val="27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CA372BF" w14:textId="70F06FA2" w:rsidR="00191170" w:rsidRPr="00191170" w:rsidRDefault="00191170" w:rsidP="003C08F2">
            <w:pPr>
              <w:spacing w:line="240" w:lineRule="auto"/>
              <w:jc w:val="both"/>
              <w:rPr>
                <w:rFonts w:cs="Arial"/>
                <w:szCs w:val="20"/>
              </w:rPr>
            </w:pPr>
            <w:r w:rsidRPr="00191170">
              <w:rPr>
                <w:rFonts w:cs="Arial"/>
                <w:szCs w:val="20"/>
              </w:rPr>
              <w:t>B (od 2.001</w:t>
            </w:r>
            <w:r w:rsidR="008E46B2">
              <w:rPr>
                <w:rFonts w:cs="Arial"/>
                <w:szCs w:val="20"/>
              </w:rPr>
              <w:t xml:space="preserve"> </w:t>
            </w:r>
            <w:proofErr w:type="spellStart"/>
            <w:r w:rsidR="008E46B2">
              <w:rPr>
                <w:rFonts w:cs="Arial"/>
                <w:szCs w:val="20"/>
              </w:rPr>
              <w:t>točke</w:t>
            </w:r>
            <w:proofErr w:type="spellEnd"/>
            <w:r w:rsidRPr="00191170">
              <w:rPr>
                <w:rFonts w:cs="Arial"/>
                <w:szCs w:val="20"/>
              </w:rPr>
              <w:t xml:space="preserve"> do 5.000 </w:t>
            </w:r>
            <w:proofErr w:type="spellStart"/>
            <w:r w:rsidRPr="00191170">
              <w:rPr>
                <w:rFonts w:cs="Arial"/>
                <w:szCs w:val="20"/>
              </w:rPr>
              <w:t>točk</w:t>
            </w:r>
            <w:proofErr w:type="spellEnd"/>
            <w:r w:rsidRPr="00191170">
              <w:rPr>
                <w:rFonts w:cs="Arial"/>
                <w:szCs w:val="20"/>
              </w:rPr>
              <w:t>)</w:t>
            </w:r>
          </w:p>
        </w:tc>
        <w:tc>
          <w:tcPr>
            <w:tcW w:w="1843" w:type="dxa"/>
            <w:vAlign w:val="center"/>
          </w:tcPr>
          <w:p w14:paraId="4575D07E" w14:textId="77777777" w:rsidR="00191170" w:rsidRPr="00191170" w:rsidRDefault="00191170" w:rsidP="00B86BA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131</w:t>
            </w:r>
          </w:p>
        </w:tc>
        <w:tc>
          <w:tcPr>
            <w:tcW w:w="2126" w:type="dxa"/>
            <w:vAlign w:val="center"/>
          </w:tcPr>
          <w:p w14:paraId="53CC5A13" w14:textId="77777777" w:rsidR="00191170" w:rsidRPr="00191170" w:rsidRDefault="00191170" w:rsidP="00B86BA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3.360</w:t>
            </w:r>
          </w:p>
        </w:tc>
        <w:tc>
          <w:tcPr>
            <w:tcW w:w="1984" w:type="dxa"/>
            <w:vAlign w:val="center"/>
          </w:tcPr>
          <w:p w14:paraId="61A85EBF" w14:textId="77777777" w:rsidR="00191170" w:rsidRPr="00191170" w:rsidRDefault="00191170" w:rsidP="00B86BA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4.521</w:t>
            </w:r>
          </w:p>
        </w:tc>
      </w:tr>
      <w:tr w:rsidR="00871993" w:rsidRPr="00191170" w14:paraId="4F593271" w14:textId="77777777" w:rsidTr="005039C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F2CD4CD" w14:textId="77777777" w:rsidR="00191170" w:rsidRPr="00191170" w:rsidRDefault="00191170" w:rsidP="003C08F2">
            <w:pPr>
              <w:spacing w:line="240" w:lineRule="auto"/>
              <w:jc w:val="both"/>
              <w:rPr>
                <w:rFonts w:cs="Arial"/>
                <w:szCs w:val="20"/>
              </w:rPr>
            </w:pPr>
            <w:r w:rsidRPr="00191170">
              <w:rPr>
                <w:rFonts w:cs="Arial"/>
                <w:szCs w:val="20"/>
              </w:rPr>
              <w:t>C (</w:t>
            </w:r>
            <w:proofErr w:type="spellStart"/>
            <w:r w:rsidRPr="00191170">
              <w:rPr>
                <w:rFonts w:cs="Arial"/>
                <w:szCs w:val="20"/>
              </w:rPr>
              <w:t>nad</w:t>
            </w:r>
            <w:proofErr w:type="spellEnd"/>
            <w:r w:rsidRPr="00191170">
              <w:rPr>
                <w:rFonts w:cs="Arial"/>
                <w:szCs w:val="20"/>
              </w:rPr>
              <w:t xml:space="preserve"> 5.000 </w:t>
            </w:r>
            <w:proofErr w:type="spellStart"/>
            <w:r w:rsidRPr="00191170">
              <w:rPr>
                <w:rFonts w:cs="Arial"/>
                <w:szCs w:val="20"/>
              </w:rPr>
              <w:t>točk</w:t>
            </w:r>
            <w:proofErr w:type="spellEnd"/>
            <w:r w:rsidRPr="00191170">
              <w:rPr>
                <w:rFonts w:cs="Arial"/>
                <w:szCs w:val="20"/>
              </w:rPr>
              <w:t>)</w:t>
            </w:r>
          </w:p>
        </w:tc>
        <w:tc>
          <w:tcPr>
            <w:tcW w:w="1843" w:type="dxa"/>
            <w:vAlign w:val="center"/>
          </w:tcPr>
          <w:p w14:paraId="35EC9317" w14:textId="77777777" w:rsidR="00191170" w:rsidRPr="00191170" w:rsidRDefault="00191170" w:rsidP="00B86BA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504</w:t>
            </w:r>
          </w:p>
        </w:tc>
        <w:tc>
          <w:tcPr>
            <w:tcW w:w="2126" w:type="dxa"/>
            <w:vAlign w:val="center"/>
          </w:tcPr>
          <w:p w14:paraId="4FD3B24B" w14:textId="77777777" w:rsidR="00191170" w:rsidRPr="00191170" w:rsidRDefault="00191170" w:rsidP="00B86BA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9.672</w:t>
            </w:r>
          </w:p>
        </w:tc>
        <w:tc>
          <w:tcPr>
            <w:tcW w:w="1984" w:type="dxa"/>
            <w:vAlign w:val="center"/>
          </w:tcPr>
          <w:p w14:paraId="076BD864" w14:textId="77777777" w:rsidR="00191170" w:rsidRPr="00191170" w:rsidRDefault="00191170" w:rsidP="00B86BA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13.016</w:t>
            </w:r>
          </w:p>
        </w:tc>
      </w:tr>
      <w:tr w:rsidR="00871993" w:rsidRPr="00191170" w14:paraId="50DE336E" w14:textId="77777777" w:rsidTr="005039CA">
        <w:trPr>
          <w:trHeight w:val="272"/>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BF10925" w14:textId="77777777" w:rsidR="00191170" w:rsidRPr="00191170" w:rsidRDefault="00191170" w:rsidP="003C08F2">
            <w:pPr>
              <w:spacing w:line="240" w:lineRule="auto"/>
              <w:jc w:val="both"/>
              <w:rPr>
                <w:rFonts w:cs="Arial"/>
                <w:szCs w:val="20"/>
              </w:rPr>
            </w:pPr>
            <w:proofErr w:type="spellStart"/>
            <w:r w:rsidRPr="00191170">
              <w:rPr>
                <w:rFonts w:cs="Arial"/>
                <w:szCs w:val="20"/>
              </w:rPr>
              <w:t>Skupaj</w:t>
            </w:r>
            <w:proofErr w:type="spellEnd"/>
          </w:p>
        </w:tc>
        <w:tc>
          <w:tcPr>
            <w:tcW w:w="1843" w:type="dxa"/>
            <w:vAlign w:val="center"/>
          </w:tcPr>
          <w:p w14:paraId="58F8A017" w14:textId="77777777" w:rsidR="00191170" w:rsidRPr="00191170" w:rsidRDefault="00191170" w:rsidP="00B86BA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11.840</w:t>
            </w:r>
          </w:p>
        </w:tc>
        <w:tc>
          <w:tcPr>
            <w:tcW w:w="2126" w:type="dxa"/>
            <w:vAlign w:val="center"/>
          </w:tcPr>
          <w:p w14:paraId="55226F6A" w14:textId="77777777" w:rsidR="00191170" w:rsidRPr="00191170" w:rsidRDefault="00191170" w:rsidP="00B86BA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871</w:t>
            </w:r>
          </w:p>
        </w:tc>
        <w:tc>
          <w:tcPr>
            <w:tcW w:w="1984" w:type="dxa"/>
            <w:vAlign w:val="center"/>
          </w:tcPr>
          <w:p w14:paraId="25192647" w14:textId="77777777" w:rsidR="00191170" w:rsidRPr="00191170" w:rsidRDefault="00191170" w:rsidP="00B86BA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1.173</w:t>
            </w:r>
          </w:p>
        </w:tc>
      </w:tr>
    </w:tbl>
    <w:p w14:paraId="07B5847B" w14:textId="77777777" w:rsidR="00871993" w:rsidRDefault="00871993" w:rsidP="00871993">
      <w:pPr>
        <w:spacing w:line="240" w:lineRule="auto"/>
        <w:jc w:val="center"/>
        <w:rPr>
          <w:rFonts w:cs="Arial"/>
          <w:sz w:val="18"/>
          <w:szCs w:val="18"/>
        </w:rPr>
      </w:pPr>
    </w:p>
    <w:p w14:paraId="7767E14B" w14:textId="7BE47DA8" w:rsidR="00191170" w:rsidRPr="00191170" w:rsidRDefault="00871993" w:rsidP="00871993">
      <w:pPr>
        <w:spacing w:line="240" w:lineRule="auto"/>
        <w:jc w:val="center"/>
        <w:rPr>
          <w:rFonts w:cs="Arial"/>
          <w:sz w:val="18"/>
          <w:szCs w:val="18"/>
        </w:rPr>
      </w:pPr>
      <w:r w:rsidRPr="00871993">
        <w:rPr>
          <w:rFonts w:cs="Arial"/>
          <w:sz w:val="18"/>
          <w:szCs w:val="18"/>
        </w:rPr>
        <w:t>Vir: Modra zavarovalnica</w:t>
      </w:r>
    </w:p>
    <w:bookmarkEnd w:id="7"/>
    <w:p w14:paraId="2E943F83" w14:textId="27115AEF" w:rsidR="00191170" w:rsidRPr="00871993" w:rsidRDefault="004D22B8" w:rsidP="003C08F2">
      <w:pPr>
        <w:spacing w:line="240" w:lineRule="auto"/>
        <w:jc w:val="both"/>
        <w:rPr>
          <w:rFonts w:cs="Arial"/>
          <w:sz w:val="18"/>
          <w:szCs w:val="18"/>
        </w:rPr>
      </w:pPr>
      <w:r>
        <w:rPr>
          <w:rFonts w:cs="Arial"/>
          <w:b/>
          <w:bCs/>
          <w:sz w:val="18"/>
          <w:szCs w:val="18"/>
        </w:rPr>
        <w:lastRenderedPageBreak/>
        <w:t>Preglednic</w:t>
      </w:r>
      <w:r w:rsidR="00191170" w:rsidRPr="00191170">
        <w:rPr>
          <w:rFonts w:cs="Arial"/>
          <w:b/>
          <w:bCs/>
          <w:sz w:val="18"/>
          <w:szCs w:val="18"/>
        </w:rPr>
        <w:t xml:space="preserve">a </w:t>
      </w:r>
      <w:r w:rsidR="00191170" w:rsidRPr="00191170">
        <w:rPr>
          <w:rFonts w:cs="Arial"/>
          <w:b/>
          <w:bCs/>
          <w:sz w:val="18"/>
          <w:szCs w:val="18"/>
        </w:rPr>
        <w:fldChar w:fldCharType="begin"/>
      </w:r>
      <w:r w:rsidR="00191170" w:rsidRPr="00191170">
        <w:rPr>
          <w:rFonts w:cs="Arial"/>
          <w:b/>
          <w:bCs/>
          <w:sz w:val="18"/>
          <w:szCs w:val="18"/>
        </w:rPr>
        <w:instrText xml:space="preserve"> SEQ Tabela \* ARABIC </w:instrText>
      </w:r>
      <w:r w:rsidR="00191170" w:rsidRPr="00191170">
        <w:rPr>
          <w:rFonts w:cs="Arial"/>
          <w:b/>
          <w:bCs/>
          <w:sz w:val="18"/>
          <w:szCs w:val="18"/>
        </w:rPr>
        <w:fldChar w:fldCharType="separate"/>
      </w:r>
      <w:r w:rsidR="00191170" w:rsidRPr="00191170">
        <w:rPr>
          <w:rFonts w:cs="Arial"/>
          <w:b/>
          <w:bCs/>
          <w:sz w:val="18"/>
          <w:szCs w:val="18"/>
        </w:rPr>
        <w:t>3</w:t>
      </w:r>
      <w:r w:rsidR="00191170" w:rsidRPr="00191170">
        <w:rPr>
          <w:rFonts w:cs="Arial"/>
          <w:b/>
          <w:bCs/>
          <w:sz w:val="18"/>
          <w:szCs w:val="18"/>
        </w:rPr>
        <w:fldChar w:fldCharType="end"/>
      </w:r>
      <w:r w:rsidR="00191170" w:rsidRPr="00191170">
        <w:rPr>
          <w:rFonts w:cs="Arial"/>
          <w:sz w:val="18"/>
          <w:szCs w:val="18"/>
        </w:rPr>
        <w:t>: S</w:t>
      </w:r>
      <w:r w:rsidR="007F73CA">
        <w:rPr>
          <w:rFonts w:cs="Arial"/>
          <w:sz w:val="18"/>
          <w:szCs w:val="18"/>
        </w:rPr>
        <w:t>estav</w:t>
      </w:r>
      <w:r w:rsidR="00191170" w:rsidRPr="00191170">
        <w:rPr>
          <w:rFonts w:cs="Arial"/>
          <w:sz w:val="18"/>
          <w:szCs w:val="18"/>
        </w:rPr>
        <w:t>a vseh zavarovancev/članov PPS po starosti na dan 28.</w:t>
      </w:r>
      <w:r w:rsidR="008E46B2">
        <w:rPr>
          <w:rFonts w:cs="Arial"/>
          <w:sz w:val="18"/>
          <w:szCs w:val="18"/>
        </w:rPr>
        <w:t> </w:t>
      </w:r>
      <w:r w:rsidR="00191170" w:rsidRPr="00191170">
        <w:rPr>
          <w:rFonts w:cs="Arial"/>
          <w:sz w:val="18"/>
          <w:szCs w:val="18"/>
        </w:rPr>
        <w:t>2.</w:t>
      </w:r>
      <w:r w:rsidR="008E46B2">
        <w:rPr>
          <w:rFonts w:cs="Arial"/>
          <w:sz w:val="18"/>
          <w:szCs w:val="18"/>
        </w:rPr>
        <w:t> </w:t>
      </w:r>
      <w:r w:rsidR="00191170" w:rsidRPr="00191170">
        <w:rPr>
          <w:rFonts w:cs="Arial"/>
          <w:sz w:val="18"/>
          <w:szCs w:val="18"/>
        </w:rPr>
        <w:t>2025</w:t>
      </w:r>
    </w:p>
    <w:p w14:paraId="3AD6DEE7" w14:textId="77777777" w:rsidR="00871993" w:rsidRPr="00191170" w:rsidRDefault="00871993" w:rsidP="003C08F2">
      <w:pPr>
        <w:spacing w:line="240" w:lineRule="auto"/>
        <w:jc w:val="both"/>
        <w:rPr>
          <w:rFonts w:cs="Arial"/>
          <w:szCs w:val="20"/>
        </w:rPr>
      </w:pPr>
    </w:p>
    <w:tbl>
      <w:tblPr>
        <w:tblStyle w:val="Tabelaseznam3poudarek11"/>
        <w:tblW w:w="3439" w:type="pct"/>
        <w:tblInd w:w="1414" w:type="dxa"/>
        <w:tblLook w:val="04A0" w:firstRow="1" w:lastRow="0" w:firstColumn="1" w:lastColumn="0" w:noHBand="0" w:noVBand="1"/>
      </w:tblPr>
      <w:tblGrid>
        <w:gridCol w:w="1559"/>
        <w:gridCol w:w="1417"/>
        <w:gridCol w:w="1417"/>
        <w:gridCol w:w="1840"/>
      </w:tblGrid>
      <w:tr w:rsidR="00191170" w:rsidRPr="003C08F2" w14:paraId="6ADDF587" w14:textId="77777777" w:rsidTr="00871993">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250" w:type="pct"/>
            <w:vAlign w:val="center"/>
          </w:tcPr>
          <w:p w14:paraId="08555AFC" w14:textId="77777777" w:rsidR="00191170" w:rsidRPr="00191170" w:rsidRDefault="00191170" w:rsidP="003C08F2">
            <w:pPr>
              <w:spacing w:line="240" w:lineRule="auto"/>
              <w:jc w:val="both"/>
              <w:rPr>
                <w:rFonts w:cs="Arial"/>
                <w:color w:val="auto"/>
                <w:szCs w:val="20"/>
              </w:rPr>
            </w:pPr>
            <w:r w:rsidRPr="00191170">
              <w:rPr>
                <w:rFonts w:cs="Arial"/>
                <w:color w:val="auto"/>
                <w:szCs w:val="20"/>
              </w:rPr>
              <w:t>Starost</w:t>
            </w:r>
          </w:p>
        </w:tc>
        <w:tc>
          <w:tcPr>
            <w:tcW w:w="1137" w:type="pct"/>
            <w:vAlign w:val="center"/>
          </w:tcPr>
          <w:p w14:paraId="4D903995" w14:textId="5FDA4B47" w:rsidR="00191170" w:rsidRPr="00191170" w:rsidRDefault="00191170" w:rsidP="008E46B2">
            <w:pPr>
              <w:spacing w:line="240" w:lineRule="auto"/>
              <w:jc w:val="both"/>
              <w:cnfStyle w:val="100000000000" w:firstRow="1" w:lastRow="0" w:firstColumn="0" w:lastColumn="0" w:oddVBand="0" w:evenVBand="0" w:oddHBand="0" w:evenHBand="0" w:firstRowFirstColumn="0" w:firstRowLastColumn="0" w:lastRowFirstColumn="0" w:lastRowLastColumn="0"/>
              <w:rPr>
                <w:rFonts w:cs="Arial"/>
                <w:color w:val="auto"/>
                <w:szCs w:val="20"/>
              </w:rPr>
            </w:pPr>
            <w:proofErr w:type="spellStart"/>
            <w:r w:rsidRPr="00191170">
              <w:rPr>
                <w:rFonts w:cs="Arial"/>
                <w:color w:val="auto"/>
                <w:szCs w:val="20"/>
              </w:rPr>
              <w:t>Št</w:t>
            </w:r>
            <w:proofErr w:type="spellEnd"/>
            <w:r w:rsidRPr="00191170">
              <w:rPr>
                <w:rFonts w:cs="Arial"/>
                <w:color w:val="auto"/>
                <w:szCs w:val="20"/>
              </w:rPr>
              <w:t xml:space="preserve">. </w:t>
            </w:r>
            <w:proofErr w:type="spellStart"/>
            <w:r w:rsidR="008E46B2">
              <w:rPr>
                <w:rFonts w:cs="Arial"/>
                <w:color w:val="auto"/>
                <w:szCs w:val="20"/>
              </w:rPr>
              <w:t>č</w:t>
            </w:r>
            <w:r w:rsidRPr="00191170">
              <w:rPr>
                <w:rFonts w:cs="Arial"/>
                <w:color w:val="auto"/>
                <w:szCs w:val="20"/>
              </w:rPr>
              <w:t>lanov</w:t>
            </w:r>
            <w:proofErr w:type="spellEnd"/>
          </w:p>
        </w:tc>
        <w:tc>
          <w:tcPr>
            <w:tcW w:w="1137" w:type="pct"/>
            <w:tcBorders>
              <w:right w:val="single" w:sz="4" w:space="0" w:color="0061CF"/>
            </w:tcBorders>
            <w:vAlign w:val="center"/>
          </w:tcPr>
          <w:p w14:paraId="30FDE046" w14:textId="5486D56F" w:rsidR="00191170" w:rsidRPr="00191170" w:rsidRDefault="00191170" w:rsidP="008E46B2">
            <w:pPr>
              <w:spacing w:line="240" w:lineRule="auto"/>
              <w:jc w:val="both"/>
              <w:cnfStyle w:val="100000000000" w:firstRow="1" w:lastRow="0" w:firstColumn="0" w:lastColumn="0" w:oddVBand="0" w:evenVBand="0" w:oddHBand="0" w:evenHBand="0" w:firstRowFirstColumn="0" w:firstRowLastColumn="0" w:lastRowFirstColumn="0" w:lastRowLastColumn="0"/>
              <w:rPr>
                <w:rFonts w:cs="Arial"/>
                <w:color w:val="auto"/>
                <w:szCs w:val="20"/>
              </w:rPr>
            </w:pPr>
            <w:proofErr w:type="spellStart"/>
            <w:r w:rsidRPr="00191170">
              <w:rPr>
                <w:rFonts w:cs="Arial"/>
                <w:color w:val="auto"/>
                <w:szCs w:val="20"/>
              </w:rPr>
              <w:t>Št</w:t>
            </w:r>
            <w:proofErr w:type="spellEnd"/>
            <w:r w:rsidRPr="00191170">
              <w:rPr>
                <w:rFonts w:cs="Arial"/>
                <w:color w:val="auto"/>
                <w:szCs w:val="20"/>
              </w:rPr>
              <w:t xml:space="preserve">. </w:t>
            </w:r>
            <w:proofErr w:type="spellStart"/>
            <w:r w:rsidR="008E46B2">
              <w:rPr>
                <w:rFonts w:cs="Arial"/>
                <w:color w:val="auto"/>
                <w:szCs w:val="20"/>
              </w:rPr>
              <w:t>e</w:t>
            </w:r>
            <w:r w:rsidRPr="00191170">
              <w:rPr>
                <w:rFonts w:cs="Arial"/>
                <w:color w:val="auto"/>
                <w:szCs w:val="20"/>
              </w:rPr>
              <w:t>not</w:t>
            </w:r>
            <w:proofErr w:type="spellEnd"/>
          </w:p>
        </w:tc>
        <w:tc>
          <w:tcPr>
            <w:tcW w:w="1477" w:type="pct"/>
            <w:tcBorders>
              <w:right w:val="single" w:sz="4" w:space="0" w:color="0061CF"/>
            </w:tcBorders>
            <w:vAlign w:val="center"/>
          </w:tcPr>
          <w:p w14:paraId="16919A6D" w14:textId="77777777" w:rsidR="00191170" w:rsidRPr="00191170" w:rsidRDefault="00191170" w:rsidP="003C08F2">
            <w:pPr>
              <w:spacing w:line="240" w:lineRule="auto"/>
              <w:jc w:val="both"/>
              <w:cnfStyle w:val="100000000000" w:firstRow="1" w:lastRow="0" w:firstColumn="0" w:lastColumn="0" w:oddVBand="0" w:evenVBand="0" w:oddHBand="0" w:evenHBand="0" w:firstRowFirstColumn="0" w:firstRowLastColumn="0" w:lastRowFirstColumn="0" w:lastRowLastColumn="0"/>
              <w:rPr>
                <w:rFonts w:cs="Arial"/>
                <w:color w:val="auto"/>
                <w:szCs w:val="20"/>
              </w:rPr>
            </w:pPr>
            <w:proofErr w:type="spellStart"/>
            <w:r w:rsidRPr="00191170">
              <w:rPr>
                <w:rFonts w:cs="Arial"/>
                <w:color w:val="auto"/>
                <w:szCs w:val="20"/>
              </w:rPr>
              <w:t>Vrednost</w:t>
            </w:r>
            <w:proofErr w:type="spellEnd"/>
            <w:r w:rsidRPr="00191170">
              <w:rPr>
                <w:rFonts w:cs="Arial"/>
                <w:color w:val="auto"/>
                <w:szCs w:val="20"/>
              </w:rPr>
              <w:t xml:space="preserve"> </w:t>
            </w:r>
            <w:proofErr w:type="spellStart"/>
            <w:r w:rsidRPr="00191170">
              <w:rPr>
                <w:rFonts w:cs="Arial"/>
                <w:color w:val="auto"/>
                <w:szCs w:val="20"/>
              </w:rPr>
              <w:t>sredstev</w:t>
            </w:r>
            <w:proofErr w:type="spellEnd"/>
            <w:r w:rsidRPr="00191170">
              <w:rPr>
                <w:rFonts w:cs="Arial"/>
                <w:color w:val="auto"/>
                <w:szCs w:val="20"/>
              </w:rPr>
              <w:t xml:space="preserve"> v EUR</w:t>
            </w:r>
          </w:p>
        </w:tc>
      </w:tr>
      <w:tr w:rsidR="00191170" w:rsidRPr="003C08F2" w14:paraId="5D9FC242" w14:textId="77777777" w:rsidTr="00B86BAA">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60212325" w14:textId="77777777" w:rsidR="00191170" w:rsidRPr="00191170" w:rsidRDefault="00191170" w:rsidP="003C08F2">
            <w:pPr>
              <w:spacing w:line="240" w:lineRule="auto"/>
              <w:jc w:val="both"/>
              <w:rPr>
                <w:rFonts w:cs="Arial"/>
                <w:szCs w:val="20"/>
              </w:rPr>
            </w:pPr>
            <w:r w:rsidRPr="00191170">
              <w:rPr>
                <w:rFonts w:cs="Arial"/>
                <w:szCs w:val="20"/>
              </w:rPr>
              <w:t xml:space="preserve">do 30 let </w:t>
            </w:r>
          </w:p>
        </w:tc>
        <w:tc>
          <w:tcPr>
            <w:tcW w:w="1137" w:type="pct"/>
            <w:tcBorders>
              <w:top w:val="single" w:sz="8" w:space="0" w:color="0061CF"/>
              <w:left w:val="nil"/>
              <w:bottom w:val="single" w:sz="8" w:space="0" w:color="0061CF"/>
              <w:right w:val="nil"/>
            </w:tcBorders>
            <w:shd w:val="clear" w:color="auto" w:fill="auto"/>
            <w:vAlign w:val="center"/>
          </w:tcPr>
          <w:p w14:paraId="724E19E1" w14:textId="77777777" w:rsidR="00191170" w:rsidRPr="00191170" w:rsidRDefault="00191170" w:rsidP="00B86BA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23</w:t>
            </w:r>
          </w:p>
        </w:tc>
        <w:tc>
          <w:tcPr>
            <w:tcW w:w="1137" w:type="pct"/>
            <w:tcBorders>
              <w:top w:val="single" w:sz="8" w:space="0" w:color="0061CF"/>
              <w:left w:val="nil"/>
              <w:bottom w:val="single" w:sz="8" w:space="0" w:color="0061CF"/>
              <w:right w:val="nil"/>
            </w:tcBorders>
            <w:shd w:val="clear" w:color="auto" w:fill="auto"/>
            <w:vAlign w:val="center"/>
          </w:tcPr>
          <w:p w14:paraId="3943CBF8" w14:textId="77777777" w:rsidR="00191170" w:rsidRPr="00191170" w:rsidRDefault="00191170" w:rsidP="00B86BA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151.546</w:t>
            </w:r>
          </w:p>
        </w:tc>
        <w:tc>
          <w:tcPr>
            <w:tcW w:w="1477" w:type="pct"/>
            <w:tcBorders>
              <w:top w:val="single" w:sz="8" w:space="0" w:color="0061CF"/>
              <w:left w:val="nil"/>
              <w:bottom w:val="single" w:sz="8" w:space="0" w:color="0061CF"/>
              <w:right w:val="single" w:sz="8" w:space="0" w:color="0061CF"/>
            </w:tcBorders>
            <w:shd w:val="clear" w:color="auto" w:fill="auto"/>
            <w:vAlign w:val="center"/>
          </w:tcPr>
          <w:p w14:paraId="78F4AD0D" w14:textId="77777777" w:rsidR="00191170" w:rsidRPr="00191170" w:rsidRDefault="00191170" w:rsidP="00B86BA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203.935</w:t>
            </w:r>
          </w:p>
        </w:tc>
      </w:tr>
      <w:tr w:rsidR="00191170" w:rsidRPr="003C08F2" w14:paraId="3DDDC339" w14:textId="77777777" w:rsidTr="00B86BAA">
        <w:trPr>
          <w:trHeight w:val="264"/>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54EC459A" w14:textId="755C834C" w:rsidR="00191170" w:rsidRPr="00191170" w:rsidRDefault="008E46B2" w:rsidP="003C08F2">
            <w:pPr>
              <w:spacing w:line="240" w:lineRule="auto"/>
              <w:jc w:val="both"/>
              <w:rPr>
                <w:rFonts w:cs="Arial"/>
                <w:szCs w:val="20"/>
              </w:rPr>
            </w:pPr>
            <w:r>
              <w:rPr>
                <w:rFonts w:cs="Arial"/>
                <w:szCs w:val="20"/>
              </w:rPr>
              <w:t xml:space="preserve">od </w:t>
            </w:r>
            <w:r w:rsidR="00191170" w:rsidRPr="00191170">
              <w:rPr>
                <w:rFonts w:cs="Arial"/>
                <w:szCs w:val="20"/>
              </w:rPr>
              <w:t xml:space="preserve">31 do 40 let </w:t>
            </w:r>
          </w:p>
        </w:tc>
        <w:tc>
          <w:tcPr>
            <w:tcW w:w="1137" w:type="pct"/>
            <w:tcBorders>
              <w:top w:val="nil"/>
              <w:left w:val="nil"/>
              <w:bottom w:val="nil"/>
              <w:right w:val="nil"/>
            </w:tcBorders>
            <w:shd w:val="clear" w:color="auto" w:fill="auto"/>
            <w:vAlign w:val="center"/>
          </w:tcPr>
          <w:p w14:paraId="073706CE" w14:textId="77777777" w:rsidR="00191170" w:rsidRPr="00191170" w:rsidRDefault="00191170" w:rsidP="00B86BA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1.370</w:t>
            </w:r>
          </w:p>
        </w:tc>
        <w:tc>
          <w:tcPr>
            <w:tcW w:w="1137" w:type="pct"/>
            <w:tcBorders>
              <w:top w:val="nil"/>
              <w:left w:val="nil"/>
              <w:bottom w:val="nil"/>
              <w:right w:val="nil"/>
            </w:tcBorders>
            <w:shd w:val="clear" w:color="auto" w:fill="auto"/>
            <w:vAlign w:val="center"/>
          </w:tcPr>
          <w:p w14:paraId="650CC8DA" w14:textId="77777777" w:rsidR="00191170" w:rsidRPr="00191170" w:rsidRDefault="00191170" w:rsidP="00B86BA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543.930</w:t>
            </w:r>
          </w:p>
        </w:tc>
        <w:tc>
          <w:tcPr>
            <w:tcW w:w="1477" w:type="pct"/>
            <w:tcBorders>
              <w:top w:val="nil"/>
              <w:left w:val="nil"/>
              <w:bottom w:val="nil"/>
              <w:right w:val="single" w:sz="8" w:space="0" w:color="0061CF"/>
            </w:tcBorders>
            <w:shd w:val="clear" w:color="auto" w:fill="auto"/>
            <w:vAlign w:val="center"/>
          </w:tcPr>
          <w:p w14:paraId="36823FFE" w14:textId="77777777" w:rsidR="00191170" w:rsidRPr="00191170" w:rsidRDefault="00191170" w:rsidP="00B86BA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731.967</w:t>
            </w:r>
          </w:p>
        </w:tc>
      </w:tr>
      <w:tr w:rsidR="00191170" w:rsidRPr="003C08F2" w14:paraId="66960F17" w14:textId="77777777" w:rsidTr="00B86B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7F973446" w14:textId="08999D02" w:rsidR="00191170" w:rsidRPr="00191170" w:rsidRDefault="008E46B2" w:rsidP="003C08F2">
            <w:pPr>
              <w:spacing w:line="240" w:lineRule="auto"/>
              <w:jc w:val="both"/>
              <w:rPr>
                <w:rFonts w:cs="Arial"/>
                <w:szCs w:val="20"/>
              </w:rPr>
            </w:pPr>
            <w:r>
              <w:rPr>
                <w:rFonts w:cs="Arial"/>
                <w:szCs w:val="20"/>
              </w:rPr>
              <w:t xml:space="preserve">od </w:t>
            </w:r>
            <w:r w:rsidR="00191170" w:rsidRPr="00191170">
              <w:rPr>
                <w:rFonts w:cs="Arial"/>
                <w:szCs w:val="20"/>
              </w:rPr>
              <w:t xml:space="preserve">41 do 50 let </w:t>
            </w:r>
          </w:p>
        </w:tc>
        <w:tc>
          <w:tcPr>
            <w:tcW w:w="1137" w:type="pct"/>
            <w:tcBorders>
              <w:top w:val="single" w:sz="8" w:space="0" w:color="0061CF"/>
              <w:left w:val="nil"/>
              <w:bottom w:val="single" w:sz="8" w:space="0" w:color="0061CF"/>
              <w:right w:val="nil"/>
            </w:tcBorders>
            <w:shd w:val="clear" w:color="auto" w:fill="auto"/>
            <w:vAlign w:val="center"/>
          </w:tcPr>
          <w:p w14:paraId="66BD6813" w14:textId="77777777" w:rsidR="00191170" w:rsidRPr="00191170" w:rsidRDefault="00191170" w:rsidP="00B86BA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2.091</w:t>
            </w:r>
          </w:p>
        </w:tc>
        <w:tc>
          <w:tcPr>
            <w:tcW w:w="1137" w:type="pct"/>
            <w:tcBorders>
              <w:top w:val="single" w:sz="8" w:space="0" w:color="0061CF"/>
              <w:left w:val="nil"/>
              <w:bottom w:val="single" w:sz="8" w:space="0" w:color="0061CF"/>
              <w:right w:val="nil"/>
            </w:tcBorders>
            <w:shd w:val="clear" w:color="auto" w:fill="auto"/>
            <w:vAlign w:val="center"/>
          </w:tcPr>
          <w:p w14:paraId="0B4E8A7B" w14:textId="77777777" w:rsidR="00191170" w:rsidRPr="00191170" w:rsidRDefault="00191170" w:rsidP="00B86BA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1.394.513</w:t>
            </w:r>
          </w:p>
        </w:tc>
        <w:tc>
          <w:tcPr>
            <w:tcW w:w="1477" w:type="pct"/>
            <w:tcBorders>
              <w:top w:val="single" w:sz="8" w:space="0" w:color="0061CF"/>
              <w:left w:val="nil"/>
              <w:bottom w:val="single" w:sz="8" w:space="0" w:color="0061CF"/>
              <w:right w:val="single" w:sz="8" w:space="0" w:color="0061CF"/>
            </w:tcBorders>
            <w:shd w:val="clear" w:color="auto" w:fill="auto"/>
            <w:vAlign w:val="center"/>
          </w:tcPr>
          <w:p w14:paraId="5F234189" w14:textId="77777777" w:rsidR="00191170" w:rsidRPr="00191170" w:rsidRDefault="00191170" w:rsidP="00B86BA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1.876.596</w:t>
            </w:r>
          </w:p>
        </w:tc>
      </w:tr>
      <w:tr w:rsidR="00191170" w:rsidRPr="003C08F2" w14:paraId="5F1CBAD8" w14:textId="77777777" w:rsidTr="00B86BAA">
        <w:trPr>
          <w:trHeight w:val="258"/>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25CDDBE5" w14:textId="38E52B82" w:rsidR="00191170" w:rsidRPr="00191170" w:rsidRDefault="00191170" w:rsidP="003C08F2">
            <w:pPr>
              <w:spacing w:line="240" w:lineRule="auto"/>
              <w:jc w:val="both"/>
              <w:rPr>
                <w:rFonts w:cs="Arial"/>
                <w:szCs w:val="20"/>
              </w:rPr>
            </w:pPr>
            <w:r w:rsidRPr="00191170">
              <w:rPr>
                <w:rFonts w:cs="Arial"/>
                <w:szCs w:val="20"/>
              </w:rPr>
              <w:t xml:space="preserve">od 51 do 60 </w:t>
            </w:r>
            <w:r w:rsidR="008E46B2">
              <w:rPr>
                <w:rFonts w:cs="Arial"/>
                <w:szCs w:val="20"/>
              </w:rPr>
              <w:t>let</w:t>
            </w:r>
          </w:p>
        </w:tc>
        <w:tc>
          <w:tcPr>
            <w:tcW w:w="1137" w:type="pct"/>
            <w:tcBorders>
              <w:top w:val="nil"/>
              <w:left w:val="nil"/>
              <w:bottom w:val="nil"/>
              <w:right w:val="nil"/>
            </w:tcBorders>
            <w:shd w:val="clear" w:color="auto" w:fill="auto"/>
            <w:vAlign w:val="center"/>
          </w:tcPr>
          <w:p w14:paraId="6579A14D" w14:textId="77777777" w:rsidR="00191170" w:rsidRPr="00191170" w:rsidRDefault="00191170" w:rsidP="00B86BA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8.222</w:t>
            </w:r>
          </w:p>
        </w:tc>
        <w:tc>
          <w:tcPr>
            <w:tcW w:w="1137" w:type="pct"/>
            <w:tcBorders>
              <w:top w:val="nil"/>
              <w:left w:val="nil"/>
              <w:bottom w:val="nil"/>
              <w:right w:val="nil"/>
            </w:tcBorders>
            <w:shd w:val="clear" w:color="auto" w:fill="auto"/>
            <w:vAlign w:val="center"/>
          </w:tcPr>
          <w:p w14:paraId="062E0142" w14:textId="77777777" w:rsidR="00191170" w:rsidRPr="00191170" w:rsidRDefault="00191170" w:rsidP="00B86BA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8.110.215</w:t>
            </w:r>
          </w:p>
        </w:tc>
        <w:tc>
          <w:tcPr>
            <w:tcW w:w="1477" w:type="pct"/>
            <w:tcBorders>
              <w:top w:val="nil"/>
              <w:left w:val="nil"/>
              <w:bottom w:val="nil"/>
              <w:right w:val="single" w:sz="8" w:space="0" w:color="0061CF"/>
            </w:tcBorders>
            <w:shd w:val="clear" w:color="auto" w:fill="auto"/>
            <w:vAlign w:val="center"/>
          </w:tcPr>
          <w:p w14:paraId="2DF3053D" w14:textId="77777777" w:rsidR="00191170" w:rsidRPr="00191170" w:rsidRDefault="00191170" w:rsidP="00B86BA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10.913.916</w:t>
            </w:r>
          </w:p>
        </w:tc>
      </w:tr>
      <w:tr w:rsidR="00191170" w:rsidRPr="003C08F2" w14:paraId="31974A2C" w14:textId="77777777" w:rsidTr="00B86BAA">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6C38C775" w14:textId="28CB2BE1" w:rsidR="00191170" w:rsidRPr="00191170" w:rsidRDefault="008E46B2" w:rsidP="008E46B2">
            <w:pPr>
              <w:spacing w:line="240" w:lineRule="auto"/>
              <w:jc w:val="both"/>
              <w:rPr>
                <w:rFonts w:cs="Arial"/>
                <w:szCs w:val="20"/>
              </w:rPr>
            </w:pPr>
            <w:proofErr w:type="spellStart"/>
            <w:r>
              <w:rPr>
                <w:rFonts w:cs="Arial"/>
                <w:szCs w:val="20"/>
              </w:rPr>
              <w:t>na</w:t>
            </w:r>
            <w:r w:rsidR="00191170" w:rsidRPr="00191170">
              <w:rPr>
                <w:rFonts w:cs="Arial"/>
                <w:szCs w:val="20"/>
              </w:rPr>
              <w:t>d</w:t>
            </w:r>
            <w:proofErr w:type="spellEnd"/>
            <w:r w:rsidR="00191170" w:rsidRPr="00191170">
              <w:rPr>
                <w:rFonts w:cs="Arial"/>
                <w:szCs w:val="20"/>
              </w:rPr>
              <w:t xml:space="preserve"> 61 </w:t>
            </w:r>
            <w:r>
              <w:rPr>
                <w:rFonts w:cs="Arial"/>
                <w:szCs w:val="20"/>
              </w:rPr>
              <w:t>let</w:t>
            </w:r>
          </w:p>
        </w:tc>
        <w:tc>
          <w:tcPr>
            <w:tcW w:w="1137" w:type="pct"/>
            <w:tcBorders>
              <w:top w:val="single" w:sz="8" w:space="0" w:color="0061CF"/>
              <w:left w:val="nil"/>
              <w:bottom w:val="single" w:sz="8" w:space="0" w:color="0061CF"/>
              <w:right w:val="nil"/>
            </w:tcBorders>
            <w:shd w:val="clear" w:color="auto" w:fill="auto"/>
            <w:vAlign w:val="center"/>
          </w:tcPr>
          <w:p w14:paraId="5948CF49" w14:textId="77777777" w:rsidR="00191170" w:rsidRPr="00191170" w:rsidRDefault="00191170" w:rsidP="00B86BA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134</w:t>
            </w:r>
          </w:p>
        </w:tc>
        <w:tc>
          <w:tcPr>
            <w:tcW w:w="1137" w:type="pct"/>
            <w:tcBorders>
              <w:top w:val="single" w:sz="8" w:space="0" w:color="0061CF"/>
              <w:left w:val="nil"/>
              <w:bottom w:val="single" w:sz="8" w:space="0" w:color="0061CF"/>
              <w:right w:val="nil"/>
            </w:tcBorders>
            <w:shd w:val="clear" w:color="auto" w:fill="auto"/>
            <w:vAlign w:val="center"/>
          </w:tcPr>
          <w:p w14:paraId="5945000E" w14:textId="77777777" w:rsidR="00191170" w:rsidRPr="00191170" w:rsidRDefault="00191170" w:rsidP="00B86BA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117.230</w:t>
            </w:r>
          </w:p>
        </w:tc>
        <w:tc>
          <w:tcPr>
            <w:tcW w:w="1477" w:type="pct"/>
            <w:tcBorders>
              <w:top w:val="single" w:sz="8" w:space="0" w:color="0061CF"/>
              <w:left w:val="nil"/>
              <w:bottom w:val="single" w:sz="8" w:space="0" w:color="0061CF"/>
              <w:right w:val="single" w:sz="8" w:space="0" w:color="0061CF"/>
            </w:tcBorders>
            <w:shd w:val="clear" w:color="auto" w:fill="auto"/>
            <w:vAlign w:val="center"/>
          </w:tcPr>
          <w:p w14:paraId="471FFF70" w14:textId="77777777" w:rsidR="00191170" w:rsidRPr="00191170" w:rsidRDefault="00191170" w:rsidP="00B86BA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157.756</w:t>
            </w:r>
          </w:p>
        </w:tc>
      </w:tr>
      <w:tr w:rsidR="00191170" w:rsidRPr="003C08F2" w14:paraId="6EFCAB42" w14:textId="77777777" w:rsidTr="00B86BAA">
        <w:trPr>
          <w:trHeight w:val="265"/>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140555B3" w14:textId="77777777" w:rsidR="00191170" w:rsidRPr="00191170" w:rsidRDefault="00191170" w:rsidP="003C08F2">
            <w:pPr>
              <w:spacing w:line="240" w:lineRule="auto"/>
              <w:jc w:val="both"/>
              <w:rPr>
                <w:rFonts w:cs="Arial"/>
                <w:szCs w:val="20"/>
              </w:rPr>
            </w:pPr>
            <w:r w:rsidRPr="00191170">
              <w:rPr>
                <w:rFonts w:cs="Arial"/>
                <w:szCs w:val="20"/>
              </w:rPr>
              <w:t>SKUPAJ</w:t>
            </w:r>
          </w:p>
        </w:tc>
        <w:tc>
          <w:tcPr>
            <w:tcW w:w="1137" w:type="pct"/>
            <w:tcBorders>
              <w:top w:val="nil"/>
              <w:left w:val="nil"/>
              <w:bottom w:val="single" w:sz="8" w:space="0" w:color="0061CF"/>
              <w:right w:val="nil"/>
            </w:tcBorders>
            <w:shd w:val="clear" w:color="auto" w:fill="auto"/>
            <w:vAlign w:val="center"/>
          </w:tcPr>
          <w:p w14:paraId="2BB57418" w14:textId="77777777" w:rsidR="00191170" w:rsidRPr="00191170" w:rsidRDefault="00191170" w:rsidP="00B86BA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11.840</w:t>
            </w:r>
          </w:p>
        </w:tc>
        <w:tc>
          <w:tcPr>
            <w:tcW w:w="1137" w:type="pct"/>
            <w:tcBorders>
              <w:top w:val="nil"/>
              <w:left w:val="nil"/>
              <w:bottom w:val="single" w:sz="8" w:space="0" w:color="0061CF"/>
              <w:right w:val="nil"/>
            </w:tcBorders>
            <w:shd w:val="clear" w:color="auto" w:fill="auto"/>
            <w:vAlign w:val="center"/>
          </w:tcPr>
          <w:p w14:paraId="6B337BCE" w14:textId="77777777" w:rsidR="00191170" w:rsidRPr="00191170" w:rsidRDefault="00191170" w:rsidP="00B86BA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10.317.434</w:t>
            </w:r>
          </w:p>
        </w:tc>
        <w:tc>
          <w:tcPr>
            <w:tcW w:w="1477" w:type="pct"/>
            <w:tcBorders>
              <w:top w:val="nil"/>
              <w:left w:val="nil"/>
              <w:bottom w:val="single" w:sz="8" w:space="0" w:color="0061CF"/>
              <w:right w:val="single" w:sz="8" w:space="0" w:color="0061CF"/>
            </w:tcBorders>
            <w:shd w:val="clear" w:color="auto" w:fill="auto"/>
            <w:vAlign w:val="center"/>
          </w:tcPr>
          <w:p w14:paraId="31218BCB" w14:textId="77777777" w:rsidR="00191170" w:rsidRPr="00191170" w:rsidRDefault="00191170" w:rsidP="00B86BA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13.884.170</w:t>
            </w:r>
          </w:p>
        </w:tc>
      </w:tr>
    </w:tbl>
    <w:p w14:paraId="7C19FF40" w14:textId="77777777" w:rsidR="00871993" w:rsidRDefault="00871993" w:rsidP="003C08F2">
      <w:pPr>
        <w:spacing w:line="240" w:lineRule="auto"/>
        <w:jc w:val="both"/>
        <w:rPr>
          <w:rFonts w:cs="Arial"/>
          <w:szCs w:val="20"/>
        </w:rPr>
      </w:pPr>
    </w:p>
    <w:p w14:paraId="2F918414" w14:textId="53659A7D" w:rsidR="00871993" w:rsidRPr="00871993" w:rsidRDefault="00871993" w:rsidP="00871993">
      <w:pPr>
        <w:spacing w:line="240" w:lineRule="auto"/>
        <w:jc w:val="center"/>
        <w:rPr>
          <w:rFonts w:cs="Arial"/>
          <w:sz w:val="18"/>
          <w:szCs w:val="18"/>
        </w:rPr>
      </w:pPr>
      <w:r w:rsidRPr="00871993">
        <w:rPr>
          <w:rFonts w:cs="Arial"/>
          <w:sz w:val="18"/>
          <w:szCs w:val="18"/>
        </w:rPr>
        <w:t>Vir: Modra zavarovalnica</w:t>
      </w:r>
    </w:p>
    <w:p w14:paraId="1EEB85A4" w14:textId="77777777" w:rsidR="00871993" w:rsidRDefault="00871993" w:rsidP="003C08F2">
      <w:pPr>
        <w:spacing w:line="240" w:lineRule="auto"/>
        <w:jc w:val="both"/>
        <w:rPr>
          <w:rFonts w:cs="Arial"/>
          <w:szCs w:val="20"/>
        </w:rPr>
      </w:pPr>
    </w:p>
    <w:p w14:paraId="6E42EBE0" w14:textId="223D8745" w:rsidR="00191170" w:rsidRPr="00583138" w:rsidRDefault="004D22B8" w:rsidP="003C08F2">
      <w:pPr>
        <w:spacing w:line="240" w:lineRule="auto"/>
        <w:jc w:val="both"/>
        <w:rPr>
          <w:rFonts w:cs="Arial"/>
          <w:sz w:val="18"/>
          <w:szCs w:val="18"/>
        </w:rPr>
      </w:pPr>
      <w:r>
        <w:rPr>
          <w:rFonts w:cs="Arial"/>
          <w:b/>
          <w:bCs/>
          <w:sz w:val="18"/>
          <w:szCs w:val="18"/>
        </w:rPr>
        <w:t>Preglednic</w:t>
      </w:r>
      <w:r w:rsidR="00191170" w:rsidRPr="00191170">
        <w:rPr>
          <w:rFonts w:cs="Arial"/>
          <w:b/>
          <w:bCs/>
          <w:sz w:val="18"/>
          <w:szCs w:val="18"/>
        </w:rPr>
        <w:t xml:space="preserve">a </w:t>
      </w:r>
      <w:r w:rsidR="00191170" w:rsidRPr="00191170">
        <w:rPr>
          <w:rFonts w:cs="Arial"/>
          <w:b/>
          <w:bCs/>
          <w:sz w:val="18"/>
          <w:szCs w:val="18"/>
        </w:rPr>
        <w:fldChar w:fldCharType="begin"/>
      </w:r>
      <w:r w:rsidR="00191170" w:rsidRPr="00191170">
        <w:rPr>
          <w:rFonts w:cs="Arial"/>
          <w:b/>
          <w:bCs/>
          <w:sz w:val="18"/>
          <w:szCs w:val="18"/>
        </w:rPr>
        <w:instrText xml:space="preserve"> SEQ Tabela \* ARABIC </w:instrText>
      </w:r>
      <w:r w:rsidR="00191170" w:rsidRPr="00191170">
        <w:rPr>
          <w:rFonts w:cs="Arial"/>
          <w:b/>
          <w:bCs/>
          <w:sz w:val="18"/>
          <w:szCs w:val="18"/>
        </w:rPr>
        <w:fldChar w:fldCharType="separate"/>
      </w:r>
      <w:r w:rsidR="00191170" w:rsidRPr="00191170">
        <w:rPr>
          <w:rFonts w:cs="Arial"/>
          <w:b/>
          <w:bCs/>
          <w:sz w:val="18"/>
          <w:szCs w:val="18"/>
        </w:rPr>
        <w:t>4</w:t>
      </w:r>
      <w:r w:rsidR="00191170" w:rsidRPr="00191170">
        <w:rPr>
          <w:rFonts w:cs="Arial"/>
          <w:b/>
          <w:bCs/>
          <w:sz w:val="18"/>
          <w:szCs w:val="18"/>
        </w:rPr>
        <w:fldChar w:fldCharType="end"/>
      </w:r>
      <w:r w:rsidR="00191170" w:rsidRPr="00191170">
        <w:rPr>
          <w:rFonts w:cs="Arial"/>
          <w:sz w:val="18"/>
          <w:szCs w:val="18"/>
        </w:rPr>
        <w:t>: S</w:t>
      </w:r>
      <w:r w:rsidR="007F73CA">
        <w:rPr>
          <w:rFonts w:cs="Arial"/>
          <w:sz w:val="18"/>
          <w:szCs w:val="18"/>
        </w:rPr>
        <w:t>tarostna sestav</w:t>
      </w:r>
      <w:r w:rsidR="00191170" w:rsidRPr="00191170">
        <w:rPr>
          <w:rFonts w:cs="Arial"/>
          <w:sz w:val="18"/>
          <w:szCs w:val="18"/>
        </w:rPr>
        <w:t xml:space="preserve">a članov skupine </w:t>
      </w:r>
      <w:r w:rsidR="007F73CA" w:rsidRPr="00191170">
        <w:rPr>
          <w:rFonts w:cs="Arial"/>
          <w:sz w:val="18"/>
          <w:szCs w:val="18"/>
        </w:rPr>
        <w:t xml:space="preserve">A </w:t>
      </w:r>
      <w:r w:rsidR="00191170" w:rsidRPr="00191170">
        <w:rPr>
          <w:rFonts w:cs="Arial"/>
          <w:sz w:val="18"/>
          <w:szCs w:val="18"/>
        </w:rPr>
        <w:t>na dan 28.</w:t>
      </w:r>
      <w:r w:rsidR="008E46B2">
        <w:rPr>
          <w:rFonts w:cs="Arial"/>
          <w:sz w:val="18"/>
          <w:szCs w:val="18"/>
        </w:rPr>
        <w:t> </w:t>
      </w:r>
      <w:r w:rsidR="00191170" w:rsidRPr="00191170">
        <w:rPr>
          <w:rFonts w:cs="Arial"/>
          <w:sz w:val="18"/>
          <w:szCs w:val="18"/>
        </w:rPr>
        <w:t>2.</w:t>
      </w:r>
      <w:r w:rsidR="008E46B2">
        <w:rPr>
          <w:rFonts w:cs="Arial"/>
          <w:sz w:val="18"/>
          <w:szCs w:val="18"/>
        </w:rPr>
        <w:t> </w:t>
      </w:r>
      <w:r w:rsidR="00191170" w:rsidRPr="00191170">
        <w:rPr>
          <w:rFonts w:cs="Arial"/>
          <w:sz w:val="18"/>
          <w:szCs w:val="18"/>
        </w:rPr>
        <w:t>2025</w:t>
      </w:r>
    </w:p>
    <w:p w14:paraId="24B47F63" w14:textId="77777777" w:rsidR="00583138" w:rsidRPr="00191170" w:rsidRDefault="00583138" w:rsidP="003C08F2">
      <w:pPr>
        <w:spacing w:line="240" w:lineRule="auto"/>
        <w:jc w:val="both"/>
        <w:rPr>
          <w:rFonts w:cs="Arial"/>
          <w:szCs w:val="20"/>
        </w:rPr>
      </w:pPr>
    </w:p>
    <w:tbl>
      <w:tblPr>
        <w:tblStyle w:val="Tabelaseznam3poudarek11"/>
        <w:tblW w:w="6658" w:type="dxa"/>
        <w:jc w:val="center"/>
        <w:tblLook w:val="04A0" w:firstRow="1" w:lastRow="0" w:firstColumn="1" w:lastColumn="0" w:noHBand="0" w:noVBand="1"/>
      </w:tblPr>
      <w:tblGrid>
        <w:gridCol w:w="1555"/>
        <w:gridCol w:w="1842"/>
        <w:gridCol w:w="1560"/>
        <w:gridCol w:w="1701"/>
      </w:tblGrid>
      <w:tr w:rsidR="00191170" w:rsidRPr="003C08F2" w14:paraId="0E10B6E5" w14:textId="77777777" w:rsidTr="0058313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100" w:firstRow="0" w:lastRow="0" w:firstColumn="1" w:lastColumn="0" w:oddVBand="0" w:evenVBand="0" w:oddHBand="0" w:evenHBand="0" w:firstRowFirstColumn="1" w:firstRowLastColumn="0" w:lastRowFirstColumn="0" w:lastRowLastColumn="0"/>
            <w:tcW w:w="1555" w:type="dxa"/>
            <w:vAlign w:val="center"/>
          </w:tcPr>
          <w:p w14:paraId="185FD59B" w14:textId="77777777" w:rsidR="00191170" w:rsidRPr="00191170" w:rsidRDefault="00191170" w:rsidP="003C08F2">
            <w:pPr>
              <w:spacing w:line="240" w:lineRule="auto"/>
              <w:jc w:val="both"/>
              <w:rPr>
                <w:rFonts w:cs="Arial"/>
                <w:color w:val="auto"/>
                <w:szCs w:val="20"/>
              </w:rPr>
            </w:pPr>
            <w:r w:rsidRPr="00191170">
              <w:rPr>
                <w:rFonts w:cs="Arial"/>
                <w:color w:val="auto"/>
                <w:szCs w:val="20"/>
              </w:rPr>
              <w:t>Starost</w:t>
            </w:r>
          </w:p>
        </w:tc>
        <w:tc>
          <w:tcPr>
            <w:tcW w:w="1842" w:type="dxa"/>
            <w:vAlign w:val="center"/>
          </w:tcPr>
          <w:p w14:paraId="2F925E12" w14:textId="77777777" w:rsidR="00191170" w:rsidRPr="00191170" w:rsidRDefault="00191170" w:rsidP="003C08F2">
            <w:pPr>
              <w:spacing w:line="240" w:lineRule="auto"/>
              <w:jc w:val="both"/>
              <w:cnfStyle w:val="100000000000" w:firstRow="1" w:lastRow="0" w:firstColumn="0" w:lastColumn="0" w:oddVBand="0" w:evenVBand="0" w:oddHBand="0" w:evenHBand="0" w:firstRowFirstColumn="0" w:firstRowLastColumn="0" w:lastRowFirstColumn="0" w:lastRowLastColumn="0"/>
              <w:rPr>
                <w:rFonts w:cs="Arial"/>
                <w:color w:val="auto"/>
                <w:szCs w:val="20"/>
              </w:rPr>
            </w:pPr>
            <w:proofErr w:type="spellStart"/>
            <w:r w:rsidRPr="00191170">
              <w:rPr>
                <w:rFonts w:cs="Arial"/>
                <w:color w:val="auto"/>
                <w:szCs w:val="20"/>
              </w:rPr>
              <w:t>Št</w:t>
            </w:r>
            <w:proofErr w:type="spellEnd"/>
            <w:r w:rsidRPr="00191170">
              <w:rPr>
                <w:rFonts w:cs="Arial"/>
                <w:color w:val="auto"/>
                <w:szCs w:val="20"/>
              </w:rPr>
              <w:t xml:space="preserve">. </w:t>
            </w:r>
            <w:proofErr w:type="spellStart"/>
            <w:r w:rsidRPr="00191170">
              <w:rPr>
                <w:rFonts w:cs="Arial"/>
                <w:color w:val="auto"/>
                <w:szCs w:val="20"/>
              </w:rPr>
              <w:t>zavarovancev</w:t>
            </w:r>
            <w:proofErr w:type="spellEnd"/>
          </w:p>
        </w:tc>
        <w:tc>
          <w:tcPr>
            <w:tcW w:w="1560" w:type="dxa"/>
            <w:tcBorders>
              <w:right w:val="single" w:sz="4" w:space="0" w:color="0061CF"/>
            </w:tcBorders>
            <w:vAlign w:val="center"/>
          </w:tcPr>
          <w:p w14:paraId="1D2FAC50" w14:textId="77777777" w:rsidR="00191170" w:rsidRPr="00191170" w:rsidRDefault="00191170" w:rsidP="003C08F2">
            <w:pPr>
              <w:spacing w:line="240" w:lineRule="auto"/>
              <w:jc w:val="both"/>
              <w:cnfStyle w:val="100000000000" w:firstRow="1" w:lastRow="0" w:firstColumn="0" w:lastColumn="0" w:oddVBand="0" w:evenVBand="0" w:oddHBand="0" w:evenHBand="0" w:firstRowFirstColumn="0" w:firstRowLastColumn="0" w:lastRowFirstColumn="0" w:lastRowLastColumn="0"/>
              <w:rPr>
                <w:rFonts w:cs="Arial"/>
                <w:color w:val="auto"/>
                <w:szCs w:val="20"/>
              </w:rPr>
            </w:pPr>
            <w:r w:rsidRPr="00191170">
              <w:rPr>
                <w:rFonts w:cs="Arial"/>
                <w:color w:val="auto"/>
                <w:szCs w:val="20"/>
              </w:rPr>
              <w:t xml:space="preserve">Povprečno </w:t>
            </w:r>
            <w:proofErr w:type="spellStart"/>
            <w:r w:rsidRPr="00191170">
              <w:rPr>
                <w:rFonts w:cs="Arial"/>
                <w:color w:val="auto"/>
                <w:szCs w:val="20"/>
              </w:rPr>
              <w:t>št</w:t>
            </w:r>
            <w:proofErr w:type="spellEnd"/>
            <w:r w:rsidRPr="00191170">
              <w:rPr>
                <w:rFonts w:cs="Arial"/>
                <w:color w:val="auto"/>
                <w:szCs w:val="20"/>
              </w:rPr>
              <w:t xml:space="preserve">. </w:t>
            </w:r>
            <w:proofErr w:type="spellStart"/>
            <w:r w:rsidRPr="00191170">
              <w:rPr>
                <w:rFonts w:cs="Arial"/>
                <w:color w:val="auto"/>
                <w:szCs w:val="20"/>
              </w:rPr>
              <w:t>enot</w:t>
            </w:r>
            <w:proofErr w:type="spellEnd"/>
          </w:p>
        </w:tc>
        <w:tc>
          <w:tcPr>
            <w:tcW w:w="1701" w:type="dxa"/>
            <w:tcBorders>
              <w:right w:val="single" w:sz="4" w:space="0" w:color="0061CF"/>
            </w:tcBorders>
            <w:vAlign w:val="center"/>
          </w:tcPr>
          <w:p w14:paraId="48F22F63" w14:textId="77777777" w:rsidR="00191170" w:rsidRPr="00191170" w:rsidRDefault="00191170" w:rsidP="003C08F2">
            <w:pPr>
              <w:spacing w:line="240" w:lineRule="auto"/>
              <w:jc w:val="both"/>
              <w:cnfStyle w:val="100000000000" w:firstRow="1" w:lastRow="0" w:firstColumn="0" w:lastColumn="0" w:oddVBand="0" w:evenVBand="0" w:oddHBand="0" w:evenHBand="0" w:firstRowFirstColumn="0" w:firstRowLastColumn="0" w:lastRowFirstColumn="0" w:lastRowLastColumn="0"/>
              <w:rPr>
                <w:rFonts w:cs="Arial"/>
                <w:color w:val="auto"/>
                <w:szCs w:val="20"/>
              </w:rPr>
            </w:pPr>
            <w:proofErr w:type="spellStart"/>
            <w:r w:rsidRPr="00191170">
              <w:rPr>
                <w:rFonts w:cs="Arial"/>
                <w:color w:val="auto"/>
                <w:szCs w:val="20"/>
              </w:rPr>
              <w:t>Povprečna</w:t>
            </w:r>
            <w:proofErr w:type="spellEnd"/>
            <w:r w:rsidRPr="00191170">
              <w:rPr>
                <w:rFonts w:cs="Arial"/>
                <w:color w:val="auto"/>
                <w:szCs w:val="20"/>
              </w:rPr>
              <w:t xml:space="preserve"> </w:t>
            </w:r>
            <w:proofErr w:type="spellStart"/>
            <w:r w:rsidRPr="00191170">
              <w:rPr>
                <w:rFonts w:cs="Arial"/>
                <w:color w:val="auto"/>
                <w:szCs w:val="20"/>
              </w:rPr>
              <w:t>vrednost</w:t>
            </w:r>
            <w:proofErr w:type="spellEnd"/>
            <w:r w:rsidRPr="00191170">
              <w:rPr>
                <w:rFonts w:cs="Arial"/>
                <w:color w:val="auto"/>
                <w:szCs w:val="20"/>
              </w:rPr>
              <w:t xml:space="preserve"> </w:t>
            </w:r>
            <w:proofErr w:type="spellStart"/>
            <w:r w:rsidRPr="00191170">
              <w:rPr>
                <w:rFonts w:cs="Arial"/>
                <w:color w:val="auto"/>
                <w:szCs w:val="20"/>
              </w:rPr>
              <w:t>sredstev</w:t>
            </w:r>
            <w:proofErr w:type="spellEnd"/>
            <w:r w:rsidRPr="00191170">
              <w:rPr>
                <w:rFonts w:cs="Arial"/>
                <w:color w:val="auto"/>
                <w:szCs w:val="20"/>
              </w:rPr>
              <w:t xml:space="preserve"> v EUR</w:t>
            </w:r>
          </w:p>
        </w:tc>
      </w:tr>
      <w:tr w:rsidR="00191170" w:rsidRPr="003C08F2" w14:paraId="70700797" w14:textId="77777777" w:rsidTr="00E14ADA">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2451F12" w14:textId="77777777" w:rsidR="00191170" w:rsidRPr="00191170" w:rsidRDefault="00191170" w:rsidP="003C08F2">
            <w:pPr>
              <w:spacing w:line="240" w:lineRule="auto"/>
              <w:jc w:val="both"/>
              <w:rPr>
                <w:rFonts w:cs="Arial"/>
                <w:szCs w:val="20"/>
              </w:rPr>
            </w:pPr>
            <w:r w:rsidRPr="00191170">
              <w:rPr>
                <w:rFonts w:cs="Arial"/>
                <w:szCs w:val="20"/>
              </w:rPr>
              <w:t xml:space="preserve">do 30 let </w:t>
            </w:r>
          </w:p>
        </w:tc>
        <w:tc>
          <w:tcPr>
            <w:tcW w:w="1842" w:type="dxa"/>
            <w:tcBorders>
              <w:top w:val="single" w:sz="8" w:space="0" w:color="0061CF"/>
              <w:left w:val="nil"/>
              <w:bottom w:val="single" w:sz="8" w:space="0" w:color="0061CF"/>
              <w:right w:val="nil"/>
            </w:tcBorders>
            <w:shd w:val="clear" w:color="auto" w:fill="auto"/>
            <w:vAlign w:val="center"/>
          </w:tcPr>
          <w:p w14:paraId="20C5D201" w14:textId="77777777" w:rsidR="00191170" w:rsidRPr="00191170" w:rsidRDefault="00191170" w:rsidP="00E14AD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7</w:t>
            </w:r>
          </w:p>
        </w:tc>
        <w:tc>
          <w:tcPr>
            <w:tcW w:w="1560" w:type="dxa"/>
            <w:tcBorders>
              <w:top w:val="single" w:sz="8" w:space="0" w:color="0061CF"/>
              <w:left w:val="nil"/>
              <w:bottom w:val="single" w:sz="8" w:space="0" w:color="0061CF"/>
              <w:right w:val="nil"/>
            </w:tcBorders>
            <w:shd w:val="clear" w:color="auto" w:fill="auto"/>
            <w:vAlign w:val="center"/>
          </w:tcPr>
          <w:p w14:paraId="60162962" w14:textId="77777777" w:rsidR="00191170" w:rsidRPr="00191170" w:rsidRDefault="00191170" w:rsidP="00E14AD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508</w:t>
            </w:r>
          </w:p>
        </w:tc>
        <w:tc>
          <w:tcPr>
            <w:tcW w:w="1701" w:type="dxa"/>
            <w:tcBorders>
              <w:top w:val="single" w:sz="8" w:space="0" w:color="0061CF"/>
              <w:left w:val="nil"/>
              <w:bottom w:val="single" w:sz="8" w:space="0" w:color="0061CF"/>
              <w:right w:val="single" w:sz="8" w:space="0" w:color="0061CF"/>
            </w:tcBorders>
            <w:shd w:val="clear" w:color="auto" w:fill="auto"/>
            <w:vAlign w:val="center"/>
          </w:tcPr>
          <w:p w14:paraId="4D3E7735" w14:textId="77777777" w:rsidR="00191170" w:rsidRPr="00191170" w:rsidRDefault="00191170" w:rsidP="00E14AD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684</w:t>
            </w:r>
          </w:p>
        </w:tc>
      </w:tr>
      <w:tr w:rsidR="00191170" w:rsidRPr="003C08F2" w14:paraId="2476D393" w14:textId="77777777" w:rsidTr="00E14ADA">
        <w:trPr>
          <w:trHeight w:val="258"/>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14E015CF" w14:textId="08E733A1" w:rsidR="00191170" w:rsidRPr="00191170" w:rsidRDefault="008E46B2" w:rsidP="003C08F2">
            <w:pPr>
              <w:spacing w:line="240" w:lineRule="auto"/>
              <w:jc w:val="both"/>
              <w:rPr>
                <w:rFonts w:cs="Arial"/>
                <w:szCs w:val="20"/>
              </w:rPr>
            </w:pPr>
            <w:r>
              <w:rPr>
                <w:rFonts w:cs="Arial"/>
                <w:szCs w:val="20"/>
              </w:rPr>
              <w:t xml:space="preserve">od </w:t>
            </w:r>
            <w:r w:rsidR="00191170" w:rsidRPr="00191170">
              <w:rPr>
                <w:rFonts w:cs="Arial"/>
                <w:szCs w:val="20"/>
              </w:rPr>
              <w:t xml:space="preserve">31 do 40 let </w:t>
            </w:r>
          </w:p>
        </w:tc>
        <w:tc>
          <w:tcPr>
            <w:tcW w:w="1842" w:type="dxa"/>
            <w:tcBorders>
              <w:top w:val="nil"/>
              <w:left w:val="nil"/>
              <w:bottom w:val="nil"/>
              <w:right w:val="nil"/>
            </w:tcBorders>
            <w:shd w:val="clear" w:color="auto" w:fill="auto"/>
            <w:vAlign w:val="center"/>
          </w:tcPr>
          <w:p w14:paraId="73B153AE" w14:textId="77777777" w:rsidR="00191170" w:rsidRPr="00191170" w:rsidRDefault="00191170" w:rsidP="00E14AD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1.353</w:t>
            </w:r>
          </w:p>
        </w:tc>
        <w:tc>
          <w:tcPr>
            <w:tcW w:w="1560" w:type="dxa"/>
            <w:tcBorders>
              <w:top w:val="nil"/>
              <w:left w:val="nil"/>
              <w:bottom w:val="nil"/>
              <w:right w:val="nil"/>
            </w:tcBorders>
            <w:shd w:val="clear" w:color="auto" w:fill="auto"/>
            <w:vAlign w:val="center"/>
          </w:tcPr>
          <w:p w14:paraId="74E41DDD" w14:textId="77777777" w:rsidR="00191170" w:rsidRPr="00191170" w:rsidRDefault="00191170" w:rsidP="00E14AD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289</w:t>
            </w:r>
          </w:p>
        </w:tc>
        <w:tc>
          <w:tcPr>
            <w:tcW w:w="1701" w:type="dxa"/>
            <w:tcBorders>
              <w:top w:val="nil"/>
              <w:left w:val="nil"/>
              <w:bottom w:val="nil"/>
              <w:right w:val="single" w:sz="8" w:space="0" w:color="0061CF"/>
            </w:tcBorders>
            <w:shd w:val="clear" w:color="auto" w:fill="auto"/>
            <w:vAlign w:val="center"/>
          </w:tcPr>
          <w:p w14:paraId="6E5A979A" w14:textId="77777777" w:rsidR="00191170" w:rsidRPr="00191170" w:rsidRDefault="00191170" w:rsidP="00E14AD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387</w:t>
            </w:r>
          </w:p>
        </w:tc>
      </w:tr>
      <w:tr w:rsidR="00191170" w:rsidRPr="003C08F2" w14:paraId="791BA0A2" w14:textId="77777777" w:rsidTr="00E14ADA">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D9F8624" w14:textId="03C9E11E" w:rsidR="00191170" w:rsidRPr="00191170" w:rsidRDefault="008E46B2" w:rsidP="003C08F2">
            <w:pPr>
              <w:spacing w:line="240" w:lineRule="auto"/>
              <w:jc w:val="both"/>
              <w:rPr>
                <w:rFonts w:cs="Arial"/>
                <w:szCs w:val="20"/>
              </w:rPr>
            </w:pPr>
            <w:r>
              <w:rPr>
                <w:rFonts w:cs="Arial"/>
                <w:szCs w:val="20"/>
              </w:rPr>
              <w:t xml:space="preserve">od </w:t>
            </w:r>
            <w:r w:rsidR="00191170" w:rsidRPr="00191170">
              <w:rPr>
                <w:rFonts w:cs="Arial"/>
                <w:szCs w:val="20"/>
              </w:rPr>
              <w:t xml:space="preserve">41 do 50 let </w:t>
            </w:r>
          </w:p>
        </w:tc>
        <w:tc>
          <w:tcPr>
            <w:tcW w:w="1842" w:type="dxa"/>
            <w:tcBorders>
              <w:top w:val="single" w:sz="8" w:space="0" w:color="0061CF"/>
              <w:left w:val="nil"/>
              <w:bottom w:val="single" w:sz="8" w:space="0" w:color="0061CF"/>
              <w:right w:val="nil"/>
            </w:tcBorders>
            <w:shd w:val="clear" w:color="auto" w:fill="auto"/>
            <w:vAlign w:val="center"/>
          </w:tcPr>
          <w:p w14:paraId="6BEA07D0" w14:textId="77777777" w:rsidR="00191170" w:rsidRPr="00191170" w:rsidRDefault="00191170" w:rsidP="00E14AD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1.995</w:t>
            </w:r>
          </w:p>
        </w:tc>
        <w:tc>
          <w:tcPr>
            <w:tcW w:w="1560" w:type="dxa"/>
            <w:tcBorders>
              <w:top w:val="single" w:sz="8" w:space="0" w:color="0061CF"/>
              <w:left w:val="nil"/>
              <w:bottom w:val="single" w:sz="8" w:space="0" w:color="0061CF"/>
              <w:right w:val="nil"/>
            </w:tcBorders>
            <w:shd w:val="clear" w:color="auto" w:fill="auto"/>
            <w:vAlign w:val="center"/>
          </w:tcPr>
          <w:p w14:paraId="0C3AB6C5" w14:textId="77777777" w:rsidR="00191170" w:rsidRPr="00191170" w:rsidRDefault="00191170" w:rsidP="00E14AD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283</w:t>
            </w:r>
          </w:p>
        </w:tc>
        <w:tc>
          <w:tcPr>
            <w:tcW w:w="1701" w:type="dxa"/>
            <w:tcBorders>
              <w:top w:val="single" w:sz="8" w:space="0" w:color="0061CF"/>
              <w:left w:val="nil"/>
              <w:bottom w:val="single" w:sz="8" w:space="0" w:color="0061CF"/>
              <w:right w:val="single" w:sz="8" w:space="0" w:color="0061CF"/>
            </w:tcBorders>
            <w:shd w:val="clear" w:color="auto" w:fill="auto"/>
            <w:vAlign w:val="center"/>
          </w:tcPr>
          <w:p w14:paraId="43824EF3" w14:textId="77777777" w:rsidR="00191170" w:rsidRPr="00191170" w:rsidRDefault="00191170" w:rsidP="00E14AD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380</w:t>
            </w:r>
          </w:p>
        </w:tc>
      </w:tr>
      <w:tr w:rsidR="00191170" w:rsidRPr="003C08F2" w14:paraId="3D88B7D7" w14:textId="77777777" w:rsidTr="00E14ADA">
        <w:trPr>
          <w:trHeight w:val="266"/>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3EE5752" w14:textId="7BDB5A57" w:rsidR="00191170" w:rsidRPr="00191170" w:rsidRDefault="00191170" w:rsidP="003C08F2">
            <w:pPr>
              <w:spacing w:line="240" w:lineRule="auto"/>
              <w:jc w:val="both"/>
              <w:rPr>
                <w:rFonts w:cs="Arial"/>
                <w:szCs w:val="20"/>
              </w:rPr>
            </w:pPr>
            <w:r w:rsidRPr="00191170">
              <w:rPr>
                <w:rFonts w:cs="Arial"/>
                <w:szCs w:val="20"/>
              </w:rPr>
              <w:t xml:space="preserve">od 51 do 60 </w:t>
            </w:r>
            <w:r w:rsidR="008E46B2">
              <w:rPr>
                <w:rFonts w:cs="Arial"/>
                <w:szCs w:val="20"/>
              </w:rPr>
              <w:t>let</w:t>
            </w:r>
          </w:p>
        </w:tc>
        <w:tc>
          <w:tcPr>
            <w:tcW w:w="1842" w:type="dxa"/>
            <w:tcBorders>
              <w:top w:val="nil"/>
              <w:left w:val="nil"/>
              <w:bottom w:val="nil"/>
              <w:right w:val="nil"/>
            </w:tcBorders>
            <w:shd w:val="clear" w:color="auto" w:fill="auto"/>
            <w:vAlign w:val="center"/>
          </w:tcPr>
          <w:p w14:paraId="5998B0FD" w14:textId="77777777" w:rsidR="00191170" w:rsidRPr="00191170" w:rsidRDefault="00191170" w:rsidP="00E14AD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7.225</w:t>
            </w:r>
          </w:p>
        </w:tc>
        <w:tc>
          <w:tcPr>
            <w:tcW w:w="1560" w:type="dxa"/>
            <w:tcBorders>
              <w:top w:val="nil"/>
              <w:left w:val="nil"/>
              <w:bottom w:val="nil"/>
              <w:right w:val="nil"/>
            </w:tcBorders>
            <w:shd w:val="clear" w:color="auto" w:fill="auto"/>
            <w:vAlign w:val="center"/>
          </w:tcPr>
          <w:p w14:paraId="51CACFB2" w14:textId="77777777" w:rsidR="00191170" w:rsidRPr="00191170" w:rsidRDefault="00191170" w:rsidP="00E14AD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514</w:t>
            </w:r>
          </w:p>
        </w:tc>
        <w:tc>
          <w:tcPr>
            <w:tcW w:w="1701" w:type="dxa"/>
            <w:tcBorders>
              <w:top w:val="nil"/>
              <w:left w:val="nil"/>
              <w:bottom w:val="nil"/>
              <w:right w:val="single" w:sz="8" w:space="0" w:color="0061CF"/>
            </w:tcBorders>
            <w:shd w:val="clear" w:color="auto" w:fill="auto"/>
            <w:vAlign w:val="center"/>
          </w:tcPr>
          <w:p w14:paraId="6C8ECE2E" w14:textId="77777777" w:rsidR="00191170" w:rsidRPr="00191170" w:rsidRDefault="00191170" w:rsidP="00E14AD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691</w:t>
            </w:r>
          </w:p>
        </w:tc>
      </w:tr>
      <w:tr w:rsidR="00191170" w:rsidRPr="003C08F2" w14:paraId="2824AF15" w14:textId="77777777" w:rsidTr="00E14ADA">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1019A22" w14:textId="66A59F47" w:rsidR="00191170" w:rsidRPr="00191170" w:rsidRDefault="008E46B2" w:rsidP="008E46B2">
            <w:pPr>
              <w:spacing w:line="240" w:lineRule="auto"/>
              <w:jc w:val="both"/>
              <w:rPr>
                <w:rFonts w:cs="Arial"/>
                <w:szCs w:val="20"/>
              </w:rPr>
            </w:pPr>
            <w:proofErr w:type="spellStart"/>
            <w:r>
              <w:rPr>
                <w:rFonts w:cs="Arial"/>
                <w:szCs w:val="20"/>
              </w:rPr>
              <w:t>na</w:t>
            </w:r>
            <w:r w:rsidR="00191170" w:rsidRPr="00191170">
              <w:rPr>
                <w:rFonts w:cs="Arial"/>
                <w:szCs w:val="20"/>
              </w:rPr>
              <w:t>d</w:t>
            </w:r>
            <w:proofErr w:type="spellEnd"/>
            <w:r w:rsidR="00191170" w:rsidRPr="00191170">
              <w:rPr>
                <w:rFonts w:cs="Arial"/>
                <w:szCs w:val="20"/>
              </w:rPr>
              <w:t xml:space="preserve"> 61 </w:t>
            </w:r>
            <w:r>
              <w:rPr>
                <w:rFonts w:cs="Arial"/>
                <w:szCs w:val="20"/>
              </w:rPr>
              <w:t>let</w:t>
            </w:r>
          </w:p>
        </w:tc>
        <w:tc>
          <w:tcPr>
            <w:tcW w:w="1842" w:type="dxa"/>
            <w:tcBorders>
              <w:top w:val="single" w:sz="8" w:space="0" w:color="0061CF"/>
              <w:left w:val="nil"/>
              <w:bottom w:val="single" w:sz="8" w:space="0" w:color="0061CF"/>
              <w:right w:val="nil"/>
            </w:tcBorders>
            <w:shd w:val="clear" w:color="auto" w:fill="auto"/>
            <w:vAlign w:val="center"/>
          </w:tcPr>
          <w:p w14:paraId="7582DAD2" w14:textId="77777777" w:rsidR="00191170" w:rsidRPr="00191170" w:rsidRDefault="00191170" w:rsidP="00E14AD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125</w:t>
            </w:r>
          </w:p>
        </w:tc>
        <w:tc>
          <w:tcPr>
            <w:tcW w:w="1560" w:type="dxa"/>
            <w:tcBorders>
              <w:top w:val="single" w:sz="8" w:space="0" w:color="0061CF"/>
              <w:left w:val="nil"/>
              <w:bottom w:val="single" w:sz="8" w:space="0" w:color="0061CF"/>
              <w:right w:val="nil"/>
            </w:tcBorders>
            <w:shd w:val="clear" w:color="auto" w:fill="auto"/>
            <w:vAlign w:val="center"/>
          </w:tcPr>
          <w:p w14:paraId="3811ADA4" w14:textId="77777777" w:rsidR="00191170" w:rsidRPr="00191170" w:rsidRDefault="00191170" w:rsidP="00E14AD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615</w:t>
            </w:r>
          </w:p>
        </w:tc>
        <w:tc>
          <w:tcPr>
            <w:tcW w:w="1701" w:type="dxa"/>
            <w:tcBorders>
              <w:top w:val="single" w:sz="8" w:space="0" w:color="0061CF"/>
              <w:left w:val="nil"/>
              <w:bottom w:val="single" w:sz="8" w:space="0" w:color="0061CF"/>
              <w:right w:val="single" w:sz="8" w:space="0" w:color="0061CF"/>
            </w:tcBorders>
            <w:shd w:val="clear" w:color="auto" w:fill="auto"/>
            <w:vAlign w:val="center"/>
          </w:tcPr>
          <w:p w14:paraId="193F3017" w14:textId="77777777" w:rsidR="00191170" w:rsidRPr="00191170" w:rsidRDefault="00191170" w:rsidP="00E14AD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828</w:t>
            </w:r>
          </w:p>
        </w:tc>
      </w:tr>
      <w:tr w:rsidR="00191170" w:rsidRPr="003C08F2" w14:paraId="1FAA0A8A" w14:textId="77777777" w:rsidTr="00E14ADA">
        <w:trPr>
          <w:trHeight w:val="26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25D9278" w14:textId="77777777" w:rsidR="00191170" w:rsidRPr="00191170" w:rsidRDefault="00191170" w:rsidP="003C08F2">
            <w:pPr>
              <w:spacing w:line="240" w:lineRule="auto"/>
              <w:jc w:val="both"/>
              <w:rPr>
                <w:rFonts w:cs="Arial"/>
                <w:szCs w:val="20"/>
              </w:rPr>
            </w:pPr>
            <w:r w:rsidRPr="00191170">
              <w:rPr>
                <w:rFonts w:cs="Arial"/>
                <w:szCs w:val="20"/>
              </w:rPr>
              <w:t>SKUPAJ</w:t>
            </w:r>
          </w:p>
        </w:tc>
        <w:tc>
          <w:tcPr>
            <w:tcW w:w="1842" w:type="dxa"/>
            <w:tcBorders>
              <w:top w:val="nil"/>
              <w:left w:val="nil"/>
              <w:bottom w:val="single" w:sz="8" w:space="0" w:color="0061CF"/>
              <w:right w:val="nil"/>
            </w:tcBorders>
            <w:shd w:val="clear" w:color="auto" w:fill="auto"/>
            <w:vAlign w:val="center"/>
          </w:tcPr>
          <w:p w14:paraId="7AC8D743" w14:textId="77777777" w:rsidR="00191170" w:rsidRPr="00191170" w:rsidRDefault="00191170" w:rsidP="00E14AD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10.705</w:t>
            </w:r>
          </w:p>
        </w:tc>
        <w:tc>
          <w:tcPr>
            <w:tcW w:w="1560" w:type="dxa"/>
            <w:tcBorders>
              <w:top w:val="nil"/>
              <w:left w:val="nil"/>
              <w:bottom w:val="single" w:sz="8" w:space="0" w:color="0061CF"/>
              <w:right w:val="nil"/>
            </w:tcBorders>
            <w:shd w:val="clear" w:color="auto" w:fill="auto"/>
            <w:vAlign w:val="center"/>
          </w:tcPr>
          <w:p w14:paraId="05F72519" w14:textId="77777777" w:rsidR="00191170" w:rsidRPr="00191170" w:rsidRDefault="00191170" w:rsidP="00E14AD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446</w:t>
            </w:r>
          </w:p>
        </w:tc>
        <w:tc>
          <w:tcPr>
            <w:tcW w:w="1701" w:type="dxa"/>
            <w:tcBorders>
              <w:top w:val="nil"/>
              <w:left w:val="nil"/>
              <w:bottom w:val="single" w:sz="8" w:space="0" w:color="0061CF"/>
              <w:right w:val="single" w:sz="8" w:space="0" w:color="0061CF"/>
            </w:tcBorders>
            <w:shd w:val="clear" w:color="auto" w:fill="auto"/>
            <w:vAlign w:val="center"/>
          </w:tcPr>
          <w:p w14:paraId="7556D804" w14:textId="77777777" w:rsidR="00191170" w:rsidRPr="00191170" w:rsidRDefault="00191170" w:rsidP="00E14AD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601</w:t>
            </w:r>
          </w:p>
        </w:tc>
      </w:tr>
    </w:tbl>
    <w:p w14:paraId="596317FD" w14:textId="77777777" w:rsidR="00191170" w:rsidRPr="00191170" w:rsidRDefault="00191170" w:rsidP="003C08F2">
      <w:pPr>
        <w:spacing w:line="240" w:lineRule="auto"/>
        <w:jc w:val="both"/>
        <w:rPr>
          <w:rFonts w:cs="Arial"/>
          <w:szCs w:val="20"/>
        </w:rPr>
      </w:pPr>
    </w:p>
    <w:p w14:paraId="6136A02A" w14:textId="6D9EBDD8" w:rsidR="00583138" w:rsidRDefault="00583138" w:rsidP="00583138">
      <w:pPr>
        <w:spacing w:line="240" w:lineRule="auto"/>
        <w:jc w:val="center"/>
        <w:rPr>
          <w:rFonts w:cs="Arial"/>
          <w:b/>
          <w:bCs/>
          <w:sz w:val="18"/>
          <w:szCs w:val="18"/>
        </w:rPr>
      </w:pPr>
      <w:r w:rsidRPr="00871993">
        <w:rPr>
          <w:rFonts w:cs="Arial"/>
          <w:sz w:val="18"/>
          <w:szCs w:val="18"/>
        </w:rPr>
        <w:t>Vir: Modra zavarovalnica</w:t>
      </w:r>
    </w:p>
    <w:p w14:paraId="5097E0FA" w14:textId="77777777" w:rsidR="00583138" w:rsidRDefault="00583138" w:rsidP="003C08F2">
      <w:pPr>
        <w:spacing w:line="240" w:lineRule="auto"/>
        <w:jc w:val="both"/>
        <w:rPr>
          <w:rFonts w:cs="Arial"/>
          <w:b/>
          <w:bCs/>
          <w:sz w:val="18"/>
          <w:szCs w:val="18"/>
        </w:rPr>
      </w:pPr>
    </w:p>
    <w:p w14:paraId="499C262B" w14:textId="0BFBCBEE" w:rsidR="00191170" w:rsidRPr="00583138" w:rsidRDefault="004D22B8" w:rsidP="003C08F2">
      <w:pPr>
        <w:spacing w:line="240" w:lineRule="auto"/>
        <w:jc w:val="both"/>
        <w:rPr>
          <w:rFonts w:cs="Arial"/>
          <w:sz w:val="18"/>
          <w:szCs w:val="18"/>
        </w:rPr>
      </w:pPr>
      <w:r>
        <w:rPr>
          <w:rFonts w:cs="Arial"/>
          <w:b/>
          <w:bCs/>
          <w:sz w:val="18"/>
          <w:szCs w:val="18"/>
        </w:rPr>
        <w:t>Preglednic</w:t>
      </w:r>
      <w:r w:rsidR="00191170" w:rsidRPr="00191170">
        <w:rPr>
          <w:rFonts w:cs="Arial"/>
          <w:b/>
          <w:bCs/>
          <w:sz w:val="18"/>
          <w:szCs w:val="18"/>
        </w:rPr>
        <w:t xml:space="preserve">a </w:t>
      </w:r>
      <w:r w:rsidR="00191170" w:rsidRPr="00191170">
        <w:rPr>
          <w:rFonts w:cs="Arial"/>
          <w:b/>
          <w:bCs/>
          <w:sz w:val="18"/>
          <w:szCs w:val="18"/>
        </w:rPr>
        <w:fldChar w:fldCharType="begin"/>
      </w:r>
      <w:r w:rsidR="00191170" w:rsidRPr="00191170">
        <w:rPr>
          <w:rFonts w:cs="Arial"/>
          <w:b/>
          <w:bCs/>
          <w:sz w:val="18"/>
          <w:szCs w:val="18"/>
        </w:rPr>
        <w:instrText xml:space="preserve"> SEQ Tabela \* ARABIC </w:instrText>
      </w:r>
      <w:r w:rsidR="00191170" w:rsidRPr="00191170">
        <w:rPr>
          <w:rFonts w:cs="Arial"/>
          <w:b/>
          <w:bCs/>
          <w:sz w:val="18"/>
          <w:szCs w:val="18"/>
        </w:rPr>
        <w:fldChar w:fldCharType="separate"/>
      </w:r>
      <w:r w:rsidR="00191170" w:rsidRPr="00191170">
        <w:rPr>
          <w:rFonts w:cs="Arial"/>
          <w:b/>
          <w:bCs/>
          <w:sz w:val="18"/>
          <w:szCs w:val="18"/>
        </w:rPr>
        <w:t>5</w:t>
      </w:r>
      <w:r w:rsidR="00191170" w:rsidRPr="00191170">
        <w:rPr>
          <w:rFonts w:cs="Arial"/>
          <w:b/>
          <w:bCs/>
          <w:sz w:val="18"/>
          <w:szCs w:val="18"/>
        </w:rPr>
        <w:fldChar w:fldCharType="end"/>
      </w:r>
      <w:r w:rsidR="00191170" w:rsidRPr="00191170">
        <w:rPr>
          <w:rFonts w:cs="Arial"/>
          <w:sz w:val="18"/>
          <w:szCs w:val="18"/>
        </w:rPr>
        <w:t>: S</w:t>
      </w:r>
      <w:r w:rsidR="007F73CA">
        <w:rPr>
          <w:rFonts w:cs="Arial"/>
          <w:sz w:val="18"/>
          <w:szCs w:val="18"/>
        </w:rPr>
        <w:t>tarostna sestav</w:t>
      </w:r>
      <w:r w:rsidR="00191170" w:rsidRPr="00191170">
        <w:rPr>
          <w:rFonts w:cs="Arial"/>
          <w:sz w:val="18"/>
          <w:szCs w:val="18"/>
        </w:rPr>
        <w:t xml:space="preserve">a članov skupine </w:t>
      </w:r>
      <w:r w:rsidR="007F73CA" w:rsidRPr="00191170">
        <w:rPr>
          <w:rFonts w:cs="Arial"/>
          <w:sz w:val="18"/>
          <w:szCs w:val="18"/>
        </w:rPr>
        <w:t xml:space="preserve">B </w:t>
      </w:r>
      <w:r w:rsidR="00191170" w:rsidRPr="00191170">
        <w:rPr>
          <w:rFonts w:cs="Arial"/>
          <w:sz w:val="18"/>
          <w:szCs w:val="18"/>
        </w:rPr>
        <w:t>na dan 28.</w:t>
      </w:r>
      <w:r w:rsidR="008E46B2">
        <w:rPr>
          <w:rFonts w:cs="Arial"/>
          <w:sz w:val="18"/>
          <w:szCs w:val="18"/>
        </w:rPr>
        <w:t> </w:t>
      </w:r>
      <w:r w:rsidR="00191170" w:rsidRPr="00191170">
        <w:rPr>
          <w:rFonts w:cs="Arial"/>
          <w:sz w:val="18"/>
          <w:szCs w:val="18"/>
        </w:rPr>
        <w:t>2.</w:t>
      </w:r>
      <w:r w:rsidR="008E46B2">
        <w:rPr>
          <w:rFonts w:cs="Arial"/>
          <w:sz w:val="18"/>
          <w:szCs w:val="18"/>
        </w:rPr>
        <w:t> </w:t>
      </w:r>
      <w:r w:rsidR="00191170" w:rsidRPr="00191170">
        <w:rPr>
          <w:rFonts w:cs="Arial"/>
          <w:sz w:val="18"/>
          <w:szCs w:val="18"/>
        </w:rPr>
        <w:t>2025</w:t>
      </w:r>
    </w:p>
    <w:p w14:paraId="13DD78BC" w14:textId="77777777" w:rsidR="00583138" w:rsidRPr="00191170" w:rsidRDefault="00583138" w:rsidP="003C08F2">
      <w:pPr>
        <w:spacing w:line="240" w:lineRule="auto"/>
        <w:jc w:val="both"/>
        <w:rPr>
          <w:rFonts w:cs="Arial"/>
          <w:szCs w:val="20"/>
        </w:rPr>
      </w:pPr>
    </w:p>
    <w:tbl>
      <w:tblPr>
        <w:tblStyle w:val="Tabelaseznam3poudarek11"/>
        <w:tblW w:w="6516" w:type="dxa"/>
        <w:jc w:val="center"/>
        <w:tblLook w:val="04A0" w:firstRow="1" w:lastRow="0" w:firstColumn="1" w:lastColumn="0" w:noHBand="0" w:noVBand="1"/>
      </w:tblPr>
      <w:tblGrid>
        <w:gridCol w:w="1764"/>
        <w:gridCol w:w="1929"/>
        <w:gridCol w:w="1418"/>
        <w:gridCol w:w="1405"/>
      </w:tblGrid>
      <w:tr w:rsidR="00191170" w:rsidRPr="003C08F2" w14:paraId="4F854C7E" w14:textId="77777777" w:rsidTr="003D0A2A">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100" w:firstRow="0" w:lastRow="0" w:firstColumn="1" w:lastColumn="0" w:oddVBand="0" w:evenVBand="0" w:oddHBand="0" w:evenHBand="0" w:firstRowFirstColumn="1" w:firstRowLastColumn="0" w:lastRowFirstColumn="0" w:lastRowLastColumn="0"/>
            <w:tcW w:w="1555" w:type="dxa"/>
            <w:vAlign w:val="center"/>
          </w:tcPr>
          <w:p w14:paraId="0671109F" w14:textId="77777777" w:rsidR="00191170" w:rsidRPr="00191170" w:rsidRDefault="00191170" w:rsidP="003C08F2">
            <w:pPr>
              <w:spacing w:line="240" w:lineRule="auto"/>
              <w:jc w:val="both"/>
              <w:rPr>
                <w:rFonts w:cs="Arial"/>
                <w:color w:val="auto"/>
                <w:szCs w:val="20"/>
              </w:rPr>
            </w:pPr>
            <w:r w:rsidRPr="00191170">
              <w:rPr>
                <w:rFonts w:cs="Arial"/>
                <w:color w:val="auto"/>
                <w:szCs w:val="20"/>
              </w:rPr>
              <w:t>Starost</w:t>
            </w:r>
          </w:p>
        </w:tc>
        <w:tc>
          <w:tcPr>
            <w:tcW w:w="1701" w:type="dxa"/>
            <w:vAlign w:val="center"/>
          </w:tcPr>
          <w:p w14:paraId="3A9764CD" w14:textId="77777777" w:rsidR="00191170" w:rsidRPr="00191170" w:rsidRDefault="00191170" w:rsidP="003C08F2">
            <w:pPr>
              <w:spacing w:line="240" w:lineRule="auto"/>
              <w:jc w:val="both"/>
              <w:cnfStyle w:val="100000000000" w:firstRow="1" w:lastRow="0" w:firstColumn="0" w:lastColumn="0" w:oddVBand="0" w:evenVBand="0" w:oddHBand="0" w:evenHBand="0" w:firstRowFirstColumn="0" w:firstRowLastColumn="0" w:lastRowFirstColumn="0" w:lastRowLastColumn="0"/>
              <w:rPr>
                <w:rFonts w:cs="Arial"/>
                <w:color w:val="auto"/>
                <w:szCs w:val="20"/>
              </w:rPr>
            </w:pPr>
            <w:proofErr w:type="spellStart"/>
            <w:r w:rsidRPr="00191170">
              <w:rPr>
                <w:rFonts w:cs="Arial"/>
                <w:color w:val="auto"/>
                <w:szCs w:val="20"/>
              </w:rPr>
              <w:t>Št</w:t>
            </w:r>
            <w:proofErr w:type="spellEnd"/>
            <w:r w:rsidRPr="00191170">
              <w:rPr>
                <w:rFonts w:cs="Arial"/>
                <w:color w:val="auto"/>
                <w:szCs w:val="20"/>
              </w:rPr>
              <w:t xml:space="preserve">. </w:t>
            </w:r>
            <w:proofErr w:type="spellStart"/>
            <w:r w:rsidRPr="00191170">
              <w:rPr>
                <w:rFonts w:cs="Arial"/>
                <w:color w:val="auto"/>
                <w:szCs w:val="20"/>
              </w:rPr>
              <w:t>zavarovancev</w:t>
            </w:r>
            <w:proofErr w:type="spellEnd"/>
          </w:p>
        </w:tc>
        <w:tc>
          <w:tcPr>
            <w:tcW w:w="0" w:type="dxa"/>
            <w:tcBorders>
              <w:right w:val="single" w:sz="4" w:space="0" w:color="0061CF"/>
            </w:tcBorders>
            <w:vAlign w:val="center"/>
          </w:tcPr>
          <w:p w14:paraId="5D02D96C" w14:textId="77777777" w:rsidR="00191170" w:rsidRPr="00191170" w:rsidRDefault="00191170" w:rsidP="003C08F2">
            <w:pPr>
              <w:spacing w:line="240" w:lineRule="auto"/>
              <w:jc w:val="both"/>
              <w:cnfStyle w:val="100000000000" w:firstRow="1" w:lastRow="0" w:firstColumn="0" w:lastColumn="0" w:oddVBand="0" w:evenVBand="0" w:oddHBand="0" w:evenHBand="0" w:firstRowFirstColumn="0" w:firstRowLastColumn="0" w:lastRowFirstColumn="0" w:lastRowLastColumn="0"/>
              <w:rPr>
                <w:rFonts w:cs="Arial"/>
                <w:color w:val="auto"/>
                <w:szCs w:val="20"/>
              </w:rPr>
            </w:pPr>
            <w:r w:rsidRPr="00191170">
              <w:rPr>
                <w:rFonts w:cs="Arial"/>
                <w:color w:val="auto"/>
                <w:szCs w:val="20"/>
              </w:rPr>
              <w:t xml:space="preserve">Povprečno </w:t>
            </w:r>
            <w:proofErr w:type="spellStart"/>
            <w:r w:rsidRPr="00191170">
              <w:rPr>
                <w:rFonts w:cs="Arial"/>
                <w:color w:val="auto"/>
                <w:szCs w:val="20"/>
              </w:rPr>
              <w:t>št</w:t>
            </w:r>
            <w:proofErr w:type="spellEnd"/>
            <w:r w:rsidRPr="00191170">
              <w:rPr>
                <w:rFonts w:cs="Arial"/>
                <w:color w:val="auto"/>
                <w:szCs w:val="20"/>
              </w:rPr>
              <w:t xml:space="preserve">. </w:t>
            </w:r>
            <w:proofErr w:type="spellStart"/>
            <w:r w:rsidRPr="00191170">
              <w:rPr>
                <w:rFonts w:cs="Arial"/>
                <w:color w:val="auto"/>
                <w:szCs w:val="20"/>
              </w:rPr>
              <w:t>enot</w:t>
            </w:r>
            <w:proofErr w:type="spellEnd"/>
          </w:p>
        </w:tc>
        <w:tc>
          <w:tcPr>
            <w:tcW w:w="0" w:type="dxa"/>
            <w:tcBorders>
              <w:right w:val="single" w:sz="4" w:space="0" w:color="0061CF"/>
            </w:tcBorders>
            <w:vAlign w:val="center"/>
          </w:tcPr>
          <w:p w14:paraId="515BF2FA" w14:textId="77777777" w:rsidR="00191170" w:rsidRPr="00191170" w:rsidRDefault="00191170" w:rsidP="003C08F2">
            <w:pPr>
              <w:spacing w:line="240" w:lineRule="auto"/>
              <w:jc w:val="both"/>
              <w:cnfStyle w:val="100000000000" w:firstRow="1" w:lastRow="0" w:firstColumn="0" w:lastColumn="0" w:oddVBand="0" w:evenVBand="0" w:oddHBand="0" w:evenHBand="0" w:firstRowFirstColumn="0" w:firstRowLastColumn="0" w:lastRowFirstColumn="0" w:lastRowLastColumn="0"/>
              <w:rPr>
                <w:rFonts w:cs="Arial"/>
                <w:color w:val="auto"/>
                <w:szCs w:val="20"/>
              </w:rPr>
            </w:pPr>
            <w:proofErr w:type="spellStart"/>
            <w:r w:rsidRPr="00191170">
              <w:rPr>
                <w:rFonts w:cs="Arial"/>
                <w:color w:val="auto"/>
                <w:szCs w:val="20"/>
              </w:rPr>
              <w:t>Povprečna</w:t>
            </w:r>
            <w:proofErr w:type="spellEnd"/>
            <w:r w:rsidRPr="00191170">
              <w:rPr>
                <w:rFonts w:cs="Arial"/>
                <w:color w:val="auto"/>
                <w:szCs w:val="20"/>
              </w:rPr>
              <w:t xml:space="preserve"> </w:t>
            </w:r>
            <w:proofErr w:type="spellStart"/>
            <w:r w:rsidRPr="00191170">
              <w:rPr>
                <w:rFonts w:cs="Arial"/>
                <w:color w:val="auto"/>
                <w:szCs w:val="20"/>
              </w:rPr>
              <w:t>vrednost</w:t>
            </w:r>
            <w:proofErr w:type="spellEnd"/>
            <w:r w:rsidRPr="00191170">
              <w:rPr>
                <w:rFonts w:cs="Arial"/>
                <w:color w:val="auto"/>
                <w:szCs w:val="20"/>
              </w:rPr>
              <w:t xml:space="preserve"> </w:t>
            </w:r>
            <w:proofErr w:type="spellStart"/>
            <w:r w:rsidRPr="00191170">
              <w:rPr>
                <w:rFonts w:cs="Arial"/>
                <w:color w:val="auto"/>
                <w:szCs w:val="20"/>
              </w:rPr>
              <w:t>sredstev</w:t>
            </w:r>
            <w:proofErr w:type="spellEnd"/>
            <w:r w:rsidRPr="00191170">
              <w:rPr>
                <w:rFonts w:cs="Arial"/>
                <w:color w:val="auto"/>
                <w:szCs w:val="20"/>
              </w:rPr>
              <w:t xml:space="preserve"> v EUR</w:t>
            </w:r>
          </w:p>
        </w:tc>
      </w:tr>
      <w:tr w:rsidR="00191170" w:rsidRPr="003C08F2" w14:paraId="69B79331" w14:textId="77777777" w:rsidTr="003D0A2A">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7D45849" w14:textId="77777777" w:rsidR="00191170" w:rsidRPr="00191170" w:rsidRDefault="00191170" w:rsidP="003C08F2">
            <w:pPr>
              <w:spacing w:line="240" w:lineRule="auto"/>
              <w:jc w:val="both"/>
              <w:rPr>
                <w:rFonts w:cs="Arial"/>
                <w:szCs w:val="20"/>
              </w:rPr>
            </w:pPr>
            <w:r w:rsidRPr="00191170">
              <w:rPr>
                <w:rFonts w:cs="Arial"/>
                <w:szCs w:val="20"/>
              </w:rPr>
              <w:t xml:space="preserve">do 30 let </w:t>
            </w:r>
          </w:p>
        </w:tc>
        <w:tc>
          <w:tcPr>
            <w:tcW w:w="1701" w:type="dxa"/>
            <w:tcBorders>
              <w:top w:val="single" w:sz="8" w:space="0" w:color="0061CF"/>
              <w:left w:val="nil"/>
              <w:bottom w:val="single" w:sz="8" w:space="0" w:color="0061CF"/>
              <w:right w:val="nil"/>
            </w:tcBorders>
            <w:shd w:val="clear" w:color="auto" w:fill="auto"/>
            <w:vAlign w:val="center"/>
          </w:tcPr>
          <w:p w14:paraId="384BD28B" w14:textId="77777777" w:rsidR="00191170" w:rsidRPr="00191170" w:rsidRDefault="00191170" w:rsidP="00E14AD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2</w:t>
            </w:r>
          </w:p>
        </w:tc>
        <w:tc>
          <w:tcPr>
            <w:tcW w:w="0" w:type="dxa"/>
            <w:tcBorders>
              <w:top w:val="single" w:sz="8" w:space="0" w:color="0061CF"/>
              <w:left w:val="nil"/>
              <w:bottom w:val="single" w:sz="8" w:space="0" w:color="0061CF"/>
              <w:right w:val="nil"/>
            </w:tcBorders>
            <w:shd w:val="clear" w:color="auto" w:fill="auto"/>
            <w:vAlign w:val="center"/>
          </w:tcPr>
          <w:p w14:paraId="4FD8F929" w14:textId="77777777" w:rsidR="00191170" w:rsidRPr="00191170" w:rsidRDefault="00191170" w:rsidP="00E14AD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3.995</w:t>
            </w:r>
          </w:p>
        </w:tc>
        <w:tc>
          <w:tcPr>
            <w:tcW w:w="0" w:type="dxa"/>
            <w:tcBorders>
              <w:top w:val="single" w:sz="8" w:space="0" w:color="0061CF"/>
              <w:left w:val="nil"/>
              <w:bottom w:val="single" w:sz="8" w:space="0" w:color="0061CF"/>
              <w:right w:val="single" w:sz="8" w:space="0" w:color="0061CF"/>
            </w:tcBorders>
            <w:shd w:val="clear" w:color="auto" w:fill="auto"/>
            <w:vAlign w:val="center"/>
          </w:tcPr>
          <w:p w14:paraId="51DB6B7E" w14:textId="77777777" w:rsidR="00191170" w:rsidRPr="00191170" w:rsidRDefault="00191170" w:rsidP="00E14AD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5.376</w:t>
            </w:r>
          </w:p>
        </w:tc>
      </w:tr>
      <w:tr w:rsidR="00191170" w:rsidRPr="003C08F2" w14:paraId="060B849E" w14:textId="77777777" w:rsidTr="003D0A2A">
        <w:trPr>
          <w:trHeight w:val="252"/>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296B783" w14:textId="11C60B6C" w:rsidR="00191170" w:rsidRPr="00191170" w:rsidRDefault="008E46B2" w:rsidP="003C08F2">
            <w:pPr>
              <w:spacing w:line="240" w:lineRule="auto"/>
              <w:jc w:val="both"/>
              <w:rPr>
                <w:rFonts w:cs="Arial"/>
                <w:szCs w:val="20"/>
              </w:rPr>
            </w:pPr>
            <w:r>
              <w:rPr>
                <w:rFonts w:cs="Arial"/>
                <w:szCs w:val="20"/>
              </w:rPr>
              <w:t xml:space="preserve">od </w:t>
            </w:r>
            <w:r w:rsidR="00191170" w:rsidRPr="00191170">
              <w:rPr>
                <w:rFonts w:cs="Arial"/>
                <w:szCs w:val="20"/>
              </w:rPr>
              <w:t xml:space="preserve">31 do 40 let </w:t>
            </w:r>
          </w:p>
        </w:tc>
        <w:tc>
          <w:tcPr>
            <w:tcW w:w="1701" w:type="dxa"/>
            <w:tcBorders>
              <w:top w:val="nil"/>
              <w:left w:val="nil"/>
              <w:bottom w:val="nil"/>
              <w:right w:val="nil"/>
            </w:tcBorders>
            <w:shd w:val="clear" w:color="auto" w:fill="auto"/>
            <w:vAlign w:val="center"/>
          </w:tcPr>
          <w:p w14:paraId="2B0AE7F8" w14:textId="77777777" w:rsidR="00191170" w:rsidRPr="00191170" w:rsidRDefault="00191170" w:rsidP="00E14AD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3</w:t>
            </w:r>
          </w:p>
        </w:tc>
        <w:tc>
          <w:tcPr>
            <w:tcW w:w="0" w:type="dxa"/>
            <w:tcBorders>
              <w:top w:val="nil"/>
              <w:left w:val="nil"/>
              <w:bottom w:val="nil"/>
              <w:right w:val="nil"/>
            </w:tcBorders>
            <w:shd w:val="clear" w:color="auto" w:fill="auto"/>
            <w:vAlign w:val="center"/>
          </w:tcPr>
          <w:p w14:paraId="5C71E497" w14:textId="77777777" w:rsidR="00191170" w:rsidRPr="00191170" w:rsidRDefault="00191170" w:rsidP="00E14AD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4.440</w:t>
            </w:r>
          </w:p>
        </w:tc>
        <w:tc>
          <w:tcPr>
            <w:tcW w:w="0" w:type="dxa"/>
            <w:tcBorders>
              <w:top w:val="nil"/>
              <w:left w:val="nil"/>
              <w:bottom w:val="nil"/>
              <w:right w:val="single" w:sz="8" w:space="0" w:color="0061CF"/>
            </w:tcBorders>
            <w:shd w:val="clear" w:color="auto" w:fill="auto"/>
            <w:vAlign w:val="center"/>
          </w:tcPr>
          <w:p w14:paraId="185B6A59" w14:textId="77777777" w:rsidR="00191170" w:rsidRPr="00191170" w:rsidRDefault="00191170" w:rsidP="00E14AD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5.976</w:t>
            </w:r>
          </w:p>
        </w:tc>
      </w:tr>
      <w:tr w:rsidR="00191170" w:rsidRPr="003C08F2" w14:paraId="6383C8EB" w14:textId="77777777" w:rsidTr="003D0A2A">
        <w:trPr>
          <w:cnfStyle w:val="000000100000" w:firstRow="0" w:lastRow="0" w:firstColumn="0" w:lastColumn="0" w:oddVBand="0" w:evenVBand="0" w:oddHBand="1" w:evenHBand="0" w:firstRowFirstColumn="0" w:firstRowLastColumn="0" w:lastRowFirstColumn="0" w:lastRowLastColumn="0"/>
          <w:trHeight w:val="212"/>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02EB624A" w14:textId="74E83891" w:rsidR="00191170" w:rsidRPr="00191170" w:rsidRDefault="008E46B2" w:rsidP="003C08F2">
            <w:pPr>
              <w:spacing w:line="240" w:lineRule="auto"/>
              <w:jc w:val="both"/>
              <w:rPr>
                <w:rFonts w:cs="Arial"/>
                <w:szCs w:val="20"/>
              </w:rPr>
            </w:pPr>
            <w:r>
              <w:rPr>
                <w:rFonts w:cs="Arial"/>
                <w:szCs w:val="20"/>
              </w:rPr>
              <w:t xml:space="preserve">od </w:t>
            </w:r>
            <w:r w:rsidR="00191170" w:rsidRPr="00191170">
              <w:rPr>
                <w:rFonts w:cs="Arial"/>
                <w:szCs w:val="20"/>
              </w:rPr>
              <w:t xml:space="preserve">41 do 50 let </w:t>
            </w:r>
          </w:p>
        </w:tc>
        <w:tc>
          <w:tcPr>
            <w:tcW w:w="1701" w:type="dxa"/>
            <w:tcBorders>
              <w:top w:val="single" w:sz="8" w:space="0" w:color="0061CF"/>
              <w:left w:val="nil"/>
              <w:bottom w:val="single" w:sz="8" w:space="0" w:color="0061CF"/>
              <w:right w:val="nil"/>
            </w:tcBorders>
            <w:shd w:val="clear" w:color="auto" w:fill="auto"/>
            <w:vAlign w:val="center"/>
          </w:tcPr>
          <w:p w14:paraId="1B266FE6" w14:textId="77777777" w:rsidR="00191170" w:rsidRPr="00191170" w:rsidRDefault="00191170" w:rsidP="00E14AD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16</w:t>
            </w:r>
          </w:p>
        </w:tc>
        <w:tc>
          <w:tcPr>
            <w:tcW w:w="0" w:type="dxa"/>
            <w:tcBorders>
              <w:top w:val="single" w:sz="8" w:space="0" w:color="0061CF"/>
              <w:left w:val="nil"/>
              <w:bottom w:val="single" w:sz="8" w:space="0" w:color="0061CF"/>
              <w:right w:val="nil"/>
            </w:tcBorders>
            <w:shd w:val="clear" w:color="auto" w:fill="auto"/>
            <w:vAlign w:val="center"/>
          </w:tcPr>
          <w:p w14:paraId="2C9F9B2E" w14:textId="77777777" w:rsidR="00191170" w:rsidRPr="00191170" w:rsidRDefault="00191170" w:rsidP="00E14AD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3.966</w:t>
            </w:r>
          </w:p>
        </w:tc>
        <w:tc>
          <w:tcPr>
            <w:tcW w:w="0" w:type="dxa"/>
            <w:tcBorders>
              <w:top w:val="single" w:sz="8" w:space="0" w:color="0061CF"/>
              <w:left w:val="nil"/>
              <w:bottom w:val="single" w:sz="8" w:space="0" w:color="0061CF"/>
              <w:right w:val="single" w:sz="8" w:space="0" w:color="0061CF"/>
            </w:tcBorders>
            <w:shd w:val="clear" w:color="auto" w:fill="auto"/>
            <w:vAlign w:val="center"/>
          </w:tcPr>
          <w:p w14:paraId="02110F47" w14:textId="77777777" w:rsidR="00191170" w:rsidRPr="00191170" w:rsidRDefault="00191170" w:rsidP="00E14AD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5.336</w:t>
            </w:r>
          </w:p>
        </w:tc>
      </w:tr>
      <w:tr w:rsidR="00191170" w:rsidRPr="003C08F2" w14:paraId="24225CD2" w14:textId="77777777" w:rsidTr="003D0A2A">
        <w:trPr>
          <w:trHeight w:val="244"/>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1BFCD11" w14:textId="447E15EF" w:rsidR="00191170" w:rsidRPr="00191170" w:rsidRDefault="00191170" w:rsidP="003C08F2">
            <w:pPr>
              <w:spacing w:line="240" w:lineRule="auto"/>
              <w:jc w:val="both"/>
              <w:rPr>
                <w:rFonts w:cs="Arial"/>
                <w:szCs w:val="20"/>
              </w:rPr>
            </w:pPr>
            <w:r w:rsidRPr="00191170">
              <w:rPr>
                <w:rFonts w:cs="Arial"/>
                <w:szCs w:val="20"/>
              </w:rPr>
              <w:t xml:space="preserve">od 51 do 60 </w:t>
            </w:r>
            <w:r w:rsidR="008E46B2">
              <w:rPr>
                <w:rFonts w:cs="Arial"/>
                <w:szCs w:val="20"/>
              </w:rPr>
              <w:t>let</w:t>
            </w:r>
          </w:p>
        </w:tc>
        <w:tc>
          <w:tcPr>
            <w:tcW w:w="1701" w:type="dxa"/>
            <w:tcBorders>
              <w:top w:val="nil"/>
              <w:left w:val="nil"/>
              <w:bottom w:val="nil"/>
              <w:right w:val="nil"/>
            </w:tcBorders>
            <w:shd w:val="clear" w:color="auto" w:fill="auto"/>
            <w:vAlign w:val="center"/>
          </w:tcPr>
          <w:p w14:paraId="462AF305" w14:textId="77777777" w:rsidR="00191170" w:rsidRPr="00191170" w:rsidRDefault="00191170" w:rsidP="00E14AD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103</w:t>
            </w:r>
          </w:p>
        </w:tc>
        <w:tc>
          <w:tcPr>
            <w:tcW w:w="0" w:type="dxa"/>
            <w:tcBorders>
              <w:top w:val="nil"/>
              <w:left w:val="nil"/>
              <w:bottom w:val="nil"/>
              <w:right w:val="nil"/>
            </w:tcBorders>
            <w:shd w:val="clear" w:color="auto" w:fill="auto"/>
            <w:vAlign w:val="center"/>
          </w:tcPr>
          <w:p w14:paraId="78B9EB98" w14:textId="77777777" w:rsidR="00191170" w:rsidRPr="00191170" w:rsidRDefault="00191170" w:rsidP="00E14AD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3.253</w:t>
            </w:r>
          </w:p>
        </w:tc>
        <w:tc>
          <w:tcPr>
            <w:tcW w:w="0" w:type="dxa"/>
            <w:tcBorders>
              <w:top w:val="nil"/>
              <w:left w:val="nil"/>
              <w:bottom w:val="nil"/>
              <w:right w:val="single" w:sz="8" w:space="0" w:color="0061CF"/>
            </w:tcBorders>
            <w:shd w:val="clear" w:color="auto" w:fill="auto"/>
            <w:vAlign w:val="center"/>
          </w:tcPr>
          <w:p w14:paraId="0F900BD3" w14:textId="77777777" w:rsidR="00191170" w:rsidRPr="00191170" w:rsidRDefault="00191170" w:rsidP="00E14AD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4.378</w:t>
            </w:r>
          </w:p>
        </w:tc>
      </w:tr>
      <w:tr w:rsidR="00191170" w:rsidRPr="003C08F2" w14:paraId="287411F6" w14:textId="77777777" w:rsidTr="003D0A2A">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54F9C7C" w14:textId="6D7DC535" w:rsidR="00191170" w:rsidRPr="00191170" w:rsidRDefault="008E46B2" w:rsidP="008E46B2">
            <w:pPr>
              <w:spacing w:line="240" w:lineRule="auto"/>
              <w:jc w:val="both"/>
              <w:rPr>
                <w:rFonts w:cs="Arial"/>
                <w:szCs w:val="20"/>
              </w:rPr>
            </w:pPr>
            <w:proofErr w:type="spellStart"/>
            <w:r>
              <w:rPr>
                <w:rFonts w:cs="Arial"/>
                <w:szCs w:val="20"/>
              </w:rPr>
              <w:t>na</w:t>
            </w:r>
            <w:r w:rsidR="00191170" w:rsidRPr="00191170">
              <w:rPr>
                <w:rFonts w:cs="Arial"/>
                <w:szCs w:val="20"/>
              </w:rPr>
              <w:t>d</w:t>
            </w:r>
            <w:proofErr w:type="spellEnd"/>
            <w:r w:rsidR="00191170" w:rsidRPr="00191170">
              <w:rPr>
                <w:rFonts w:cs="Arial"/>
                <w:szCs w:val="20"/>
              </w:rPr>
              <w:t xml:space="preserve"> 61 </w:t>
            </w:r>
            <w:r>
              <w:rPr>
                <w:rFonts w:cs="Arial"/>
                <w:szCs w:val="20"/>
              </w:rPr>
              <w:t>let</w:t>
            </w:r>
          </w:p>
        </w:tc>
        <w:tc>
          <w:tcPr>
            <w:tcW w:w="1701" w:type="dxa"/>
            <w:tcBorders>
              <w:top w:val="single" w:sz="8" w:space="0" w:color="0061CF"/>
              <w:left w:val="nil"/>
              <w:bottom w:val="single" w:sz="8" w:space="0" w:color="0061CF"/>
              <w:right w:val="nil"/>
            </w:tcBorders>
            <w:shd w:val="clear" w:color="auto" w:fill="auto"/>
            <w:vAlign w:val="center"/>
          </w:tcPr>
          <w:p w14:paraId="6A3323BA" w14:textId="77777777" w:rsidR="00191170" w:rsidRPr="00191170" w:rsidRDefault="00191170" w:rsidP="00E14AD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7</w:t>
            </w:r>
          </w:p>
        </w:tc>
        <w:tc>
          <w:tcPr>
            <w:tcW w:w="0" w:type="dxa"/>
            <w:tcBorders>
              <w:top w:val="single" w:sz="8" w:space="0" w:color="0061CF"/>
              <w:left w:val="nil"/>
              <w:bottom w:val="single" w:sz="8" w:space="0" w:color="0061CF"/>
              <w:right w:val="nil"/>
            </w:tcBorders>
            <w:shd w:val="clear" w:color="auto" w:fill="auto"/>
            <w:vAlign w:val="center"/>
          </w:tcPr>
          <w:p w14:paraId="46EE78E0" w14:textId="77777777" w:rsidR="00191170" w:rsidRPr="00191170" w:rsidRDefault="00191170" w:rsidP="00E14AD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2.902</w:t>
            </w:r>
          </w:p>
        </w:tc>
        <w:tc>
          <w:tcPr>
            <w:tcW w:w="0" w:type="dxa"/>
            <w:tcBorders>
              <w:top w:val="single" w:sz="8" w:space="0" w:color="0061CF"/>
              <w:left w:val="nil"/>
              <w:bottom w:val="single" w:sz="8" w:space="0" w:color="0061CF"/>
              <w:right w:val="single" w:sz="8" w:space="0" w:color="0061CF"/>
            </w:tcBorders>
            <w:shd w:val="clear" w:color="auto" w:fill="auto"/>
            <w:vAlign w:val="center"/>
          </w:tcPr>
          <w:p w14:paraId="45A00F34" w14:textId="77777777" w:rsidR="00191170" w:rsidRPr="00191170" w:rsidRDefault="00191170" w:rsidP="00E14ADA">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3.905</w:t>
            </w:r>
          </w:p>
        </w:tc>
      </w:tr>
      <w:tr w:rsidR="00191170" w:rsidRPr="003C08F2" w14:paraId="679E0133" w14:textId="77777777" w:rsidTr="003D0A2A">
        <w:trPr>
          <w:trHeight w:val="266"/>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07E1DC91" w14:textId="77777777" w:rsidR="00191170" w:rsidRPr="00191170" w:rsidRDefault="00191170" w:rsidP="003C08F2">
            <w:pPr>
              <w:spacing w:line="240" w:lineRule="auto"/>
              <w:jc w:val="both"/>
              <w:rPr>
                <w:rFonts w:cs="Arial"/>
                <w:szCs w:val="20"/>
              </w:rPr>
            </w:pPr>
            <w:r w:rsidRPr="00191170">
              <w:rPr>
                <w:rFonts w:cs="Arial"/>
                <w:szCs w:val="20"/>
              </w:rPr>
              <w:t>SKUPAJ</w:t>
            </w:r>
          </w:p>
        </w:tc>
        <w:tc>
          <w:tcPr>
            <w:tcW w:w="1701" w:type="dxa"/>
            <w:tcBorders>
              <w:top w:val="nil"/>
              <w:left w:val="nil"/>
              <w:bottom w:val="single" w:sz="8" w:space="0" w:color="0061CF"/>
              <w:right w:val="nil"/>
            </w:tcBorders>
            <w:shd w:val="clear" w:color="auto" w:fill="auto"/>
            <w:vAlign w:val="center"/>
          </w:tcPr>
          <w:p w14:paraId="7ED7641D" w14:textId="77777777" w:rsidR="00191170" w:rsidRPr="00191170" w:rsidRDefault="00191170" w:rsidP="00E14AD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131</w:t>
            </w:r>
          </w:p>
        </w:tc>
        <w:tc>
          <w:tcPr>
            <w:tcW w:w="0" w:type="dxa"/>
            <w:tcBorders>
              <w:top w:val="nil"/>
              <w:left w:val="nil"/>
              <w:bottom w:val="single" w:sz="8" w:space="0" w:color="0061CF"/>
              <w:right w:val="nil"/>
            </w:tcBorders>
            <w:shd w:val="clear" w:color="auto" w:fill="auto"/>
            <w:vAlign w:val="center"/>
          </w:tcPr>
          <w:p w14:paraId="2828AAA4" w14:textId="77777777" w:rsidR="00191170" w:rsidRPr="00191170" w:rsidRDefault="00191170" w:rsidP="00E14AD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3.360</w:t>
            </w:r>
          </w:p>
        </w:tc>
        <w:tc>
          <w:tcPr>
            <w:tcW w:w="0" w:type="dxa"/>
            <w:tcBorders>
              <w:top w:val="nil"/>
              <w:left w:val="nil"/>
              <w:bottom w:val="single" w:sz="8" w:space="0" w:color="0061CF"/>
              <w:right w:val="single" w:sz="8" w:space="0" w:color="0061CF"/>
            </w:tcBorders>
            <w:shd w:val="clear" w:color="auto" w:fill="auto"/>
            <w:vAlign w:val="center"/>
          </w:tcPr>
          <w:p w14:paraId="3B272407" w14:textId="77777777" w:rsidR="00191170" w:rsidRPr="00191170" w:rsidRDefault="00191170" w:rsidP="00E14ADA">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4.521</w:t>
            </w:r>
          </w:p>
        </w:tc>
      </w:tr>
    </w:tbl>
    <w:p w14:paraId="33A0E781" w14:textId="77777777" w:rsidR="00191170" w:rsidRPr="00191170" w:rsidRDefault="00191170" w:rsidP="003C08F2">
      <w:pPr>
        <w:spacing w:line="240" w:lineRule="auto"/>
        <w:jc w:val="both"/>
        <w:rPr>
          <w:rFonts w:cs="Arial"/>
          <w:szCs w:val="20"/>
        </w:rPr>
      </w:pPr>
    </w:p>
    <w:p w14:paraId="7B59D378" w14:textId="40129A68" w:rsidR="00583138" w:rsidRDefault="00583138" w:rsidP="00583138">
      <w:pPr>
        <w:spacing w:line="240" w:lineRule="auto"/>
        <w:jc w:val="center"/>
        <w:rPr>
          <w:rFonts w:cs="Arial"/>
          <w:szCs w:val="20"/>
        </w:rPr>
      </w:pPr>
      <w:r w:rsidRPr="00871993">
        <w:rPr>
          <w:rFonts w:cs="Arial"/>
          <w:sz w:val="18"/>
          <w:szCs w:val="18"/>
        </w:rPr>
        <w:t>Vir: Modra zavarovalnica</w:t>
      </w:r>
    </w:p>
    <w:p w14:paraId="148EBE7B" w14:textId="77777777" w:rsidR="005A4A6C" w:rsidRDefault="005A4A6C" w:rsidP="003C08F2">
      <w:pPr>
        <w:spacing w:line="240" w:lineRule="auto"/>
        <w:jc w:val="both"/>
        <w:rPr>
          <w:rFonts w:cs="Arial"/>
          <w:b/>
          <w:bCs/>
          <w:sz w:val="18"/>
          <w:szCs w:val="18"/>
        </w:rPr>
      </w:pPr>
    </w:p>
    <w:p w14:paraId="3EDE21DF" w14:textId="23A872A8" w:rsidR="00191170" w:rsidRPr="00782AB5" w:rsidRDefault="004D22B8" w:rsidP="003C08F2">
      <w:pPr>
        <w:spacing w:line="240" w:lineRule="auto"/>
        <w:jc w:val="both"/>
        <w:rPr>
          <w:rFonts w:cs="Arial"/>
          <w:b/>
          <w:bCs/>
          <w:sz w:val="18"/>
          <w:szCs w:val="18"/>
        </w:rPr>
      </w:pPr>
      <w:r>
        <w:rPr>
          <w:rFonts w:cs="Arial"/>
          <w:b/>
          <w:bCs/>
          <w:sz w:val="18"/>
          <w:szCs w:val="18"/>
        </w:rPr>
        <w:t>Preglednic</w:t>
      </w:r>
      <w:r w:rsidR="00191170" w:rsidRPr="00191170">
        <w:rPr>
          <w:rFonts w:cs="Arial"/>
          <w:b/>
          <w:bCs/>
          <w:sz w:val="18"/>
          <w:szCs w:val="18"/>
        </w:rPr>
        <w:t xml:space="preserve">a </w:t>
      </w:r>
      <w:r w:rsidR="00191170" w:rsidRPr="00191170">
        <w:rPr>
          <w:rFonts w:cs="Arial"/>
          <w:b/>
          <w:bCs/>
          <w:sz w:val="18"/>
          <w:szCs w:val="18"/>
        </w:rPr>
        <w:fldChar w:fldCharType="begin"/>
      </w:r>
      <w:r w:rsidR="00191170" w:rsidRPr="00191170">
        <w:rPr>
          <w:rFonts w:cs="Arial"/>
          <w:b/>
          <w:bCs/>
          <w:sz w:val="18"/>
          <w:szCs w:val="18"/>
        </w:rPr>
        <w:instrText xml:space="preserve"> SEQ Tabela \* ARABIC </w:instrText>
      </w:r>
      <w:r w:rsidR="00191170" w:rsidRPr="00191170">
        <w:rPr>
          <w:rFonts w:cs="Arial"/>
          <w:b/>
          <w:bCs/>
          <w:sz w:val="18"/>
          <w:szCs w:val="18"/>
        </w:rPr>
        <w:fldChar w:fldCharType="separate"/>
      </w:r>
      <w:r w:rsidR="00191170" w:rsidRPr="00191170">
        <w:rPr>
          <w:rFonts w:cs="Arial"/>
          <w:b/>
          <w:bCs/>
          <w:sz w:val="18"/>
          <w:szCs w:val="18"/>
        </w:rPr>
        <w:t>6</w:t>
      </w:r>
      <w:r w:rsidR="00191170" w:rsidRPr="00191170">
        <w:rPr>
          <w:rFonts w:cs="Arial"/>
          <w:b/>
          <w:bCs/>
          <w:sz w:val="18"/>
          <w:szCs w:val="18"/>
        </w:rPr>
        <w:fldChar w:fldCharType="end"/>
      </w:r>
      <w:r w:rsidR="00191170" w:rsidRPr="00191170">
        <w:rPr>
          <w:rFonts w:cs="Arial"/>
          <w:sz w:val="18"/>
          <w:szCs w:val="18"/>
        </w:rPr>
        <w:t>: S</w:t>
      </w:r>
      <w:r w:rsidR="007F73CA">
        <w:rPr>
          <w:rFonts w:cs="Arial"/>
          <w:sz w:val="18"/>
          <w:szCs w:val="18"/>
        </w:rPr>
        <w:t>tarostna sestav</w:t>
      </w:r>
      <w:r w:rsidR="00191170" w:rsidRPr="00191170">
        <w:rPr>
          <w:rFonts w:cs="Arial"/>
          <w:sz w:val="18"/>
          <w:szCs w:val="18"/>
        </w:rPr>
        <w:t xml:space="preserve">a članov skupine </w:t>
      </w:r>
      <w:r w:rsidR="007F73CA" w:rsidRPr="00191170">
        <w:rPr>
          <w:rFonts w:cs="Arial"/>
          <w:sz w:val="18"/>
          <w:szCs w:val="18"/>
        </w:rPr>
        <w:t xml:space="preserve">C </w:t>
      </w:r>
      <w:r w:rsidR="00191170" w:rsidRPr="00191170">
        <w:rPr>
          <w:rFonts w:cs="Arial"/>
          <w:sz w:val="18"/>
          <w:szCs w:val="18"/>
        </w:rPr>
        <w:t>na dan 28.</w:t>
      </w:r>
      <w:r w:rsidR="008E46B2">
        <w:rPr>
          <w:rFonts w:cs="Arial"/>
          <w:sz w:val="18"/>
          <w:szCs w:val="18"/>
        </w:rPr>
        <w:t> </w:t>
      </w:r>
      <w:r w:rsidR="00191170" w:rsidRPr="00191170">
        <w:rPr>
          <w:rFonts w:cs="Arial"/>
          <w:sz w:val="18"/>
          <w:szCs w:val="18"/>
        </w:rPr>
        <w:t>2.</w:t>
      </w:r>
      <w:r w:rsidR="008E46B2">
        <w:rPr>
          <w:rFonts w:cs="Arial"/>
          <w:sz w:val="18"/>
          <w:szCs w:val="18"/>
        </w:rPr>
        <w:t> </w:t>
      </w:r>
      <w:r w:rsidR="00191170" w:rsidRPr="00191170">
        <w:rPr>
          <w:rFonts w:cs="Arial"/>
          <w:sz w:val="18"/>
          <w:szCs w:val="18"/>
        </w:rPr>
        <w:t>2025</w:t>
      </w:r>
    </w:p>
    <w:p w14:paraId="11F074C8" w14:textId="77777777" w:rsidR="00782AB5" w:rsidRPr="00191170" w:rsidRDefault="00782AB5" w:rsidP="003C08F2">
      <w:pPr>
        <w:spacing w:line="240" w:lineRule="auto"/>
        <w:jc w:val="both"/>
        <w:rPr>
          <w:rFonts w:cs="Arial"/>
          <w:szCs w:val="20"/>
        </w:rPr>
      </w:pPr>
    </w:p>
    <w:tbl>
      <w:tblPr>
        <w:tblW w:w="19107" w:type="dxa"/>
        <w:tblCellMar>
          <w:left w:w="70" w:type="dxa"/>
          <w:right w:w="70" w:type="dxa"/>
        </w:tblCellMar>
        <w:tblLook w:val="04A0" w:firstRow="1" w:lastRow="0" w:firstColumn="1" w:lastColumn="0" w:noHBand="0" w:noVBand="1"/>
      </w:tblPr>
      <w:tblGrid>
        <w:gridCol w:w="9174"/>
        <w:gridCol w:w="2431"/>
        <w:gridCol w:w="2191"/>
        <w:gridCol w:w="5311"/>
      </w:tblGrid>
      <w:tr w:rsidR="00191170" w:rsidRPr="00191170" w14:paraId="71A69B99" w14:textId="77777777" w:rsidTr="004D22B8">
        <w:trPr>
          <w:trHeight w:val="270"/>
        </w:trPr>
        <w:tc>
          <w:tcPr>
            <w:tcW w:w="9174" w:type="dxa"/>
            <w:tcBorders>
              <w:top w:val="nil"/>
              <w:left w:val="nil"/>
              <w:bottom w:val="nil"/>
              <w:right w:val="nil"/>
            </w:tcBorders>
            <w:shd w:val="clear" w:color="auto" w:fill="auto"/>
            <w:noWrap/>
            <w:vAlign w:val="bottom"/>
          </w:tcPr>
          <w:tbl>
            <w:tblPr>
              <w:tblStyle w:val="Tabelaseznam3poudarek11"/>
              <w:tblW w:w="6591" w:type="dxa"/>
              <w:jc w:val="center"/>
              <w:tblLook w:val="04A0" w:firstRow="1" w:lastRow="0" w:firstColumn="1" w:lastColumn="0" w:noHBand="0" w:noVBand="1"/>
            </w:tblPr>
            <w:tblGrid>
              <w:gridCol w:w="1908"/>
              <w:gridCol w:w="1864"/>
              <w:gridCol w:w="1416"/>
              <w:gridCol w:w="1403"/>
            </w:tblGrid>
            <w:tr w:rsidR="00191170" w:rsidRPr="003C08F2" w14:paraId="0849413B" w14:textId="77777777" w:rsidTr="003D0A2A">
              <w:trPr>
                <w:cnfStyle w:val="100000000000" w:firstRow="1" w:lastRow="0" w:firstColumn="0" w:lastColumn="0" w:oddVBand="0" w:evenVBand="0" w:oddHBand="0" w:evenHBand="0" w:firstRowFirstColumn="0" w:firstRowLastColumn="0" w:lastRowFirstColumn="0" w:lastRowLastColumn="0"/>
                <w:trHeight w:val="593"/>
                <w:jc w:val="center"/>
              </w:trPr>
              <w:tc>
                <w:tcPr>
                  <w:cnfStyle w:val="001000000100" w:firstRow="0" w:lastRow="0" w:firstColumn="1" w:lastColumn="0" w:oddVBand="0" w:evenVBand="0" w:oddHBand="0" w:evenHBand="0" w:firstRowFirstColumn="1" w:firstRowLastColumn="0" w:lastRowFirstColumn="0" w:lastRowLastColumn="0"/>
                  <w:tcW w:w="1684" w:type="dxa"/>
                  <w:vAlign w:val="center"/>
                </w:tcPr>
                <w:p w14:paraId="6AC631F7" w14:textId="77777777" w:rsidR="00191170" w:rsidRPr="00191170" w:rsidRDefault="00191170" w:rsidP="003C08F2">
                  <w:pPr>
                    <w:spacing w:line="240" w:lineRule="auto"/>
                    <w:jc w:val="both"/>
                    <w:rPr>
                      <w:rFonts w:cs="Arial"/>
                      <w:color w:val="auto"/>
                      <w:szCs w:val="20"/>
                    </w:rPr>
                  </w:pPr>
                  <w:r w:rsidRPr="00191170">
                    <w:rPr>
                      <w:rFonts w:cs="Arial"/>
                      <w:color w:val="auto"/>
                      <w:szCs w:val="20"/>
                    </w:rPr>
                    <w:t>Starost</w:t>
                  </w:r>
                </w:p>
              </w:tc>
              <w:tc>
                <w:tcPr>
                  <w:tcW w:w="1646" w:type="dxa"/>
                  <w:vAlign w:val="center"/>
                </w:tcPr>
                <w:p w14:paraId="5077B549" w14:textId="77777777" w:rsidR="00191170" w:rsidRPr="00191170" w:rsidRDefault="00191170" w:rsidP="003C08F2">
                  <w:pPr>
                    <w:spacing w:line="240" w:lineRule="auto"/>
                    <w:jc w:val="both"/>
                    <w:cnfStyle w:val="100000000000" w:firstRow="1" w:lastRow="0" w:firstColumn="0" w:lastColumn="0" w:oddVBand="0" w:evenVBand="0" w:oddHBand="0" w:evenHBand="0" w:firstRowFirstColumn="0" w:firstRowLastColumn="0" w:lastRowFirstColumn="0" w:lastRowLastColumn="0"/>
                    <w:rPr>
                      <w:rFonts w:cs="Arial"/>
                      <w:color w:val="auto"/>
                      <w:szCs w:val="20"/>
                    </w:rPr>
                  </w:pPr>
                  <w:proofErr w:type="spellStart"/>
                  <w:r w:rsidRPr="00191170">
                    <w:rPr>
                      <w:rFonts w:cs="Arial"/>
                      <w:color w:val="auto"/>
                      <w:szCs w:val="20"/>
                    </w:rPr>
                    <w:t>Št</w:t>
                  </w:r>
                  <w:proofErr w:type="spellEnd"/>
                  <w:r w:rsidRPr="00191170">
                    <w:rPr>
                      <w:rFonts w:cs="Arial"/>
                      <w:color w:val="auto"/>
                      <w:szCs w:val="20"/>
                    </w:rPr>
                    <w:t xml:space="preserve">. </w:t>
                  </w:r>
                  <w:proofErr w:type="spellStart"/>
                  <w:r w:rsidRPr="00191170">
                    <w:rPr>
                      <w:rFonts w:cs="Arial"/>
                      <w:color w:val="auto"/>
                      <w:szCs w:val="20"/>
                    </w:rPr>
                    <w:t>zavarovancev</w:t>
                  </w:r>
                  <w:proofErr w:type="spellEnd"/>
                </w:p>
              </w:tc>
              <w:tc>
                <w:tcPr>
                  <w:tcW w:w="0" w:type="dxa"/>
                  <w:tcBorders>
                    <w:right w:val="single" w:sz="4" w:space="0" w:color="0061CF"/>
                  </w:tcBorders>
                  <w:vAlign w:val="center"/>
                </w:tcPr>
                <w:p w14:paraId="1B72825F" w14:textId="77777777" w:rsidR="00191170" w:rsidRPr="00191170" w:rsidRDefault="00191170" w:rsidP="003C08F2">
                  <w:pPr>
                    <w:spacing w:line="240" w:lineRule="auto"/>
                    <w:jc w:val="both"/>
                    <w:cnfStyle w:val="100000000000" w:firstRow="1" w:lastRow="0" w:firstColumn="0" w:lastColumn="0" w:oddVBand="0" w:evenVBand="0" w:oddHBand="0" w:evenHBand="0" w:firstRowFirstColumn="0" w:firstRowLastColumn="0" w:lastRowFirstColumn="0" w:lastRowLastColumn="0"/>
                    <w:rPr>
                      <w:rFonts w:cs="Arial"/>
                      <w:color w:val="auto"/>
                      <w:szCs w:val="20"/>
                    </w:rPr>
                  </w:pPr>
                  <w:r w:rsidRPr="00191170">
                    <w:rPr>
                      <w:rFonts w:cs="Arial"/>
                      <w:color w:val="auto"/>
                      <w:szCs w:val="20"/>
                    </w:rPr>
                    <w:t xml:space="preserve">Povprečno </w:t>
                  </w:r>
                  <w:proofErr w:type="spellStart"/>
                  <w:r w:rsidRPr="00191170">
                    <w:rPr>
                      <w:rFonts w:cs="Arial"/>
                      <w:color w:val="auto"/>
                      <w:szCs w:val="20"/>
                    </w:rPr>
                    <w:t>št</w:t>
                  </w:r>
                  <w:proofErr w:type="spellEnd"/>
                  <w:r w:rsidRPr="00191170">
                    <w:rPr>
                      <w:rFonts w:cs="Arial"/>
                      <w:color w:val="auto"/>
                      <w:szCs w:val="20"/>
                    </w:rPr>
                    <w:t xml:space="preserve">. </w:t>
                  </w:r>
                  <w:proofErr w:type="spellStart"/>
                  <w:r w:rsidRPr="00191170">
                    <w:rPr>
                      <w:rFonts w:cs="Arial"/>
                      <w:color w:val="auto"/>
                      <w:szCs w:val="20"/>
                    </w:rPr>
                    <w:t>enot</w:t>
                  </w:r>
                  <w:proofErr w:type="spellEnd"/>
                </w:p>
              </w:tc>
              <w:tc>
                <w:tcPr>
                  <w:tcW w:w="0" w:type="dxa"/>
                  <w:tcBorders>
                    <w:right w:val="single" w:sz="4" w:space="0" w:color="0061CF"/>
                  </w:tcBorders>
                  <w:vAlign w:val="center"/>
                </w:tcPr>
                <w:p w14:paraId="1300299E" w14:textId="77777777" w:rsidR="00191170" w:rsidRPr="00191170" w:rsidRDefault="00191170" w:rsidP="003C08F2">
                  <w:pPr>
                    <w:spacing w:line="240" w:lineRule="auto"/>
                    <w:jc w:val="both"/>
                    <w:cnfStyle w:val="100000000000" w:firstRow="1" w:lastRow="0" w:firstColumn="0" w:lastColumn="0" w:oddVBand="0" w:evenVBand="0" w:oddHBand="0" w:evenHBand="0" w:firstRowFirstColumn="0" w:firstRowLastColumn="0" w:lastRowFirstColumn="0" w:lastRowLastColumn="0"/>
                    <w:rPr>
                      <w:rFonts w:cs="Arial"/>
                      <w:color w:val="auto"/>
                      <w:szCs w:val="20"/>
                    </w:rPr>
                  </w:pPr>
                  <w:proofErr w:type="spellStart"/>
                  <w:r w:rsidRPr="00191170">
                    <w:rPr>
                      <w:rFonts w:cs="Arial"/>
                      <w:color w:val="auto"/>
                      <w:szCs w:val="20"/>
                    </w:rPr>
                    <w:t>Povprečna</w:t>
                  </w:r>
                  <w:proofErr w:type="spellEnd"/>
                  <w:r w:rsidRPr="00191170">
                    <w:rPr>
                      <w:rFonts w:cs="Arial"/>
                      <w:color w:val="auto"/>
                      <w:szCs w:val="20"/>
                    </w:rPr>
                    <w:t xml:space="preserve"> </w:t>
                  </w:r>
                  <w:proofErr w:type="spellStart"/>
                  <w:r w:rsidRPr="00191170">
                    <w:rPr>
                      <w:rFonts w:cs="Arial"/>
                      <w:color w:val="auto"/>
                      <w:szCs w:val="20"/>
                    </w:rPr>
                    <w:t>vrednost</w:t>
                  </w:r>
                  <w:proofErr w:type="spellEnd"/>
                  <w:r w:rsidRPr="00191170">
                    <w:rPr>
                      <w:rFonts w:cs="Arial"/>
                      <w:color w:val="auto"/>
                      <w:szCs w:val="20"/>
                    </w:rPr>
                    <w:t xml:space="preserve"> </w:t>
                  </w:r>
                  <w:proofErr w:type="spellStart"/>
                  <w:r w:rsidRPr="00191170">
                    <w:rPr>
                      <w:rFonts w:cs="Arial"/>
                      <w:color w:val="auto"/>
                      <w:szCs w:val="20"/>
                    </w:rPr>
                    <w:t>sredstev</w:t>
                  </w:r>
                  <w:proofErr w:type="spellEnd"/>
                  <w:r w:rsidRPr="00191170">
                    <w:rPr>
                      <w:rFonts w:cs="Arial"/>
                      <w:color w:val="auto"/>
                      <w:szCs w:val="20"/>
                    </w:rPr>
                    <w:t xml:space="preserve"> v EUR</w:t>
                  </w:r>
                </w:p>
              </w:tc>
            </w:tr>
            <w:tr w:rsidR="00191170" w:rsidRPr="003C08F2" w14:paraId="1C445B13" w14:textId="77777777" w:rsidTr="003D0A2A">
              <w:trPr>
                <w:cnfStyle w:val="000000100000" w:firstRow="0" w:lastRow="0" w:firstColumn="0" w:lastColumn="0" w:oddVBand="0" w:evenVBand="0" w:oddHBand="1" w:evenHBand="0" w:firstRowFirstColumn="0" w:firstRowLastColumn="0" w:lastRowFirstColumn="0" w:lastRowLastColumn="0"/>
                <w:trHeight w:val="168"/>
                <w:jc w:val="center"/>
              </w:trPr>
              <w:tc>
                <w:tcPr>
                  <w:cnfStyle w:val="001000000000" w:firstRow="0" w:lastRow="0" w:firstColumn="1" w:lastColumn="0" w:oddVBand="0" w:evenVBand="0" w:oddHBand="0" w:evenHBand="0" w:firstRowFirstColumn="0" w:firstRowLastColumn="0" w:lastRowFirstColumn="0" w:lastRowLastColumn="0"/>
                  <w:tcW w:w="1684" w:type="dxa"/>
                  <w:vAlign w:val="center"/>
                </w:tcPr>
                <w:p w14:paraId="7D583C10" w14:textId="77777777" w:rsidR="00191170" w:rsidRPr="00191170" w:rsidRDefault="00191170" w:rsidP="003C08F2">
                  <w:pPr>
                    <w:spacing w:line="240" w:lineRule="auto"/>
                    <w:jc w:val="both"/>
                    <w:rPr>
                      <w:rFonts w:cs="Arial"/>
                      <w:szCs w:val="20"/>
                    </w:rPr>
                  </w:pPr>
                  <w:r w:rsidRPr="00191170">
                    <w:rPr>
                      <w:rFonts w:cs="Arial"/>
                      <w:szCs w:val="20"/>
                    </w:rPr>
                    <w:t xml:space="preserve">do 30 let </w:t>
                  </w:r>
                </w:p>
              </w:tc>
              <w:tc>
                <w:tcPr>
                  <w:tcW w:w="1646" w:type="dxa"/>
                  <w:tcBorders>
                    <w:top w:val="single" w:sz="8" w:space="0" w:color="0061CF"/>
                    <w:left w:val="nil"/>
                    <w:bottom w:val="single" w:sz="8" w:space="0" w:color="0061CF"/>
                    <w:right w:val="nil"/>
                  </w:tcBorders>
                  <w:shd w:val="clear" w:color="auto" w:fill="auto"/>
                  <w:vAlign w:val="center"/>
                </w:tcPr>
                <w:p w14:paraId="3D052487" w14:textId="77777777" w:rsidR="00191170" w:rsidRPr="00191170" w:rsidRDefault="00191170" w:rsidP="003C08F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14</w:t>
                  </w:r>
                </w:p>
              </w:tc>
              <w:tc>
                <w:tcPr>
                  <w:tcW w:w="0" w:type="dxa"/>
                  <w:tcBorders>
                    <w:top w:val="single" w:sz="8" w:space="0" w:color="0061CF"/>
                    <w:left w:val="nil"/>
                    <w:bottom w:val="single" w:sz="8" w:space="0" w:color="0061CF"/>
                    <w:right w:val="nil"/>
                  </w:tcBorders>
                  <w:shd w:val="clear" w:color="auto" w:fill="auto"/>
                  <w:vAlign w:val="center"/>
                </w:tcPr>
                <w:p w14:paraId="09572C7B" w14:textId="77777777" w:rsidR="00191170" w:rsidRPr="00191170" w:rsidRDefault="00191170" w:rsidP="003C08F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10.000</w:t>
                  </w:r>
                </w:p>
              </w:tc>
              <w:tc>
                <w:tcPr>
                  <w:tcW w:w="0" w:type="dxa"/>
                  <w:tcBorders>
                    <w:top w:val="single" w:sz="8" w:space="0" w:color="0061CF"/>
                    <w:left w:val="nil"/>
                    <w:bottom w:val="single" w:sz="8" w:space="0" w:color="0061CF"/>
                    <w:right w:val="single" w:sz="8" w:space="0" w:color="0061CF"/>
                  </w:tcBorders>
                  <w:shd w:val="clear" w:color="auto" w:fill="auto"/>
                  <w:vAlign w:val="center"/>
                </w:tcPr>
                <w:p w14:paraId="70523190" w14:textId="77777777" w:rsidR="00191170" w:rsidRPr="00191170" w:rsidRDefault="00191170" w:rsidP="003C08F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13.457</w:t>
                  </w:r>
                </w:p>
              </w:tc>
            </w:tr>
            <w:tr w:rsidR="00191170" w:rsidRPr="003C08F2" w14:paraId="404589A0" w14:textId="77777777" w:rsidTr="003D0A2A">
              <w:trPr>
                <w:trHeight w:val="200"/>
                <w:jc w:val="center"/>
              </w:trPr>
              <w:tc>
                <w:tcPr>
                  <w:cnfStyle w:val="001000000000" w:firstRow="0" w:lastRow="0" w:firstColumn="1" w:lastColumn="0" w:oddVBand="0" w:evenVBand="0" w:oddHBand="0" w:evenHBand="0" w:firstRowFirstColumn="0" w:firstRowLastColumn="0" w:lastRowFirstColumn="0" w:lastRowLastColumn="0"/>
                  <w:tcW w:w="1684" w:type="dxa"/>
                  <w:vAlign w:val="center"/>
                </w:tcPr>
                <w:p w14:paraId="0566A1D3" w14:textId="04695B16" w:rsidR="00191170" w:rsidRPr="00191170" w:rsidRDefault="00D83366" w:rsidP="003C08F2">
                  <w:pPr>
                    <w:spacing w:line="240" w:lineRule="auto"/>
                    <w:jc w:val="both"/>
                    <w:rPr>
                      <w:rFonts w:cs="Arial"/>
                      <w:szCs w:val="20"/>
                    </w:rPr>
                  </w:pPr>
                  <w:r>
                    <w:rPr>
                      <w:rFonts w:cs="Arial"/>
                      <w:szCs w:val="20"/>
                    </w:rPr>
                    <w:t xml:space="preserve">od </w:t>
                  </w:r>
                  <w:r w:rsidR="00191170" w:rsidRPr="00191170">
                    <w:rPr>
                      <w:rFonts w:cs="Arial"/>
                      <w:szCs w:val="20"/>
                    </w:rPr>
                    <w:t xml:space="preserve">31 do 40 let </w:t>
                  </w:r>
                </w:p>
              </w:tc>
              <w:tc>
                <w:tcPr>
                  <w:tcW w:w="1646" w:type="dxa"/>
                  <w:tcBorders>
                    <w:top w:val="nil"/>
                    <w:left w:val="nil"/>
                    <w:bottom w:val="nil"/>
                    <w:right w:val="nil"/>
                  </w:tcBorders>
                  <w:shd w:val="clear" w:color="auto" w:fill="auto"/>
                  <w:vAlign w:val="center"/>
                </w:tcPr>
                <w:p w14:paraId="4D5ADECA" w14:textId="77777777" w:rsidR="00191170" w:rsidRPr="00191170" w:rsidRDefault="00191170" w:rsidP="003C08F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14</w:t>
                  </w:r>
                </w:p>
              </w:tc>
              <w:tc>
                <w:tcPr>
                  <w:tcW w:w="0" w:type="dxa"/>
                  <w:tcBorders>
                    <w:top w:val="nil"/>
                    <w:left w:val="nil"/>
                    <w:bottom w:val="single" w:sz="8" w:space="0" w:color="0061CF"/>
                    <w:right w:val="nil"/>
                  </w:tcBorders>
                  <w:shd w:val="clear" w:color="auto" w:fill="auto"/>
                  <w:vAlign w:val="center"/>
                </w:tcPr>
                <w:p w14:paraId="3221BBA2" w14:textId="77777777" w:rsidR="00191170" w:rsidRPr="00191170" w:rsidRDefault="00191170" w:rsidP="003C08F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10.000</w:t>
                  </w:r>
                </w:p>
              </w:tc>
              <w:tc>
                <w:tcPr>
                  <w:tcW w:w="0" w:type="dxa"/>
                  <w:tcBorders>
                    <w:top w:val="nil"/>
                    <w:left w:val="nil"/>
                    <w:bottom w:val="single" w:sz="8" w:space="0" w:color="0061CF"/>
                    <w:right w:val="single" w:sz="8" w:space="0" w:color="0061CF"/>
                  </w:tcBorders>
                  <w:shd w:val="clear" w:color="auto" w:fill="auto"/>
                  <w:vAlign w:val="center"/>
                </w:tcPr>
                <w:p w14:paraId="5327FDEF" w14:textId="77777777" w:rsidR="00191170" w:rsidRPr="00191170" w:rsidRDefault="00191170" w:rsidP="003C08F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13.457</w:t>
                  </w:r>
                </w:p>
              </w:tc>
            </w:tr>
            <w:tr w:rsidR="006739E9" w:rsidRPr="003C08F2" w14:paraId="18413BAB" w14:textId="77777777" w:rsidTr="00D83366">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1684" w:type="dxa"/>
                  <w:vAlign w:val="center"/>
                </w:tcPr>
                <w:p w14:paraId="46BD83C2" w14:textId="6719B2FA" w:rsidR="00191170" w:rsidRPr="00191170" w:rsidRDefault="00D83366" w:rsidP="003C08F2">
                  <w:pPr>
                    <w:spacing w:line="240" w:lineRule="auto"/>
                    <w:jc w:val="both"/>
                    <w:rPr>
                      <w:rFonts w:cs="Arial"/>
                      <w:szCs w:val="20"/>
                    </w:rPr>
                  </w:pPr>
                  <w:r>
                    <w:rPr>
                      <w:rFonts w:cs="Arial"/>
                      <w:szCs w:val="20"/>
                    </w:rPr>
                    <w:t xml:space="preserve">od </w:t>
                  </w:r>
                  <w:r w:rsidR="00191170" w:rsidRPr="00191170">
                    <w:rPr>
                      <w:rFonts w:cs="Arial"/>
                      <w:szCs w:val="20"/>
                    </w:rPr>
                    <w:t xml:space="preserve">41 do 50 let </w:t>
                  </w:r>
                </w:p>
              </w:tc>
              <w:tc>
                <w:tcPr>
                  <w:tcW w:w="1646" w:type="dxa"/>
                  <w:tcBorders>
                    <w:top w:val="single" w:sz="8" w:space="0" w:color="0061CF"/>
                    <w:left w:val="nil"/>
                    <w:bottom w:val="single" w:sz="8" w:space="0" w:color="0061CF"/>
                    <w:right w:val="nil"/>
                  </w:tcBorders>
                  <w:shd w:val="clear" w:color="auto" w:fill="auto"/>
                  <w:vAlign w:val="center"/>
                </w:tcPr>
                <w:p w14:paraId="6F749200" w14:textId="77777777" w:rsidR="00191170" w:rsidRPr="00191170" w:rsidRDefault="00191170" w:rsidP="003C08F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80</w:t>
                  </w:r>
                </w:p>
              </w:tc>
              <w:tc>
                <w:tcPr>
                  <w:tcW w:w="0" w:type="dxa"/>
                  <w:tcBorders>
                    <w:top w:val="nil"/>
                    <w:left w:val="nil"/>
                    <w:bottom w:val="single" w:sz="8" w:space="0" w:color="0061CF"/>
                    <w:right w:val="nil"/>
                  </w:tcBorders>
                  <w:shd w:val="clear" w:color="auto" w:fill="auto"/>
                  <w:vAlign w:val="center"/>
                </w:tcPr>
                <w:p w14:paraId="6611F2BF" w14:textId="77777777" w:rsidR="00191170" w:rsidRPr="00191170" w:rsidRDefault="00191170" w:rsidP="003C08F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9.587</w:t>
                  </w:r>
                </w:p>
              </w:tc>
              <w:tc>
                <w:tcPr>
                  <w:tcW w:w="0" w:type="dxa"/>
                  <w:tcBorders>
                    <w:top w:val="nil"/>
                    <w:left w:val="nil"/>
                    <w:bottom w:val="single" w:sz="8" w:space="0" w:color="0061CF"/>
                    <w:right w:val="single" w:sz="8" w:space="0" w:color="0061CF"/>
                  </w:tcBorders>
                  <w:shd w:val="clear" w:color="auto" w:fill="auto"/>
                  <w:vAlign w:val="center"/>
                </w:tcPr>
                <w:p w14:paraId="599A8731" w14:textId="77777777" w:rsidR="00191170" w:rsidRPr="00191170" w:rsidRDefault="00191170" w:rsidP="003C08F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12.902</w:t>
                  </w:r>
                </w:p>
              </w:tc>
            </w:tr>
            <w:tr w:rsidR="00191170" w:rsidRPr="003C08F2" w14:paraId="6890230C" w14:textId="77777777" w:rsidTr="003D0A2A">
              <w:trPr>
                <w:trHeight w:val="122"/>
                <w:jc w:val="center"/>
              </w:trPr>
              <w:tc>
                <w:tcPr>
                  <w:cnfStyle w:val="001000000000" w:firstRow="0" w:lastRow="0" w:firstColumn="1" w:lastColumn="0" w:oddVBand="0" w:evenVBand="0" w:oddHBand="0" w:evenHBand="0" w:firstRowFirstColumn="0" w:firstRowLastColumn="0" w:lastRowFirstColumn="0" w:lastRowLastColumn="0"/>
                  <w:tcW w:w="1684" w:type="dxa"/>
                  <w:vAlign w:val="center"/>
                </w:tcPr>
                <w:p w14:paraId="199AD2EF" w14:textId="0C7987A8" w:rsidR="00191170" w:rsidRPr="00191170" w:rsidRDefault="00191170" w:rsidP="003C08F2">
                  <w:pPr>
                    <w:spacing w:line="240" w:lineRule="auto"/>
                    <w:jc w:val="both"/>
                    <w:rPr>
                      <w:rFonts w:cs="Arial"/>
                      <w:szCs w:val="20"/>
                    </w:rPr>
                  </w:pPr>
                  <w:r w:rsidRPr="00191170">
                    <w:rPr>
                      <w:rFonts w:cs="Arial"/>
                      <w:szCs w:val="20"/>
                    </w:rPr>
                    <w:t xml:space="preserve">od 51 do 60 </w:t>
                  </w:r>
                  <w:r w:rsidR="00D83366">
                    <w:rPr>
                      <w:rFonts w:cs="Arial"/>
                      <w:szCs w:val="20"/>
                    </w:rPr>
                    <w:t>let</w:t>
                  </w:r>
                </w:p>
              </w:tc>
              <w:tc>
                <w:tcPr>
                  <w:tcW w:w="1646" w:type="dxa"/>
                  <w:tcBorders>
                    <w:top w:val="nil"/>
                    <w:left w:val="nil"/>
                    <w:bottom w:val="nil"/>
                    <w:right w:val="nil"/>
                  </w:tcBorders>
                  <w:shd w:val="clear" w:color="auto" w:fill="auto"/>
                  <w:vAlign w:val="center"/>
                </w:tcPr>
                <w:p w14:paraId="639ADD0F" w14:textId="77777777" w:rsidR="00191170" w:rsidRPr="00191170" w:rsidRDefault="00191170" w:rsidP="003C08F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394</w:t>
                  </w:r>
                </w:p>
              </w:tc>
              <w:tc>
                <w:tcPr>
                  <w:tcW w:w="0" w:type="dxa"/>
                  <w:tcBorders>
                    <w:top w:val="nil"/>
                    <w:left w:val="nil"/>
                    <w:bottom w:val="nil"/>
                    <w:right w:val="nil"/>
                  </w:tcBorders>
                  <w:shd w:val="clear" w:color="auto" w:fill="auto"/>
                  <w:vAlign w:val="center"/>
                </w:tcPr>
                <w:p w14:paraId="471F782B" w14:textId="77777777" w:rsidR="00191170" w:rsidRPr="00191170" w:rsidRDefault="00191170" w:rsidP="003C08F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9.664</w:t>
                  </w:r>
                </w:p>
              </w:tc>
              <w:tc>
                <w:tcPr>
                  <w:tcW w:w="0" w:type="dxa"/>
                  <w:tcBorders>
                    <w:top w:val="nil"/>
                    <w:left w:val="nil"/>
                    <w:bottom w:val="nil"/>
                    <w:right w:val="single" w:sz="8" w:space="0" w:color="0061CF"/>
                  </w:tcBorders>
                  <w:shd w:val="clear" w:color="auto" w:fill="auto"/>
                  <w:vAlign w:val="center"/>
                </w:tcPr>
                <w:p w14:paraId="1D51DCCB" w14:textId="77777777" w:rsidR="00191170" w:rsidRPr="00191170" w:rsidRDefault="00191170" w:rsidP="003C08F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13.005</w:t>
                  </w:r>
                </w:p>
              </w:tc>
            </w:tr>
            <w:tr w:rsidR="00191170" w:rsidRPr="003C08F2" w14:paraId="69FFBB10" w14:textId="77777777" w:rsidTr="003D0A2A">
              <w:trPr>
                <w:cnfStyle w:val="000000100000" w:firstRow="0" w:lastRow="0" w:firstColumn="0" w:lastColumn="0" w:oddVBand="0" w:evenVBand="0" w:oddHBand="1" w:evenHBand="0" w:firstRowFirstColumn="0" w:firstRowLastColumn="0" w:lastRowFirstColumn="0" w:lastRowLastColumn="0"/>
                <w:trHeight w:val="154"/>
                <w:jc w:val="center"/>
              </w:trPr>
              <w:tc>
                <w:tcPr>
                  <w:cnfStyle w:val="001000000000" w:firstRow="0" w:lastRow="0" w:firstColumn="1" w:lastColumn="0" w:oddVBand="0" w:evenVBand="0" w:oddHBand="0" w:evenHBand="0" w:firstRowFirstColumn="0" w:firstRowLastColumn="0" w:lastRowFirstColumn="0" w:lastRowLastColumn="0"/>
                  <w:tcW w:w="1684" w:type="dxa"/>
                  <w:vAlign w:val="center"/>
                </w:tcPr>
                <w:p w14:paraId="7C9D7240" w14:textId="01320788" w:rsidR="00191170" w:rsidRPr="00191170" w:rsidRDefault="00D83366" w:rsidP="00D83366">
                  <w:pPr>
                    <w:spacing w:line="240" w:lineRule="auto"/>
                    <w:jc w:val="both"/>
                    <w:rPr>
                      <w:rFonts w:cs="Arial"/>
                      <w:szCs w:val="20"/>
                    </w:rPr>
                  </w:pPr>
                  <w:proofErr w:type="spellStart"/>
                  <w:r>
                    <w:rPr>
                      <w:rFonts w:cs="Arial"/>
                      <w:szCs w:val="20"/>
                    </w:rPr>
                    <w:t>na</w:t>
                  </w:r>
                  <w:r w:rsidR="00191170" w:rsidRPr="00191170">
                    <w:rPr>
                      <w:rFonts w:cs="Arial"/>
                      <w:szCs w:val="20"/>
                    </w:rPr>
                    <w:t>d</w:t>
                  </w:r>
                  <w:proofErr w:type="spellEnd"/>
                  <w:r w:rsidR="00191170" w:rsidRPr="00191170">
                    <w:rPr>
                      <w:rFonts w:cs="Arial"/>
                      <w:szCs w:val="20"/>
                    </w:rPr>
                    <w:t xml:space="preserve"> 61 </w:t>
                  </w:r>
                  <w:r>
                    <w:rPr>
                      <w:rFonts w:cs="Arial"/>
                      <w:szCs w:val="20"/>
                    </w:rPr>
                    <w:t>let</w:t>
                  </w:r>
                </w:p>
              </w:tc>
              <w:tc>
                <w:tcPr>
                  <w:tcW w:w="1646" w:type="dxa"/>
                  <w:tcBorders>
                    <w:top w:val="single" w:sz="8" w:space="0" w:color="0061CF"/>
                    <w:left w:val="nil"/>
                    <w:bottom w:val="single" w:sz="8" w:space="0" w:color="0061CF"/>
                    <w:right w:val="nil"/>
                  </w:tcBorders>
                  <w:shd w:val="clear" w:color="auto" w:fill="auto"/>
                  <w:vAlign w:val="center"/>
                </w:tcPr>
                <w:p w14:paraId="3F34FADC" w14:textId="77777777" w:rsidR="00191170" w:rsidRPr="00191170" w:rsidRDefault="00191170" w:rsidP="003C08F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2</w:t>
                  </w:r>
                </w:p>
              </w:tc>
              <w:tc>
                <w:tcPr>
                  <w:tcW w:w="0" w:type="dxa"/>
                  <w:tcBorders>
                    <w:top w:val="single" w:sz="8" w:space="0" w:color="0061CF"/>
                    <w:left w:val="nil"/>
                    <w:bottom w:val="single" w:sz="8" w:space="0" w:color="0061CF"/>
                    <w:right w:val="nil"/>
                  </w:tcBorders>
                  <w:shd w:val="clear" w:color="auto" w:fill="auto"/>
                  <w:vAlign w:val="center"/>
                </w:tcPr>
                <w:p w14:paraId="6E889C44" w14:textId="77777777" w:rsidR="00191170" w:rsidRPr="00191170" w:rsidRDefault="00191170" w:rsidP="003C08F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10.000</w:t>
                  </w:r>
                </w:p>
              </w:tc>
              <w:tc>
                <w:tcPr>
                  <w:tcW w:w="0" w:type="dxa"/>
                  <w:tcBorders>
                    <w:top w:val="single" w:sz="8" w:space="0" w:color="0061CF"/>
                    <w:left w:val="nil"/>
                    <w:bottom w:val="single" w:sz="8" w:space="0" w:color="0061CF"/>
                    <w:right w:val="single" w:sz="8" w:space="0" w:color="0061CF"/>
                  </w:tcBorders>
                  <w:shd w:val="clear" w:color="auto" w:fill="auto"/>
                  <w:vAlign w:val="center"/>
                </w:tcPr>
                <w:p w14:paraId="09DFCE73" w14:textId="77777777" w:rsidR="00191170" w:rsidRPr="00191170" w:rsidRDefault="00191170" w:rsidP="003C08F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13.457</w:t>
                  </w:r>
                </w:p>
              </w:tc>
            </w:tr>
            <w:tr w:rsidR="00191170" w:rsidRPr="003C08F2" w14:paraId="70DBC2E7" w14:textId="77777777" w:rsidTr="003D0A2A">
              <w:trPr>
                <w:trHeight w:val="186"/>
                <w:jc w:val="center"/>
              </w:trPr>
              <w:tc>
                <w:tcPr>
                  <w:cnfStyle w:val="001000000000" w:firstRow="0" w:lastRow="0" w:firstColumn="1" w:lastColumn="0" w:oddVBand="0" w:evenVBand="0" w:oddHBand="0" w:evenHBand="0" w:firstRowFirstColumn="0" w:firstRowLastColumn="0" w:lastRowFirstColumn="0" w:lastRowLastColumn="0"/>
                  <w:tcW w:w="1684" w:type="dxa"/>
                  <w:vAlign w:val="center"/>
                </w:tcPr>
                <w:p w14:paraId="12B831E0" w14:textId="77777777" w:rsidR="00191170" w:rsidRPr="00191170" w:rsidRDefault="00191170" w:rsidP="003C08F2">
                  <w:pPr>
                    <w:spacing w:line="240" w:lineRule="auto"/>
                    <w:jc w:val="both"/>
                    <w:rPr>
                      <w:rFonts w:cs="Arial"/>
                      <w:szCs w:val="20"/>
                    </w:rPr>
                  </w:pPr>
                  <w:r w:rsidRPr="00191170">
                    <w:rPr>
                      <w:rFonts w:cs="Arial"/>
                      <w:szCs w:val="20"/>
                    </w:rPr>
                    <w:t>SKUPAJ</w:t>
                  </w:r>
                </w:p>
              </w:tc>
              <w:tc>
                <w:tcPr>
                  <w:tcW w:w="1646" w:type="dxa"/>
                  <w:tcBorders>
                    <w:top w:val="nil"/>
                    <w:left w:val="nil"/>
                    <w:bottom w:val="single" w:sz="8" w:space="0" w:color="0061CF"/>
                    <w:right w:val="nil"/>
                  </w:tcBorders>
                  <w:shd w:val="clear" w:color="auto" w:fill="auto"/>
                  <w:vAlign w:val="center"/>
                </w:tcPr>
                <w:p w14:paraId="3F5E28C7" w14:textId="77777777" w:rsidR="00191170" w:rsidRPr="00191170" w:rsidRDefault="00191170" w:rsidP="003C08F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504</w:t>
                  </w:r>
                </w:p>
              </w:tc>
              <w:tc>
                <w:tcPr>
                  <w:tcW w:w="0" w:type="dxa"/>
                  <w:tcBorders>
                    <w:top w:val="nil"/>
                    <w:left w:val="nil"/>
                    <w:bottom w:val="single" w:sz="8" w:space="0" w:color="0061CF"/>
                    <w:right w:val="nil"/>
                  </w:tcBorders>
                  <w:shd w:val="clear" w:color="auto" w:fill="auto"/>
                  <w:vAlign w:val="center"/>
                </w:tcPr>
                <w:p w14:paraId="1A4F424C" w14:textId="77777777" w:rsidR="00191170" w:rsidRPr="00191170" w:rsidRDefault="00191170" w:rsidP="003C08F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9.672</w:t>
                  </w:r>
                </w:p>
              </w:tc>
              <w:tc>
                <w:tcPr>
                  <w:tcW w:w="0" w:type="dxa"/>
                  <w:tcBorders>
                    <w:top w:val="nil"/>
                    <w:left w:val="nil"/>
                    <w:bottom w:val="single" w:sz="8" w:space="0" w:color="0061CF"/>
                    <w:right w:val="single" w:sz="8" w:space="0" w:color="0061CF"/>
                  </w:tcBorders>
                  <w:shd w:val="clear" w:color="auto" w:fill="auto"/>
                  <w:vAlign w:val="center"/>
                </w:tcPr>
                <w:p w14:paraId="6DAF1594" w14:textId="77777777" w:rsidR="00191170" w:rsidRPr="00191170" w:rsidRDefault="00191170" w:rsidP="003C08F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13.016</w:t>
                  </w:r>
                </w:p>
              </w:tc>
            </w:tr>
          </w:tbl>
          <w:p w14:paraId="39D106BD" w14:textId="77777777" w:rsidR="00191170" w:rsidRPr="00191170" w:rsidRDefault="00191170" w:rsidP="003C08F2">
            <w:pPr>
              <w:spacing w:line="240" w:lineRule="auto"/>
              <w:jc w:val="both"/>
              <w:rPr>
                <w:rFonts w:cs="Arial"/>
                <w:szCs w:val="20"/>
              </w:rPr>
            </w:pPr>
          </w:p>
        </w:tc>
        <w:tc>
          <w:tcPr>
            <w:tcW w:w="2431" w:type="dxa"/>
            <w:tcBorders>
              <w:top w:val="nil"/>
              <w:left w:val="nil"/>
              <w:bottom w:val="nil"/>
              <w:right w:val="nil"/>
            </w:tcBorders>
            <w:shd w:val="clear" w:color="auto" w:fill="auto"/>
            <w:noWrap/>
            <w:vAlign w:val="bottom"/>
          </w:tcPr>
          <w:p w14:paraId="22FC4D04" w14:textId="77777777" w:rsidR="00191170" w:rsidRPr="00191170" w:rsidRDefault="00191170" w:rsidP="003C08F2">
            <w:pPr>
              <w:spacing w:line="240" w:lineRule="auto"/>
              <w:jc w:val="both"/>
              <w:rPr>
                <w:rFonts w:cs="Arial"/>
                <w:szCs w:val="20"/>
              </w:rPr>
            </w:pPr>
          </w:p>
        </w:tc>
        <w:tc>
          <w:tcPr>
            <w:tcW w:w="2191" w:type="dxa"/>
            <w:tcBorders>
              <w:top w:val="nil"/>
              <w:left w:val="nil"/>
              <w:bottom w:val="nil"/>
              <w:right w:val="nil"/>
            </w:tcBorders>
            <w:shd w:val="clear" w:color="auto" w:fill="auto"/>
            <w:noWrap/>
            <w:vAlign w:val="bottom"/>
          </w:tcPr>
          <w:p w14:paraId="44234973" w14:textId="77777777" w:rsidR="00191170" w:rsidRPr="00191170" w:rsidRDefault="00191170" w:rsidP="003C08F2">
            <w:pPr>
              <w:spacing w:line="240" w:lineRule="auto"/>
              <w:jc w:val="both"/>
              <w:rPr>
                <w:rFonts w:cs="Arial"/>
                <w:szCs w:val="20"/>
              </w:rPr>
            </w:pPr>
          </w:p>
        </w:tc>
        <w:tc>
          <w:tcPr>
            <w:tcW w:w="5311" w:type="dxa"/>
            <w:tcBorders>
              <w:top w:val="nil"/>
              <w:left w:val="nil"/>
              <w:bottom w:val="nil"/>
              <w:right w:val="nil"/>
            </w:tcBorders>
            <w:shd w:val="clear" w:color="auto" w:fill="auto"/>
            <w:noWrap/>
            <w:vAlign w:val="bottom"/>
            <w:hideMark/>
          </w:tcPr>
          <w:p w14:paraId="18C5A70F" w14:textId="77777777" w:rsidR="00191170" w:rsidRPr="00191170" w:rsidRDefault="00191170" w:rsidP="003C08F2">
            <w:pPr>
              <w:spacing w:line="240" w:lineRule="auto"/>
              <w:jc w:val="both"/>
              <w:rPr>
                <w:rFonts w:cs="Arial"/>
                <w:szCs w:val="20"/>
              </w:rPr>
            </w:pPr>
          </w:p>
        </w:tc>
      </w:tr>
      <w:tr w:rsidR="00191170" w:rsidRPr="00191170" w14:paraId="33966B85" w14:textId="77777777" w:rsidTr="004D22B8">
        <w:trPr>
          <w:trHeight w:val="270"/>
        </w:trPr>
        <w:tc>
          <w:tcPr>
            <w:tcW w:w="9174" w:type="dxa"/>
            <w:tcBorders>
              <w:top w:val="nil"/>
              <w:left w:val="nil"/>
              <w:bottom w:val="nil"/>
              <w:right w:val="nil"/>
            </w:tcBorders>
            <w:shd w:val="clear" w:color="auto" w:fill="auto"/>
            <w:noWrap/>
            <w:vAlign w:val="bottom"/>
          </w:tcPr>
          <w:p w14:paraId="1FAC42C8" w14:textId="77777777" w:rsidR="00191170" w:rsidRPr="00191170" w:rsidRDefault="00191170" w:rsidP="003C08F2">
            <w:pPr>
              <w:spacing w:line="240" w:lineRule="auto"/>
              <w:jc w:val="both"/>
              <w:rPr>
                <w:rFonts w:cs="Arial"/>
                <w:szCs w:val="20"/>
              </w:rPr>
            </w:pPr>
          </w:p>
        </w:tc>
        <w:tc>
          <w:tcPr>
            <w:tcW w:w="2431" w:type="dxa"/>
            <w:tcBorders>
              <w:top w:val="nil"/>
              <w:left w:val="nil"/>
              <w:bottom w:val="nil"/>
              <w:right w:val="nil"/>
            </w:tcBorders>
            <w:shd w:val="clear" w:color="auto" w:fill="auto"/>
            <w:noWrap/>
            <w:vAlign w:val="bottom"/>
          </w:tcPr>
          <w:p w14:paraId="2E8AB26C" w14:textId="77777777" w:rsidR="00191170" w:rsidRPr="00191170" w:rsidRDefault="00191170" w:rsidP="003C08F2">
            <w:pPr>
              <w:spacing w:line="240" w:lineRule="auto"/>
              <w:jc w:val="both"/>
              <w:rPr>
                <w:rFonts w:cs="Arial"/>
                <w:szCs w:val="20"/>
              </w:rPr>
            </w:pPr>
          </w:p>
        </w:tc>
        <w:tc>
          <w:tcPr>
            <w:tcW w:w="2191" w:type="dxa"/>
            <w:tcBorders>
              <w:top w:val="nil"/>
              <w:left w:val="nil"/>
              <w:bottom w:val="nil"/>
              <w:right w:val="nil"/>
            </w:tcBorders>
            <w:shd w:val="clear" w:color="auto" w:fill="auto"/>
            <w:noWrap/>
            <w:vAlign w:val="bottom"/>
          </w:tcPr>
          <w:p w14:paraId="19EBA2D1" w14:textId="77777777" w:rsidR="00191170" w:rsidRPr="00191170" w:rsidRDefault="00191170" w:rsidP="003C08F2">
            <w:pPr>
              <w:spacing w:line="240" w:lineRule="auto"/>
              <w:jc w:val="both"/>
              <w:rPr>
                <w:rFonts w:cs="Arial"/>
                <w:szCs w:val="20"/>
              </w:rPr>
            </w:pPr>
          </w:p>
        </w:tc>
        <w:tc>
          <w:tcPr>
            <w:tcW w:w="5311" w:type="dxa"/>
            <w:tcBorders>
              <w:top w:val="nil"/>
              <w:left w:val="nil"/>
              <w:bottom w:val="nil"/>
              <w:right w:val="nil"/>
            </w:tcBorders>
            <w:shd w:val="clear" w:color="auto" w:fill="auto"/>
            <w:noWrap/>
            <w:vAlign w:val="bottom"/>
          </w:tcPr>
          <w:p w14:paraId="7FD1EDA2" w14:textId="77777777" w:rsidR="00191170" w:rsidRPr="00191170" w:rsidRDefault="00191170" w:rsidP="003C08F2">
            <w:pPr>
              <w:spacing w:line="240" w:lineRule="auto"/>
              <w:jc w:val="both"/>
              <w:rPr>
                <w:rFonts w:cs="Arial"/>
                <w:szCs w:val="20"/>
              </w:rPr>
            </w:pPr>
          </w:p>
        </w:tc>
      </w:tr>
    </w:tbl>
    <w:p w14:paraId="2CA796F9" w14:textId="6B9A97C9" w:rsidR="00191170" w:rsidRPr="00191170" w:rsidRDefault="00782AB5" w:rsidP="00782AB5">
      <w:pPr>
        <w:spacing w:line="240" w:lineRule="auto"/>
        <w:jc w:val="center"/>
        <w:rPr>
          <w:rFonts w:cs="Arial"/>
          <w:szCs w:val="20"/>
        </w:rPr>
      </w:pPr>
      <w:bookmarkStart w:id="8" w:name="_Toc384034964"/>
      <w:bookmarkStart w:id="9" w:name="_Toc445454841"/>
      <w:bookmarkStart w:id="10" w:name="_Toc446487685"/>
      <w:bookmarkStart w:id="11" w:name="_Toc2087924"/>
      <w:bookmarkEnd w:id="2"/>
      <w:bookmarkEnd w:id="3"/>
      <w:r w:rsidRPr="00871993">
        <w:rPr>
          <w:rFonts w:cs="Arial"/>
          <w:sz w:val="18"/>
          <w:szCs w:val="18"/>
        </w:rPr>
        <w:t>Vir: Modra zavarovalnica</w:t>
      </w:r>
    </w:p>
    <w:tbl>
      <w:tblPr>
        <w:tblW w:w="19177" w:type="dxa"/>
        <w:tblInd w:w="-70" w:type="dxa"/>
        <w:tblCellMar>
          <w:left w:w="70" w:type="dxa"/>
          <w:right w:w="70" w:type="dxa"/>
        </w:tblCellMar>
        <w:tblLook w:val="04A0" w:firstRow="1" w:lastRow="0" w:firstColumn="1" w:lastColumn="0" w:noHBand="0" w:noVBand="1"/>
      </w:tblPr>
      <w:tblGrid>
        <w:gridCol w:w="70"/>
        <w:gridCol w:w="9174"/>
        <w:gridCol w:w="2431"/>
        <w:gridCol w:w="2191"/>
        <w:gridCol w:w="5311"/>
      </w:tblGrid>
      <w:tr w:rsidR="00191170" w:rsidRPr="00191170" w14:paraId="36726417" w14:textId="77777777" w:rsidTr="004D22B8">
        <w:trPr>
          <w:gridBefore w:val="1"/>
          <w:wBefore w:w="70" w:type="dxa"/>
          <w:trHeight w:val="270"/>
        </w:trPr>
        <w:tc>
          <w:tcPr>
            <w:tcW w:w="9174" w:type="dxa"/>
            <w:tcBorders>
              <w:top w:val="nil"/>
              <w:left w:val="nil"/>
              <w:bottom w:val="nil"/>
              <w:right w:val="nil"/>
            </w:tcBorders>
            <w:shd w:val="clear" w:color="auto" w:fill="auto"/>
            <w:noWrap/>
            <w:vAlign w:val="bottom"/>
          </w:tcPr>
          <w:p w14:paraId="266ED774" w14:textId="77777777" w:rsidR="00782AB5" w:rsidRDefault="00782AB5" w:rsidP="003C08F2">
            <w:pPr>
              <w:spacing w:line="240" w:lineRule="auto"/>
              <w:jc w:val="both"/>
              <w:rPr>
                <w:rFonts w:cs="Arial"/>
                <w:szCs w:val="20"/>
              </w:rPr>
            </w:pPr>
          </w:p>
          <w:p w14:paraId="34579723" w14:textId="1A29DB53" w:rsidR="00191170" w:rsidRPr="00191170" w:rsidRDefault="00191170" w:rsidP="003C08F2">
            <w:pPr>
              <w:spacing w:line="240" w:lineRule="auto"/>
              <w:jc w:val="both"/>
              <w:rPr>
                <w:rFonts w:cs="Arial"/>
                <w:szCs w:val="20"/>
                <w:u w:val="single"/>
              </w:rPr>
            </w:pPr>
            <w:r w:rsidRPr="00191170">
              <w:rPr>
                <w:rFonts w:cs="Arial"/>
                <w:szCs w:val="20"/>
                <w:u w:val="single"/>
              </w:rPr>
              <w:t>Kritni sklad PPS</w:t>
            </w:r>
          </w:p>
          <w:p w14:paraId="71C98C56" w14:textId="77777777" w:rsidR="001C5472" w:rsidRDefault="001C5472" w:rsidP="003C08F2">
            <w:pPr>
              <w:spacing w:line="240" w:lineRule="auto"/>
              <w:jc w:val="both"/>
              <w:rPr>
                <w:rFonts w:cs="Arial"/>
                <w:szCs w:val="20"/>
              </w:rPr>
            </w:pPr>
          </w:p>
          <w:p w14:paraId="1F4DFAE6" w14:textId="1D3DD90E" w:rsidR="00191170" w:rsidRPr="00191170" w:rsidRDefault="001C5472" w:rsidP="003C08F2">
            <w:pPr>
              <w:spacing w:line="240" w:lineRule="auto"/>
              <w:jc w:val="both"/>
              <w:rPr>
                <w:rFonts w:cs="Arial"/>
                <w:szCs w:val="20"/>
              </w:rPr>
            </w:pPr>
            <w:r>
              <w:rPr>
                <w:rFonts w:cs="Arial"/>
                <w:szCs w:val="20"/>
              </w:rPr>
              <w:t>Kritni sklad</w:t>
            </w:r>
            <w:r w:rsidR="00191170" w:rsidRPr="00191170">
              <w:rPr>
                <w:rFonts w:cs="Arial"/>
                <w:szCs w:val="20"/>
              </w:rPr>
              <w:t xml:space="preserve"> PPS je bil oblikovan s 13. 7. 2004 za vse zavarovance, ki so oziroma bodo dopolnili 60 let in s tem pridobili pravico do rente. </w:t>
            </w:r>
          </w:p>
          <w:p w14:paraId="6E6530A4" w14:textId="77777777" w:rsidR="0037793C" w:rsidRDefault="0037793C" w:rsidP="003C08F2">
            <w:pPr>
              <w:spacing w:line="240" w:lineRule="auto"/>
              <w:jc w:val="both"/>
              <w:rPr>
                <w:rFonts w:cs="Arial"/>
                <w:szCs w:val="20"/>
              </w:rPr>
            </w:pPr>
          </w:p>
          <w:p w14:paraId="269BACEB" w14:textId="1B8BAC5B" w:rsidR="00191170" w:rsidRPr="00191170" w:rsidRDefault="00191170" w:rsidP="003C08F2">
            <w:pPr>
              <w:spacing w:line="240" w:lineRule="auto"/>
              <w:jc w:val="both"/>
              <w:rPr>
                <w:rFonts w:cs="Arial"/>
                <w:szCs w:val="20"/>
              </w:rPr>
            </w:pPr>
            <w:bookmarkStart w:id="12" w:name="_Hlk179970534"/>
            <w:r w:rsidRPr="00191170">
              <w:rPr>
                <w:rFonts w:cs="Arial"/>
                <w:szCs w:val="20"/>
              </w:rPr>
              <w:t xml:space="preserve">Obveznosti do zavarovancev PPS, ki so prejemniki rent, so matematične rezervacije, ki pomenijo oceno sedanje vrednosti odmerjenih rent. Sedanja vrednost </w:t>
            </w:r>
            <w:r w:rsidR="00D83366">
              <w:rPr>
                <w:rFonts w:cs="Arial"/>
                <w:szCs w:val="20"/>
              </w:rPr>
              <w:t>prihodnj</w:t>
            </w:r>
            <w:r w:rsidRPr="00191170">
              <w:rPr>
                <w:rFonts w:cs="Arial"/>
                <w:szCs w:val="20"/>
              </w:rPr>
              <w:t xml:space="preserve">ih denarnih tokov, ki jih sestavljajo v prihodnosti izplačane rente, je odvisna od predpostavljene preostale življenjske dobe zavarovancev in obrestne mere, s katero se ti denarni tokovi diskontirajo. Obrestna mera je predpisana z zakonom (ZPSPID) v višini enega odstotka na leto in se upošteva že ob sami odmeri rente. Ocena preostale življenjske dobe je odvisna od tablic umrljivosti. </w:t>
            </w:r>
            <w:bookmarkStart w:id="13" w:name="_Hlk192843862"/>
            <w:bookmarkEnd w:id="12"/>
            <w:r w:rsidRPr="00191170">
              <w:rPr>
                <w:rFonts w:cs="Arial"/>
                <w:szCs w:val="20"/>
              </w:rPr>
              <w:t xml:space="preserve">Po stanju na dan 28. 2. 2025 je </w:t>
            </w:r>
            <w:r w:rsidR="0037793C">
              <w:rPr>
                <w:rFonts w:cs="Arial"/>
                <w:szCs w:val="20"/>
              </w:rPr>
              <w:t xml:space="preserve">bilo </w:t>
            </w:r>
            <w:r w:rsidRPr="00191170">
              <w:rPr>
                <w:rFonts w:cs="Arial"/>
                <w:szCs w:val="20"/>
              </w:rPr>
              <w:t xml:space="preserve">v </w:t>
            </w:r>
            <w:r w:rsidR="0037793C">
              <w:rPr>
                <w:rFonts w:cs="Arial"/>
                <w:szCs w:val="20"/>
              </w:rPr>
              <w:t>kritnem skladu</w:t>
            </w:r>
            <w:r w:rsidRPr="00191170">
              <w:rPr>
                <w:rFonts w:cs="Arial"/>
                <w:szCs w:val="20"/>
              </w:rPr>
              <w:t xml:space="preserve"> PPS 9.511 članov, katerih vrednost matematičnih rezervacij je </w:t>
            </w:r>
            <w:r w:rsidR="0037793C">
              <w:rPr>
                <w:rFonts w:cs="Arial"/>
                <w:szCs w:val="20"/>
              </w:rPr>
              <w:t xml:space="preserve">znašala </w:t>
            </w:r>
            <w:r w:rsidRPr="00191170">
              <w:rPr>
                <w:rFonts w:cs="Arial"/>
                <w:szCs w:val="20"/>
              </w:rPr>
              <w:t>89 mi</w:t>
            </w:r>
            <w:r w:rsidR="00D83366">
              <w:rPr>
                <w:rFonts w:cs="Arial"/>
                <w:szCs w:val="20"/>
              </w:rPr>
              <w:t>lijonov evrov</w:t>
            </w:r>
            <w:r w:rsidRPr="00191170">
              <w:rPr>
                <w:rFonts w:cs="Arial"/>
                <w:szCs w:val="20"/>
              </w:rPr>
              <w:t xml:space="preserve">. </w:t>
            </w:r>
          </w:p>
          <w:bookmarkEnd w:id="13"/>
          <w:p w14:paraId="3D458053" w14:textId="77777777" w:rsidR="00191170" w:rsidRPr="00191170" w:rsidRDefault="00191170" w:rsidP="003C08F2">
            <w:pPr>
              <w:spacing w:line="240" w:lineRule="auto"/>
              <w:jc w:val="both"/>
              <w:rPr>
                <w:rFonts w:cs="Arial"/>
                <w:szCs w:val="20"/>
              </w:rPr>
            </w:pPr>
          </w:p>
          <w:p w14:paraId="2E58B889" w14:textId="585FEC9C" w:rsidR="00191170" w:rsidRPr="00191170" w:rsidRDefault="004D22B8" w:rsidP="003C08F2">
            <w:pPr>
              <w:spacing w:line="240" w:lineRule="auto"/>
              <w:jc w:val="both"/>
              <w:rPr>
                <w:rFonts w:cs="Arial"/>
                <w:sz w:val="18"/>
                <w:szCs w:val="18"/>
              </w:rPr>
            </w:pPr>
            <w:r>
              <w:rPr>
                <w:rFonts w:cs="Arial"/>
                <w:b/>
                <w:bCs/>
                <w:sz w:val="18"/>
                <w:szCs w:val="18"/>
              </w:rPr>
              <w:t>Preglednic</w:t>
            </w:r>
            <w:r w:rsidR="00191170" w:rsidRPr="00191170">
              <w:rPr>
                <w:rFonts w:cs="Arial"/>
                <w:b/>
                <w:bCs/>
                <w:sz w:val="18"/>
                <w:szCs w:val="18"/>
              </w:rPr>
              <w:t xml:space="preserve">a </w:t>
            </w:r>
            <w:r w:rsidR="00191170" w:rsidRPr="00191170">
              <w:rPr>
                <w:rFonts w:cs="Arial"/>
                <w:b/>
                <w:bCs/>
                <w:sz w:val="18"/>
                <w:szCs w:val="18"/>
              </w:rPr>
              <w:fldChar w:fldCharType="begin"/>
            </w:r>
            <w:r w:rsidR="00191170" w:rsidRPr="00191170">
              <w:rPr>
                <w:rFonts w:cs="Arial"/>
                <w:b/>
                <w:bCs/>
                <w:sz w:val="18"/>
                <w:szCs w:val="18"/>
              </w:rPr>
              <w:instrText xml:space="preserve"> SEQ Tabela \* ARABIC </w:instrText>
            </w:r>
            <w:r w:rsidR="00191170" w:rsidRPr="00191170">
              <w:rPr>
                <w:rFonts w:cs="Arial"/>
                <w:b/>
                <w:bCs/>
                <w:sz w:val="18"/>
                <w:szCs w:val="18"/>
              </w:rPr>
              <w:fldChar w:fldCharType="separate"/>
            </w:r>
            <w:r w:rsidR="00191170" w:rsidRPr="00191170">
              <w:rPr>
                <w:rFonts w:cs="Arial"/>
                <w:b/>
                <w:bCs/>
                <w:sz w:val="18"/>
                <w:szCs w:val="18"/>
              </w:rPr>
              <w:t>7</w:t>
            </w:r>
            <w:r w:rsidR="00191170" w:rsidRPr="00191170">
              <w:rPr>
                <w:rFonts w:cs="Arial"/>
                <w:b/>
                <w:bCs/>
                <w:sz w:val="18"/>
                <w:szCs w:val="18"/>
              </w:rPr>
              <w:fldChar w:fldCharType="end"/>
            </w:r>
            <w:r w:rsidR="00191170" w:rsidRPr="00191170">
              <w:rPr>
                <w:rFonts w:cs="Arial"/>
                <w:sz w:val="18"/>
                <w:szCs w:val="18"/>
              </w:rPr>
              <w:t>: Pridobitev pravice do pokojninske rente po letih</w:t>
            </w:r>
          </w:p>
        </w:tc>
        <w:tc>
          <w:tcPr>
            <w:tcW w:w="2431" w:type="dxa"/>
            <w:tcBorders>
              <w:top w:val="nil"/>
              <w:left w:val="nil"/>
              <w:bottom w:val="nil"/>
              <w:right w:val="nil"/>
            </w:tcBorders>
            <w:shd w:val="clear" w:color="auto" w:fill="auto"/>
            <w:noWrap/>
            <w:vAlign w:val="bottom"/>
          </w:tcPr>
          <w:p w14:paraId="1CAC2515" w14:textId="77777777" w:rsidR="00191170" w:rsidRPr="00191170" w:rsidRDefault="00191170" w:rsidP="003C08F2">
            <w:pPr>
              <w:spacing w:line="240" w:lineRule="auto"/>
              <w:jc w:val="both"/>
              <w:rPr>
                <w:rFonts w:cs="Arial"/>
                <w:szCs w:val="20"/>
              </w:rPr>
            </w:pPr>
          </w:p>
        </w:tc>
        <w:tc>
          <w:tcPr>
            <w:tcW w:w="2191" w:type="dxa"/>
            <w:tcBorders>
              <w:top w:val="nil"/>
              <w:left w:val="nil"/>
              <w:bottom w:val="nil"/>
              <w:right w:val="nil"/>
            </w:tcBorders>
            <w:shd w:val="clear" w:color="auto" w:fill="auto"/>
            <w:noWrap/>
            <w:vAlign w:val="bottom"/>
          </w:tcPr>
          <w:p w14:paraId="13174AC8" w14:textId="77777777" w:rsidR="00191170" w:rsidRPr="00191170" w:rsidRDefault="00191170" w:rsidP="003C08F2">
            <w:pPr>
              <w:spacing w:line="240" w:lineRule="auto"/>
              <w:jc w:val="both"/>
              <w:rPr>
                <w:rFonts w:cs="Arial"/>
                <w:szCs w:val="20"/>
              </w:rPr>
            </w:pPr>
          </w:p>
        </w:tc>
        <w:tc>
          <w:tcPr>
            <w:tcW w:w="5311" w:type="dxa"/>
            <w:tcBorders>
              <w:top w:val="nil"/>
              <w:left w:val="nil"/>
              <w:bottom w:val="nil"/>
              <w:right w:val="nil"/>
            </w:tcBorders>
            <w:shd w:val="clear" w:color="auto" w:fill="auto"/>
            <w:noWrap/>
            <w:vAlign w:val="bottom"/>
          </w:tcPr>
          <w:p w14:paraId="7F9C9E50" w14:textId="77777777" w:rsidR="00191170" w:rsidRPr="00191170" w:rsidRDefault="00191170" w:rsidP="003C08F2">
            <w:pPr>
              <w:spacing w:line="240" w:lineRule="auto"/>
              <w:jc w:val="both"/>
              <w:rPr>
                <w:rFonts w:cs="Arial"/>
                <w:szCs w:val="20"/>
              </w:rPr>
            </w:pPr>
          </w:p>
        </w:tc>
      </w:tr>
      <w:bookmarkEnd w:id="8"/>
      <w:bookmarkEnd w:id="9"/>
      <w:bookmarkEnd w:id="10"/>
      <w:bookmarkEnd w:id="11"/>
      <w:tr w:rsidR="00191170" w:rsidRPr="00191170" w14:paraId="2C0659AB" w14:textId="77777777" w:rsidTr="004D22B8">
        <w:trPr>
          <w:gridBefore w:val="1"/>
          <w:wBefore w:w="70" w:type="dxa"/>
          <w:trHeight w:val="270"/>
        </w:trPr>
        <w:tc>
          <w:tcPr>
            <w:tcW w:w="9174" w:type="dxa"/>
            <w:tcBorders>
              <w:top w:val="nil"/>
              <w:left w:val="nil"/>
              <w:bottom w:val="nil"/>
              <w:right w:val="nil"/>
            </w:tcBorders>
            <w:shd w:val="clear" w:color="auto" w:fill="auto"/>
            <w:noWrap/>
            <w:vAlign w:val="bottom"/>
          </w:tcPr>
          <w:p w14:paraId="5D76981A" w14:textId="77777777" w:rsidR="00191170" w:rsidRPr="00191170" w:rsidRDefault="00191170" w:rsidP="003C08F2">
            <w:pPr>
              <w:spacing w:line="240" w:lineRule="auto"/>
              <w:jc w:val="both"/>
              <w:rPr>
                <w:rFonts w:cs="Arial"/>
                <w:szCs w:val="20"/>
              </w:rPr>
            </w:pPr>
          </w:p>
        </w:tc>
        <w:tc>
          <w:tcPr>
            <w:tcW w:w="2431" w:type="dxa"/>
            <w:tcBorders>
              <w:top w:val="nil"/>
              <w:left w:val="nil"/>
              <w:bottom w:val="nil"/>
              <w:right w:val="nil"/>
            </w:tcBorders>
            <w:shd w:val="clear" w:color="auto" w:fill="auto"/>
            <w:noWrap/>
            <w:vAlign w:val="bottom"/>
            <w:hideMark/>
          </w:tcPr>
          <w:p w14:paraId="29B5FDCE" w14:textId="77777777" w:rsidR="00191170" w:rsidRPr="00191170" w:rsidRDefault="00191170" w:rsidP="003C08F2">
            <w:pPr>
              <w:spacing w:line="240" w:lineRule="auto"/>
              <w:jc w:val="both"/>
              <w:rPr>
                <w:rFonts w:cs="Arial"/>
                <w:szCs w:val="20"/>
              </w:rPr>
            </w:pPr>
          </w:p>
        </w:tc>
        <w:tc>
          <w:tcPr>
            <w:tcW w:w="2191" w:type="dxa"/>
            <w:tcBorders>
              <w:top w:val="nil"/>
              <w:left w:val="nil"/>
              <w:bottom w:val="nil"/>
              <w:right w:val="nil"/>
            </w:tcBorders>
            <w:shd w:val="clear" w:color="auto" w:fill="auto"/>
            <w:noWrap/>
            <w:vAlign w:val="bottom"/>
            <w:hideMark/>
          </w:tcPr>
          <w:p w14:paraId="45D691F1" w14:textId="77777777" w:rsidR="00191170" w:rsidRPr="00191170" w:rsidRDefault="00191170" w:rsidP="003C08F2">
            <w:pPr>
              <w:spacing w:line="240" w:lineRule="auto"/>
              <w:jc w:val="both"/>
              <w:rPr>
                <w:rFonts w:cs="Arial"/>
                <w:szCs w:val="20"/>
              </w:rPr>
            </w:pPr>
          </w:p>
        </w:tc>
        <w:tc>
          <w:tcPr>
            <w:tcW w:w="5311" w:type="dxa"/>
            <w:tcBorders>
              <w:top w:val="nil"/>
              <w:left w:val="nil"/>
              <w:bottom w:val="nil"/>
              <w:right w:val="nil"/>
            </w:tcBorders>
            <w:shd w:val="clear" w:color="auto" w:fill="auto"/>
            <w:noWrap/>
            <w:vAlign w:val="bottom"/>
            <w:hideMark/>
          </w:tcPr>
          <w:p w14:paraId="53A996AD" w14:textId="77777777" w:rsidR="00191170" w:rsidRPr="00191170" w:rsidRDefault="00191170" w:rsidP="003C08F2">
            <w:pPr>
              <w:spacing w:line="240" w:lineRule="auto"/>
              <w:jc w:val="both"/>
              <w:rPr>
                <w:rFonts w:cs="Arial"/>
                <w:szCs w:val="20"/>
              </w:rPr>
            </w:pPr>
          </w:p>
        </w:tc>
      </w:tr>
      <w:tr w:rsidR="00191170" w:rsidRPr="00191170" w14:paraId="146973C0" w14:textId="77777777" w:rsidTr="004D22B8">
        <w:trPr>
          <w:gridAfter w:val="3"/>
          <w:wAfter w:w="9933" w:type="dxa"/>
          <w:trHeight w:val="270"/>
        </w:trPr>
        <w:tc>
          <w:tcPr>
            <w:tcW w:w="9244" w:type="dxa"/>
            <w:gridSpan w:val="2"/>
            <w:tcBorders>
              <w:top w:val="nil"/>
              <w:left w:val="nil"/>
              <w:bottom w:val="nil"/>
              <w:right w:val="nil"/>
            </w:tcBorders>
            <w:shd w:val="clear" w:color="auto" w:fill="auto"/>
            <w:noWrap/>
            <w:vAlign w:val="bottom"/>
          </w:tcPr>
          <w:tbl>
            <w:tblPr>
              <w:tblStyle w:val="Tabelaseznam3poudarek11"/>
              <w:tblW w:w="2959" w:type="pct"/>
              <w:jc w:val="center"/>
              <w:tblLook w:val="04A0" w:firstRow="1" w:lastRow="0" w:firstColumn="1" w:lastColumn="0" w:noHBand="0" w:noVBand="1"/>
            </w:tblPr>
            <w:tblGrid>
              <w:gridCol w:w="1414"/>
              <w:gridCol w:w="1982"/>
              <w:gridCol w:w="1986"/>
            </w:tblGrid>
            <w:tr w:rsidR="00191170" w:rsidRPr="003C08F2" w14:paraId="4500C1B4" w14:textId="77777777" w:rsidTr="001642C7">
              <w:trPr>
                <w:cnfStyle w:val="100000000000" w:firstRow="1" w:lastRow="0" w:firstColumn="0" w:lastColumn="0" w:oddVBand="0" w:evenVBand="0" w:oddHBand="0" w:evenHBand="0" w:firstRowFirstColumn="0" w:firstRowLastColumn="0" w:lastRowFirstColumn="0" w:lastRowLastColumn="0"/>
                <w:trHeight w:val="310"/>
                <w:jc w:val="center"/>
              </w:trPr>
              <w:tc>
                <w:tcPr>
                  <w:cnfStyle w:val="001000000100" w:firstRow="0" w:lastRow="0" w:firstColumn="1" w:lastColumn="0" w:oddVBand="0" w:evenVBand="0" w:oddHBand="0" w:evenHBand="0" w:firstRowFirstColumn="1" w:firstRowLastColumn="0" w:lastRowFirstColumn="0" w:lastRowLastColumn="0"/>
                  <w:tcW w:w="1314" w:type="pct"/>
                  <w:vAlign w:val="center"/>
                </w:tcPr>
                <w:p w14:paraId="0AAAC167" w14:textId="77777777" w:rsidR="00191170" w:rsidRPr="00191170" w:rsidRDefault="00191170" w:rsidP="003C08F2">
                  <w:pPr>
                    <w:spacing w:line="240" w:lineRule="auto"/>
                    <w:jc w:val="both"/>
                    <w:rPr>
                      <w:rFonts w:cs="Arial"/>
                      <w:color w:val="auto"/>
                      <w:szCs w:val="20"/>
                    </w:rPr>
                  </w:pPr>
                  <w:bookmarkStart w:id="14" w:name="_Hlk179970925"/>
                  <w:r w:rsidRPr="00191170">
                    <w:rPr>
                      <w:rFonts w:cs="Arial"/>
                      <w:color w:val="auto"/>
                      <w:szCs w:val="20"/>
                    </w:rPr>
                    <w:t>Starost</w:t>
                  </w:r>
                </w:p>
              </w:tc>
              <w:tc>
                <w:tcPr>
                  <w:tcW w:w="1841" w:type="pct"/>
                  <w:vAlign w:val="center"/>
                </w:tcPr>
                <w:p w14:paraId="53CA3C72" w14:textId="77777777" w:rsidR="00191170" w:rsidRPr="00191170" w:rsidRDefault="00191170" w:rsidP="003C08F2">
                  <w:pPr>
                    <w:spacing w:line="240" w:lineRule="auto"/>
                    <w:jc w:val="both"/>
                    <w:cnfStyle w:val="100000000000" w:firstRow="1" w:lastRow="0" w:firstColumn="0" w:lastColumn="0" w:oddVBand="0" w:evenVBand="0" w:oddHBand="0" w:evenHBand="0" w:firstRowFirstColumn="0" w:firstRowLastColumn="0" w:lastRowFirstColumn="0" w:lastRowLastColumn="0"/>
                    <w:rPr>
                      <w:rFonts w:cs="Arial"/>
                      <w:color w:val="auto"/>
                      <w:szCs w:val="20"/>
                    </w:rPr>
                  </w:pPr>
                  <w:proofErr w:type="spellStart"/>
                  <w:r w:rsidRPr="00191170">
                    <w:rPr>
                      <w:rFonts w:cs="Arial"/>
                      <w:color w:val="auto"/>
                      <w:szCs w:val="20"/>
                    </w:rPr>
                    <w:t>Št</w:t>
                  </w:r>
                  <w:proofErr w:type="spellEnd"/>
                  <w:r w:rsidRPr="00191170">
                    <w:rPr>
                      <w:rFonts w:cs="Arial"/>
                      <w:color w:val="auto"/>
                      <w:szCs w:val="20"/>
                    </w:rPr>
                    <w:t xml:space="preserve">. </w:t>
                  </w:r>
                  <w:proofErr w:type="spellStart"/>
                  <w:r w:rsidRPr="00191170">
                    <w:rPr>
                      <w:rFonts w:cs="Arial"/>
                      <w:color w:val="auto"/>
                      <w:szCs w:val="20"/>
                    </w:rPr>
                    <w:t>zavarovancev</w:t>
                  </w:r>
                  <w:proofErr w:type="spellEnd"/>
                </w:p>
              </w:tc>
              <w:tc>
                <w:tcPr>
                  <w:tcW w:w="1845" w:type="pct"/>
                  <w:tcBorders>
                    <w:right w:val="single" w:sz="4" w:space="0" w:color="0061CF"/>
                  </w:tcBorders>
                  <w:vAlign w:val="center"/>
                </w:tcPr>
                <w:p w14:paraId="107DCBD1" w14:textId="77777777" w:rsidR="00191170" w:rsidRPr="00191170" w:rsidRDefault="00191170" w:rsidP="003C08F2">
                  <w:pPr>
                    <w:spacing w:line="240" w:lineRule="auto"/>
                    <w:jc w:val="both"/>
                    <w:cnfStyle w:val="100000000000" w:firstRow="1" w:lastRow="0" w:firstColumn="0" w:lastColumn="0" w:oddVBand="0" w:evenVBand="0" w:oddHBand="0" w:evenHBand="0" w:firstRowFirstColumn="0" w:firstRowLastColumn="0" w:lastRowFirstColumn="0" w:lastRowLastColumn="0"/>
                    <w:rPr>
                      <w:rFonts w:cs="Arial"/>
                      <w:color w:val="auto"/>
                      <w:szCs w:val="20"/>
                    </w:rPr>
                  </w:pPr>
                  <w:proofErr w:type="spellStart"/>
                  <w:r w:rsidRPr="00191170">
                    <w:rPr>
                      <w:rFonts w:cs="Arial"/>
                      <w:color w:val="auto"/>
                      <w:szCs w:val="20"/>
                    </w:rPr>
                    <w:t>Vrednost</w:t>
                  </w:r>
                  <w:proofErr w:type="spellEnd"/>
                  <w:r w:rsidRPr="00191170">
                    <w:rPr>
                      <w:rFonts w:cs="Arial"/>
                      <w:color w:val="auto"/>
                      <w:szCs w:val="20"/>
                    </w:rPr>
                    <w:t xml:space="preserve"> </w:t>
                  </w:r>
                  <w:proofErr w:type="spellStart"/>
                  <w:r w:rsidRPr="00191170">
                    <w:rPr>
                      <w:rFonts w:cs="Arial"/>
                      <w:color w:val="auto"/>
                      <w:szCs w:val="20"/>
                    </w:rPr>
                    <w:t>vplačila</w:t>
                  </w:r>
                  <w:proofErr w:type="spellEnd"/>
                  <w:r w:rsidRPr="00191170">
                    <w:rPr>
                      <w:rFonts w:cs="Arial"/>
                      <w:color w:val="auto"/>
                      <w:szCs w:val="20"/>
                    </w:rPr>
                    <w:t xml:space="preserve"> v KS PPS v EUR</w:t>
                  </w:r>
                </w:p>
              </w:tc>
            </w:tr>
            <w:tr w:rsidR="0037793C" w:rsidRPr="00191170" w14:paraId="3EBBCE81" w14:textId="77777777" w:rsidTr="001642C7">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314" w:type="pct"/>
                  <w:vAlign w:val="center"/>
                </w:tcPr>
                <w:p w14:paraId="4913F9BF" w14:textId="77777777" w:rsidR="00191170" w:rsidRPr="00191170" w:rsidRDefault="00191170" w:rsidP="003C08F2">
                  <w:pPr>
                    <w:spacing w:line="240" w:lineRule="auto"/>
                    <w:jc w:val="both"/>
                    <w:rPr>
                      <w:rFonts w:cs="Arial"/>
                      <w:szCs w:val="20"/>
                      <w:lang w:val="sl-SI"/>
                    </w:rPr>
                  </w:pPr>
                  <w:r w:rsidRPr="00191170">
                    <w:rPr>
                      <w:rFonts w:cs="Arial"/>
                      <w:szCs w:val="20"/>
                      <w:lang w:val="sl-SI"/>
                    </w:rPr>
                    <w:t>2014</w:t>
                  </w:r>
                </w:p>
              </w:tc>
              <w:tc>
                <w:tcPr>
                  <w:tcW w:w="1841" w:type="pct"/>
                  <w:vAlign w:val="center"/>
                </w:tcPr>
                <w:p w14:paraId="1E60E8AF" w14:textId="77777777" w:rsidR="00191170" w:rsidRPr="00191170" w:rsidRDefault="00191170" w:rsidP="001642C7">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lang w:val="sl-SI"/>
                    </w:rPr>
                  </w:pPr>
                  <w:r w:rsidRPr="00191170">
                    <w:rPr>
                      <w:rFonts w:cs="Arial"/>
                      <w:szCs w:val="20"/>
                      <w:lang w:val="sl-SI"/>
                    </w:rPr>
                    <w:t>1.330</w:t>
                  </w:r>
                </w:p>
              </w:tc>
              <w:tc>
                <w:tcPr>
                  <w:tcW w:w="1845" w:type="pct"/>
                  <w:vAlign w:val="center"/>
                </w:tcPr>
                <w:p w14:paraId="06CB4251" w14:textId="77777777" w:rsidR="00191170" w:rsidRPr="00191170" w:rsidRDefault="00191170" w:rsidP="001642C7">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lang w:val="sl-SI"/>
                    </w:rPr>
                  </w:pPr>
                  <w:r w:rsidRPr="00191170">
                    <w:rPr>
                      <w:rFonts w:cs="Arial"/>
                      <w:szCs w:val="20"/>
                      <w:lang w:val="sl-SI"/>
                    </w:rPr>
                    <w:t>3.975.546</w:t>
                  </w:r>
                </w:p>
              </w:tc>
            </w:tr>
            <w:tr w:rsidR="0037793C" w:rsidRPr="00191170" w14:paraId="4CFBE07B" w14:textId="77777777" w:rsidTr="001642C7">
              <w:trPr>
                <w:trHeight w:val="264"/>
                <w:jc w:val="center"/>
              </w:trPr>
              <w:tc>
                <w:tcPr>
                  <w:cnfStyle w:val="001000000000" w:firstRow="0" w:lastRow="0" w:firstColumn="1" w:lastColumn="0" w:oddVBand="0" w:evenVBand="0" w:oddHBand="0" w:evenHBand="0" w:firstRowFirstColumn="0" w:firstRowLastColumn="0" w:lastRowFirstColumn="0" w:lastRowLastColumn="0"/>
                  <w:tcW w:w="1314" w:type="pct"/>
                  <w:vAlign w:val="center"/>
                </w:tcPr>
                <w:p w14:paraId="45EE03BA" w14:textId="77777777" w:rsidR="00191170" w:rsidRPr="00191170" w:rsidRDefault="00191170" w:rsidP="003C08F2">
                  <w:pPr>
                    <w:spacing w:line="240" w:lineRule="auto"/>
                    <w:jc w:val="both"/>
                    <w:rPr>
                      <w:rFonts w:cs="Arial"/>
                      <w:szCs w:val="20"/>
                      <w:lang w:val="sl-SI"/>
                    </w:rPr>
                  </w:pPr>
                  <w:r w:rsidRPr="00191170">
                    <w:rPr>
                      <w:rFonts w:cs="Arial"/>
                      <w:szCs w:val="20"/>
                      <w:lang w:val="sl-SI"/>
                    </w:rPr>
                    <w:t>2015</w:t>
                  </w:r>
                </w:p>
              </w:tc>
              <w:tc>
                <w:tcPr>
                  <w:tcW w:w="1841" w:type="pct"/>
                  <w:vAlign w:val="center"/>
                </w:tcPr>
                <w:p w14:paraId="5711E0BE" w14:textId="77777777" w:rsidR="00191170" w:rsidRPr="00191170" w:rsidRDefault="00191170" w:rsidP="001642C7">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lang w:val="sl-SI"/>
                    </w:rPr>
                  </w:pPr>
                  <w:r w:rsidRPr="00191170">
                    <w:rPr>
                      <w:rFonts w:cs="Arial"/>
                      <w:szCs w:val="20"/>
                      <w:lang w:val="sl-SI"/>
                    </w:rPr>
                    <w:t>1.308</w:t>
                  </w:r>
                </w:p>
              </w:tc>
              <w:tc>
                <w:tcPr>
                  <w:tcW w:w="1845" w:type="pct"/>
                  <w:vAlign w:val="center"/>
                </w:tcPr>
                <w:p w14:paraId="63E7C19F" w14:textId="77777777" w:rsidR="00191170" w:rsidRPr="00191170" w:rsidRDefault="00191170" w:rsidP="001642C7">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lang w:val="sl-SI"/>
                    </w:rPr>
                  </w:pPr>
                  <w:r w:rsidRPr="00191170">
                    <w:rPr>
                      <w:rFonts w:cs="Arial"/>
                      <w:szCs w:val="20"/>
                      <w:lang w:val="sl-SI"/>
                    </w:rPr>
                    <w:t>3.627.705</w:t>
                  </w:r>
                </w:p>
              </w:tc>
            </w:tr>
            <w:tr w:rsidR="0037793C" w:rsidRPr="00191170" w14:paraId="6821340A" w14:textId="77777777" w:rsidTr="001642C7">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1314" w:type="pct"/>
                  <w:vAlign w:val="center"/>
                </w:tcPr>
                <w:p w14:paraId="75DFA1DA" w14:textId="77777777" w:rsidR="00191170" w:rsidRPr="00191170" w:rsidRDefault="00191170" w:rsidP="003C08F2">
                  <w:pPr>
                    <w:spacing w:line="240" w:lineRule="auto"/>
                    <w:jc w:val="both"/>
                    <w:rPr>
                      <w:rFonts w:cs="Arial"/>
                      <w:szCs w:val="20"/>
                      <w:lang w:val="sl-SI"/>
                    </w:rPr>
                  </w:pPr>
                  <w:r w:rsidRPr="00191170">
                    <w:rPr>
                      <w:rFonts w:cs="Arial"/>
                      <w:szCs w:val="20"/>
                      <w:lang w:val="sl-SI"/>
                    </w:rPr>
                    <w:t>2016</w:t>
                  </w:r>
                </w:p>
              </w:tc>
              <w:tc>
                <w:tcPr>
                  <w:tcW w:w="1841" w:type="pct"/>
                  <w:vAlign w:val="center"/>
                </w:tcPr>
                <w:p w14:paraId="1F5119DD" w14:textId="77777777" w:rsidR="00191170" w:rsidRPr="00191170" w:rsidRDefault="00191170" w:rsidP="001642C7">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lang w:val="sl-SI"/>
                    </w:rPr>
                  </w:pPr>
                  <w:r w:rsidRPr="00191170">
                    <w:rPr>
                      <w:rFonts w:cs="Arial"/>
                      <w:szCs w:val="20"/>
                      <w:lang w:val="sl-SI"/>
                    </w:rPr>
                    <w:t>1.315</w:t>
                  </w:r>
                </w:p>
              </w:tc>
              <w:tc>
                <w:tcPr>
                  <w:tcW w:w="1845" w:type="pct"/>
                  <w:vAlign w:val="center"/>
                </w:tcPr>
                <w:p w14:paraId="0559FBE5" w14:textId="77777777" w:rsidR="00191170" w:rsidRPr="00191170" w:rsidRDefault="00191170" w:rsidP="001642C7">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lang w:val="sl-SI"/>
                    </w:rPr>
                  </w:pPr>
                  <w:r w:rsidRPr="00191170">
                    <w:rPr>
                      <w:rFonts w:cs="Arial"/>
                      <w:szCs w:val="20"/>
                      <w:lang w:val="sl-SI"/>
                    </w:rPr>
                    <w:t>3.424.432</w:t>
                  </w:r>
                </w:p>
              </w:tc>
            </w:tr>
            <w:tr w:rsidR="0037793C" w:rsidRPr="00191170" w14:paraId="733D7F25" w14:textId="77777777" w:rsidTr="001642C7">
              <w:trPr>
                <w:trHeight w:val="286"/>
                <w:jc w:val="center"/>
              </w:trPr>
              <w:tc>
                <w:tcPr>
                  <w:cnfStyle w:val="001000000000" w:firstRow="0" w:lastRow="0" w:firstColumn="1" w:lastColumn="0" w:oddVBand="0" w:evenVBand="0" w:oddHBand="0" w:evenHBand="0" w:firstRowFirstColumn="0" w:firstRowLastColumn="0" w:lastRowFirstColumn="0" w:lastRowLastColumn="0"/>
                  <w:tcW w:w="1314" w:type="pct"/>
                  <w:vAlign w:val="center"/>
                </w:tcPr>
                <w:p w14:paraId="5CD65825" w14:textId="77777777" w:rsidR="00191170" w:rsidRPr="00191170" w:rsidRDefault="00191170" w:rsidP="003C08F2">
                  <w:pPr>
                    <w:spacing w:line="240" w:lineRule="auto"/>
                    <w:jc w:val="both"/>
                    <w:rPr>
                      <w:rFonts w:cs="Arial"/>
                      <w:szCs w:val="20"/>
                      <w:lang w:val="sl-SI"/>
                    </w:rPr>
                  </w:pPr>
                  <w:r w:rsidRPr="00191170">
                    <w:rPr>
                      <w:rFonts w:cs="Arial"/>
                      <w:szCs w:val="20"/>
                      <w:lang w:val="sl-SI"/>
                    </w:rPr>
                    <w:t>2017</w:t>
                  </w:r>
                </w:p>
              </w:tc>
              <w:tc>
                <w:tcPr>
                  <w:tcW w:w="1841" w:type="pct"/>
                  <w:vAlign w:val="center"/>
                </w:tcPr>
                <w:p w14:paraId="26006E97" w14:textId="77777777" w:rsidR="00191170" w:rsidRPr="00191170" w:rsidRDefault="00191170" w:rsidP="001642C7">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lang w:val="sl-SI"/>
                    </w:rPr>
                  </w:pPr>
                  <w:r w:rsidRPr="00191170">
                    <w:rPr>
                      <w:rFonts w:cs="Arial"/>
                      <w:szCs w:val="20"/>
                      <w:lang w:val="sl-SI"/>
                    </w:rPr>
                    <w:t>1.257</w:t>
                  </w:r>
                </w:p>
              </w:tc>
              <w:tc>
                <w:tcPr>
                  <w:tcW w:w="1845" w:type="pct"/>
                  <w:vAlign w:val="center"/>
                </w:tcPr>
                <w:p w14:paraId="799F66F3" w14:textId="77777777" w:rsidR="00191170" w:rsidRPr="00191170" w:rsidRDefault="00191170" w:rsidP="001642C7">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lang w:val="sl-SI"/>
                    </w:rPr>
                  </w:pPr>
                  <w:r w:rsidRPr="00191170">
                    <w:rPr>
                      <w:rFonts w:cs="Arial"/>
                      <w:szCs w:val="20"/>
                      <w:lang w:val="sl-SI"/>
                    </w:rPr>
                    <w:t>3.127.153</w:t>
                  </w:r>
                </w:p>
              </w:tc>
            </w:tr>
            <w:tr w:rsidR="0037793C" w:rsidRPr="00191170" w14:paraId="020E71DA" w14:textId="77777777" w:rsidTr="001642C7">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314" w:type="pct"/>
                  <w:vAlign w:val="center"/>
                </w:tcPr>
                <w:p w14:paraId="1943ACD9" w14:textId="77777777" w:rsidR="00191170" w:rsidRPr="00191170" w:rsidRDefault="00191170" w:rsidP="003C08F2">
                  <w:pPr>
                    <w:spacing w:line="240" w:lineRule="auto"/>
                    <w:jc w:val="both"/>
                    <w:rPr>
                      <w:rFonts w:cs="Arial"/>
                      <w:szCs w:val="20"/>
                      <w:lang w:val="sl-SI"/>
                    </w:rPr>
                  </w:pPr>
                  <w:r w:rsidRPr="00191170">
                    <w:rPr>
                      <w:rFonts w:cs="Arial"/>
                      <w:szCs w:val="20"/>
                      <w:lang w:val="sl-SI"/>
                    </w:rPr>
                    <w:t>2018</w:t>
                  </w:r>
                </w:p>
              </w:tc>
              <w:tc>
                <w:tcPr>
                  <w:tcW w:w="1841" w:type="pct"/>
                  <w:vAlign w:val="center"/>
                </w:tcPr>
                <w:p w14:paraId="544AC4CB" w14:textId="77777777" w:rsidR="00191170" w:rsidRPr="00191170" w:rsidRDefault="00191170" w:rsidP="001642C7">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lang w:val="sl-SI"/>
                    </w:rPr>
                  </w:pPr>
                  <w:r w:rsidRPr="00191170">
                    <w:rPr>
                      <w:rFonts w:cs="Arial"/>
                      <w:szCs w:val="20"/>
                      <w:lang w:val="sl-SI"/>
                    </w:rPr>
                    <w:t>1.216</w:t>
                  </w:r>
                </w:p>
              </w:tc>
              <w:tc>
                <w:tcPr>
                  <w:tcW w:w="1845" w:type="pct"/>
                  <w:vAlign w:val="center"/>
                </w:tcPr>
                <w:p w14:paraId="536C6FEB" w14:textId="77777777" w:rsidR="00191170" w:rsidRPr="00191170" w:rsidRDefault="00191170" w:rsidP="001642C7">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lang w:val="sl-SI"/>
                    </w:rPr>
                  </w:pPr>
                  <w:r w:rsidRPr="00191170">
                    <w:rPr>
                      <w:rFonts w:cs="Arial"/>
                      <w:szCs w:val="20"/>
                      <w:lang w:val="sl-SI"/>
                    </w:rPr>
                    <w:t>2.902.890</w:t>
                  </w:r>
                </w:p>
              </w:tc>
            </w:tr>
            <w:tr w:rsidR="0037793C" w:rsidRPr="00191170" w14:paraId="03F16E3E" w14:textId="77777777" w:rsidTr="001642C7">
              <w:trPr>
                <w:trHeight w:val="266"/>
                <w:jc w:val="center"/>
              </w:trPr>
              <w:tc>
                <w:tcPr>
                  <w:cnfStyle w:val="001000000000" w:firstRow="0" w:lastRow="0" w:firstColumn="1" w:lastColumn="0" w:oddVBand="0" w:evenVBand="0" w:oddHBand="0" w:evenHBand="0" w:firstRowFirstColumn="0" w:firstRowLastColumn="0" w:lastRowFirstColumn="0" w:lastRowLastColumn="0"/>
                  <w:tcW w:w="1314" w:type="pct"/>
                  <w:vAlign w:val="center"/>
                </w:tcPr>
                <w:p w14:paraId="7F3265C0" w14:textId="77777777" w:rsidR="00191170" w:rsidRPr="00191170" w:rsidRDefault="00191170" w:rsidP="003C08F2">
                  <w:pPr>
                    <w:spacing w:line="240" w:lineRule="auto"/>
                    <w:jc w:val="both"/>
                    <w:rPr>
                      <w:rFonts w:cs="Arial"/>
                      <w:szCs w:val="20"/>
                      <w:lang w:val="sl-SI"/>
                    </w:rPr>
                  </w:pPr>
                  <w:r w:rsidRPr="00191170">
                    <w:rPr>
                      <w:rFonts w:cs="Arial"/>
                      <w:szCs w:val="20"/>
                      <w:lang w:val="sl-SI"/>
                    </w:rPr>
                    <w:t>2019</w:t>
                  </w:r>
                </w:p>
              </w:tc>
              <w:tc>
                <w:tcPr>
                  <w:tcW w:w="1841" w:type="pct"/>
                  <w:vAlign w:val="center"/>
                </w:tcPr>
                <w:p w14:paraId="4B766160" w14:textId="77777777" w:rsidR="00191170" w:rsidRPr="00191170" w:rsidRDefault="00191170" w:rsidP="001642C7">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lang w:val="sl-SI"/>
                    </w:rPr>
                  </w:pPr>
                  <w:r w:rsidRPr="00191170">
                    <w:rPr>
                      <w:rFonts w:cs="Arial"/>
                      <w:szCs w:val="20"/>
                      <w:lang w:val="sl-SI"/>
                    </w:rPr>
                    <w:t>1.205</w:t>
                  </w:r>
                </w:p>
              </w:tc>
              <w:tc>
                <w:tcPr>
                  <w:tcW w:w="1845" w:type="pct"/>
                  <w:vAlign w:val="center"/>
                </w:tcPr>
                <w:p w14:paraId="17827C90" w14:textId="77777777" w:rsidR="00191170" w:rsidRPr="00191170" w:rsidRDefault="00191170" w:rsidP="001642C7">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lang w:val="sl-SI"/>
                    </w:rPr>
                  </w:pPr>
                  <w:r w:rsidRPr="00191170">
                    <w:rPr>
                      <w:rFonts w:cs="Arial"/>
                      <w:szCs w:val="20"/>
                      <w:lang w:val="sl-SI"/>
                    </w:rPr>
                    <w:t>2.725.973</w:t>
                  </w:r>
                </w:p>
              </w:tc>
            </w:tr>
            <w:tr w:rsidR="0037793C" w:rsidRPr="00191170" w14:paraId="6318F5DE" w14:textId="77777777" w:rsidTr="001642C7">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314" w:type="pct"/>
                  <w:vAlign w:val="center"/>
                </w:tcPr>
                <w:p w14:paraId="601EF067" w14:textId="77777777" w:rsidR="00191170" w:rsidRPr="00191170" w:rsidRDefault="00191170" w:rsidP="003C08F2">
                  <w:pPr>
                    <w:spacing w:line="240" w:lineRule="auto"/>
                    <w:jc w:val="both"/>
                    <w:rPr>
                      <w:rFonts w:cs="Arial"/>
                      <w:szCs w:val="20"/>
                      <w:lang w:val="sl-SI"/>
                    </w:rPr>
                  </w:pPr>
                  <w:r w:rsidRPr="00191170">
                    <w:rPr>
                      <w:rFonts w:cs="Arial"/>
                      <w:szCs w:val="20"/>
                      <w:lang w:val="sl-SI"/>
                    </w:rPr>
                    <w:t>2020</w:t>
                  </w:r>
                </w:p>
              </w:tc>
              <w:tc>
                <w:tcPr>
                  <w:tcW w:w="1841" w:type="pct"/>
                  <w:vAlign w:val="center"/>
                </w:tcPr>
                <w:p w14:paraId="1DF97BE2" w14:textId="77777777" w:rsidR="00191170" w:rsidRPr="00191170" w:rsidRDefault="00191170" w:rsidP="001642C7">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lang w:val="sl-SI"/>
                    </w:rPr>
                  </w:pPr>
                  <w:r w:rsidRPr="00191170">
                    <w:rPr>
                      <w:rFonts w:cs="Arial"/>
                      <w:szCs w:val="20"/>
                      <w:lang w:val="sl-SI"/>
                    </w:rPr>
                    <w:t>1.219</w:t>
                  </w:r>
                </w:p>
              </w:tc>
              <w:tc>
                <w:tcPr>
                  <w:tcW w:w="1845" w:type="pct"/>
                  <w:vAlign w:val="center"/>
                </w:tcPr>
                <w:p w14:paraId="07124620" w14:textId="77777777" w:rsidR="00191170" w:rsidRPr="00191170" w:rsidRDefault="00191170" w:rsidP="001642C7">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lang w:val="sl-SI"/>
                    </w:rPr>
                  </w:pPr>
                  <w:r w:rsidRPr="00191170">
                    <w:rPr>
                      <w:rFonts w:cs="Arial"/>
                      <w:szCs w:val="20"/>
                      <w:lang w:val="sl-SI"/>
                    </w:rPr>
                    <w:t>2.679.318</w:t>
                  </w:r>
                </w:p>
              </w:tc>
            </w:tr>
            <w:tr w:rsidR="0037793C" w:rsidRPr="00191170" w14:paraId="36D5C519" w14:textId="77777777" w:rsidTr="001642C7">
              <w:trPr>
                <w:trHeight w:val="274"/>
                <w:jc w:val="center"/>
              </w:trPr>
              <w:tc>
                <w:tcPr>
                  <w:cnfStyle w:val="001000000000" w:firstRow="0" w:lastRow="0" w:firstColumn="1" w:lastColumn="0" w:oddVBand="0" w:evenVBand="0" w:oddHBand="0" w:evenHBand="0" w:firstRowFirstColumn="0" w:firstRowLastColumn="0" w:lastRowFirstColumn="0" w:lastRowLastColumn="0"/>
                  <w:tcW w:w="1314" w:type="pct"/>
                  <w:vAlign w:val="center"/>
                </w:tcPr>
                <w:p w14:paraId="4F9D20FC" w14:textId="77777777" w:rsidR="00191170" w:rsidRPr="00191170" w:rsidRDefault="00191170" w:rsidP="003C08F2">
                  <w:pPr>
                    <w:spacing w:line="240" w:lineRule="auto"/>
                    <w:jc w:val="both"/>
                    <w:rPr>
                      <w:rFonts w:cs="Arial"/>
                      <w:szCs w:val="20"/>
                      <w:lang w:val="sl-SI"/>
                    </w:rPr>
                  </w:pPr>
                  <w:r w:rsidRPr="00191170">
                    <w:rPr>
                      <w:rFonts w:cs="Arial"/>
                      <w:szCs w:val="20"/>
                      <w:lang w:val="sl-SI"/>
                    </w:rPr>
                    <w:t>2021</w:t>
                  </w:r>
                </w:p>
              </w:tc>
              <w:tc>
                <w:tcPr>
                  <w:tcW w:w="1841" w:type="pct"/>
                  <w:vAlign w:val="center"/>
                </w:tcPr>
                <w:p w14:paraId="5A074D7F" w14:textId="77777777" w:rsidR="00191170" w:rsidRPr="00191170" w:rsidRDefault="00191170" w:rsidP="001642C7">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lang w:val="sl-SI"/>
                    </w:rPr>
                  </w:pPr>
                  <w:r w:rsidRPr="00191170">
                    <w:rPr>
                      <w:rFonts w:cs="Arial"/>
                      <w:szCs w:val="20"/>
                      <w:lang w:val="sl-SI"/>
                    </w:rPr>
                    <w:t>1.288</w:t>
                  </w:r>
                </w:p>
              </w:tc>
              <w:tc>
                <w:tcPr>
                  <w:tcW w:w="1845" w:type="pct"/>
                  <w:vAlign w:val="center"/>
                </w:tcPr>
                <w:p w14:paraId="6534D4D4" w14:textId="77777777" w:rsidR="00191170" w:rsidRPr="00191170" w:rsidRDefault="00191170" w:rsidP="001642C7">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lang w:val="sl-SI"/>
                    </w:rPr>
                  </w:pPr>
                  <w:r w:rsidRPr="00191170">
                    <w:rPr>
                      <w:rFonts w:cs="Arial"/>
                      <w:szCs w:val="20"/>
                      <w:lang w:val="sl-SI"/>
                    </w:rPr>
                    <w:t>2.612.734</w:t>
                  </w:r>
                </w:p>
              </w:tc>
            </w:tr>
            <w:tr w:rsidR="0037793C" w:rsidRPr="00191170" w14:paraId="7F44D81E" w14:textId="77777777" w:rsidTr="001642C7">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314" w:type="pct"/>
                  <w:vAlign w:val="center"/>
                </w:tcPr>
                <w:p w14:paraId="41F72221" w14:textId="77777777" w:rsidR="00191170" w:rsidRPr="00191170" w:rsidRDefault="00191170" w:rsidP="003C08F2">
                  <w:pPr>
                    <w:spacing w:line="240" w:lineRule="auto"/>
                    <w:jc w:val="both"/>
                    <w:rPr>
                      <w:rFonts w:cs="Arial"/>
                      <w:szCs w:val="20"/>
                      <w:lang w:val="sl-SI"/>
                    </w:rPr>
                  </w:pPr>
                  <w:r w:rsidRPr="00191170">
                    <w:rPr>
                      <w:rFonts w:cs="Arial"/>
                      <w:szCs w:val="20"/>
                      <w:lang w:val="sl-SI"/>
                    </w:rPr>
                    <w:t>2022</w:t>
                  </w:r>
                </w:p>
              </w:tc>
              <w:tc>
                <w:tcPr>
                  <w:tcW w:w="1841" w:type="pct"/>
                  <w:vAlign w:val="center"/>
                </w:tcPr>
                <w:p w14:paraId="40E521DB" w14:textId="77777777" w:rsidR="00191170" w:rsidRPr="00191170" w:rsidRDefault="00191170" w:rsidP="001642C7">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lang w:val="sl-SI"/>
                    </w:rPr>
                  </w:pPr>
                  <w:r w:rsidRPr="00191170">
                    <w:rPr>
                      <w:rFonts w:cs="Arial"/>
                      <w:szCs w:val="20"/>
                      <w:lang w:val="sl-SI"/>
                    </w:rPr>
                    <w:t>1.216</w:t>
                  </w:r>
                </w:p>
              </w:tc>
              <w:tc>
                <w:tcPr>
                  <w:tcW w:w="1845" w:type="pct"/>
                  <w:vAlign w:val="center"/>
                </w:tcPr>
                <w:p w14:paraId="3150AE8B" w14:textId="77777777" w:rsidR="00191170" w:rsidRPr="00191170" w:rsidRDefault="00191170" w:rsidP="001642C7">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lang w:val="sl-SI"/>
                    </w:rPr>
                  </w:pPr>
                  <w:r w:rsidRPr="00191170">
                    <w:rPr>
                      <w:rFonts w:cs="Arial"/>
                      <w:szCs w:val="20"/>
                      <w:lang w:val="sl-SI"/>
                    </w:rPr>
                    <w:t>2.343.672</w:t>
                  </w:r>
                </w:p>
              </w:tc>
            </w:tr>
            <w:tr w:rsidR="0037793C" w:rsidRPr="00191170" w14:paraId="3B0E9BCE" w14:textId="77777777" w:rsidTr="001642C7">
              <w:trPr>
                <w:trHeight w:val="268"/>
                <w:jc w:val="center"/>
              </w:trPr>
              <w:tc>
                <w:tcPr>
                  <w:cnfStyle w:val="001000000000" w:firstRow="0" w:lastRow="0" w:firstColumn="1" w:lastColumn="0" w:oddVBand="0" w:evenVBand="0" w:oddHBand="0" w:evenHBand="0" w:firstRowFirstColumn="0" w:firstRowLastColumn="0" w:lastRowFirstColumn="0" w:lastRowLastColumn="0"/>
                  <w:tcW w:w="1314" w:type="pct"/>
                  <w:vAlign w:val="center"/>
                </w:tcPr>
                <w:p w14:paraId="0F23FDFF" w14:textId="77777777" w:rsidR="00191170" w:rsidRPr="00191170" w:rsidRDefault="00191170" w:rsidP="003C08F2">
                  <w:pPr>
                    <w:spacing w:line="240" w:lineRule="auto"/>
                    <w:jc w:val="both"/>
                    <w:rPr>
                      <w:rFonts w:cs="Arial"/>
                      <w:szCs w:val="20"/>
                      <w:lang w:val="sl-SI"/>
                    </w:rPr>
                  </w:pPr>
                  <w:r w:rsidRPr="00191170">
                    <w:rPr>
                      <w:rFonts w:cs="Arial"/>
                      <w:szCs w:val="20"/>
                      <w:lang w:val="sl-SI"/>
                    </w:rPr>
                    <w:t>2023</w:t>
                  </w:r>
                </w:p>
              </w:tc>
              <w:tc>
                <w:tcPr>
                  <w:tcW w:w="1841" w:type="pct"/>
                  <w:vAlign w:val="center"/>
                </w:tcPr>
                <w:p w14:paraId="72D3E64B" w14:textId="77777777" w:rsidR="00191170" w:rsidRPr="00191170" w:rsidRDefault="00191170" w:rsidP="001642C7">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lang w:val="sl-SI"/>
                    </w:rPr>
                  </w:pPr>
                  <w:r w:rsidRPr="00191170">
                    <w:rPr>
                      <w:rFonts w:cs="Arial"/>
                      <w:szCs w:val="20"/>
                      <w:lang w:val="sl-SI"/>
                    </w:rPr>
                    <w:t>1.253</w:t>
                  </w:r>
                </w:p>
              </w:tc>
              <w:tc>
                <w:tcPr>
                  <w:tcW w:w="1845" w:type="pct"/>
                  <w:vAlign w:val="center"/>
                </w:tcPr>
                <w:p w14:paraId="4636B019" w14:textId="77777777" w:rsidR="00191170" w:rsidRPr="00191170" w:rsidRDefault="00191170" w:rsidP="001642C7">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lang w:val="sl-SI"/>
                    </w:rPr>
                  </w:pPr>
                  <w:r w:rsidRPr="00191170">
                    <w:rPr>
                      <w:rFonts w:cs="Arial"/>
                      <w:szCs w:val="20"/>
                      <w:lang w:val="sl-SI"/>
                    </w:rPr>
                    <w:t>2.279.267</w:t>
                  </w:r>
                </w:p>
              </w:tc>
            </w:tr>
            <w:tr w:rsidR="0037793C" w:rsidRPr="00191170" w14:paraId="6A1D0C5B" w14:textId="77777777" w:rsidTr="001642C7">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1314" w:type="pct"/>
                  <w:vAlign w:val="center"/>
                </w:tcPr>
                <w:p w14:paraId="3A7BF6D1" w14:textId="77777777" w:rsidR="00191170" w:rsidRPr="00191170" w:rsidRDefault="00191170" w:rsidP="003C08F2">
                  <w:pPr>
                    <w:spacing w:line="240" w:lineRule="auto"/>
                    <w:jc w:val="both"/>
                    <w:rPr>
                      <w:rFonts w:cs="Arial"/>
                      <w:szCs w:val="20"/>
                      <w:lang w:val="sl-SI"/>
                    </w:rPr>
                  </w:pPr>
                  <w:r w:rsidRPr="00191170">
                    <w:rPr>
                      <w:rFonts w:cs="Arial"/>
                      <w:szCs w:val="20"/>
                      <w:lang w:val="sl-SI"/>
                    </w:rPr>
                    <w:t>2024</w:t>
                  </w:r>
                </w:p>
              </w:tc>
              <w:tc>
                <w:tcPr>
                  <w:tcW w:w="1841" w:type="pct"/>
                  <w:vAlign w:val="center"/>
                </w:tcPr>
                <w:p w14:paraId="40B8869E" w14:textId="77777777" w:rsidR="00191170" w:rsidRPr="00191170" w:rsidRDefault="00191170" w:rsidP="001642C7">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lang w:val="sl-SI"/>
                    </w:rPr>
                  </w:pPr>
                  <w:r w:rsidRPr="00191170">
                    <w:rPr>
                      <w:rFonts w:cs="Arial"/>
                      <w:szCs w:val="20"/>
                      <w:lang w:val="sl-SI"/>
                    </w:rPr>
                    <w:t>1.200</w:t>
                  </w:r>
                </w:p>
              </w:tc>
              <w:tc>
                <w:tcPr>
                  <w:tcW w:w="1845" w:type="pct"/>
                  <w:vAlign w:val="center"/>
                </w:tcPr>
                <w:p w14:paraId="02113B50" w14:textId="77777777" w:rsidR="00191170" w:rsidRPr="00191170" w:rsidRDefault="00191170" w:rsidP="001642C7">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lang w:val="sl-SI"/>
                    </w:rPr>
                  </w:pPr>
                  <w:r w:rsidRPr="00191170">
                    <w:rPr>
                      <w:rFonts w:cs="Arial"/>
                      <w:szCs w:val="20"/>
                      <w:lang w:val="sl-SI"/>
                    </w:rPr>
                    <w:t>2.167.875</w:t>
                  </w:r>
                </w:p>
              </w:tc>
            </w:tr>
            <w:tr w:rsidR="0037793C" w:rsidRPr="00191170" w14:paraId="3DA53255" w14:textId="77777777" w:rsidTr="001642C7">
              <w:trPr>
                <w:trHeight w:val="262"/>
                <w:jc w:val="center"/>
              </w:trPr>
              <w:tc>
                <w:tcPr>
                  <w:cnfStyle w:val="001000000000" w:firstRow="0" w:lastRow="0" w:firstColumn="1" w:lastColumn="0" w:oddVBand="0" w:evenVBand="0" w:oddHBand="0" w:evenHBand="0" w:firstRowFirstColumn="0" w:firstRowLastColumn="0" w:lastRowFirstColumn="0" w:lastRowLastColumn="0"/>
                  <w:tcW w:w="1314" w:type="pct"/>
                  <w:vAlign w:val="center"/>
                </w:tcPr>
                <w:p w14:paraId="776FE3E9" w14:textId="77777777" w:rsidR="00191170" w:rsidRPr="00191170" w:rsidRDefault="00191170" w:rsidP="003C08F2">
                  <w:pPr>
                    <w:spacing w:line="240" w:lineRule="auto"/>
                    <w:jc w:val="both"/>
                    <w:rPr>
                      <w:rFonts w:cs="Arial"/>
                      <w:szCs w:val="20"/>
                      <w:lang w:val="sl-SI"/>
                    </w:rPr>
                  </w:pPr>
                  <w:r w:rsidRPr="00191170">
                    <w:rPr>
                      <w:rFonts w:cs="Arial"/>
                      <w:szCs w:val="20"/>
                      <w:lang w:val="sl-SI"/>
                    </w:rPr>
                    <w:t>SKUPAJ</w:t>
                  </w:r>
                </w:p>
              </w:tc>
              <w:tc>
                <w:tcPr>
                  <w:tcW w:w="1841" w:type="pct"/>
                  <w:vAlign w:val="center"/>
                </w:tcPr>
                <w:p w14:paraId="1A876539" w14:textId="77777777" w:rsidR="00191170" w:rsidRPr="00191170" w:rsidRDefault="00191170" w:rsidP="001642C7">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lang w:val="sl-SI"/>
                    </w:rPr>
                  </w:pPr>
                  <w:r w:rsidRPr="00191170">
                    <w:rPr>
                      <w:rFonts w:cs="Arial"/>
                      <w:szCs w:val="20"/>
                      <w:lang w:val="sl-SI"/>
                    </w:rPr>
                    <w:t>13.807</w:t>
                  </w:r>
                </w:p>
              </w:tc>
              <w:tc>
                <w:tcPr>
                  <w:tcW w:w="1845" w:type="pct"/>
                  <w:vAlign w:val="center"/>
                </w:tcPr>
                <w:p w14:paraId="5742EDAF" w14:textId="77777777" w:rsidR="00191170" w:rsidRPr="00191170" w:rsidRDefault="00191170" w:rsidP="001642C7">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lang w:val="sl-SI"/>
                    </w:rPr>
                  </w:pPr>
                  <w:r w:rsidRPr="00191170">
                    <w:rPr>
                      <w:rFonts w:cs="Arial"/>
                      <w:szCs w:val="20"/>
                      <w:lang w:val="sl-SI"/>
                    </w:rPr>
                    <w:t>31.866.656</w:t>
                  </w:r>
                </w:p>
              </w:tc>
            </w:tr>
            <w:bookmarkEnd w:id="14"/>
          </w:tbl>
          <w:p w14:paraId="63F75E48" w14:textId="77777777" w:rsidR="001642C7" w:rsidRDefault="001642C7" w:rsidP="0037793C">
            <w:pPr>
              <w:spacing w:line="240" w:lineRule="auto"/>
              <w:jc w:val="center"/>
              <w:rPr>
                <w:rFonts w:cs="Arial"/>
                <w:sz w:val="18"/>
                <w:szCs w:val="18"/>
              </w:rPr>
            </w:pPr>
          </w:p>
          <w:p w14:paraId="0588C5F8" w14:textId="6B6D8795" w:rsidR="00191170" w:rsidRPr="00191170" w:rsidRDefault="0037793C" w:rsidP="0037793C">
            <w:pPr>
              <w:spacing w:line="240" w:lineRule="auto"/>
              <w:jc w:val="center"/>
              <w:rPr>
                <w:rFonts w:cs="Arial"/>
                <w:szCs w:val="20"/>
              </w:rPr>
            </w:pPr>
            <w:r w:rsidRPr="00871993">
              <w:rPr>
                <w:rFonts w:cs="Arial"/>
                <w:sz w:val="18"/>
                <w:szCs w:val="18"/>
              </w:rPr>
              <w:t>Vir: Modra zavarovalnica</w:t>
            </w:r>
          </w:p>
          <w:p w14:paraId="6B1F5B76" w14:textId="77777777" w:rsidR="00191170" w:rsidRPr="00191170" w:rsidRDefault="00191170" w:rsidP="003C08F2">
            <w:pPr>
              <w:spacing w:line="240" w:lineRule="auto"/>
              <w:jc w:val="both"/>
              <w:rPr>
                <w:rFonts w:cs="Arial"/>
                <w:szCs w:val="20"/>
              </w:rPr>
            </w:pPr>
          </w:p>
          <w:p w14:paraId="26EEAD77" w14:textId="7134A240" w:rsidR="00191170" w:rsidRPr="0037793C" w:rsidRDefault="004D22B8" w:rsidP="003C08F2">
            <w:pPr>
              <w:spacing w:line="240" w:lineRule="auto"/>
              <w:jc w:val="both"/>
              <w:rPr>
                <w:rFonts w:cs="Arial"/>
                <w:sz w:val="18"/>
                <w:szCs w:val="18"/>
              </w:rPr>
            </w:pPr>
            <w:r>
              <w:rPr>
                <w:rFonts w:cs="Arial"/>
                <w:b/>
                <w:bCs/>
                <w:sz w:val="18"/>
                <w:szCs w:val="18"/>
              </w:rPr>
              <w:t>Preglednic</w:t>
            </w:r>
            <w:r w:rsidR="00191170" w:rsidRPr="00191170">
              <w:rPr>
                <w:rFonts w:cs="Arial"/>
                <w:b/>
                <w:bCs/>
                <w:sz w:val="18"/>
                <w:szCs w:val="18"/>
              </w:rPr>
              <w:t xml:space="preserve">a </w:t>
            </w:r>
            <w:r w:rsidR="00191170" w:rsidRPr="00191170">
              <w:rPr>
                <w:rFonts w:cs="Arial"/>
                <w:b/>
                <w:bCs/>
                <w:sz w:val="18"/>
                <w:szCs w:val="18"/>
              </w:rPr>
              <w:fldChar w:fldCharType="begin"/>
            </w:r>
            <w:r w:rsidR="00191170" w:rsidRPr="00191170">
              <w:rPr>
                <w:rFonts w:cs="Arial"/>
                <w:b/>
                <w:bCs/>
                <w:sz w:val="18"/>
                <w:szCs w:val="18"/>
              </w:rPr>
              <w:instrText xml:space="preserve"> SEQ Tabela \* ARABIC </w:instrText>
            </w:r>
            <w:r w:rsidR="00191170" w:rsidRPr="00191170">
              <w:rPr>
                <w:rFonts w:cs="Arial"/>
                <w:b/>
                <w:bCs/>
                <w:sz w:val="18"/>
                <w:szCs w:val="18"/>
              </w:rPr>
              <w:fldChar w:fldCharType="separate"/>
            </w:r>
            <w:r w:rsidR="00191170" w:rsidRPr="00191170">
              <w:rPr>
                <w:rFonts w:cs="Arial"/>
                <w:b/>
                <w:bCs/>
                <w:sz w:val="18"/>
                <w:szCs w:val="18"/>
              </w:rPr>
              <w:t>8</w:t>
            </w:r>
            <w:r w:rsidR="00191170" w:rsidRPr="00191170">
              <w:rPr>
                <w:rFonts w:cs="Arial"/>
                <w:b/>
                <w:bCs/>
                <w:sz w:val="18"/>
                <w:szCs w:val="18"/>
              </w:rPr>
              <w:fldChar w:fldCharType="end"/>
            </w:r>
            <w:r w:rsidR="00191170" w:rsidRPr="00191170">
              <w:rPr>
                <w:rFonts w:cs="Arial"/>
                <w:sz w:val="18"/>
                <w:szCs w:val="18"/>
              </w:rPr>
              <w:t>: S</w:t>
            </w:r>
            <w:r w:rsidR="007F73CA">
              <w:rPr>
                <w:rFonts w:cs="Arial"/>
                <w:sz w:val="18"/>
                <w:szCs w:val="18"/>
              </w:rPr>
              <w:t>estav</w:t>
            </w:r>
            <w:r w:rsidR="00191170" w:rsidRPr="00191170">
              <w:rPr>
                <w:rFonts w:cs="Arial"/>
                <w:sz w:val="18"/>
                <w:szCs w:val="18"/>
              </w:rPr>
              <w:t>a zavarovancev KS PPS po starosti na dan 28.</w:t>
            </w:r>
            <w:r w:rsidR="00D83366">
              <w:rPr>
                <w:rFonts w:cs="Arial"/>
                <w:sz w:val="18"/>
                <w:szCs w:val="18"/>
              </w:rPr>
              <w:t> </w:t>
            </w:r>
            <w:r w:rsidR="00191170" w:rsidRPr="00191170">
              <w:rPr>
                <w:rFonts w:cs="Arial"/>
                <w:sz w:val="18"/>
                <w:szCs w:val="18"/>
              </w:rPr>
              <w:t>2.</w:t>
            </w:r>
            <w:r w:rsidR="00D83366">
              <w:rPr>
                <w:rFonts w:cs="Arial"/>
                <w:sz w:val="18"/>
                <w:szCs w:val="18"/>
              </w:rPr>
              <w:t> </w:t>
            </w:r>
            <w:r w:rsidR="00191170" w:rsidRPr="00191170">
              <w:rPr>
                <w:rFonts w:cs="Arial"/>
                <w:sz w:val="18"/>
                <w:szCs w:val="18"/>
              </w:rPr>
              <w:t>2025</w:t>
            </w:r>
          </w:p>
          <w:p w14:paraId="3C3ED30F" w14:textId="77777777" w:rsidR="0037793C" w:rsidRPr="00191170" w:rsidRDefault="0037793C" w:rsidP="003C08F2">
            <w:pPr>
              <w:spacing w:line="240" w:lineRule="auto"/>
              <w:jc w:val="both"/>
              <w:rPr>
                <w:rFonts w:cs="Arial"/>
                <w:szCs w:val="20"/>
              </w:rPr>
            </w:pPr>
          </w:p>
          <w:tbl>
            <w:tblPr>
              <w:tblStyle w:val="Tabelaseznam3poudarek11"/>
              <w:tblW w:w="3972" w:type="pct"/>
              <w:jc w:val="center"/>
              <w:tblLook w:val="04A0" w:firstRow="1" w:lastRow="0" w:firstColumn="1" w:lastColumn="0" w:noHBand="0" w:noVBand="1"/>
            </w:tblPr>
            <w:tblGrid>
              <w:gridCol w:w="2338"/>
              <w:gridCol w:w="2408"/>
              <w:gridCol w:w="1239"/>
              <w:gridCol w:w="1239"/>
            </w:tblGrid>
            <w:tr w:rsidR="00191170" w:rsidRPr="003C08F2" w14:paraId="056C50E7" w14:textId="77777777" w:rsidTr="003D0A2A">
              <w:trPr>
                <w:cnfStyle w:val="100000000000" w:firstRow="1" w:lastRow="0" w:firstColumn="0" w:lastColumn="0" w:oddVBand="0" w:evenVBand="0" w:oddHBand="0" w:evenHBand="0" w:firstRowFirstColumn="0" w:firstRowLastColumn="0" w:lastRowFirstColumn="0" w:lastRowLastColumn="0"/>
                <w:trHeight w:val="324"/>
                <w:jc w:val="center"/>
              </w:trPr>
              <w:tc>
                <w:tcPr>
                  <w:cnfStyle w:val="001000000100" w:firstRow="0" w:lastRow="0" w:firstColumn="1" w:lastColumn="0" w:oddVBand="0" w:evenVBand="0" w:oddHBand="0" w:evenHBand="0" w:firstRowFirstColumn="1" w:firstRowLastColumn="0" w:lastRowFirstColumn="0" w:lastRowLastColumn="0"/>
                  <w:tcW w:w="1116" w:type="pct"/>
                  <w:vAlign w:val="center"/>
                </w:tcPr>
                <w:p w14:paraId="2D81709E" w14:textId="77777777" w:rsidR="00191170" w:rsidRPr="00191170" w:rsidRDefault="00191170" w:rsidP="003C08F2">
                  <w:pPr>
                    <w:spacing w:line="240" w:lineRule="auto"/>
                    <w:jc w:val="both"/>
                    <w:rPr>
                      <w:rFonts w:cs="Arial"/>
                      <w:color w:val="auto"/>
                      <w:szCs w:val="20"/>
                    </w:rPr>
                  </w:pPr>
                  <w:r w:rsidRPr="00191170">
                    <w:rPr>
                      <w:rFonts w:cs="Arial"/>
                      <w:color w:val="auto"/>
                      <w:szCs w:val="20"/>
                    </w:rPr>
                    <w:t>Starost</w:t>
                  </w:r>
                </w:p>
              </w:tc>
              <w:tc>
                <w:tcPr>
                  <w:tcW w:w="1138" w:type="pct"/>
                  <w:vAlign w:val="center"/>
                </w:tcPr>
                <w:p w14:paraId="59CA34B0" w14:textId="77777777" w:rsidR="00191170" w:rsidRPr="00191170" w:rsidRDefault="00191170" w:rsidP="003C08F2">
                  <w:pPr>
                    <w:spacing w:line="240" w:lineRule="auto"/>
                    <w:jc w:val="both"/>
                    <w:cnfStyle w:val="100000000000" w:firstRow="1" w:lastRow="0" w:firstColumn="0" w:lastColumn="0" w:oddVBand="0" w:evenVBand="0" w:oddHBand="0" w:evenHBand="0" w:firstRowFirstColumn="0" w:firstRowLastColumn="0" w:lastRowFirstColumn="0" w:lastRowLastColumn="0"/>
                    <w:rPr>
                      <w:rFonts w:cs="Arial"/>
                      <w:color w:val="auto"/>
                      <w:szCs w:val="20"/>
                    </w:rPr>
                  </w:pPr>
                  <w:proofErr w:type="spellStart"/>
                  <w:r w:rsidRPr="00191170">
                    <w:rPr>
                      <w:rFonts w:cs="Arial"/>
                      <w:color w:val="auto"/>
                      <w:szCs w:val="20"/>
                    </w:rPr>
                    <w:t>Št</w:t>
                  </w:r>
                  <w:proofErr w:type="spellEnd"/>
                  <w:r w:rsidRPr="00191170">
                    <w:rPr>
                      <w:rFonts w:cs="Arial"/>
                      <w:color w:val="auto"/>
                      <w:szCs w:val="20"/>
                    </w:rPr>
                    <w:t xml:space="preserve">. </w:t>
                  </w:r>
                  <w:proofErr w:type="spellStart"/>
                  <w:r w:rsidRPr="00191170">
                    <w:rPr>
                      <w:rFonts w:cs="Arial"/>
                      <w:color w:val="auto"/>
                      <w:szCs w:val="20"/>
                    </w:rPr>
                    <w:t>zavarovancev</w:t>
                  </w:r>
                  <w:proofErr w:type="spellEnd"/>
                </w:p>
              </w:tc>
              <w:tc>
                <w:tcPr>
                  <w:tcW w:w="0" w:type="pct"/>
                  <w:tcBorders>
                    <w:right w:val="single" w:sz="4" w:space="0" w:color="0061CF"/>
                  </w:tcBorders>
                  <w:vAlign w:val="center"/>
                </w:tcPr>
                <w:p w14:paraId="3D54353B" w14:textId="77777777" w:rsidR="00191170" w:rsidRPr="00191170" w:rsidRDefault="00191170" w:rsidP="003C08F2">
                  <w:pPr>
                    <w:spacing w:line="240" w:lineRule="auto"/>
                    <w:jc w:val="both"/>
                    <w:cnfStyle w:val="100000000000" w:firstRow="1" w:lastRow="0" w:firstColumn="0" w:lastColumn="0" w:oddVBand="0" w:evenVBand="0" w:oddHBand="0" w:evenHBand="0" w:firstRowFirstColumn="0" w:firstRowLastColumn="0" w:lastRowFirstColumn="0" w:lastRowLastColumn="0"/>
                    <w:rPr>
                      <w:rFonts w:cs="Arial"/>
                      <w:color w:val="auto"/>
                      <w:szCs w:val="20"/>
                    </w:rPr>
                  </w:pPr>
                  <w:proofErr w:type="spellStart"/>
                  <w:r w:rsidRPr="00191170">
                    <w:rPr>
                      <w:rFonts w:cs="Arial"/>
                      <w:color w:val="auto"/>
                      <w:szCs w:val="20"/>
                    </w:rPr>
                    <w:t>Povprečna</w:t>
                  </w:r>
                  <w:proofErr w:type="spellEnd"/>
                  <w:r w:rsidRPr="00191170">
                    <w:rPr>
                      <w:rFonts w:cs="Arial"/>
                      <w:color w:val="auto"/>
                      <w:szCs w:val="20"/>
                    </w:rPr>
                    <w:t xml:space="preserve"> </w:t>
                  </w:r>
                  <w:proofErr w:type="spellStart"/>
                  <w:r w:rsidRPr="00191170">
                    <w:rPr>
                      <w:rFonts w:cs="Arial"/>
                      <w:color w:val="auto"/>
                      <w:szCs w:val="20"/>
                    </w:rPr>
                    <w:t>vrednost</w:t>
                  </w:r>
                  <w:proofErr w:type="spellEnd"/>
                  <w:r w:rsidRPr="00191170">
                    <w:rPr>
                      <w:rFonts w:cs="Arial"/>
                      <w:color w:val="auto"/>
                      <w:szCs w:val="20"/>
                    </w:rPr>
                    <w:t xml:space="preserve"> MR v EUR</w:t>
                  </w:r>
                </w:p>
              </w:tc>
              <w:tc>
                <w:tcPr>
                  <w:tcW w:w="0" w:type="pct"/>
                  <w:tcBorders>
                    <w:right w:val="single" w:sz="4" w:space="0" w:color="0061CF"/>
                  </w:tcBorders>
                  <w:vAlign w:val="center"/>
                </w:tcPr>
                <w:p w14:paraId="628AE47C" w14:textId="77777777" w:rsidR="00191170" w:rsidRPr="00191170" w:rsidRDefault="00191170" w:rsidP="003C08F2">
                  <w:pPr>
                    <w:spacing w:line="240" w:lineRule="auto"/>
                    <w:jc w:val="both"/>
                    <w:cnfStyle w:val="100000000000" w:firstRow="1" w:lastRow="0" w:firstColumn="0" w:lastColumn="0" w:oddVBand="0" w:evenVBand="0" w:oddHBand="0" w:evenHBand="0" w:firstRowFirstColumn="0" w:firstRowLastColumn="0" w:lastRowFirstColumn="0" w:lastRowLastColumn="0"/>
                    <w:rPr>
                      <w:rFonts w:cs="Arial"/>
                      <w:color w:val="auto"/>
                      <w:szCs w:val="20"/>
                    </w:rPr>
                  </w:pPr>
                  <w:proofErr w:type="spellStart"/>
                  <w:r w:rsidRPr="00191170">
                    <w:rPr>
                      <w:rFonts w:cs="Arial"/>
                      <w:color w:val="auto"/>
                      <w:szCs w:val="20"/>
                    </w:rPr>
                    <w:t>Povprečna</w:t>
                  </w:r>
                  <w:proofErr w:type="spellEnd"/>
                  <w:r w:rsidRPr="00191170">
                    <w:rPr>
                      <w:rFonts w:cs="Arial"/>
                      <w:color w:val="auto"/>
                      <w:szCs w:val="20"/>
                    </w:rPr>
                    <w:t xml:space="preserve"> </w:t>
                  </w:r>
                  <w:proofErr w:type="spellStart"/>
                  <w:r w:rsidRPr="00191170">
                    <w:rPr>
                      <w:rFonts w:cs="Arial"/>
                      <w:color w:val="auto"/>
                      <w:szCs w:val="20"/>
                    </w:rPr>
                    <w:t>renta</w:t>
                  </w:r>
                  <w:proofErr w:type="spellEnd"/>
                  <w:r w:rsidRPr="00191170">
                    <w:rPr>
                      <w:rFonts w:cs="Arial"/>
                      <w:color w:val="auto"/>
                      <w:szCs w:val="20"/>
                    </w:rPr>
                    <w:t xml:space="preserve"> v EUR</w:t>
                  </w:r>
                </w:p>
              </w:tc>
            </w:tr>
            <w:tr w:rsidR="00191170" w:rsidRPr="003C08F2" w14:paraId="5FB174A9" w14:textId="77777777" w:rsidTr="003D0A2A">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116" w:type="pct"/>
                  <w:vAlign w:val="center"/>
                </w:tcPr>
                <w:p w14:paraId="276857F4" w14:textId="14BE2116" w:rsidR="00191170" w:rsidRPr="00191170" w:rsidRDefault="00D83366" w:rsidP="003C08F2">
                  <w:pPr>
                    <w:spacing w:line="240" w:lineRule="auto"/>
                    <w:jc w:val="both"/>
                    <w:rPr>
                      <w:rFonts w:cs="Arial"/>
                      <w:szCs w:val="20"/>
                    </w:rPr>
                  </w:pPr>
                  <w:r>
                    <w:rPr>
                      <w:rFonts w:cs="Arial"/>
                      <w:szCs w:val="20"/>
                    </w:rPr>
                    <w:t xml:space="preserve">od </w:t>
                  </w:r>
                  <w:r w:rsidR="00191170" w:rsidRPr="00191170">
                    <w:rPr>
                      <w:rFonts w:cs="Arial"/>
                      <w:szCs w:val="20"/>
                    </w:rPr>
                    <w:t xml:space="preserve">60 do 70 let </w:t>
                  </w:r>
                </w:p>
              </w:tc>
              <w:tc>
                <w:tcPr>
                  <w:tcW w:w="1138" w:type="pct"/>
                  <w:tcBorders>
                    <w:top w:val="single" w:sz="8" w:space="0" w:color="0061CF"/>
                    <w:left w:val="nil"/>
                    <w:bottom w:val="single" w:sz="8" w:space="0" w:color="0061CF"/>
                    <w:right w:val="nil"/>
                  </w:tcBorders>
                  <w:shd w:val="clear" w:color="auto" w:fill="auto"/>
                  <w:vAlign w:val="center"/>
                </w:tcPr>
                <w:p w14:paraId="690301A8" w14:textId="77777777" w:rsidR="00191170" w:rsidRPr="00191170" w:rsidRDefault="00191170" w:rsidP="001642C7">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1.881</w:t>
                  </w:r>
                </w:p>
              </w:tc>
              <w:tc>
                <w:tcPr>
                  <w:tcW w:w="0" w:type="pct"/>
                  <w:tcBorders>
                    <w:top w:val="single" w:sz="8" w:space="0" w:color="0061CF"/>
                    <w:left w:val="nil"/>
                    <w:bottom w:val="single" w:sz="8" w:space="0" w:color="0061CF"/>
                    <w:right w:val="nil"/>
                  </w:tcBorders>
                  <w:shd w:val="clear" w:color="auto" w:fill="auto"/>
                  <w:vAlign w:val="center"/>
                </w:tcPr>
                <w:p w14:paraId="336377F4" w14:textId="77777777" w:rsidR="00191170" w:rsidRPr="00191170" w:rsidRDefault="00191170" w:rsidP="001642C7">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11.240</w:t>
                  </w:r>
                </w:p>
              </w:tc>
              <w:tc>
                <w:tcPr>
                  <w:tcW w:w="0" w:type="pct"/>
                  <w:tcBorders>
                    <w:top w:val="single" w:sz="8" w:space="0" w:color="0061CF"/>
                    <w:left w:val="nil"/>
                    <w:bottom w:val="single" w:sz="8" w:space="0" w:color="0061CF"/>
                    <w:right w:val="single" w:sz="8" w:space="0" w:color="0061CF"/>
                  </w:tcBorders>
                  <w:shd w:val="clear" w:color="auto" w:fill="auto"/>
                  <w:vAlign w:val="center"/>
                </w:tcPr>
                <w:p w14:paraId="09FD9107" w14:textId="77777777" w:rsidR="00191170" w:rsidRPr="00191170" w:rsidRDefault="00191170" w:rsidP="001642C7">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100</w:t>
                  </w:r>
                </w:p>
              </w:tc>
            </w:tr>
            <w:tr w:rsidR="00191170" w:rsidRPr="003C08F2" w14:paraId="77D23716" w14:textId="77777777" w:rsidTr="003D0A2A">
              <w:trPr>
                <w:trHeight w:val="268"/>
                <w:jc w:val="center"/>
              </w:trPr>
              <w:tc>
                <w:tcPr>
                  <w:cnfStyle w:val="001000000000" w:firstRow="0" w:lastRow="0" w:firstColumn="1" w:lastColumn="0" w:oddVBand="0" w:evenVBand="0" w:oddHBand="0" w:evenHBand="0" w:firstRowFirstColumn="0" w:firstRowLastColumn="0" w:lastRowFirstColumn="0" w:lastRowLastColumn="0"/>
                  <w:tcW w:w="1116" w:type="pct"/>
                  <w:vAlign w:val="center"/>
                </w:tcPr>
                <w:p w14:paraId="35D55D4C" w14:textId="0178E910" w:rsidR="00191170" w:rsidRPr="00191170" w:rsidRDefault="00D83366" w:rsidP="003C08F2">
                  <w:pPr>
                    <w:spacing w:line="240" w:lineRule="auto"/>
                    <w:jc w:val="both"/>
                    <w:rPr>
                      <w:rFonts w:cs="Arial"/>
                      <w:szCs w:val="20"/>
                    </w:rPr>
                  </w:pPr>
                  <w:r>
                    <w:rPr>
                      <w:rFonts w:cs="Arial"/>
                      <w:szCs w:val="20"/>
                    </w:rPr>
                    <w:t xml:space="preserve">od </w:t>
                  </w:r>
                  <w:r w:rsidR="00191170" w:rsidRPr="00191170">
                    <w:rPr>
                      <w:rFonts w:cs="Arial"/>
                      <w:szCs w:val="20"/>
                    </w:rPr>
                    <w:t xml:space="preserve">71 do 80 let </w:t>
                  </w:r>
                </w:p>
              </w:tc>
              <w:tc>
                <w:tcPr>
                  <w:tcW w:w="1138" w:type="pct"/>
                  <w:tcBorders>
                    <w:top w:val="nil"/>
                    <w:left w:val="nil"/>
                    <w:bottom w:val="nil"/>
                    <w:right w:val="nil"/>
                  </w:tcBorders>
                  <w:shd w:val="clear" w:color="auto" w:fill="auto"/>
                  <w:vAlign w:val="center"/>
                </w:tcPr>
                <w:p w14:paraId="556907A5" w14:textId="77777777" w:rsidR="00191170" w:rsidRPr="00191170" w:rsidRDefault="00191170" w:rsidP="001642C7">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4.380</w:t>
                  </w:r>
                </w:p>
              </w:tc>
              <w:tc>
                <w:tcPr>
                  <w:tcW w:w="0" w:type="pct"/>
                  <w:tcBorders>
                    <w:top w:val="nil"/>
                    <w:left w:val="nil"/>
                    <w:bottom w:val="nil"/>
                    <w:right w:val="nil"/>
                  </w:tcBorders>
                  <w:shd w:val="clear" w:color="auto" w:fill="auto"/>
                  <w:vAlign w:val="center"/>
                </w:tcPr>
                <w:p w14:paraId="39573961" w14:textId="77777777" w:rsidR="00191170" w:rsidRPr="00191170" w:rsidRDefault="00191170" w:rsidP="001642C7">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10.459</w:t>
                  </w:r>
                </w:p>
              </w:tc>
              <w:tc>
                <w:tcPr>
                  <w:tcW w:w="0" w:type="pct"/>
                  <w:tcBorders>
                    <w:top w:val="nil"/>
                    <w:left w:val="nil"/>
                    <w:bottom w:val="nil"/>
                    <w:right w:val="single" w:sz="8" w:space="0" w:color="0061CF"/>
                  </w:tcBorders>
                  <w:shd w:val="clear" w:color="auto" w:fill="auto"/>
                  <w:vAlign w:val="center"/>
                </w:tcPr>
                <w:p w14:paraId="6241226A" w14:textId="77777777" w:rsidR="00191170" w:rsidRPr="00191170" w:rsidRDefault="00191170" w:rsidP="001642C7">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79</w:t>
                  </w:r>
                </w:p>
              </w:tc>
            </w:tr>
            <w:tr w:rsidR="00191170" w:rsidRPr="003C08F2" w14:paraId="769E87B7" w14:textId="77777777" w:rsidTr="003D0A2A">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116" w:type="pct"/>
                  <w:vAlign w:val="center"/>
                </w:tcPr>
                <w:p w14:paraId="56984D7D" w14:textId="2D882356" w:rsidR="00191170" w:rsidRPr="00191170" w:rsidRDefault="00D83366" w:rsidP="003C08F2">
                  <w:pPr>
                    <w:spacing w:line="240" w:lineRule="auto"/>
                    <w:jc w:val="both"/>
                    <w:rPr>
                      <w:rFonts w:cs="Arial"/>
                      <w:szCs w:val="20"/>
                    </w:rPr>
                  </w:pPr>
                  <w:r>
                    <w:rPr>
                      <w:rFonts w:cs="Arial"/>
                      <w:szCs w:val="20"/>
                    </w:rPr>
                    <w:t xml:space="preserve">od </w:t>
                  </w:r>
                  <w:r w:rsidR="00191170" w:rsidRPr="00191170">
                    <w:rPr>
                      <w:rFonts w:cs="Arial"/>
                      <w:szCs w:val="20"/>
                    </w:rPr>
                    <w:t xml:space="preserve">81 do 90 let </w:t>
                  </w:r>
                </w:p>
              </w:tc>
              <w:tc>
                <w:tcPr>
                  <w:tcW w:w="1138" w:type="pct"/>
                  <w:tcBorders>
                    <w:top w:val="single" w:sz="8" w:space="0" w:color="0061CF"/>
                    <w:left w:val="nil"/>
                    <w:bottom w:val="single" w:sz="8" w:space="0" w:color="0061CF"/>
                    <w:right w:val="nil"/>
                  </w:tcBorders>
                  <w:shd w:val="clear" w:color="auto" w:fill="auto"/>
                  <w:vAlign w:val="center"/>
                </w:tcPr>
                <w:p w14:paraId="2BE1900D" w14:textId="77777777" w:rsidR="00191170" w:rsidRPr="00191170" w:rsidRDefault="00191170" w:rsidP="001642C7">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3.019</w:t>
                  </w:r>
                </w:p>
              </w:tc>
              <w:tc>
                <w:tcPr>
                  <w:tcW w:w="0" w:type="pct"/>
                  <w:tcBorders>
                    <w:top w:val="single" w:sz="8" w:space="0" w:color="0061CF"/>
                    <w:left w:val="nil"/>
                    <w:bottom w:val="single" w:sz="8" w:space="0" w:color="0061CF"/>
                    <w:right w:val="nil"/>
                  </w:tcBorders>
                  <w:shd w:val="clear" w:color="auto" w:fill="auto"/>
                  <w:vAlign w:val="center"/>
                </w:tcPr>
                <w:p w14:paraId="075FFBD2" w14:textId="77777777" w:rsidR="00191170" w:rsidRPr="00191170" w:rsidRDefault="00191170" w:rsidP="001642C7">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6.754</w:t>
                  </w:r>
                </w:p>
              </w:tc>
              <w:tc>
                <w:tcPr>
                  <w:tcW w:w="0" w:type="pct"/>
                  <w:tcBorders>
                    <w:top w:val="single" w:sz="8" w:space="0" w:color="0061CF"/>
                    <w:left w:val="nil"/>
                    <w:bottom w:val="single" w:sz="8" w:space="0" w:color="0061CF"/>
                    <w:right w:val="single" w:sz="8" w:space="0" w:color="0061CF"/>
                  </w:tcBorders>
                  <w:shd w:val="clear" w:color="auto" w:fill="auto"/>
                  <w:vAlign w:val="center"/>
                </w:tcPr>
                <w:p w14:paraId="084C6A81" w14:textId="77777777" w:rsidR="00191170" w:rsidRPr="00191170" w:rsidRDefault="00191170" w:rsidP="001642C7">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69</w:t>
                  </w:r>
                </w:p>
              </w:tc>
            </w:tr>
            <w:tr w:rsidR="00191170" w:rsidRPr="003C08F2" w14:paraId="572D1606" w14:textId="77777777" w:rsidTr="003D0A2A">
              <w:trPr>
                <w:trHeight w:val="248"/>
                <w:jc w:val="center"/>
              </w:trPr>
              <w:tc>
                <w:tcPr>
                  <w:cnfStyle w:val="001000000000" w:firstRow="0" w:lastRow="0" w:firstColumn="1" w:lastColumn="0" w:oddVBand="0" w:evenVBand="0" w:oddHBand="0" w:evenHBand="0" w:firstRowFirstColumn="0" w:firstRowLastColumn="0" w:lastRowFirstColumn="0" w:lastRowLastColumn="0"/>
                  <w:tcW w:w="1116" w:type="pct"/>
                  <w:vAlign w:val="center"/>
                </w:tcPr>
                <w:p w14:paraId="3AC961CE" w14:textId="676B2F2A" w:rsidR="00191170" w:rsidRPr="00191170" w:rsidRDefault="00D83366" w:rsidP="00D83366">
                  <w:pPr>
                    <w:spacing w:line="240" w:lineRule="auto"/>
                    <w:jc w:val="both"/>
                    <w:rPr>
                      <w:rFonts w:cs="Arial"/>
                      <w:szCs w:val="20"/>
                    </w:rPr>
                  </w:pPr>
                  <w:proofErr w:type="spellStart"/>
                  <w:r>
                    <w:rPr>
                      <w:rFonts w:cs="Arial"/>
                      <w:szCs w:val="20"/>
                    </w:rPr>
                    <w:t>na</w:t>
                  </w:r>
                  <w:r w:rsidR="00191170" w:rsidRPr="00191170">
                    <w:rPr>
                      <w:rFonts w:cs="Arial"/>
                      <w:szCs w:val="20"/>
                    </w:rPr>
                    <w:t>d</w:t>
                  </w:r>
                  <w:proofErr w:type="spellEnd"/>
                  <w:r w:rsidR="00191170" w:rsidRPr="00191170">
                    <w:rPr>
                      <w:rFonts w:cs="Arial"/>
                      <w:szCs w:val="20"/>
                    </w:rPr>
                    <w:t xml:space="preserve"> 91 </w:t>
                  </w:r>
                  <w:r>
                    <w:rPr>
                      <w:rFonts w:cs="Arial"/>
                      <w:szCs w:val="20"/>
                    </w:rPr>
                    <w:t>let</w:t>
                  </w:r>
                </w:p>
              </w:tc>
              <w:tc>
                <w:tcPr>
                  <w:tcW w:w="1138" w:type="pct"/>
                  <w:tcBorders>
                    <w:top w:val="nil"/>
                    <w:left w:val="nil"/>
                    <w:bottom w:val="nil"/>
                    <w:right w:val="nil"/>
                  </w:tcBorders>
                  <w:shd w:val="clear" w:color="auto" w:fill="auto"/>
                  <w:vAlign w:val="center"/>
                </w:tcPr>
                <w:p w14:paraId="5AB9EC15" w14:textId="77777777" w:rsidR="00191170" w:rsidRPr="00191170" w:rsidRDefault="00191170" w:rsidP="001642C7">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231</w:t>
                  </w:r>
                </w:p>
              </w:tc>
              <w:tc>
                <w:tcPr>
                  <w:tcW w:w="0" w:type="pct"/>
                  <w:tcBorders>
                    <w:top w:val="nil"/>
                    <w:left w:val="nil"/>
                    <w:bottom w:val="nil"/>
                    <w:right w:val="nil"/>
                  </w:tcBorders>
                  <w:shd w:val="clear" w:color="auto" w:fill="auto"/>
                  <w:vAlign w:val="center"/>
                </w:tcPr>
                <w:p w14:paraId="29A2D013" w14:textId="77777777" w:rsidR="00191170" w:rsidRPr="00191170" w:rsidRDefault="00191170" w:rsidP="001642C7">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6.160</w:t>
                  </w:r>
                </w:p>
              </w:tc>
              <w:tc>
                <w:tcPr>
                  <w:tcW w:w="0" w:type="pct"/>
                  <w:tcBorders>
                    <w:top w:val="nil"/>
                    <w:left w:val="nil"/>
                    <w:bottom w:val="nil"/>
                    <w:right w:val="single" w:sz="8" w:space="0" w:color="0061CF"/>
                  </w:tcBorders>
                  <w:shd w:val="clear" w:color="auto" w:fill="auto"/>
                  <w:vAlign w:val="center"/>
                </w:tcPr>
                <w:p w14:paraId="661538B3" w14:textId="77777777" w:rsidR="00191170" w:rsidRPr="00191170" w:rsidRDefault="00191170" w:rsidP="001642C7">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95</w:t>
                  </w:r>
                </w:p>
              </w:tc>
            </w:tr>
            <w:tr w:rsidR="00191170" w:rsidRPr="003C08F2" w14:paraId="6E872BE2" w14:textId="77777777" w:rsidTr="003D0A2A">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116" w:type="pct"/>
                  <w:vAlign w:val="center"/>
                </w:tcPr>
                <w:p w14:paraId="77B2CCB4" w14:textId="77777777" w:rsidR="00191170" w:rsidRPr="00191170" w:rsidRDefault="00191170" w:rsidP="003C08F2">
                  <w:pPr>
                    <w:spacing w:line="240" w:lineRule="auto"/>
                    <w:jc w:val="both"/>
                    <w:rPr>
                      <w:rFonts w:cs="Arial"/>
                      <w:szCs w:val="20"/>
                    </w:rPr>
                  </w:pPr>
                  <w:r w:rsidRPr="00191170">
                    <w:rPr>
                      <w:rFonts w:cs="Arial"/>
                      <w:szCs w:val="20"/>
                    </w:rPr>
                    <w:t>SKUPAJ</w:t>
                  </w:r>
                </w:p>
              </w:tc>
              <w:tc>
                <w:tcPr>
                  <w:tcW w:w="1138" w:type="pct"/>
                  <w:tcBorders>
                    <w:top w:val="single" w:sz="8" w:space="0" w:color="0061CF"/>
                    <w:left w:val="nil"/>
                    <w:bottom w:val="single" w:sz="8" w:space="0" w:color="0061CF"/>
                    <w:right w:val="nil"/>
                  </w:tcBorders>
                  <w:shd w:val="clear" w:color="auto" w:fill="auto"/>
                  <w:vAlign w:val="center"/>
                </w:tcPr>
                <w:p w14:paraId="2163FE25" w14:textId="77777777" w:rsidR="00191170" w:rsidRPr="00191170" w:rsidRDefault="00191170" w:rsidP="001642C7">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9.511</w:t>
                  </w:r>
                </w:p>
              </w:tc>
              <w:tc>
                <w:tcPr>
                  <w:tcW w:w="0" w:type="pct"/>
                  <w:tcBorders>
                    <w:top w:val="single" w:sz="8" w:space="0" w:color="0061CF"/>
                    <w:left w:val="nil"/>
                    <w:bottom w:val="single" w:sz="8" w:space="0" w:color="0061CF"/>
                    <w:right w:val="nil"/>
                  </w:tcBorders>
                  <w:shd w:val="clear" w:color="auto" w:fill="auto"/>
                  <w:vAlign w:val="center"/>
                </w:tcPr>
                <w:p w14:paraId="14198286" w14:textId="77777777" w:rsidR="00191170" w:rsidRPr="00191170" w:rsidRDefault="00191170" w:rsidP="001642C7">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9.333</w:t>
                  </w:r>
                </w:p>
              </w:tc>
              <w:tc>
                <w:tcPr>
                  <w:tcW w:w="0" w:type="pct"/>
                  <w:tcBorders>
                    <w:top w:val="single" w:sz="8" w:space="0" w:color="0061CF"/>
                    <w:left w:val="nil"/>
                    <w:bottom w:val="single" w:sz="8" w:space="0" w:color="0061CF"/>
                    <w:right w:val="single" w:sz="8" w:space="0" w:color="0061CF"/>
                  </w:tcBorders>
                  <w:shd w:val="clear" w:color="auto" w:fill="auto"/>
                  <w:vAlign w:val="center"/>
                </w:tcPr>
                <w:p w14:paraId="31B1012F" w14:textId="77777777" w:rsidR="00191170" w:rsidRPr="00191170" w:rsidRDefault="00191170" w:rsidP="001642C7">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80</w:t>
                  </w:r>
                </w:p>
              </w:tc>
            </w:tr>
          </w:tbl>
          <w:p w14:paraId="52AB65B3" w14:textId="77777777" w:rsidR="00191170" w:rsidRPr="00191170" w:rsidRDefault="00191170" w:rsidP="003C08F2">
            <w:pPr>
              <w:spacing w:line="240" w:lineRule="auto"/>
              <w:jc w:val="both"/>
              <w:rPr>
                <w:rFonts w:cs="Arial"/>
                <w:szCs w:val="20"/>
              </w:rPr>
            </w:pPr>
          </w:p>
        </w:tc>
      </w:tr>
      <w:tr w:rsidR="00191170" w:rsidRPr="00191170" w14:paraId="425E24A9" w14:textId="77777777" w:rsidTr="004D22B8">
        <w:trPr>
          <w:gridAfter w:val="3"/>
          <w:wAfter w:w="9933" w:type="dxa"/>
          <w:trHeight w:val="270"/>
        </w:trPr>
        <w:tc>
          <w:tcPr>
            <w:tcW w:w="9244" w:type="dxa"/>
            <w:gridSpan w:val="2"/>
            <w:tcBorders>
              <w:top w:val="nil"/>
              <w:left w:val="nil"/>
              <w:bottom w:val="nil"/>
              <w:right w:val="nil"/>
            </w:tcBorders>
            <w:shd w:val="clear" w:color="auto" w:fill="auto"/>
            <w:noWrap/>
            <w:vAlign w:val="bottom"/>
          </w:tcPr>
          <w:p w14:paraId="2C8A398F" w14:textId="77777777" w:rsidR="00191170" w:rsidRPr="00191170" w:rsidRDefault="00191170" w:rsidP="003C08F2">
            <w:pPr>
              <w:spacing w:line="240" w:lineRule="auto"/>
              <w:jc w:val="both"/>
              <w:rPr>
                <w:rFonts w:cs="Arial"/>
                <w:szCs w:val="20"/>
              </w:rPr>
            </w:pPr>
          </w:p>
          <w:p w14:paraId="55F8280E" w14:textId="77777777" w:rsidR="0037793C" w:rsidRPr="00191170" w:rsidRDefault="0037793C" w:rsidP="0037793C">
            <w:pPr>
              <w:spacing w:line="240" w:lineRule="auto"/>
              <w:jc w:val="center"/>
              <w:rPr>
                <w:rFonts w:cs="Arial"/>
                <w:szCs w:val="20"/>
              </w:rPr>
            </w:pPr>
            <w:r w:rsidRPr="00871993">
              <w:rPr>
                <w:rFonts w:cs="Arial"/>
                <w:sz w:val="18"/>
                <w:szCs w:val="18"/>
              </w:rPr>
              <w:t>Vir: Modra zavarovalnica</w:t>
            </w:r>
          </w:p>
          <w:p w14:paraId="6CC3C35C" w14:textId="77777777" w:rsidR="0037793C" w:rsidRDefault="0037793C" w:rsidP="003C08F2">
            <w:pPr>
              <w:spacing w:line="240" w:lineRule="auto"/>
              <w:jc w:val="both"/>
              <w:rPr>
                <w:rFonts w:cs="Arial"/>
                <w:szCs w:val="20"/>
              </w:rPr>
            </w:pPr>
          </w:p>
          <w:p w14:paraId="4DCEEE40" w14:textId="0E2A3872" w:rsidR="00191170" w:rsidRPr="0037793C" w:rsidRDefault="004D22B8" w:rsidP="003C08F2">
            <w:pPr>
              <w:spacing w:line="240" w:lineRule="auto"/>
              <w:jc w:val="both"/>
              <w:rPr>
                <w:rFonts w:cs="Arial"/>
                <w:sz w:val="18"/>
                <w:szCs w:val="18"/>
              </w:rPr>
            </w:pPr>
            <w:r>
              <w:rPr>
                <w:rFonts w:cs="Arial"/>
                <w:b/>
                <w:bCs/>
                <w:sz w:val="18"/>
                <w:szCs w:val="18"/>
              </w:rPr>
              <w:t>Preglednic</w:t>
            </w:r>
            <w:r w:rsidR="00191170" w:rsidRPr="00191170">
              <w:rPr>
                <w:rFonts w:cs="Arial"/>
                <w:b/>
                <w:bCs/>
                <w:sz w:val="18"/>
                <w:szCs w:val="18"/>
              </w:rPr>
              <w:t>a 9</w:t>
            </w:r>
            <w:r w:rsidR="00191170" w:rsidRPr="00191170">
              <w:rPr>
                <w:rFonts w:cs="Arial"/>
                <w:sz w:val="18"/>
                <w:szCs w:val="18"/>
              </w:rPr>
              <w:t>: S</w:t>
            </w:r>
            <w:r w:rsidR="007F73CA">
              <w:rPr>
                <w:rFonts w:cs="Arial"/>
                <w:sz w:val="18"/>
                <w:szCs w:val="18"/>
              </w:rPr>
              <w:t>estav</w:t>
            </w:r>
            <w:r w:rsidR="00191170" w:rsidRPr="00191170">
              <w:rPr>
                <w:rFonts w:cs="Arial"/>
                <w:sz w:val="18"/>
                <w:szCs w:val="18"/>
              </w:rPr>
              <w:t>a članov KS PPS z mesečno rento po starosti na dan 28.</w:t>
            </w:r>
            <w:r w:rsidR="00D83366">
              <w:rPr>
                <w:rFonts w:cs="Arial"/>
                <w:sz w:val="18"/>
                <w:szCs w:val="18"/>
              </w:rPr>
              <w:t> </w:t>
            </w:r>
            <w:r w:rsidR="00191170" w:rsidRPr="00191170">
              <w:rPr>
                <w:rFonts w:cs="Arial"/>
                <w:sz w:val="18"/>
                <w:szCs w:val="18"/>
              </w:rPr>
              <w:t>2.</w:t>
            </w:r>
            <w:r w:rsidR="00D83366">
              <w:rPr>
                <w:rFonts w:cs="Arial"/>
                <w:sz w:val="18"/>
                <w:szCs w:val="18"/>
              </w:rPr>
              <w:t> </w:t>
            </w:r>
            <w:r w:rsidR="00191170" w:rsidRPr="00191170">
              <w:rPr>
                <w:rFonts w:cs="Arial"/>
                <w:sz w:val="18"/>
                <w:szCs w:val="18"/>
              </w:rPr>
              <w:t>2025</w:t>
            </w:r>
          </w:p>
          <w:p w14:paraId="35626257" w14:textId="77777777" w:rsidR="0037793C" w:rsidRPr="00191170" w:rsidRDefault="0037793C" w:rsidP="003C08F2">
            <w:pPr>
              <w:spacing w:line="240" w:lineRule="auto"/>
              <w:jc w:val="both"/>
              <w:rPr>
                <w:rFonts w:cs="Arial"/>
                <w:szCs w:val="20"/>
              </w:rPr>
            </w:pPr>
          </w:p>
          <w:tbl>
            <w:tblPr>
              <w:tblStyle w:val="Tabelaseznam3poudarek11"/>
              <w:tblW w:w="3972" w:type="pct"/>
              <w:jc w:val="center"/>
              <w:tblLook w:val="04A0" w:firstRow="1" w:lastRow="0" w:firstColumn="1" w:lastColumn="0" w:noHBand="0" w:noVBand="1"/>
            </w:tblPr>
            <w:tblGrid>
              <w:gridCol w:w="2338"/>
              <w:gridCol w:w="2408"/>
              <w:gridCol w:w="1239"/>
              <w:gridCol w:w="1239"/>
            </w:tblGrid>
            <w:tr w:rsidR="00191170" w:rsidRPr="003C08F2" w14:paraId="256DA02A" w14:textId="77777777" w:rsidTr="003D0A2A">
              <w:trPr>
                <w:cnfStyle w:val="100000000000" w:firstRow="1" w:lastRow="0" w:firstColumn="0" w:lastColumn="0" w:oddVBand="0" w:evenVBand="0" w:oddHBand="0" w:evenHBand="0" w:firstRowFirstColumn="0" w:firstRowLastColumn="0" w:lastRowFirstColumn="0" w:lastRowLastColumn="0"/>
                <w:trHeight w:val="27"/>
                <w:jc w:val="center"/>
              </w:trPr>
              <w:tc>
                <w:tcPr>
                  <w:cnfStyle w:val="001000000100" w:firstRow="0" w:lastRow="0" w:firstColumn="1" w:lastColumn="0" w:oddVBand="0" w:evenVBand="0" w:oddHBand="0" w:evenHBand="0" w:firstRowFirstColumn="1" w:firstRowLastColumn="0" w:lastRowFirstColumn="0" w:lastRowLastColumn="0"/>
                  <w:tcW w:w="1116" w:type="pct"/>
                </w:tcPr>
                <w:p w14:paraId="1696FC26" w14:textId="77777777" w:rsidR="00191170" w:rsidRPr="006C15CA" w:rsidRDefault="00191170" w:rsidP="003C08F2">
                  <w:pPr>
                    <w:spacing w:line="240" w:lineRule="auto"/>
                    <w:jc w:val="both"/>
                    <w:rPr>
                      <w:rFonts w:cs="Arial"/>
                      <w:color w:val="auto"/>
                      <w:szCs w:val="20"/>
                      <w:lang w:val="it-IT"/>
                    </w:rPr>
                  </w:pPr>
                  <w:proofErr w:type="spellStart"/>
                  <w:r w:rsidRPr="006C15CA">
                    <w:rPr>
                      <w:rFonts w:cs="Arial"/>
                      <w:color w:val="auto"/>
                      <w:szCs w:val="20"/>
                      <w:lang w:val="it-IT"/>
                    </w:rPr>
                    <w:t>Starost</w:t>
                  </w:r>
                  <w:proofErr w:type="spellEnd"/>
                </w:p>
              </w:tc>
              <w:tc>
                <w:tcPr>
                  <w:tcW w:w="1138" w:type="pct"/>
                </w:tcPr>
                <w:p w14:paraId="3953EAB0" w14:textId="77777777" w:rsidR="00191170" w:rsidRPr="006C15CA" w:rsidRDefault="00191170" w:rsidP="003C08F2">
                  <w:pPr>
                    <w:spacing w:line="240" w:lineRule="auto"/>
                    <w:jc w:val="both"/>
                    <w:cnfStyle w:val="100000000000" w:firstRow="1" w:lastRow="0" w:firstColumn="0" w:lastColumn="0" w:oddVBand="0" w:evenVBand="0" w:oddHBand="0" w:evenHBand="0" w:firstRowFirstColumn="0" w:firstRowLastColumn="0" w:lastRowFirstColumn="0" w:lastRowLastColumn="0"/>
                    <w:rPr>
                      <w:rFonts w:cs="Arial"/>
                      <w:color w:val="auto"/>
                      <w:szCs w:val="20"/>
                      <w:lang w:val="it-IT"/>
                    </w:rPr>
                  </w:pPr>
                  <w:proofErr w:type="spellStart"/>
                  <w:r w:rsidRPr="006C15CA">
                    <w:rPr>
                      <w:rFonts w:cs="Arial"/>
                      <w:color w:val="auto"/>
                      <w:szCs w:val="20"/>
                      <w:lang w:val="it-IT"/>
                    </w:rPr>
                    <w:t>Št</w:t>
                  </w:r>
                  <w:proofErr w:type="spellEnd"/>
                  <w:r w:rsidRPr="006C15CA">
                    <w:rPr>
                      <w:rFonts w:cs="Arial"/>
                      <w:color w:val="auto"/>
                      <w:szCs w:val="20"/>
                      <w:lang w:val="it-IT"/>
                    </w:rPr>
                    <w:t xml:space="preserve">. </w:t>
                  </w:r>
                  <w:proofErr w:type="spellStart"/>
                  <w:r w:rsidRPr="006C15CA">
                    <w:rPr>
                      <w:rFonts w:cs="Arial"/>
                      <w:color w:val="auto"/>
                      <w:szCs w:val="20"/>
                      <w:lang w:val="it-IT"/>
                    </w:rPr>
                    <w:t>zavarovancev</w:t>
                  </w:r>
                  <w:proofErr w:type="spellEnd"/>
                </w:p>
              </w:tc>
              <w:tc>
                <w:tcPr>
                  <w:tcW w:w="0" w:type="pct"/>
                  <w:tcBorders>
                    <w:right w:val="single" w:sz="4" w:space="0" w:color="0061CF"/>
                  </w:tcBorders>
                </w:tcPr>
                <w:p w14:paraId="635F3435" w14:textId="77777777" w:rsidR="00191170" w:rsidRPr="00191170" w:rsidRDefault="00191170" w:rsidP="003C08F2">
                  <w:pPr>
                    <w:spacing w:line="240" w:lineRule="auto"/>
                    <w:jc w:val="both"/>
                    <w:cnfStyle w:val="100000000000" w:firstRow="1" w:lastRow="0" w:firstColumn="0" w:lastColumn="0" w:oddVBand="0" w:evenVBand="0" w:oddHBand="0" w:evenHBand="0" w:firstRowFirstColumn="0" w:firstRowLastColumn="0" w:lastRowFirstColumn="0" w:lastRowLastColumn="0"/>
                    <w:rPr>
                      <w:rFonts w:cs="Arial"/>
                      <w:color w:val="auto"/>
                      <w:szCs w:val="20"/>
                    </w:rPr>
                  </w:pPr>
                  <w:proofErr w:type="spellStart"/>
                  <w:r w:rsidRPr="00191170">
                    <w:rPr>
                      <w:rFonts w:cs="Arial"/>
                      <w:color w:val="auto"/>
                      <w:szCs w:val="20"/>
                    </w:rPr>
                    <w:t>Povprečna</w:t>
                  </w:r>
                  <w:proofErr w:type="spellEnd"/>
                  <w:r w:rsidRPr="00191170">
                    <w:rPr>
                      <w:rFonts w:cs="Arial"/>
                      <w:color w:val="auto"/>
                      <w:szCs w:val="20"/>
                    </w:rPr>
                    <w:t xml:space="preserve"> </w:t>
                  </w:r>
                  <w:proofErr w:type="spellStart"/>
                  <w:r w:rsidRPr="00191170">
                    <w:rPr>
                      <w:rFonts w:cs="Arial"/>
                      <w:color w:val="auto"/>
                      <w:szCs w:val="20"/>
                    </w:rPr>
                    <w:t>vrednost</w:t>
                  </w:r>
                  <w:proofErr w:type="spellEnd"/>
                  <w:r w:rsidRPr="00191170">
                    <w:rPr>
                      <w:rFonts w:cs="Arial"/>
                      <w:color w:val="auto"/>
                      <w:szCs w:val="20"/>
                    </w:rPr>
                    <w:t xml:space="preserve"> MR v EUR</w:t>
                  </w:r>
                </w:p>
              </w:tc>
              <w:tc>
                <w:tcPr>
                  <w:tcW w:w="0" w:type="pct"/>
                  <w:tcBorders>
                    <w:right w:val="single" w:sz="4" w:space="0" w:color="0061CF"/>
                  </w:tcBorders>
                </w:tcPr>
                <w:p w14:paraId="5662C007" w14:textId="77777777" w:rsidR="00191170" w:rsidRPr="00191170" w:rsidRDefault="00191170" w:rsidP="003C08F2">
                  <w:pPr>
                    <w:spacing w:line="240" w:lineRule="auto"/>
                    <w:jc w:val="both"/>
                    <w:cnfStyle w:val="100000000000" w:firstRow="1" w:lastRow="0" w:firstColumn="0" w:lastColumn="0" w:oddVBand="0" w:evenVBand="0" w:oddHBand="0" w:evenHBand="0" w:firstRowFirstColumn="0" w:firstRowLastColumn="0" w:lastRowFirstColumn="0" w:lastRowLastColumn="0"/>
                    <w:rPr>
                      <w:rFonts w:cs="Arial"/>
                      <w:color w:val="auto"/>
                      <w:szCs w:val="20"/>
                    </w:rPr>
                  </w:pPr>
                  <w:proofErr w:type="spellStart"/>
                  <w:r w:rsidRPr="00191170">
                    <w:rPr>
                      <w:rFonts w:cs="Arial"/>
                      <w:color w:val="auto"/>
                      <w:szCs w:val="20"/>
                    </w:rPr>
                    <w:t>Povprečna</w:t>
                  </w:r>
                  <w:proofErr w:type="spellEnd"/>
                  <w:r w:rsidRPr="00191170">
                    <w:rPr>
                      <w:rFonts w:cs="Arial"/>
                      <w:color w:val="auto"/>
                      <w:szCs w:val="20"/>
                    </w:rPr>
                    <w:t xml:space="preserve"> </w:t>
                  </w:r>
                  <w:proofErr w:type="spellStart"/>
                  <w:r w:rsidRPr="00191170">
                    <w:rPr>
                      <w:rFonts w:cs="Arial"/>
                      <w:color w:val="auto"/>
                      <w:szCs w:val="20"/>
                    </w:rPr>
                    <w:t>renta</w:t>
                  </w:r>
                  <w:proofErr w:type="spellEnd"/>
                  <w:r w:rsidRPr="00191170">
                    <w:rPr>
                      <w:rFonts w:cs="Arial"/>
                      <w:color w:val="auto"/>
                      <w:szCs w:val="20"/>
                    </w:rPr>
                    <w:t xml:space="preserve"> v EUR</w:t>
                  </w:r>
                </w:p>
              </w:tc>
            </w:tr>
            <w:tr w:rsidR="00191170" w:rsidRPr="003C08F2" w14:paraId="6612F826" w14:textId="77777777" w:rsidTr="003D0A2A">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1116" w:type="pct"/>
                  <w:vAlign w:val="bottom"/>
                </w:tcPr>
                <w:p w14:paraId="79A63A01" w14:textId="326196C6" w:rsidR="00191170" w:rsidRPr="00191170" w:rsidRDefault="00D83366" w:rsidP="003C08F2">
                  <w:pPr>
                    <w:spacing w:line="240" w:lineRule="auto"/>
                    <w:jc w:val="both"/>
                    <w:rPr>
                      <w:rFonts w:cs="Arial"/>
                      <w:szCs w:val="20"/>
                    </w:rPr>
                  </w:pPr>
                  <w:r>
                    <w:rPr>
                      <w:rFonts w:cs="Arial"/>
                      <w:szCs w:val="20"/>
                    </w:rPr>
                    <w:t xml:space="preserve">od </w:t>
                  </w:r>
                  <w:r w:rsidR="00191170" w:rsidRPr="00191170">
                    <w:rPr>
                      <w:rFonts w:cs="Arial"/>
                      <w:szCs w:val="20"/>
                    </w:rPr>
                    <w:t xml:space="preserve">60 do 70 let </w:t>
                  </w:r>
                </w:p>
              </w:tc>
              <w:tc>
                <w:tcPr>
                  <w:tcW w:w="1138" w:type="pct"/>
                  <w:tcBorders>
                    <w:top w:val="single" w:sz="8" w:space="0" w:color="0061CF"/>
                    <w:left w:val="nil"/>
                    <w:bottom w:val="single" w:sz="8" w:space="0" w:color="0061CF"/>
                    <w:right w:val="nil"/>
                  </w:tcBorders>
                  <w:shd w:val="clear" w:color="auto" w:fill="auto"/>
                  <w:vAlign w:val="center"/>
                </w:tcPr>
                <w:p w14:paraId="790C34E4" w14:textId="77777777" w:rsidR="00191170" w:rsidRPr="00191170" w:rsidRDefault="00191170" w:rsidP="003C08F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1.487</w:t>
                  </w:r>
                </w:p>
              </w:tc>
              <w:tc>
                <w:tcPr>
                  <w:tcW w:w="0" w:type="pct"/>
                  <w:tcBorders>
                    <w:top w:val="single" w:sz="8" w:space="0" w:color="0061CF"/>
                    <w:left w:val="nil"/>
                    <w:bottom w:val="single" w:sz="8" w:space="0" w:color="0061CF"/>
                    <w:right w:val="nil"/>
                  </w:tcBorders>
                  <w:shd w:val="clear" w:color="auto" w:fill="auto"/>
                  <w:vAlign w:val="center"/>
                </w:tcPr>
                <w:p w14:paraId="64560AD5" w14:textId="77777777" w:rsidR="00191170" w:rsidRPr="00191170" w:rsidRDefault="00191170" w:rsidP="003C08F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13.323</w:t>
                  </w:r>
                </w:p>
              </w:tc>
              <w:tc>
                <w:tcPr>
                  <w:tcW w:w="0" w:type="pct"/>
                  <w:tcBorders>
                    <w:top w:val="single" w:sz="8" w:space="0" w:color="0061CF"/>
                    <w:left w:val="nil"/>
                    <w:bottom w:val="single" w:sz="8" w:space="0" w:color="0061CF"/>
                    <w:right w:val="single" w:sz="8" w:space="0" w:color="0061CF"/>
                  </w:tcBorders>
                  <w:shd w:val="clear" w:color="auto" w:fill="auto"/>
                  <w:vAlign w:val="center"/>
                </w:tcPr>
                <w:p w14:paraId="53EA7EE5" w14:textId="77777777" w:rsidR="00191170" w:rsidRPr="00191170" w:rsidRDefault="00191170" w:rsidP="003C08F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45</w:t>
                  </w:r>
                </w:p>
              </w:tc>
            </w:tr>
            <w:tr w:rsidR="00191170" w:rsidRPr="003C08F2" w14:paraId="010199BD" w14:textId="77777777" w:rsidTr="003D0A2A">
              <w:trPr>
                <w:trHeight w:val="257"/>
                <w:jc w:val="center"/>
              </w:trPr>
              <w:tc>
                <w:tcPr>
                  <w:cnfStyle w:val="001000000000" w:firstRow="0" w:lastRow="0" w:firstColumn="1" w:lastColumn="0" w:oddVBand="0" w:evenVBand="0" w:oddHBand="0" w:evenHBand="0" w:firstRowFirstColumn="0" w:firstRowLastColumn="0" w:lastRowFirstColumn="0" w:lastRowLastColumn="0"/>
                  <w:tcW w:w="1116" w:type="pct"/>
                  <w:vAlign w:val="bottom"/>
                </w:tcPr>
                <w:p w14:paraId="00C6A54C" w14:textId="2F8204BC" w:rsidR="00191170" w:rsidRPr="00191170" w:rsidRDefault="00D83366" w:rsidP="003C08F2">
                  <w:pPr>
                    <w:spacing w:line="240" w:lineRule="auto"/>
                    <w:jc w:val="both"/>
                    <w:rPr>
                      <w:rFonts w:cs="Arial"/>
                      <w:szCs w:val="20"/>
                    </w:rPr>
                  </w:pPr>
                  <w:r>
                    <w:rPr>
                      <w:rFonts w:cs="Arial"/>
                      <w:szCs w:val="20"/>
                    </w:rPr>
                    <w:t xml:space="preserve">od </w:t>
                  </w:r>
                  <w:r w:rsidR="00191170" w:rsidRPr="00191170">
                    <w:rPr>
                      <w:rFonts w:cs="Arial"/>
                      <w:szCs w:val="20"/>
                    </w:rPr>
                    <w:t xml:space="preserve">71 do 80 let </w:t>
                  </w:r>
                </w:p>
              </w:tc>
              <w:tc>
                <w:tcPr>
                  <w:tcW w:w="1138" w:type="pct"/>
                  <w:tcBorders>
                    <w:top w:val="nil"/>
                    <w:left w:val="nil"/>
                    <w:bottom w:val="nil"/>
                    <w:right w:val="nil"/>
                  </w:tcBorders>
                  <w:shd w:val="clear" w:color="auto" w:fill="auto"/>
                  <w:vAlign w:val="center"/>
                </w:tcPr>
                <w:p w14:paraId="5FBFFFC4" w14:textId="77777777" w:rsidR="00191170" w:rsidRPr="00191170" w:rsidRDefault="00191170" w:rsidP="003C08F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3.770</w:t>
                  </w:r>
                </w:p>
              </w:tc>
              <w:tc>
                <w:tcPr>
                  <w:tcW w:w="0" w:type="pct"/>
                  <w:tcBorders>
                    <w:top w:val="nil"/>
                    <w:left w:val="nil"/>
                    <w:bottom w:val="nil"/>
                    <w:right w:val="nil"/>
                  </w:tcBorders>
                  <w:shd w:val="clear" w:color="auto" w:fill="auto"/>
                  <w:vAlign w:val="center"/>
                </w:tcPr>
                <w:p w14:paraId="63C3F405" w14:textId="77777777" w:rsidR="00191170" w:rsidRPr="00191170" w:rsidRDefault="00191170" w:rsidP="003C08F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11.590</w:t>
                  </w:r>
                </w:p>
              </w:tc>
              <w:tc>
                <w:tcPr>
                  <w:tcW w:w="0" w:type="pct"/>
                  <w:tcBorders>
                    <w:top w:val="nil"/>
                    <w:left w:val="nil"/>
                    <w:bottom w:val="nil"/>
                    <w:right w:val="single" w:sz="8" w:space="0" w:color="0061CF"/>
                  </w:tcBorders>
                  <w:shd w:val="clear" w:color="auto" w:fill="auto"/>
                  <w:vAlign w:val="center"/>
                </w:tcPr>
                <w:p w14:paraId="6F7545BF" w14:textId="77777777" w:rsidR="00191170" w:rsidRPr="00191170" w:rsidRDefault="00191170" w:rsidP="003C08F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58</w:t>
                  </w:r>
                </w:p>
              </w:tc>
            </w:tr>
            <w:tr w:rsidR="00191170" w:rsidRPr="003C08F2" w14:paraId="1ABE9658" w14:textId="77777777" w:rsidTr="003D0A2A">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1116" w:type="pct"/>
                  <w:vAlign w:val="bottom"/>
                </w:tcPr>
                <w:p w14:paraId="3573AA1F" w14:textId="123C54AC" w:rsidR="00191170" w:rsidRPr="00191170" w:rsidRDefault="00D83366" w:rsidP="003C08F2">
                  <w:pPr>
                    <w:spacing w:line="240" w:lineRule="auto"/>
                    <w:jc w:val="both"/>
                    <w:rPr>
                      <w:rFonts w:cs="Arial"/>
                      <w:szCs w:val="20"/>
                    </w:rPr>
                  </w:pPr>
                  <w:r>
                    <w:rPr>
                      <w:rFonts w:cs="Arial"/>
                      <w:szCs w:val="20"/>
                    </w:rPr>
                    <w:t xml:space="preserve">od </w:t>
                  </w:r>
                  <w:r w:rsidR="00191170" w:rsidRPr="00191170">
                    <w:rPr>
                      <w:rFonts w:cs="Arial"/>
                      <w:szCs w:val="20"/>
                    </w:rPr>
                    <w:t xml:space="preserve">81 do 90 let </w:t>
                  </w:r>
                </w:p>
              </w:tc>
              <w:tc>
                <w:tcPr>
                  <w:tcW w:w="1138" w:type="pct"/>
                  <w:tcBorders>
                    <w:top w:val="single" w:sz="8" w:space="0" w:color="0061CF"/>
                    <w:left w:val="nil"/>
                    <w:bottom w:val="single" w:sz="8" w:space="0" w:color="0061CF"/>
                    <w:right w:val="nil"/>
                  </w:tcBorders>
                  <w:shd w:val="clear" w:color="auto" w:fill="auto"/>
                  <w:vAlign w:val="center"/>
                </w:tcPr>
                <w:p w14:paraId="31524586" w14:textId="77777777" w:rsidR="00191170" w:rsidRPr="00191170" w:rsidRDefault="00191170" w:rsidP="003C08F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2.731</w:t>
                  </w:r>
                </w:p>
              </w:tc>
              <w:tc>
                <w:tcPr>
                  <w:tcW w:w="0" w:type="pct"/>
                  <w:tcBorders>
                    <w:top w:val="single" w:sz="8" w:space="0" w:color="0061CF"/>
                    <w:left w:val="nil"/>
                    <w:bottom w:val="single" w:sz="8" w:space="0" w:color="0061CF"/>
                    <w:right w:val="nil"/>
                  </w:tcBorders>
                  <w:shd w:val="clear" w:color="auto" w:fill="auto"/>
                  <w:vAlign w:val="center"/>
                </w:tcPr>
                <w:p w14:paraId="3C41F7F4" w14:textId="77777777" w:rsidR="00191170" w:rsidRPr="00191170" w:rsidRDefault="00191170" w:rsidP="003C08F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7.216</w:t>
                  </w:r>
                </w:p>
              </w:tc>
              <w:tc>
                <w:tcPr>
                  <w:tcW w:w="0" w:type="pct"/>
                  <w:tcBorders>
                    <w:top w:val="single" w:sz="8" w:space="0" w:color="0061CF"/>
                    <w:left w:val="nil"/>
                    <w:bottom w:val="single" w:sz="8" w:space="0" w:color="0061CF"/>
                    <w:right w:val="single" w:sz="8" w:space="0" w:color="0061CF"/>
                  </w:tcBorders>
                  <w:shd w:val="clear" w:color="auto" w:fill="auto"/>
                  <w:vAlign w:val="center"/>
                </w:tcPr>
                <w:p w14:paraId="49D2100D" w14:textId="77777777" w:rsidR="00191170" w:rsidRPr="00191170" w:rsidRDefault="00191170" w:rsidP="003C08F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54</w:t>
                  </w:r>
                </w:p>
              </w:tc>
            </w:tr>
            <w:tr w:rsidR="00191170" w:rsidRPr="003C08F2" w14:paraId="1B87D508" w14:textId="77777777" w:rsidTr="003D0A2A">
              <w:trPr>
                <w:trHeight w:val="257"/>
                <w:jc w:val="center"/>
              </w:trPr>
              <w:tc>
                <w:tcPr>
                  <w:cnfStyle w:val="001000000000" w:firstRow="0" w:lastRow="0" w:firstColumn="1" w:lastColumn="0" w:oddVBand="0" w:evenVBand="0" w:oddHBand="0" w:evenHBand="0" w:firstRowFirstColumn="0" w:firstRowLastColumn="0" w:lastRowFirstColumn="0" w:lastRowLastColumn="0"/>
                  <w:tcW w:w="1116" w:type="pct"/>
                  <w:vAlign w:val="bottom"/>
                </w:tcPr>
                <w:p w14:paraId="1C9A7CB9" w14:textId="74AA0B6D" w:rsidR="00191170" w:rsidRPr="00191170" w:rsidRDefault="00D83366" w:rsidP="00D83366">
                  <w:pPr>
                    <w:spacing w:line="240" w:lineRule="auto"/>
                    <w:jc w:val="both"/>
                    <w:rPr>
                      <w:rFonts w:cs="Arial"/>
                      <w:szCs w:val="20"/>
                    </w:rPr>
                  </w:pPr>
                  <w:proofErr w:type="spellStart"/>
                  <w:r>
                    <w:rPr>
                      <w:rFonts w:cs="Arial"/>
                      <w:szCs w:val="20"/>
                    </w:rPr>
                    <w:t>na</w:t>
                  </w:r>
                  <w:r w:rsidR="00191170" w:rsidRPr="00191170">
                    <w:rPr>
                      <w:rFonts w:cs="Arial"/>
                      <w:szCs w:val="20"/>
                    </w:rPr>
                    <w:t>d</w:t>
                  </w:r>
                  <w:proofErr w:type="spellEnd"/>
                  <w:r w:rsidR="00191170" w:rsidRPr="00191170">
                    <w:rPr>
                      <w:rFonts w:cs="Arial"/>
                      <w:szCs w:val="20"/>
                    </w:rPr>
                    <w:t xml:space="preserve"> 91 </w:t>
                  </w:r>
                  <w:r>
                    <w:rPr>
                      <w:rFonts w:cs="Arial"/>
                      <w:szCs w:val="20"/>
                    </w:rPr>
                    <w:t>let</w:t>
                  </w:r>
                  <w:r w:rsidR="00191170" w:rsidRPr="00191170">
                    <w:rPr>
                      <w:rFonts w:cs="Arial"/>
                      <w:szCs w:val="20"/>
                    </w:rPr>
                    <w:t xml:space="preserve"> </w:t>
                  </w:r>
                </w:p>
              </w:tc>
              <w:tc>
                <w:tcPr>
                  <w:tcW w:w="1138" w:type="pct"/>
                  <w:tcBorders>
                    <w:top w:val="nil"/>
                    <w:left w:val="nil"/>
                    <w:bottom w:val="nil"/>
                    <w:right w:val="nil"/>
                  </w:tcBorders>
                  <w:shd w:val="clear" w:color="auto" w:fill="auto"/>
                  <w:vAlign w:val="center"/>
                </w:tcPr>
                <w:p w14:paraId="6DAF7502" w14:textId="77777777" w:rsidR="00191170" w:rsidRPr="00191170" w:rsidRDefault="00191170" w:rsidP="003C08F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210</w:t>
                  </w:r>
                </w:p>
              </w:tc>
              <w:tc>
                <w:tcPr>
                  <w:tcW w:w="0" w:type="pct"/>
                  <w:tcBorders>
                    <w:top w:val="nil"/>
                    <w:left w:val="nil"/>
                    <w:bottom w:val="nil"/>
                    <w:right w:val="nil"/>
                  </w:tcBorders>
                  <w:shd w:val="clear" w:color="auto" w:fill="auto"/>
                  <w:vAlign w:val="center"/>
                </w:tcPr>
                <w:p w14:paraId="7F28C994" w14:textId="77777777" w:rsidR="00191170" w:rsidRPr="00191170" w:rsidRDefault="00191170" w:rsidP="003C08F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6.576</w:t>
                  </w:r>
                </w:p>
              </w:tc>
              <w:tc>
                <w:tcPr>
                  <w:tcW w:w="0" w:type="pct"/>
                  <w:tcBorders>
                    <w:top w:val="nil"/>
                    <w:left w:val="nil"/>
                    <w:bottom w:val="nil"/>
                    <w:right w:val="single" w:sz="8" w:space="0" w:color="0061CF"/>
                  </w:tcBorders>
                  <w:shd w:val="clear" w:color="auto" w:fill="auto"/>
                  <w:vAlign w:val="center"/>
                </w:tcPr>
                <w:p w14:paraId="5ACA3CB5" w14:textId="77777777" w:rsidR="00191170" w:rsidRPr="00191170" w:rsidRDefault="00191170" w:rsidP="003C08F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76</w:t>
                  </w:r>
                </w:p>
              </w:tc>
            </w:tr>
            <w:tr w:rsidR="00191170" w:rsidRPr="003C08F2" w14:paraId="36C35973" w14:textId="77777777" w:rsidTr="003D0A2A">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1116" w:type="pct"/>
                  <w:vAlign w:val="bottom"/>
                </w:tcPr>
                <w:p w14:paraId="45044F40" w14:textId="77777777" w:rsidR="00191170" w:rsidRPr="001776D9" w:rsidRDefault="00191170" w:rsidP="003C08F2">
                  <w:pPr>
                    <w:spacing w:line="240" w:lineRule="auto"/>
                    <w:jc w:val="both"/>
                    <w:rPr>
                      <w:rFonts w:cs="Arial"/>
                      <w:szCs w:val="20"/>
                      <w:lang w:val="sl-SI"/>
                    </w:rPr>
                  </w:pPr>
                  <w:r w:rsidRPr="001776D9">
                    <w:rPr>
                      <w:rFonts w:cs="Arial"/>
                      <w:szCs w:val="20"/>
                      <w:lang w:val="sl-SI"/>
                    </w:rPr>
                    <w:lastRenderedPageBreak/>
                    <w:t>SKUPAJ</w:t>
                  </w:r>
                </w:p>
              </w:tc>
              <w:tc>
                <w:tcPr>
                  <w:tcW w:w="1138" w:type="pct"/>
                  <w:tcBorders>
                    <w:top w:val="single" w:sz="8" w:space="0" w:color="0061CF"/>
                    <w:left w:val="nil"/>
                    <w:bottom w:val="single" w:sz="8" w:space="0" w:color="0061CF"/>
                    <w:right w:val="nil"/>
                  </w:tcBorders>
                  <w:shd w:val="clear" w:color="auto" w:fill="auto"/>
                  <w:vAlign w:val="center"/>
                </w:tcPr>
                <w:p w14:paraId="51611EB2" w14:textId="77777777" w:rsidR="00191170" w:rsidRPr="001776D9" w:rsidRDefault="00191170" w:rsidP="003C08F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Cs w:val="20"/>
                      <w:lang w:val="sl-SI"/>
                    </w:rPr>
                  </w:pPr>
                  <w:r w:rsidRPr="001776D9">
                    <w:rPr>
                      <w:rFonts w:cs="Arial"/>
                      <w:szCs w:val="20"/>
                      <w:lang w:val="sl-SI"/>
                    </w:rPr>
                    <w:t>8.198</w:t>
                  </w:r>
                </w:p>
              </w:tc>
              <w:tc>
                <w:tcPr>
                  <w:tcW w:w="0" w:type="pct"/>
                  <w:tcBorders>
                    <w:top w:val="single" w:sz="8" w:space="0" w:color="0061CF"/>
                    <w:left w:val="nil"/>
                    <w:bottom w:val="single" w:sz="8" w:space="0" w:color="0061CF"/>
                    <w:right w:val="nil"/>
                  </w:tcBorders>
                  <w:shd w:val="clear" w:color="auto" w:fill="auto"/>
                  <w:vAlign w:val="center"/>
                </w:tcPr>
                <w:p w14:paraId="15E36157" w14:textId="77777777" w:rsidR="00191170" w:rsidRPr="001776D9" w:rsidRDefault="00191170" w:rsidP="003C08F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Cs w:val="20"/>
                      <w:lang w:val="sl-SI"/>
                    </w:rPr>
                  </w:pPr>
                  <w:r w:rsidRPr="001776D9">
                    <w:rPr>
                      <w:rFonts w:cs="Arial"/>
                      <w:szCs w:val="20"/>
                      <w:lang w:val="sl-SI"/>
                    </w:rPr>
                    <w:t>10.318</w:t>
                  </w:r>
                </w:p>
              </w:tc>
              <w:tc>
                <w:tcPr>
                  <w:tcW w:w="0" w:type="pct"/>
                  <w:tcBorders>
                    <w:top w:val="single" w:sz="8" w:space="0" w:color="0061CF"/>
                    <w:left w:val="nil"/>
                    <w:bottom w:val="single" w:sz="8" w:space="0" w:color="0061CF"/>
                    <w:right w:val="single" w:sz="8" w:space="0" w:color="0061CF"/>
                  </w:tcBorders>
                  <w:shd w:val="clear" w:color="auto" w:fill="auto"/>
                  <w:vAlign w:val="center"/>
                </w:tcPr>
                <w:p w14:paraId="4F1A15CE" w14:textId="77777777" w:rsidR="00191170" w:rsidRPr="001776D9" w:rsidRDefault="00191170" w:rsidP="003C08F2">
                  <w:pPr>
                    <w:spacing w:line="240" w:lineRule="auto"/>
                    <w:jc w:val="both"/>
                    <w:cnfStyle w:val="000000100000" w:firstRow="0" w:lastRow="0" w:firstColumn="0" w:lastColumn="0" w:oddVBand="0" w:evenVBand="0" w:oddHBand="1" w:evenHBand="0" w:firstRowFirstColumn="0" w:firstRowLastColumn="0" w:lastRowFirstColumn="0" w:lastRowLastColumn="0"/>
                    <w:rPr>
                      <w:rFonts w:cs="Arial"/>
                      <w:szCs w:val="20"/>
                      <w:lang w:val="sl-SI"/>
                    </w:rPr>
                  </w:pPr>
                  <w:r w:rsidRPr="001776D9">
                    <w:rPr>
                      <w:rFonts w:cs="Arial"/>
                      <w:szCs w:val="20"/>
                      <w:lang w:val="sl-SI"/>
                    </w:rPr>
                    <w:t>55</w:t>
                  </w:r>
                </w:p>
              </w:tc>
            </w:tr>
          </w:tbl>
          <w:p w14:paraId="7F4B73E7" w14:textId="77777777" w:rsidR="00191170" w:rsidRPr="00191170" w:rsidRDefault="00191170" w:rsidP="003C08F2">
            <w:pPr>
              <w:spacing w:line="240" w:lineRule="auto"/>
              <w:jc w:val="both"/>
              <w:rPr>
                <w:rFonts w:cs="Arial"/>
                <w:szCs w:val="20"/>
              </w:rPr>
            </w:pPr>
          </w:p>
          <w:p w14:paraId="5BC058ED" w14:textId="77777777" w:rsidR="0037793C" w:rsidRPr="00191170" w:rsidRDefault="0037793C" w:rsidP="0037793C">
            <w:pPr>
              <w:spacing w:line="240" w:lineRule="auto"/>
              <w:jc w:val="center"/>
              <w:rPr>
                <w:rFonts w:cs="Arial"/>
                <w:szCs w:val="20"/>
              </w:rPr>
            </w:pPr>
            <w:r w:rsidRPr="00871993">
              <w:rPr>
                <w:rFonts w:cs="Arial"/>
                <w:sz w:val="18"/>
                <w:szCs w:val="18"/>
              </w:rPr>
              <w:t>Vir: Modra zavarovalnica</w:t>
            </w:r>
          </w:p>
          <w:p w14:paraId="0CAA710A" w14:textId="77777777" w:rsidR="00191170" w:rsidRPr="00191170" w:rsidRDefault="00191170" w:rsidP="003C08F2">
            <w:pPr>
              <w:spacing w:line="240" w:lineRule="auto"/>
              <w:jc w:val="both"/>
              <w:rPr>
                <w:rFonts w:cs="Arial"/>
                <w:szCs w:val="20"/>
              </w:rPr>
            </w:pPr>
          </w:p>
          <w:p w14:paraId="1F285993" w14:textId="26F95AE5" w:rsidR="00191170" w:rsidRPr="00191170" w:rsidRDefault="00191170" w:rsidP="003C08F2">
            <w:pPr>
              <w:spacing w:line="240" w:lineRule="auto"/>
              <w:jc w:val="both"/>
              <w:rPr>
                <w:rFonts w:cs="Arial"/>
                <w:szCs w:val="20"/>
              </w:rPr>
            </w:pPr>
            <w:r w:rsidRPr="00191170">
              <w:rPr>
                <w:rFonts w:cs="Arial"/>
                <w:szCs w:val="20"/>
              </w:rPr>
              <w:t xml:space="preserve">V </w:t>
            </w:r>
            <w:r w:rsidR="00D83366">
              <w:rPr>
                <w:rFonts w:cs="Arial"/>
                <w:szCs w:val="20"/>
              </w:rPr>
              <w:t>k</w:t>
            </w:r>
            <w:r w:rsidR="0037793C">
              <w:rPr>
                <w:rFonts w:cs="Arial"/>
                <w:szCs w:val="20"/>
              </w:rPr>
              <w:t>ritnem skladu</w:t>
            </w:r>
            <w:r w:rsidRPr="00191170">
              <w:rPr>
                <w:rFonts w:cs="Arial"/>
                <w:szCs w:val="20"/>
              </w:rPr>
              <w:t xml:space="preserve"> PPS je 548 članov, ki imajo odmerjeno rento nižjo od 20 </w:t>
            </w:r>
            <w:r w:rsidR="00D83366">
              <w:rPr>
                <w:rFonts w:cs="Arial"/>
                <w:szCs w:val="20"/>
              </w:rPr>
              <w:t>evrov</w:t>
            </w:r>
            <w:r w:rsidRPr="00191170">
              <w:rPr>
                <w:rFonts w:cs="Arial"/>
                <w:szCs w:val="20"/>
              </w:rPr>
              <w:t xml:space="preserve">. </w:t>
            </w:r>
          </w:p>
          <w:p w14:paraId="6780B1EB" w14:textId="77777777" w:rsidR="0037793C" w:rsidRDefault="0037793C" w:rsidP="003C08F2">
            <w:pPr>
              <w:spacing w:line="240" w:lineRule="auto"/>
              <w:jc w:val="both"/>
              <w:rPr>
                <w:rFonts w:cs="Arial"/>
                <w:szCs w:val="20"/>
              </w:rPr>
            </w:pPr>
          </w:p>
          <w:p w14:paraId="6A01113A" w14:textId="3E26E31A" w:rsidR="00191170" w:rsidRPr="0037793C" w:rsidRDefault="004D22B8" w:rsidP="003C08F2">
            <w:pPr>
              <w:spacing w:line="240" w:lineRule="auto"/>
              <w:jc w:val="both"/>
              <w:rPr>
                <w:rFonts w:cs="Arial"/>
                <w:sz w:val="18"/>
                <w:szCs w:val="18"/>
              </w:rPr>
            </w:pPr>
            <w:r>
              <w:rPr>
                <w:rFonts w:cs="Arial"/>
                <w:b/>
                <w:bCs/>
                <w:sz w:val="18"/>
                <w:szCs w:val="18"/>
              </w:rPr>
              <w:t>Preglednic</w:t>
            </w:r>
            <w:r w:rsidR="00191170" w:rsidRPr="00191170">
              <w:rPr>
                <w:rFonts w:cs="Arial"/>
                <w:b/>
                <w:bCs/>
                <w:sz w:val="18"/>
                <w:szCs w:val="18"/>
              </w:rPr>
              <w:t>a 10</w:t>
            </w:r>
            <w:r w:rsidR="00191170" w:rsidRPr="00191170">
              <w:rPr>
                <w:rFonts w:cs="Arial"/>
                <w:sz w:val="18"/>
                <w:szCs w:val="18"/>
              </w:rPr>
              <w:t>: Starostna s</w:t>
            </w:r>
            <w:r w:rsidR="007F73CA">
              <w:rPr>
                <w:rFonts w:cs="Arial"/>
                <w:sz w:val="18"/>
                <w:szCs w:val="18"/>
              </w:rPr>
              <w:t>estav</w:t>
            </w:r>
            <w:r w:rsidR="00191170" w:rsidRPr="00191170">
              <w:rPr>
                <w:rFonts w:cs="Arial"/>
                <w:sz w:val="18"/>
                <w:szCs w:val="18"/>
              </w:rPr>
              <w:t xml:space="preserve">a rentnikov, ki imajo rento nižjo od 20 </w:t>
            </w:r>
            <w:r w:rsidR="00D83366">
              <w:rPr>
                <w:rFonts w:cs="Arial"/>
                <w:sz w:val="18"/>
                <w:szCs w:val="18"/>
              </w:rPr>
              <w:t>evrov</w:t>
            </w:r>
          </w:p>
          <w:p w14:paraId="746CE7EA" w14:textId="77777777" w:rsidR="0037793C" w:rsidRPr="00191170" w:rsidRDefault="0037793C" w:rsidP="003C08F2">
            <w:pPr>
              <w:spacing w:line="240" w:lineRule="auto"/>
              <w:jc w:val="both"/>
              <w:rPr>
                <w:rFonts w:cs="Arial"/>
                <w:szCs w:val="20"/>
              </w:rPr>
            </w:pPr>
          </w:p>
          <w:tbl>
            <w:tblPr>
              <w:tblStyle w:val="Tabelaseznam3poudarek11"/>
              <w:tblW w:w="5000" w:type="pct"/>
              <w:tblLook w:val="04A0" w:firstRow="1" w:lastRow="0" w:firstColumn="1" w:lastColumn="0" w:noHBand="0" w:noVBand="1"/>
            </w:tblPr>
            <w:tblGrid>
              <w:gridCol w:w="1995"/>
              <w:gridCol w:w="2681"/>
              <w:gridCol w:w="2210"/>
              <w:gridCol w:w="2208"/>
            </w:tblGrid>
            <w:tr w:rsidR="00191170" w:rsidRPr="003C08F2" w14:paraId="3E01DEE7" w14:textId="77777777" w:rsidTr="00191170">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097" w:type="pct"/>
                  <w:vAlign w:val="center"/>
                </w:tcPr>
                <w:p w14:paraId="45FED116" w14:textId="77777777" w:rsidR="00191170" w:rsidRPr="00191170" w:rsidRDefault="00191170" w:rsidP="003C08F2">
                  <w:pPr>
                    <w:spacing w:line="240" w:lineRule="auto"/>
                    <w:jc w:val="both"/>
                    <w:rPr>
                      <w:rFonts w:cs="Arial"/>
                      <w:color w:val="auto"/>
                      <w:szCs w:val="20"/>
                    </w:rPr>
                  </w:pPr>
                  <w:r w:rsidRPr="00191170">
                    <w:rPr>
                      <w:rFonts w:cs="Arial"/>
                      <w:color w:val="auto"/>
                      <w:szCs w:val="20"/>
                    </w:rPr>
                    <w:t>Starost</w:t>
                  </w:r>
                </w:p>
              </w:tc>
              <w:tc>
                <w:tcPr>
                  <w:tcW w:w="1474" w:type="pct"/>
                  <w:vAlign w:val="center"/>
                </w:tcPr>
                <w:p w14:paraId="5BA80BDD" w14:textId="77777777" w:rsidR="00191170" w:rsidRPr="00191170" w:rsidRDefault="00191170" w:rsidP="003C08F2">
                  <w:pPr>
                    <w:spacing w:line="240" w:lineRule="auto"/>
                    <w:jc w:val="both"/>
                    <w:cnfStyle w:val="100000000000" w:firstRow="1" w:lastRow="0" w:firstColumn="0" w:lastColumn="0" w:oddVBand="0" w:evenVBand="0" w:oddHBand="0" w:evenHBand="0" w:firstRowFirstColumn="0" w:firstRowLastColumn="0" w:lastRowFirstColumn="0" w:lastRowLastColumn="0"/>
                    <w:rPr>
                      <w:rFonts w:cs="Arial"/>
                      <w:color w:val="auto"/>
                      <w:szCs w:val="20"/>
                    </w:rPr>
                  </w:pPr>
                  <w:proofErr w:type="spellStart"/>
                  <w:r w:rsidRPr="00191170">
                    <w:rPr>
                      <w:rFonts w:cs="Arial"/>
                      <w:color w:val="auto"/>
                      <w:szCs w:val="20"/>
                    </w:rPr>
                    <w:t>Št</w:t>
                  </w:r>
                  <w:proofErr w:type="spellEnd"/>
                  <w:r w:rsidRPr="00191170">
                    <w:rPr>
                      <w:rFonts w:cs="Arial"/>
                      <w:color w:val="auto"/>
                      <w:szCs w:val="20"/>
                    </w:rPr>
                    <w:t xml:space="preserve">. </w:t>
                  </w:r>
                  <w:proofErr w:type="spellStart"/>
                  <w:r w:rsidRPr="00191170">
                    <w:rPr>
                      <w:rFonts w:cs="Arial"/>
                      <w:color w:val="auto"/>
                      <w:szCs w:val="20"/>
                    </w:rPr>
                    <w:t>zavarovancev</w:t>
                  </w:r>
                  <w:proofErr w:type="spellEnd"/>
                </w:p>
              </w:tc>
              <w:tc>
                <w:tcPr>
                  <w:tcW w:w="1215" w:type="pct"/>
                  <w:tcBorders>
                    <w:right w:val="single" w:sz="4" w:space="0" w:color="0061CF"/>
                  </w:tcBorders>
                  <w:vAlign w:val="center"/>
                </w:tcPr>
                <w:p w14:paraId="58DBF314" w14:textId="77777777" w:rsidR="00191170" w:rsidRPr="00191170" w:rsidRDefault="00191170" w:rsidP="003C08F2">
                  <w:pPr>
                    <w:spacing w:line="240" w:lineRule="auto"/>
                    <w:jc w:val="both"/>
                    <w:cnfStyle w:val="100000000000" w:firstRow="1" w:lastRow="0" w:firstColumn="0" w:lastColumn="0" w:oddVBand="0" w:evenVBand="0" w:oddHBand="0" w:evenHBand="0" w:firstRowFirstColumn="0" w:firstRowLastColumn="0" w:lastRowFirstColumn="0" w:lastRowLastColumn="0"/>
                    <w:rPr>
                      <w:rFonts w:cs="Arial"/>
                      <w:color w:val="auto"/>
                      <w:szCs w:val="20"/>
                    </w:rPr>
                  </w:pPr>
                  <w:proofErr w:type="spellStart"/>
                  <w:r w:rsidRPr="00191170">
                    <w:rPr>
                      <w:rFonts w:cs="Arial"/>
                      <w:color w:val="auto"/>
                      <w:szCs w:val="20"/>
                    </w:rPr>
                    <w:t>Povprečna</w:t>
                  </w:r>
                  <w:proofErr w:type="spellEnd"/>
                  <w:r w:rsidRPr="00191170">
                    <w:rPr>
                      <w:rFonts w:cs="Arial"/>
                      <w:color w:val="auto"/>
                      <w:szCs w:val="20"/>
                    </w:rPr>
                    <w:t xml:space="preserve"> </w:t>
                  </w:r>
                  <w:proofErr w:type="spellStart"/>
                  <w:r w:rsidRPr="00191170">
                    <w:rPr>
                      <w:rFonts w:cs="Arial"/>
                      <w:color w:val="auto"/>
                      <w:szCs w:val="20"/>
                    </w:rPr>
                    <w:t>vrednost</w:t>
                  </w:r>
                  <w:proofErr w:type="spellEnd"/>
                  <w:r w:rsidRPr="00191170">
                    <w:rPr>
                      <w:rFonts w:cs="Arial"/>
                      <w:color w:val="auto"/>
                      <w:szCs w:val="20"/>
                    </w:rPr>
                    <w:t xml:space="preserve"> MR v EUR</w:t>
                  </w:r>
                </w:p>
              </w:tc>
              <w:tc>
                <w:tcPr>
                  <w:tcW w:w="1214" w:type="pct"/>
                  <w:tcBorders>
                    <w:right w:val="single" w:sz="4" w:space="0" w:color="0061CF"/>
                  </w:tcBorders>
                  <w:vAlign w:val="center"/>
                </w:tcPr>
                <w:p w14:paraId="09091F49" w14:textId="77777777" w:rsidR="00191170" w:rsidRPr="00191170" w:rsidRDefault="00191170" w:rsidP="003C08F2">
                  <w:pPr>
                    <w:spacing w:line="240" w:lineRule="auto"/>
                    <w:jc w:val="both"/>
                    <w:cnfStyle w:val="100000000000" w:firstRow="1" w:lastRow="0" w:firstColumn="0" w:lastColumn="0" w:oddVBand="0" w:evenVBand="0" w:oddHBand="0" w:evenHBand="0" w:firstRowFirstColumn="0" w:firstRowLastColumn="0" w:lastRowFirstColumn="0" w:lastRowLastColumn="0"/>
                    <w:rPr>
                      <w:rFonts w:cs="Arial"/>
                      <w:color w:val="auto"/>
                      <w:szCs w:val="20"/>
                      <w:lang w:val="sl-SI"/>
                    </w:rPr>
                  </w:pPr>
                  <w:r w:rsidRPr="00191170">
                    <w:rPr>
                      <w:rFonts w:cs="Arial"/>
                      <w:color w:val="auto"/>
                      <w:szCs w:val="20"/>
                      <w:lang w:val="sl-SI"/>
                    </w:rPr>
                    <w:t>Povprečna vrednost rente v EUR</w:t>
                  </w:r>
                </w:p>
              </w:tc>
            </w:tr>
            <w:tr w:rsidR="00191170" w:rsidRPr="003C08F2" w14:paraId="5FEFD942" w14:textId="77777777" w:rsidTr="008C7764">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1097" w:type="pct"/>
                  <w:vAlign w:val="center"/>
                </w:tcPr>
                <w:p w14:paraId="68D12446" w14:textId="1E367E42" w:rsidR="00191170" w:rsidRPr="00191170" w:rsidRDefault="00D83366" w:rsidP="003C08F2">
                  <w:pPr>
                    <w:spacing w:line="240" w:lineRule="auto"/>
                    <w:jc w:val="both"/>
                    <w:rPr>
                      <w:rFonts w:cs="Arial"/>
                      <w:szCs w:val="20"/>
                    </w:rPr>
                  </w:pPr>
                  <w:r>
                    <w:rPr>
                      <w:rFonts w:cs="Arial"/>
                      <w:szCs w:val="20"/>
                    </w:rPr>
                    <w:t xml:space="preserve">od </w:t>
                  </w:r>
                  <w:r w:rsidR="00191170" w:rsidRPr="00191170">
                    <w:rPr>
                      <w:rFonts w:cs="Arial"/>
                      <w:szCs w:val="20"/>
                    </w:rPr>
                    <w:t xml:space="preserve">60 do 70 let </w:t>
                  </w:r>
                </w:p>
              </w:tc>
              <w:tc>
                <w:tcPr>
                  <w:tcW w:w="1474" w:type="pct"/>
                  <w:tcBorders>
                    <w:top w:val="single" w:sz="8" w:space="0" w:color="0061CF"/>
                    <w:left w:val="nil"/>
                    <w:bottom w:val="single" w:sz="8" w:space="0" w:color="0061CF"/>
                    <w:right w:val="nil"/>
                  </w:tcBorders>
                  <w:shd w:val="clear" w:color="auto" w:fill="auto"/>
                  <w:vAlign w:val="center"/>
                </w:tcPr>
                <w:p w14:paraId="3A6981E6" w14:textId="77777777" w:rsidR="00191170" w:rsidRPr="00191170" w:rsidRDefault="00191170" w:rsidP="008C7764">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130</w:t>
                  </w:r>
                </w:p>
              </w:tc>
              <w:tc>
                <w:tcPr>
                  <w:tcW w:w="1215" w:type="pct"/>
                  <w:tcBorders>
                    <w:top w:val="single" w:sz="8" w:space="0" w:color="0061CF"/>
                    <w:left w:val="nil"/>
                    <w:bottom w:val="single" w:sz="8" w:space="0" w:color="0061CF"/>
                    <w:right w:val="nil"/>
                  </w:tcBorders>
                  <w:shd w:val="clear" w:color="auto" w:fill="auto"/>
                  <w:vAlign w:val="center"/>
                </w:tcPr>
                <w:p w14:paraId="7CA920AE" w14:textId="77777777" w:rsidR="00191170" w:rsidRPr="00191170" w:rsidRDefault="00191170" w:rsidP="008C7764">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2.556</w:t>
                  </w:r>
                </w:p>
              </w:tc>
              <w:tc>
                <w:tcPr>
                  <w:tcW w:w="1214" w:type="pct"/>
                  <w:tcBorders>
                    <w:top w:val="single" w:sz="8" w:space="0" w:color="0061CF"/>
                    <w:left w:val="nil"/>
                    <w:bottom w:val="single" w:sz="8" w:space="0" w:color="0061CF"/>
                    <w:right w:val="single" w:sz="8" w:space="0" w:color="0061CF"/>
                  </w:tcBorders>
                  <w:shd w:val="clear" w:color="auto" w:fill="auto"/>
                  <w:vAlign w:val="center"/>
                </w:tcPr>
                <w:p w14:paraId="7F57A207" w14:textId="77777777" w:rsidR="00191170" w:rsidRPr="00191170" w:rsidRDefault="00191170" w:rsidP="008C7764">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8</w:t>
                  </w:r>
                </w:p>
              </w:tc>
            </w:tr>
            <w:tr w:rsidR="00191170" w:rsidRPr="003C08F2" w14:paraId="4F74A40A" w14:textId="77777777" w:rsidTr="008C7764">
              <w:trPr>
                <w:trHeight w:val="210"/>
              </w:trPr>
              <w:tc>
                <w:tcPr>
                  <w:cnfStyle w:val="001000000000" w:firstRow="0" w:lastRow="0" w:firstColumn="1" w:lastColumn="0" w:oddVBand="0" w:evenVBand="0" w:oddHBand="0" w:evenHBand="0" w:firstRowFirstColumn="0" w:firstRowLastColumn="0" w:lastRowFirstColumn="0" w:lastRowLastColumn="0"/>
                  <w:tcW w:w="1097" w:type="pct"/>
                  <w:vAlign w:val="center"/>
                </w:tcPr>
                <w:p w14:paraId="0F6E966A" w14:textId="799EA528" w:rsidR="00191170" w:rsidRPr="00191170" w:rsidRDefault="00D83366" w:rsidP="003C08F2">
                  <w:pPr>
                    <w:spacing w:line="240" w:lineRule="auto"/>
                    <w:jc w:val="both"/>
                    <w:rPr>
                      <w:rFonts w:cs="Arial"/>
                      <w:szCs w:val="20"/>
                    </w:rPr>
                  </w:pPr>
                  <w:r>
                    <w:rPr>
                      <w:rFonts w:cs="Arial"/>
                      <w:szCs w:val="20"/>
                    </w:rPr>
                    <w:t xml:space="preserve">od </w:t>
                  </w:r>
                  <w:r w:rsidR="00191170" w:rsidRPr="00191170">
                    <w:rPr>
                      <w:rFonts w:cs="Arial"/>
                      <w:szCs w:val="20"/>
                    </w:rPr>
                    <w:t xml:space="preserve">71 do 80 let </w:t>
                  </w:r>
                </w:p>
              </w:tc>
              <w:tc>
                <w:tcPr>
                  <w:tcW w:w="1474" w:type="pct"/>
                  <w:tcBorders>
                    <w:top w:val="nil"/>
                    <w:left w:val="nil"/>
                    <w:bottom w:val="nil"/>
                    <w:right w:val="nil"/>
                  </w:tcBorders>
                  <w:shd w:val="clear" w:color="auto" w:fill="auto"/>
                  <w:vAlign w:val="center"/>
                </w:tcPr>
                <w:p w14:paraId="208D2764" w14:textId="77777777" w:rsidR="00191170" w:rsidRPr="00191170" w:rsidRDefault="00191170" w:rsidP="008C7764">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237</w:t>
                  </w:r>
                </w:p>
              </w:tc>
              <w:tc>
                <w:tcPr>
                  <w:tcW w:w="1215" w:type="pct"/>
                  <w:tcBorders>
                    <w:top w:val="nil"/>
                    <w:left w:val="nil"/>
                    <w:bottom w:val="nil"/>
                    <w:right w:val="nil"/>
                  </w:tcBorders>
                  <w:shd w:val="clear" w:color="auto" w:fill="auto"/>
                  <w:vAlign w:val="center"/>
                </w:tcPr>
                <w:p w14:paraId="622CFAB9" w14:textId="77777777" w:rsidR="00191170" w:rsidRPr="00191170" w:rsidRDefault="00191170" w:rsidP="008C7764">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2.002</w:t>
                  </w:r>
                </w:p>
              </w:tc>
              <w:tc>
                <w:tcPr>
                  <w:tcW w:w="1214" w:type="pct"/>
                  <w:tcBorders>
                    <w:top w:val="nil"/>
                    <w:left w:val="nil"/>
                    <w:bottom w:val="nil"/>
                    <w:right w:val="single" w:sz="8" w:space="0" w:color="0061CF"/>
                  </w:tcBorders>
                  <w:shd w:val="clear" w:color="auto" w:fill="auto"/>
                  <w:vAlign w:val="center"/>
                </w:tcPr>
                <w:p w14:paraId="729B6B6A" w14:textId="77777777" w:rsidR="00191170" w:rsidRPr="00191170" w:rsidRDefault="00191170" w:rsidP="008C7764">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9</w:t>
                  </w:r>
                </w:p>
              </w:tc>
            </w:tr>
            <w:tr w:rsidR="00191170" w:rsidRPr="003C08F2" w14:paraId="12DD2ACA" w14:textId="77777777" w:rsidTr="008C7764">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097" w:type="pct"/>
                  <w:vAlign w:val="center"/>
                </w:tcPr>
                <w:p w14:paraId="48C5E814" w14:textId="0DBE7438" w:rsidR="00191170" w:rsidRPr="00191170" w:rsidRDefault="00D83366" w:rsidP="003C08F2">
                  <w:pPr>
                    <w:spacing w:line="240" w:lineRule="auto"/>
                    <w:jc w:val="both"/>
                    <w:rPr>
                      <w:rFonts w:cs="Arial"/>
                      <w:szCs w:val="20"/>
                    </w:rPr>
                  </w:pPr>
                  <w:r>
                    <w:rPr>
                      <w:rFonts w:cs="Arial"/>
                      <w:szCs w:val="20"/>
                    </w:rPr>
                    <w:t xml:space="preserve">od </w:t>
                  </w:r>
                  <w:r w:rsidR="00191170" w:rsidRPr="00191170">
                    <w:rPr>
                      <w:rFonts w:cs="Arial"/>
                      <w:szCs w:val="20"/>
                    </w:rPr>
                    <w:t xml:space="preserve">81 do 90 let </w:t>
                  </w:r>
                </w:p>
              </w:tc>
              <w:tc>
                <w:tcPr>
                  <w:tcW w:w="1474" w:type="pct"/>
                  <w:tcBorders>
                    <w:top w:val="single" w:sz="8" w:space="0" w:color="0061CF"/>
                    <w:left w:val="nil"/>
                    <w:bottom w:val="single" w:sz="8" w:space="0" w:color="0061CF"/>
                    <w:right w:val="nil"/>
                  </w:tcBorders>
                  <w:shd w:val="clear" w:color="auto" w:fill="auto"/>
                  <w:vAlign w:val="center"/>
                </w:tcPr>
                <w:p w14:paraId="6B6515F0" w14:textId="77777777" w:rsidR="00191170" w:rsidRPr="00191170" w:rsidRDefault="00191170" w:rsidP="008C7764">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169</w:t>
                  </w:r>
                </w:p>
              </w:tc>
              <w:tc>
                <w:tcPr>
                  <w:tcW w:w="1215" w:type="pct"/>
                  <w:tcBorders>
                    <w:top w:val="single" w:sz="8" w:space="0" w:color="0061CF"/>
                    <w:left w:val="nil"/>
                    <w:bottom w:val="single" w:sz="8" w:space="0" w:color="0061CF"/>
                    <w:right w:val="nil"/>
                  </w:tcBorders>
                  <w:shd w:val="clear" w:color="auto" w:fill="auto"/>
                  <w:vAlign w:val="center"/>
                </w:tcPr>
                <w:p w14:paraId="20078DC1" w14:textId="77777777" w:rsidR="00191170" w:rsidRPr="00191170" w:rsidRDefault="00191170" w:rsidP="008C7764">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1.371</w:t>
                  </w:r>
                </w:p>
              </w:tc>
              <w:tc>
                <w:tcPr>
                  <w:tcW w:w="1214" w:type="pct"/>
                  <w:tcBorders>
                    <w:top w:val="single" w:sz="8" w:space="0" w:color="0061CF"/>
                    <w:left w:val="nil"/>
                    <w:bottom w:val="single" w:sz="8" w:space="0" w:color="0061CF"/>
                    <w:right w:val="single" w:sz="8" w:space="0" w:color="0061CF"/>
                  </w:tcBorders>
                  <w:shd w:val="clear" w:color="auto" w:fill="auto"/>
                  <w:vAlign w:val="center"/>
                </w:tcPr>
                <w:p w14:paraId="5CD5D870" w14:textId="77777777" w:rsidR="00191170" w:rsidRPr="00191170" w:rsidRDefault="00191170" w:rsidP="008C7764">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10</w:t>
                  </w:r>
                </w:p>
              </w:tc>
            </w:tr>
            <w:tr w:rsidR="00191170" w:rsidRPr="003C08F2" w14:paraId="60F95EAE" w14:textId="77777777" w:rsidTr="008C7764">
              <w:trPr>
                <w:trHeight w:val="260"/>
              </w:trPr>
              <w:tc>
                <w:tcPr>
                  <w:cnfStyle w:val="001000000000" w:firstRow="0" w:lastRow="0" w:firstColumn="1" w:lastColumn="0" w:oddVBand="0" w:evenVBand="0" w:oddHBand="0" w:evenHBand="0" w:firstRowFirstColumn="0" w:firstRowLastColumn="0" w:lastRowFirstColumn="0" w:lastRowLastColumn="0"/>
                  <w:tcW w:w="1097" w:type="pct"/>
                  <w:vAlign w:val="center"/>
                </w:tcPr>
                <w:p w14:paraId="49BF42A7" w14:textId="4CB49409" w:rsidR="00191170" w:rsidRPr="00191170" w:rsidRDefault="00D83366" w:rsidP="00D83366">
                  <w:pPr>
                    <w:spacing w:line="240" w:lineRule="auto"/>
                    <w:jc w:val="both"/>
                    <w:rPr>
                      <w:rFonts w:cs="Arial"/>
                      <w:szCs w:val="20"/>
                    </w:rPr>
                  </w:pPr>
                  <w:proofErr w:type="spellStart"/>
                  <w:r>
                    <w:rPr>
                      <w:rFonts w:cs="Arial"/>
                      <w:szCs w:val="20"/>
                    </w:rPr>
                    <w:t>na</w:t>
                  </w:r>
                  <w:r w:rsidR="00191170" w:rsidRPr="00191170">
                    <w:rPr>
                      <w:rFonts w:cs="Arial"/>
                      <w:szCs w:val="20"/>
                    </w:rPr>
                    <w:t>d</w:t>
                  </w:r>
                  <w:proofErr w:type="spellEnd"/>
                  <w:r w:rsidR="00191170" w:rsidRPr="00191170">
                    <w:rPr>
                      <w:rFonts w:cs="Arial"/>
                      <w:szCs w:val="20"/>
                    </w:rPr>
                    <w:t xml:space="preserve"> 91 </w:t>
                  </w:r>
                  <w:r>
                    <w:rPr>
                      <w:rFonts w:cs="Arial"/>
                      <w:szCs w:val="20"/>
                    </w:rPr>
                    <w:t>let</w:t>
                  </w:r>
                  <w:r w:rsidR="00191170" w:rsidRPr="00191170">
                    <w:rPr>
                      <w:rFonts w:cs="Arial"/>
                      <w:szCs w:val="20"/>
                    </w:rPr>
                    <w:t xml:space="preserve"> </w:t>
                  </w:r>
                </w:p>
              </w:tc>
              <w:tc>
                <w:tcPr>
                  <w:tcW w:w="1474" w:type="pct"/>
                  <w:tcBorders>
                    <w:top w:val="nil"/>
                    <w:left w:val="nil"/>
                    <w:bottom w:val="nil"/>
                    <w:right w:val="nil"/>
                  </w:tcBorders>
                  <w:shd w:val="clear" w:color="auto" w:fill="auto"/>
                  <w:vAlign w:val="center"/>
                </w:tcPr>
                <w:p w14:paraId="496CCE25" w14:textId="77777777" w:rsidR="00191170" w:rsidRPr="00191170" w:rsidRDefault="00191170" w:rsidP="008C7764">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12</w:t>
                  </w:r>
                </w:p>
              </w:tc>
              <w:tc>
                <w:tcPr>
                  <w:tcW w:w="1215" w:type="pct"/>
                  <w:tcBorders>
                    <w:top w:val="nil"/>
                    <w:left w:val="nil"/>
                    <w:bottom w:val="nil"/>
                    <w:right w:val="nil"/>
                  </w:tcBorders>
                  <w:shd w:val="clear" w:color="auto" w:fill="auto"/>
                  <w:vAlign w:val="center"/>
                </w:tcPr>
                <w:p w14:paraId="6E2D343C" w14:textId="77777777" w:rsidR="00191170" w:rsidRPr="00191170" w:rsidRDefault="00191170" w:rsidP="008C7764">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861</w:t>
                  </w:r>
                </w:p>
              </w:tc>
              <w:tc>
                <w:tcPr>
                  <w:tcW w:w="1214" w:type="pct"/>
                  <w:tcBorders>
                    <w:top w:val="nil"/>
                    <w:left w:val="nil"/>
                    <w:bottom w:val="nil"/>
                    <w:right w:val="single" w:sz="8" w:space="0" w:color="0061CF"/>
                  </w:tcBorders>
                  <w:shd w:val="clear" w:color="auto" w:fill="auto"/>
                  <w:vAlign w:val="center"/>
                </w:tcPr>
                <w:p w14:paraId="5739D6FC" w14:textId="77777777" w:rsidR="00191170" w:rsidRPr="00191170" w:rsidRDefault="00191170" w:rsidP="008C7764">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191170">
                    <w:rPr>
                      <w:rFonts w:cs="Arial"/>
                      <w:szCs w:val="20"/>
                    </w:rPr>
                    <w:t>10</w:t>
                  </w:r>
                </w:p>
              </w:tc>
            </w:tr>
            <w:tr w:rsidR="00191170" w:rsidRPr="003C08F2" w14:paraId="752FC38A" w14:textId="77777777" w:rsidTr="008C7764">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097" w:type="pct"/>
                  <w:vAlign w:val="center"/>
                </w:tcPr>
                <w:p w14:paraId="59B230F2" w14:textId="77777777" w:rsidR="00191170" w:rsidRPr="00191170" w:rsidRDefault="00191170" w:rsidP="003C08F2">
                  <w:pPr>
                    <w:spacing w:line="240" w:lineRule="auto"/>
                    <w:jc w:val="both"/>
                    <w:rPr>
                      <w:rFonts w:cs="Arial"/>
                      <w:szCs w:val="20"/>
                    </w:rPr>
                  </w:pPr>
                  <w:r w:rsidRPr="00191170">
                    <w:rPr>
                      <w:rFonts w:cs="Arial"/>
                      <w:szCs w:val="20"/>
                    </w:rPr>
                    <w:t>SKUPAJ</w:t>
                  </w:r>
                </w:p>
              </w:tc>
              <w:tc>
                <w:tcPr>
                  <w:tcW w:w="1474" w:type="pct"/>
                  <w:tcBorders>
                    <w:top w:val="single" w:sz="8" w:space="0" w:color="0061CF"/>
                    <w:left w:val="nil"/>
                    <w:bottom w:val="single" w:sz="8" w:space="0" w:color="0061CF"/>
                    <w:right w:val="nil"/>
                  </w:tcBorders>
                  <w:shd w:val="clear" w:color="auto" w:fill="auto"/>
                  <w:vAlign w:val="center"/>
                </w:tcPr>
                <w:p w14:paraId="240C97CC" w14:textId="77777777" w:rsidR="00191170" w:rsidRPr="00191170" w:rsidRDefault="00191170" w:rsidP="008C7764">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548</w:t>
                  </w:r>
                </w:p>
              </w:tc>
              <w:tc>
                <w:tcPr>
                  <w:tcW w:w="1215" w:type="pct"/>
                  <w:tcBorders>
                    <w:top w:val="single" w:sz="8" w:space="0" w:color="0061CF"/>
                    <w:left w:val="nil"/>
                    <w:bottom w:val="single" w:sz="8" w:space="0" w:color="0061CF"/>
                    <w:right w:val="nil"/>
                  </w:tcBorders>
                  <w:shd w:val="clear" w:color="auto" w:fill="auto"/>
                  <w:vAlign w:val="center"/>
                </w:tcPr>
                <w:p w14:paraId="12282575" w14:textId="77777777" w:rsidR="00191170" w:rsidRPr="00191170" w:rsidRDefault="00191170" w:rsidP="008C7764">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1.913</w:t>
                  </w:r>
                </w:p>
              </w:tc>
              <w:tc>
                <w:tcPr>
                  <w:tcW w:w="1214" w:type="pct"/>
                  <w:tcBorders>
                    <w:top w:val="single" w:sz="8" w:space="0" w:color="0061CF"/>
                    <w:left w:val="nil"/>
                    <w:bottom w:val="single" w:sz="8" w:space="0" w:color="0061CF"/>
                    <w:right w:val="single" w:sz="8" w:space="0" w:color="0061CF"/>
                  </w:tcBorders>
                  <w:shd w:val="clear" w:color="auto" w:fill="auto"/>
                  <w:vAlign w:val="center"/>
                </w:tcPr>
                <w:p w14:paraId="2931C3C2" w14:textId="77777777" w:rsidR="00191170" w:rsidRPr="00191170" w:rsidRDefault="00191170" w:rsidP="008C7764">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191170">
                    <w:rPr>
                      <w:rFonts w:cs="Arial"/>
                      <w:szCs w:val="20"/>
                    </w:rPr>
                    <w:t>9</w:t>
                  </w:r>
                </w:p>
              </w:tc>
            </w:tr>
          </w:tbl>
          <w:p w14:paraId="446D6BB6" w14:textId="77777777" w:rsidR="00191170" w:rsidRDefault="00191170" w:rsidP="003C08F2">
            <w:pPr>
              <w:spacing w:line="240" w:lineRule="auto"/>
              <w:jc w:val="both"/>
              <w:rPr>
                <w:rFonts w:cs="Arial"/>
                <w:szCs w:val="20"/>
              </w:rPr>
            </w:pPr>
          </w:p>
          <w:p w14:paraId="2537C131" w14:textId="77777777" w:rsidR="0037793C" w:rsidRPr="00191170" w:rsidRDefault="0037793C" w:rsidP="0037793C">
            <w:pPr>
              <w:spacing w:line="240" w:lineRule="auto"/>
              <w:jc w:val="center"/>
              <w:rPr>
                <w:rFonts w:cs="Arial"/>
                <w:szCs w:val="20"/>
              </w:rPr>
            </w:pPr>
            <w:r w:rsidRPr="00871993">
              <w:rPr>
                <w:rFonts w:cs="Arial"/>
                <w:sz w:val="18"/>
                <w:szCs w:val="18"/>
              </w:rPr>
              <w:t>Vir: Modra zavarovalnica</w:t>
            </w:r>
          </w:p>
          <w:p w14:paraId="1734A690" w14:textId="77777777" w:rsidR="0037793C" w:rsidRDefault="0037793C" w:rsidP="003C08F2">
            <w:pPr>
              <w:spacing w:line="240" w:lineRule="auto"/>
              <w:jc w:val="both"/>
              <w:rPr>
                <w:rFonts w:cs="Arial"/>
                <w:szCs w:val="20"/>
              </w:rPr>
            </w:pPr>
          </w:p>
          <w:p w14:paraId="34C9F238" w14:textId="77777777" w:rsidR="00191170" w:rsidRPr="00191170" w:rsidRDefault="00191170" w:rsidP="003C08F2">
            <w:pPr>
              <w:spacing w:line="240" w:lineRule="auto"/>
              <w:jc w:val="both"/>
              <w:rPr>
                <w:rFonts w:cs="Arial"/>
                <w:szCs w:val="20"/>
                <w:u w:val="single"/>
              </w:rPr>
            </w:pPr>
            <w:r w:rsidRPr="00191170">
              <w:rPr>
                <w:rFonts w:cs="Arial"/>
                <w:szCs w:val="20"/>
                <w:u w:val="single"/>
              </w:rPr>
              <w:t>Primeri zastaranja</w:t>
            </w:r>
          </w:p>
        </w:tc>
      </w:tr>
    </w:tbl>
    <w:p w14:paraId="50894C52" w14:textId="77777777" w:rsidR="0037793C" w:rsidRDefault="0037793C" w:rsidP="003C08F2">
      <w:pPr>
        <w:spacing w:line="240" w:lineRule="auto"/>
        <w:jc w:val="both"/>
        <w:rPr>
          <w:rFonts w:cs="Arial"/>
          <w:szCs w:val="20"/>
        </w:rPr>
      </w:pPr>
    </w:p>
    <w:p w14:paraId="30B14AD3" w14:textId="4ED45270" w:rsidR="00191170" w:rsidRPr="00191170" w:rsidRDefault="00191170" w:rsidP="003C08F2">
      <w:pPr>
        <w:spacing w:line="240" w:lineRule="auto"/>
        <w:jc w:val="both"/>
        <w:rPr>
          <w:rFonts w:cs="Arial"/>
          <w:szCs w:val="20"/>
        </w:rPr>
      </w:pPr>
      <w:r w:rsidRPr="00191170">
        <w:rPr>
          <w:rFonts w:cs="Arial"/>
          <w:szCs w:val="20"/>
        </w:rPr>
        <w:t xml:space="preserve">Po podatkih leta 2024 je bilo zastaranih pokojninskih rent v skupni višini 70.000 evrov, pri čemer </w:t>
      </w:r>
      <w:r w:rsidR="00817EC5">
        <w:rPr>
          <w:rFonts w:cs="Arial"/>
          <w:szCs w:val="20"/>
        </w:rPr>
        <w:t xml:space="preserve">je </w:t>
      </w:r>
      <w:r w:rsidRPr="00191170">
        <w:rPr>
          <w:rFonts w:cs="Arial"/>
          <w:szCs w:val="20"/>
        </w:rPr>
        <w:t>im</w:t>
      </w:r>
      <w:r w:rsidR="00817EC5">
        <w:rPr>
          <w:rFonts w:cs="Arial"/>
          <w:szCs w:val="20"/>
        </w:rPr>
        <w:t>elo</w:t>
      </w:r>
      <w:r w:rsidRPr="00191170">
        <w:rPr>
          <w:rFonts w:cs="Arial"/>
          <w:szCs w:val="20"/>
        </w:rPr>
        <w:t xml:space="preserve"> 190 zavarovancev odmerjeno mesečno ali letno pokojninsko rento, 76 pa enkratno rento.</w:t>
      </w:r>
    </w:p>
    <w:p w14:paraId="308AED8F" w14:textId="77777777" w:rsidR="00817EC5" w:rsidRDefault="00817EC5" w:rsidP="003C08F2">
      <w:pPr>
        <w:spacing w:line="240" w:lineRule="auto"/>
        <w:jc w:val="both"/>
        <w:rPr>
          <w:rFonts w:cs="Arial"/>
          <w:szCs w:val="20"/>
        </w:rPr>
      </w:pPr>
    </w:p>
    <w:p w14:paraId="1C905BEB" w14:textId="372B4A51" w:rsidR="00191170" w:rsidRPr="00191170" w:rsidRDefault="00191170" w:rsidP="003C08F2">
      <w:pPr>
        <w:spacing w:line="240" w:lineRule="auto"/>
        <w:jc w:val="both"/>
        <w:rPr>
          <w:rFonts w:cs="Arial"/>
          <w:szCs w:val="20"/>
        </w:rPr>
      </w:pPr>
      <w:r w:rsidRPr="00191170">
        <w:rPr>
          <w:rFonts w:cs="Arial"/>
          <w:szCs w:val="20"/>
        </w:rPr>
        <w:t>Na podlagi prvega odstavka 357. člena Obligacijskega zakonika</w:t>
      </w:r>
      <w:r w:rsidR="00817EC5">
        <w:rPr>
          <w:rFonts w:cs="Arial"/>
          <w:szCs w:val="20"/>
        </w:rPr>
        <w:t xml:space="preserve"> (</w:t>
      </w:r>
      <w:r w:rsidR="00817EC5" w:rsidRPr="00817EC5">
        <w:rPr>
          <w:rFonts w:cs="Arial"/>
          <w:szCs w:val="20"/>
        </w:rPr>
        <w:t xml:space="preserve">Uradni list RS, št. 97/07 – uradno prečiščeno besedilo, 64/16 – </w:t>
      </w:r>
      <w:proofErr w:type="spellStart"/>
      <w:r w:rsidR="00817EC5" w:rsidRPr="00817EC5">
        <w:rPr>
          <w:rFonts w:cs="Arial"/>
          <w:szCs w:val="20"/>
        </w:rPr>
        <w:t>odl</w:t>
      </w:r>
      <w:proofErr w:type="spellEnd"/>
      <w:r w:rsidR="00817EC5" w:rsidRPr="00817EC5">
        <w:rPr>
          <w:rFonts w:cs="Arial"/>
          <w:szCs w:val="20"/>
        </w:rPr>
        <w:t>. US in 20/18 – OROZ631</w:t>
      </w:r>
      <w:r w:rsidR="00817EC5">
        <w:rPr>
          <w:rFonts w:cs="Arial"/>
          <w:szCs w:val="20"/>
        </w:rPr>
        <w:t>; v nadaljnjem besedilu: OZ)</w:t>
      </w:r>
      <w:r w:rsidRPr="00191170">
        <w:rPr>
          <w:rFonts w:cs="Arial"/>
          <w:szCs w:val="20"/>
        </w:rPr>
        <w:t xml:space="preserve"> terjatve zavarovanca oziroma tretje osebe iz pogodbe o življenjskem zavarovanju zastarajo v petih letih, terjatve iz drugih zavarovalnih pogodb pa v treh letih, šteto od prvega dne po preteku koledarskega leta, v katerem je terjatev nastala.</w:t>
      </w:r>
    </w:p>
    <w:p w14:paraId="0DD975CB" w14:textId="77777777" w:rsidR="00817EC5" w:rsidRDefault="00817EC5" w:rsidP="003C08F2">
      <w:pPr>
        <w:spacing w:line="240" w:lineRule="auto"/>
        <w:jc w:val="both"/>
        <w:rPr>
          <w:rFonts w:cs="Arial"/>
          <w:szCs w:val="20"/>
        </w:rPr>
      </w:pPr>
    </w:p>
    <w:p w14:paraId="692302FC" w14:textId="0136C617" w:rsidR="00191170" w:rsidRPr="00191170" w:rsidRDefault="00191170" w:rsidP="003C08F2">
      <w:pPr>
        <w:spacing w:line="240" w:lineRule="auto"/>
        <w:jc w:val="both"/>
        <w:rPr>
          <w:rFonts w:cs="Arial"/>
          <w:szCs w:val="20"/>
        </w:rPr>
      </w:pPr>
      <w:r w:rsidRPr="00191170">
        <w:rPr>
          <w:rFonts w:cs="Arial"/>
          <w:szCs w:val="20"/>
        </w:rPr>
        <w:t>Na podlagi drugega odstavka 357. člena</w:t>
      </w:r>
      <w:r w:rsidR="00090C7B">
        <w:rPr>
          <w:rFonts w:cs="Arial"/>
          <w:szCs w:val="20"/>
        </w:rPr>
        <w:t xml:space="preserve"> OZ</w:t>
      </w:r>
      <w:r w:rsidRPr="00191170">
        <w:rPr>
          <w:rFonts w:cs="Arial"/>
          <w:szCs w:val="20"/>
        </w:rPr>
        <w:t xml:space="preserve"> </w:t>
      </w:r>
      <w:r w:rsidR="00EA06C5">
        <w:rPr>
          <w:rFonts w:cs="Arial"/>
          <w:szCs w:val="20"/>
        </w:rPr>
        <w:t>velja</w:t>
      </w:r>
      <w:r w:rsidRPr="00191170">
        <w:rPr>
          <w:rFonts w:cs="Arial"/>
          <w:szCs w:val="20"/>
        </w:rPr>
        <w:t xml:space="preserve">, </w:t>
      </w:r>
      <w:r w:rsidR="00EA06C5">
        <w:rPr>
          <w:rFonts w:cs="Arial"/>
          <w:szCs w:val="20"/>
        </w:rPr>
        <w:t xml:space="preserve">da </w:t>
      </w:r>
      <w:r w:rsidRPr="00191170">
        <w:rPr>
          <w:rFonts w:cs="Arial"/>
          <w:szCs w:val="20"/>
        </w:rPr>
        <w:t>če zainteresirana oseba dokaže, da do dneva, ki je določen v prejšnjem odstavku, ni vedela, da je zavarovalni primer nastopil, začne zastaranje teči od dneva, ko je za to izvedela</w:t>
      </w:r>
      <w:r w:rsidR="00090C7B">
        <w:rPr>
          <w:rFonts w:cs="Arial"/>
          <w:szCs w:val="20"/>
        </w:rPr>
        <w:t>. V</w:t>
      </w:r>
      <w:r w:rsidRPr="00191170">
        <w:rPr>
          <w:rFonts w:cs="Arial"/>
          <w:szCs w:val="20"/>
        </w:rPr>
        <w:t xml:space="preserve"> vsakem primeru je terjatev zastarana pri življenjskem zavarovanju v desetih</w:t>
      </w:r>
      <w:r w:rsidR="00EA06C5">
        <w:rPr>
          <w:rFonts w:cs="Arial"/>
          <w:szCs w:val="20"/>
        </w:rPr>
        <w:t xml:space="preserve"> letih</w:t>
      </w:r>
      <w:r w:rsidRPr="00191170">
        <w:rPr>
          <w:rFonts w:cs="Arial"/>
          <w:szCs w:val="20"/>
        </w:rPr>
        <w:t>, pri drugih zavarovanjih pa v petih letih od dneva, določenega v prejšnjem odstavku.</w:t>
      </w:r>
    </w:p>
    <w:p w14:paraId="25BCB278" w14:textId="77777777" w:rsidR="00090C7B" w:rsidRDefault="00090C7B" w:rsidP="003C08F2">
      <w:pPr>
        <w:spacing w:line="240" w:lineRule="auto"/>
        <w:jc w:val="both"/>
        <w:rPr>
          <w:rFonts w:cs="Arial"/>
          <w:szCs w:val="20"/>
        </w:rPr>
      </w:pPr>
    </w:p>
    <w:p w14:paraId="7F367BB9" w14:textId="11708C22" w:rsidR="00191170" w:rsidRPr="00090C7B" w:rsidRDefault="00191170" w:rsidP="003C08F2">
      <w:pPr>
        <w:spacing w:line="240" w:lineRule="auto"/>
        <w:jc w:val="both"/>
        <w:rPr>
          <w:rFonts w:cs="Arial"/>
          <w:szCs w:val="20"/>
          <w:u w:val="single"/>
        </w:rPr>
      </w:pPr>
      <w:r w:rsidRPr="00191170">
        <w:rPr>
          <w:rFonts w:cs="Arial"/>
          <w:szCs w:val="20"/>
          <w:u w:val="single"/>
        </w:rPr>
        <w:t>Povzetek in predlog sprememb</w:t>
      </w:r>
    </w:p>
    <w:p w14:paraId="451692CD" w14:textId="77777777" w:rsidR="00090C7B" w:rsidRPr="00191170" w:rsidRDefault="00090C7B" w:rsidP="003C08F2">
      <w:pPr>
        <w:spacing w:line="240" w:lineRule="auto"/>
        <w:jc w:val="both"/>
        <w:rPr>
          <w:rFonts w:cs="Arial"/>
          <w:szCs w:val="20"/>
        </w:rPr>
      </w:pPr>
    </w:p>
    <w:p w14:paraId="683563E9" w14:textId="1779BC37" w:rsidR="00191170" w:rsidRDefault="00422AE5" w:rsidP="003C08F2">
      <w:pPr>
        <w:spacing w:line="240" w:lineRule="auto"/>
        <w:jc w:val="both"/>
        <w:rPr>
          <w:rFonts w:cs="Arial"/>
          <w:szCs w:val="20"/>
        </w:rPr>
      </w:pPr>
      <w:r>
        <w:rPr>
          <w:rFonts w:cs="Arial"/>
          <w:szCs w:val="20"/>
        </w:rPr>
        <w:t>N</w:t>
      </w:r>
      <w:r w:rsidR="00191170" w:rsidRPr="00191170">
        <w:rPr>
          <w:rFonts w:cs="Arial"/>
          <w:szCs w:val="20"/>
        </w:rPr>
        <w:t>aložben</w:t>
      </w:r>
      <w:r>
        <w:rPr>
          <w:rFonts w:cs="Arial"/>
          <w:szCs w:val="20"/>
        </w:rPr>
        <w:t>i</w:t>
      </w:r>
      <w:r w:rsidR="00191170" w:rsidRPr="00191170">
        <w:rPr>
          <w:rFonts w:cs="Arial"/>
          <w:szCs w:val="20"/>
        </w:rPr>
        <w:t xml:space="preserve"> portfel</w:t>
      </w:r>
      <w:r>
        <w:rPr>
          <w:rFonts w:cs="Arial"/>
          <w:szCs w:val="20"/>
        </w:rPr>
        <w:t>j</w:t>
      </w:r>
      <w:r w:rsidR="00191170" w:rsidRPr="00191170">
        <w:rPr>
          <w:rFonts w:cs="Arial"/>
          <w:szCs w:val="20"/>
        </w:rPr>
        <w:t xml:space="preserve"> PPS</w:t>
      </w:r>
      <w:r>
        <w:rPr>
          <w:rFonts w:cs="Arial"/>
          <w:szCs w:val="20"/>
        </w:rPr>
        <w:t xml:space="preserve"> </w:t>
      </w:r>
      <w:r w:rsidR="00103760">
        <w:rPr>
          <w:rFonts w:cs="Arial"/>
          <w:szCs w:val="20"/>
        </w:rPr>
        <w:t xml:space="preserve">v varčevalnem delu </w:t>
      </w:r>
      <w:r>
        <w:rPr>
          <w:rFonts w:cs="Arial"/>
          <w:szCs w:val="20"/>
        </w:rPr>
        <w:t>dosega nizke donosnosti</w:t>
      </w:r>
      <w:r w:rsidR="00191170" w:rsidRPr="00191170">
        <w:rPr>
          <w:rFonts w:cs="Arial"/>
          <w:szCs w:val="20"/>
        </w:rPr>
        <w:t xml:space="preserve">, ki </w:t>
      </w:r>
      <w:r>
        <w:rPr>
          <w:rFonts w:cs="Arial"/>
          <w:szCs w:val="20"/>
        </w:rPr>
        <w:t>so</w:t>
      </w:r>
      <w:r w:rsidR="00191170" w:rsidRPr="00191170">
        <w:rPr>
          <w:rFonts w:cs="Arial"/>
          <w:szCs w:val="20"/>
        </w:rPr>
        <w:t xml:space="preserve"> posledica lastnosti naložb, ki so bile prenesene v </w:t>
      </w:r>
      <w:r>
        <w:rPr>
          <w:rFonts w:cs="Arial"/>
          <w:szCs w:val="20"/>
        </w:rPr>
        <w:t>PPS</w:t>
      </w:r>
      <w:r w:rsidR="00191170" w:rsidRPr="00191170">
        <w:rPr>
          <w:rFonts w:cs="Arial"/>
          <w:szCs w:val="20"/>
        </w:rPr>
        <w:t xml:space="preserve"> za zapolnitev privatizacijske vrzeli. </w:t>
      </w:r>
      <w:r w:rsidR="002B4BEC" w:rsidRPr="002B4BEC">
        <w:rPr>
          <w:rFonts w:cs="Arial"/>
          <w:szCs w:val="20"/>
        </w:rPr>
        <w:t>Neustrezne so bile tako z vidika likvidnosti (torej netržne naložbe) kot z vidika k</w:t>
      </w:r>
      <w:r w:rsidR="00EA06C5">
        <w:rPr>
          <w:rFonts w:cs="Arial"/>
          <w:szCs w:val="20"/>
        </w:rPr>
        <w:t>akovosti</w:t>
      </w:r>
      <w:r w:rsidR="002B4BEC" w:rsidRPr="002B4BEC">
        <w:rPr>
          <w:rFonts w:cs="Arial"/>
          <w:szCs w:val="20"/>
        </w:rPr>
        <w:t xml:space="preserve">. Precej tovrstnih naložb do </w:t>
      </w:r>
      <w:r w:rsidR="00EA06C5">
        <w:rPr>
          <w:rFonts w:cs="Arial"/>
          <w:szCs w:val="20"/>
        </w:rPr>
        <w:t>z</w:t>
      </w:r>
      <w:r w:rsidR="002B4BEC" w:rsidRPr="002B4BEC">
        <w:rPr>
          <w:rFonts w:cs="Arial"/>
          <w:szCs w:val="20"/>
        </w:rPr>
        <w:t>daj še ni bilo mo</w:t>
      </w:r>
      <w:r w:rsidR="004535EB">
        <w:rPr>
          <w:rFonts w:cs="Arial"/>
          <w:szCs w:val="20"/>
        </w:rPr>
        <w:t>goče</w:t>
      </w:r>
      <w:r w:rsidR="002B4BEC" w:rsidRPr="002B4BEC">
        <w:rPr>
          <w:rFonts w:cs="Arial"/>
          <w:szCs w:val="20"/>
        </w:rPr>
        <w:t xml:space="preserve"> odprodati, pa </w:t>
      </w:r>
      <w:r w:rsidR="004535EB">
        <w:rPr>
          <w:rFonts w:cs="Arial"/>
          <w:szCs w:val="20"/>
        </w:rPr>
        <w:t xml:space="preserve">tudi </w:t>
      </w:r>
      <w:r w:rsidR="002B4BEC" w:rsidRPr="002B4BEC">
        <w:rPr>
          <w:rFonts w:cs="Arial"/>
          <w:szCs w:val="20"/>
        </w:rPr>
        <w:t>od naložb ni bilo ustrezne donosnosti, kot bi j</w:t>
      </w:r>
      <w:r w:rsidR="004535EB">
        <w:rPr>
          <w:rFonts w:cs="Arial"/>
          <w:szCs w:val="20"/>
        </w:rPr>
        <w:t>e</w:t>
      </w:r>
      <w:r w:rsidR="002B4BEC" w:rsidRPr="002B4BEC">
        <w:rPr>
          <w:rFonts w:cs="Arial"/>
          <w:szCs w:val="20"/>
        </w:rPr>
        <w:t xml:space="preserve"> bili varčevalci deležni, če bi bil portfelj vložen v klasične dobro razpršene tržne naložbe. </w:t>
      </w:r>
      <w:r w:rsidR="00191170" w:rsidRPr="00191170">
        <w:rPr>
          <w:rFonts w:cs="Arial"/>
          <w:szCs w:val="20"/>
        </w:rPr>
        <w:t xml:space="preserve">V času od ustanovitve sklada do </w:t>
      </w:r>
      <w:r w:rsidR="004535EB">
        <w:rPr>
          <w:rFonts w:cs="Arial"/>
          <w:szCs w:val="20"/>
        </w:rPr>
        <w:t>danes</w:t>
      </w:r>
      <w:r w:rsidR="00191170" w:rsidRPr="00191170">
        <w:rPr>
          <w:rFonts w:cs="Arial"/>
          <w:szCs w:val="20"/>
        </w:rPr>
        <w:t xml:space="preserve"> so upravičenja zavarovancev PPS izgubila del kupne moči</w:t>
      </w:r>
      <w:r w:rsidR="004535EB">
        <w:rPr>
          <w:rFonts w:cs="Arial"/>
          <w:szCs w:val="20"/>
        </w:rPr>
        <w:t>,</w:t>
      </w:r>
      <w:r w:rsidR="00191170" w:rsidRPr="00191170">
        <w:rPr>
          <w:rStyle w:val="Sprotnaopomba-sklic"/>
        </w:rPr>
        <w:footnoteReference w:id="1"/>
      </w:r>
      <w:r w:rsidR="00191170" w:rsidRPr="00191170">
        <w:rPr>
          <w:rFonts w:cs="Arial"/>
          <w:szCs w:val="20"/>
        </w:rPr>
        <w:t xml:space="preserve"> glede na trenutno in ciljno vrednost inflacije ECB pa bo kupna moč upravičenj upadala tudi v prihodnje. </w:t>
      </w:r>
    </w:p>
    <w:p w14:paraId="52ACCAD9" w14:textId="77777777" w:rsidR="004F2ED2" w:rsidRDefault="004F2ED2" w:rsidP="003C08F2">
      <w:pPr>
        <w:spacing w:line="240" w:lineRule="auto"/>
        <w:jc w:val="both"/>
        <w:rPr>
          <w:rFonts w:cs="Arial"/>
          <w:szCs w:val="20"/>
        </w:rPr>
      </w:pPr>
    </w:p>
    <w:p w14:paraId="3D1E3B77" w14:textId="7BD32F91" w:rsidR="004F2ED2" w:rsidRDefault="00A42817" w:rsidP="003C08F2">
      <w:pPr>
        <w:spacing w:line="240" w:lineRule="auto"/>
        <w:jc w:val="both"/>
        <w:rPr>
          <w:rFonts w:cs="Arial"/>
          <w:szCs w:val="20"/>
        </w:rPr>
      </w:pPr>
      <w:r>
        <w:rPr>
          <w:rFonts w:cs="Arial"/>
          <w:szCs w:val="20"/>
        </w:rPr>
        <w:t xml:space="preserve">S predlogom </w:t>
      </w:r>
      <w:r w:rsidR="004F2ED2" w:rsidRPr="004F2ED2">
        <w:rPr>
          <w:rFonts w:cs="Arial"/>
          <w:szCs w:val="20"/>
        </w:rPr>
        <w:t>sprememb</w:t>
      </w:r>
      <w:r>
        <w:rPr>
          <w:rFonts w:cs="Arial"/>
          <w:szCs w:val="20"/>
        </w:rPr>
        <w:t>e</w:t>
      </w:r>
      <w:r w:rsidR="004F2ED2" w:rsidRPr="004F2ED2">
        <w:rPr>
          <w:rFonts w:cs="Arial"/>
          <w:szCs w:val="20"/>
        </w:rPr>
        <w:t xml:space="preserve"> ZPSPID se članom PPS, ki še niso uveljavili pravice do pridobitve pokojninske rente, omogoči odkup enot premoženja po njihovi zajamčeni vrednosti, obstoječim zavarovancem, ki že prejemajo rento</w:t>
      </w:r>
      <w:r w:rsidR="004535EB">
        <w:rPr>
          <w:rFonts w:cs="Arial"/>
          <w:szCs w:val="20"/>
        </w:rPr>
        <w:t>,</w:t>
      </w:r>
      <w:r w:rsidR="004F2ED2" w:rsidRPr="004F2ED2">
        <w:rPr>
          <w:rFonts w:cs="Arial"/>
          <w:szCs w:val="20"/>
        </w:rPr>
        <w:t xml:space="preserve"> pa možnost odkupa police</w:t>
      </w:r>
      <w:r w:rsidR="004F2ED2">
        <w:rPr>
          <w:rFonts w:cs="Arial"/>
          <w:szCs w:val="20"/>
        </w:rPr>
        <w:t xml:space="preserve"> (enkratno izplačilo)</w:t>
      </w:r>
      <w:r w:rsidR="004F2ED2" w:rsidRPr="004F2ED2">
        <w:rPr>
          <w:rFonts w:cs="Arial"/>
          <w:szCs w:val="20"/>
        </w:rPr>
        <w:t>. Novela tako ne le ščiti premoženje zavarovancev, temveč jim tudi omogoča večjo svobodo pri odločanju o svoji pokojninski prihodnosti.</w:t>
      </w:r>
    </w:p>
    <w:p w14:paraId="3826C4D1" w14:textId="77777777" w:rsidR="00BD49E1" w:rsidRDefault="00BD49E1" w:rsidP="003C08F2">
      <w:pPr>
        <w:spacing w:line="240" w:lineRule="auto"/>
        <w:jc w:val="both"/>
        <w:rPr>
          <w:rFonts w:cs="Arial"/>
          <w:szCs w:val="20"/>
        </w:rPr>
      </w:pPr>
    </w:p>
    <w:p w14:paraId="78C6EA66" w14:textId="343656A2" w:rsidR="00BD49E1" w:rsidRDefault="00BD49E1" w:rsidP="00BD49E1">
      <w:pPr>
        <w:jc w:val="both"/>
      </w:pPr>
      <w:r>
        <w:t xml:space="preserve">Premoženje, ki pripada policam dodatnega pokojninskega zavarovanja </w:t>
      </w:r>
      <w:r w:rsidR="00FD3F0C">
        <w:t xml:space="preserve">PPS </w:t>
      </w:r>
      <w:r>
        <w:t xml:space="preserve">v obdobju, preden zavarovanci izpolnijo pogoje za pridobitev pravice do mesečne pokojninske rente, naj bi </w:t>
      </w:r>
      <w:r w:rsidR="004535EB">
        <w:t xml:space="preserve">se </w:t>
      </w:r>
      <w:r>
        <w:t xml:space="preserve">po sedanji ureditvi unovčilo z zadnjim zavarovancem, ki bi izpolnil pogoje za rento. Glede na podatke, s katerimi razpolaga Modra zavarovalnica, bi zadnji zavarovanci izpolnili pogoje do leta 2060. </w:t>
      </w:r>
    </w:p>
    <w:p w14:paraId="4D6825DB" w14:textId="77777777" w:rsidR="00355CE5" w:rsidRDefault="00355CE5" w:rsidP="00BD49E1">
      <w:pPr>
        <w:jc w:val="both"/>
      </w:pPr>
    </w:p>
    <w:p w14:paraId="586F2263" w14:textId="77777777" w:rsidR="008E142B" w:rsidRDefault="008E142B" w:rsidP="003C08F2">
      <w:pPr>
        <w:spacing w:line="240" w:lineRule="auto"/>
        <w:jc w:val="both"/>
        <w:rPr>
          <w:rFonts w:cs="Arial"/>
          <w:szCs w:val="20"/>
        </w:rPr>
      </w:pPr>
    </w:p>
    <w:p w14:paraId="3B73CF55" w14:textId="2BD6A4CD" w:rsidR="002319B9" w:rsidRDefault="00880B94" w:rsidP="00880B94">
      <w:pPr>
        <w:spacing w:line="240" w:lineRule="auto"/>
        <w:jc w:val="both"/>
        <w:rPr>
          <w:rFonts w:cs="Arial"/>
          <w:szCs w:val="20"/>
        </w:rPr>
      </w:pPr>
      <w:r w:rsidRPr="00880B94">
        <w:rPr>
          <w:rFonts w:cs="Arial"/>
          <w:szCs w:val="20"/>
        </w:rPr>
        <w:lastRenderedPageBreak/>
        <w:t xml:space="preserve">Novela ZPSPID je </w:t>
      </w:r>
      <w:r w:rsidR="00F523EE">
        <w:rPr>
          <w:rFonts w:cs="Arial"/>
          <w:szCs w:val="20"/>
        </w:rPr>
        <w:t xml:space="preserve">tako </w:t>
      </w:r>
      <w:r>
        <w:rPr>
          <w:rFonts w:cs="Arial"/>
          <w:szCs w:val="20"/>
        </w:rPr>
        <w:t>pomembna</w:t>
      </w:r>
      <w:r w:rsidRPr="00880B94">
        <w:rPr>
          <w:rFonts w:cs="Arial"/>
          <w:szCs w:val="20"/>
        </w:rPr>
        <w:t xml:space="preserve"> za </w:t>
      </w:r>
      <w:r w:rsidR="004535EB">
        <w:rPr>
          <w:rFonts w:cs="Arial"/>
          <w:szCs w:val="20"/>
        </w:rPr>
        <w:t>posodobitev</w:t>
      </w:r>
      <w:r w:rsidRPr="00880B94">
        <w:rPr>
          <w:rFonts w:cs="Arial"/>
          <w:szCs w:val="20"/>
        </w:rPr>
        <w:t xml:space="preserve"> in krepitev slovenskega pokojninskega sistema</w:t>
      </w:r>
      <w:r w:rsidR="00F523EE">
        <w:rPr>
          <w:rFonts w:cs="Arial"/>
          <w:szCs w:val="20"/>
        </w:rPr>
        <w:t>.</w:t>
      </w:r>
      <w:r w:rsidRPr="00880B94">
        <w:rPr>
          <w:rFonts w:cs="Arial"/>
          <w:szCs w:val="20"/>
        </w:rPr>
        <w:t xml:space="preserve"> Njen namen je predvsem povečanje prožnosti in zaščite za zavarovance, s čimer se krepi zaupanje v pokojninske produkte. Razvoj dodatnega pokojninskega zavarovanja je namreč neločljivo povezan z uporabniško izkušnjo varčevalcev v trenutno obstoječih pokojninskih produktih</w:t>
      </w:r>
      <w:r w:rsidR="002319B9">
        <w:rPr>
          <w:rFonts w:cs="Arial"/>
          <w:szCs w:val="20"/>
        </w:rPr>
        <w:t xml:space="preserve"> in </w:t>
      </w:r>
      <w:r w:rsidR="004535EB">
        <w:rPr>
          <w:rFonts w:cs="Arial"/>
          <w:szCs w:val="20"/>
        </w:rPr>
        <w:t xml:space="preserve">s </w:t>
      </w:r>
      <w:r w:rsidR="002319B9">
        <w:rPr>
          <w:rFonts w:cs="Arial"/>
          <w:szCs w:val="20"/>
        </w:rPr>
        <w:t>k</w:t>
      </w:r>
      <w:r w:rsidR="004535EB">
        <w:rPr>
          <w:rFonts w:cs="Arial"/>
          <w:szCs w:val="20"/>
        </w:rPr>
        <w:t>akovostj</w:t>
      </w:r>
      <w:r w:rsidR="006A24AA">
        <w:rPr>
          <w:rFonts w:cs="Arial"/>
          <w:szCs w:val="20"/>
        </w:rPr>
        <w:t>o</w:t>
      </w:r>
      <w:r w:rsidR="002319B9">
        <w:rPr>
          <w:rFonts w:cs="Arial"/>
          <w:szCs w:val="20"/>
        </w:rPr>
        <w:t xml:space="preserve"> upravljanja teh produktov s strani upravljavca.</w:t>
      </w:r>
    </w:p>
    <w:p w14:paraId="699ADEE4" w14:textId="5AFE1A85" w:rsidR="002319B9" w:rsidRDefault="002319B9" w:rsidP="00880B94">
      <w:pPr>
        <w:spacing w:line="240" w:lineRule="auto"/>
        <w:jc w:val="both"/>
        <w:rPr>
          <w:rFonts w:cs="Arial"/>
          <w:szCs w:val="20"/>
        </w:rPr>
      </w:pPr>
    </w:p>
    <w:p w14:paraId="56052C0B" w14:textId="77777777" w:rsidR="00422AE5" w:rsidRDefault="00422AE5" w:rsidP="00191170">
      <w:pPr>
        <w:spacing w:line="240" w:lineRule="auto"/>
        <w:jc w:val="both"/>
        <w:rPr>
          <w:rFonts w:cs="Arial"/>
          <w:szCs w:val="20"/>
        </w:rPr>
      </w:pPr>
    </w:p>
    <w:p w14:paraId="1C8AD3B8" w14:textId="77777777" w:rsidR="008E0F84" w:rsidRPr="00457816" w:rsidRDefault="008E0F84" w:rsidP="00871993">
      <w:pPr>
        <w:numPr>
          <w:ilvl w:val="0"/>
          <w:numId w:val="4"/>
        </w:numPr>
        <w:spacing w:line="240" w:lineRule="auto"/>
        <w:rPr>
          <w:rFonts w:cs="Arial"/>
          <w:b/>
          <w:szCs w:val="20"/>
        </w:rPr>
      </w:pPr>
      <w:r w:rsidRPr="00457816">
        <w:rPr>
          <w:rFonts w:cs="Arial"/>
          <w:b/>
          <w:szCs w:val="20"/>
        </w:rPr>
        <w:t>CILJI, NAČELA IN POGLAVITNE REŠITVE PREDLOGA ZAKONA</w:t>
      </w:r>
    </w:p>
    <w:p w14:paraId="14E90839" w14:textId="77777777" w:rsidR="008E0F84" w:rsidRPr="00457816" w:rsidRDefault="008E0F84" w:rsidP="008E0F84">
      <w:pPr>
        <w:spacing w:line="240" w:lineRule="auto"/>
        <w:jc w:val="both"/>
        <w:rPr>
          <w:rFonts w:cs="Arial"/>
          <w:szCs w:val="20"/>
        </w:rPr>
      </w:pPr>
    </w:p>
    <w:p w14:paraId="4AED2608" w14:textId="77777777" w:rsidR="008E0F84" w:rsidRPr="00457816" w:rsidRDefault="008E0F84" w:rsidP="008E0F84">
      <w:pPr>
        <w:spacing w:line="240" w:lineRule="auto"/>
        <w:jc w:val="both"/>
        <w:rPr>
          <w:rFonts w:cs="Arial"/>
          <w:b/>
          <w:szCs w:val="20"/>
        </w:rPr>
      </w:pPr>
      <w:r w:rsidRPr="00457816">
        <w:rPr>
          <w:rFonts w:cs="Arial"/>
          <w:b/>
          <w:szCs w:val="20"/>
        </w:rPr>
        <w:t>2.1. Cilji</w:t>
      </w:r>
    </w:p>
    <w:p w14:paraId="06D8EB02" w14:textId="77777777" w:rsidR="008E0F84" w:rsidRDefault="008E0F84" w:rsidP="008E0F84">
      <w:pPr>
        <w:spacing w:line="240" w:lineRule="auto"/>
        <w:jc w:val="both"/>
        <w:rPr>
          <w:rFonts w:cs="Arial"/>
          <w:szCs w:val="20"/>
        </w:rPr>
      </w:pPr>
    </w:p>
    <w:p w14:paraId="550A3C7F" w14:textId="647D15D3" w:rsidR="005A1538" w:rsidRDefault="005A1538" w:rsidP="008E0F84">
      <w:pPr>
        <w:spacing w:line="240" w:lineRule="auto"/>
        <w:jc w:val="both"/>
        <w:rPr>
          <w:rFonts w:cs="Arial"/>
          <w:szCs w:val="20"/>
        </w:rPr>
      </w:pPr>
      <w:r>
        <w:rPr>
          <w:rFonts w:cs="Arial"/>
          <w:szCs w:val="20"/>
        </w:rPr>
        <w:t xml:space="preserve">Predlog zakona </w:t>
      </w:r>
      <w:r w:rsidR="004535EB">
        <w:rPr>
          <w:rFonts w:cs="Arial"/>
          <w:szCs w:val="20"/>
        </w:rPr>
        <w:t xml:space="preserve">sledi tem </w:t>
      </w:r>
      <w:r>
        <w:rPr>
          <w:rFonts w:cs="Arial"/>
          <w:szCs w:val="20"/>
        </w:rPr>
        <w:t>cilj</w:t>
      </w:r>
      <w:r w:rsidR="00801C99">
        <w:rPr>
          <w:rFonts w:cs="Arial"/>
          <w:szCs w:val="20"/>
        </w:rPr>
        <w:t>e</w:t>
      </w:r>
      <w:r w:rsidR="004535EB">
        <w:rPr>
          <w:rFonts w:cs="Arial"/>
          <w:szCs w:val="20"/>
        </w:rPr>
        <w:t>m</w:t>
      </w:r>
      <w:r>
        <w:rPr>
          <w:rFonts w:cs="Arial"/>
          <w:szCs w:val="20"/>
        </w:rPr>
        <w:t xml:space="preserve">: </w:t>
      </w:r>
    </w:p>
    <w:p w14:paraId="498A9598" w14:textId="77777777" w:rsidR="005A1538" w:rsidRDefault="005A1538" w:rsidP="008E0F84">
      <w:pPr>
        <w:spacing w:line="240" w:lineRule="auto"/>
        <w:jc w:val="both"/>
        <w:rPr>
          <w:rFonts w:cs="Arial"/>
          <w:szCs w:val="20"/>
        </w:rPr>
      </w:pPr>
    </w:p>
    <w:p w14:paraId="42E2780E" w14:textId="2DBB3930" w:rsidR="005A1538" w:rsidRDefault="005A1538" w:rsidP="005A1538">
      <w:pPr>
        <w:spacing w:line="240" w:lineRule="auto"/>
        <w:jc w:val="both"/>
        <w:rPr>
          <w:rFonts w:cs="Arial"/>
          <w:szCs w:val="20"/>
        </w:rPr>
      </w:pPr>
      <w:r>
        <w:rPr>
          <w:rFonts w:cs="Arial"/>
          <w:szCs w:val="20"/>
        </w:rPr>
        <w:t>1. o</w:t>
      </w:r>
      <w:r w:rsidRPr="005A1538">
        <w:rPr>
          <w:rFonts w:cs="Arial"/>
          <w:szCs w:val="20"/>
        </w:rPr>
        <w:t>mogoč</w:t>
      </w:r>
      <w:r>
        <w:rPr>
          <w:rFonts w:cs="Arial"/>
          <w:szCs w:val="20"/>
        </w:rPr>
        <w:t>iti</w:t>
      </w:r>
      <w:r w:rsidRPr="005A1538">
        <w:rPr>
          <w:rFonts w:cs="Arial"/>
          <w:szCs w:val="20"/>
        </w:rPr>
        <w:t xml:space="preserve"> izplačila odkupne vrednosti polic dodatnega pokojninskega zavarovanja pred 60. letom starosti</w:t>
      </w:r>
      <w:r>
        <w:rPr>
          <w:rFonts w:cs="Arial"/>
          <w:szCs w:val="20"/>
        </w:rPr>
        <w:t xml:space="preserve"> – t</w:t>
      </w:r>
      <w:r w:rsidRPr="005A1538">
        <w:rPr>
          <w:rFonts w:cs="Arial"/>
          <w:szCs w:val="20"/>
        </w:rPr>
        <w:t xml:space="preserve">a sprememba daje zavarovancem večjo prožnost pri upravljanju njihovih sredstev, še posebej zaradi nizke donosnosti </w:t>
      </w:r>
      <w:r w:rsidR="00C66B56">
        <w:rPr>
          <w:rFonts w:cs="Arial"/>
          <w:szCs w:val="20"/>
        </w:rPr>
        <w:t>PPS</w:t>
      </w:r>
      <w:r w:rsidRPr="005A1538">
        <w:rPr>
          <w:rFonts w:cs="Arial"/>
          <w:szCs w:val="20"/>
        </w:rPr>
        <w:t xml:space="preserve"> in vpliva inflacije</w:t>
      </w:r>
      <w:r>
        <w:rPr>
          <w:rFonts w:cs="Arial"/>
          <w:szCs w:val="20"/>
        </w:rPr>
        <w:t>;</w:t>
      </w:r>
    </w:p>
    <w:p w14:paraId="706750F7" w14:textId="77777777" w:rsidR="005A1538" w:rsidRDefault="005A1538" w:rsidP="005A1538">
      <w:pPr>
        <w:spacing w:line="240" w:lineRule="auto"/>
        <w:jc w:val="both"/>
        <w:rPr>
          <w:rFonts w:cs="Arial"/>
          <w:szCs w:val="20"/>
        </w:rPr>
      </w:pPr>
    </w:p>
    <w:p w14:paraId="20886329" w14:textId="09B33245" w:rsidR="005A1538" w:rsidRDefault="005A1538" w:rsidP="005A1538">
      <w:pPr>
        <w:spacing w:line="240" w:lineRule="auto"/>
        <w:jc w:val="both"/>
        <w:rPr>
          <w:rFonts w:cs="Arial"/>
          <w:szCs w:val="20"/>
        </w:rPr>
      </w:pPr>
      <w:r>
        <w:rPr>
          <w:rFonts w:cs="Arial"/>
          <w:szCs w:val="20"/>
        </w:rPr>
        <w:t>2. o</w:t>
      </w:r>
      <w:r w:rsidRPr="005A1538">
        <w:rPr>
          <w:rFonts w:cs="Arial"/>
          <w:szCs w:val="20"/>
        </w:rPr>
        <w:t>mogoč</w:t>
      </w:r>
      <w:r>
        <w:rPr>
          <w:rFonts w:cs="Arial"/>
          <w:szCs w:val="20"/>
        </w:rPr>
        <w:t>iti</w:t>
      </w:r>
      <w:r w:rsidRPr="005A1538">
        <w:rPr>
          <w:rFonts w:cs="Arial"/>
          <w:szCs w:val="20"/>
        </w:rPr>
        <w:t xml:space="preserve"> enkratn</w:t>
      </w:r>
      <w:r>
        <w:rPr>
          <w:rFonts w:cs="Arial"/>
          <w:szCs w:val="20"/>
        </w:rPr>
        <w:t>o</w:t>
      </w:r>
      <w:r w:rsidRPr="005A1538">
        <w:rPr>
          <w:rFonts w:cs="Arial"/>
          <w:szCs w:val="20"/>
        </w:rPr>
        <w:t xml:space="preserve"> izplačil</w:t>
      </w:r>
      <w:r>
        <w:rPr>
          <w:rFonts w:cs="Arial"/>
          <w:szCs w:val="20"/>
        </w:rPr>
        <w:t>o</w:t>
      </w:r>
      <w:r w:rsidRPr="005A1538">
        <w:rPr>
          <w:rFonts w:cs="Arial"/>
          <w:szCs w:val="20"/>
        </w:rPr>
        <w:t xml:space="preserve"> namesto mesečne pokojninske rente</w:t>
      </w:r>
      <w:r>
        <w:rPr>
          <w:rFonts w:cs="Arial"/>
          <w:szCs w:val="20"/>
        </w:rPr>
        <w:t xml:space="preserve"> </w:t>
      </w:r>
      <w:r w:rsidR="00210501">
        <w:rPr>
          <w:rFonts w:cs="Arial"/>
          <w:szCs w:val="20"/>
        </w:rPr>
        <w:t xml:space="preserve">– </w:t>
      </w:r>
      <w:r>
        <w:rPr>
          <w:rFonts w:cs="Arial"/>
          <w:szCs w:val="20"/>
        </w:rPr>
        <w:t>t</w:t>
      </w:r>
      <w:r w:rsidRPr="005A1538">
        <w:rPr>
          <w:rFonts w:cs="Arial"/>
          <w:szCs w:val="20"/>
        </w:rPr>
        <w:t>a možnost daje prejemnikom rente dodatno izbiro in prilagodljivost pri upravljanju svojih sredstev v starosti</w:t>
      </w:r>
      <w:r w:rsidR="008C7A74">
        <w:rPr>
          <w:rFonts w:cs="Arial"/>
          <w:szCs w:val="20"/>
        </w:rPr>
        <w:t xml:space="preserve">. </w:t>
      </w:r>
    </w:p>
    <w:p w14:paraId="6EA3B8B3" w14:textId="77777777" w:rsidR="005A1538" w:rsidRDefault="005A1538" w:rsidP="005A1538">
      <w:pPr>
        <w:spacing w:line="240" w:lineRule="auto"/>
        <w:jc w:val="both"/>
        <w:rPr>
          <w:rFonts w:cs="Arial"/>
          <w:szCs w:val="20"/>
        </w:rPr>
      </w:pPr>
    </w:p>
    <w:p w14:paraId="6E6BB554" w14:textId="77777777" w:rsidR="008E0F84" w:rsidRDefault="008E0F84" w:rsidP="008E0F84">
      <w:pPr>
        <w:spacing w:line="240" w:lineRule="auto"/>
        <w:jc w:val="both"/>
        <w:rPr>
          <w:rFonts w:cs="Arial"/>
          <w:b/>
          <w:szCs w:val="20"/>
        </w:rPr>
      </w:pPr>
      <w:r w:rsidRPr="00457816">
        <w:rPr>
          <w:rFonts w:cs="Arial"/>
          <w:b/>
          <w:szCs w:val="20"/>
        </w:rPr>
        <w:t>2.2. Načela</w:t>
      </w:r>
    </w:p>
    <w:p w14:paraId="13546D73" w14:textId="77777777" w:rsidR="009F7537" w:rsidRPr="00457816" w:rsidRDefault="009F7537" w:rsidP="008E0F84">
      <w:pPr>
        <w:spacing w:line="240" w:lineRule="auto"/>
        <w:jc w:val="both"/>
        <w:rPr>
          <w:rFonts w:cs="Arial"/>
          <w:b/>
          <w:szCs w:val="20"/>
        </w:rPr>
      </w:pPr>
    </w:p>
    <w:p w14:paraId="35184CB4" w14:textId="0AC6871C" w:rsidR="008E0F84" w:rsidRDefault="009F7537" w:rsidP="008E0F84">
      <w:pPr>
        <w:autoSpaceDE w:val="0"/>
        <w:autoSpaceDN w:val="0"/>
        <w:adjustRightInd w:val="0"/>
        <w:spacing w:line="240" w:lineRule="auto"/>
        <w:jc w:val="both"/>
        <w:rPr>
          <w:rFonts w:cs="Arial"/>
          <w:szCs w:val="20"/>
        </w:rPr>
      </w:pPr>
      <w:r w:rsidRPr="009F7537">
        <w:rPr>
          <w:rFonts w:cs="Arial"/>
          <w:szCs w:val="20"/>
        </w:rPr>
        <w:t xml:space="preserve">Predlog zakona </w:t>
      </w:r>
      <w:r>
        <w:rPr>
          <w:rFonts w:cs="Arial"/>
          <w:szCs w:val="20"/>
        </w:rPr>
        <w:t xml:space="preserve">je pripravljen v skladu z načeli: </w:t>
      </w:r>
    </w:p>
    <w:p w14:paraId="2838BF0F" w14:textId="77777777" w:rsidR="00265EE4" w:rsidRDefault="00265EE4" w:rsidP="008E0F84">
      <w:pPr>
        <w:autoSpaceDE w:val="0"/>
        <w:autoSpaceDN w:val="0"/>
        <w:adjustRightInd w:val="0"/>
        <w:spacing w:line="240" w:lineRule="auto"/>
        <w:jc w:val="both"/>
        <w:rPr>
          <w:rFonts w:cs="Arial"/>
          <w:szCs w:val="20"/>
        </w:rPr>
      </w:pPr>
    </w:p>
    <w:p w14:paraId="5BD4E464" w14:textId="44B1B0D5" w:rsidR="00265EE4" w:rsidRDefault="00265EE4" w:rsidP="00265EE4">
      <w:pPr>
        <w:spacing w:line="240" w:lineRule="auto"/>
        <w:jc w:val="both"/>
        <w:rPr>
          <w:rFonts w:cs="Arial"/>
          <w:szCs w:val="20"/>
        </w:rPr>
      </w:pPr>
      <w:r>
        <w:rPr>
          <w:rFonts w:cs="Arial"/>
          <w:szCs w:val="20"/>
        </w:rPr>
        <w:t xml:space="preserve">1. </w:t>
      </w:r>
      <w:r w:rsidR="00210501">
        <w:rPr>
          <w:rFonts w:cs="Arial"/>
          <w:i/>
          <w:iCs/>
          <w:szCs w:val="20"/>
        </w:rPr>
        <w:t>n</w:t>
      </w:r>
      <w:r w:rsidRPr="00265EE4">
        <w:rPr>
          <w:rFonts w:cs="Arial"/>
          <w:i/>
          <w:iCs/>
          <w:szCs w:val="20"/>
        </w:rPr>
        <w:t>ačelo prožnosti in individualne izbire</w:t>
      </w:r>
      <w:r w:rsidRPr="00265EE4">
        <w:rPr>
          <w:rFonts w:cs="Arial"/>
          <w:szCs w:val="20"/>
        </w:rPr>
        <w:t xml:space="preserve">: </w:t>
      </w:r>
      <w:r>
        <w:rPr>
          <w:rFonts w:cs="Arial"/>
          <w:szCs w:val="20"/>
        </w:rPr>
        <w:t>t</w:t>
      </w:r>
      <w:r w:rsidRPr="00265EE4">
        <w:rPr>
          <w:rFonts w:cs="Arial"/>
          <w:szCs w:val="20"/>
        </w:rPr>
        <w:t>o načelo se nanaša na avtonomijo posameznika pri upravljanju svojih pravic, kar je v pravnem smislu pomembno. Vendar pa ima tudi močan ekonomski in socialni vidik, saj poudarja odgovornost posameznika za lastno finančno varnost</w:t>
      </w:r>
      <w:r>
        <w:rPr>
          <w:rFonts w:cs="Arial"/>
          <w:szCs w:val="20"/>
        </w:rPr>
        <w:t>;</w:t>
      </w:r>
    </w:p>
    <w:p w14:paraId="68E6BFF8" w14:textId="77777777" w:rsidR="00265EE4" w:rsidRDefault="00265EE4" w:rsidP="00265EE4">
      <w:pPr>
        <w:spacing w:line="240" w:lineRule="auto"/>
        <w:jc w:val="both"/>
        <w:rPr>
          <w:rFonts w:cs="Arial"/>
          <w:szCs w:val="20"/>
        </w:rPr>
      </w:pPr>
    </w:p>
    <w:p w14:paraId="7B04278B" w14:textId="6FD9C4A7" w:rsidR="00265EE4" w:rsidRDefault="00265EE4" w:rsidP="00265EE4">
      <w:pPr>
        <w:spacing w:line="240" w:lineRule="auto"/>
        <w:jc w:val="both"/>
        <w:rPr>
          <w:rFonts w:cs="Arial"/>
          <w:szCs w:val="20"/>
        </w:rPr>
      </w:pPr>
      <w:r>
        <w:rPr>
          <w:rFonts w:cs="Arial"/>
          <w:szCs w:val="20"/>
        </w:rPr>
        <w:t xml:space="preserve">2. </w:t>
      </w:r>
      <w:r w:rsidR="00210501">
        <w:rPr>
          <w:rFonts w:cs="Arial"/>
          <w:i/>
          <w:iCs/>
          <w:szCs w:val="20"/>
        </w:rPr>
        <w:t>n</w:t>
      </w:r>
      <w:r w:rsidRPr="00265EE4">
        <w:rPr>
          <w:rFonts w:cs="Arial"/>
          <w:i/>
          <w:iCs/>
          <w:szCs w:val="20"/>
        </w:rPr>
        <w:t>ačelo zaščite interesov zavarovancev</w:t>
      </w:r>
      <w:r w:rsidRPr="00265EE4">
        <w:rPr>
          <w:rFonts w:cs="Arial"/>
          <w:szCs w:val="20"/>
        </w:rPr>
        <w:t xml:space="preserve">: </w:t>
      </w:r>
      <w:r>
        <w:rPr>
          <w:rFonts w:cs="Arial"/>
          <w:szCs w:val="20"/>
        </w:rPr>
        <w:t>t</w:t>
      </w:r>
      <w:r w:rsidRPr="00265EE4">
        <w:rPr>
          <w:rFonts w:cs="Arial"/>
          <w:szCs w:val="20"/>
        </w:rPr>
        <w:t>o načelo zadeva varstvo pravic posameznikov v razmerju do finančnih institucij. Pravna država ima dolžnost zagotoviti, da so interesi šibkejših strank zaščiteni</w:t>
      </w:r>
      <w:r>
        <w:rPr>
          <w:rFonts w:cs="Arial"/>
          <w:szCs w:val="20"/>
        </w:rPr>
        <w:t>;</w:t>
      </w:r>
    </w:p>
    <w:p w14:paraId="7BF90650" w14:textId="77777777" w:rsidR="00265EE4" w:rsidRPr="00265EE4" w:rsidRDefault="00265EE4" w:rsidP="00265EE4">
      <w:pPr>
        <w:spacing w:line="240" w:lineRule="auto"/>
        <w:jc w:val="both"/>
        <w:rPr>
          <w:rFonts w:cs="Arial"/>
          <w:szCs w:val="20"/>
        </w:rPr>
      </w:pPr>
    </w:p>
    <w:p w14:paraId="3D953527" w14:textId="105A1C61" w:rsidR="00265EE4" w:rsidRDefault="00245392" w:rsidP="00265EE4">
      <w:pPr>
        <w:spacing w:line="240" w:lineRule="auto"/>
        <w:jc w:val="both"/>
        <w:rPr>
          <w:rFonts w:cs="Arial"/>
          <w:szCs w:val="20"/>
        </w:rPr>
      </w:pPr>
      <w:r>
        <w:rPr>
          <w:rFonts w:cs="Arial"/>
          <w:szCs w:val="20"/>
        </w:rPr>
        <w:t xml:space="preserve">3. </w:t>
      </w:r>
      <w:r w:rsidR="00210501">
        <w:rPr>
          <w:rFonts w:cs="Arial"/>
          <w:i/>
          <w:iCs/>
          <w:szCs w:val="20"/>
        </w:rPr>
        <w:t>n</w:t>
      </w:r>
      <w:r w:rsidR="00265EE4" w:rsidRPr="00265EE4">
        <w:rPr>
          <w:rFonts w:cs="Arial"/>
          <w:i/>
          <w:iCs/>
          <w:szCs w:val="20"/>
        </w:rPr>
        <w:t xml:space="preserve">ačelo </w:t>
      </w:r>
      <w:r w:rsidRPr="00245392">
        <w:rPr>
          <w:rFonts w:cs="Arial"/>
          <w:i/>
          <w:iCs/>
          <w:szCs w:val="20"/>
        </w:rPr>
        <w:t>preglednosti</w:t>
      </w:r>
      <w:r w:rsidR="00265EE4" w:rsidRPr="00265EE4">
        <w:rPr>
          <w:rFonts w:cs="Arial"/>
          <w:i/>
          <w:iCs/>
          <w:szCs w:val="20"/>
        </w:rPr>
        <w:t xml:space="preserve"> in informiranosti</w:t>
      </w:r>
      <w:r w:rsidR="00265EE4" w:rsidRPr="00265EE4">
        <w:rPr>
          <w:rFonts w:cs="Arial"/>
          <w:szCs w:val="20"/>
        </w:rPr>
        <w:t xml:space="preserve">: </w:t>
      </w:r>
      <w:r>
        <w:rPr>
          <w:rFonts w:cs="Arial"/>
          <w:szCs w:val="20"/>
        </w:rPr>
        <w:t>to načelo z</w:t>
      </w:r>
      <w:r w:rsidR="00265EE4" w:rsidRPr="00265EE4">
        <w:rPr>
          <w:rFonts w:cs="Arial"/>
          <w:szCs w:val="20"/>
        </w:rPr>
        <w:t>agotavlja, da so postopki in odločitve javni in razumljivi, kar krepi zaupanje v pravni sistem. Informiranost je nujna za uveljavljanje pravic</w:t>
      </w:r>
      <w:r>
        <w:rPr>
          <w:rFonts w:cs="Arial"/>
          <w:szCs w:val="20"/>
        </w:rPr>
        <w:t>;</w:t>
      </w:r>
    </w:p>
    <w:p w14:paraId="3E5063AA" w14:textId="77777777" w:rsidR="00245392" w:rsidRPr="00265EE4" w:rsidRDefault="00245392" w:rsidP="00265EE4">
      <w:pPr>
        <w:spacing w:line="240" w:lineRule="auto"/>
        <w:jc w:val="both"/>
        <w:rPr>
          <w:rFonts w:cs="Arial"/>
          <w:szCs w:val="20"/>
        </w:rPr>
      </w:pPr>
    </w:p>
    <w:p w14:paraId="42D3992F" w14:textId="3F920F77" w:rsidR="00265EE4" w:rsidRPr="00265EE4" w:rsidRDefault="00245392" w:rsidP="00265EE4">
      <w:pPr>
        <w:spacing w:line="240" w:lineRule="auto"/>
        <w:jc w:val="both"/>
        <w:rPr>
          <w:rFonts w:cs="Arial"/>
          <w:szCs w:val="20"/>
        </w:rPr>
      </w:pPr>
      <w:r>
        <w:rPr>
          <w:rFonts w:cs="Arial"/>
          <w:szCs w:val="20"/>
        </w:rPr>
        <w:t xml:space="preserve">4. </w:t>
      </w:r>
      <w:r w:rsidR="00210501">
        <w:rPr>
          <w:rFonts w:cs="Arial"/>
          <w:i/>
          <w:iCs/>
          <w:szCs w:val="20"/>
        </w:rPr>
        <w:t>n</w:t>
      </w:r>
      <w:r w:rsidR="00265EE4" w:rsidRPr="00265EE4">
        <w:rPr>
          <w:rFonts w:cs="Arial"/>
          <w:i/>
          <w:iCs/>
          <w:szCs w:val="20"/>
        </w:rPr>
        <w:t>ačelo ekonomske učinkovitosti</w:t>
      </w:r>
      <w:r w:rsidR="00265EE4" w:rsidRPr="00265EE4">
        <w:rPr>
          <w:rFonts w:cs="Arial"/>
          <w:szCs w:val="20"/>
        </w:rPr>
        <w:t xml:space="preserve">: </w:t>
      </w:r>
      <w:r>
        <w:rPr>
          <w:rFonts w:cs="Arial"/>
          <w:szCs w:val="20"/>
        </w:rPr>
        <w:t>t</w:t>
      </w:r>
      <w:r w:rsidR="00265EE4" w:rsidRPr="00265EE4">
        <w:rPr>
          <w:rFonts w:cs="Arial"/>
          <w:szCs w:val="20"/>
        </w:rPr>
        <w:t xml:space="preserve">o načelo se nanaša na </w:t>
      </w:r>
      <w:r w:rsidR="00210501">
        <w:rPr>
          <w:rFonts w:cs="Arial"/>
          <w:szCs w:val="20"/>
        </w:rPr>
        <w:t>gospodar</w:t>
      </w:r>
      <w:r w:rsidR="00265EE4" w:rsidRPr="00265EE4">
        <w:rPr>
          <w:rFonts w:cs="Arial"/>
          <w:szCs w:val="20"/>
        </w:rPr>
        <w:t>no uporabo sredstev in preprečevanje zlorab</w:t>
      </w:r>
      <w:r>
        <w:rPr>
          <w:rFonts w:cs="Arial"/>
          <w:szCs w:val="20"/>
        </w:rPr>
        <w:t>;</w:t>
      </w:r>
      <w:r w:rsidR="00265EE4" w:rsidRPr="00265EE4">
        <w:rPr>
          <w:rFonts w:cs="Arial"/>
          <w:szCs w:val="20"/>
        </w:rPr>
        <w:t xml:space="preserve"> </w:t>
      </w:r>
    </w:p>
    <w:p w14:paraId="4D0FB354" w14:textId="77777777" w:rsidR="00245392" w:rsidRDefault="00245392" w:rsidP="00265EE4">
      <w:pPr>
        <w:spacing w:line="240" w:lineRule="auto"/>
        <w:jc w:val="both"/>
        <w:rPr>
          <w:rFonts w:cs="Arial"/>
          <w:szCs w:val="20"/>
        </w:rPr>
      </w:pPr>
    </w:p>
    <w:p w14:paraId="3EC99B9E" w14:textId="61681794" w:rsidR="00265EE4" w:rsidRPr="00265EE4" w:rsidRDefault="00245392" w:rsidP="00265EE4">
      <w:pPr>
        <w:spacing w:line="240" w:lineRule="auto"/>
        <w:jc w:val="both"/>
        <w:rPr>
          <w:rFonts w:cs="Arial"/>
          <w:szCs w:val="20"/>
        </w:rPr>
      </w:pPr>
      <w:r>
        <w:rPr>
          <w:rFonts w:cs="Arial"/>
          <w:szCs w:val="20"/>
        </w:rPr>
        <w:t xml:space="preserve">5. </w:t>
      </w:r>
      <w:r w:rsidR="00210501">
        <w:rPr>
          <w:rFonts w:cs="Arial"/>
          <w:i/>
          <w:iCs/>
          <w:szCs w:val="20"/>
        </w:rPr>
        <w:t>n</w:t>
      </w:r>
      <w:r w:rsidR="00265EE4" w:rsidRPr="00265EE4">
        <w:rPr>
          <w:rFonts w:cs="Arial"/>
          <w:i/>
          <w:iCs/>
          <w:szCs w:val="20"/>
        </w:rPr>
        <w:t>ačelo varnosti izplačil</w:t>
      </w:r>
      <w:r w:rsidR="00265EE4" w:rsidRPr="00265EE4">
        <w:rPr>
          <w:rFonts w:cs="Arial"/>
          <w:szCs w:val="20"/>
        </w:rPr>
        <w:t xml:space="preserve">: </w:t>
      </w:r>
      <w:r>
        <w:rPr>
          <w:rFonts w:cs="Arial"/>
          <w:szCs w:val="20"/>
        </w:rPr>
        <w:t>t</w:t>
      </w:r>
      <w:r w:rsidR="00265EE4" w:rsidRPr="00265EE4">
        <w:rPr>
          <w:rFonts w:cs="Arial"/>
          <w:szCs w:val="20"/>
        </w:rPr>
        <w:t>o načelo se nanaša na zagotavljanje varnosti finančnih transakcij in izpolnjevanje obveznosti, ki izhajajo iz pravnih razmerij.</w:t>
      </w:r>
    </w:p>
    <w:p w14:paraId="37BB537A" w14:textId="77777777" w:rsidR="008C7901" w:rsidRDefault="008C7901" w:rsidP="008E0F84">
      <w:pPr>
        <w:spacing w:line="240" w:lineRule="auto"/>
        <w:jc w:val="both"/>
        <w:rPr>
          <w:rFonts w:cs="Arial"/>
          <w:b/>
          <w:szCs w:val="20"/>
        </w:rPr>
      </w:pPr>
      <w:bookmarkStart w:id="15" w:name="_Hlk55899654"/>
      <w:bookmarkStart w:id="16" w:name="_Hlk36040354"/>
    </w:p>
    <w:p w14:paraId="09235710" w14:textId="66DC97E0" w:rsidR="008E0F84" w:rsidRDefault="008E0F84" w:rsidP="008E0F84">
      <w:pPr>
        <w:spacing w:line="240" w:lineRule="auto"/>
        <w:jc w:val="both"/>
        <w:rPr>
          <w:rFonts w:cs="Arial"/>
          <w:b/>
          <w:szCs w:val="20"/>
        </w:rPr>
      </w:pPr>
      <w:r w:rsidRPr="00457816">
        <w:rPr>
          <w:rFonts w:cs="Arial"/>
          <w:b/>
          <w:szCs w:val="20"/>
        </w:rPr>
        <w:t>2.3. Poglavitne rešitve</w:t>
      </w:r>
    </w:p>
    <w:p w14:paraId="58833EC1" w14:textId="77777777" w:rsidR="0024283A" w:rsidRDefault="0024283A" w:rsidP="008E0F84">
      <w:pPr>
        <w:spacing w:line="240" w:lineRule="auto"/>
        <w:jc w:val="both"/>
        <w:rPr>
          <w:rFonts w:cs="Arial"/>
          <w:b/>
          <w:szCs w:val="20"/>
        </w:rPr>
      </w:pPr>
    </w:p>
    <w:p w14:paraId="50B9A689" w14:textId="21C29C74" w:rsidR="0024283A" w:rsidRPr="0024283A" w:rsidRDefault="0024283A" w:rsidP="008E0F84">
      <w:pPr>
        <w:spacing w:line="240" w:lineRule="auto"/>
        <w:jc w:val="both"/>
        <w:rPr>
          <w:rFonts w:cs="Arial"/>
          <w:bCs/>
          <w:szCs w:val="20"/>
        </w:rPr>
      </w:pPr>
      <w:r w:rsidRPr="0024283A">
        <w:rPr>
          <w:rFonts w:cs="Arial"/>
          <w:bCs/>
          <w:szCs w:val="20"/>
        </w:rPr>
        <w:t xml:space="preserve">Poglavitne rešitve predloga zakona so: </w:t>
      </w:r>
    </w:p>
    <w:bookmarkEnd w:id="15"/>
    <w:p w14:paraId="2BCFC646" w14:textId="77777777" w:rsidR="008E0F84" w:rsidRDefault="008E0F84" w:rsidP="008E0F84">
      <w:pPr>
        <w:spacing w:line="240" w:lineRule="auto"/>
        <w:jc w:val="both"/>
        <w:rPr>
          <w:rFonts w:cs="Arial"/>
          <w:szCs w:val="20"/>
        </w:rPr>
      </w:pPr>
    </w:p>
    <w:p w14:paraId="02BAB2F3" w14:textId="71A97D00" w:rsidR="0024283A" w:rsidRDefault="0024283A" w:rsidP="008E0F84">
      <w:pPr>
        <w:spacing w:line="240" w:lineRule="auto"/>
        <w:jc w:val="both"/>
        <w:rPr>
          <w:rFonts w:cs="Arial"/>
          <w:szCs w:val="20"/>
        </w:rPr>
      </w:pPr>
      <w:r>
        <w:rPr>
          <w:rFonts w:cs="Arial"/>
          <w:szCs w:val="20"/>
        </w:rPr>
        <w:t xml:space="preserve">1. </w:t>
      </w:r>
      <w:r w:rsidRPr="0024283A">
        <w:rPr>
          <w:rFonts w:cs="Arial"/>
          <w:i/>
          <w:iCs/>
          <w:szCs w:val="20"/>
        </w:rPr>
        <w:t>omogoč</w:t>
      </w:r>
      <w:r>
        <w:rPr>
          <w:rFonts w:cs="Arial"/>
          <w:i/>
          <w:iCs/>
          <w:szCs w:val="20"/>
        </w:rPr>
        <w:t>a se</w:t>
      </w:r>
      <w:r w:rsidRPr="0024283A">
        <w:rPr>
          <w:rFonts w:cs="Arial"/>
          <w:i/>
          <w:iCs/>
          <w:szCs w:val="20"/>
        </w:rPr>
        <w:t xml:space="preserve"> predčasn</w:t>
      </w:r>
      <w:r>
        <w:rPr>
          <w:rFonts w:cs="Arial"/>
          <w:i/>
          <w:iCs/>
          <w:szCs w:val="20"/>
        </w:rPr>
        <w:t>o</w:t>
      </w:r>
      <w:r w:rsidRPr="0024283A">
        <w:rPr>
          <w:rFonts w:cs="Arial"/>
          <w:i/>
          <w:iCs/>
          <w:szCs w:val="20"/>
        </w:rPr>
        <w:t xml:space="preserve"> izplačil</w:t>
      </w:r>
      <w:r>
        <w:rPr>
          <w:rFonts w:cs="Arial"/>
          <w:i/>
          <w:iCs/>
          <w:szCs w:val="20"/>
        </w:rPr>
        <w:t>o</w:t>
      </w:r>
      <w:r w:rsidRPr="0024283A">
        <w:rPr>
          <w:rFonts w:cs="Arial"/>
          <w:i/>
          <w:iCs/>
          <w:szCs w:val="20"/>
        </w:rPr>
        <w:t xml:space="preserve"> odkupne vrednosti police</w:t>
      </w:r>
      <w:r>
        <w:rPr>
          <w:rFonts w:cs="Arial"/>
          <w:szCs w:val="20"/>
        </w:rPr>
        <w:t xml:space="preserve">: predlog </w:t>
      </w:r>
      <w:r w:rsidRPr="0024283A">
        <w:rPr>
          <w:rFonts w:cs="Arial"/>
          <w:szCs w:val="20"/>
        </w:rPr>
        <w:t>zakona omogoča zavarovancem, da pred dopolnjenim 60. letom starosti zahtevajo izplačilo odkupne vrednosti police dodatnega pokojninskega zavarovanja</w:t>
      </w:r>
      <w:r>
        <w:rPr>
          <w:rFonts w:cs="Arial"/>
          <w:szCs w:val="20"/>
        </w:rPr>
        <w:t xml:space="preserve"> pri PPS</w:t>
      </w:r>
      <w:r w:rsidR="00D83F63">
        <w:rPr>
          <w:rFonts w:cs="Arial"/>
          <w:szCs w:val="20"/>
        </w:rPr>
        <w:t>;</w:t>
      </w:r>
    </w:p>
    <w:p w14:paraId="659FA8BF" w14:textId="77777777" w:rsidR="0024283A" w:rsidRDefault="0024283A" w:rsidP="008E0F84">
      <w:pPr>
        <w:spacing w:line="240" w:lineRule="auto"/>
        <w:jc w:val="both"/>
        <w:rPr>
          <w:rFonts w:cs="Arial"/>
          <w:szCs w:val="20"/>
        </w:rPr>
      </w:pPr>
    </w:p>
    <w:p w14:paraId="2FE5082F" w14:textId="5F564874" w:rsidR="0024283A" w:rsidRDefault="0024283A" w:rsidP="008E0F84">
      <w:pPr>
        <w:spacing w:line="240" w:lineRule="auto"/>
        <w:jc w:val="both"/>
        <w:rPr>
          <w:rFonts w:cs="Arial"/>
          <w:szCs w:val="20"/>
        </w:rPr>
      </w:pPr>
      <w:r>
        <w:rPr>
          <w:rFonts w:cs="Arial"/>
          <w:szCs w:val="20"/>
        </w:rPr>
        <w:t xml:space="preserve">2. </w:t>
      </w:r>
      <w:r w:rsidR="00085394" w:rsidRPr="00085394">
        <w:rPr>
          <w:rFonts w:cs="Arial"/>
          <w:i/>
          <w:iCs/>
          <w:szCs w:val="20"/>
        </w:rPr>
        <w:t>uvaja se možnost za enkratno izplačilo odkupne vrednosti rente</w:t>
      </w:r>
      <w:r w:rsidR="00085394">
        <w:rPr>
          <w:rFonts w:cs="Arial"/>
          <w:szCs w:val="20"/>
        </w:rPr>
        <w:t xml:space="preserve">: </w:t>
      </w:r>
      <w:r w:rsidR="00D83F63">
        <w:rPr>
          <w:rFonts w:cs="Arial"/>
          <w:szCs w:val="20"/>
        </w:rPr>
        <w:t xml:space="preserve">predlog zakona </w:t>
      </w:r>
      <w:r w:rsidR="00D83F63" w:rsidRPr="00D83F63">
        <w:rPr>
          <w:rFonts w:cs="Arial"/>
          <w:szCs w:val="20"/>
        </w:rPr>
        <w:t xml:space="preserve">uvaja možnost za vse prejemnike mesečne pokojninske rente, da </w:t>
      </w:r>
      <w:r w:rsidR="00210501">
        <w:rPr>
          <w:rFonts w:cs="Arial"/>
          <w:szCs w:val="20"/>
        </w:rPr>
        <w:t>vloži</w:t>
      </w:r>
      <w:r w:rsidR="00D83F63" w:rsidRPr="00D83F63">
        <w:rPr>
          <w:rFonts w:cs="Arial"/>
          <w:szCs w:val="20"/>
        </w:rPr>
        <w:t>jo zahtevek za enkratno izplačilo odkupne vrednosti rente. To pomeni, da ne glede na višino njihovega premoženja lahko vsi upravičenci zahtevajo enkratno izplačilo. S tem se odpravlja omejitev iz sedanje ureditve, ki je to možnost omogočala samo tistim z zneskom premoženja pod določenim pragom. Nov</w:t>
      </w:r>
      <w:r w:rsidR="00210501">
        <w:rPr>
          <w:rFonts w:cs="Arial"/>
          <w:szCs w:val="20"/>
        </w:rPr>
        <w:t>i</w:t>
      </w:r>
      <w:r w:rsidR="00D83F63" w:rsidRPr="00D83F63">
        <w:rPr>
          <w:rFonts w:cs="Arial"/>
          <w:szCs w:val="20"/>
        </w:rPr>
        <w:t xml:space="preserve"> zakon določa </w:t>
      </w:r>
      <w:r w:rsidR="00131EE0">
        <w:rPr>
          <w:rFonts w:cs="Arial"/>
          <w:szCs w:val="20"/>
        </w:rPr>
        <w:t>6</w:t>
      </w:r>
      <w:r w:rsidR="00D83F63" w:rsidRPr="00D83F63">
        <w:rPr>
          <w:rFonts w:cs="Arial"/>
          <w:szCs w:val="20"/>
        </w:rPr>
        <w:t>-mesečno čakalno dobo, način izračuna odkupne vrednosti in postopek v primeru smrti prejemnika rente</w:t>
      </w:r>
      <w:r w:rsidR="00074825">
        <w:rPr>
          <w:rFonts w:cs="Arial"/>
          <w:szCs w:val="20"/>
        </w:rPr>
        <w:t xml:space="preserve">. </w:t>
      </w:r>
    </w:p>
    <w:p w14:paraId="34AC7714" w14:textId="77777777" w:rsidR="00D83F63" w:rsidRDefault="00D83F63" w:rsidP="008E0F84">
      <w:pPr>
        <w:spacing w:line="240" w:lineRule="auto"/>
        <w:jc w:val="both"/>
        <w:rPr>
          <w:rFonts w:cs="Arial"/>
          <w:szCs w:val="20"/>
        </w:rPr>
      </w:pPr>
    </w:p>
    <w:bookmarkEnd w:id="4"/>
    <w:bookmarkEnd w:id="16"/>
    <w:p w14:paraId="1CA8464B" w14:textId="77777777" w:rsidR="00E77E25" w:rsidRDefault="00E77E25" w:rsidP="008E0F84">
      <w:pPr>
        <w:spacing w:line="240" w:lineRule="auto"/>
        <w:jc w:val="both"/>
        <w:rPr>
          <w:rFonts w:cs="Arial"/>
          <w:szCs w:val="20"/>
        </w:rPr>
      </w:pPr>
    </w:p>
    <w:p w14:paraId="7891647C" w14:textId="77777777" w:rsidR="00102A0E" w:rsidRDefault="00102A0E" w:rsidP="008E0F84">
      <w:pPr>
        <w:spacing w:line="240" w:lineRule="auto"/>
        <w:jc w:val="both"/>
        <w:rPr>
          <w:rFonts w:cs="Arial"/>
          <w:szCs w:val="20"/>
        </w:rPr>
      </w:pPr>
    </w:p>
    <w:p w14:paraId="3F1CB6DD" w14:textId="77777777" w:rsidR="00102A0E" w:rsidRDefault="00102A0E" w:rsidP="008E0F84">
      <w:pPr>
        <w:spacing w:line="240" w:lineRule="auto"/>
        <w:jc w:val="both"/>
        <w:rPr>
          <w:rFonts w:cs="Arial"/>
          <w:szCs w:val="20"/>
        </w:rPr>
      </w:pPr>
    </w:p>
    <w:p w14:paraId="68F49599" w14:textId="77777777" w:rsidR="00C66B56" w:rsidRDefault="00C66B56" w:rsidP="008E0F84">
      <w:pPr>
        <w:spacing w:line="240" w:lineRule="auto"/>
        <w:jc w:val="both"/>
        <w:rPr>
          <w:rFonts w:cs="Arial"/>
          <w:szCs w:val="20"/>
        </w:rPr>
      </w:pPr>
    </w:p>
    <w:p w14:paraId="747C3D59" w14:textId="77777777" w:rsidR="008E0F84" w:rsidRPr="00457816" w:rsidRDefault="008E0F84" w:rsidP="00871993">
      <w:pPr>
        <w:numPr>
          <w:ilvl w:val="0"/>
          <w:numId w:val="4"/>
        </w:numPr>
        <w:spacing w:line="240" w:lineRule="auto"/>
        <w:rPr>
          <w:rFonts w:cs="Arial"/>
          <w:b/>
          <w:szCs w:val="20"/>
        </w:rPr>
      </w:pPr>
      <w:r w:rsidRPr="00457816">
        <w:rPr>
          <w:rFonts w:cs="Arial"/>
          <w:b/>
          <w:szCs w:val="20"/>
        </w:rPr>
        <w:lastRenderedPageBreak/>
        <w:t>OCENA FINANČNIH POSLEDIC PREDLOGA ZAKONA ZA DRŽAVNI PRORAČUN IN DRUGA JAVNA FINANČNA SREDSTVA</w:t>
      </w:r>
    </w:p>
    <w:p w14:paraId="5D4A6C47" w14:textId="77777777" w:rsidR="008E0F84" w:rsidRDefault="008E0F84" w:rsidP="008E0F84">
      <w:pPr>
        <w:spacing w:line="240" w:lineRule="auto"/>
        <w:rPr>
          <w:rFonts w:cs="Arial"/>
          <w:b/>
          <w:szCs w:val="20"/>
        </w:rPr>
      </w:pPr>
    </w:p>
    <w:p w14:paraId="78E54C99" w14:textId="187950FD" w:rsidR="00C44B6E" w:rsidRPr="00C44B6E" w:rsidRDefault="00C44B6E" w:rsidP="008E0F84">
      <w:pPr>
        <w:spacing w:line="240" w:lineRule="auto"/>
        <w:rPr>
          <w:rFonts w:cs="Arial"/>
          <w:bCs/>
          <w:szCs w:val="20"/>
        </w:rPr>
      </w:pPr>
      <w:r w:rsidRPr="00C44B6E">
        <w:rPr>
          <w:rFonts w:cs="Arial"/>
          <w:bCs/>
          <w:szCs w:val="20"/>
        </w:rPr>
        <w:t xml:space="preserve">Predlog zakona nima </w:t>
      </w:r>
      <w:r>
        <w:rPr>
          <w:rFonts w:cs="Arial"/>
          <w:bCs/>
          <w:szCs w:val="20"/>
        </w:rPr>
        <w:t xml:space="preserve">finančnih posledic za proračun in druga javna finančna sredstva. </w:t>
      </w:r>
    </w:p>
    <w:p w14:paraId="7B2B69F6" w14:textId="77777777" w:rsidR="00C44B6E" w:rsidRDefault="00C44B6E" w:rsidP="00834EDF">
      <w:pPr>
        <w:spacing w:line="240" w:lineRule="auto"/>
        <w:jc w:val="both"/>
        <w:rPr>
          <w:rFonts w:cs="Arial"/>
          <w:szCs w:val="20"/>
        </w:rPr>
      </w:pPr>
    </w:p>
    <w:p w14:paraId="59225205" w14:textId="772FADCC" w:rsidR="005C224E" w:rsidRPr="005C224E" w:rsidRDefault="005C224E" w:rsidP="00834EDF">
      <w:pPr>
        <w:spacing w:line="240" w:lineRule="auto"/>
        <w:jc w:val="both"/>
        <w:rPr>
          <w:rFonts w:cs="Arial"/>
          <w:szCs w:val="20"/>
        </w:rPr>
      </w:pPr>
      <w:r>
        <w:rPr>
          <w:rFonts w:cs="Arial"/>
          <w:szCs w:val="20"/>
        </w:rPr>
        <w:t>Ocenjuje se</w:t>
      </w:r>
      <w:r w:rsidRPr="005C224E">
        <w:rPr>
          <w:rFonts w:cs="Arial"/>
          <w:szCs w:val="20"/>
        </w:rPr>
        <w:t>, da predlagane spremembe ZPSPID</w:t>
      </w:r>
      <w:r>
        <w:rPr>
          <w:rFonts w:cs="Arial"/>
          <w:szCs w:val="20"/>
        </w:rPr>
        <w:t xml:space="preserve"> </w:t>
      </w:r>
      <w:r w:rsidRPr="005C224E">
        <w:rPr>
          <w:rFonts w:cs="Arial"/>
          <w:szCs w:val="20"/>
        </w:rPr>
        <w:t>ne bodo imele finančnih posledic za proračun Republike Slovenije oziroma je možnost aktivacije državnega jamstva</w:t>
      </w:r>
      <w:r>
        <w:rPr>
          <w:rFonts w:cs="Arial"/>
          <w:szCs w:val="20"/>
        </w:rPr>
        <w:t xml:space="preserve"> v skladu z devetim odstavkom 32. člena ZPSPID</w:t>
      </w:r>
      <w:r w:rsidRPr="005C224E">
        <w:rPr>
          <w:rFonts w:cs="Arial"/>
          <w:szCs w:val="20"/>
        </w:rPr>
        <w:t xml:space="preserve"> minimalna. </w:t>
      </w:r>
      <w:r>
        <w:rPr>
          <w:rFonts w:cs="Arial"/>
          <w:szCs w:val="20"/>
        </w:rPr>
        <w:t>Ocena</w:t>
      </w:r>
      <w:r w:rsidRPr="005C224E">
        <w:rPr>
          <w:rFonts w:cs="Arial"/>
          <w:szCs w:val="20"/>
        </w:rPr>
        <w:t xml:space="preserve"> temelji na natančno določenem vrstnem redu zagotavljanja sredstev za poplačilo upravičencev Prvega pokojninskega sklada (PPS).</w:t>
      </w:r>
    </w:p>
    <w:p w14:paraId="14B166E1" w14:textId="77777777" w:rsidR="005C224E" w:rsidRPr="005C224E" w:rsidRDefault="005C224E" w:rsidP="00834EDF">
      <w:pPr>
        <w:spacing w:line="240" w:lineRule="auto"/>
        <w:jc w:val="both"/>
        <w:rPr>
          <w:rFonts w:cs="Arial"/>
          <w:szCs w:val="20"/>
        </w:rPr>
      </w:pPr>
    </w:p>
    <w:p w14:paraId="35074648" w14:textId="4DF1E069" w:rsidR="008E0F84" w:rsidRDefault="0021283D" w:rsidP="00761D0C">
      <w:pPr>
        <w:spacing w:line="240" w:lineRule="auto"/>
        <w:jc w:val="both"/>
        <w:rPr>
          <w:rFonts w:cs="Arial"/>
          <w:szCs w:val="20"/>
        </w:rPr>
      </w:pPr>
      <w:r>
        <w:rPr>
          <w:rFonts w:cs="Arial"/>
          <w:szCs w:val="20"/>
        </w:rPr>
        <w:t>V s</w:t>
      </w:r>
      <w:r w:rsidR="005C224E" w:rsidRPr="005C224E">
        <w:rPr>
          <w:rFonts w:cs="Arial"/>
          <w:szCs w:val="20"/>
        </w:rPr>
        <w:t>klad</w:t>
      </w:r>
      <w:r>
        <w:rPr>
          <w:rFonts w:cs="Arial"/>
          <w:szCs w:val="20"/>
        </w:rPr>
        <w:t>u</w:t>
      </w:r>
      <w:r w:rsidR="005C224E" w:rsidRPr="005C224E">
        <w:rPr>
          <w:rFonts w:cs="Arial"/>
          <w:szCs w:val="20"/>
        </w:rPr>
        <w:t xml:space="preserve"> z devetim odstavkom 32. člena ZPSPID se za izplačilo zajamčenega donosa najprej uporabi premoženje samega PPS. Če ta sredstva ne zadoščajo, se aktivira premoženje Modre zavarovalnice, ki kot pravni naslednik Kapitalske družbe nosi obveznosti v zvezi s PPS, vključno z obveznostmi iz 313. člena Zakona o pokojninskem in invalidskem zavarovanju (Uradni list RS, št. 48/22 – uradno prečiščeno besedilo, 40/23 – ZČmIS-1, 78/23 – ZORR, 84/23 – ZDOsk-1, 125/23 – </w:t>
      </w:r>
      <w:proofErr w:type="spellStart"/>
      <w:r w:rsidR="005C224E" w:rsidRPr="005C224E">
        <w:rPr>
          <w:rFonts w:cs="Arial"/>
          <w:szCs w:val="20"/>
        </w:rPr>
        <w:t>odl</w:t>
      </w:r>
      <w:proofErr w:type="spellEnd"/>
      <w:r w:rsidR="005C224E" w:rsidRPr="005C224E">
        <w:rPr>
          <w:rFonts w:cs="Arial"/>
          <w:szCs w:val="20"/>
        </w:rPr>
        <w:t>. US in 133/23</w:t>
      </w:r>
      <w:r w:rsidR="005C224E">
        <w:rPr>
          <w:rFonts w:cs="Arial"/>
          <w:szCs w:val="20"/>
        </w:rPr>
        <w:t xml:space="preserve">; </w:t>
      </w:r>
      <w:r w:rsidR="005C224E" w:rsidRPr="005C224E">
        <w:rPr>
          <w:rFonts w:cs="Arial"/>
          <w:szCs w:val="20"/>
        </w:rPr>
        <w:t xml:space="preserve">ZPIZ-2). Ta člen Modri zavarovalnici nalaga oblikovanje rezervacij in po potrebi vplačilo dodatnih sredstev za zagotovitev zajamčene vrednosti. Šele če premoženje PPS in Modre zavarovalnice ne zadošča, </w:t>
      </w:r>
      <w:r w:rsidR="005C224E">
        <w:rPr>
          <w:rFonts w:cs="Arial"/>
          <w:szCs w:val="20"/>
        </w:rPr>
        <w:t xml:space="preserve">za zajamčeni donos </w:t>
      </w:r>
      <w:r w:rsidR="005C224E" w:rsidRPr="005C224E">
        <w:rPr>
          <w:rFonts w:cs="Arial"/>
          <w:szCs w:val="20"/>
        </w:rPr>
        <w:t>subsidiarno jamči Republika Slovenija. Zaradi te ureditve in obveznosti Modre zavarovalnice iz ZPIZ-2 ocenjujemo, da je verjetnost aktivacije državnega jamstva izjemno majhna</w:t>
      </w:r>
      <w:r w:rsidR="005C224E">
        <w:rPr>
          <w:rFonts w:cs="Arial"/>
          <w:szCs w:val="20"/>
        </w:rPr>
        <w:t xml:space="preserve"> oziroma nična</w:t>
      </w:r>
      <w:r w:rsidR="005C224E" w:rsidRPr="005C224E">
        <w:rPr>
          <w:rFonts w:cs="Arial"/>
          <w:szCs w:val="20"/>
        </w:rPr>
        <w:t>.</w:t>
      </w:r>
    </w:p>
    <w:p w14:paraId="7E025345" w14:textId="77777777" w:rsidR="00435300" w:rsidRDefault="00435300" w:rsidP="00761D0C">
      <w:pPr>
        <w:spacing w:line="240" w:lineRule="auto"/>
        <w:jc w:val="both"/>
        <w:rPr>
          <w:rFonts w:cs="Arial"/>
          <w:szCs w:val="20"/>
        </w:rPr>
      </w:pPr>
    </w:p>
    <w:p w14:paraId="5D518541" w14:textId="77777777" w:rsidR="00834EDF" w:rsidRPr="00457816" w:rsidRDefault="00834EDF" w:rsidP="008E0F84">
      <w:pPr>
        <w:spacing w:line="240" w:lineRule="auto"/>
        <w:rPr>
          <w:rFonts w:cs="Arial"/>
          <w:szCs w:val="20"/>
        </w:rPr>
      </w:pPr>
    </w:p>
    <w:p w14:paraId="732010F2" w14:textId="77777777" w:rsidR="008E0F84" w:rsidRPr="00457816" w:rsidRDefault="008E0F84" w:rsidP="00871993">
      <w:pPr>
        <w:numPr>
          <w:ilvl w:val="0"/>
          <w:numId w:val="4"/>
        </w:numPr>
        <w:spacing w:line="240" w:lineRule="auto"/>
        <w:jc w:val="both"/>
        <w:rPr>
          <w:rFonts w:cs="Arial"/>
          <w:b/>
          <w:szCs w:val="20"/>
        </w:rPr>
      </w:pPr>
      <w:r w:rsidRPr="00457816">
        <w:rPr>
          <w:rFonts w:cs="Arial"/>
          <w:b/>
          <w:szCs w:val="20"/>
        </w:rPr>
        <w:t>NAVEDBA, DA SO SREDSTVA ZA IZVAJANJE ZAKONA V DRŽAVNEM PRORAČUNU ZAGOTOVLJENA, ČE PREDLOG ZAKONA PREDVIDEVA PORABO PRORAČUNSKIH SREDSTEV V OBDOBJU, ZA KATERO JE BIL DRŽAVNI PRORAČUN ŽE SPREJET</w:t>
      </w:r>
    </w:p>
    <w:p w14:paraId="3036F71F" w14:textId="77777777" w:rsidR="008E0F84" w:rsidRPr="00457816" w:rsidRDefault="008E0F84" w:rsidP="008E0F84">
      <w:pPr>
        <w:spacing w:line="240" w:lineRule="auto"/>
        <w:rPr>
          <w:rFonts w:cs="Arial"/>
          <w:szCs w:val="20"/>
        </w:rPr>
      </w:pPr>
    </w:p>
    <w:p w14:paraId="3EDD6ABE" w14:textId="5F4E05BA" w:rsidR="005D026A" w:rsidRDefault="00D66DDA" w:rsidP="008E0F84">
      <w:pPr>
        <w:spacing w:line="240" w:lineRule="auto"/>
        <w:rPr>
          <w:rFonts w:cs="Arial"/>
          <w:szCs w:val="20"/>
        </w:rPr>
      </w:pPr>
      <w:r>
        <w:rPr>
          <w:rFonts w:cs="Arial"/>
          <w:szCs w:val="20"/>
        </w:rPr>
        <w:t xml:space="preserve">Za izvajanje zakona ni treba zagotoviti dodatnih finančnih sredstev v sprejetem državnem proračunu. </w:t>
      </w:r>
    </w:p>
    <w:p w14:paraId="323037B1" w14:textId="77777777" w:rsidR="00D66DDA" w:rsidRDefault="00D66DDA" w:rsidP="008E0F84">
      <w:pPr>
        <w:spacing w:line="240" w:lineRule="auto"/>
        <w:rPr>
          <w:rFonts w:cs="Arial"/>
          <w:szCs w:val="20"/>
        </w:rPr>
      </w:pPr>
    </w:p>
    <w:p w14:paraId="4F54D1B7" w14:textId="77777777" w:rsidR="008E0F84" w:rsidRDefault="008E0F84" w:rsidP="00871993">
      <w:pPr>
        <w:numPr>
          <w:ilvl w:val="0"/>
          <w:numId w:val="4"/>
        </w:numPr>
        <w:spacing w:line="240" w:lineRule="auto"/>
        <w:jc w:val="both"/>
        <w:rPr>
          <w:rFonts w:cs="Arial"/>
          <w:b/>
          <w:szCs w:val="20"/>
        </w:rPr>
      </w:pPr>
      <w:bookmarkStart w:id="17" w:name="_Hlk55537161"/>
      <w:r w:rsidRPr="00457816">
        <w:rPr>
          <w:rFonts w:cs="Arial"/>
          <w:b/>
          <w:szCs w:val="20"/>
        </w:rPr>
        <w:t xml:space="preserve">PRIKAZ UREDITVE V DRUGIH PRAVNIH SISTEMIH </w:t>
      </w:r>
      <w:bookmarkEnd w:id="17"/>
      <w:r w:rsidRPr="00457816">
        <w:rPr>
          <w:rFonts w:cs="Arial"/>
          <w:b/>
          <w:szCs w:val="20"/>
        </w:rPr>
        <w:t>IN PRILAGOJENOSTI PREDLAGANE UREDITVE PRAVU EVROPSKE UNIJE</w:t>
      </w:r>
    </w:p>
    <w:p w14:paraId="71CFAC24" w14:textId="77777777" w:rsidR="00BE353F" w:rsidRDefault="00BE353F" w:rsidP="00BE353F">
      <w:pPr>
        <w:spacing w:line="240" w:lineRule="auto"/>
        <w:jc w:val="both"/>
        <w:rPr>
          <w:rFonts w:cs="Arial"/>
          <w:b/>
          <w:szCs w:val="20"/>
        </w:rPr>
      </w:pPr>
    </w:p>
    <w:p w14:paraId="5672EFA7" w14:textId="50781440" w:rsidR="00D66DDA" w:rsidRDefault="00D66DDA" w:rsidP="00BE353F">
      <w:pPr>
        <w:spacing w:line="240" w:lineRule="auto"/>
        <w:jc w:val="both"/>
        <w:rPr>
          <w:rFonts w:cs="Arial"/>
          <w:bCs/>
          <w:szCs w:val="20"/>
        </w:rPr>
      </w:pPr>
      <w:r>
        <w:rPr>
          <w:rFonts w:cs="Arial"/>
          <w:bCs/>
          <w:szCs w:val="20"/>
        </w:rPr>
        <w:t xml:space="preserve">Predlog zakona ni predmet usklajevanja s pravnim redom EU. </w:t>
      </w:r>
    </w:p>
    <w:p w14:paraId="21A8615A" w14:textId="77777777" w:rsidR="00D66DDA" w:rsidRDefault="00D66DDA" w:rsidP="00BE353F">
      <w:pPr>
        <w:spacing w:line="240" w:lineRule="auto"/>
        <w:jc w:val="both"/>
        <w:rPr>
          <w:rFonts w:cs="Arial"/>
          <w:bCs/>
          <w:szCs w:val="20"/>
        </w:rPr>
      </w:pPr>
    </w:p>
    <w:p w14:paraId="2C24EC0B" w14:textId="1260ABB8" w:rsidR="00BE353F" w:rsidRDefault="003D4DD5" w:rsidP="00BE353F">
      <w:pPr>
        <w:spacing w:line="240" w:lineRule="auto"/>
        <w:jc w:val="both"/>
        <w:rPr>
          <w:rFonts w:cs="Arial"/>
          <w:bCs/>
          <w:szCs w:val="20"/>
        </w:rPr>
      </w:pPr>
      <w:r w:rsidRPr="003D4DD5">
        <w:rPr>
          <w:rFonts w:cs="Arial"/>
          <w:bCs/>
          <w:szCs w:val="20"/>
        </w:rPr>
        <w:t xml:space="preserve">PPS </w:t>
      </w:r>
      <w:r w:rsidR="006E3412">
        <w:rPr>
          <w:rFonts w:cs="Arial"/>
          <w:bCs/>
          <w:szCs w:val="20"/>
        </w:rPr>
        <w:t>je</w:t>
      </w:r>
      <w:r w:rsidR="006E3412" w:rsidRPr="003D4DD5">
        <w:rPr>
          <w:rFonts w:cs="Arial"/>
          <w:bCs/>
          <w:szCs w:val="20"/>
        </w:rPr>
        <w:t xml:space="preserve"> </w:t>
      </w:r>
      <w:r w:rsidRPr="003D4DD5">
        <w:rPr>
          <w:rFonts w:cs="Arial"/>
          <w:bCs/>
          <w:szCs w:val="20"/>
        </w:rPr>
        <w:t>unikatn</w:t>
      </w:r>
      <w:r w:rsidR="006E3412">
        <w:rPr>
          <w:rFonts w:cs="Arial"/>
          <w:bCs/>
          <w:szCs w:val="20"/>
        </w:rPr>
        <w:t>a</w:t>
      </w:r>
      <w:r w:rsidRPr="003D4DD5">
        <w:rPr>
          <w:rFonts w:cs="Arial"/>
          <w:bCs/>
          <w:szCs w:val="20"/>
        </w:rPr>
        <w:t xml:space="preserve"> rešitev v slovenskem pokojninskem sistemu, saj je nastal kot posledica specifičnih tranzicijskih procesov ob prehodu v tržno gospodarstvo. Njegova ustanovitev in nadaljnje delovanje sta tesno povezana z zamenjavo pokojninskih bonov za zavarovalne police, kar ga ločuje od standardnih pokojninskih skladov, ki delujejo v Evropski uniji. Zaradi svoje edinstvene zgodovine in namena zakonodajna ureditev PPS odraža potrebo po prilagoditvi na specifične okoliščine, ki so zaznamovale slovensko tranzicijo.</w:t>
      </w:r>
    </w:p>
    <w:p w14:paraId="00F01367" w14:textId="77777777" w:rsidR="00AC13B6" w:rsidRDefault="00AC13B6" w:rsidP="00BE353F">
      <w:pPr>
        <w:spacing w:line="240" w:lineRule="auto"/>
        <w:jc w:val="both"/>
        <w:rPr>
          <w:rFonts w:cs="Arial"/>
          <w:bCs/>
          <w:szCs w:val="20"/>
        </w:rPr>
      </w:pPr>
    </w:p>
    <w:p w14:paraId="0A61E956" w14:textId="31BECA23" w:rsidR="00A40228" w:rsidRDefault="00797B1D" w:rsidP="00AC13B6">
      <w:pPr>
        <w:spacing w:line="240" w:lineRule="auto"/>
        <w:jc w:val="both"/>
        <w:rPr>
          <w:rFonts w:cs="Arial"/>
          <w:bCs/>
          <w:szCs w:val="20"/>
        </w:rPr>
      </w:pPr>
      <w:r w:rsidRPr="00797B1D">
        <w:rPr>
          <w:rFonts w:cs="Arial"/>
          <w:bCs/>
          <w:szCs w:val="20"/>
        </w:rPr>
        <w:t xml:space="preserve">Čeprav so pokojninske politike držav članic EU pretežno v nacionalni pristojnosti, pravni okvir EU </w:t>
      </w:r>
      <w:r w:rsidR="006E3412">
        <w:rPr>
          <w:rFonts w:cs="Arial"/>
          <w:bCs/>
          <w:szCs w:val="20"/>
        </w:rPr>
        <w:t>kljub temu</w:t>
      </w:r>
      <w:r w:rsidR="006E3412" w:rsidRPr="00797B1D">
        <w:rPr>
          <w:rFonts w:cs="Arial"/>
          <w:bCs/>
          <w:szCs w:val="20"/>
        </w:rPr>
        <w:t xml:space="preserve"> </w:t>
      </w:r>
      <w:r w:rsidRPr="00797B1D">
        <w:rPr>
          <w:rFonts w:cs="Arial"/>
          <w:bCs/>
          <w:szCs w:val="20"/>
        </w:rPr>
        <w:t>določa nekatere ključne vidike, povezane s pokojninami. Ti vključujejo varstvo pravic v primeru čezmejne mobilnosti, varstvo potrošnikov, enakost spolov in vzpostavitev enotnega trga za dodatne pokojnine. Poleg tega Evropska unija aktivno podpira prizadevanja držav članic za zagotavljanje ustreznih in vzdržnih pokojnin prek mehanizmov, kot so evropski semester, evropski steber socialnih pravic in odprta metoda usklajevanja, ki spodbuja vzajemno učenje in izmenjavo najboljših praks.</w:t>
      </w:r>
    </w:p>
    <w:p w14:paraId="70C77E3B" w14:textId="77777777" w:rsidR="00797B1D" w:rsidRDefault="00797B1D" w:rsidP="00AC13B6">
      <w:pPr>
        <w:spacing w:line="240" w:lineRule="auto"/>
        <w:jc w:val="both"/>
        <w:rPr>
          <w:rFonts w:cs="Arial"/>
          <w:bCs/>
          <w:szCs w:val="20"/>
        </w:rPr>
      </w:pPr>
    </w:p>
    <w:p w14:paraId="1CE047D1" w14:textId="7F5D7994" w:rsidR="003D4DD5" w:rsidRDefault="00797B1D" w:rsidP="00BE353F">
      <w:pPr>
        <w:spacing w:line="240" w:lineRule="auto"/>
        <w:jc w:val="both"/>
        <w:rPr>
          <w:rFonts w:cs="Arial"/>
          <w:bCs/>
          <w:szCs w:val="20"/>
        </w:rPr>
      </w:pPr>
      <w:r w:rsidRPr="00797B1D">
        <w:rPr>
          <w:rFonts w:cs="Arial"/>
          <w:bCs/>
          <w:szCs w:val="20"/>
        </w:rPr>
        <w:t xml:space="preserve">Pokojninski sistemi držav članic EU se med seboj razlikujejo glede na dolžino obveznega socialnega zavarovanja, stopnjo prispevkov, vire financiranja, obseg upravičencev, višino izplačil in vzdržnost celotnega sistema. Ti sistemi obsegajo tako javni kot zasebni del in so običajno organizirani v treh stebrih. Prvi steber </w:t>
      </w:r>
      <w:r w:rsidR="006E3412">
        <w:rPr>
          <w:rFonts w:cs="Arial"/>
          <w:bCs/>
          <w:szCs w:val="20"/>
        </w:rPr>
        <w:t>s</w:t>
      </w:r>
      <w:r w:rsidRPr="00797B1D">
        <w:rPr>
          <w:rFonts w:cs="Arial"/>
          <w:bCs/>
          <w:szCs w:val="20"/>
        </w:rPr>
        <w:t>o javne, zakonsko določene pokojnine (obvezne), drugi steber pokriva poklicne pokojnine (navidezno obvezne, vezane na dohodek), tretji steber pa osebne pokojnine (prostovoljne, vezane na zaslužek).</w:t>
      </w:r>
    </w:p>
    <w:p w14:paraId="688AA05A" w14:textId="77777777" w:rsidR="00797B1D" w:rsidRDefault="00797B1D" w:rsidP="000956AC">
      <w:pPr>
        <w:spacing w:line="240" w:lineRule="auto"/>
        <w:jc w:val="both"/>
        <w:rPr>
          <w:rFonts w:cs="Arial"/>
          <w:bCs/>
          <w:szCs w:val="20"/>
        </w:rPr>
      </w:pPr>
    </w:p>
    <w:p w14:paraId="486C1920" w14:textId="77777777" w:rsidR="00797B1D" w:rsidRPr="00797B1D" w:rsidRDefault="00797B1D" w:rsidP="00797B1D">
      <w:pPr>
        <w:spacing w:line="240" w:lineRule="auto"/>
        <w:jc w:val="both"/>
        <w:rPr>
          <w:rFonts w:cs="Arial"/>
          <w:bCs/>
          <w:szCs w:val="20"/>
        </w:rPr>
      </w:pPr>
      <w:r w:rsidRPr="00797B1D">
        <w:rPr>
          <w:rFonts w:cs="Arial"/>
          <w:bCs/>
          <w:szCs w:val="20"/>
        </w:rPr>
        <w:t>V državah, kjer je cilj ohranjanja dohodka močno integriran v javni pokojninski sistem, je vloga dodatnih pokojnin običajno bolj omejena kot v državah, kjer javne pokojnine zagotavljajo le osnovno zaščito.</w:t>
      </w:r>
    </w:p>
    <w:p w14:paraId="760CCB52" w14:textId="77777777" w:rsidR="00797B1D" w:rsidRPr="00797B1D" w:rsidRDefault="00797B1D" w:rsidP="00797B1D">
      <w:pPr>
        <w:spacing w:line="240" w:lineRule="auto"/>
        <w:jc w:val="both"/>
        <w:rPr>
          <w:rFonts w:cs="Arial"/>
          <w:bCs/>
          <w:szCs w:val="20"/>
        </w:rPr>
      </w:pPr>
    </w:p>
    <w:p w14:paraId="78417959" w14:textId="76133BDC" w:rsidR="009C0F19" w:rsidRDefault="00797B1D" w:rsidP="00797B1D">
      <w:pPr>
        <w:spacing w:line="240" w:lineRule="auto"/>
        <w:jc w:val="both"/>
        <w:rPr>
          <w:rFonts w:cs="Arial"/>
          <w:bCs/>
          <w:szCs w:val="20"/>
        </w:rPr>
      </w:pPr>
      <w:r w:rsidRPr="00797B1D">
        <w:rPr>
          <w:rFonts w:cs="Arial"/>
          <w:bCs/>
          <w:szCs w:val="20"/>
        </w:rPr>
        <w:t>Evropska komisija (EK) je predstavila svojo novo strategijo Unije varčevanja in naložb (SIU), ki poudarja potrebo po spodbujanju večje uporabe samodejnega vključevanja v pokojninske sheme in pregledu obstoječih pravnih okvirov. S</w:t>
      </w:r>
      <w:r w:rsidR="00ED1526">
        <w:rPr>
          <w:rFonts w:cs="Arial"/>
          <w:bCs/>
          <w:szCs w:val="20"/>
        </w:rPr>
        <w:t xml:space="preserve"> s</w:t>
      </w:r>
      <w:r w:rsidRPr="00797B1D">
        <w:rPr>
          <w:rFonts w:cs="Arial"/>
          <w:bCs/>
          <w:szCs w:val="20"/>
        </w:rPr>
        <w:t>trategij</w:t>
      </w:r>
      <w:r w:rsidR="00ED1526">
        <w:rPr>
          <w:rFonts w:cs="Arial"/>
          <w:bCs/>
          <w:szCs w:val="20"/>
        </w:rPr>
        <w:t>o</w:t>
      </w:r>
      <w:r w:rsidRPr="00797B1D">
        <w:rPr>
          <w:rFonts w:cs="Arial"/>
          <w:bCs/>
          <w:szCs w:val="20"/>
        </w:rPr>
        <w:t xml:space="preserve"> SIU si prizadeva za razvoj in krepitev dodatnih pokojnin, da bi </w:t>
      </w:r>
      <w:r w:rsidRPr="00797B1D">
        <w:rPr>
          <w:rFonts w:cs="Arial"/>
          <w:bCs/>
          <w:szCs w:val="20"/>
        </w:rPr>
        <w:lastRenderedPageBreak/>
        <w:t>zagotovili finančno varnost državljanov EU, pri čemer se EK osredotoča na oblikovanje močnih večstebrnih pokojninskih sistemov, ki poleg javnih pokojnin vključujejo poklicne in osebne pokojnine.</w:t>
      </w:r>
    </w:p>
    <w:p w14:paraId="4044356B" w14:textId="77777777" w:rsidR="00797B1D" w:rsidRDefault="00797B1D" w:rsidP="000956AC">
      <w:pPr>
        <w:spacing w:line="240" w:lineRule="auto"/>
        <w:jc w:val="both"/>
        <w:rPr>
          <w:rFonts w:cs="Arial"/>
          <w:bCs/>
          <w:szCs w:val="20"/>
          <w:u w:val="single"/>
        </w:rPr>
      </w:pPr>
    </w:p>
    <w:p w14:paraId="582A1389" w14:textId="77777777" w:rsidR="00102A0E" w:rsidRDefault="00102A0E" w:rsidP="000956AC">
      <w:pPr>
        <w:spacing w:line="240" w:lineRule="auto"/>
        <w:jc w:val="both"/>
        <w:rPr>
          <w:rFonts w:cs="Arial"/>
          <w:bCs/>
          <w:szCs w:val="20"/>
          <w:u w:val="single"/>
        </w:rPr>
      </w:pPr>
    </w:p>
    <w:p w14:paraId="6239DADC" w14:textId="4BA01A9F" w:rsidR="009C0F19" w:rsidRDefault="009C0F19" w:rsidP="000956AC">
      <w:pPr>
        <w:spacing w:line="240" w:lineRule="auto"/>
        <w:jc w:val="both"/>
        <w:rPr>
          <w:rFonts w:cs="Arial"/>
          <w:bCs/>
          <w:szCs w:val="20"/>
          <w:u w:val="single"/>
        </w:rPr>
      </w:pPr>
      <w:r w:rsidRPr="009C0F19">
        <w:rPr>
          <w:rFonts w:cs="Arial"/>
          <w:bCs/>
          <w:szCs w:val="20"/>
          <w:u w:val="single"/>
        </w:rPr>
        <w:t>Avstrija</w:t>
      </w:r>
    </w:p>
    <w:p w14:paraId="747A3205" w14:textId="77777777" w:rsidR="009C0F19" w:rsidRDefault="009C0F19" w:rsidP="000956AC">
      <w:pPr>
        <w:spacing w:line="240" w:lineRule="auto"/>
        <w:jc w:val="both"/>
        <w:rPr>
          <w:rFonts w:cs="Arial"/>
          <w:bCs/>
          <w:szCs w:val="20"/>
          <w:u w:val="single"/>
        </w:rPr>
      </w:pPr>
    </w:p>
    <w:p w14:paraId="125190C7" w14:textId="5AEC5D9B" w:rsidR="00797B1D" w:rsidRPr="00797B1D" w:rsidRDefault="00797B1D" w:rsidP="00797B1D">
      <w:pPr>
        <w:spacing w:line="240" w:lineRule="auto"/>
        <w:jc w:val="both"/>
        <w:rPr>
          <w:rFonts w:cs="Arial"/>
          <w:bCs/>
          <w:szCs w:val="20"/>
        </w:rPr>
      </w:pPr>
      <w:r w:rsidRPr="00797B1D">
        <w:rPr>
          <w:rFonts w:cs="Arial"/>
          <w:bCs/>
          <w:szCs w:val="20"/>
        </w:rPr>
        <w:t>Avstrijski pokojninski sistem dodatnega zavarovanja je urejen s specifičnimi zakoni, ki zagotavljajo okvir za delovanje pokojninskih skladov. »</w:t>
      </w:r>
      <w:proofErr w:type="spellStart"/>
      <w:r w:rsidRPr="00797B1D">
        <w:rPr>
          <w:rFonts w:cs="Arial"/>
          <w:bCs/>
          <w:szCs w:val="20"/>
        </w:rPr>
        <w:t>Betriebspensionskassengesetz</w:t>
      </w:r>
      <w:proofErr w:type="spellEnd"/>
      <w:r w:rsidRPr="00797B1D">
        <w:rPr>
          <w:rFonts w:cs="Arial"/>
          <w:bCs/>
          <w:szCs w:val="20"/>
        </w:rPr>
        <w:t xml:space="preserve"> (BPKG)« ureja poklicne pokojninske sklade, ki so pogosto povezani z delodajalci in nudijo dodatno pokojninsko zavarovanje zaposlenim. »</w:t>
      </w:r>
      <w:proofErr w:type="spellStart"/>
      <w:r w:rsidRPr="00797B1D">
        <w:rPr>
          <w:rFonts w:cs="Arial"/>
          <w:bCs/>
          <w:szCs w:val="20"/>
        </w:rPr>
        <w:t>Pensionskassengesetz</w:t>
      </w:r>
      <w:proofErr w:type="spellEnd"/>
      <w:r w:rsidRPr="00797B1D">
        <w:rPr>
          <w:rFonts w:cs="Arial"/>
          <w:bCs/>
          <w:szCs w:val="20"/>
        </w:rPr>
        <w:t xml:space="preserve"> (PKG)« ureja širši nabor pokojninskih skladov, ki ponujajo dodatno pokojninsko zavarovanje posameznikom.</w:t>
      </w:r>
    </w:p>
    <w:p w14:paraId="5E2BD8C4" w14:textId="77777777" w:rsidR="00797B1D" w:rsidRPr="00797B1D" w:rsidRDefault="00797B1D" w:rsidP="00797B1D">
      <w:pPr>
        <w:spacing w:line="240" w:lineRule="auto"/>
        <w:jc w:val="both"/>
        <w:rPr>
          <w:rFonts w:cs="Arial"/>
          <w:bCs/>
          <w:szCs w:val="20"/>
        </w:rPr>
      </w:pPr>
    </w:p>
    <w:p w14:paraId="5327B310" w14:textId="77777777" w:rsidR="00797B1D" w:rsidRPr="00797B1D" w:rsidRDefault="00797B1D" w:rsidP="00797B1D">
      <w:pPr>
        <w:spacing w:line="240" w:lineRule="auto"/>
        <w:jc w:val="both"/>
        <w:rPr>
          <w:rFonts w:cs="Arial"/>
          <w:bCs/>
          <w:szCs w:val="20"/>
        </w:rPr>
      </w:pPr>
      <w:r w:rsidRPr="00797B1D">
        <w:rPr>
          <w:rFonts w:cs="Arial"/>
          <w:bCs/>
          <w:szCs w:val="20"/>
        </w:rPr>
        <w:t>V Avstriji je predčasni odkup polic dodatnega pokojninskega zavarovanja na splošno omejen, saj je poudarek na dolgoročnem varčevanju za starost. Pogoji za predčasni odkup so odvisni od posameznega pokojninskega sklada in določil pogodbe. Možnost enkratnega izplačila rente je v Avstriji manj pogosta, ker je večina dodatnih pokojninskih zavarovanj zasnovana za zagotavljanje rednih mesečnih izplačil v obliki rente.</w:t>
      </w:r>
    </w:p>
    <w:p w14:paraId="350D612D" w14:textId="77777777" w:rsidR="00797B1D" w:rsidRPr="00797B1D" w:rsidRDefault="00797B1D" w:rsidP="00797B1D">
      <w:pPr>
        <w:spacing w:line="240" w:lineRule="auto"/>
        <w:jc w:val="both"/>
        <w:rPr>
          <w:rFonts w:cs="Arial"/>
          <w:bCs/>
          <w:szCs w:val="20"/>
        </w:rPr>
      </w:pPr>
    </w:p>
    <w:p w14:paraId="1633BE4D" w14:textId="6507BC93" w:rsidR="004F246A" w:rsidRPr="004F246A" w:rsidRDefault="004F246A" w:rsidP="002B111E">
      <w:pPr>
        <w:spacing w:line="240" w:lineRule="auto"/>
        <w:jc w:val="both"/>
        <w:rPr>
          <w:rFonts w:cs="Arial"/>
          <w:bCs/>
          <w:szCs w:val="20"/>
          <w:u w:val="single"/>
        </w:rPr>
      </w:pPr>
      <w:r w:rsidRPr="004F246A">
        <w:rPr>
          <w:rFonts w:cs="Arial"/>
          <w:bCs/>
          <w:szCs w:val="20"/>
          <w:u w:val="single"/>
        </w:rPr>
        <w:t>Nemčija</w:t>
      </w:r>
    </w:p>
    <w:p w14:paraId="3678E298" w14:textId="77777777" w:rsidR="002B111E" w:rsidRDefault="002B111E" w:rsidP="000956AC">
      <w:pPr>
        <w:spacing w:line="240" w:lineRule="auto"/>
        <w:jc w:val="both"/>
        <w:rPr>
          <w:rFonts w:cs="Arial"/>
          <w:bCs/>
          <w:szCs w:val="20"/>
        </w:rPr>
      </w:pPr>
    </w:p>
    <w:p w14:paraId="28BE902E" w14:textId="230787F6" w:rsidR="00797B1D" w:rsidRPr="00797B1D" w:rsidRDefault="00797B1D" w:rsidP="00797B1D">
      <w:pPr>
        <w:spacing w:line="240" w:lineRule="auto"/>
        <w:jc w:val="both"/>
        <w:rPr>
          <w:rFonts w:cs="Arial"/>
          <w:bCs/>
          <w:szCs w:val="20"/>
        </w:rPr>
      </w:pPr>
      <w:r w:rsidRPr="00797B1D">
        <w:rPr>
          <w:rFonts w:cs="Arial"/>
          <w:bCs/>
          <w:szCs w:val="20"/>
        </w:rPr>
        <w:t>Nemški sistem dodatnega pokojninskega zavarovanja je urejen s specifičnimi zakoni, ki določajo pravila za različne oblike zasebnega pokojninskega varčevanja. Predčasni odkup dodatnega pokojninskega zavarovanja je urejen z Zakonom o pogodbah o poklicnem pokojninskem zavarovanju (</w:t>
      </w:r>
      <w:proofErr w:type="spellStart"/>
      <w:r w:rsidRPr="00797B1D">
        <w:rPr>
          <w:rFonts w:cs="Arial"/>
          <w:bCs/>
          <w:szCs w:val="20"/>
        </w:rPr>
        <w:t>Betriebsrentengesetz</w:t>
      </w:r>
      <w:proofErr w:type="spellEnd"/>
      <w:r w:rsidRPr="00797B1D">
        <w:rPr>
          <w:rFonts w:cs="Arial"/>
          <w:bCs/>
          <w:szCs w:val="20"/>
        </w:rPr>
        <w:t xml:space="preserve"> </w:t>
      </w:r>
      <w:r w:rsidR="006E3412">
        <w:rPr>
          <w:rFonts w:cs="Arial"/>
          <w:bCs/>
          <w:szCs w:val="20"/>
        </w:rPr>
        <w:t>–</w:t>
      </w:r>
      <w:r w:rsidR="006E3412" w:rsidRPr="00797B1D">
        <w:rPr>
          <w:rFonts w:cs="Arial"/>
          <w:bCs/>
          <w:szCs w:val="20"/>
        </w:rPr>
        <w:t xml:space="preserve"> </w:t>
      </w:r>
      <w:proofErr w:type="spellStart"/>
      <w:r w:rsidRPr="00797B1D">
        <w:rPr>
          <w:rFonts w:cs="Arial"/>
          <w:bCs/>
          <w:szCs w:val="20"/>
        </w:rPr>
        <w:t>BetrAVG</w:t>
      </w:r>
      <w:proofErr w:type="spellEnd"/>
      <w:r w:rsidRPr="00797B1D">
        <w:rPr>
          <w:rFonts w:cs="Arial"/>
          <w:bCs/>
          <w:szCs w:val="20"/>
        </w:rPr>
        <w:t>), ki ureja poklicne pokojnine, in Zakonom o pogodbah o pokojninah, ki jih podpira država (</w:t>
      </w:r>
      <w:proofErr w:type="spellStart"/>
      <w:r w:rsidRPr="00797B1D">
        <w:rPr>
          <w:rFonts w:cs="Arial"/>
          <w:bCs/>
          <w:szCs w:val="20"/>
        </w:rPr>
        <w:t>Altersvorsorgeverträge-Zertifizierungsgesetz</w:t>
      </w:r>
      <w:proofErr w:type="spellEnd"/>
      <w:r w:rsidRPr="00797B1D">
        <w:rPr>
          <w:rFonts w:cs="Arial"/>
          <w:bCs/>
          <w:szCs w:val="20"/>
        </w:rPr>
        <w:t xml:space="preserve"> </w:t>
      </w:r>
      <w:r w:rsidR="006E3412">
        <w:rPr>
          <w:rFonts w:cs="Arial"/>
          <w:bCs/>
          <w:szCs w:val="20"/>
        </w:rPr>
        <w:t>–</w:t>
      </w:r>
      <w:r w:rsidR="006E3412" w:rsidRPr="00797B1D">
        <w:rPr>
          <w:rFonts w:cs="Arial"/>
          <w:bCs/>
          <w:szCs w:val="20"/>
        </w:rPr>
        <w:t xml:space="preserve"> </w:t>
      </w:r>
      <w:proofErr w:type="spellStart"/>
      <w:r w:rsidRPr="00797B1D">
        <w:rPr>
          <w:rFonts w:cs="Arial"/>
          <w:bCs/>
          <w:szCs w:val="20"/>
        </w:rPr>
        <w:t>AltZertG</w:t>
      </w:r>
      <w:proofErr w:type="spellEnd"/>
      <w:r w:rsidRPr="00797B1D">
        <w:rPr>
          <w:rFonts w:cs="Arial"/>
          <w:bCs/>
          <w:szCs w:val="20"/>
        </w:rPr>
        <w:t>), ki ureja državne subvencionirane pokojninske produkte. Možnost enkratnega izplačila rente je odvisna od posameznega pokojninskega produkta in pogodbenih določil. Pri »</w:t>
      </w:r>
      <w:proofErr w:type="spellStart"/>
      <w:r w:rsidRPr="00797B1D">
        <w:rPr>
          <w:rFonts w:cs="Arial"/>
          <w:bCs/>
          <w:szCs w:val="20"/>
        </w:rPr>
        <w:t>Betriebliche</w:t>
      </w:r>
      <w:proofErr w:type="spellEnd"/>
      <w:r w:rsidRPr="00797B1D">
        <w:rPr>
          <w:rFonts w:cs="Arial"/>
          <w:bCs/>
          <w:szCs w:val="20"/>
        </w:rPr>
        <w:t xml:space="preserve"> </w:t>
      </w:r>
      <w:proofErr w:type="spellStart"/>
      <w:r w:rsidRPr="00797B1D">
        <w:rPr>
          <w:rFonts w:cs="Arial"/>
          <w:bCs/>
          <w:szCs w:val="20"/>
        </w:rPr>
        <w:t>Altersversorgung</w:t>
      </w:r>
      <w:proofErr w:type="spellEnd"/>
      <w:r w:rsidRPr="00797B1D">
        <w:rPr>
          <w:rFonts w:cs="Arial"/>
          <w:bCs/>
          <w:szCs w:val="20"/>
        </w:rPr>
        <w:t>« (poklicno pokojninsko zavarovanje) so pravila pogosto določena v kolektivnih pogodbah ali internih pravilnikih podjetij.</w:t>
      </w:r>
    </w:p>
    <w:p w14:paraId="31AE07CF" w14:textId="77777777" w:rsidR="00797B1D" w:rsidRPr="00797B1D" w:rsidRDefault="00797B1D" w:rsidP="00797B1D">
      <w:pPr>
        <w:spacing w:line="240" w:lineRule="auto"/>
        <w:jc w:val="both"/>
        <w:rPr>
          <w:rFonts w:cs="Arial"/>
          <w:bCs/>
          <w:szCs w:val="20"/>
        </w:rPr>
      </w:pPr>
    </w:p>
    <w:p w14:paraId="7C6E5488" w14:textId="72F7BC82" w:rsidR="00797B1D" w:rsidRPr="00797B1D" w:rsidRDefault="00797B1D" w:rsidP="00797B1D">
      <w:pPr>
        <w:spacing w:line="240" w:lineRule="auto"/>
        <w:jc w:val="both"/>
        <w:rPr>
          <w:rFonts w:cs="Arial"/>
          <w:bCs/>
          <w:szCs w:val="20"/>
        </w:rPr>
      </w:pPr>
      <w:r w:rsidRPr="00797B1D">
        <w:rPr>
          <w:rFonts w:cs="Arial"/>
          <w:bCs/>
          <w:szCs w:val="20"/>
        </w:rPr>
        <w:t>Posebno pozornost je treba nameniti »</w:t>
      </w:r>
      <w:proofErr w:type="spellStart"/>
      <w:r w:rsidRPr="00797B1D">
        <w:rPr>
          <w:rFonts w:cs="Arial"/>
          <w:bCs/>
          <w:szCs w:val="20"/>
        </w:rPr>
        <w:t>Riester</w:t>
      </w:r>
      <w:proofErr w:type="spellEnd"/>
      <w:r w:rsidRPr="00797B1D">
        <w:rPr>
          <w:rFonts w:cs="Arial"/>
          <w:bCs/>
          <w:szCs w:val="20"/>
        </w:rPr>
        <w:t>-Rente«, ki je državna subvencionirana oblika zasebnega pokojninskega varčevanja, uvedena leta 2002 z namenom dopolnitve državnega pokojninskega sistema. Njen cilj je spodbujanje dolgoročnega varčevanja za starost, pri čemer država prispeva subvencije in davčne ugodnosti. Pogodbe o »</w:t>
      </w:r>
      <w:proofErr w:type="spellStart"/>
      <w:r w:rsidRPr="00797B1D">
        <w:rPr>
          <w:rFonts w:cs="Arial"/>
          <w:bCs/>
          <w:szCs w:val="20"/>
        </w:rPr>
        <w:t>Riester</w:t>
      </w:r>
      <w:proofErr w:type="spellEnd"/>
      <w:r w:rsidRPr="00797B1D">
        <w:rPr>
          <w:rFonts w:cs="Arial"/>
          <w:bCs/>
          <w:szCs w:val="20"/>
        </w:rPr>
        <w:t xml:space="preserve">-Rente« morajo izpolnjevati stroge zahteve, ki jih določa zakon, in zagotavljati doživljenjsko rento ali načrt izplačil, ki ustreza zakonskim </w:t>
      </w:r>
      <w:r w:rsidR="006E3412">
        <w:rPr>
          <w:rFonts w:cs="Arial"/>
          <w:bCs/>
          <w:szCs w:val="20"/>
        </w:rPr>
        <w:t>merilo</w:t>
      </w:r>
      <w:r w:rsidRPr="00797B1D">
        <w:rPr>
          <w:rFonts w:cs="Arial"/>
          <w:bCs/>
          <w:szCs w:val="20"/>
        </w:rPr>
        <w:t>m. Predčasni odkup teh pogodb je možen, vendar je pogosto povezan z vračilom državnih subvencij in davčnih ugodnosti.</w:t>
      </w:r>
    </w:p>
    <w:p w14:paraId="2FADD86C" w14:textId="77777777" w:rsidR="00797B1D" w:rsidRPr="00797B1D" w:rsidRDefault="00797B1D" w:rsidP="00797B1D">
      <w:pPr>
        <w:spacing w:line="240" w:lineRule="auto"/>
        <w:jc w:val="both"/>
        <w:rPr>
          <w:rFonts w:cs="Arial"/>
          <w:bCs/>
          <w:szCs w:val="20"/>
        </w:rPr>
      </w:pPr>
    </w:p>
    <w:p w14:paraId="4CD2170F" w14:textId="32E01379" w:rsidR="00632363" w:rsidRDefault="00632363" w:rsidP="000956AC">
      <w:pPr>
        <w:spacing w:line="240" w:lineRule="auto"/>
        <w:jc w:val="both"/>
        <w:rPr>
          <w:rFonts w:cs="Arial"/>
          <w:bCs/>
          <w:szCs w:val="20"/>
          <w:u w:val="single"/>
        </w:rPr>
      </w:pPr>
      <w:r w:rsidRPr="00632363">
        <w:rPr>
          <w:rFonts w:cs="Arial"/>
          <w:bCs/>
          <w:szCs w:val="20"/>
          <w:u w:val="single"/>
        </w:rPr>
        <w:t>Francija</w:t>
      </w:r>
    </w:p>
    <w:p w14:paraId="6949E305" w14:textId="77777777" w:rsidR="00632363" w:rsidRDefault="00632363" w:rsidP="000956AC">
      <w:pPr>
        <w:spacing w:line="240" w:lineRule="auto"/>
        <w:jc w:val="both"/>
        <w:rPr>
          <w:rFonts w:cs="Arial"/>
          <w:bCs/>
          <w:szCs w:val="20"/>
          <w:u w:val="single"/>
        </w:rPr>
      </w:pPr>
    </w:p>
    <w:p w14:paraId="09AC5EAD" w14:textId="5871B26B" w:rsidR="00797B1D" w:rsidRPr="00797B1D" w:rsidRDefault="00797B1D" w:rsidP="00797B1D">
      <w:pPr>
        <w:spacing w:line="240" w:lineRule="auto"/>
        <w:jc w:val="both"/>
        <w:rPr>
          <w:rFonts w:cs="Arial"/>
          <w:bCs/>
          <w:szCs w:val="20"/>
        </w:rPr>
      </w:pPr>
      <w:r w:rsidRPr="00797B1D">
        <w:rPr>
          <w:rFonts w:cs="Arial"/>
          <w:bCs/>
          <w:szCs w:val="20"/>
        </w:rPr>
        <w:t xml:space="preserve">Francoski sistem dodatnega pokojninskega zavarovanja ponuja različne oblike varčevanja za starost, med katerimi sta najpomembnejša »Plan </w:t>
      </w:r>
      <w:proofErr w:type="spellStart"/>
      <w:r w:rsidRPr="00797B1D">
        <w:rPr>
          <w:rFonts w:cs="Arial"/>
          <w:bCs/>
          <w:szCs w:val="20"/>
        </w:rPr>
        <w:t>d'Épargne</w:t>
      </w:r>
      <w:proofErr w:type="spellEnd"/>
      <w:r w:rsidRPr="00797B1D">
        <w:rPr>
          <w:rFonts w:cs="Arial"/>
          <w:bCs/>
          <w:szCs w:val="20"/>
        </w:rPr>
        <w:t xml:space="preserve"> </w:t>
      </w:r>
      <w:proofErr w:type="spellStart"/>
      <w:r w:rsidRPr="00797B1D">
        <w:rPr>
          <w:rFonts w:cs="Arial"/>
          <w:bCs/>
          <w:szCs w:val="20"/>
        </w:rPr>
        <w:t>Retraite</w:t>
      </w:r>
      <w:proofErr w:type="spellEnd"/>
      <w:r w:rsidRPr="00797B1D">
        <w:rPr>
          <w:rFonts w:cs="Arial"/>
          <w:bCs/>
          <w:szCs w:val="20"/>
        </w:rPr>
        <w:t xml:space="preserve"> </w:t>
      </w:r>
      <w:proofErr w:type="spellStart"/>
      <w:r w:rsidRPr="00797B1D">
        <w:rPr>
          <w:rFonts w:cs="Arial"/>
          <w:bCs/>
          <w:szCs w:val="20"/>
        </w:rPr>
        <w:t>Populaire</w:t>
      </w:r>
      <w:proofErr w:type="spellEnd"/>
      <w:r w:rsidRPr="00797B1D">
        <w:rPr>
          <w:rFonts w:cs="Arial"/>
          <w:bCs/>
          <w:szCs w:val="20"/>
        </w:rPr>
        <w:t xml:space="preserve"> (PERP)« in »Plan </w:t>
      </w:r>
      <w:proofErr w:type="spellStart"/>
      <w:r w:rsidRPr="00797B1D">
        <w:rPr>
          <w:rFonts w:cs="Arial"/>
          <w:bCs/>
          <w:szCs w:val="20"/>
        </w:rPr>
        <w:t>d'Épargne</w:t>
      </w:r>
      <w:proofErr w:type="spellEnd"/>
      <w:r w:rsidRPr="00797B1D">
        <w:rPr>
          <w:rFonts w:cs="Arial"/>
          <w:bCs/>
          <w:szCs w:val="20"/>
        </w:rPr>
        <w:t xml:space="preserve"> </w:t>
      </w:r>
      <w:proofErr w:type="spellStart"/>
      <w:r w:rsidRPr="00797B1D">
        <w:rPr>
          <w:rFonts w:cs="Arial"/>
          <w:bCs/>
          <w:szCs w:val="20"/>
        </w:rPr>
        <w:t>Retraite</w:t>
      </w:r>
      <w:proofErr w:type="spellEnd"/>
      <w:r w:rsidRPr="00797B1D">
        <w:rPr>
          <w:rFonts w:cs="Arial"/>
          <w:bCs/>
          <w:szCs w:val="20"/>
        </w:rPr>
        <w:t xml:space="preserve"> (PER)«. Ti načrti omogočajo posameznikom, da si oblikujejo dodatn</w:t>
      </w:r>
      <w:r w:rsidR="006E3412">
        <w:rPr>
          <w:rFonts w:cs="Arial"/>
          <w:bCs/>
          <w:szCs w:val="20"/>
        </w:rPr>
        <w:t>i</w:t>
      </w:r>
      <w:r w:rsidRPr="00797B1D">
        <w:rPr>
          <w:rFonts w:cs="Arial"/>
          <w:bCs/>
          <w:szCs w:val="20"/>
        </w:rPr>
        <w:t xml:space="preserve"> dohodek za upokojitev, pri čemer so pogoji za predčasni odkup odvisni od vrste zavarovanja in razlogov za odkup. Zakonska </w:t>
      </w:r>
      <w:r w:rsidR="00AF7F06">
        <w:rPr>
          <w:rFonts w:cs="Arial"/>
          <w:bCs/>
          <w:szCs w:val="20"/>
        </w:rPr>
        <w:t>podlag</w:t>
      </w:r>
      <w:r w:rsidRPr="00797B1D">
        <w:rPr>
          <w:rFonts w:cs="Arial"/>
          <w:bCs/>
          <w:szCs w:val="20"/>
        </w:rPr>
        <w:t>a za dodatno pokojninsko zavarovanje je Zakon o pokojninskem varčevanju (</w:t>
      </w:r>
      <w:proofErr w:type="spellStart"/>
      <w:r w:rsidRPr="00797B1D">
        <w:rPr>
          <w:rFonts w:cs="Arial"/>
          <w:bCs/>
          <w:szCs w:val="20"/>
        </w:rPr>
        <w:t>Code</w:t>
      </w:r>
      <w:proofErr w:type="spellEnd"/>
      <w:r w:rsidRPr="00797B1D">
        <w:rPr>
          <w:rFonts w:cs="Arial"/>
          <w:bCs/>
          <w:szCs w:val="20"/>
        </w:rPr>
        <w:t xml:space="preserve"> des </w:t>
      </w:r>
      <w:proofErr w:type="spellStart"/>
      <w:r w:rsidRPr="00797B1D">
        <w:rPr>
          <w:rFonts w:cs="Arial"/>
          <w:bCs/>
          <w:szCs w:val="20"/>
        </w:rPr>
        <w:t>assurances</w:t>
      </w:r>
      <w:proofErr w:type="spellEnd"/>
      <w:r w:rsidRPr="00797B1D">
        <w:rPr>
          <w:rFonts w:cs="Arial"/>
          <w:bCs/>
          <w:szCs w:val="20"/>
        </w:rPr>
        <w:t xml:space="preserve">) </w:t>
      </w:r>
      <w:r w:rsidR="00AF7F06">
        <w:rPr>
          <w:rFonts w:cs="Arial"/>
          <w:bCs/>
          <w:szCs w:val="20"/>
        </w:rPr>
        <w:t>in</w:t>
      </w:r>
      <w:r w:rsidR="00AF7F06" w:rsidRPr="00797B1D">
        <w:rPr>
          <w:rFonts w:cs="Arial"/>
          <w:bCs/>
          <w:szCs w:val="20"/>
        </w:rPr>
        <w:t xml:space="preserve"> </w:t>
      </w:r>
      <w:r w:rsidRPr="00797B1D">
        <w:rPr>
          <w:rFonts w:cs="Arial"/>
          <w:bCs/>
          <w:szCs w:val="20"/>
        </w:rPr>
        <w:t>specifični zakoni, kot sta Zakon o pokojninskem varčevanju za posameznike (PERP) in Zakon o pokojninskih varčevanjih (PER). Novejši produkti, kot je PER, ponujajo večjo prožnost pri izplačilih, vključno z možnostjo enkratnega izplačila kapitala.</w:t>
      </w:r>
    </w:p>
    <w:p w14:paraId="34B8B863" w14:textId="77777777" w:rsidR="00797B1D" w:rsidRPr="00797B1D" w:rsidRDefault="00797B1D" w:rsidP="00797B1D">
      <w:pPr>
        <w:spacing w:line="240" w:lineRule="auto"/>
        <w:jc w:val="both"/>
        <w:rPr>
          <w:rFonts w:cs="Arial"/>
          <w:bCs/>
          <w:szCs w:val="20"/>
        </w:rPr>
      </w:pPr>
    </w:p>
    <w:p w14:paraId="2D8687E1" w14:textId="2A4D4645" w:rsidR="00797B1D" w:rsidRPr="00797B1D" w:rsidRDefault="00797B1D" w:rsidP="00797B1D">
      <w:pPr>
        <w:spacing w:line="240" w:lineRule="auto"/>
        <w:jc w:val="both"/>
        <w:rPr>
          <w:rFonts w:cs="Arial"/>
          <w:bCs/>
          <w:szCs w:val="20"/>
        </w:rPr>
      </w:pPr>
      <w:r w:rsidRPr="00797B1D">
        <w:rPr>
          <w:rFonts w:cs="Arial"/>
          <w:bCs/>
          <w:szCs w:val="20"/>
        </w:rPr>
        <w:t xml:space="preserve">Plan </w:t>
      </w:r>
      <w:proofErr w:type="spellStart"/>
      <w:r w:rsidRPr="00797B1D">
        <w:rPr>
          <w:rFonts w:cs="Arial"/>
          <w:bCs/>
          <w:szCs w:val="20"/>
        </w:rPr>
        <w:t>d'Épargne</w:t>
      </w:r>
      <w:proofErr w:type="spellEnd"/>
      <w:r w:rsidRPr="00797B1D">
        <w:rPr>
          <w:rFonts w:cs="Arial"/>
          <w:bCs/>
          <w:szCs w:val="20"/>
        </w:rPr>
        <w:t xml:space="preserve"> </w:t>
      </w:r>
      <w:proofErr w:type="spellStart"/>
      <w:r w:rsidRPr="00797B1D">
        <w:rPr>
          <w:rFonts w:cs="Arial"/>
          <w:bCs/>
          <w:szCs w:val="20"/>
        </w:rPr>
        <w:t>Retraite</w:t>
      </w:r>
      <w:proofErr w:type="spellEnd"/>
      <w:r w:rsidRPr="00797B1D">
        <w:rPr>
          <w:rFonts w:cs="Arial"/>
          <w:bCs/>
          <w:szCs w:val="20"/>
        </w:rPr>
        <w:t xml:space="preserve"> </w:t>
      </w:r>
      <w:proofErr w:type="spellStart"/>
      <w:r w:rsidRPr="00797B1D">
        <w:rPr>
          <w:rFonts w:cs="Arial"/>
          <w:bCs/>
          <w:szCs w:val="20"/>
        </w:rPr>
        <w:t>Populaire</w:t>
      </w:r>
      <w:proofErr w:type="spellEnd"/>
      <w:r w:rsidRPr="00797B1D">
        <w:rPr>
          <w:rFonts w:cs="Arial"/>
          <w:bCs/>
          <w:szCs w:val="20"/>
        </w:rPr>
        <w:t xml:space="preserve"> (PERP) je bil uveden leta 2003 z namenom ponuditi individualno rešitev varčevanja za pokojnino, ki zagotavlja dosmrtno rento ob upokojitvi. Vendar pa se PERP od 1.</w:t>
      </w:r>
      <w:r w:rsidR="00AF7F06">
        <w:rPr>
          <w:rFonts w:cs="Arial"/>
          <w:bCs/>
          <w:szCs w:val="20"/>
        </w:rPr>
        <w:t> </w:t>
      </w:r>
      <w:r w:rsidRPr="00797B1D">
        <w:rPr>
          <w:rFonts w:cs="Arial"/>
          <w:bCs/>
          <w:szCs w:val="20"/>
        </w:rPr>
        <w:t xml:space="preserve">oktobra 2020 ne trži več in je bil nadomeščen s Plan </w:t>
      </w:r>
      <w:proofErr w:type="spellStart"/>
      <w:r w:rsidRPr="00797B1D">
        <w:rPr>
          <w:rFonts w:cs="Arial"/>
          <w:bCs/>
          <w:szCs w:val="20"/>
        </w:rPr>
        <w:t>d'Épargne</w:t>
      </w:r>
      <w:proofErr w:type="spellEnd"/>
      <w:r w:rsidRPr="00797B1D">
        <w:rPr>
          <w:rFonts w:cs="Arial"/>
          <w:bCs/>
          <w:szCs w:val="20"/>
        </w:rPr>
        <w:t xml:space="preserve"> </w:t>
      </w:r>
      <w:proofErr w:type="spellStart"/>
      <w:r w:rsidRPr="00797B1D">
        <w:rPr>
          <w:rFonts w:cs="Arial"/>
          <w:bCs/>
          <w:szCs w:val="20"/>
        </w:rPr>
        <w:t>Retraite</w:t>
      </w:r>
      <w:proofErr w:type="spellEnd"/>
      <w:r w:rsidRPr="00797B1D">
        <w:rPr>
          <w:rFonts w:cs="Arial"/>
          <w:bCs/>
          <w:szCs w:val="20"/>
        </w:rPr>
        <w:t xml:space="preserve"> (PER), ki je bil </w:t>
      </w:r>
      <w:r w:rsidR="00AF7F06">
        <w:rPr>
          <w:rFonts w:cs="Arial"/>
          <w:bCs/>
          <w:szCs w:val="20"/>
        </w:rPr>
        <w:t>vzpostavljen</w:t>
      </w:r>
      <w:r w:rsidR="00AF7F06" w:rsidRPr="00797B1D">
        <w:rPr>
          <w:rFonts w:cs="Arial"/>
          <w:bCs/>
          <w:szCs w:val="20"/>
        </w:rPr>
        <w:t xml:space="preserve"> </w:t>
      </w:r>
      <w:r w:rsidRPr="00797B1D">
        <w:rPr>
          <w:rFonts w:cs="Arial"/>
          <w:bCs/>
          <w:szCs w:val="20"/>
        </w:rPr>
        <w:t>leta 2019. PER prinaša poenostavitev in uskladitev različnih načrtov varčevanja za pokojnino ter ponuja večjo prilagodljivost pri izplačilih, tako v obliki rente kot kapitala. Izplačilo kapitala v okviru PER omogoča, da se prihranki, zbrani skozi leta varčevanja, ob upokojitvi izplačajo v enkratnem znesku ali v več zaporednih izplačilih, namesto v obliki dosmrtne rente.</w:t>
      </w:r>
    </w:p>
    <w:p w14:paraId="232DE740" w14:textId="77777777" w:rsidR="00797B1D" w:rsidRDefault="00797B1D" w:rsidP="000956AC">
      <w:pPr>
        <w:spacing w:line="240" w:lineRule="auto"/>
        <w:jc w:val="both"/>
        <w:rPr>
          <w:rFonts w:cs="Arial"/>
          <w:bCs/>
          <w:szCs w:val="20"/>
          <w:u w:val="single"/>
        </w:rPr>
      </w:pPr>
    </w:p>
    <w:p w14:paraId="40A0446B" w14:textId="583E3636" w:rsidR="0049083F" w:rsidRPr="0049083F" w:rsidRDefault="0049083F" w:rsidP="000956AC">
      <w:pPr>
        <w:spacing w:line="240" w:lineRule="auto"/>
        <w:jc w:val="both"/>
        <w:rPr>
          <w:rFonts w:cs="Arial"/>
          <w:bCs/>
          <w:szCs w:val="20"/>
          <w:u w:val="single"/>
        </w:rPr>
      </w:pPr>
      <w:r w:rsidRPr="0049083F">
        <w:rPr>
          <w:rFonts w:cs="Arial"/>
          <w:bCs/>
          <w:szCs w:val="20"/>
          <w:u w:val="single"/>
        </w:rPr>
        <w:t xml:space="preserve">Ureditev </w:t>
      </w:r>
      <w:r w:rsidR="00A4784E">
        <w:rPr>
          <w:rFonts w:cs="Arial"/>
          <w:bCs/>
          <w:szCs w:val="20"/>
          <w:u w:val="single"/>
        </w:rPr>
        <w:t>zadevnih področij</w:t>
      </w:r>
      <w:r w:rsidRPr="0049083F">
        <w:rPr>
          <w:rFonts w:cs="Arial"/>
          <w:bCs/>
          <w:szCs w:val="20"/>
          <w:u w:val="single"/>
        </w:rPr>
        <w:t xml:space="preserve"> v Zakonu o pokojninskem in invalidskem zavarovanju</w:t>
      </w:r>
    </w:p>
    <w:p w14:paraId="6F918F97" w14:textId="77777777" w:rsidR="0049083F" w:rsidRDefault="0049083F" w:rsidP="000956AC">
      <w:pPr>
        <w:spacing w:line="240" w:lineRule="auto"/>
        <w:jc w:val="both"/>
        <w:rPr>
          <w:rFonts w:cs="Arial"/>
          <w:bCs/>
          <w:szCs w:val="20"/>
        </w:rPr>
      </w:pPr>
    </w:p>
    <w:p w14:paraId="6D563BE4" w14:textId="5A7BDABD" w:rsidR="0049083F" w:rsidRPr="0049083F" w:rsidRDefault="0049083F" w:rsidP="0049083F">
      <w:pPr>
        <w:spacing w:line="240" w:lineRule="auto"/>
        <w:jc w:val="both"/>
        <w:rPr>
          <w:rFonts w:cs="Arial"/>
          <w:bCs/>
          <w:szCs w:val="20"/>
        </w:rPr>
      </w:pPr>
      <w:r w:rsidRPr="0049083F">
        <w:rPr>
          <w:rFonts w:cs="Arial"/>
          <w:bCs/>
          <w:szCs w:val="20"/>
        </w:rPr>
        <w:lastRenderedPageBreak/>
        <w:t xml:space="preserve">Zakon o pokojninskem in invalidskem zavarovanju </w:t>
      </w:r>
      <w:r>
        <w:rPr>
          <w:rFonts w:cs="Arial"/>
          <w:bCs/>
          <w:szCs w:val="20"/>
        </w:rPr>
        <w:t>(</w:t>
      </w:r>
      <w:r w:rsidRPr="0049083F">
        <w:rPr>
          <w:rFonts w:cs="Arial"/>
          <w:bCs/>
          <w:szCs w:val="20"/>
        </w:rPr>
        <w:t xml:space="preserve">Uradni list RS, št. 48/22 – uradno prečiščeno besedilo, 40/23 – ZČmIS-1, 78/23 – ZORR, 84/23 – ZDOsk-1, 125/23 – </w:t>
      </w:r>
      <w:proofErr w:type="spellStart"/>
      <w:r w:rsidRPr="0049083F">
        <w:rPr>
          <w:rFonts w:cs="Arial"/>
          <w:bCs/>
          <w:szCs w:val="20"/>
        </w:rPr>
        <w:t>odl</w:t>
      </w:r>
      <w:proofErr w:type="spellEnd"/>
      <w:r w:rsidRPr="0049083F">
        <w:rPr>
          <w:rFonts w:cs="Arial"/>
          <w:bCs/>
          <w:szCs w:val="20"/>
        </w:rPr>
        <w:t>. US in 133/23</w:t>
      </w:r>
      <w:r>
        <w:rPr>
          <w:rFonts w:cs="Arial"/>
          <w:bCs/>
          <w:szCs w:val="20"/>
        </w:rPr>
        <w:t xml:space="preserve">; v nadaljnjem besedilu: ZPIZ-2) določa, da </w:t>
      </w:r>
      <w:r w:rsidRPr="0049083F">
        <w:rPr>
          <w:rFonts w:cs="Arial"/>
          <w:bCs/>
          <w:szCs w:val="20"/>
        </w:rPr>
        <w:t xml:space="preserve">član kolektivnega zavarovanja v primeru izstopa iz zavarovanja od upravljavca </w:t>
      </w:r>
      <w:r w:rsidR="006B4345">
        <w:rPr>
          <w:rFonts w:cs="Arial"/>
          <w:bCs/>
          <w:szCs w:val="20"/>
        </w:rPr>
        <w:t xml:space="preserve">lahko </w:t>
      </w:r>
      <w:r w:rsidRPr="0049083F">
        <w:rPr>
          <w:rFonts w:cs="Arial"/>
          <w:bCs/>
          <w:szCs w:val="20"/>
        </w:rPr>
        <w:t>zahteva izplačilo odkupne vrednosti premoženja z njegovega osebnega računa v enkratnem znesku:</w:t>
      </w:r>
    </w:p>
    <w:p w14:paraId="204480E5" w14:textId="5C8366E4" w:rsidR="0049083F" w:rsidRPr="006B4345" w:rsidRDefault="0049083F" w:rsidP="003D0A2A">
      <w:pPr>
        <w:pStyle w:val="Odstavekseznama"/>
        <w:numPr>
          <w:ilvl w:val="0"/>
          <w:numId w:val="25"/>
        </w:numPr>
        <w:spacing w:line="240" w:lineRule="auto"/>
        <w:jc w:val="both"/>
        <w:rPr>
          <w:rFonts w:cs="Arial"/>
          <w:bCs/>
          <w:szCs w:val="20"/>
        </w:rPr>
      </w:pPr>
      <w:r w:rsidRPr="006B4345">
        <w:rPr>
          <w:rFonts w:cs="Arial"/>
          <w:bCs/>
          <w:szCs w:val="20"/>
        </w:rPr>
        <w:t>če je že uveljavil pravico do pokojnine iz obveznega zavarovanja in</w:t>
      </w:r>
    </w:p>
    <w:p w14:paraId="7F119200" w14:textId="360C9321" w:rsidR="0049083F" w:rsidRPr="006B4345" w:rsidRDefault="0049083F" w:rsidP="003D0A2A">
      <w:pPr>
        <w:pStyle w:val="Odstavekseznama"/>
        <w:numPr>
          <w:ilvl w:val="0"/>
          <w:numId w:val="25"/>
        </w:numPr>
        <w:spacing w:line="240" w:lineRule="auto"/>
        <w:jc w:val="both"/>
        <w:rPr>
          <w:rFonts w:cs="Arial"/>
          <w:bCs/>
          <w:szCs w:val="20"/>
        </w:rPr>
      </w:pPr>
      <w:r w:rsidRPr="006B4345">
        <w:rPr>
          <w:rFonts w:cs="Arial"/>
          <w:bCs/>
          <w:szCs w:val="20"/>
        </w:rPr>
        <w:t>če sredstva na njegovem osebnem računu kolektivnega zavarovanja ne presegajo 5.000 e</w:t>
      </w:r>
      <w:r w:rsidR="006B4345">
        <w:rPr>
          <w:rFonts w:cs="Arial"/>
          <w:bCs/>
          <w:szCs w:val="20"/>
        </w:rPr>
        <w:t>v</w:t>
      </w:r>
      <w:r w:rsidRPr="006B4345">
        <w:rPr>
          <w:rFonts w:cs="Arial"/>
          <w:bCs/>
          <w:szCs w:val="20"/>
        </w:rPr>
        <w:t>rov.</w:t>
      </w:r>
    </w:p>
    <w:p w14:paraId="394F57F0" w14:textId="77777777" w:rsidR="0049083F" w:rsidRDefault="0049083F" w:rsidP="0049083F">
      <w:pPr>
        <w:spacing w:line="240" w:lineRule="auto"/>
        <w:jc w:val="both"/>
        <w:rPr>
          <w:rFonts w:cs="Arial"/>
          <w:bCs/>
          <w:szCs w:val="20"/>
        </w:rPr>
      </w:pPr>
    </w:p>
    <w:p w14:paraId="7DD1E283" w14:textId="33041D4E" w:rsidR="0049083F" w:rsidRDefault="0049083F" w:rsidP="0049083F">
      <w:pPr>
        <w:spacing w:line="240" w:lineRule="auto"/>
        <w:jc w:val="both"/>
        <w:rPr>
          <w:rFonts w:cs="Arial"/>
          <w:bCs/>
          <w:szCs w:val="20"/>
        </w:rPr>
      </w:pPr>
      <w:r w:rsidRPr="0049083F">
        <w:rPr>
          <w:rFonts w:cs="Arial"/>
          <w:bCs/>
          <w:szCs w:val="20"/>
        </w:rPr>
        <w:t>Član individualnega zavarovanja lahko v primeru izstopa iz zavarovanja kadar</w:t>
      </w:r>
      <w:r w:rsidR="006B4345">
        <w:rPr>
          <w:rFonts w:cs="Arial"/>
          <w:bCs/>
          <w:szCs w:val="20"/>
        </w:rPr>
        <w:t xml:space="preserve"> </w:t>
      </w:r>
      <w:r w:rsidRPr="0049083F">
        <w:rPr>
          <w:rFonts w:cs="Arial"/>
          <w:bCs/>
          <w:szCs w:val="20"/>
        </w:rPr>
        <w:t>koli zahteva izplačilo odkupne vrednosti premoženja z njegovega osebnega računa v enkratnem znesku</w:t>
      </w:r>
      <w:r>
        <w:rPr>
          <w:rFonts w:cs="Arial"/>
          <w:bCs/>
          <w:szCs w:val="20"/>
        </w:rPr>
        <w:t>.</w:t>
      </w:r>
    </w:p>
    <w:p w14:paraId="4157B1EC" w14:textId="77777777" w:rsidR="00B45225" w:rsidRDefault="00B45225" w:rsidP="0049083F">
      <w:pPr>
        <w:spacing w:line="240" w:lineRule="auto"/>
        <w:jc w:val="both"/>
        <w:rPr>
          <w:rFonts w:cs="Arial"/>
          <w:bCs/>
          <w:szCs w:val="20"/>
        </w:rPr>
      </w:pPr>
    </w:p>
    <w:p w14:paraId="3DAB54D6" w14:textId="78F82E86" w:rsidR="00B45225" w:rsidRDefault="00A00264" w:rsidP="00A00264">
      <w:pPr>
        <w:spacing w:line="240" w:lineRule="auto"/>
        <w:jc w:val="both"/>
        <w:rPr>
          <w:rFonts w:cs="Arial"/>
          <w:bCs/>
          <w:szCs w:val="20"/>
        </w:rPr>
      </w:pPr>
      <w:r w:rsidRPr="00A00264">
        <w:rPr>
          <w:rFonts w:cs="Arial"/>
          <w:bCs/>
          <w:szCs w:val="20"/>
        </w:rPr>
        <w:t>P</w:t>
      </w:r>
      <w:r>
        <w:rPr>
          <w:rFonts w:cs="Arial"/>
          <w:bCs/>
          <w:szCs w:val="20"/>
        </w:rPr>
        <w:t xml:space="preserve">ravilnik o </w:t>
      </w:r>
      <w:r w:rsidRPr="00A00264">
        <w:rPr>
          <w:rFonts w:cs="Arial"/>
          <w:bCs/>
          <w:szCs w:val="20"/>
        </w:rPr>
        <w:t>podrobnejših pravilih in minimalnih zahtevah, ki jih zavarovalnica ali pokojninska družba upoštevata pri izračunu pokojninske rente</w:t>
      </w:r>
      <w:r>
        <w:rPr>
          <w:rFonts w:cs="Arial"/>
          <w:bCs/>
          <w:szCs w:val="20"/>
        </w:rPr>
        <w:t xml:space="preserve"> (</w:t>
      </w:r>
      <w:r w:rsidRPr="00A00264">
        <w:rPr>
          <w:rFonts w:cs="Arial"/>
          <w:bCs/>
          <w:szCs w:val="20"/>
        </w:rPr>
        <w:t>Uradni list RS, št. 110/13, 94/14, 21/16 in 68/19</w:t>
      </w:r>
      <w:r>
        <w:rPr>
          <w:rFonts w:cs="Arial"/>
          <w:bCs/>
          <w:szCs w:val="20"/>
        </w:rPr>
        <w:t>) določa, da se p</w:t>
      </w:r>
      <w:r w:rsidRPr="00A00264">
        <w:rPr>
          <w:rFonts w:cs="Arial"/>
          <w:bCs/>
          <w:szCs w:val="20"/>
        </w:rPr>
        <w:t>okojninska renta izplačuje mesečno.</w:t>
      </w:r>
      <w:r>
        <w:rPr>
          <w:rFonts w:cs="Arial"/>
          <w:bCs/>
          <w:szCs w:val="20"/>
        </w:rPr>
        <w:t xml:space="preserve"> Pokojninske rente se </w:t>
      </w:r>
      <w:r w:rsidRPr="00A00264">
        <w:rPr>
          <w:rFonts w:cs="Arial"/>
          <w:bCs/>
          <w:szCs w:val="20"/>
        </w:rPr>
        <w:t>izplačujejo v obliki četrtletne, polletne ali letne rente, če je znesek rente oziroma posamično izplačilo manjše od 30,00 e</w:t>
      </w:r>
      <w:r w:rsidR="006B4345">
        <w:rPr>
          <w:rFonts w:cs="Arial"/>
          <w:bCs/>
          <w:szCs w:val="20"/>
        </w:rPr>
        <w:t>v</w:t>
      </w:r>
      <w:r w:rsidRPr="00A00264">
        <w:rPr>
          <w:rFonts w:cs="Arial"/>
          <w:bCs/>
          <w:szCs w:val="20"/>
        </w:rPr>
        <w:t>ra.</w:t>
      </w:r>
      <w:r w:rsidR="008301F8" w:rsidRPr="008301F8">
        <w:t xml:space="preserve"> </w:t>
      </w:r>
      <w:r w:rsidR="008301F8" w:rsidRPr="008301F8">
        <w:rPr>
          <w:rFonts w:cs="Arial"/>
          <w:bCs/>
          <w:szCs w:val="20"/>
        </w:rPr>
        <w:t>Pokojninski načrt za izplačevanje rent</w:t>
      </w:r>
      <w:r w:rsidR="008301F8">
        <w:rPr>
          <w:rFonts w:cs="Arial"/>
          <w:bCs/>
          <w:szCs w:val="20"/>
        </w:rPr>
        <w:t xml:space="preserve">, </w:t>
      </w:r>
      <w:r w:rsidR="006B4345">
        <w:rPr>
          <w:rFonts w:cs="Arial"/>
          <w:bCs/>
          <w:szCs w:val="20"/>
        </w:rPr>
        <w:t xml:space="preserve">v katerem </w:t>
      </w:r>
      <w:r w:rsidR="008301F8">
        <w:rPr>
          <w:rFonts w:cs="Arial"/>
          <w:bCs/>
          <w:szCs w:val="20"/>
        </w:rPr>
        <w:t>je določeno zajamčeno izplačevanje rent,</w:t>
      </w:r>
      <w:r w:rsidR="008301F8" w:rsidRPr="008301F8">
        <w:rPr>
          <w:rFonts w:cs="Arial"/>
          <w:bCs/>
          <w:szCs w:val="20"/>
        </w:rPr>
        <w:t xml:space="preserve"> lahko določa, da se </w:t>
      </w:r>
      <w:r w:rsidR="008301F8">
        <w:rPr>
          <w:rFonts w:cs="Arial"/>
          <w:bCs/>
          <w:szCs w:val="20"/>
        </w:rPr>
        <w:t xml:space="preserve">v primeru smrti zavarovanca </w:t>
      </w:r>
      <w:r w:rsidR="008301F8" w:rsidRPr="008301F8">
        <w:rPr>
          <w:rFonts w:cs="Arial"/>
          <w:bCs/>
          <w:szCs w:val="20"/>
        </w:rPr>
        <w:t>še neizplačane zajamčene pokojninske rente izplačajo v enkratnem znesku.</w:t>
      </w:r>
    </w:p>
    <w:p w14:paraId="7FE426BA" w14:textId="77777777" w:rsidR="00B45225" w:rsidRDefault="00B45225" w:rsidP="0049083F">
      <w:pPr>
        <w:spacing w:line="240" w:lineRule="auto"/>
        <w:jc w:val="both"/>
        <w:rPr>
          <w:rFonts w:cs="Arial"/>
          <w:bCs/>
          <w:szCs w:val="20"/>
        </w:rPr>
      </w:pPr>
    </w:p>
    <w:p w14:paraId="58AD0EE3" w14:textId="77777777" w:rsidR="00F057A7" w:rsidRPr="00A4784E" w:rsidRDefault="00F057A7" w:rsidP="00B45225">
      <w:pPr>
        <w:spacing w:line="240" w:lineRule="auto"/>
        <w:jc w:val="both"/>
        <w:rPr>
          <w:rFonts w:cs="Arial"/>
          <w:bCs/>
          <w:szCs w:val="20"/>
        </w:rPr>
      </w:pPr>
    </w:p>
    <w:p w14:paraId="0A9CEADD" w14:textId="77777777" w:rsidR="008E0F84" w:rsidRPr="00457816" w:rsidRDefault="008E0F84" w:rsidP="00871993">
      <w:pPr>
        <w:numPr>
          <w:ilvl w:val="0"/>
          <w:numId w:val="4"/>
        </w:numPr>
        <w:spacing w:line="240" w:lineRule="auto"/>
        <w:rPr>
          <w:rFonts w:cs="Arial"/>
          <w:b/>
          <w:szCs w:val="20"/>
        </w:rPr>
      </w:pPr>
      <w:r w:rsidRPr="00457816">
        <w:rPr>
          <w:rFonts w:cs="Arial"/>
          <w:b/>
          <w:szCs w:val="20"/>
        </w:rPr>
        <w:t>PRESOJA POSLEDIC, KI JIH BO IMEL SPREJEM ZAKONA</w:t>
      </w:r>
    </w:p>
    <w:p w14:paraId="40EAE96A" w14:textId="77777777" w:rsidR="008E0F84" w:rsidRPr="00457816" w:rsidRDefault="008E0F84" w:rsidP="008E0F84">
      <w:pPr>
        <w:spacing w:line="240" w:lineRule="auto"/>
        <w:jc w:val="both"/>
        <w:rPr>
          <w:rFonts w:cs="Arial"/>
          <w:szCs w:val="20"/>
        </w:rPr>
      </w:pPr>
    </w:p>
    <w:p w14:paraId="0F096C24" w14:textId="77777777" w:rsidR="008E0F84" w:rsidRPr="00457816" w:rsidRDefault="008E0F84" w:rsidP="008E0F84">
      <w:pPr>
        <w:spacing w:line="240" w:lineRule="auto"/>
        <w:jc w:val="both"/>
        <w:rPr>
          <w:rFonts w:cs="Arial"/>
          <w:szCs w:val="20"/>
        </w:rPr>
      </w:pPr>
      <w:r w:rsidRPr="00457816">
        <w:rPr>
          <w:rFonts w:cs="Arial"/>
          <w:b/>
          <w:szCs w:val="20"/>
        </w:rPr>
        <w:t>6.1 Presoja administrativnih posledic</w:t>
      </w:r>
    </w:p>
    <w:p w14:paraId="77865261" w14:textId="77777777" w:rsidR="008E0F84" w:rsidRPr="00457816" w:rsidRDefault="008E0F84" w:rsidP="008E0F84">
      <w:pPr>
        <w:spacing w:line="240" w:lineRule="auto"/>
        <w:jc w:val="both"/>
        <w:rPr>
          <w:rFonts w:cs="Arial"/>
          <w:b/>
          <w:szCs w:val="20"/>
        </w:rPr>
      </w:pPr>
    </w:p>
    <w:p w14:paraId="77134101" w14:textId="77777777" w:rsidR="008E0F84" w:rsidRPr="00457816" w:rsidRDefault="008E0F84" w:rsidP="008E0F84">
      <w:pPr>
        <w:spacing w:line="240" w:lineRule="auto"/>
        <w:jc w:val="both"/>
        <w:rPr>
          <w:rFonts w:cs="Arial"/>
          <w:b/>
          <w:szCs w:val="20"/>
        </w:rPr>
      </w:pPr>
      <w:r w:rsidRPr="00457816">
        <w:rPr>
          <w:rFonts w:cs="Arial"/>
          <w:b/>
          <w:szCs w:val="20"/>
        </w:rPr>
        <w:t>a) v postopkih oziroma poslovanju javne uprave ali pravosodnih organov:</w:t>
      </w:r>
    </w:p>
    <w:p w14:paraId="553866C9" w14:textId="77777777" w:rsidR="00AE18F2" w:rsidRDefault="00AE18F2" w:rsidP="008E0F84">
      <w:pPr>
        <w:spacing w:line="240" w:lineRule="auto"/>
        <w:jc w:val="both"/>
        <w:rPr>
          <w:rFonts w:cs="Arial"/>
          <w:szCs w:val="20"/>
        </w:rPr>
      </w:pPr>
    </w:p>
    <w:p w14:paraId="38B1C79D" w14:textId="62A45406" w:rsidR="008E0F84" w:rsidRPr="00457816" w:rsidRDefault="008E0F84" w:rsidP="008E0F84">
      <w:pPr>
        <w:spacing w:line="240" w:lineRule="auto"/>
        <w:jc w:val="both"/>
        <w:rPr>
          <w:rFonts w:cs="Arial"/>
          <w:szCs w:val="20"/>
        </w:rPr>
      </w:pPr>
      <w:r w:rsidRPr="00457816">
        <w:rPr>
          <w:rFonts w:cs="Arial"/>
          <w:szCs w:val="20"/>
        </w:rPr>
        <w:t>Ni posledic.</w:t>
      </w:r>
    </w:p>
    <w:p w14:paraId="17439C71" w14:textId="77777777" w:rsidR="008E0F84" w:rsidRPr="00457816" w:rsidRDefault="008E0F84" w:rsidP="008E0F84">
      <w:pPr>
        <w:spacing w:line="240" w:lineRule="auto"/>
        <w:jc w:val="both"/>
        <w:rPr>
          <w:rFonts w:cs="Arial"/>
          <w:b/>
          <w:szCs w:val="20"/>
        </w:rPr>
      </w:pPr>
    </w:p>
    <w:p w14:paraId="17D55CB1" w14:textId="77777777" w:rsidR="008E0F84" w:rsidRPr="00457816" w:rsidRDefault="008E0F84" w:rsidP="008E0F84">
      <w:pPr>
        <w:spacing w:line="240" w:lineRule="auto"/>
        <w:jc w:val="both"/>
        <w:rPr>
          <w:rFonts w:cs="Arial"/>
          <w:szCs w:val="20"/>
        </w:rPr>
      </w:pPr>
      <w:r w:rsidRPr="00457816">
        <w:rPr>
          <w:rFonts w:cs="Arial"/>
          <w:b/>
          <w:szCs w:val="20"/>
        </w:rPr>
        <w:t>b) pri obveznostih strank do javne uprave ali pravosodnih organov:</w:t>
      </w:r>
    </w:p>
    <w:p w14:paraId="01949312" w14:textId="77777777" w:rsidR="00AE18F2" w:rsidRDefault="00AE18F2" w:rsidP="008E0F84">
      <w:pPr>
        <w:spacing w:line="240" w:lineRule="auto"/>
        <w:jc w:val="both"/>
        <w:rPr>
          <w:rFonts w:cs="Arial"/>
          <w:szCs w:val="20"/>
        </w:rPr>
      </w:pPr>
    </w:p>
    <w:p w14:paraId="6F51AA45" w14:textId="6FCC097A" w:rsidR="008E0F84" w:rsidRPr="00457816" w:rsidRDefault="008E0F84" w:rsidP="008E0F84">
      <w:pPr>
        <w:spacing w:line="240" w:lineRule="auto"/>
        <w:jc w:val="both"/>
        <w:rPr>
          <w:rFonts w:cs="Arial"/>
          <w:szCs w:val="20"/>
        </w:rPr>
      </w:pPr>
      <w:r w:rsidRPr="00457816">
        <w:rPr>
          <w:rFonts w:cs="Arial"/>
          <w:szCs w:val="20"/>
        </w:rPr>
        <w:t>Ni posledic.</w:t>
      </w:r>
    </w:p>
    <w:p w14:paraId="2AFE0D35" w14:textId="77777777" w:rsidR="008E0F84" w:rsidRPr="00457816" w:rsidRDefault="008E0F84" w:rsidP="008E0F84">
      <w:pPr>
        <w:spacing w:line="240" w:lineRule="auto"/>
        <w:jc w:val="both"/>
        <w:rPr>
          <w:rFonts w:cs="Arial"/>
          <w:b/>
          <w:szCs w:val="20"/>
        </w:rPr>
      </w:pPr>
    </w:p>
    <w:p w14:paraId="6F4D72B5" w14:textId="77777777" w:rsidR="008E0F84" w:rsidRPr="00457816" w:rsidRDefault="008E0F84" w:rsidP="008E0F84">
      <w:pPr>
        <w:spacing w:line="240" w:lineRule="auto"/>
        <w:jc w:val="both"/>
        <w:rPr>
          <w:rFonts w:cs="Arial"/>
          <w:b/>
          <w:szCs w:val="20"/>
        </w:rPr>
      </w:pPr>
      <w:r w:rsidRPr="00457816">
        <w:rPr>
          <w:rFonts w:cs="Arial"/>
          <w:b/>
          <w:szCs w:val="20"/>
        </w:rPr>
        <w:t>6.2. Presoja posledic za okolje, vključno s prostorskimi in varstvenimi vidiki</w:t>
      </w:r>
    </w:p>
    <w:p w14:paraId="554B14DD" w14:textId="77777777" w:rsidR="00AE18F2" w:rsidRDefault="00AE18F2" w:rsidP="008E0F84">
      <w:pPr>
        <w:spacing w:line="240" w:lineRule="auto"/>
        <w:jc w:val="both"/>
        <w:rPr>
          <w:rFonts w:cs="Arial"/>
          <w:szCs w:val="20"/>
        </w:rPr>
      </w:pPr>
    </w:p>
    <w:p w14:paraId="09367C66" w14:textId="3BDAD5DB" w:rsidR="008E0F84" w:rsidRDefault="00AE18F2" w:rsidP="008E0F84">
      <w:pPr>
        <w:spacing w:line="240" w:lineRule="auto"/>
        <w:jc w:val="both"/>
        <w:rPr>
          <w:rFonts w:cs="Arial"/>
          <w:szCs w:val="20"/>
        </w:rPr>
      </w:pPr>
      <w:r>
        <w:rPr>
          <w:rFonts w:cs="Arial"/>
          <w:szCs w:val="20"/>
        </w:rPr>
        <w:t>Ni posledic.</w:t>
      </w:r>
    </w:p>
    <w:p w14:paraId="1488A0C5" w14:textId="77777777" w:rsidR="00E467B9" w:rsidRDefault="00E467B9" w:rsidP="008E0F84">
      <w:pPr>
        <w:spacing w:line="240" w:lineRule="auto"/>
        <w:jc w:val="both"/>
        <w:rPr>
          <w:rFonts w:cs="Arial"/>
          <w:szCs w:val="20"/>
        </w:rPr>
      </w:pPr>
    </w:p>
    <w:p w14:paraId="588C7477" w14:textId="77777777" w:rsidR="008E0F84" w:rsidRPr="00457816" w:rsidRDefault="008E0F84" w:rsidP="008E0F84">
      <w:pPr>
        <w:spacing w:line="240" w:lineRule="auto"/>
        <w:jc w:val="both"/>
        <w:rPr>
          <w:rFonts w:cs="Arial"/>
          <w:b/>
          <w:szCs w:val="20"/>
        </w:rPr>
      </w:pPr>
      <w:r w:rsidRPr="00457816">
        <w:rPr>
          <w:rFonts w:cs="Arial"/>
          <w:b/>
          <w:szCs w:val="20"/>
        </w:rPr>
        <w:t>6.3. Presoja posledic za gospodarstvo</w:t>
      </w:r>
    </w:p>
    <w:p w14:paraId="22CF20D2" w14:textId="77777777" w:rsidR="00AE18F2" w:rsidRDefault="00AE18F2" w:rsidP="008E0F84">
      <w:pPr>
        <w:spacing w:line="240" w:lineRule="auto"/>
        <w:jc w:val="both"/>
        <w:rPr>
          <w:rFonts w:cs="Arial"/>
          <w:szCs w:val="20"/>
        </w:rPr>
      </w:pPr>
    </w:p>
    <w:p w14:paraId="1F5CDD56" w14:textId="3C6C5394" w:rsidR="008E0F84" w:rsidRDefault="00AE18F2" w:rsidP="008E0F84">
      <w:pPr>
        <w:spacing w:line="240" w:lineRule="auto"/>
        <w:jc w:val="both"/>
        <w:rPr>
          <w:rFonts w:cs="Arial"/>
          <w:szCs w:val="20"/>
        </w:rPr>
      </w:pPr>
      <w:r>
        <w:rPr>
          <w:rFonts w:cs="Arial"/>
          <w:szCs w:val="20"/>
        </w:rPr>
        <w:t>Ni posledic.</w:t>
      </w:r>
    </w:p>
    <w:p w14:paraId="55A73B07" w14:textId="77777777" w:rsidR="008E0F84" w:rsidRPr="00F76467" w:rsidRDefault="008E0F84" w:rsidP="008E0F84">
      <w:pPr>
        <w:spacing w:line="240" w:lineRule="auto"/>
        <w:jc w:val="both"/>
        <w:rPr>
          <w:rFonts w:cs="Arial"/>
          <w:bCs/>
          <w:szCs w:val="20"/>
        </w:rPr>
      </w:pPr>
    </w:p>
    <w:p w14:paraId="0B9056BC" w14:textId="77777777" w:rsidR="008E0F84" w:rsidRPr="00457816" w:rsidRDefault="008E0F84" w:rsidP="008E0F84">
      <w:pPr>
        <w:spacing w:line="240" w:lineRule="auto"/>
        <w:jc w:val="both"/>
        <w:rPr>
          <w:rFonts w:cs="Arial"/>
          <w:b/>
          <w:szCs w:val="20"/>
        </w:rPr>
      </w:pPr>
      <w:r w:rsidRPr="00457816">
        <w:rPr>
          <w:rFonts w:cs="Arial"/>
          <w:b/>
          <w:szCs w:val="20"/>
        </w:rPr>
        <w:t>6.4. Presoja posledic za socialno področje</w:t>
      </w:r>
    </w:p>
    <w:p w14:paraId="29F177B1" w14:textId="77777777" w:rsidR="00AE18F2" w:rsidRDefault="00AE18F2" w:rsidP="008E0F84">
      <w:pPr>
        <w:spacing w:line="240" w:lineRule="auto"/>
        <w:jc w:val="both"/>
        <w:rPr>
          <w:rFonts w:cs="Arial"/>
          <w:szCs w:val="20"/>
        </w:rPr>
      </w:pPr>
    </w:p>
    <w:p w14:paraId="3B5C1FF2" w14:textId="7F2AD9C6" w:rsidR="008E0F84" w:rsidRDefault="00AE18F2" w:rsidP="008E0F84">
      <w:pPr>
        <w:spacing w:line="240" w:lineRule="auto"/>
        <w:jc w:val="both"/>
        <w:rPr>
          <w:rFonts w:cs="Arial"/>
          <w:szCs w:val="20"/>
        </w:rPr>
      </w:pPr>
      <w:r>
        <w:rPr>
          <w:rFonts w:cs="Arial"/>
          <w:szCs w:val="20"/>
        </w:rPr>
        <w:t>Ni posledic.</w:t>
      </w:r>
    </w:p>
    <w:p w14:paraId="05D71A2B" w14:textId="77777777" w:rsidR="008E0F84" w:rsidRPr="00457816" w:rsidRDefault="008E0F84" w:rsidP="008E0F84">
      <w:pPr>
        <w:spacing w:line="240" w:lineRule="auto"/>
        <w:jc w:val="both"/>
        <w:rPr>
          <w:rFonts w:cs="Arial"/>
          <w:b/>
          <w:szCs w:val="20"/>
        </w:rPr>
      </w:pPr>
    </w:p>
    <w:p w14:paraId="28139659" w14:textId="77777777" w:rsidR="008E0F84" w:rsidRPr="00457816" w:rsidRDefault="008E0F84" w:rsidP="008E0F84">
      <w:pPr>
        <w:spacing w:line="240" w:lineRule="auto"/>
        <w:jc w:val="both"/>
        <w:rPr>
          <w:rFonts w:cs="Arial"/>
          <w:b/>
          <w:szCs w:val="20"/>
        </w:rPr>
      </w:pPr>
      <w:r w:rsidRPr="00457816">
        <w:rPr>
          <w:rFonts w:cs="Arial"/>
          <w:b/>
          <w:szCs w:val="20"/>
        </w:rPr>
        <w:t>6.5. Presoja posledic za dokumente razvojnega načrtovanja</w:t>
      </w:r>
    </w:p>
    <w:p w14:paraId="4C81CC37" w14:textId="77777777" w:rsidR="00AE18F2" w:rsidRDefault="00AE18F2" w:rsidP="008E0F84">
      <w:pPr>
        <w:spacing w:line="240" w:lineRule="auto"/>
        <w:jc w:val="both"/>
        <w:rPr>
          <w:rFonts w:cs="Arial"/>
          <w:szCs w:val="20"/>
        </w:rPr>
      </w:pPr>
    </w:p>
    <w:p w14:paraId="127BAD0D" w14:textId="2F899765" w:rsidR="008E0F84" w:rsidRDefault="00AE18F2" w:rsidP="008E0F84">
      <w:pPr>
        <w:spacing w:line="240" w:lineRule="auto"/>
        <w:jc w:val="both"/>
        <w:rPr>
          <w:rFonts w:cs="Arial"/>
          <w:szCs w:val="20"/>
        </w:rPr>
      </w:pPr>
      <w:r>
        <w:rPr>
          <w:rFonts w:cs="Arial"/>
          <w:szCs w:val="20"/>
        </w:rPr>
        <w:t xml:space="preserve">Ni posledic. </w:t>
      </w:r>
    </w:p>
    <w:p w14:paraId="61D6BD75" w14:textId="77777777" w:rsidR="00D20C60" w:rsidRDefault="00D20C60" w:rsidP="008E0F84">
      <w:pPr>
        <w:spacing w:line="240" w:lineRule="auto"/>
        <w:jc w:val="both"/>
        <w:rPr>
          <w:rFonts w:cs="Arial"/>
          <w:b/>
          <w:szCs w:val="20"/>
        </w:rPr>
      </w:pPr>
    </w:p>
    <w:p w14:paraId="013A9511" w14:textId="47E61C41" w:rsidR="008E0F84" w:rsidRPr="00457816" w:rsidRDefault="008E0F84" w:rsidP="008E0F84">
      <w:pPr>
        <w:spacing w:line="240" w:lineRule="auto"/>
        <w:jc w:val="both"/>
        <w:rPr>
          <w:rFonts w:cs="Arial"/>
          <w:b/>
          <w:szCs w:val="20"/>
        </w:rPr>
      </w:pPr>
      <w:r w:rsidRPr="00457816">
        <w:rPr>
          <w:rFonts w:cs="Arial"/>
          <w:b/>
          <w:szCs w:val="20"/>
        </w:rPr>
        <w:t>6.6. Presoja posledic za druga področja</w:t>
      </w:r>
    </w:p>
    <w:p w14:paraId="3F754F6B" w14:textId="77777777" w:rsidR="008E0F84" w:rsidRDefault="008E0F84" w:rsidP="008E0F84">
      <w:pPr>
        <w:spacing w:line="240" w:lineRule="auto"/>
        <w:jc w:val="both"/>
        <w:rPr>
          <w:rFonts w:cs="Arial"/>
          <w:szCs w:val="20"/>
        </w:rPr>
      </w:pPr>
    </w:p>
    <w:p w14:paraId="1DAEA39C" w14:textId="467421A5" w:rsidR="00501954" w:rsidRDefault="00AE18F2" w:rsidP="008E0F84">
      <w:pPr>
        <w:spacing w:line="240" w:lineRule="auto"/>
        <w:jc w:val="both"/>
        <w:rPr>
          <w:rFonts w:cs="Arial"/>
          <w:szCs w:val="20"/>
        </w:rPr>
      </w:pPr>
      <w:r>
        <w:rPr>
          <w:rFonts w:cs="Arial"/>
          <w:szCs w:val="20"/>
        </w:rPr>
        <w:t xml:space="preserve">Ni posledic. </w:t>
      </w:r>
    </w:p>
    <w:p w14:paraId="2ED5B92B" w14:textId="77777777" w:rsidR="00AE18F2" w:rsidRDefault="00AE18F2" w:rsidP="008E0F84">
      <w:pPr>
        <w:spacing w:line="240" w:lineRule="auto"/>
        <w:jc w:val="both"/>
        <w:rPr>
          <w:rFonts w:cs="Arial"/>
          <w:szCs w:val="20"/>
        </w:rPr>
      </w:pPr>
    </w:p>
    <w:p w14:paraId="4FC75470" w14:textId="77777777" w:rsidR="008E0F84" w:rsidRPr="00457816" w:rsidRDefault="008E0F84" w:rsidP="008E0F84">
      <w:pPr>
        <w:spacing w:line="240" w:lineRule="auto"/>
        <w:jc w:val="both"/>
        <w:rPr>
          <w:rFonts w:cs="Arial"/>
          <w:b/>
          <w:szCs w:val="20"/>
        </w:rPr>
      </w:pPr>
      <w:r w:rsidRPr="00457816">
        <w:rPr>
          <w:rFonts w:cs="Arial"/>
          <w:b/>
          <w:szCs w:val="20"/>
        </w:rPr>
        <w:t>6.7. Izvajanje sprejetega predpisa</w:t>
      </w:r>
    </w:p>
    <w:p w14:paraId="2CFF3271" w14:textId="77777777" w:rsidR="008E0F84" w:rsidRDefault="008E0F84" w:rsidP="008E0F84">
      <w:pPr>
        <w:spacing w:line="240" w:lineRule="auto"/>
        <w:jc w:val="both"/>
        <w:rPr>
          <w:rFonts w:cs="Arial"/>
          <w:szCs w:val="20"/>
        </w:rPr>
      </w:pPr>
    </w:p>
    <w:p w14:paraId="553EE627" w14:textId="72AFB59E" w:rsidR="008E0F84" w:rsidRPr="00457816" w:rsidRDefault="008E0F84" w:rsidP="008E0F84">
      <w:pPr>
        <w:spacing w:line="240" w:lineRule="auto"/>
        <w:jc w:val="both"/>
        <w:rPr>
          <w:rFonts w:cs="Arial"/>
          <w:szCs w:val="20"/>
        </w:rPr>
      </w:pPr>
      <w:r w:rsidRPr="00457816">
        <w:rPr>
          <w:rFonts w:cs="Arial"/>
          <w:szCs w:val="20"/>
        </w:rPr>
        <w:t xml:space="preserve">Izvajanje predpisa bo spremljano v sodelovanju z </w:t>
      </w:r>
      <w:r w:rsidR="00AE18F2">
        <w:rPr>
          <w:rFonts w:cs="Arial"/>
          <w:szCs w:val="20"/>
        </w:rPr>
        <w:t xml:space="preserve">Agencijo za trg vrednostnih papirjev in </w:t>
      </w:r>
      <w:r>
        <w:rPr>
          <w:rFonts w:cs="Arial"/>
          <w:szCs w:val="20"/>
        </w:rPr>
        <w:t>Agencijo za zavarovalni nadzor</w:t>
      </w:r>
      <w:r w:rsidRPr="00457816">
        <w:rPr>
          <w:rFonts w:cs="Arial"/>
          <w:szCs w:val="20"/>
        </w:rPr>
        <w:t>.</w:t>
      </w:r>
    </w:p>
    <w:p w14:paraId="69103C7C" w14:textId="77777777" w:rsidR="008E0F84" w:rsidRPr="00457816" w:rsidRDefault="008E0F84" w:rsidP="008E0F84">
      <w:pPr>
        <w:spacing w:line="240" w:lineRule="auto"/>
        <w:jc w:val="both"/>
        <w:rPr>
          <w:rFonts w:cs="Arial"/>
          <w:b/>
          <w:szCs w:val="20"/>
        </w:rPr>
      </w:pPr>
    </w:p>
    <w:p w14:paraId="2EED447A" w14:textId="77777777" w:rsidR="008E0F84" w:rsidRPr="00457816" w:rsidRDefault="008E0F84" w:rsidP="008E0F84">
      <w:pPr>
        <w:spacing w:line="240" w:lineRule="auto"/>
        <w:jc w:val="both"/>
        <w:rPr>
          <w:rFonts w:cs="Arial"/>
          <w:b/>
          <w:szCs w:val="20"/>
        </w:rPr>
      </w:pPr>
      <w:r w:rsidRPr="00457816">
        <w:rPr>
          <w:rFonts w:cs="Arial"/>
          <w:b/>
          <w:szCs w:val="20"/>
        </w:rPr>
        <w:t>6.8. Druge pomembne okoliščine v zvezi z vprašanji, ki jih ureja predlog zakona</w:t>
      </w:r>
    </w:p>
    <w:p w14:paraId="5F68D795" w14:textId="77777777" w:rsidR="008E0F84" w:rsidRDefault="008E0F84" w:rsidP="008E0F84">
      <w:pPr>
        <w:spacing w:line="240" w:lineRule="auto"/>
        <w:rPr>
          <w:rFonts w:cs="Arial"/>
          <w:szCs w:val="20"/>
        </w:rPr>
      </w:pPr>
    </w:p>
    <w:p w14:paraId="5423521C" w14:textId="77777777" w:rsidR="008E0F84" w:rsidRDefault="008E0F84" w:rsidP="008E0F84">
      <w:pPr>
        <w:spacing w:line="240" w:lineRule="auto"/>
        <w:rPr>
          <w:rFonts w:cs="Arial"/>
          <w:szCs w:val="20"/>
        </w:rPr>
      </w:pPr>
      <w:r w:rsidRPr="00457816">
        <w:rPr>
          <w:rFonts w:cs="Arial"/>
          <w:szCs w:val="20"/>
        </w:rPr>
        <w:t>V zvezi s predlogom zakona ni drugih pomembnih okoliščin.</w:t>
      </w:r>
    </w:p>
    <w:p w14:paraId="237983A7" w14:textId="77777777" w:rsidR="00FC3D17" w:rsidRDefault="00FC3D17" w:rsidP="008E0F84">
      <w:pPr>
        <w:spacing w:line="240" w:lineRule="auto"/>
        <w:rPr>
          <w:rFonts w:cs="Arial"/>
          <w:szCs w:val="20"/>
        </w:rPr>
      </w:pPr>
    </w:p>
    <w:p w14:paraId="7DC10CF2" w14:textId="77777777" w:rsidR="00435300" w:rsidRPr="00457816" w:rsidRDefault="00435300" w:rsidP="008E0F84">
      <w:pPr>
        <w:spacing w:line="240" w:lineRule="auto"/>
        <w:rPr>
          <w:rFonts w:cs="Arial"/>
          <w:szCs w:val="20"/>
        </w:rPr>
      </w:pPr>
    </w:p>
    <w:p w14:paraId="48FE6641" w14:textId="77777777" w:rsidR="008E0F84" w:rsidRPr="00457816" w:rsidRDefault="008E0F84" w:rsidP="00871993">
      <w:pPr>
        <w:numPr>
          <w:ilvl w:val="0"/>
          <w:numId w:val="4"/>
        </w:numPr>
        <w:spacing w:line="240" w:lineRule="auto"/>
        <w:rPr>
          <w:rFonts w:cs="Arial"/>
          <w:b/>
          <w:szCs w:val="20"/>
        </w:rPr>
      </w:pPr>
      <w:r w:rsidRPr="00457816">
        <w:rPr>
          <w:rFonts w:cs="Arial"/>
          <w:b/>
          <w:szCs w:val="20"/>
        </w:rPr>
        <w:t>PRIKAZ SODELOVANJA JAVNOSTI PRI PRIPRAVI PREDLOGA ZAKONA</w:t>
      </w:r>
    </w:p>
    <w:p w14:paraId="62A5A12E" w14:textId="77777777" w:rsidR="008E0F84" w:rsidRPr="00457816" w:rsidRDefault="008E0F84" w:rsidP="008E0F84">
      <w:pPr>
        <w:spacing w:line="240" w:lineRule="auto"/>
        <w:rPr>
          <w:rFonts w:cs="Arial"/>
          <w:b/>
          <w:szCs w:val="20"/>
        </w:rPr>
      </w:pPr>
    </w:p>
    <w:p w14:paraId="07254C30" w14:textId="001FB8B0" w:rsidR="008E0F84" w:rsidRPr="00457816" w:rsidRDefault="008E0F84" w:rsidP="008E0F84">
      <w:pPr>
        <w:pStyle w:val="Brezrazmikov"/>
        <w:jc w:val="both"/>
        <w:rPr>
          <w:iCs/>
          <w:sz w:val="20"/>
          <w:szCs w:val="20"/>
          <w:lang w:val="sl-SI"/>
        </w:rPr>
      </w:pPr>
      <w:r w:rsidRPr="00457816">
        <w:rPr>
          <w:iCs/>
          <w:sz w:val="20"/>
          <w:szCs w:val="20"/>
          <w:lang w:val="sl-SI"/>
        </w:rPr>
        <w:t xml:space="preserve">Javna objava </w:t>
      </w:r>
      <w:r>
        <w:rPr>
          <w:sz w:val="20"/>
          <w:szCs w:val="20"/>
          <w:lang w:val="sl-SI"/>
        </w:rPr>
        <w:t>p</w:t>
      </w:r>
      <w:r w:rsidRPr="00AA2612">
        <w:rPr>
          <w:sz w:val="20"/>
          <w:szCs w:val="20"/>
          <w:lang w:val="sl-SI"/>
        </w:rPr>
        <w:t>redlog</w:t>
      </w:r>
      <w:r>
        <w:rPr>
          <w:sz w:val="20"/>
          <w:szCs w:val="20"/>
          <w:lang w:val="sl-SI"/>
        </w:rPr>
        <w:t>a</w:t>
      </w:r>
      <w:r w:rsidRPr="00AA2612">
        <w:rPr>
          <w:sz w:val="20"/>
          <w:szCs w:val="20"/>
          <w:lang w:val="sl-SI"/>
        </w:rPr>
        <w:t xml:space="preserve"> </w:t>
      </w:r>
      <w:r>
        <w:rPr>
          <w:rFonts w:eastAsia="Times New Roman"/>
          <w:sz w:val="20"/>
          <w:szCs w:val="20"/>
          <w:lang w:val="sl-SI"/>
        </w:rPr>
        <w:t>zakona</w:t>
      </w:r>
      <w:r w:rsidRPr="00457816">
        <w:rPr>
          <w:iCs/>
          <w:sz w:val="20"/>
          <w:szCs w:val="20"/>
          <w:lang w:val="sl-SI"/>
        </w:rPr>
        <w:t xml:space="preserve"> je potekala od </w:t>
      </w:r>
      <w:r w:rsidR="00435300">
        <w:rPr>
          <w:iCs/>
          <w:sz w:val="20"/>
          <w:szCs w:val="20"/>
          <w:lang w:val="sl-SI"/>
        </w:rPr>
        <w:t>17. 7. 2025</w:t>
      </w:r>
      <w:r w:rsidR="00472DA3" w:rsidRPr="00472DA3">
        <w:rPr>
          <w:iCs/>
          <w:sz w:val="20"/>
          <w:szCs w:val="20"/>
          <w:lang w:val="sl-SI"/>
        </w:rPr>
        <w:t xml:space="preserve"> do </w:t>
      </w:r>
      <w:r w:rsidR="00435300">
        <w:rPr>
          <w:iCs/>
          <w:sz w:val="20"/>
          <w:szCs w:val="20"/>
          <w:lang w:val="sl-SI"/>
        </w:rPr>
        <w:t>31. 7. 2025</w:t>
      </w:r>
      <w:r w:rsidR="00472DA3">
        <w:rPr>
          <w:iCs/>
          <w:sz w:val="20"/>
          <w:szCs w:val="20"/>
          <w:lang w:val="sl-SI"/>
        </w:rPr>
        <w:t>.</w:t>
      </w:r>
    </w:p>
    <w:p w14:paraId="3F4A3B4F" w14:textId="563EAABC" w:rsidR="008E0F84" w:rsidRPr="00457816" w:rsidRDefault="008E0F84" w:rsidP="008E0F84">
      <w:pPr>
        <w:pStyle w:val="Brezrazmikov"/>
        <w:jc w:val="both"/>
        <w:rPr>
          <w:iCs/>
          <w:sz w:val="20"/>
          <w:szCs w:val="20"/>
          <w:lang w:val="sl-SI"/>
        </w:rPr>
      </w:pPr>
      <w:r w:rsidRPr="00457816">
        <w:rPr>
          <w:iCs/>
          <w:sz w:val="20"/>
          <w:szCs w:val="20"/>
          <w:lang w:val="sl-SI"/>
        </w:rPr>
        <w:t>Spletni naslov, na katerem je bil predpis objavljen:</w:t>
      </w:r>
      <w:r w:rsidR="00435300" w:rsidRPr="00435300">
        <w:rPr>
          <w:lang w:val="sl-SI"/>
        </w:rPr>
        <w:t xml:space="preserve"> </w:t>
      </w:r>
      <w:r w:rsidR="00435300">
        <w:fldChar w:fldCharType="begin"/>
      </w:r>
      <w:r w:rsidR="00435300" w:rsidRPr="00311340">
        <w:rPr>
          <w:lang w:val="nb-NO"/>
        </w:rPr>
        <w:instrText>HYPERLINK "https://e-uprava.gov.si/si/drzava-in-druzba/e-demokracija/predlogi-predpisov/predlog-predpisa.html?id=18001&amp;lang=si"</w:instrText>
      </w:r>
      <w:r w:rsidR="00435300">
        <w:fldChar w:fldCharType="separate"/>
      </w:r>
      <w:r w:rsidR="00435300" w:rsidRPr="0069355A">
        <w:rPr>
          <w:rStyle w:val="Hiperpovezava"/>
          <w:iCs/>
          <w:sz w:val="20"/>
          <w:szCs w:val="20"/>
          <w:lang w:val="sl-SI"/>
        </w:rPr>
        <w:t>https://e-uprava.gov.si/si/drzava-in-druzba/e-demokracija/predlogi-predpisov/predlog-predpisa.html?id=18001&amp;lang=si</w:t>
      </w:r>
      <w:r w:rsidR="00435300">
        <w:fldChar w:fldCharType="end"/>
      </w:r>
      <w:r w:rsidR="00435300">
        <w:rPr>
          <w:iCs/>
          <w:sz w:val="20"/>
          <w:szCs w:val="20"/>
          <w:lang w:val="sl-SI"/>
        </w:rPr>
        <w:t xml:space="preserve"> </w:t>
      </w:r>
    </w:p>
    <w:p w14:paraId="61700E6D" w14:textId="77777777" w:rsidR="00435300" w:rsidRDefault="00435300" w:rsidP="008E0F84">
      <w:pPr>
        <w:pStyle w:val="Brezrazmikov"/>
        <w:jc w:val="both"/>
        <w:rPr>
          <w:iCs/>
          <w:sz w:val="20"/>
          <w:szCs w:val="20"/>
          <w:lang w:val="sl-SI"/>
        </w:rPr>
      </w:pPr>
    </w:p>
    <w:p w14:paraId="204A6BBB" w14:textId="3D28CDE8" w:rsidR="00472DA3" w:rsidRPr="00AA2612" w:rsidRDefault="008E0F84" w:rsidP="008E0F84">
      <w:pPr>
        <w:pStyle w:val="Brezrazmikov"/>
        <w:jc w:val="both"/>
        <w:rPr>
          <w:sz w:val="20"/>
          <w:szCs w:val="20"/>
          <w:lang w:val="sl-SI"/>
        </w:rPr>
      </w:pPr>
      <w:r w:rsidRPr="00457816">
        <w:rPr>
          <w:iCs/>
          <w:sz w:val="20"/>
          <w:szCs w:val="20"/>
          <w:lang w:val="sl-SI"/>
        </w:rPr>
        <w:t>E-demokracija:</w:t>
      </w:r>
      <w:r>
        <w:rPr>
          <w:iCs/>
          <w:sz w:val="20"/>
          <w:szCs w:val="20"/>
          <w:lang w:val="sl-SI"/>
        </w:rPr>
        <w:t xml:space="preserve"> </w:t>
      </w:r>
    </w:p>
    <w:p w14:paraId="6213A7C5" w14:textId="77777777" w:rsidR="008E0F84" w:rsidRPr="00457816" w:rsidRDefault="008E0F84" w:rsidP="008E0F84">
      <w:pPr>
        <w:pStyle w:val="Brezrazmikov"/>
        <w:jc w:val="both"/>
        <w:rPr>
          <w:iCs/>
          <w:sz w:val="20"/>
          <w:szCs w:val="20"/>
          <w:lang w:val="sl-SI"/>
        </w:rPr>
      </w:pPr>
    </w:p>
    <w:p w14:paraId="27180B4E" w14:textId="77777777" w:rsidR="008E0F84" w:rsidRPr="00457816" w:rsidRDefault="008E0F84" w:rsidP="008E0F84">
      <w:pPr>
        <w:pStyle w:val="Brezrazmikov"/>
        <w:jc w:val="both"/>
        <w:rPr>
          <w:iCs/>
          <w:sz w:val="20"/>
          <w:szCs w:val="20"/>
          <w:lang w:val="sl-SI"/>
        </w:rPr>
      </w:pPr>
      <w:r w:rsidRPr="00457816">
        <w:rPr>
          <w:iCs/>
          <w:sz w:val="20"/>
          <w:szCs w:val="20"/>
          <w:lang w:val="sl-SI"/>
        </w:rPr>
        <w:t>V razpravo so bili vključeni:</w:t>
      </w:r>
    </w:p>
    <w:p w14:paraId="607687E6" w14:textId="77777777" w:rsidR="008E0F84" w:rsidRPr="00457816" w:rsidRDefault="008E0F84" w:rsidP="008E0F84">
      <w:pPr>
        <w:pStyle w:val="Brezrazmikov"/>
        <w:jc w:val="both"/>
        <w:rPr>
          <w:iCs/>
          <w:sz w:val="20"/>
          <w:szCs w:val="20"/>
          <w:lang w:val="sl-SI"/>
        </w:rPr>
      </w:pPr>
      <w:r w:rsidRPr="00457816">
        <w:rPr>
          <w:iCs/>
          <w:sz w:val="20"/>
          <w:szCs w:val="20"/>
          <w:lang w:val="sl-SI"/>
        </w:rPr>
        <w:t>– nevladne organizacije,</w:t>
      </w:r>
    </w:p>
    <w:p w14:paraId="3E487738" w14:textId="77777777" w:rsidR="008E0F84" w:rsidRPr="00457816" w:rsidRDefault="008E0F84" w:rsidP="008E0F84">
      <w:pPr>
        <w:pStyle w:val="Brezrazmikov"/>
        <w:jc w:val="both"/>
        <w:rPr>
          <w:iCs/>
          <w:sz w:val="20"/>
          <w:szCs w:val="20"/>
          <w:lang w:val="sl-SI"/>
        </w:rPr>
      </w:pPr>
      <w:r w:rsidRPr="00457816">
        <w:rPr>
          <w:iCs/>
          <w:sz w:val="20"/>
          <w:szCs w:val="20"/>
          <w:lang w:val="sl-SI"/>
        </w:rPr>
        <w:t>– predstavniki zainteresirane javnosti,</w:t>
      </w:r>
    </w:p>
    <w:p w14:paraId="7D127210" w14:textId="77777777" w:rsidR="008E0F84" w:rsidRPr="00457816" w:rsidRDefault="008E0F84" w:rsidP="008E0F84">
      <w:pPr>
        <w:pStyle w:val="Brezrazmikov"/>
        <w:jc w:val="both"/>
        <w:rPr>
          <w:iCs/>
          <w:sz w:val="20"/>
          <w:szCs w:val="20"/>
          <w:lang w:val="sl-SI"/>
        </w:rPr>
      </w:pPr>
      <w:r w:rsidRPr="00457816">
        <w:rPr>
          <w:iCs/>
          <w:sz w:val="20"/>
          <w:szCs w:val="20"/>
          <w:lang w:val="sl-SI"/>
        </w:rPr>
        <w:t>– predstavniki strokovne javnosti.</w:t>
      </w:r>
    </w:p>
    <w:p w14:paraId="47AEBE08" w14:textId="77777777" w:rsidR="008E0F84" w:rsidRPr="00457816" w:rsidRDefault="008E0F84" w:rsidP="008E0F84">
      <w:pPr>
        <w:pStyle w:val="Brezrazmikov"/>
        <w:jc w:val="both"/>
        <w:rPr>
          <w:iCs/>
          <w:sz w:val="20"/>
          <w:szCs w:val="20"/>
          <w:lang w:val="sl-SI"/>
        </w:rPr>
      </w:pPr>
    </w:p>
    <w:p w14:paraId="15BD1A3E" w14:textId="75730A0D" w:rsidR="008E0F84" w:rsidRPr="00457816" w:rsidRDefault="008E0F84" w:rsidP="008E0F84">
      <w:pPr>
        <w:pStyle w:val="Brezrazmikov"/>
        <w:jc w:val="both"/>
        <w:rPr>
          <w:iCs/>
          <w:sz w:val="20"/>
          <w:szCs w:val="20"/>
          <w:lang w:val="sl-SI"/>
        </w:rPr>
      </w:pPr>
      <w:r w:rsidRPr="00457816">
        <w:rPr>
          <w:iCs/>
          <w:sz w:val="20"/>
          <w:szCs w:val="20"/>
          <w:lang w:val="sl-SI"/>
        </w:rPr>
        <w:t>V času javne razprave smo prejeli predlog</w:t>
      </w:r>
      <w:r w:rsidR="00435300">
        <w:rPr>
          <w:iCs/>
          <w:sz w:val="20"/>
          <w:szCs w:val="20"/>
          <w:lang w:val="sl-SI"/>
        </w:rPr>
        <w:t xml:space="preserve"> ene fizične osebe, na katere</w:t>
      </w:r>
      <w:r w:rsidR="006B4345">
        <w:rPr>
          <w:iCs/>
          <w:sz w:val="20"/>
          <w:szCs w:val="20"/>
          <w:lang w:val="sl-SI"/>
        </w:rPr>
        <w:t>ga</w:t>
      </w:r>
      <w:r w:rsidR="00435300">
        <w:rPr>
          <w:iCs/>
          <w:sz w:val="20"/>
          <w:szCs w:val="20"/>
          <w:lang w:val="sl-SI"/>
        </w:rPr>
        <w:t xml:space="preserve"> smo odgovorili.</w:t>
      </w:r>
      <w:r w:rsidR="00C1155D">
        <w:rPr>
          <w:iCs/>
          <w:sz w:val="20"/>
          <w:szCs w:val="20"/>
          <w:lang w:val="sl-SI"/>
        </w:rPr>
        <w:t xml:space="preserve"> Predlog se je nanašal na splošno ureditev pokojninskih zavarovanj, zato v temu predlogu zakona ni bil upoštevan. </w:t>
      </w:r>
    </w:p>
    <w:p w14:paraId="3A9947DA" w14:textId="77777777" w:rsidR="00435300" w:rsidRDefault="00435300" w:rsidP="008E0F84">
      <w:pPr>
        <w:spacing w:line="240" w:lineRule="auto"/>
        <w:rPr>
          <w:rFonts w:cs="Arial"/>
          <w:szCs w:val="20"/>
        </w:rPr>
      </w:pPr>
    </w:p>
    <w:p w14:paraId="4921A4E8" w14:textId="5DF5D27F" w:rsidR="008E0F84" w:rsidRPr="00380387" w:rsidRDefault="008E0F84" w:rsidP="008E0F84">
      <w:pPr>
        <w:spacing w:line="240" w:lineRule="auto"/>
        <w:rPr>
          <w:rFonts w:cs="Arial"/>
          <w:szCs w:val="20"/>
        </w:rPr>
      </w:pPr>
      <w:r w:rsidRPr="00380387">
        <w:rPr>
          <w:rFonts w:cs="Arial"/>
          <w:szCs w:val="20"/>
        </w:rPr>
        <w:t xml:space="preserve">Bistvena mnenja, predlogi in pripombe, ki niso bili upoštevani, ter razlogi za neupoštevanje: </w:t>
      </w:r>
    </w:p>
    <w:p w14:paraId="2AC0259C" w14:textId="77777777" w:rsidR="008E0F84" w:rsidRPr="00380387" w:rsidRDefault="008E0F84" w:rsidP="008E0F84">
      <w:pPr>
        <w:spacing w:line="240" w:lineRule="auto"/>
        <w:jc w:val="both"/>
        <w:rPr>
          <w:rFonts w:cs="Arial"/>
          <w:szCs w:val="20"/>
        </w:rPr>
      </w:pPr>
      <w:r w:rsidRPr="00380387">
        <w:rPr>
          <w:rFonts w:cs="Arial"/>
          <w:szCs w:val="20"/>
        </w:rPr>
        <w:t xml:space="preserve">/ </w:t>
      </w:r>
    </w:p>
    <w:p w14:paraId="286F9688" w14:textId="77777777" w:rsidR="008E0F84" w:rsidRPr="00380387" w:rsidRDefault="008E0F84" w:rsidP="008E0F84">
      <w:pPr>
        <w:spacing w:line="240" w:lineRule="auto"/>
        <w:jc w:val="both"/>
        <w:rPr>
          <w:rFonts w:cs="Arial"/>
          <w:szCs w:val="20"/>
        </w:rPr>
      </w:pPr>
    </w:p>
    <w:p w14:paraId="5BEEB679" w14:textId="77777777" w:rsidR="008E0F84" w:rsidRPr="00457816" w:rsidRDefault="008E0F84" w:rsidP="00871993">
      <w:pPr>
        <w:numPr>
          <w:ilvl w:val="0"/>
          <w:numId w:val="4"/>
        </w:numPr>
        <w:spacing w:line="240" w:lineRule="auto"/>
        <w:jc w:val="both"/>
        <w:rPr>
          <w:rFonts w:cs="Arial"/>
          <w:b/>
          <w:szCs w:val="20"/>
        </w:rPr>
      </w:pPr>
      <w:r w:rsidRPr="00380387">
        <w:rPr>
          <w:rFonts w:cs="Arial"/>
          <w:b/>
          <w:szCs w:val="20"/>
        </w:rPr>
        <w:t>PODATEK O ZUNANJEM STROKOVNJAKU</w:t>
      </w:r>
      <w:r w:rsidRPr="00457816">
        <w:rPr>
          <w:rFonts w:cs="Arial"/>
          <w:b/>
          <w:szCs w:val="20"/>
        </w:rPr>
        <w:t xml:space="preserve"> OZIROMA PRAVNI OSEBI, KI JE SODELOVALA PRI PRIPRAVI PREDLOGA ZAKONA</w:t>
      </w:r>
    </w:p>
    <w:p w14:paraId="6FDB1C57" w14:textId="77777777" w:rsidR="008E0F84" w:rsidRPr="00457816" w:rsidRDefault="008E0F84" w:rsidP="008E0F84">
      <w:pPr>
        <w:spacing w:line="240" w:lineRule="auto"/>
        <w:rPr>
          <w:rFonts w:cs="Arial"/>
          <w:szCs w:val="20"/>
        </w:rPr>
      </w:pPr>
    </w:p>
    <w:p w14:paraId="43DB3462" w14:textId="77777777" w:rsidR="008E0F84" w:rsidRPr="00457816" w:rsidRDefault="008E0F84" w:rsidP="008E0F84">
      <w:pPr>
        <w:spacing w:line="240" w:lineRule="auto"/>
        <w:rPr>
          <w:rFonts w:cs="Arial"/>
          <w:szCs w:val="20"/>
        </w:rPr>
      </w:pPr>
      <w:r w:rsidRPr="00457816">
        <w:rPr>
          <w:rFonts w:cs="Arial"/>
          <w:szCs w:val="20"/>
        </w:rPr>
        <w:t>Pri pripravi predloga zakona niso sodelovali zunanji strokovnjaki oziroma pravne osebe.</w:t>
      </w:r>
    </w:p>
    <w:p w14:paraId="4B757A54" w14:textId="77777777" w:rsidR="008E0F84" w:rsidRPr="00457816" w:rsidRDefault="008E0F84" w:rsidP="008E0F84">
      <w:pPr>
        <w:spacing w:line="240" w:lineRule="auto"/>
        <w:rPr>
          <w:rFonts w:cs="Arial"/>
          <w:szCs w:val="20"/>
        </w:rPr>
      </w:pPr>
    </w:p>
    <w:p w14:paraId="74E2C37A" w14:textId="77777777" w:rsidR="008E0F84" w:rsidRPr="00457816" w:rsidRDefault="008E0F84" w:rsidP="00871993">
      <w:pPr>
        <w:numPr>
          <w:ilvl w:val="0"/>
          <w:numId w:val="4"/>
        </w:numPr>
        <w:spacing w:line="240" w:lineRule="auto"/>
        <w:rPr>
          <w:rFonts w:cs="Arial"/>
          <w:b/>
          <w:szCs w:val="20"/>
        </w:rPr>
      </w:pPr>
      <w:r w:rsidRPr="00457816">
        <w:rPr>
          <w:rFonts w:cs="Arial"/>
          <w:b/>
          <w:szCs w:val="20"/>
        </w:rPr>
        <w:t>ZNESEK PLAČILA ZUNANJIH STROKOVNJAKOV</w:t>
      </w:r>
    </w:p>
    <w:p w14:paraId="3A720CCB" w14:textId="77777777" w:rsidR="008E0F84" w:rsidRPr="00457816" w:rsidRDefault="008E0F84" w:rsidP="008E0F84">
      <w:pPr>
        <w:spacing w:line="240" w:lineRule="auto"/>
        <w:rPr>
          <w:rFonts w:cs="Arial"/>
          <w:szCs w:val="20"/>
        </w:rPr>
      </w:pPr>
      <w:bookmarkStart w:id="18" w:name="_Hlk55899731"/>
    </w:p>
    <w:p w14:paraId="446189C2" w14:textId="77777777" w:rsidR="008E0F84" w:rsidRPr="00457816" w:rsidRDefault="00506680" w:rsidP="008E0F84">
      <w:pPr>
        <w:spacing w:line="240" w:lineRule="auto"/>
        <w:rPr>
          <w:rFonts w:cs="Arial"/>
          <w:szCs w:val="20"/>
        </w:rPr>
      </w:pPr>
      <w:r>
        <w:rPr>
          <w:rFonts w:cs="Arial"/>
          <w:szCs w:val="20"/>
        </w:rPr>
        <w:t>Za</w:t>
      </w:r>
      <w:r w:rsidR="008E0F84" w:rsidRPr="00457816">
        <w:rPr>
          <w:rFonts w:cs="Arial"/>
          <w:szCs w:val="20"/>
        </w:rPr>
        <w:t xml:space="preserve"> priprav</w:t>
      </w:r>
      <w:r>
        <w:rPr>
          <w:rFonts w:cs="Arial"/>
          <w:szCs w:val="20"/>
        </w:rPr>
        <w:t>o</w:t>
      </w:r>
      <w:r w:rsidR="008E0F84" w:rsidRPr="00457816">
        <w:rPr>
          <w:rFonts w:cs="Arial"/>
          <w:szCs w:val="20"/>
        </w:rPr>
        <w:t xml:space="preserve"> predloga zakona </w:t>
      </w:r>
      <w:r>
        <w:rPr>
          <w:rFonts w:cs="Arial"/>
          <w:szCs w:val="20"/>
        </w:rPr>
        <w:t xml:space="preserve">ni bilo plačil zunanjih strokovnjakov oziroma pravnih oseb. </w:t>
      </w:r>
    </w:p>
    <w:p w14:paraId="6CEEB24A" w14:textId="77777777" w:rsidR="008E0F84" w:rsidRPr="00457816" w:rsidRDefault="008E0F84" w:rsidP="008E0F84">
      <w:pPr>
        <w:spacing w:line="240" w:lineRule="auto"/>
        <w:rPr>
          <w:rFonts w:cs="Arial"/>
          <w:szCs w:val="20"/>
        </w:rPr>
      </w:pPr>
    </w:p>
    <w:p w14:paraId="1C3AA06B" w14:textId="77777777" w:rsidR="008E0F84" w:rsidRPr="00457816" w:rsidRDefault="008E0F84" w:rsidP="00871993">
      <w:pPr>
        <w:numPr>
          <w:ilvl w:val="0"/>
          <w:numId w:val="4"/>
        </w:numPr>
        <w:spacing w:line="240" w:lineRule="auto"/>
        <w:rPr>
          <w:rFonts w:cs="Arial"/>
          <w:b/>
          <w:szCs w:val="20"/>
        </w:rPr>
      </w:pPr>
      <w:r w:rsidRPr="00457816">
        <w:rPr>
          <w:rFonts w:cs="Arial"/>
          <w:b/>
          <w:szCs w:val="20"/>
        </w:rPr>
        <w:t>NAVEDBA, KATERI PREDSTAVNIKI PREDLAGATELJA BODO SODELOVALI PRI DELU DRŽAVNEGA ZBORA IN DELOVNIH TELES</w:t>
      </w:r>
    </w:p>
    <w:p w14:paraId="1028F321" w14:textId="77777777" w:rsidR="008E0F84" w:rsidRPr="00457816" w:rsidRDefault="008E0F84" w:rsidP="008E0F84">
      <w:pPr>
        <w:spacing w:line="240" w:lineRule="auto"/>
        <w:rPr>
          <w:rFonts w:cs="Arial"/>
          <w:b/>
          <w:szCs w:val="20"/>
        </w:rPr>
      </w:pPr>
    </w:p>
    <w:bookmarkEnd w:id="18"/>
    <w:p w14:paraId="0E03ECB1" w14:textId="77777777" w:rsidR="008E0F84" w:rsidRPr="004C5FE4" w:rsidRDefault="008E0F84" w:rsidP="008E0F84">
      <w:pPr>
        <w:spacing w:line="276" w:lineRule="auto"/>
        <w:jc w:val="both"/>
        <w:rPr>
          <w:rFonts w:cs="Arial"/>
          <w:szCs w:val="20"/>
        </w:rPr>
      </w:pPr>
      <w:r w:rsidRPr="004C5FE4">
        <w:rPr>
          <w:rFonts w:cs="Arial"/>
          <w:szCs w:val="20"/>
        </w:rPr>
        <w:t xml:space="preserve">– </w:t>
      </w:r>
      <w:r>
        <w:rPr>
          <w:rFonts w:cs="Arial"/>
          <w:szCs w:val="20"/>
        </w:rPr>
        <w:t>Klemen Boštjančič</w:t>
      </w:r>
      <w:r w:rsidRPr="004C5FE4">
        <w:rPr>
          <w:rFonts w:cs="Arial"/>
          <w:szCs w:val="20"/>
        </w:rPr>
        <w:t>, minister,</w:t>
      </w:r>
    </w:p>
    <w:p w14:paraId="479C0284" w14:textId="77777777" w:rsidR="008E0F84" w:rsidRPr="004C5FE4" w:rsidRDefault="008E0F84" w:rsidP="008E0F84">
      <w:pPr>
        <w:spacing w:line="276" w:lineRule="auto"/>
        <w:jc w:val="both"/>
        <w:rPr>
          <w:rFonts w:cs="Arial"/>
          <w:szCs w:val="20"/>
        </w:rPr>
      </w:pPr>
      <w:r w:rsidRPr="004C5FE4">
        <w:rPr>
          <w:rFonts w:cs="Arial"/>
          <w:szCs w:val="20"/>
        </w:rPr>
        <w:t>–</w:t>
      </w:r>
      <w:r>
        <w:rPr>
          <w:rFonts w:cs="Arial"/>
          <w:szCs w:val="20"/>
        </w:rPr>
        <w:t xml:space="preserve"> Saša Jazbec</w:t>
      </w:r>
      <w:r w:rsidRPr="004C5FE4">
        <w:rPr>
          <w:rFonts w:cs="Arial"/>
          <w:szCs w:val="20"/>
        </w:rPr>
        <w:t>, državna sekretarka,</w:t>
      </w:r>
    </w:p>
    <w:p w14:paraId="47194EFB" w14:textId="77777777" w:rsidR="008E0F84" w:rsidRDefault="008E0F84" w:rsidP="008E0F84">
      <w:pPr>
        <w:spacing w:line="276" w:lineRule="auto"/>
        <w:jc w:val="both"/>
        <w:rPr>
          <w:rFonts w:cs="Arial"/>
          <w:szCs w:val="20"/>
        </w:rPr>
      </w:pPr>
      <w:r w:rsidRPr="006B77F8">
        <w:rPr>
          <w:rFonts w:cs="Arial"/>
          <w:szCs w:val="20"/>
        </w:rPr>
        <w:t>– Gordana Pipan, državna sekretarka,</w:t>
      </w:r>
    </w:p>
    <w:p w14:paraId="30F7C289" w14:textId="77777777" w:rsidR="008E0F84" w:rsidRDefault="008E0F84" w:rsidP="008E0F84">
      <w:pPr>
        <w:spacing w:line="276" w:lineRule="auto"/>
        <w:jc w:val="both"/>
        <w:rPr>
          <w:rFonts w:cs="Arial"/>
          <w:szCs w:val="20"/>
        </w:rPr>
      </w:pPr>
      <w:r w:rsidRPr="00615012">
        <w:rPr>
          <w:rFonts w:cs="Arial"/>
          <w:szCs w:val="20"/>
        </w:rPr>
        <w:t>–</w:t>
      </w:r>
      <w:r>
        <w:rPr>
          <w:rFonts w:cs="Arial"/>
          <w:szCs w:val="20"/>
        </w:rPr>
        <w:t xml:space="preserve"> Katja Božič</w:t>
      </w:r>
      <w:r w:rsidRPr="00615012">
        <w:rPr>
          <w:rFonts w:cs="Arial"/>
          <w:szCs w:val="20"/>
        </w:rPr>
        <w:t xml:space="preserve">, </w:t>
      </w:r>
      <w:r w:rsidRPr="006B77F8">
        <w:rPr>
          <w:rFonts w:cs="Arial"/>
          <w:szCs w:val="20"/>
        </w:rPr>
        <w:t>državna sekretarka,</w:t>
      </w:r>
    </w:p>
    <w:p w14:paraId="2BEEC2F5" w14:textId="77777777" w:rsidR="008E0F84" w:rsidRPr="006C1CA9" w:rsidRDefault="008E0F84" w:rsidP="008E0F84">
      <w:pPr>
        <w:spacing w:line="240" w:lineRule="auto"/>
        <w:rPr>
          <w:rFonts w:cs="Arial"/>
          <w:szCs w:val="20"/>
        </w:rPr>
      </w:pPr>
      <w:r w:rsidRPr="00815544">
        <w:rPr>
          <w:rFonts w:cs="Arial"/>
          <w:szCs w:val="20"/>
        </w:rPr>
        <w:t xml:space="preserve">– </w:t>
      </w:r>
      <w:r w:rsidRPr="006C1CA9">
        <w:rPr>
          <w:rFonts w:cs="Arial"/>
          <w:szCs w:val="20"/>
        </w:rPr>
        <w:t>Nikolina Prah, državna sekretarka,</w:t>
      </w:r>
    </w:p>
    <w:p w14:paraId="01BA0BE5" w14:textId="77777777" w:rsidR="008E0F84" w:rsidRDefault="008E0F84" w:rsidP="008E0F84">
      <w:pPr>
        <w:spacing w:line="276" w:lineRule="auto"/>
        <w:jc w:val="both"/>
        <w:rPr>
          <w:rFonts w:cs="Arial"/>
          <w:szCs w:val="20"/>
        </w:rPr>
      </w:pPr>
      <w:r w:rsidRPr="006C1CA9">
        <w:rPr>
          <w:rFonts w:cs="Arial"/>
          <w:szCs w:val="20"/>
        </w:rPr>
        <w:t>– Urška Cvelbar, generalna direktorica Direktorata za finančni sistem,</w:t>
      </w:r>
    </w:p>
    <w:p w14:paraId="59671054" w14:textId="6A880B6C" w:rsidR="008E0F84" w:rsidRPr="006C1CA9" w:rsidRDefault="008E0F84" w:rsidP="008E0F84">
      <w:pPr>
        <w:spacing w:line="276" w:lineRule="auto"/>
        <w:jc w:val="both"/>
        <w:rPr>
          <w:rFonts w:cs="Arial"/>
          <w:szCs w:val="20"/>
        </w:rPr>
      </w:pPr>
      <w:r w:rsidRPr="006C1CA9">
        <w:rPr>
          <w:rFonts w:cs="Arial"/>
          <w:szCs w:val="20"/>
        </w:rPr>
        <w:t>–</w:t>
      </w:r>
      <w:r>
        <w:rPr>
          <w:rFonts w:cs="Arial"/>
          <w:szCs w:val="20"/>
        </w:rPr>
        <w:t xml:space="preserve"> </w:t>
      </w:r>
      <w:r w:rsidR="001F6686">
        <w:rPr>
          <w:rFonts w:cs="Arial"/>
          <w:szCs w:val="20"/>
        </w:rPr>
        <w:t>Natalija Stošicki</w:t>
      </w:r>
      <w:r w:rsidRPr="00CF3156">
        <w:rPr>
          <w:rFonts w:cs="Arial"/>
          <w:szCs w:val="20"/>
        </w:rPr>
        <w:t>, vodja Sektorja za zavarovalništvo in trg kapitala, Direktorat za finančni sistem,</w:t>
      </w:r>
    </w:p>
    <w:p w14:paraId="61EA52F0" w14:textId="659A890E" w:rsidR="008E0F84" w:rsidRPr="00C50937" w:rsidRDefault="008E0F84" w:rsidP="00D46AE6">
      <w:pPr>
        <w:pStyle w:val="Brezrazmikov"/>
        <w:rPr>
          <w:szCs w:val="20"/>
          <w:lang w:val="it-IT"/>
        </w:rPr>
      </w:pPr>
      <w:r w:rsidRPr="00895385">
        <w:rPr>
          <w:sz w:val="20"/>
          <w:szCs w:val="20"/>
          <w:lang w:val="sl-SI"/>
        </w:rPr>
        <w:t>– Andrej</w:t>
      </w:r>
      <w:r>
        <w:rPr>
          <w:sz w:val="20"/>
          <w:szCs w:val="20"/>
          <w:lang w:val="sl-SI"/>
        </w:rPr>
        <w:t xml:space="preserve"> Žagar</w:t>
      </w:r>
      <w:r w:rsidRPr="00895385">
        <w:rPr>
          <w:sz w:val="20"/>
          <w:szCs w:val="20"/>
          <w:lang w:val="sl-SI"/>
        </w:rPr>
        <w:t>, sekretar, Sektor za zavarovalništvo in trg kapitala, Direktorat za finančni sistem.</w:t>
      </w:r>
      <w:r w:rsidRPr="00895385" w:rsidDel="00E35AE4">
        <w:rPr>
          <w:sz w:val="20"/>
          <w:szCs w:val="20"/>
          <w:lang w:val="sl-SI"/>
        </w:rPr>
        <w:t xml:space="preserve"> </w:t>
      </w:r>
      <w:r w:rsidR="003538AC">
        <w:rPr>
          <w:sz w:val="20"/>
          <w:szCs w:val="20"/>
          <w:lang w:val="sl-SI"/>
        </w:rPr>
        <w:t xml:space="preserve"> </w:t>
      </w:r>
      <w:r w:rsidRPr="00C50937">
        <w:rPr>
          <w:szCs w:val="20"/>
          <w:lang w:val="it-IT"/>
        </w:rPr>
        <w:br w:type="page"/>
      </w:r>
    </w:p>
    <w:p w14:paraId="4CB97F38" w14:textId="0D1324B7" w:rsidR="00C44CDB" w:rsidRPr="00C44CDB" w:rsidRDefault="00C44CDB" w:rsidP="00C44CDB">
      <w:pPr>
        <w:spacing w:line="240" w:lineRule="auto"/>
        <w:rPr>
          <w:rFonts w:cs="Arial"/>
          <w:b/>
          <w:szCs w:val="20"/>
        </w:rPr>
      </w:pPr>
      <w:r>
        <w:rPr>
          <w:rFonts w:cs="Arial"/>
          <w:b/>
          <w:szCs w:val="20"/>
        </w:rPr>
        <w:lastRenderedPageBreak/>
        <w:t xml:space="preserve">II. </w:t>
      </w:r>
      <w:r w:rsidR="008E0F84" w:rsidRPr="00C44CDB">
        <w:rPr>
          <w:rFonts w:cs="Arial"/>
          <w:b/>
          <w:szCs w:val="20"/>
        </w:rPr>
        <w:t xml:space="preserve">BESEDILO ČLENOV </w:t>
      </w:r>
    </w:p>
    <w:p w14:paraId="0C6C8279" w14:textId="77777777" w:rsidR="00C44CDB" w:rsidRDefault="00C44CDB" w:rsidP="00C44CDB">
      <w:pPr>
        <w:spacing w:line="240" w:lineRule="auto"/>
        <w:rPr>
          <w:rFonts w:cs="Arial"/>
          <w:b/>
          <w:szCs w:val="20"/>
        </w:rPr>
      </w:pPr>
    </w:p>
    <w:p w14:paraId="48A0DC0A" w14:textId="61E67D89" w:rsidR="00C44CDB" w:rsidRDefault="00C44CDB" w:rsidP="00C44CDB">
      <w:pPr>
        <w:spacing w:line="240" w:lineRule="auto"/>
        <w:jc w:val="center"/>
        <w:rPr>
          <w:rFonts w:cs="Arial"/>
          <w:b/>
          <w:szCs w:val="20"/>
        </w:rPr>
      </w:pPr>
      <w:r>
        <w:rPr>
          <w:rFonts w:cs="Arial"/>
          <w:b/>
          <w:szCs w:val="20"/>
        </w:rPr>
        <w:t>1. člen</w:t>
      </w:r>
    </w:p>
    <w:p w14:paraId="6165135E" w14:textId="77777777" w:rsidR="00947EFA" w:rsidRDefault="00947EFA" w:rsidP="00C44CDB">
      <w:pPr>
        <w:spacing w:line="240" w:lineRule="auto"/>
        <w:jc w:val="center"/>
        <w:rPr>
          <w:rFonts w:cs="Arial"/>
          <w:b/>
          <w:szCs w:val="20"/>
        </w:rPr>
      </w:pPr>
    </w:p>
    <w:p w14:paraId="3AEEF605" w14:textId="458A4FEE" w:rsidR="00947EFA" w:rsidRDefault="00947EFA" w:rsidP="00947EFA">
      <w:pPr>
        <w:spacing w:line="240" w:lineRule="auto"/>
        <w:jc w:val="both"/>
        <w:rPr>
          <w:rFonts w:cs="Arial"/>
          <w:bCs/>
          <w:szCs w:val="20"/>
        </w:rPr>
      </w:pPr>
      <w:r>
        <w:rPr>
          <w:rFonts w:cs="Arial"/>
          <w:bCs/>
          <w:szCs w:val="20"/>
        </w:rPr>
        <w:t xml:space="preserve">V </w:t>
      </w:r>
      <w:r w:rsidRPr="00947EFA">
        <w:rPr>
          <w:rFonts w:cs="Arial"/>
          <w:bCs/>
          <w:szCs w:val="20"/>
        </w:rPr>
        <w:t>Zakon</w:t>
      </w:r>
      <w:r>
        <w:rPr>
          <w:rFonts w:cs="Arial"/>
          <w:bCs/>
          <w:szCs w:val="20"/>
        </w:rPr>
        <w:t>u</w:t>
      </w:r>
      <w:r w:rsidRPr="00947EFA">
        <w:rPr>
          <w:rFonts w:cs="Arial"/>
          <w:bCs/>
          <w:szCs w:val="20"/>
        </w:rPr>
        <w:t xml:space="preserve"> o prvem pokojninskem skladu Republike Slovenije in preoblikovanju pooblaščenih investicijskih družb</w:t>
      </w:r>
      <w:r w:rsidR="004E33AF">
        <w:rPr>
          <w:rFonts w:cs="Arial"/>
          <w:bCs/>
          <w:szCs w:val="20"/>
        </w:rPr>
        <w:t xml:space="preserve"> (</w:t>
      </w:r>
      <w:r w:rsidR="004E33AF" w:rsidRPr="004E33AF">
        <w:rPr>
          <w:rFonts w:cs="Arial"/>
          <w:bCs/>
          <w:szCs w:val="20"/>
        </w:rPr>
        <w:t>Uradni list RS, št. 26/05 – uradno prečiščeno besedilo, 85/09 in 32/16</w:t>
      </w:r>
      <w:r w:rsidR="004E33AF">
        <w:rPr>
          <w:rFonts w:cs="Arial"/>
          <w:bCs/>
          <w:szCs w:val="20"/>
        </w:rPr>
        <w:t>)</w:t>
      </w:r>
      <w:r>
        <w:rPr>
          <w:rFonts w:cs="Arial"/>
          <w:bCs/>
          <w:szCs w:val="20"/>
        </w:rPr>
        <w:t xml:space="preserve"> se v </w:t>
      </w:r>
      <w:r w:rsidR="004E33AF">
        <w:rPr>
          <w:rFonts w:cs="Arial"/>
          <w:bCs/>
          <w:szCs w:val="20"/>
        </w:rPr>
        <w:t>21. členu šest</w:t>
      </w:r>
      <w:r w:rsidR="00B505AB">
        <w:rPr>
          <w:rFonts w:cs="Arial"/>
          <w:bCs/>
          <w:szCs w:val="20"/>
        </w:rPr>
        <w:t>i</w:t>
      </w:r>
      <w:r w:rsidR="004E33AF">
        <w:rPr>
          <w:rFonts w:cs="Arial"/>
          <w:bCs/>
          <w:szCs w:val="20"/>
        </w:rPr>
        <w:t xml:space="preserve"> odstav</w:t>
      </w:r>
      <w:r w:rsidR="00B505AB">
        <w:rPr>
          <w:rFonts w:cs="Arial"/>
          <w:bCs/>
          <w:szCs w:val="20"/>
        </w:rPr>
        <w:t>e</w:t>
      </w:r>
      <w:r w:rsidR="004E33AF">
        <w:rPr>
          <w:rFonts w:cs="Arial"/>
          <w:bCs/>
          <w:szCs w:val="20"/>
        </w:rPr>
        <w:t xml:space="preserve">k spremeni tako, da se glasi: </w:t>
      </w:r>
    </w:p>
    <w:p w14:paraId="72AC3BFD" w14:textId="77777777" w:rsidR="004E33AF" w:rsidRDefault="004E33AF" w:rsidP="00947EFA">
      <w:pPr>
        <w:spacing w:line="240" w:lineRule="auto"/>
        <w:jc w:val="both"/>
        <w:rPr>
          <w:rFonts w:cs="Arial"/>
          <w:bCs/>
          <w:szCs w:val="20"/>
        </w:rPr>
      </w:pPr>
    </w:p>
    <w:p w14:paraId="4193F998" w14:textId="241BAD6A" w:rsidR="004E33AF" w:rsidRDefault="004E33AF" w:rsidP="00947EFA">
      <w:pPr>
        <w:spacing w:line="240" w:lineRule="auto"/>
        <w:jc w:val="both"/>
        <w:rPr>
          <w:rFonts w:cs="Arial"/>
          <w:bCs/>
          <w:szCs w:val="20"/>
        </w:rPr>
      </w:pPr>
      <w:r>
        <w:rPr>
          <w:rFonts w:cs="Arial"/>
          <w:bCs/>
          <w:szCs w:val="20"/>
        </w:rPr>
        <w:t xml:space="preserve">»(6) Če zavarovanec ne uveljavi pravice za izplačilo odkupne vrednosti police dodatnega pokojninskega zavarovanja Prvega pokojninskega sklada, se iz </w:t>
      </w:r>
      <w:r w:rsidR="00277261" w:rsidRPr="00277261">
        <w:rPr>
          <w:rFonts w:cs="Arial"/>
          <w:bCs/>
          <w:szCs w:val="20"/>
        </w:rPr>
        <w:t xml:space="preserve">premoženja iz 1. točke prvega odstavka tega člena na kritni sklad Prvega pokojninskega sklada prenese sorazmerni del sredstev, ki ustreza čisti vrednosti premoženja, ki pripada polici v trenutku, ko imetnik police izpolni pogoje za pridobitev pravice do </w:t>
      </w:r>
      <w:r w:rsidR="00277261" w:rsidRPr="00007FDA">
        <w:rPr>
          <w:rFonts w:cs="Arial"/>
          <w:bCs/>
          <w:szCs w:val="20"/>
        </w:rPr>
        <w:t>mesečne</w:t>
      </w:r>
      <w:r w:rsidR="00277261" w:rsidRPr="00277261">
        <w:rPr>
          <w:rFonts w:cs="Arial"/>
          <w:bCs/>
          <w:szCs w:val="20"/>
        </w:rPr>
        <w:t xml:space="preserve"> pokojninske rente.</w:t>
      </w:r>
      <w:r w:rsidR="00277261">
        <w:rPr>
          <w:rFonts w:cs="Arial"/>
          <w:bCs/>
          <w:szCs w:val="20"/>
        </w:rPr>
        <w:t xml:space="preserve">«. </w:t>
      </w:r>
    </w:p>
    <w:p w14:paraId="428D2DF8" w14:textId="77777777" w:rsidR="00394EFC" w:rsidRDefault="00394EFC" w:rsidP="00947EFA">
      <w:pPr>
        <w:spacing w:line="240" w:lineRule="auto"/>
        <w:jc w:val="both"/>
        <w:rPr>
          <w:rFonts w:cs="Arial"/>
          <w:bCs/>
          <w:szCs w:val="20"/>
        </w:rPr>
      </w:pPr>
    </w:p>
    <w:p w14:paraId="77FBA1B1" w14:textId="7E145D1F" w:rsidR="00394EFC" w:rsidRDefault="00394EFC" w:rsidP="00394EFC">
      <w:pPr>
        <w:spacing w:line="240" w:lineRule="auto"/>
        <w:jc w:val="center"/>
        <w:rPr>
          <w:rFonts w:cs="Arial"/>
          <w:b/>
          <w:szCs w:val="20"/>
        </w:rPr>
      </w:pPr>
      <w:r w:rsidRPr="00394EFC">
        <w:rPr>
          <w:rFonts w:cs="Arial"/>
          <w:b/>
          <w:szCs w:val="20"/>
        </w:rPr>
        <w:t>2. člen</w:t>
      </w:r>
    </w:p>
    <w:p w14:paraId="7661375B" w14:textId="77777777" w:rsidR="00394EFC" w:rsidRDefault="00394EFC" w:rsidP="00394EFC">
      <w:pPr>
        <w:spacing w:line="240" w:lineRule="auto"/>
        <w:jc w:val="center"/>
        <w:rPr>
          <w:rFonts w:cs="Arial"/>
          <w:b/>
          <w:szCs w:val="20"/>
        </w:rPr>
      </w:pPr>
    </w:p>
    <w:p w14:paraId="5D72C42C" w14:textId="77777777" w:rsidR="004278DC" w:rsidRDefault="004278DC" w:rsidP="006C1EA6">
      <w:pPr>
        <w:spacing w:line="240" w:lineRule="auto"/>
        <w:jc w:val="center"/>
        <w:rPr>
          <w:rFonts w:cs="Arial"/>
          <w:b/>
          <w:szCs w:val="20"/>
        </w:rPr>
      </w:pPr>
    </w:p>
    <w:p w14:paraId="2A9018CA" w14:textId="28DB26DF" w:rsidR="004278DC" w:rsidRDefault="0035109F" w:rsidP="004278DC">
      <w:pPr>
        <w:spacing w:line="240" w:lineRule="auto"/>
        <w:jc w:val="both"/>
        <w:rPr>
          <w:rFonts w:cs="Arial"/>
          <w:bCs/>
          <w:szCs w:val="20"/>
        </w:rPr>
      </w:pPr>
      <w:r w:rsidRPr="0035109F">
        <w:rPr>
          <w:rFonts w:cs="Arial"/>
          <w:bCs/>
          <w:szCs w:val="20"/>
        </w:rPr>
        <w:t xml:space="preserve">V </w:t>
      </w:r>
      <w:r>
        <w:rPr>
          <w:rFonts w:cs="Arial"/>
          <w:bCs/>
          <w:szCs w:val="20"/>
        </w:rPr>
        <w:t>32. členu se v tretjem odstavku 3. točk</w:t>
      </w:r>
      <w:r w:rsidR="007214FF">
        <w:rPr>
          <w:rFonts w:cs="Arial"/>
          <w:bCs/>
          <w:szCs w:val="20"/>
        </w:rPr>
        <w:t>a</w:t>
      </w:r>
      <w:r>
        <w:rPr>
          <w:rFonts w:cs="Arial"/>
          <w:bCs/>
          <w:szCs w:val="20"/>
        </w:rPr>
        <w:t xml:space="preserve"> spremeni tako, da se glasi: </w:t>
      </w:r>
    </w:p>
    <w:p w14:paraId="23786F3A" w14:textId="77777777" w:rsidR="0035109F" w:rsidRDefault="0035109F" w:rsidP="004278DC">
      <w:pPr>
        <w:spacing w:line="240" w:lineRule="auto"/>
        <w:jc w:val="both"/>
        <w:rPr>
          <w:rFonts w:cs="Arial"/>
          <w:bCs/>
          <w:szCs w:val="20"/>
        </w:rPr>
      </w:pPr>
    </w:p>
    <w:p w14:paraId="36800228" w14:textId="7A6EFBEB" w:rsidR="0035109F" w:rsidRDefault="0035109F" w:rsidP="004278DC">
      <w:pPr>
        <w:spacing w:line="240" w:lineRule="auto"/>
        <w:jc w:val="both"/>
        <w:rPr>
          <w:rFonts w:cs="Arial"/>
          <w:bCs/>
          <w:szCs w:val="20"/>
        </w:rPr>
      </w:pPr>
      <w:r>
        <w:rPr>
          <w:rFonts w:cs="Arial"/>
          <w:bCs/>
          <w:szCs w:val="20"/>
        </w:rPr>
        <w:t>»3</w:t>
      </w:r>
      <w:r w:rsidR="00B53577">
        <w:rPr>
          <w:rFonts w:cs="Arial"/>
          <w:bCs/>
          <w:szCs w:val="20"/>
        </w:rPr>
        <w:t>.</w:t>
      </w:r>
      <w:r>
        <w:rPr>
          <w:rFonts w:cs="Arial"/>
          <w:bCs/>
          <w:szCs w:val="20"/>
        </w:rPr>
        <w:t xml:space="preserve"> </w:t>
      </w:r>
      <w:r w:rsidR="00DD3C76">
        <w:rPr>
          <w:rFonts w:cs="Arial"/>
          <w:bCs/>
          <w:szCs w:val="20"/>
        </w:rPr>
        <w:t>zavarovanec ima pred dopolnjenim šestdesetim letom starosti pravico zahtevati izplačilo odkupne vrednosti police dodatnega pokojninskega zavarovanja Prvega pokojninskega sklada</w:t>
      </w:r>
      <w:r w:rsidR="007214FF">
        <w:rPr>
          <w:rFonts w:cs="Arial"/>
          <w:bCs/>
          <w:szCs w:val="20"/>
        </w:rPr>
        <w:t>,</w:t>
      </w:r>
      <w:r w:rsidR="00DD3C76">
        <w:rPr>
          <w:rFonts w:cs="Arial"/>
          <w:bCs/>
          <w:szCs w:val="20"/>
        </w:rPr>
        <w:t xml:space="preserve">«. </w:t>
      </w:r>
    </w:p>
    <w:p w14:paraId="62393CCB" w14:textId="77777777" w:rsidR="009E1AD3" w:rsidRDefault="009E1AD3" w:rsidP="004278DC">
      <w:pPr>
        <w:spacing w:line="240" w:lineRule="auto"/>
        <w:jc w:val="both"/>
        <w:rPr>
          <w:rFonts w:cs="Arial"/>
          <w:bCs/>
          <w:szCs w:val="20"/>
        </w:rPr>
      </w:pPr>
    </w:p>
    <w:p w14:paraId="0C43E2EC" w14:textId="77777777" w:rsidR="009E1AD3" w:rsidRPr="0035109F" w:rsidRDefault="009E1AD3" w:rsidP="004278DC">
      <w:pPr>
        <w:spacing w:line="240" w:lineRule="auto"/>
        <w:jc w:val="both"/>
        <w:rPr>
          <w:rFonts w:cs="Arial"/>
          <w:bCs/>
          <w:szCs w:val="20"/>
        </w:rPr>
      </w:pPr>
    </w:p>
    <w:p w14:paraId="07F82623" w14:textId="0EC36E72" w:rsidR="009E1AD3" w:rsidRDefault="00074F02" w:rsidP="009E1AD3">
      <w:pPr>
        <w:spacing w:line="240" w:lineRule="auto"/>
        <w:jc w:val="center"/>
        <w:rPr>
          <w:rFonts w:cs="Arial"/>
          <w:b/>
          <w:szCs w:val="20"/>
        </w:rPr>
      </w:pPr>
      <w:r>
        <w:rPr>
          <w:rFonts w:cs="Arial"/>
          <w:b/>
          <w:szCs w:val="20"/>
        </w:rPr>
        <w:t>3</w:t>
      </w:r>
      <w:r w:rsidR="009E1AD3">
        <w:rPr>
          <w:rFonts w:cs="Arial"/>
          <w:b/>
          <w:szCs w:val="20"/>
        </w:rPr>
        <w:t>. člen</w:t>
      </w:r>
    </w:p>
    <w:p w14:paraId="4D0A6B6A" w14:textId="77777777" w:rsidR="009E1AD3" w:rsidRDefault="009E1AD3" w:rsidP="009E1AD3">
      <w:pPr>
        <w:spacing w:line="240" w:lineRule="auto"/>
        <w:jc w:val="center"/>
        <w:rPr>
          <w:rFonts w:cs="Arial"/>
          <w:b/>
          <w:szCs w:val="20"/>
        </w:rPr>
      </w:pPr>
    </w:p>
    <w:p w14:paraId="2DB15AE1" w14:textId="51890BD0" w:rsidR="009E1AD3" w:rsidRDefault="007214FF" w:rsidP="00C44CDB">
      <w:pPr>
        <w:spacing w:line="240" w:lineRule="auto"/>
        <w:rPr>
          <w:rFonts w:cs="Arial"/>
          <w:bCs/>
          <w:szCs w:val="20"/>
        </w:rPr>
      </w:pPr>
      <w:r>
        <w:rPr>
          <w:rFonts w:cs="Arial"/>
          <w:bCs/>
          <w:szCs w:val="20"/>
        </w:rPr>
        <w:t>Za 32. členom se d</w:t>
      </w:r>
      <w:r w:rsidR="009E1AD3" w:rsidRPr="009E1AD3">
        <w:rPr>
          <w:rFonts w:cs="Arial"/>
          <w:bCs/>
          <w:szCs w:val="20"/>
        </w:rPr>
        <w:t>oda nov</w:t>
      </w:r>
      <w:r w:rsidR="00B53577">
        <w:rPr>
          <w:rFonts w:cs="Arial"/>
          <w:bCs/>
          <w:szCs w:val="20"/>
        </w:rPr>
        <w:t>,</w:t>
      </w:r>
      <w:r w:rsidR="009E1AD3">
        <w:rPr>
          <w:rFonts w:cs="Arial"/>
          <w:bCs/>
          <w:szCs w:val="20"/>
        </w:rPr>
        <w:t xml:space="preserve"> 32.a člen, ki se glasi: </w:t>
      </w:r>
    </w:p>
    <w:p w14:paraId="077BDBC1" w14:textId="77777777" w:rsidR="009E1AD3" w:rsidRDefault="009E1AD3" w:rsidP="00C44CDB">
      <w:pPr>
        <w:spacing w:line="240" w:lineRule="auto"/>
        <w:rPr>
          <w:rFonts w:cs="Arial"/>
          <w:bCs/>
          <w:szCs w:val="20"/>
        </w:rPr>
      </w:pPr>
    </w:p>
    <w:p w14:paraId="1F578214" w14:textId="77777777" w:rsidR="00925BDB" w:rsidRPr="00925BDB" w:rsidRDefault="009E1AD3" w:rsidP="009E1AD3">
      <w:pPr>
        <w:spacing w:line="240" w:lineRule="auto"/>
        <w:jc w:val="center"/>
        <w:rPr>
          <w:rFonts w:cs="Arial"/>
          <w:b/>
          <w:szCs w:val="20"/>
        </w:rPr>
      </w:pPr>
      <w:r>
        <w:rPr>
          <w:rFonts w:cs="Arial"/>
          <w:bCs/>
          <w:szCs w:val="20"/>
        </w:rPr>
        <w:t>»</w:t>
      </w:r>
      <w:r w:rsidR="00925BDB" w:rsidRPr="00925BDB">
        <w:rPr>
          <w:rFonts w:cs="Arial"/>
          <w:b/>
          <w:szCs w:val="20"/>
        </w:rPr>
        <w:t xml:space="preserve">Odkup pokojninske rente </w:t>
      </w:r>
    </w:p>
    <w:p w14:paraId="7A50F72C" w14:textId="77777777" w:rsidR="00925BDB" w:rsidRPr="00925BDB" w:rsidRDefault="00925BDB" w:rsidP="009E1AD3">
      <w:pPr>
        <w:spacing w:line="240" w:lineRule="auto"/>
        <w:jc w:val="center"/>
        <w:rPr>
          <w:rFonts w:cs="Arial"/>
          <w:b/>
          <w:szCs w:val="20"/>
        </w:rPr>
      </w:pPr>
    </w:p>
    <w:p w14:paraId="5E0EF9E9" w14:textId="7B25F5BB" w:rsidR="009E1AD3" w:rsidRPr="00925BDB" w:rsidRDefault="009E1AD3" w:rsidP="009E1AD3">
      <w:pPr>
        <w:spacing w:line="240" w:lineRule="auto"/>
        <w:jc w:val="center"/>
        <w:rPr>
          <w:rFonts w:cs="Arial"/>
          <w:b/>
          <w:szCs w:val="20"/>
        </w:rPr>
      </w:pPr>
      <w:r w:rsidRPr="00925BDB">
        <w:rPr>
          <w:rFonts w:cs="Arial"/>
          <w:b/>
          <w:szCs w:val="20"/>
        </w:rPr>
        <w:t>32.a člen</w:t>
      </w:r>
    </w:p>
    <w:p w14:paraId="1315D072" w14:textId="77777777" w:rsidR="009E1AD3" w:rsidRDefault="009E1AD3" w:rsidP="009E1AD3">
      <w:pPr>
        <w:spacing w:line="240" w:lineRule="auto"/>
        <w:jc w:val="center"/>
        <w:rPr>
          <w:rFonts w:cs="Arial"/>
          <w:bCs/>
          <w:szCs w:val="20"/>
        </w:rPr>
      </w:pPr>
    </w:p>
    <w:p w14:paraId="26781EFA" w14:textId="77777777" w:rsidR="009E1AD3" w:rsidRDefault="009E1AD3" w:rsidP="009E1AD3">
      <w:pPr>
        <w:spacing w:line="240" w:lineRule="auto"/>
        <w:jc w:val="center"/>
        <w:rPr>
          <w:rFonts w:cs="Arial"/>
          <w:bCs/>
          <w:szCs w:val="20"/>
        </w:rPr>
      </w:pPr>
    </w:p>
    <w:p w14:paraId="1F2ED571" w14:textId="1D1E54A1" w:rsidR="00250513" w:rsidRDefault="009E1AD3" w:rsidP="009E1AD3">
      <w:pPr>
        <w:spacing w:line="240" w:lineRule="auto"/>
        <w:jc w:val="both"/>
        <w:rPr>
          <w:rFonts w:cs="Arial"/>
          <w:bCs/>
          <w:szCs w:val="20"/>
        </w:rPr>
      </w:pPr>
      <w:r>
        <w:rPr>
          <w:rFonts w:cs="Arial"/>
          <w:bCs/>
          <w:szCs w:val="20"/>
        </w:rPr>
        <w:t xml:space="preserve">(1) Prejemnik </w:t>
      </w:r>
      <w:r w:rsidR="00925BDB" w:rsidRPr="00CC717E">
        <w:rPr>
          <w:rFonts w:cs="Arial"/>
          <w:bCs/>
          <w:szCs w:val="20"/>
        </w:rPr>
        <w:t>mesečne</w:t>
      </w:r>
      <w:r w:rsidR="00925BDB">
        <w:rPr>
          <w:rFonts w:cs="Arial"/>
          <w:bCs/>
          <w:szCs w:val="20"/>
        </w:rPr>
        <w:t xml:space="preserve"> pokojninske</w:t>
      </w:r>
      <w:r>
        <w:rPr>
          <w:rFonts w:cs="Arial"/>
          <w:bCs/>
          <w:szCs w:val="20"/>
        </w:rPr>
        <w:t xml:space="preserve"> rente lahko </w:t>
      </w:r>
      <w:r w:rsidR="00B53577">
        <w:rPr>
          <w:rFonts w:cs="Arial"/>
          <w:bCs/>
          <w:szCs w:val="20"/>
        </w:rPr>
        <w:t xml:space="preserve">vloži </w:t>
      </w:r>
      <w:r>
        <w:rPr>
          <w:rFonts w:cs="Arial"/>
          <w:bCs/>
          <w:szCs w:val="20"/>
        </w:rPr>
        <w:t>zahtevek za odkup pokojninske rente. Odkupna vrednost se izplača skupaj z izplačili rent preostalih polic v mesecu, ki sledi mesecu</w:t>
      </w:r>
      <w:r w:rsidR="00E5186E">
        <w:rPr>
          <w:rFonts w:cs="Arial"/>
          <w:bCs/>
          <w:szCs w:val="20"/>
        </w:rPr>
        <w:t>,</w:t>
      </w:r>
      <w:r>
        <w:rPr>
          <w:rFonts w:cs="Arial"/>
          <w:bCs/>
          <w:szCs w:val="20"/>
        </w:rPr>
        <w:t xml:space="preserve"> v katerem </w:t>
      </w:r>
      <w:r w:rsidR="00B53577">
        <w:rPr>
          <w:rFonts w:cs="Arial"/>
          <w:bCs/>
          <w:szCs w:val="20"/>
        </w:rPr>
        <w:t xml:space="preserve">se </w:t>
      </w:r>
      <w:r>
        <w:rPr>
          <w:rFonts w:cs="Arial"/>
          <w:bCs/>
          <w:szCs w:val="20"/>
        </w:rPr>
        <w:t>je iztekla čakalna doba.</w:t>
      </w:r>
      <w:r w:rsidR="00250513">
        <w:rPr>
          <w:rFonts w:cs="Arial"/>
          <w:bCs/>
          <w:szCs w:val="20"/>
        </w:rPr>
        <w:t xml:space="preserve"> </w:t>
      </w:r>
      <w:r w:rsidR="00250513" w:rsidRPr="00250513">
        <w:rPr>
          <w:rFonts w:cs="Arial"/>
          <w:bCs/>
          <w:szCs w:val="20"/>
        </w:rPr>
        <w:t xml:space="preserve">Čakalna doba traja </w:t>
      </w:r>
      <w:r w:rsidR="007F1747">
        <w:rPr>
          <w:rFonts w:cs="Arial"/>
          <w:bCs/>
          <w:szCs w:val="20"/>
        </w:rPr>
        <w:t>šest</w:t>
      </w:r>
      <w:r w:rsidR="00074F02" w:rsidRPr="00250513">
        <w:rPr>
          <w:rFonts w:cs="Arial"/>
          <w:bCs/>
          <w:szCs w:val="20"/>
        </w:rPr>
        <w:t xml:space="preserve"> </w:t>
      </w:r>
      <w:r w:rsidR="00250513" w:rsidRPr="00250513">
        <w:rPr>
          <w:rFonts w:cs="Arial"/>
          <w:bCs/>
          <w:szCs w:val="20"/>
        </w:rPr>
        <w:t>mesecev</w:t>
      </w:r>
      <w:r w:rsidR="00250513">
        <w:rPr>
          <w:rFonts w:cs="Arial"/>
          <w:bCs/>
          <w:szCs w:val="20"/>
        </w:rPr>
        <w:t xml:space="preserve"> od dneva, ko je p</w:t>
      </w:r>
      <w:r w:rsidR="00250513" w:rsidRPr="00250513">
        <w:rPr>
          <w:rFonts w:cs="Arial"/>
          <w:bCs/>
          <w:szCs w:val="20"/>
        </w:rPr>
        <w:t xml:space="preserve">rejemnik pokojninske rente </w:t>
      </w:r>
      <w:r w:rsidR="00B53577">
        <w:rPr>
          <w:rFonts w:cs="Arial"/>
          <w:bCs/>
          <w:szCs w:val="20"/>
        </w:rPr>
        <w:t>vloži</w:t>
      </w:r>
      <w:r w:rsidR="00250513">
        <w:rPr>
          <w:rFonts w:cs="Arial"/>
          <w:bCs/>
          <w:szCs w:val="20"/>
        </w:rPr>
        <w:t>l</w:t>
      </w:r>
      <w:r w:rsidR="00250513" w:rsidRPr="00250513">
        <w:rPr>
          <w:rFonts w:cs="Arial"/>
          <w:bCs/>
          <w:szCs w:val="20"/>
        </w:rPr>
        <w:t xml:space="preserve"> zahtevek za odkup pokojninske rente</w:t>
      </w:r>
      <w:r w:rsidR="00250513">
        <w:rPr>
          <w:rFonts w:cs="Arial"/>
          <w:bCs/>
          <w:szCs w:val="20"/>
        </w:rPr>
        <w:t>.</w:t>
      </w:r>
      <w:r w:rsidR="005803AE">
        <w:rPr>
          <w:rFonts w:cs="Arial"/>
          <w:bCs/>
          <w:szCs w:val="20"/>
        </w:rPr>
        <w:t xml:space="preserve"> Z</w:t>
      </w:r>
      <w:r w:rsidR="005803AE" w:rsidRPr="005803AE">
        <w:rPr>
          <w:rFonts w:cs="Arial"/>
          <w:bCs/>
          <w:szCs w:val="20"/>
        </w:rPr>
        <w:t>ahtevk</w:t>
      </w:r>
      <w:r w:rsidR="005803AE">
        <w:rPr>
          <w:rFonts w:cs="Arial"/>
          <w:bCs/>
          <w:szCs w:val="20"/>
        </w:rPr>
        <w:t>a</w:t>
      </w:r>
      <w:r w:rsidR="005803AE" w:rsidRPr="005803AE">
        <w:rPr>
          <w:rFonts w:cs="Arial"/>
          <w:bCs/>
          <w:szCs w:val="20"/>
        </w:rPr>
        <w:t xml:space="preserve"> za odkup pokojninske rente</w:t>
      </w:r>
      <w:r w:rsidR="005803AE">
        <w:rPr>
          <w:rFonts w:cs="Arial"/>
          <w:bCs/>
          <w:szCs w:val="20"/>
        </w:rPr>
        <w:t xml:space="preserve"> ni mogoče umakniti.</w:t>
      </w:r>
    </w:p>
    <w:p w14:paraId="4A5E65FA" w14:textId="77777777" w:rsidR="00250513" w:rsidRDefault="00250513" w:rsidP="009E1AD3">
      <w:pPr>
        <w:spacing w:line="240" w:lineRule="auto"/>
        <w:jc w:val="both"/>
        <w:rPr>
          <w:rFonts w:cs="Arial"/>
          <w:bCs/>
          <w:szCs w:val="20"/>
        </w:rPr>
      </w:pPr>
    </w:p>
    <w:p w14:paraId="6679A746" w14:textId="0CD2FF9F" w:rsidR="00925BDB" w:rsidRDefault="00250513" w:rsidP="009E1AD3">
      <w:pPr>
        <w:spacing w:line="240" w:lineRule="auto"/>
        <w:jc w:val="both"/>
        <w:rPr>
          <w:rFonts w:cs="Arial"/>
          <w:bCs/>
          <w:szCs w:val="20"/>
        </w:rPr>
      </w:pPr>
      <w:r>
        <w:rPr>
          <w:rFonts w:cs="Arial"/>
          <w:bCs/>
          <w:szCs w:val="20"/>
        </w:rPr>
        <w:t>(2)</w:t>
      </w:r>
      <w:r w:rsidR="00925BDB">
        <w:rPr>
          <w:rFonts w:cs="Arial"/>
          <w:bCs/>
          <w:szCs w:val="20"/>
        </w:rPr>
        <w:t xml:space="preserve"> Znesek odkupne vrednosti police se določi v višini zneska matematične rezervacije police, določene z zavarovalno</w:t>
      </w:r>
      <w:r w:rsidR="00B53577">
        <w:rPr>
          <w:rFonts w:cs="Arial"/>
          <w:bCs/>
          <w:szCs w:val="20"/>
        </w:rPr>
        <w:t>-</w:t>
      </w:r>
      <w:r w:rsidR="00925BDB">
        <w:rPr>
          <w:rFonts w:cs="Arial"/>
          <w:bCs/>
          <w:szCs w:val="20"/>
        </w:rPr>
        <w:t xml:space="preserve">tehničnimi osnovami, ob koncu meseca, v katerem se čakalna doba izteče. </w:t>
      </w:r>
    </w:p>
    <w:p w14:paraId="4D07EC2A" w14:textId="77777777" w:rsidR="00925BDB" w:rsidRDefault="00925BDB" w:rsidP="009E1AD3">
      <w:pPr>
        <w:spacing w:line="240" w:lineRule="auto"/>
        <w:jc w:val="both"/>
        <w:rPr>
          <w:rFonts w:cs="Arial"/>
          <w:bCs/>
          <w:szCs w:val="20"/>
        </w:rPr>
      </w:pPr>
    </w:p>
    <w:p w14:paraId="36F9B7A1" w14:textId="169A4DC8" w:rsidR="009E1AD3" w:rsidRDefault="00925BDB" w:rsidP="009E1AD3">
      <w:pPr>
        <w:spacing w:line="240" w:lineRule="auto"/>
        <w:jc w:val="both"/>
        <w:rPr>
          <w:rFonts w:cs="Arial"/>
          <w:bCs/>
          <w:szCs w:val="20"/>
        </w:rPr>
      </w:pPr>
      <w:r>
        <w:rPr>
          <w:rFonts w:cs="Arial"/>
          <w:bCs/>
          <w:szCs w:val="20"/>
        </w:rPr>
        <w:t xml:space="preserve">(3) Če prejemnik </w:t>
      </w:r>
      <w:r w:rsidRPr="00CC717E">
        <w:rPr>
          <w:rFonts w:cs="Arial"/>
          <w:bCs/>
          <w:szCs w:val="20"/>
        </w:rPr>
        <w:t xml:space="preserve">mesečne </w:t>
      </w:r>
      <w:r>
        <w:rPr>
          <w:rFonts w:cs="Arial"/>
          <w:bCs/>
          <w:szCs w:val="20"/>
        </w:rPr>
        <w:t>pokojninske rente umre pred dospelostjo zahtevka za odkup pokojninske rente, se zahtevek zavrže.</w:t>
      </w:r>
      <w:r w:rsidR="00B53577">
        <w:rPr>
          <w:rFonts w:cs="Arial"/>
          <w:bCs/>
          <w:szCs w:val="20"/>
        </w:rPr>
        <w:t>«.</w:t>
      </w:r>
      <w:r>
        <w:rPr>
          <w:rFonts w:cs="Arial"/>
          <w:bCs/>
          <w:szCs w:val="20"/>
        </w:rPr>
        <w:t xml:space="preserve"> </w:t>
      </w:r>
      <w:r w:rsidR="009E1AD3">
        <w:rPr>
          <w:rFonts w:cs="Arial"/>
          <w:bCs/>
          <w:szCs w:val="20"/>
        </w:rPr>
        <w:t xml:space="preserve"> </w:t>
      </w:r>
    </w:p>
    <w:p w14:paraId="1B020999" w14:textId="77777777" w:rsidR="00324ADC" w:rsidRDefault="00324ADC" w:rsidP="009E1AD3">
      <w:pPr>
        <w:spacing w:line="240" w:lineRule="auto"/>
        <w:jc w:val="both"/>
        <w:rPr>
          <w:rFonts w:cs="Arial"/>
          <w:bCs/>
          <w:szCs w:val="20"/>
        </w:rPr>
      </w:pPr>
    </w:p>
    <w:p w14:paraId="311591BB" w14:textId="06BDD8E3" w:rsidR="00324ADC" w:rsidRDefault="00324ADC" w:rsidP="00324ADC">
      <w:pPr>
        <w:spacing w:line="240" w:lineRule="auto"/>
        <w:jc w:val="center"/>
        <w:rPr>
          <w:rFonts w:cs="Arial"/>
          <w:bCs/>
          <w:szCs w:val="20"/>
        </w:rPr>
      </w:pPr>
      <w:r>
        <w:rPr>
          <w:rFonts w:cs="Arial"/>
          <w:bCs/>
          <w:szCs w:val="20"/>
        </w:rPr>
        <w:t>KONČNA DOLOČBA</w:t>
      </w:r>
    </w:p>
    <w:p w14:paraId="51A13466" w14:textId="77777777" w:rsidR="00D90FB7" w:rsidRDefault="00D90FB7" w:rsidP="00324ADC">
      <w:pPr>
        <w:spacing w:line="240" w:lineRule="auto"/>
        <w:jc w:val="center"/>
        <w:rPr>
          <w:rFonts w:cs="Arial"/>
          <w:bCs/>
          <w:szCs w:val="20"/>
        </w:rPr>
      </w:pPr>
    </w:p>
    <w:p w14:paraId="0B2C710D" w14:textId="07CE9022" w:rsidR="00D90FB7" w:rsidRDefault="00074F02" w:rsidP="00324ADC">
      <w:pPr>
        <w:spacing w:line="240" w:lineRule="auto"/>
        <w:jc w:val="center"/>
        <w:rPr>
          <w:rFonts w:cs="Arial"/>
          <w:b/>
          <w:szCs w:val="20"/>
        </w:rPr>
      </w:pPr>
      <w:r>
        <w:rPr>
          <w:rFonts w:cs="Arial"/>
          <w:b/>
          <w:szCs w:val="20"/>
        </w:rPr>
        <w:t>4</w:t>
      </w:r>
      <w:r w:rsidR="00D90FB7" w:rsidRPr="00D90FB7">
        <w:rPr>
          <w:rFonts w:cs="Arial"/>
          <w:b/>
          <w:szCs w:val="20"/>
        </w:rPr>
        <w:t xml:space="preserve">. člen </w:t>
      </w:r>
    </w:p>
    <w:p w14:paraId="56DBDCB9" w14:textId="77777777" w:rsidR="00D90FB7" w:rsidRDefault="00D90FB7" w:rsidP="00324ADC">
      <w:pPr>
        <w:spacing w:line="240" w:lineRule="auto"/>
        <w:jc w:val="center"/>
        <w:rPr>
          <w:rFonts w:cs="Arial"/>
          <w:b/>
          <w:szCs w:val="20"/>
        </w:rPr>
      </w:pPr>
    </w:p>
    <w:p w14:paraId="262B46B9" w14:textId="4B4B3E3A" w:rsidR="00D90FB7" w:rsidRPr="00D90FB7" w:rsidRDefault="00D90FB7" w:rsidP="00D90FB7">
      <w:pPr>
        <w:spacing w:line="240" w:lineRule="auto"/>
        <w:jc w:val="both"/>
        <w:rPr>
          <w:rFonts w:cs="Arial"/>
          <w:bCs/>
          <w:szCs w:val="20"/>
        </w:rPr>
      </w:pPr>
      <w:r w:rsidRPr="00D90FB7">
        <w:rPr>
          <w:rFonts w:cs="Arial"/>
          <w:bCs/>
          <w:szCs w:val="20"/>
        </w:rPr>
        <w:t xml:space="preserve">Ta zakon začne veljati </w:t>
      </w:r>
      <w:r w:rsidR="00496875">
        <w:rPr>
          <w:rFonts w:cs="Arial"/>
          <w:bCs/>
          <w:szCs w:val="20"/>
        </w:rPr>
        <w:t>petnajsti</w:t>
      </w:r>
      <w:r w:rsidRPr="00D90FB7">
        <w:rPr>
          <w:rFonts w:cs="Arial"/>
          <w:bCs/>
          <w:szCs w:val="20"/>
        </w:rPr>
        <w:t xml:space="preserve"> dan po objavi v Uradnem listu Republike Slovenije. </w:t>
      </w:r>
    </w:p>
    <w:p w14:paraId="043484AA" w14:textId="77777777" w:rsidR="009E1AD3" w:rsidRDefault="009E1AD3" w:rsidP="009E1AD3">
      <w:pPr>
        <w:spacing w:line="240" w:lineRule="auto"/>
        <w:jc w:val="center"/>
        <w:rPr>
          <w:rFonts w:cs="Arial"/>
          <w:bCs/>
          <w:szCs w:val="20"/>
        </w:rPr>
      </w:pPr>
    </w:p>
    <w:p w14:paraId="32A21D57" w14:textId="77777777" w:rsidR="009E1AD3" w:rsidRPr="009E1AD3" w:rsidRDefault="009E1AD3" w:rsidP="009E1AD3">
      <w:pPr>
        <w:spacing w:line="240" w:lineRule="auto"/>
        <w:jc w:val="center"/>
        <w:rPr>
          <w:rFonts w:cs="Arial"/>
          <w:bCs/>
          <w:szCs w:val="20"/>
        </w:rPr>
      </w:pPr>
    </w:p>
    <w:p w14:paraId="03490386" w14:textId="77777777" w:rsidR="0035109F" w:rsidRDefault="0035109F" w:rsidP="00C44CDB">
      <w:pPr>
        <w:spacing w:line="240" w:lineRule="auto"/>
        <w:rPr>
          <w:rFonts w:cs="Arial"/>
          <w:b/>
          <w:szCs w:val="20"/>
        </w:rPr>
      </w:pPr>
    </w:p>
    <w:p w14:paraId="1A377E87" w14:textId="77777777" w:rsidR="00CF5604" w:rsidRDefault="00CF5604" w:rsidP="00C44CDB">
      <w:pPr>
        <w:spacing w:line="240" w:lineRule="auto"/>
        <w:rPr>
          <w:rFonts w:cs="Arial"/>
          <w:b/>
          <w:szCs w:val="20"/>
        </w:rPr>
      </w:pPr>
    </w:p>
    <w:p w14:paraId="6CE2D75E" w14:textId="77777777" w:rsidR="00CF5604" w:rsidRDefault="00CF5604" w:rsidP="00C44CDB">
      <w:pPr>
        <w:spacing w:line="240" w:lineRule="auto"/>
        <w:rPr>
          <w:rFonts w:cs="Arial"/>
          <w:b/>
          <w:szCs w:val="20"/>
        </w:rPr>
      </w:pPr>
    </w:p>
    <w:p w14:paraId="58A0C04D" w14:textId="77777777" w:rsidR="00CF5604" w:rsidRDefault="00CF5604" w:rsidP="00C44CDB">
      <w:pPr>
        <w:spacing w:line="240" w:lineRule="auto"/>
        <w:rPr>
          <w:rFonts w:cs="Arial"/>
          <w:b/>
          <w:szCs w:val="20"/>
        </w:rPr>
      </w:pPr>
    </w:p>
    <w:p w14:paraId="1C15A079" w14:textId="77777777" w:rsidR="003B7379" w:rsidRDefault="003B7379">
      <w:pPr>
        <w:spacing w:after="160" w:line="259" w:lineRule="auto"/>
        <w:rPr>
          <w:rFonts w:cs="Arial"/>
          <w:b/>
          <w:szCs w:val="20"/>
        </w:rPr>
      </w:pPr>
      <w:r>
        <w:rPr>
          <w:rFonts w:cs="Arial"/>
          <w:b/>
          <w:szCs w:val="20"/>
        </w:rPr>
        <w:br w:type="page"/>
      </w:r>
    </w:p>
    <w:p w14:paraId="5DC56971" w14:textId="68017C97" w:rsidR="008E0F84" w:rsidRPr="00C44CDB" w:rsidRDefault="008E0F84" w:rsidP="00C44CDB">
      <w:pPr>
        <w:spacing w:line="240" w:lineRule="auto"/>
        <w:rPr>
          <w:rFonts w:cs="Arial"/>
          <w:b/>
          <w:szCs w:val="20"/>
        </w:rPr>
      </w:pPr>
      <w:r w:rsidRPr="00C44CDB">
        <w:rPr>
          <w:rFonts w:cs="Arial"/>
          <w:b/>
          <w:szCs w:val="20"/>
        </w:rPr>
        <w:lastRenderedPageBreak/>
        <w:t>III. OBRAZLOŽITEV</w:t>
      </w:r>
    </w:p>
    <w:p w14:paraId="796AFCCC" w14:textId="77777777" w:rsidR="008E0F84" w:rsidRPr="00457816" w:rsidRDefault="008E0F84" w:rsidP="008E0F84">
      <w:pPr>
        <w:spacing w:line="240" w:lineRule="auto"/>
        <w:jc w:val="both"/>
        <w:rPr>
          <w:rFonts w:cs="Arial"/>
          <w:szCs w:val="20"/>
        </w:rPr>
      </w:pPr>
    </w:p>
    <w:p w14:paraId="125F3947" w14:textId="52595214" w:rsidR="008E0F84" w:rsidRDefault="00C16A8F" w:rsidP="008E0F84">
      <w:pPr>
        <w:tabs>
          <w:tab w:val="left" w:pos="708"/>
        </w:tabs>
        <w:jc w:val="both"/>
        <w:rPr>
          <w:rFonts w:cs="Arial"/>
          <w:bCs/>
          <w:szCs w:val="20"/>
          <w:u w:val="single"/>
        </w:rPr>
      </w:pPr>
      <w:r w:rsidRPr="00C16A8F">
        <w:rPr>
          <w:rFonts w:cs="Arial"/>
          <w:bCs/>
          <w:szCs w:val="20"/>
          <w:u w:val="single"/>
        </w:rPr>
        <w:t>K 1. členu</w:t>
      </w:r>
    </w:p>
    <w:p w14:paraId="1049E4C7" w14:textId="77777777" w:rsidR="00C16A8F" w:rsidRDefault="00C16A8F" w:rsidP="008E0F84">
      <w:pPr>
        <w:tabs>
          <w:tab w:val="left" w:pos="708"/>
        </w:tabs>
        <w:jc w:val="both"/>
        <w:rPr>
          <w:rFonts w:cs="Arial"/>
          <w:bCs/>
          <w:szCs w:val="20"/>
          <w:u w:val="single"/>
        </w:rPr>
      </w:pPr>
    </w:p>
    <w:p w14:paraId="197D6E88" w14:textId="77777777" w:rsidR="0000518E" w:rsidRDefault="007313E8" w:rsidP="008E0F84">
      <w:pPr>
        <w:tabs>
          <w:tab w:val="left" w:pos="708"/>
        </w:tabs>
        <w:jc w:val="both"/>
        <w:rPr>
          <w:rFonts w:cs="Arial"/>
          <w:bCs/>
          <w:szCs w:val="20"/>
        </w:rPr>
      </w:pPr>
      <w:r w:rsidRPr="007313E8">
        <w:rPr>
          <w:rFonts w:cs="Arial"/>
          <w:bCs/>
          <w:szCs w:val="20"/>
        </w:rPr>
        <w:t xml:space="preserve">Zakon o prvem pokojninskem skladu Republike Slovenije in preoblikovanju pooblaščenih investicijskih družb (Uradni list RS, št. 26/05 – uradno prečiščeno besedilo, 85/09 in 32/16; v nadaljnjem besedilu: ZPSPID) v 21. členu ureja premoženje in naložbe Prvega pokojninskega sklada. Prvi pokojninski sklad je bil ustanovljen v specifičnih okoliščinah preoblikovanja lastniških struktur v Sloveniji, kjer je imel ključno vlogo pri zapolnitvi privatizacijske vrzeli. Zato je sestava njegovega naložbenega portfelja od začetka odstopala od klasičnih pokojninskih skladov. </w:t>
      </w:r>
    </w:p>
    <w:p w14:paraId="2AA2C60F" w14:textId="77777777" w:rsidR="0000518E" w:rsidRDefault="0000518E" w:rsidP="008E0F84">
      <w:pPr>
        <w:tabs>
          <w:tab w:val="left" w:pos="708"/>
        </w:tabs>
        <w:jc w:val="both"/>
        <w:rPr>
          <w:rFonts w:cs="Arial"/>
          <w:bCs/>
          <w:szCs w:val="20"/>
        </w:rPr>
      </w:pPr>
    </w:p>
    <w:p w14:paraId="0ED971E8" w14:textId="4C91D901" w:rsidR="0000518E" w:rsidRDefault="00793499" w:rsidP="008E0F84">
      <w:pPr>
        <w:tabs>
          <w:tab w:val="left" w:pos="708"/>
        </w:tabs>
        <w:jc w:val="both"/>
        <w:rPr>
          <w:rFonts w:cs="Arial"/>
          <w:bCs/>
          <w:szCs w:val="20"/>
        </w:rPr>
      </w:pPr>
      <w:r>
        <w:rPr>
          <w:rFonts w:cs="Arial"/>
          <w:bCs/>
          <w:szCs w:val="20"/>
        </w:rPr>
        <w:t>C</w:t>
      </w:r>
      <w:r w:rsidR="0000518E" w:rsidRPr="0000518E">
        <w:rPr>
          <w:rFonts w:cs="Arial"/>
          <w:bCs/>
          <w:szCs w:val="20"/>
        </w:rPr>
        <w:t xml:space="preserve">ilj, ki </w:t>
      </w:r>
      <w:r w:rsidR="00A2710F">
        <w:rPr>
          <w:rFonts w:cs="Arial"/>
          <w:bCs/>
          <w:szCs w:val="20"/>
        </w:rPr>
        <w:t>mu</w:t>
      </w:r>
      <w:r w:rsidR="00A2710F" w:rsidRPr="0000518E">
        <w:rPr>
          <w:rFonts w:cs="Arial"/>
          <w:bCs/>
          <w:szCs w:val="20"/>
        </w:rPr>
        <w:t xml:space="preserve"> </w:t>
      </w:r>
      <w:r w:rsidR="0000518E" w:rsidRPr="0000518E">
        <w:rPr>
          <w:rFonts w:cs="Arial"/>
          <w:bCs/>
          <w:szCs w:val="20"/>
        </w:rPr>
        <w:t>Modra zavarovalnica sled</w:t>
      </w:r>
      <w:r w:rsidR="00A2710F">
        <w:rPr>
          <w:rFonts w:cs="Arial"/>
          <w:bCs/>
          <w:szCs w:val="20"/>
        </w:rPr>
        <w:t>i</w:t>
      </w:r>
      <w:r w:rsidR="0000518E" w:rsidRPr="0000518E">
        <w:rPr>
          <w:rFonts w:cs="Arial"/>
          <w:bCs/>
          <w:szCs w:val="20"/>
        </w:rPr>
        <w:t xml:space="preserve"> pri upravljanju premoženja </w:t>
      </w:r>
      <w:r w:rsidR="0000518E">
        <w:rPr>
          <w:rFonts w:cs="Arial"/>
          <w:bCs/>
          <w:szCs w:val="20"/>
        </w:rPr>
        <w:t>Prvega pokojninskega sklada</w:t>
      </w:r>
      <w:r w:rsidR="0000518E" w:rsidRPr="0000518E">
        <w:rPr>
          <w:rFonts w:cs="Arial"/>
          <w:bCs/>
          <w:szCs w:val="20"/>
        </w:rPr>
        <w:t xml:space="preserve">, </w:t>
      </w:r>
      <w:r w:rsidR="005616CD">
        <w:rPr>
          <w:rFonts w:cs="Arial"/>
          <w:bCs/>
          <w:szCs w:val="20"/>
        </w:rPr>
        <w:t>ostaja</w:t>
      </w:r>
      <w:r w:rsidR="0000518E" w:rsidRPr="0000518E">
        <w:rPr>
          <w:rFonts w:cs="Arial"/>
          <w:bCs/>
          <w:szCs w:val="20"/>
        </w:rPr>
        <w:t xml:space="preserve"> prestrukturiranje portfelja. Večji del naložbene strukture sklada </w:t>
      </w:r>
      <w:r w:rsidR="00A2710F">
        <w:rPr>
          <w:rFonts w:cs="Arial"/>
          <w:bCs/>
          <w:szCs w:val="20"/>
        </w:rPr>
        <w:t>s</w:t>
      </w:r>
      <w:r w:rsidR="0000518E" w:rsidRPr="0000518E">
        <w:rPr>
          <w:rFonts w:cs="Arial"/>
          <w:bCs/>
          <w:szCs w:val="20"/>
        </w:rPr>
        <w:t xml:space="preserve">o naložbe, ki jih je </w:t>
      </w:r>
      <w:r w:rsidR="0000518E">
        <w:rPr>
          <w:rFonts w:cs="Arial"/>
          <w:bCs/>
          <w:szCs w:val="20"/>
        </w:rPr>
        <w:t>Prvi pokojninski sklad</w:t>
      </w:r>
      <w:r w:rsidR="0000518E" w:rsidRPr="0000518E">
        <w:rPr>
          <w:rFonts w:cs="Arial"/>
          <w:bCs/>
          <w:szCs w:val="20"/>
        </w:rPr>
        <w:t xml:space="preserve"> prejel na zakonodajni podlagi in ki so tako glede vrste dovoljenih naložb kot tudi glede omejitev po posameznih naložbenih razredih v določenem obsegu neprimerne za pokojninski sklad.</w:t>
      </w:r>
    </w:p>
    <w:p w14:paraId="1AFD235E" w14:textId="77777777" w:rsidR="0000518E" w:rsidRDefault="0000518E" w:rsidP="008E0F84">
      <w:pPr>
        <w:tabs>
          <w:tab w:val="left" w:pos="708"/>
        </w:tabs>
        <w:jc w:val="both"/>
        <w:rPr>
          <w:rFonts w:cs="Arial"/>
          <w:bCs/>
          <w:szCs w:val="20"/>
        </w:rPr>
      </w:pPr>
    </w:p>
    <w:p w14:paraId="21C583D6" w14:textId="11352A2B" w:rsidR="0000518E" w:rsidRDefault="0000518E" w:rsidP="008E0F84">
      <w:pPr>
        <w:tabs>
          <w:tab w:val="left" w:pos="708"/>
        </w:tabs>
        <w:jc w:val="both"/>
        <w:rPr>
          <w:rFonts w:cs="Arial"/>
          <w:bCs/>
          <w:szCs w:val="20"/>
        </w:rPr>
      </w:pPr>
      <w:r w:rsidRPr="0000518E">
        <w:rPr>
          <w:rFonts w:cs="Arial"/>
          <w:bCs/>
          <w:szCs w:val="20"/>
        </w:rPr>
        <w:t xml:space="preserve">Največji delež naložb sklada </w:t>
      </w:r>
      <w:r w:rsidR="00A2710F">
        <w:rPr>
          <w:rFonts w:cs="Arial"/>
          <w:bCs/>
          <w:szCs w:val="20"/>
        </w:rPr>
        <w:t>s</w:t>
      </w:r>
      <w:r w:rsidRPr="0000518E">
        <w:rPr>
          <w:rFonts w:cs="Arial"/>
          <w:bCs/>
          <w:szCs w:val="20"/>
        </w:rPr>
        <w:t>estavljajo državne obveznice (43 %), sledijo investicijski kuponi, ki vlagajo v obveznice (25 %), delnice (15 %) in investicijski kuponi, ki vlagajo v delnice (14 %).</w:t>
      </w:r>
    </w:p>
    <w:p w14:paraId="07C891B0" w14:textId="77777777" w:rsidR="0000518E" w:rsidRDefault="0000518E" w:rsidP="008E0F84">
      <w:pPr>
        <w:tabs>
          <w:tab w:val="left" w:pos="708"/>
        </w:tabs>
        <w:jc w:val="both"/>
        <w:rPr>
          <w:rFonts w:cs="Arial"/>
          <w:bCs/>
          <w:szCs w:val="20"/>
        </w:rPr>
      </w:pPr>
    </w:p>
    <w:p w14:paraId="1510488B" w14:textId="50267B80" w:rsidR="00DB4E78" w:rsidRDefault="007313E8" w:rsidP="008E0F84">
      <w:pPr>
        <w:tabs>
          <w:tab w:val="left" w:pos="708"/>
        </w:tabs>
        <w:jc w:val="both"/>
        <w:rPr>
          <w:rFonts w:cs="Arial"/>
          <w:bCs/>
          <w:szCs w:val="20"/>
        </w:rPr>
      </w:pPr>
      <w:r w:rsidRPr="007313E8">
        <w:rPr>
          <w:rFonts w:cs="Arial"/>
          <w:bCs/>
          <w:szCs w:val="20"/>
        </w:rPr>
        <w:t xml:space="preserve">Dodatno pokojninsko zavarovanje </w:t>
      </w:r>
      <w:r w:rsidR="00A2710F">
        <w:rPr>
          <w:rFonts w:cs="Arial"/>
          <w:bCs/>
          <w:szCs w:val="20"/>
        </w:rPr>
        <w:t>je</w:t>
      </w:r>
      <w:r w:rsidR="00A2710F" w:rsidRPr="007313E8">
        <w:rPr>
          <w:rFonts w:cs="Arial"/>
          <w:bCs/>
          <w:szCs w:val="20"/>
        </w:rPr>
        <w:t xml:space="preserve"> </w:t>
      </w:r>
      <w:r w:rsidRPr="007313E8">
        <w:rPr>
          <w:rFonts w:cs="Arial"/>
          <w:bCs/>
          <w:szCs w:val="20"/>
        </w:rPr>
        <w:t>prostovoljn</w:t>
      </w:r>
      <w:r w:rsidR="00A2710F">
        <w:rPr>
          <w:rFonts w:cs="Arial"/>
          <w:bCs/>
          <w:szCs w:val="20"/>
        </w:rPr>
        <w:t>a</w:t>
      </w:r>
      <w:r w:rsidRPr="007313E8">
        <w:rPr>
          <w:rFonts w:cs="Arial"/>
          <w:bCs/>
          <w:szCs w:val="20"/>
        </w:rPr>
        <w:t xml:space="preserve"> oblik</w:t>
      </w:r>
      <w:r w:rsidR="00A2710F">
        <w:rPr>
          <w:rFonts w:cs="Arial"/>
          <w:bCs/>
          <w:szCs w:val="20"/>
        </w:rPr>
        <w:t>a</w:t>
      </w:r>
      <w:r w:rsidRPr="007313E8">
        <w:rPr>
          <w:rFonts w:cs="Arial"/>
          <w:bCs/>
          <w:szCs w:val="20"/>
        </w:rPr>
        <w:t xml:space="preserve"> varčevanja za starost, ki dopolnjuje obvezno pokojninsko zavarovanje. Njegov namen je zagotoviti višjo pokojnino od tiste, ki jo zagotavlja obvezno zavarovanje.</w:t>
      </w:r>
    </w:p>
    <w:p w14:paraId="12152027" w14:textId="77777777" w:rsidR="007313E8" w:rsidRDefault="007313E8" w:rsidP="008E0F84">
      <w:pPr>
        <w:tabs>
          <w:tab w:val="left" w:pos="708"/>
        </w:tabs>
        <w:jc w:val="both"/>
        <w:rPr>
          <w:rFonts w:cs="Arial"/>
          <w:bCs/>
          <w:szCs w:val="20"/>
        </w:rPr>
      </w:pPr>
    </w:p>
    <w:p w14:paraId="62142332" w14:textId="535CB17E" w:rsidR="00DB4E78" w:rsidRDefault="00DB4E78" w:rsidP="008E0F84">
      <w:pPr>
        <w:tabs>
          <w:tab w:val="left" w:pos="708"/>
        </w:tabs>
        <w:jc w:val="both"/>
        <w:rPr>
          <w:rFonts w:cs="Arial"/>
          <w:bCs/>
          <w:szCs w:val="20"/>
        </w:rPr>
      </w:pPr>
      <w:r>
        <w:rPr>
          <w:rFonts w:cs="Arial"/>
          <w:bCs/>
          <w:szCs w:val="20"/>
        </w:rPr>
        <w:t xml:space="preserve">V šestem odstavku </w:t>
      </w:r>
      <w:r w:rsidRPr="00DB4E78">
        <w:rPr>
          <w:rFonts w:cs="Arial"/>
          <w:bCs/>
          <w:szCs w:val="20"/>
        </w:rPr>
        <w:t>21. člen</w:t>
      </w:r>
      <w:r>
        <w:rPr>
          <w:rFonts w:cs="Arial"/>
          <w:bCs/>
          <w:szCs w:val="20"/>
        </w:rPr>
        <w:t>a</w:t>
      </w:r>
      <w:r w:rsidRPr="00DB4E78">
        <w:t xml:space="preserve"> </w:t>
      </w:r>
      <w:r w:rsidRPr="00DB4E78">
        <w:rPr>
          <w:rFonts w:cs="Arial"/>
          <w:bCs/>
          <w:szCs w:val="20"/>
        </w:rPr>
        <w:t>ZPSPID</w:t>
      </w:r>
      <w:r>
        <w:rPr>
          <w:rFonts w:cs="Arial"/>
          <w:bCs/>
          <w:szCs w:val="20"/>
        </w:rPr>
        <w:t xml:space="preserve"> je </w:t>
      </w:r>
      <w:r w:rsidR="00A82F0E">
        <w:rPr>
          <w:rFonts w:cs="Arial"/>
          <w:bCs/>
          <w:szCs w:val="20"/>
        </w:rPr>
        <w:t>urej</w:t>
      </w:r>
      <w:r>
        <w:rPr>
          <w:rFonts w:cs="Arial"/>
          <w:bCs/>
          <w:szCs w:val="20"/>
        </w:rPr>
        <w:t>en</w:t>
      </w:r>
      <w:r w:rsidR="00A82F0E">
        <w:rPr>
          <w:rFonts w:cs="Arial"/>
          <w:bCs/>
          <w:szCs w:val="20"/>
        </w:rPr>
        <w:t xml:space="preserve"> </w:t>
      </w:r>
      <w:r w:rsidR="00A82F0E" w:rsidRPr="00A82F0E">
        <w:rPr>
          <w:rFonts w:cs="Arial"/>
          <w:bCs/>
          <w:szCs w:val="20"/>
        </w:rPr>
        <w:t>prenos sredstev iz premoženja</w:t>
      </w:r>
      <w:r>
        <w:rPr>
          <w:rFonts w:cs="Arial"/>
          <w:bCs/>
          <w:szCs w:val="20"/>
        </w:rPr>
        <w:t>, ki pripada policam dodatnega pokojninskega zavarovanja</w:t>
      </w:r>
      <w:r w:rsidR="00A82F0E" w:rsidRPr="00A82F0E">
        <w:rPr>
          <w:rFonts w:cs="Arial"/>
          <w:bCs/>
          <w:szCs w:val="20"/>
        </w:rPr>
        <w:t xml:space="preserve"> Prvega pokojninskega sklada</w:t>
      </w:r>
      <w:r>
        <w:rPr>
          <w:rFonts w:cs="Arial"/>
          <w:bCs/>
          <w:szCs w:val="20"/>
        </w:rPr>
        <w:t xml:space="preserve"> (namenjen varčevanju),</w:t>
      </w:r>
      <w:r w:rsidR="00A82F0E" w:rsidRPr="00A82F0E">
        <w:rPr>
          <w:rFonts w:cs="Arial"/>
          <w:bCs/>
          <w:szCs w:val="20"/>
        </w:rPr>
        <w:t xml:space="preserve"> v kritni sklad</w:t>
      </w:r>
      <w:r>
        <w:rPr>
          <w:rFonts w:cs="Arial"/>
          <w:bCs/>
          <w:szCs w:val="20"/>
        </w:rPr>
        <w:t xml:space="preserve"> Prvega pokojninskega sklada (namenjen izplačilom pokojninskih rent). Ta predlog zakona določbo dopolnjuje v skladu s spremembo v 3. točki tretjega odstavka </w:t>
      </w:r>
      <w:r w:rsidRPr="00DB4E78">
        <w:rPr>
          <w:rFonts w:cs="Arial"/>
          <w:bCs/>
          <w:szCs w:val="20"/>
        </w:rPr>
        <w:t>32. člen</w:t>
      </w:r>
      <w:r>
        <w:rPr>
          <w:rFonts w:cs="Arial"/>
          <w:bCs/>
          <w:szCs w:val="20"/>
        </w:rPr>
        <w:t xml:space="preserve">a ZPSPID, ki zavarovancem </w:t>
      </w:r>
      <w:r w:rsidRPr="00DB4E78">
        <w:rPr>
          <w:rFonts w:cs="Arial"/>
          <w:bCs/>
          <w:szCs w:val="20"/>
        </w:rPr>
        <w:t xml:space="preserve">pred dopolnjenim šestdesetim letom starosti </w:t>
      </w:r>
      <w:r w:rsidR="001E7F36" w:rsidRPr="001E7F36">
        <w:rPr>
          <w:rFonts w:cs="Arial"/>
          <w:bCs/>
          <w:szCs w:val="20"/>
        </w:rPr>
        <w:t xml:space="preserve">omogoča </w:t>
      </w:r>
      <w:r w:rsidRPr="00DB4E78">
        <w:rPr>
          <w:rFonts w:cs="Arial"/>
          <w:bCs/>
          <w:szCs w:val="20"/>
        </w:rPr>
        <w:t>izplačilo odkupne vrednosti police dodatnega pokojninskega zavarovanja Prvega pokojninskega sklada</w:t>
      </w:r>
      <w:r w:rsidR="00A82F0E" w:rsidRPr="00A82F0E">
        <w:rPr>
          <w:rFonts w:cs="Arial"/>
          <w:bCs/>
          <w:szCs w:val="20"/>
        </w:rPr>
        <w:t xml:space="preserve">. </w:t>
      </w:r>
      <w:r w:rsidR="007313E8" w:rsidRPr="007313E8">
        <w:rPr>
          <w:rFonts w:cs="Arial"/>
          <w:bCs/>
          <w:szCs w:val="20"/>
        </w:rPr>
        <w:t xml:space="preserve">Odkupna vrednost police </w:t>
      </w:r>
      <w:r w:rsidR="00A2710F">
        <w:rPr>
          <w:rFonts w:cs="Arial"/>
          <w:bCs/>
          <w:szCs w:val="20"/>
        </w:rPr>
        <w:t>je</w:t>
      </w:r>
      <w:r w:rsidR="00A2710F" w:rsidRPr="007313E8">
        <w:rPr>
          <w:rFonts w:cs="Arial"/>
          <w:bCs/>
          <w:szCs w:val="20"/>
        </w:rPr>
        <w:t xml:space="preserve"> </w:t>
      </w:r>
      <w:r w:rsidR="007313E8" w:rsidRPr="007313E8">
        <w:rPr>
          <w:rFonts w:cs="Arial"/>
          <w:bCs/>
          <w:szCs w:val="20"/>
        </w:rPr>
        <w:t>znesek, ki ga zavarovanec prejme, če se odloči za izplačilo sredstev pred upokojitvijo.</w:t>
      </w:r>
      <w:r w:rsidR="001E7F36">
        <w:rPr>
          <w:rFonts w:cs="Arial"/>
          <w:bCs/>
          <w:szCs w:val="20"/>
        </w:rPr>
        <w:t xml:space="preserve"> </w:t>
      </w:r>
    </w:p>
    <w:p w14:paraId="7360E872" w14:textId="77777777" w:rsidR="00DB4E78" w:rsidRDefault="00DB4E78" w:rsidP="008E0F84">
      <w:pPr>
        <w:tabs>
          <w:tab w:val="left" w:pos="708"/>
        </w:tabs>
        <w:jc w:val="both"/>
        <w:rPr>
          <w:rFonts w:cs="Arial"/>
          <w:bCs/>
          <w:szCs w:val="20"/>
        </w:rPr>
      </w:pPr>
    </w:p>
    <w:p w14:paraId="3FB50994" w14:textId="26120937" w:rsidR="00C16A8F" w:rsidRDefault="00A82F0E" w:rsidP="008E0F84">
      <w:pPr>
        <w:tabs>
          <w:tab w:val="left" w:pos="708"/>
        </w:tabs>
        <w:jc w:val="both"/>
        <w:rPr>
          <w:rFonts w:cs="Arial"/>
          <w:bCs/>
          <w:szCs w:val="20"/>
        </w:rPr>
      </w:pPr>
      <w:r>
        <w:rPr>
          <w:rFonts w:cs="Arial"/>
          <w:bCs/>
          <w:szCs w:val="20"/>
        </w:rPr>
        <w:t xml:space="preserve">Uvedba izplačila odkupne vrednosti premoženja, ki pripada policam dodatnega pokojninskega zavarovanja Prvega pokojninskega sklada, </w:t>
      </w:r>
      <w:r w:rsidRPr="00A82F0E">
        <w:rPr>
          <w:rFonts w:cs="Arial"/>
          <w:bCs/>
          <w:szCs w:val="20"/>
        </w:rPr>
        <w:t>je zasnovana na podlagi ugotovitev o nizki donosnosti naložbenega portfelja sklada, ki je posledica specifičnih naložb, prenesenih v sklad za zapolnitev privatizacijske vrzeli. Zaradi tega dejstva in inflacije se kupna moč upravičenj zavarovancev zmanjšuje, kar zahteva ukrepe za dolgoročno zaščito njihovih interesov.</w:t>
      </w:r>
      <w:r w:rsidR="00DB4E78" w:rsidRPr="00DB4E78">
        <w:t xml:space="preserve"> </w:t>
      </w:r>
      <w:r w:rsidR="00DB4E78" w:rsidRPr="00DB4E78">
        <w:rPr>
          <w:rFonts w:cs="Arial"/>
          <w:bCs/>
          <w:szCs w:val="20"/>
        </w:rPr>
        <w:t>Sprememba zakona, ki omogoča izplačilo odkupne vrednosti pred 60. letom</w:t>
      </w:r>
      <w:r w:rsidR="00924DD6">
        <w:rPr>
          <w:rFonts w:cs="Arial"/>
          <w:bCs/>
          <w:szCs w:val="20"/>
        </w:rPr>
        <w:t xml:space="preserve"> starosti</w:t>
      </w:r>
      <w:r w:rsidR="00DB4E78" w:rsidRPr="00DB4E78">
        <w:rPr>
          <w:rFonts w:cs="Arial"/>
          <w:bCs/>
          <w:szCs w:val="20"/>
        </w:rPr>
        <w:t>, zavarovancem daje večjo</w:t>
      </w:r>
      <w:r w:rsidR="001E7F36">
        <w:rPr>
          <w:rFonts w:cs="Arial"/>
          <w:bCs/>
          <w:szCs w:val="20"/>
        </w:rPr>
        <w:t xml:space="preserve"> prožnost</w:t>
      </w:r>
      <w:r w:rsidR="00DB4E78" w:rsidRPr="00DB4E78">
        <w:rPr>
          <w:rFonts w:cs="Arial"/>
          <w:bCs/>
          <w:szCs w:val="20"/>
        </w:rPr>
        <w:t xml:space="preserve"> </w:t>
      </w:r>
      <w:r w:rsidR="00DB4E78">
        <w:rPr>
          <w:rFonts w:cs="Arial"/>
          <w:bCs/>
          <w:szCs w:val="20"/>
        </w:rPr>
        <w:t>pri</w:t>
      </w:r>
      <w:r w:rsidR="00DB4E78" w:rsidRPr="00DB4E78">
        <w:rPr>
          <w:rFonts w:cs="Arial"/>
          <w:bCs/>
          <w:szCs w:val="20"/>
        </w:rPr>
        <w:t xml:space="preserve"> upravljanju </w:t>
      </w:r>
      <w:r w:rsidR="00924DD6">
        <w:rPr>
          <w:rFonts w:cs="Arial"/>
          <w:bCs/>
          <w:szCs w:val="20"/>
        </w:rPr>
        <w:t>svoj</w:t>
      </w:r>
      <w:r w:rsidR="00DB4E78" w:rsidRPr="00DB4E78">
        <w:rPr>
          <w:rFonts w:cs="Arial"/>
          <w:bCs/>
          <w:szCs w:val="20"/>
        </w:rPr>
        <w:t>ih sredstev.</w:t>
      </w:r>
    </w:p>
    <w:p w14:paraId="14C427C9" w14:textId="77777777" w:rsidR="00A82F0E" w:rsidRDefault="00A82F0E" w:rsidP="008E0F84">
      <w:pPr>
        <w:tabs>
          <w:tab w:val="left" w:pos="708"/>
        </w:tabs>
        <w:jc w:val="both"/>
        <w:rPr>
          <w:rFonts w:cs="Arial"/>
          <w:bCs/>
          <w:szCs w:val="20"/>
        </w:rPr>
      </w:pPr>
    </w:p>
    <w:p w14:paraId="103CB98F" w14:textId="4927FB28" w:rsidR="00A82F0E" w:rsidRDefault="00F75B09" w:rsidP="008E0F84">
      <w:pPr>
        <w:tabs>
          <w:tab w:val="left" w:pos="708"/>
        </w:tabs>
        <w:jc w:val="both"/>
        <w:rPr>
          <w:rFonts w:cs="Arial"/>
          <w:bCs/>
          <w:szCs w:val="20"/>
        </w:rPr>
      </w:pPr>
      <w:r w:rsidRPr="00F75B09">
        <w:rPr>
          <w:rFonts w:cs="Arial"/>
          <w:bCs/>
          <w:szCs w:val="20"/>
        </w:rPr>
        <w:t>Prenos sredstev v kritni sklad</w:t>
      </w:r>
      <w:r>
        <w:rPr>
          <w:rFonts w:cs="Arial"/>
          <w:bCs/>
          <w:szCs w:val="20"/>
        </w:rPr>
        <w:t xml:space="preserve"> Prvega pokojninskega sklada </w:t>
      </w:r>
      <w:r w:rsidRPr="00F75B09">
        <w:rPr>
          <w:rFonts w:cs="Arial"/>
          <w:bCs/>
          <w:szCs w:val="20"/>
        </w:rPr>
        <w:t xml:space="preserve">se izvede, ko zavarovanec izpolni pogoje za pridobitev pravice do pokojninske rente. </w:t>
      </w:r>
      <w:r w:rsidR="007313E8" w:rsidRPr="007313E8">
        <w:rPr>
          <w:rFonts w:cs="Arial"/>
          <w:bCs/>
          <w:szCs w:val="20"/>
        </w:rPr>
        <w:t xml:space="preserve">Sorazmerni del sredstev, ki se prenese v kritni sklad, se izračuna na podlagi čiste vrednosti premoženja, ki pripada polici zavarovanca v trenutku, ko izpolni pogoje za pridobitev mesečne pokojninske rente. </w:t>
      </w:r>
      <w:r>
        <w:rPr>
          <w:rFonts w:cs="Arial"/>
          <w:bCs/>
          <w:szCs w:val="20"/>
        </w:rPr>
        <w:t xml:space="preserve">Kritni sklad je ločeno premoženje, namenjeno kritju obveznosti Prvega pokojninskega sklada iz naslova izplačil mesečnih pokojninskih rent. </w:t>
      </w:r>
      <w:r w:rsidR="004D1837">
        <w:rPr>
          <w:rFonts w:cs="Arial"/>
          <w:bCs/>
          <w:szCs w:val="20"/>
        </w:rPr>
        <w:t xml:space="preserve">Prenos </w:t>
      </w:r>
      <w:r w:rsidRPr="00F75B09">
        <w:rPr>
          <w:rFonts w:cs="Arial"/>
          <w:bCs/>
          <w:szCs w:val="20"/>
        </w:rPr>
        <w:t>je ključ</w:t>
      </w:r>
      <w:r w:rsidR="004D1837">
        <w:rPr>
          <w:rFonts w:cs="Arial"/>
          <w:bCs/>
          <w:szCs w:val="20"/>
        </w:rPr>
        <w:t>e</w:t>
      </w:r>
      <w:r w:rsidRPr="00F75B09">
        <w:rPr>
          <w:rFonts w:cs="Arial"/>
          <w:bCs/>
          <w:szCs w:val="20"/>
        </w:rPr>
        <w:t>n</w:t>
      </w:r>
      <w:r w:rsidR="004D1837">
        <w:rPr>
          <w:rFonts w:cs="Arial"/>
          <w:bCs/>
          <w:szCs w:val="20"/>
        </w:rPr>
        <w:t xml:space="preserve"> </w:t>
      </w:r>
      <w:r w:rsidRPr="00F75B09">
        <w:rPr>
          <w:rFonts w:cs="Arial"/>
          <w:bCs/>
          <w:szCs w:val="20"/>
        </w:rPr>
        <w:t xml:space="preserve">za zagotavljanje varnosti izplačil </w:t>
      </w:r>
      <w:r w:rsidR="004D1837">
        <w:rPr>
          <w:rFonts w:cs="Arial"/>
          <w:bCs/>
          <w:szCs w:val="20"/>
        </w:rPr>
        <w:t xml:space="preserve">pokojninskih rent. </w:t>
      </w:r>
    </w:p>
    <w:p w14:paraId="3DC65754" w14:textId="77777777" w:rsidR="004638B6" w:rsidRDefault="004638B6" w:rsidP="008E0F84">
      <w:pPr>
        <w:tabs>
          <w:tab w:val="left" w:pos="708"/>
        </w:tabs>
        <w:jc w:val="both"/>
        <w:rPr>
          <w:rFonts w:cs="Arial"/>
          <w:bCs/>
          <w:szCs w:val="20"/>
        </w:rPr>
      </w:pPr>
    </w:p>
    <w:p w14:paraId="0EE83686" w14:textId="5DC941CB" w:rsidR="004638B6" w:rsidRPr="004638B6" w:rsidRDefault="004638B6" w:rsidP="008E0F84">
      <w:pPr>
        <w:tabs>
          <w:tab w:val="left" w:pos="708"/>
        </w:tabs>
        <w:jc w:val="both"/>
        <w:rPr>
          <w:rFonts w:cs="Arial"/>
          <w:bCs/>
          <w:szCs w:val="20"/>
          <w:u w:val="single"/>
        </w:rPr>
      </w:pPr>
      <w:r w:rsidRPr="004638B6">
        <w:rPr>
          <w:rFonts w:cs="Arial"/>
          <w:bCs/>
          <w:szCs w:val="20"/>
          <w:u w:val="single"/>
        </w:rPr>
        <w:t>K 2. členu</w:t>
      </w:r>
    </w:p>
    <w:p w14:paraId="6FCE6450" w14:textId="77777777" w:rsidR="00DB4E78" w:rsidRDefault="00DB4E78" w:rsidP="008E0F84">
      <w:pPr>
        <w:tabs>
          <w:tab w:val="left" w:pos="708"/>
        </w:tabs>
        <w:jc w:val="both"/>
        <w:rPr>
          <w:rFonts w:cs="Arial"/>
          <w:bCs/>
          <w:szCs w:val="20"/>
        </w:rPr>
      </w:pPr>
    </w:p>
    <w:p w14:paraId="4B97723F" w14:textId="77777777" w:rsidR="001333A2" w:rsidRDefault="001333A2" w:rsidP="008E0F84">
      <w:pPr>
        <w:tabs>
          <w:tab w:val="left" w:pos="708"/>
        </w:tabs>
        <w:jc w:val="both"/>
        <w:rPr>
          <w:rFonts w:cs="Arial"/>
          <w:bCs/>
          <w:szCs w:val="20"/>
          <w:u w:val="single"/>
        </w:rPr>
      </w:pPr>
    </w:p>
    <w:p w14:paraId="5EA22361" w14:textId="0E9166D6" w:rsidR="001333A2" w:rsidRPr="001333A2" w:rsidRDefault="001333A2" w:rsidP="001333A2">
      <w:pPr>
        <w:tabs>
          <w:tab w:val="left" w:pos="708"/>
        </w:tabs>
        <w:jc w:val="both"/>
        <w:rPr>
          <w:rFonts w:cs="Arial"/>
          <w:bCs/>
          <w:szCs w:val="20"/>
        </w:rPr>
      </w:pPr>
      <w:r w:rsidRPr="001333A2">
        <w:rPr>
          <w:rFonts w:cs="Arial"/>
          <w:bCs/>
          <w:szCs w:val="20"/>
        </w:rPr>
        <w:t xml:space="preserve">ZPSPID v </w:t>
      </w:r>
      <w:r>
        <w:rPr>
          <w:rFonts w:cs="Arial"/>
          <w:bCs/>
          <w:szCs w:val="20"/>
        </w:rPr>
        <w:t>32</w:t>
      </w:r>
      <w:r w:rsidRPr="001333A2">
        <w:rPr>
          <w:rFonts w:cs="Arial"/>
          <w:bCs/>
          <w:szCs w:val="20"/>
        </w:rPr>
        <w:t>. členu ureja</w:t>
      </w:r>
      <w:r>
        <w:rPr>
          <w:rFonts w:cs="Arial"/>
          <w:bCs/>
          <w:szCs w:val="20"/>
        </w:rPr>
        <w:t xml:space="preserve"> pravice iz police dodatnega pokojninskega zavarovanja Prvega pokojninskega sklada. </w:t>
      </w:r>
      <w:r w:rsidRPr="001333A2">
        <w:rPr>
          <w:rFonts w:cs="Arial"/>
          <w:bCs/>
          <w:szCs w:val="20"/>
        </w:rPr>
        <w:t xml:space="preserve">Sprememba 3. točke tretjega odstavka 32. člena prinaša pomembno novost </w:t>
      </w:r>
      <w:r w:rsidR="00591AA6">
        <w:rPr>
          <w:rFonts w:cs="Arial"/>
          <w:bCs/>
          <w:szCs w:val="20"/>
        </w:rPr>
        <w:t>glede</w:t>
      </w:r>
      <w:r w:rsidR="00591AA6" w:rsidRPr="001333A2">
        <w:rPr>
          <w:rFonts w:cs="Arial"/>
          <w:bCs/>
          <w:szCs w:val="20"/>
        </w:rPr>
        <w:t xml:space="preserve"> </w:t>
      </w:r>
      <w:r w:rsidRPr="001333A2">
        <w:rPr>
          <w:rFonts w:cs="Arial"/>
          <w:bCs/>
          <w:szCs w:val="20"/>
        </w:rPr>
        <w:t xml:space="preserve">pravic zavarovancev Prvega pokojninskega sklada. Zavarovancem omogoča, da pred dopolnjenim šestdesetim letom starosti zahtevajo izplačilo odkupne vrednosti police dodatnega pokojninskega </w:t>
      </w:r>
      <w:r w:rsidRPr="001333A2">
        <w:rPr>
          <w:rFonts w:cs="Arial"/>
          <w:bCs/>
          <w:szCs w:val="20"/>
        </w:rPr>
        <w:lastRenderedPageBreak/>
        <w:t>zavarovanja. Ta ukrep bistveno poveč</w:t>
      </w:r>
      <w:r w:rsidR="00007FDA">
        <w:rPr>
          <w:rFonts w:cs="Arial"/>
          <w:bCs/>
          <w:szCs w:val="20"/>
        </w:rPr>
        <w:t>a</w:t>
      </w:r>
      <w:r w:rsidRPr="001333A2">
        <w:rPr>
          <w:rFonts w:cs="Arial"/>
          <w:bCs/>
          <w:szCs w:val="20"/>
        </w:rPr>
        <w:t xml:space="preserve"> </w:t>
      </w:r>
      <w:r>
        <w:rPr>
          <w:rFonts w:cs="Arial"/>
          <w:bCs/>
          <w:szCs w:val="20"/>
        </w:rPr>
        <w:t>prožnost</w:t>
      </w:r>
      <w:r w:rsidRPr="001333A2">
        <w:rPr>
          <w:rFonts w:cs="Arial"/>
          <w:bCs/>
          <w:szCs w:val="20"/>
        </w:rPr>
        <w:t xml:space="preserve"> upravljanja prihrank</w:t>
      </w:r>
      <w:r w:rsidR="00591AA6">
        <w:rPr>
          <w:rFonts w:cs="Arial"/>
          <w:bCs/>
          <w:szCs w:val="20"/>
        </w:rPr>
        <w:t>ov</w:t>
      </w:r>
      <w:r w:rsidRPr="001333A2">
        <w:rPr>
          <w:rFonts w:cs="Arial"/>
          <w:bCs/>
          <w:szCs w:val="20"/>
        </w:rPr>
        <w:t>, saj zavarovanci niso več vezani na izplačilo šele ob upokojitvi.</w:t>
      </w:r>
    </w:p>
    <w:p w14:paraId="0D341DE7" w14:textId="77777777" w:rsidR="001333A2" w:rsidRPr="001333A2" w:rsidRDefault="001333A2" w:rsidP="001333A2">
      <w:pPr>
        <w:tabs>
          <w:tab w:val="left" w:pos="708"/>
        </w:tabs>
        <w:jc w:val="both"/>
        <w:rPr>
          <w:rFonts w:cs="Arial"/>
          <w:bCs/>
          <w:szCs w:val="20"/>
        </w:rPr>
      </w:pPr>
    </w:p>
    <w:p w14:paraId="63415854" w14:textId="04300473" w:rsidR="001333A2" w:rsidRPr="001333A2" w:rsidRDefault="001333A2" w:rsidP="001333A2">
      <w:pPr>
        <w:tabs>
          <w:tab w:val="left" w:pos="708"/>
        </w:tabs>
        <w:jc w:val="both"/>
        <w:rPr>
          <w:rFonts w:cs="Arial"/>
          <w:bCs/>
          <w:szCs w:val="20"/>
        </w:rPr>
      </w:pPr>
      <w:r w:rsidRPr="001333A2">
        <w:rPr>
          <w:rFonts w:cs="Arial"/>
          <w:bCs/>
          <w:szCs w:val="20"/>
        </w:rPr>
        <w:t xml:space="preserve">Razlog za to spremembo </w:t>
      </w:r>
      <w:r>
        <w:rPr>
          <w:rFonts w:cs="Arial"/>
          <w:bCs/>
          <w:szCs w:val="20"/>
        </w:rPr>
        <w:t>so</w:t>
      </w:r>
      <w:r w:rsidRPr="001333A2">
        <w:rPr>
          <w:rFonts w:cs="Arial"/>
          <w:bCs/>
          <w:szCs w:val="20"/>
        </w:rPr>
        <w:t xml:space="preserve"> nizk</w:t>
      </w:r>
      <w:r>
        <w:rPr>
          <w:rFonts w:cs="Arial"/>
          <w:bCs/>
          <w:szCs w:val="20"/>
        </w:rPr>
        <w:t>e</w:t>
      </w:r>
      <w:r w:rsidRPr="001333A2">
        <w:rPr>
          <w:rFonts w:cs="Arial"/>
          <w:bCs/>
          <w:szCs w:val="20"/>
        </w:rPr>
        <w:t xml:space="preserve"> donosnosti naložbenega portfelja sklada. Visoka inflacija in negotovost na finančnih trgih namreč zmanjšujeta kupno moč prihrankov, zato je smiselno, da se zavarovancem omogoči, da svoja sredstva naložijo v druge oblike naložb, ki bolje ščitijo pred temi tveganji. S tem se poudarja individualna odgovornost zavarovancev pri upravljanju prihrankov.</w:t>
      </w:r>
    </w:p>
    <w:p w14:paraId="5CE68CEB" w14:textId="77777777" w:rsidR="001333A2" w:rsidRPr="001333A2" w:rsidRDefault="001333A2" w:rsidP="001333A2">
      <w:pPr>
        <w:tabs>
          <w:tab w:val="left" w:pos="708"/>
        </w:tabs>
        <w:jc w:val="both"/>
        <w:rPr>
          <w:rFonts w:cs="Arial"/>
          <w:bCs/>
          <w:szCs w:val="20"/>
        </w:rPr>
      </w:pPr>
    </w:p>
    <w:p w14:paraId="76E025CB" w14:textId="38AE4054" w:rsidR="001333A2" w:rsidRDefault="001333A2" w:rsidP="001333A2">
      <w:pPr>
        <w:tabs>
          <w:tab w:val="left" w:pos="708"/>
        </w:tabs>
        <w:jc w:val="both"/>
        <w:rPr>
          <w:rFonts w:cs="Arial"/>
          <w:bCs/>
          <w:szCs w:val="20"/>
        </w:rPr>
      </w:pPr>
      <w:r w:rsidRPr="001333A2">
        <w:rPr>
          <w:rFonts w:cs="Arial"/>
          <w:bCs/>
          <w:szCs w:val="20"/>
        </w:rPr>
        <w:t>Sprememba zakona ne pomeni, da je izplačilo odkupne vrednosti vedno najboljša rešitev. Zavarovanci morajo pred odločitvijo skrbno pretehtati svoje finančno stanje, potrebe in morebitne davčne posledice. Vendar pa ta sprememba zagotavlja, da imajo zavarovanci večjo avtonomijo pri upravljanju svojih pokojninskih prihrankov in da se lahko prilagodijo spreminjajočim se okoliščinam.</w:t>
      </w:r>
    </w:p>
    <w:p w14:paraId="6BF66BD3" w14:textId="77777777" w:rsidR="006F47FD" w:rsidRDefault="006F47FD" w:rsidP="001333A2">
      <w:pPr>
        <w:tabs>
          <w:tab w:val="left" w:pos="708"/>
        </w:tabs>
        <w:jc w:val="both"/>
        <w:rPr>
          <w:rFonts w:cs="Arial"/>
          <w:bCs/>
          <w:szCs w:val="20"/>
        </w:rPr>
      </w:pPr>
    </w:p>
    <w:p w14:paraId="1C7BD87C" w14:textId="404F7ED2" w:rsidR="006F47FD" w:rsidRDefault="006F47FD" w:rsidP="001333A2">
      <w:pPr>
        <w:tabs>
          <w:tab w:val="left" w:pos="708"/>
        </w:tabs>
        <w:jc w:val="both"/>
        <w:rPr>
          <w:rFonts w:cs="Arial"/>
          <w:bCs/>
          <w:szCs w:val="20"/>
          <w:u w:val="single"/>
        </w:rPr>
      </w:pPr>
      <w:r w:rsidRPr="006F47FD">
        <w:rPr>
          <w:rFonts w:cs="Arial"/>
          <w:bCs/>
          <w:szCs w:val="20"/>
          <w:u w:val="single"/>
        </w:rPr>
        <w:t xml:space="preserve">K </w:t>
      </w:r>
      <w:r w:rsidR="00FB0098">
        <w:rPr>
          <w:rFonts w:cs="Arial"/>
          <w:bCs/>
          <w:szCs w:val="20"/>
          <w:u w:val="single"/>
        </w:rPr>
        <w:t>3</w:t>
      </w:r>
      <w:r w:rsidRPr="006F47FD">
        <w:rPr>
          <w:rFonts w:cs="Arial"/>
          <w:bCs/>
          <w:szCs w:val="20"/>
          <w:u w:val="single"/>
        </w:rPr>
        <w:t>. členu</w:t>
      </w:r>
    </w:p>
    <w:p w14:paraId="5487361C" w14:textId="77777777" w:rsidR="006F47FD" w:rsidRDefault="006F47FD" w:rsidP="001333A2">
      <w:pPr>
        <w:tabs>
          <w:tab w:val="left" w:pos="708"/>
        </w:tabs>
        <w:jc w:val="both"/>
        <w:rPr>
          <w:rFonts w:cs="Arial"/>
          <w:bCs/>
          <w:szCs w:val="20"/>
          <w:u w:val="single"/>
        </w:rPr>
      </w:pPr>
    </w:p>
    <w:p w14:paraId="7C4F0C61" w14:textId="3DB0A835" w:rsidR="006F47FD" w:rsidRPr="006F47FD" w:rsidRDefault="006F47FD" w:rsidP="006F47FD">
      <w:pPr>
        <w:tabs>
          <w:tab w:val="left" w:pos="708"/>
        </w:tabs>
        <w:jc w:val="both"/>
        <w:rPr>
          <w:rFonts w:cs="Arial"/>
          <w:bCs/>
          <w:szCs w:val="20"/>
        </w:rPr>
      </w:pPr>
      <w:r>
        <w:rPr>
          <w:rFonts w:cs="Arial"/>
          <w:bCs/>
          <w:szCs w:val="20"/>
        </w:rPr>
        <w:t>Nov</w:t>
      </w:r>
      <w:r w:rsidR="00591AA6">
        <w:rPr>
          <w:rFonts w:cs="Arial"/>
          <w:bCs/>
          <w:szCs w:val="20"/>
        </w:rPr>
        <w:t>i</w:t>
      </w:r>
      <w:r>
        <w:rPr>
          <w:rFonts w:cs="Arial"/>
          <w:bCs/>
          <w:szCs w:val="20"/>
        </w:rPr>
        <w:t xml:space="preserve"> 32.a člen ZPSPID </w:t>
      </w:r>
      <w:r w:rsidRPr="006F47FD">
        <w:rPr>
          <w:rFonts w:cs="Arial"/>
          <w:bCs/>
          <w:szCs w:val="20"/>
        </w:rPr>
        <w:t xml:space="preserve">omogoča prejemnikom mesečne pokojninske rente, da se odločijo za enkratno izplačilo namesto rednih mesečnih izplačil. Ta možnost se uresniči </w:t>
      </w:r>
      <w:r w:rsidR="00591AA6">
        <w:rPr>
          <w:rFonts w:cs="Arial"/>
          <w:bCs/>
          <w:szCs w:val="20"/>
        </w:rPr>
        <w:t>z vložitvijo</w:t>
      </w:r>
      <w:r w:rsidRPr="006F47FD">
        <w:rPr>
          <w:rFonts w:cs="Arial"/>
          <w:bCs/>
          <w:szCs w:val="20"/>
        </w:rPr>
        <w:t xml:space="preserve"> zahtevka za odkup pokojninske rente. Po </w:t>
      </w:r>
      <w:r w:rsidR="00591AA6">
        <w:rPr>
          <w:rFonts w:cs="Arial"/>
          <w:bCs/>
          <w:szCs w:val="20"/>
        </w:rPr>
        <w:t>vložitv</w:t>
      </w:r>
      <w:r w:rsidRPr="006F47FD">
        <w:rPr>
          <w:rFonts w:cs="Arial"/>
          <w:bCs/>
          <w:szCs w:val="20"/>
        </w:rPr>
        <w:t xml:space="preserve">i zahtevka se začne </w:t>
      </w:r>
      <w:r w:rsidR="00FB0098">
        <w:rPr>
          <w:rFonts w:cs="Arial"/>
          <w:bCs/>
          <w:szCs w:val="20"/>
        </w:rPr>
        <w:t>6</w:t>
      </w:r>
      <w:r w:rsidRPr="006F47FD">
        <w:rPr>
          <w:rFonts w:cs="Arial"/>
          <w:bCs/>
          <w:szCs w:val="20"/>
        </w:rPr>
        <w:t>-mesečna čakalna doba, ki je potrebna za administrativno obdelavo zahtevka</w:t>
      </w:r>
      <w:r>
        <w:rPr>
          <w:rFonts w:cs="Arial"/>
          <w:bCs/>
          <w:szCs w:val="20"/>
        </w:rPr>
        <w:t>,</w:t>
      </w:r>
      <w:r w:rsidRPr="006F47FD">
        <w:rPr>
          <w:rFonts w:cs="Arial"/>
          <w:bCs/>
          <w:szCs w:val="20"/>
        </w:rPr>
        <w:t xml:space="preserve"> izračun odkupne vrednosti</w:t>
      </w:r>
      <w:r>
        <w:rPr>
          <w:rFonts w:cs="Arial"/>
          <w:bCs/>
          <w:szCs w:val="20"/>
        </w:rPr>
        <w:t xml:space="preserve"> in zagotovitev likvidnosti</w:t>
      </w:r>
      <w:r w:rsidRPr="006F47FD">
        <w:rPr>
          <w:rFonts w:cs="Arial"/>
          <w:bCs/>
          <w:szCs w:val="20"/>
        </w:rPr>
        <w:t>. Odkupna vrednost se nato izplača v mesecu, ki sledi izteku te čakalne dobe, skupaj z izplačili rent preostalim zavarovancem.</w:t>
      </w:r>
    </w:p>
    <w:p w14:paraId="7F9AED74" w14:textId="77777777" w:rsidR="006F47FD" w:rsidRPr="006F47FD" w:rsidRDefault="006F47FD" w:rsidP="006F47FD">
      <w:pPr>
        <w:tabs>
          <w:tab w:val="left" w:pos="708"/>
        </w:tabs>
        <w:jc w:val="both"/>
        <w:rPr>
          <w:rFonts w:cs="Arial"/>
          <w:bCs/>
          <w:szCs w:val="20"/>
        </w:rPr>
      </w:pPr>
    </w:p>
    <w:p w14:paraId="7D0C383A" w14:textId="73AC4812" w:rsidR="006F47FD" w:rsidRPr="006F47FD" w:rsidRDefault="006F47FD" w:rsidP="006F47FD">
      <w:pPr>
        <w:tabs>
          <w:tab w:val="left" w:pos="708"/>
        </w:tabs>
        <w:jc w:val="both"/>
        <w:rPr>
          <w:rFonts w:cs="Arial"/>
          <w:bCs/>
          <w:szCs w:val="20"/>
        </w:rPr>
      </w:pPr>
      <w:r w:rsidRPr="006F47FD">
        <w:rPr>
          <w:rFonts w:cs="Arial"/>
          <w:bCs/>
          <w:szCs w:val="20"/>
        </w:rPr>
        <w:t xml:space="preserve">Znesek odkupne vrednosti police se določi na podlagi matematične rezervacije police, izračunane z </w:t>
      </w:r>
      <w:r w:rsidRPr="00A66F9B">
        <w:rPr>
          <w:rFonts w:cs="Arial"/>
          <w:bCs/>
          <w:szCs w:val="20"/>
        </w:rPr>
        <w:t>zavarovalno-tehničnimi</w:t>
      </w:r>
      <w:r w:rsidRPr="006F47FD">
        <w:rPr>
          <w:rFonts w:cs="Arial"/>
          <w:bCs/>
          <w:szCs w:val="20"/>
        </w:rPr>
        <w:t xml:space="preserve"> osnovami. Ta izračun se opravi ob koncu meseca, v katerem se izteče čakalna doba. Matematična rezervacija </w:t>
      </w:r>
      <w:r w:rsidR="00591AA6">
        <w:rPr>
          <w:rFonts w:cs="Arial"/>
          <w:bCs/>
          <w:szCs w:val="20"/>
        </w:rPr>
        <w:t>je</w:t>
      </w:r>
      <w:r w:rsidR="00591AA6" w:rsidRPr="006F47FD">
        <w:rPr>
          <w:rFonts w:cs="Arial"/>
          <w:bCs/>
          <w:szCs w:val="20"/>
        </w:rPr>
        <w:t xml:space="preserve"> </w:t>
      </w:r>
      <w:r w:rsidRPr="006F47FD">
        <w:rPr>
          <w:rFonts w:cs="Arial"/>
          <w:bCs/>
          <w:szCs w:val="20"/>
        </w:rPr>
        <w:t>aktuarsko izračunan</w:t>
      </w:r>
      <w:r w:rsidR="00591AA6">
        <w:rPr>
          <w:rFonts w:cs="Arial"/>
          <w:bCs/>
          <w:szCs w:val="20"/>
        </w:rPr>
        <w:t>a</w:t>
      </w:r>
      <w:r w:rsidRPr="006F47FD">
        <w:rPr>
          <w:rFonts w:cs="Arial"/>
          <w:bCs/>
          <w:szCs w:val="20"/>
        </w:rPr>
        <w:t xml:space="preserve"> vrednost prihodnjih izplačil rente, kar zagotavlja, da je odkupna vrednost določena na podlagi natančnih in pravičnih izračunov.</w:t>
      </w:r>
    </w:p>
    <w:p w14:paraId="58D6059A" w14:textId="77777777" w:rsidR="006F47FD" w:rsidRPr="006F47FD" w:rsidRDefault="006F47FD" w:rsidP="006F47FD">
      <w:pPr>
        <w:tabs>
          <w:tab w:val="left" w:pos="708"/>
        </w:tabs>
        <w:jc w:val="both"/>
        <w:rPr>
          <w:rFonts w:cs="Arial"/>
          <w:bCs/>
          <w:szCs w:val="20"/>
        </w:rPr>
      </w:pPr>
    </w:p>
    <w:p w14:paraId="765840DE" w14:textId="3D31BC64" w:rsidR="006F47FD" w:rsidRDefault="006F47FD" w:rsidP="006F47FD">
      <w:pPr>
        <w:tabs>
          <w:tab w:val="left" w:pos="708"/>
        </w:tabs>
        <w:jc w:val="both"/>
      </w:pPr>
      <w:r w:rsidRPr="006F47FD">
        <w:rPr>
          <w:rFonts w:cs="Arial"/>
          <w:bCs/>
          <w:szCs w:val="20"/>
        </w:rPr>
        <w:t xml:space="preserve">V primeru, da prejemnik mesečne pokojninske rente umre pred iztekom </w:t>
      </w:r>
      <w:r w:rsidR="00FB0098">
        <w:rPr>
          <w:rFonts w:cs="Arial"/>
          <w:bCs/>
          <w:szCs w:val="20"/>
        </w:rPr>
        <w:t>6</w:t>
      </w:r>
      <w:r w:rsidRPr="006F47FD">
        <w:rPr>
          <w:rFonts w:cs="Arial"/>
          <w:bCs/>
          <w:szCs w:val="20"/>
        </w:rPr>
        <w:t>-mesečne čakalne dobe, se zahtevek za odkup rente zavrže. Ta določba zagotavlja jasnost in predvidljivost v primeru smrti prejemnika rente med postopkom odkupa.</w:t>
      </w:r>
      <w:r w:rsidR="0000518E" w:rsidRPr="0000518E">
        <w:t xml:space="preserve"> </w:t>
      </w:r>
    </w:p>
    <w:p w14:paraId="3FFFE709" w14:textId="77777777" w:rsidR="00F03AE0" w:rsidRDefault="00F03AE0" w:rsidP="006F47FD">
      <w:pPr>
        <w:tabs>
          <w:tab w:val="left" w:pos="708"/>
        </w:tabs>
        <w:jc w:val="both"/>
      </w:pPr>
    </w:p>
    <w:p w14:paraId="1688BBE8" w14:textId="0C96481B" w:rsidR="00F03AE0" w:rsidRPr="00F03AE0" w:rsidRDefault="00F03AE0" w:rsidP="00F03AE0">
      <w:pPr>
        <w:tabs>
          <w:tab w:val="left" w:pos="708"/>
        </w:tabs>
        <w:jc w:val="both"/>
        <w:rPr>
          <w:rFonts w:cs="Arial"/>
          <w:bCs/>
          <w:szCs w:val="20"/>
        </w:rPr>
      </w:pPr>
      <w:r w:rsidRPr="00F03AE0">
        <w:rPr>
          <w:rFonts w:cs="Arial"/>
          <w:bCs/>
          <w:szCs w:val="20"/>
        </w:rPr>
        <w:t xml:space="preserve">Razlog, zakaj prejemnik pokojninske rente s smrtjo izgubi izplačilo in tega zneska ne prejmejo dediči, izvira iz same narave doživljenjske pokojninske rente. Ta produkt je zasnovan kot zavarovanje za dolgoživost, kar pomeni, da je namenjen </w:t>
      </w:r>
      <w:r w:rsidR="00591AA6">
        <w:rPr>
          <w:rFonts w:cs="Arial"/>
          <w:bCs/>
          <w:szCs w:val="20"/>
        </w:rPr>
        <w:t xml:space="preserve">za </w:t>
      </w:r>
      <w:r w:rsidRPr="00F03AE0">
        <w:rPr>
          <w:rFonts w:cs="Arial"/>
          <w:bCs/>
          <w:szCs w:val="20"/>
        </w:rPr>
        <w:t>zagotavljanj</w:t>
      </w:r>
      <w:r w:rsidR="00591AA6">
        <w:rPr>
          <w:rFonts w:cs="Arial"/>
          <w:bCs/>
          <w:szCs w:val="20"/>
        </w:rPr>
        <w:t>e</w:t>
      </w:r>
      <w:r w:rsidRPr="00F03AE0">
        <w:rPr>
          <w:rFonts w:cs="Arial"/>
          <w:bCs/>
          <w:szCs w:val="20"/>
        </w:rPr>
        <w:t xml:space="preserve"> rednega dohodka posamezniku vse do njegove smrti</w:t>
      </w:r>
      <w:r w:rsidR="002E798F">
        <w:rPr>
          <w:rFonts w:cs="Arial"/>
          <w:bCs/>
          <w:szCs w:val="20"/>
        </w:rPr>
        <w:t xml:space="preserve">. </w:t>
      </w:r>
      <w:r w:rsidRPr="00F03AE0">
        <w:rPr>
          <w:rFonts w:cs="Arial"/>
          <w:bCs/>
          <w:szCs w:val="20"/>
        </w:rPr>
        <w:t>Pri izračunu višine doživljenjske rente se uporabljajo aktuarske metode, ki upoštevajo povprečno pričakovano življenjsko dobo p</w:t>
      </w:r>
      <w:r w:rsidR="00591AA6">
        <w:rPr>
          <w:rFonts w:cs="Arial"/>
          <w:bCs/>
          <w:szCs w:val="20"/>
        </w:rPr>
        <w:t>rebivalstva</w:t>
      </w:r>
      <w:r w:rsidRPr="00F03AE0">
        <w:rPr>
          <w:rFonts w:cs="Arial"/>
          <w:bCs/>
          <w:szCs w:val="20"/>
        </w:rPr>
        <w:t xml:space="preserve">. Matematične rezervacije, ki so osnova za izplačilo rent, se torej oblikujejo na podlagi statističnih podatkov o umrljivosti in vključujejo </w:t>
      </w:r>
      <w:r w:rsidR="00591AA6">
        <w:rPr>
          <w:rFonts w:cs="Arial"/>
          <w:bCs/>
          <w:szCs w:val="20"/>
        </w:rPr>
        <w:t>načelo</w:t>
      </w:r>
      <w:r w:rsidR="00591AA6" w:rsidRPr="00F03AE0">
        <w:rPr>
          <w:rFonts w:cs="Arial"/>
          <w:bCs/>
          <w:szCs w:val="20"/>
        </w:rPr>
        <w:t xml:space="preserve"> </w:t>
      </w:r>
      <w:r w:rsidRPr="00F03AE0">
        <w:rPr>
          <w:rFonts w:cs="Arial"/>
          <w:bCs/>
          <w:szCs w:val="20"/>
        </w:rPr>
        <w:t>solidarnosti znotraj skupine zavarovancev. To pomeni, da prejemniki, ki živijo dlje od povprečja, prejemajo rento dlje, kot so morda vplač</w:t>
      </w:r>
      <w:r w:rsidR="00A66F9B">
        <w:rPr>
          <w:rFonts w:cs="Arial"/>
          <w:bCs/>
          <w:szCs w:val="20"/>
        </w:rPr>
        <w:t>ev</w:t>
      </w:r>
      <w:r w:rsidRPr="00F03AE0">
        <w:rPr>
          <w:rFonts w:cs="Arial"/>
          <w:bCs/>
          <w:szCs w:val="20"/>
        </w:rPr>
        <w:t>ali, medtem ko tisti, ki umrejo prej, prejmejo manj.</w:t>
      </w:r>
    </w:p>
    <w:p w14:paraId="39071826" w14:textId="77777777" w:rsidR="00131EE0" w:rsidRDefault="00131EE0" w:rsidP="00F03AE0">
      <w:pPr>
        <w:tabs>
          <w:tab w:val="left" w:pos="708"/>
        </w:tabs>
        <w:jc w:val="both"/>
        <w:rPr>
          <w:rFonts w:cs="Arial"/>
          <w:bCs/>
          <w:szCs w:val="20"/>
        </w:rPr>
      </w:pPr>
    </w:p>
    <w:p w14:paraId="0719DFCE" w14:textId="0C266BED" w:rsidR="00F03AE0" w:rsidRDefault="00F03AE0" w:rsidP="00F03AE0">
      <w:pPr>
        <w:tabs>
          <w:tab w:val="left" w:pos="708"/>
        </w:tabs>
        <w:jc w:val="both"/>
        <w:rPr>
          <w:rFonts w:cs="Arial"/>
          <w:bCs/>
          <w:szCs w:val="20"/>
        </w:rPr>
      </w:pPr>
      <w:r w:rsidRPr="00F03AE0">
        <w:rPr>
          <w:rFonts w:cs="Arial"/>
          <w:bCs/>
          <w:szCs w:val="20"/>
        </w:rPr>
        <w:t xml:space="preserve">Ta mehanizem omogoča izplačevanje višjih mesečnih rent, kot bi bile sicer mogoče, če bi se sredstva morala izplačati dedičem ob smrti prejemnika. Če bi bilo predvideno dedovanje, bi se rente izračunale na drugačni osnovi, kar bi pomenilo bistveno nižje mesečne zneske za vse prejemnike. Smrt prejemnika rente brez prenosa na dediče tako omogoča, da se zavarovalni rizik razprši med celotno skupino, kar </w:t>
      </w:r>
      <w:r w:rsidR="00591AA6">
        <w:rPr>
          <w:rFonts w:cs="Arial"/>
          <w:bCs/>
          <w:szCs w:val="20"/>
        </w:rPr>
        <w:t>na koncu</w:t>
      </w:r>
      <w:r w:rsidRPr="00F03AE0">
        <w:rPr>
          <w:rFonts w:cs="Arial"/>
          <w:bCs/>
          <w:szCs w:val="20"/>
        </w:rPr>
        <w:t xml:space="preserve"> zagotavlja optimalno višino rent za tiste, ki so produkt izbrali kot zaščito pred tveganjem preživetja lastnih prihrankov v starosti. </w:t>
      </w:r>
    </w:p>
    <w:p w14:paraId="3179DC72" w14:textId="77777777" w:rsidR="00A246F5" w:rsidRDefault="00A246F5" w:rsidP="006F47FD">
      <w:pPr>
        <w:tabs>
          <w:tab w:val="left" w:pos="708"/>
        </w:tabs>
        <w:jc w:val="both"/>
        <w:rPr>
          <w:rFonts w:cs="Arial"/>
          <w:bCs/>
          <w:szCs w:val="20"/>
        </w:rPr>
      </w:pPr>
    </w:p>
    <w:p w14:paraId="57AFFF22" w14:textId="38151894" w:rsidR="00A246F5" w:rsidRPr="00A246F5" w:rsidRDefault="00A246F5" w:rsidP="006F47FD">
      <w:pPr>
        <w:tabs>
          <w:tab w:val="left" w:pos="708"/>
        </w:tabs>
        <w:jc w:val="both"/>
        <w:rPr>
          <w:rFonts w:cs="Arial"/>
          <w:bCs/>
          <w:szCs w:val="20"/>
          <w:u w:val="single"/>
        </w:rPr>
      </w:pPr>
      <w:r w:rsidRPr="00A246F5">
        <w:rPr>
          <w:rFonts w:cs="Arial"/>
          <w:bCs/>
          <w:szCs w:val="20"/>
          <w:u w:val="single"/>
        </w:rPr>
        <w:t xml:space="preserve">K </w:t>
      </w:r>
      <w:r w:rsidR="00FB0098">
        <w:rPr>
          <w:rFonts w:cs="Arial"/>
          <w:bCs/>
          <w:szCs w:val="20"/>
          <w:u w:val="single"/>
        </w:rPr>
        <w:t>4</w:t>
      </w:r>
      <w:r w:rsidRPr="00A246F5">
        <w:rPr>
          <w:rFonts w:cs="Arial"/>
          <w:bCs/>
          <w:szCs w:val="20"/>
          <w:u w:val="single"/>
        </w:rPr>
        <w:t>. členu</w:t>
      </w:r>
    </w:p>
    <w:p w14:paraId="46346EDA" w14:textId="77777777" w:rsidR="00A246F5" w:rsidRDefault="00A246F5" w:rsidP="006F47FD">
      <w:pPr>
        <w:tabs>
          <w:tab w:val="left" w:pos="708"/>
        </w:tabs>
        <w:jc w:val="both"/>
        <w:rPr>
          <w:rFonts w:cs="Arial"/>
          <w:bCs/>
          <w:szCs w:val="20"/>
        </w:rPr>
      </w:pPr>
    </w:p>
    <w:p w14:paraId="20D2EFAC" w14:textId="537B74C2" w:rsidR="00A246F5" w:rsidRDefault="00A246F5" w:rsidP="006F47FD">
      <w:pPr>
        <w:tabs>
          <w:tab w:val="left" w:pos="708"/>
        </w:tabs>
        <w:jc w:val="both"/>
        <w:rPr>
          <w:rFonts w:cs="Arial"/>
          <w:bCs/>
          <w:szCs w:val="20"/>
        </w:rPr>
      </w:pPr>
      <w:proofErr w:type="spellStart"/>
      <w:r w:rsidRPr="00A246F5">
        <w:rPr>
          <w:rFonts w:cs="Arial"/>
          <w:bCs/>
          <w:i/>
          <w:iCs/>
          <w:szCs w:val="20"/>
        </w:rPr>
        <w:t>Vacatio</w:t>
      </w:r>
      <w:proofErr w:type="spellEnd"/>
      <w:r w:rsidRPr="00A246F5">
        <w:rPr>
          <w:rFonts w:cs="Arial"/>
          <w:bCs/>
          <w:i/>
          <w:iCs/>
          <w:szCs w:val="20"/>
        </w:rPr>
        <w:t xml:space="preserve"> </w:t>
      </w:r>
      <w:proofErr w:type="spellStart"/>
      <w:r w:rsidRPr="00A246F5">
        <w:rPr>
          <w:rFonts w:cs="Arial"/>
          <w:bCs/>
          <w:i/>
          <w:iCs/>
          <w:szCs w:val="20"/>
        </w:rPr>
        <w:t>legis</w:t>
      </w:r>
      <w:proofErr w:type="spellEnd"/>
      <w:r w:rsidRPr="00A246F5">
        <w:rPr>
          <w:rFonts w:cs="Arial"/>
          <w:bCs/>
          <w:szCs w:val="20"/>
        </w:rPr>
        <w:t xml:space="preserve"> </w:t>
      </w:r>
      <w:r w:rsidR="00591AA6">
        <w:rPr>
          <w:rFonts w:cs="Arial"/>
          <w:bCs/>
          <w:szCs w:val="20"/>
        </w:rPr>
        <w:t>je</w:t>
      </w:r>
      <w:r w:rsidR="00591AA6" w:rsidRPr="00A246F5">
        <w:rPr>
          <w:rFonts w:cs="Arial"/>
          <w:bCs/>
          <w:szCs w:val="20"/>
        </w:rPr>
        <w:t xml:space="preserve"> </w:t>
      </w:r>
      <w:r w:rsidRPr="00A246F5">
        <w:rPr>
          <w:rFonts w:cs="Arial"/>
          <w:bCs/>
          <w:szCs w:val="20"/>
        </w:rPr>
        <w:t>obdobje med objavo zakona v uradnem glasilu, kot je Uradni list Republike Slovenije, in njegovo dejansko uveljavitvijo. Njen glavni namen je zagotoviti dovolj časa za seznanitev javnosti z novo zakonodajo. To je ključnega pomena, saj se morajo državljani, podjetja in druge organizacije seznaniti z novimi pravili, da bi se lahko nanje ustrezno pripravili.</w:t>
      </w:r>
    </w:p>
    <w:p w14:paraId="4071643C" w14:textId="77777777" w:rsidR="00A246F5" w:rsidRDefault="00A246F5" w:rsidP="006F47FD">
      <w:pPr>
        <w:tabs>
          <w:tab w:val="left" w:pos="708"/>
        </w:tabs>
        <w:jc w:val="both"/>
        <w:rPr>
          <w:rFonts w:cs="Arial"/>
          <w:bCs/>
          <w:szCs w:val="20"/>
        </w:rPr>
      </w:pPr>
    </w:p>
    <w:p w14:paraId="1DDC66BD" w14:textId="423B22C0" w:rsidR="00A246F5" w:rsidRDefault="00A246F5" w:rsidP="006F47FD">
      <w:pPr>
        <w:tabs>
          <w:tab w:val="left" w:pos="708"/>
        </w:tabs>
        <w:jc w:val="both"/>
        <w:rPr>
          <w:rFonts w:cs="Arial"/>
          <w:bCs/>
          <w:szCs w:val="20"/>
        </w:rPr>
      </w:pPr>
      <w:r w:rsidRPr="00A246F5">
        <w:rPr>
          <w:rFonts w:cs="Arial"/>
          <w:bCs/>
          <w:szCs w:val="20"/>
        </w:rPr>
        <w:t xml:space="preserve">Poleg seznanitve javnosti </w:t>
      </w:r>
      <w:proofErr w:type="spellStart"/>
      <w:r w:rsidRPr="00A246F5">
        <w:rPr>
          <w:rFonts w:cs="Arial"/>
          <w:bCs/>
          <w:i/>
          <w:iCs/>
          <w:szCs w:val="20"/>
        </w:rPr>
        <w:t>vacatio</w:t>
      </w:r>
      <w:proofErr w:type="spellEnd"/>
      <w:r w:rsidRPr="00A246F5">
        <w:rPr>
          <w:rFonts w:cs="Arial"/>
          <w:bCs/>
          <w:i/>
          <w:iCs/>
          <w:szCs w:val="20"/>
        </w:rPr>
        <w:t xml:space="preserve"> </w:t>
      </w:r>
      <w:proofErr w:type="spellStart"/>
      <w:r w:rsidRPr="00A246F5">
        <w:rPr>
          <w:rFonts w:cs="Arial"/>
          <w:bCs/>
          <w:i/>
          <w:iCs/>
          <w:szCs w:val="20"/>
        </w:rPr>
        <w:t>legis</w:t>
      </w:r>
      <w:proofErr w:type="spellEnd"/>
      <w:r w:rsidRPr="00A246F5">
        <w:rPr>
          <w:rFonts w:cs="Arial"/>
          <w:bCs/>
          <w:szCs w:val="20"/>
        </w:rPr>
        <w:t xml:space="preserve"> omogoča organom, ki bodo zakon izvajali, da pripravijo potrebne postopke, smernice in infrastrukturo. Podjetja in druge organizacije imajo čas za uskladitev svojih internih postopkov in delovanja z novo zakonodajo. S tem se zagotavlja, da bo prehod na novo pravno ureditev potekal čim bolj gladko in učinkovito.</w:t>
      </w:r>
    </w:p>
    <w:p w14:paraId="6D53F5F9" w14:textId="77777777" w:rsidR="00A246F5" w:rsidRDefault="00A246F5" w:rsidP="006F47FD">
      <w:pPr>
        <w:tabs>
          <w:tab w:val="left" w:pos="708"/>
        </w:tabs>
        <w:jc w:val="both"/>
        <w:rPr>
          <w:rFonts w:cs="Arial"/>
          <w:bCs/>
          <w:szCs w:val="20"/>
        </w:rPr>
      </w:pPr>
    </w:p>
    <w:p w14:paraId="120E12A9" w14:textId="1C5CADD9" w:rsidR="00A246F5" w:rsidRPr="006F47FD" w:rsidRDefault="00A246F5" w:rsidP="006F47FD">
      <w:pPr>
        <w:tabs>
          <w:tab w:val="left" w:pos="708"/>
        </w:tabs>
        <w:jc w:val="both"/>
        <w:rPr>
          <w:rFonts w:cs="Arial"/>
          <w:bCs/>
          <w:szCs w:val="20"/>
        </w:rPr>
      </w:pPr>
      <w:r w:rsidRPr="00A246F5">
        <w:rPr>
          <w:rFonts w:cs="Arial"/>
          <w:bCs/>
          <w:szCs w:val="20"/>
        </w:rPr>
        <w:t>V primeru</w:t>
      </w:r>
      <w:r>
        <w:rPr>
          <w:rFonts w:cs="Arial"/>
          <w:bCs/>
          <w:szCs w:val="20"/>
        </w:rPr>
        <w:t xml:space="preserve"> tega zakona</w:t>
      </w:r>
      <w:r w:rsidRPr="00A246F5">
        <w:rPr>
          <w:rFonts w:cs="Arial"/>
          <w:bCs/>
          <w:szCs w:val="20"/>
        </w:rPr>
        <w:t xml:space="preserve"> je </w:t>
      </w:r>
      <w:proofErr w:type="spellStart"/>
      <w:r w:rsidRPr="00A246F5">
        <w:rPr>
          <w:rFonts w:cs="Arial"/>
          <w:bCs/>
          <w:i/>
          <w:iCs/>
          <w:szCs w:val="20"/>
        </w:rPr>
        <w:t>vacatio</w:t>
      </w:r>
      <w:proofErr w:type="spellEnd"/>
      <w:r w:rsidRPr="00A246F5">
        <w:rPr>
          <w:rFonts w:cs="Arial"/>
          <w:bCs/>
          <w:i/>
          <w:iCs/>
          <w:szCs w:val="20"/>
        </w:rPr>
        <w:t xml:space="preserve"> </w:t>
      </w:r>
      <w:proofErr w:type="spellStart"/>
      <w:r w:rsidRPr="00A246F5">
        <w:rPr>
          <w:rFonts w:cs="Arial"/>
          <w:bCs/>
          <w:i/>
          <w:iCs/>
          <w:szCs w:val="20"/>
        </w:rPr>
        <w:t>legis</w:t>
      </w:r>
      <w:proofErr w:type="spellEnd"/>
      <w:r w:rsidRPr="00A246F5">
        <w:rPr>
          <w:rFonts w:cs="Arial"/>
          <w:bCs/>
          <w:szCs w:val="20"/>
        </w:rPr>
        <w:t xml:space="preserve"> določen na </w:t>
      </w:r>
      <w:r w:rsidR="00FB0098">
        <w:rPr>
          <w:rFonts w:cs="Arial"/>
          <w:bCs/>
          <w:szCs w:val="20"/>
        </w:rPr>
        <w:t>14</w:t>
      </w:r>
      <w:r w:rsidR="00FB0098" w:rsidRPr="00A246F5">
        <w:rPr>
          <w:rFonts w:cs="Arial"/>
          <w:bCs/>
          <w:szCs w:val="20"/>
        </w:rPr>
        <w:t xml:space="preserve"> </w:t>
      </w:r>
      <w:r w:rsidRPr="00A246F5">
        <w:rPr>
          <w:rFonts w:cs="Arial"/>
          <w:bCs/>
          <w:szCs w:val="20"/>
        </w:rPr>
        <w:t>dni po objavi zakona v Uradnem listu Republike Slovenije. Ta časovni okvir je relativno pogost in se uporablja za zakone, ki ne zahtevajo izjemno hitre</w:t>
      </w:r>
      <w:r w:rsidR="005A5542">
        <w:rPr>
          <w:rFonts w:cs="Arial"/>
          <w:bCs/>
          <w:szCs w:val="20"/>
        </w:rPr>
        <w:t>ga izvajanja</w:t>
      </w:r>
      <w:r w:rsidRPr="00A246F5">
        <w:rPr>
          <w:rFonts w:cs="Arial"/>
          <w:bCs/>
          <w:szCs w:val="20"/>
        </w:rPr>
        <w:t>. Zagotavlja dovolj časa za pripravo, ne da bi pri tem nepotrebno odlašal uveljavit</w:t>
      </w:r>
      <w:r w:rsidR="005A5542">
        <w:rPr>
          <w:rFonts w:cs="Arial"/>
          <w:bCs/>
          <w:szCs w:val="20"/>
        </w:rPr>
        <w:t>e</w:t>
      </w:r>
      <w:r w:rsidRPr="00A246F5">
        <w:rPr>
          <w:rFonts w:cs="Arial"/>
          <w:bCs/>
          <w:szCs w:val="20"/>
        </w:rPr>
        <w:t>v novih pravil.</w:t>
      </w:r>
    </w:p>
    <w:p w14:paraId="75B75587" w14:textId="77777777" w:rsidR="00F40390" w:rsidRDefault="00F40390" w:rsidP="008E0F84">
      <w:pPr>
        <w:ind w:left="709" w:hanging="709"/>
        <w:rPr>
          <w:rFonts w:cs="Arial"/>
          <w:b/>
          <w:szCs w:val="20"/>
        </w:rPr>
      </w:pPr>
    </w:p>
    <w:p w14:paraId="707F7C9B" w14:textId="77777777" w:rsidR="0000518E" w:rsidRDefault="0000518E">
      <w:pPr>
        <w:spacing w:after="160" w:line="259" w:lineRule="auto"/>
        <w:rPr>
          <w:rFonts w:cs="Arial"/>
          <w:b/>
          <w:szCs w:val="20"/>
        </w:rPr>
      </w:pPr>
      <w:r>
        <w:rPr>
          <w:rFonts w:cs="Arial"/>
          <w:b/>
          <w:szCs w:val="20"/>
        </w:rPr>
        <w:br w:type="page"/>
      </w:r>
    </w:p>
    <w:p w14:paraId="386EF0F4" w14:textId="7FCCD7CB" w:rsidR="0095794A" w:rsidRDefault="008E0F84" w:rsidP="00C44CDB">
      <w:pPr>
        <w:spacing w:line="240" w:lineRule="auto"/>
        <w:rPr>
          <w:rFonts w:cs="Arial"/>
          <w:b/>
          <w:szCs w:val="20"/>
        </w:rPr>
      </w:pPr>
      <w:r>
        <w:rPr>
          <w:rFonts w:cs="Arial"/>
          <w:b/>
          <w:szCs w:val="20"/>
        </w:rPr>
        <w:lastRenderedPageBreak/>
        <w:t>I</w:t>
      </w:r>
      <w:r w:rsidRPr="006C2809">
        <w:rPr>
          <w:rFonts w:cs="Arial"/>
          <w:b/>
          <w:szCs w:val="20"/>
        </w:rPr>
        <w:t xml:space="preserve">V. </w:t>
      </w:r>
      <w:r w:rsidR="0095794A">
        <w:rPr>
          <w:rFonts w:cs="Arial"/>
          <w:b/>
          <w:szCs w:val="20"/>
        </w:rPr>
        <w:t>BESEDILO ČLENOV, KI SE SPREMINJAJO</w:t>
      </w:r>
    </w:p>
    <w:p w14:paraId="14397EFA" w14:textId="77777777" w:rsidR="0095794A" w:rsidRDefault="0095794A" w:rsidP="0095794A">
      <w:pPr>
        <w:spacing w:line="240" w:lineRule="auto"/>
        <w:ind w:left="1080" w:hanging="720"/>
        <w:rPr>
          <w:rFonts w:cs="Arial"/>
          <w:b/>
          <w:szCs w:val="20"/>
        </w:rPr>
      </w:pPr>
    </w:p>
    <w:p w14:paraId="0581F047" w14:textId="77777777" w:rsidR="00367BA5" w:rsidRDefault="00367BA5" w:rsidP="00367BA5">
      <w:pPr>
        <w:shd w:val="clear" w:color="auto" w:fill="FFFFFF"/>
        <w:spacing w:line="240" w:lineRule="auto"/>
        <w:jc w:val="center"/>
        <w:rPr>
          <w:rFonts w:cs="Arial"/>
          <w:b/>
          <w:bCs/>
          <w:color w:val="292B2C"/>
          <w:szCs w:val="20"/>
          <w:lang w:eastAsia="sl-SI"/>
        </w:rPr>
      </w:pPr>
      <w:r w:rsidRPr="00367BA5">
        <w:rPr>
          <w:rFonts w:cs="Arial"/>
          <w:b/>
          <w:bCs/>
          <w:color w:val="292B2C"/>
          <w:szCs w:val="20"/>
          <w:lang w:eastAsia="sl-SI"/>
        </w:rPr>
        <w:t>Premoženje in naložbe Prvega pokojninskega sklada</w:t>
      </w:r>
    </w:p>
    <w:p w14:paraId="11228DDB" w14:textId="77777777" w:rsidR="00BD2839" w:rsidRPr="00367BA5" w:rsidRDefault="00BD2839" w:rsidP="00367BA5">
      <w:pPr>
        <w:shd w:val="clear" w:color="auto" w:fill="FFFFFF"/>
        <w:spacing w:line="240" w:lineRule="auto"/>
        <w:jc w:val="center"/>
        <w:rPr>
          <w:rFonts w:cs="Arial"/>
          <w:b/>
          <w:bCs/>
          <w:color w:val="292B2C"/>
          <w:szCs w:val="20"/>
          <w:lang w:eastAsia="sl-SI"/>
        </w:rPr>
      </w:pPr>
    </w:p>
    <w:p w14:paraId="64EB8ADD" w14:textId="77777777" w:rsidR="00367BA5" w:rsidRDefault="00367BA5" w:rsidP="00367BA5">
      <w:pPr>
        <w:shd w:val="clear" w:color="auto" w:fill="FFFFFF"/>
        <w:spacing w:line="240" w:lineRule="auto"/>
        <w:jc w:val="center"/>
        <w:rPr>
          <w:rFonts w:cs="Arial"/>
          <w:b/>
          <w:bCs/>
          <w:color w:val="292B2C"/>
          <w:szCs w:val="20"/>
          <w:lang w:eastAsia="sl-SI"/>
        </w:rPr>
      </w:pPr>
      <w:r w:rsidRPr="00367BA5">
        <w:rPr>
          <w:rFonts w:cs="Arial"/>
          <w:b/>
          <w:bCs/>
          <w:color w:val="292B2C"/>
          <w:szCs w:val="20"/>
          <w:lang w:eastAsia="sl-SI"/>
        </w:rPr>
        <w:t>21. člen</w:t>
      </w:r>
    </w:p>
    <w:p w14:paraId="6943C643" w14:textId="77777777" w:rsidR="00BD2839" w:rsidRPr="00367BA5" w:rsidRDefault="00BD2839" w:rsidP="00367BA5">
      <w:pPr>
        <w:shd w:val="clear" w:color="auto" w:fill="FFFFFF"/>
        <w:spacing w:line="240" w:lineRule="auto"/>
        <w:jc w:val="center"/>
        <w:rPr>
          <w:rFonts w:cs="Arial"/>
          <w:b/>
          <w:bCs/>
          <w:color w:val="292B2C"/>
          <w:szCs w:val="20"/>
          <w:lang w:eastAsia="sl-SI"/>
        </w:rPr>
      </w:pPr>
    </w:p>
    <w:p w14:paraId="3B3B2D88" w14:textId="77777777" w:rsidR="00367BA5" w:rsidRDefault="00367BA5" w:rsidP="00367BA5">
      <w:pPr>
        <w:shd w:val="clear" w:color="auto" w:fill="FFFFFF"/>
        <w:spacing w:line="240" w:lineRule="auto"/>
        <w:jc w:val="both"/>
        <w:rPr>
          <w:rFonts w:cs="Arial"/>
          <w:color w:val="292B2C"/>
          <w:szCs w:val="20"/>
          <w:lang w:eastAsia="sl-SI"/>
        </w:rPr>
      </w:pPr>
      <w:r w:rsidRPr="00367BA5">
        <w:rPr>
          <w:rFonts w:cs="Arial"/>
          <w:color w:val="292B2C"/>
          <w:szCs w:val="20"/>
          <w:lang w:eastAsia="sl-SI"/>
        </w:rPr>
        <w:t>(1) Premoženje Prvega pokojninskega sklada obsega:</w:t>
      </w:r>
    </w:p>
    <w:p w14:paraId="0EEE6BEA" w14:textId="77777777" w:rsidR="00367BA5" w:rsidRPr="00367BA5" w:rsidRDefault="00367BA5" w:rsidP="00367BA5">
      <w:pPr>
        <w:shd w:val="clear" w:color="auto" w:fill="FFFFFF"/>
        <w:spacing w:line="240" w:lineRule="auto"/>
        <w:jc w:val="both"/>
        <w:rPr>
          <w:rFonts w:cs="Arial"/>
          <w:color w:val="292B2C"/>
          <w:szCs w:val="20"/>
          <w:lang w:eastAsia="sl-SI"/>
        </w:rPr>
      </w:pPr>
    </w:p>
    <w:p w14:paraId="684E8DCD" w14:textId="77777777" w:rsidR="00367BA5" w:rsidRPr="00367BA5" w:rsidRDefault="00367BA5" w:rsidP="00367BA5">
      <w:pPr>
        <w:shd w:val="clear" w:color="auto" w:fill="FFFFFF"/>
        <w:spacing w:line="240" w:lineRule="auto"/>
        <w:rPr>
          <w:rFonts w:cs="Arial"/>
          <w:color w:val="292B2C"/>
          <w:szCs w:val="20"/>
          <w:lang w:eastAsia="sl-SI"/>
        </w:rPr>
      </w:pPr>
      <w:r w:rsidRPr="00367BA5">
        <w:rPr>
          <w:rFonts w:cs="Arial"/>
          <w:color w:val="292B2C"/>
          <w:szCs w:val="20"/>
          <w:lang w:eastAsia="sl-SI"/>
        </w:rPr>
        <w:t>1.     premoženje, ki pripada policam dodatnega pokojninskega zavarovanja Prvega pokojninskega sklada v obdobju, preden zavarovanci izpolnijo pogoje za pridobitev pravice do mesečne pokojninske rente;</w:t>
      </w:r>
    </w:p>
    <w:p w14:paraId="28A2D1AF" w14:textId="77777777" w:rsidR="00367BA5" w:rsidRPr="00367BA5" w:rsidRDefault="00367BA5" w:rsidP="00367BA5">
      <w:pPr>
        <w:shd w:val="clear" w:color="auto" w:fill="FFFFFF"/>
        <w:spacing w:line="240" w:lineRule="auto"/>
        <w:rPr>
          <w:rFonts w:cs="Arial"/>
          <w:color w:val="292B2C"/>
          <w:szCs w:val="20"/>
          <w:lang w:eastAsia="sl-SI"/>
        </w:rPr>
      </w:pPr>
      <w:r w:rsidRPr="00367BA5">
        <w:rPr>
          <w:rFonts w:cs="Arial"/>
          <w:color w:val="292B2C"/>
          <w:szCs w:val="20"/>
          <w:lang w:eastAsia="sl-SI"/>
        </w:rPr>
        <w:t>2.     kritni sklad Prvega pokojninskega sklada.</w:t>
      </w:r>
    </w:p>
    <w:p w14:paraId="25DF5C6D" w14:textId="77777777" w:rsidR="00367BA5" w:rsidRDefault="00367BA5" w:rsidP="00367BA5">
      <w:pPr>
        <w:shd w:val="clear" w:color="auto" w:fill="FFFFFF"/>
        <w:spacing w:line="240" w:lineRule="auto"/>
        <w:jc w:val="both"/>
        <w:rPr>
          <w:rFonts w:cs="Arial"/>
          <w:color w:val="292B2C"/>
          <w:szCs w:val="20"/>
          <w:lang w:eastAsia="sl-SI"/>
        </w:rPr>
      </w:pPr>
    </w:p>
    <w:p w14:paraId="0952E2BF" w14:textId="6BAEA43B" w:rsidR="00367BA5" w:rsidRPr="00367BA5" w:rsidRDefault="00367BA5" w:rsidP="00367BA5">
      <w:pPr>
        <w:shd w:val="clear" w:color="auto" w:fill="FFFFFF"/>
        <w:spacing w:line="240" w:lineRule="auto"/>
        <w:jc w:val="both"/>
        <w:rPr>
          <w:rFonts w:cs="Arial"/>
          <w:color w:val="292B2C"/>
          <w:szCs w:val="20"/>
          <w:lang w:eastAsia="sl-SI"/>
        </w:rPr>
      </w:pPr>
      <w:r w:rsidRPr="00367BA5">
        <w:rPr>
          <w:rFonts w:cs="Arial"/>
          <w:color w:val="292B2C"/>
          <w:szCs w:val="20"/>
          <w:lang w:eastAsia="sl-SI"/>
        </w:rPr>
        <w:t>(2) Pri izbiri naložb premoženja Prvega pokojninskega sklada mora Kapitalski sklad ravnati tako, da je zagotovljena varnost, donosnost in tržnost naložb ter ustrezna raznovrstnost in razpršitev teh naložb.</w:t>
      </w:r>
    </w:p>
    <w:p w14:paraId="3C5EFBDE" w14:textId="77777777" w:rsidR="00367BA5" w:rsidRDefault="00367BA5" w:rsidP="00367BA5">
      <w:pPr>
        <w:shd w:val="clear" w:color="auto" w:fill="FFFFFF"/>
        <w:spacing w:line="240" w:lineRule="auto"/>
        <w:jc w:val="both"/>
        <w:rPr>
          <w:rFonts w:cs="Arial"/>
          <w:color w:val="292B2C"/>
          <w:szCs w:val="20"/>
          <w:lang w:eastAsia="sl-SI"/>
        </w:rPr>
      </w:pPr>
    </w:p>
    <w:p w14:paraId="4BD16764" w14:textId="5D77149F" w:rsidR="00367BA5" w:rsidRPr="00367BA5" w:rsidRDefault="00367BA5" w:rsidP="00367BA5">
      <w:pPr>
        <w:shd w:val="clear" w:color="auto" w:fill="FFFFFF"/>
        <w:spacing w:line="240" w:lineRule="auto"/>
        <w:jc w:val="both"/>
        <w:rPr>
          <w:rFonts w:cs="Arial"/>
          <w:color w:val="292B2C"/>
          <w:szCs w:val="20"/>
          <w:lang w:eastAsia="sl-SI"/>
        </w:rPr>
      </w:pPr>
      <w:r w:rsidRPr="00367BA5">
        <w:rPr>
          <w:rFonts w:cs="Arial"/>
          <w:color w:val="292B2C"/>
          <w:szCs w:val="20"/>
          <w:lang w:eastAsia="sl-SI"/>
        </w:rPr>
        <w:t>(3) Kapitalski sklad mora naložbe Prvega pokojninskega sklada, zaradi katerih je izpostavljen tveganjem morebitnih izgub zaradi spremembe obrestnih mer, spremembe tečajev vrednostnih papirjev oziroma drugim tržnim tveganjem, ustrezno uskladiti z obveznostmi na podlagi zavarovanj, ki jih krije Prvi pokojninski sklad.</w:t>
      </w:r>
    </w:p>
    <w:p w14:paraId="195FC4FB" w14:textId="77777777" w:rsidR="00367BA5" w:rsidRDefault="00367BA5" w:rsidP="00367BA5">
      <w:pPr>
        <w:shd w:val="clear" w:color="auto" w:fill="FFFFFF"/>
        <w:spacing w:line="240" w:lineRule="auto"/>
        <w:jc w:val="both"/>
        <w:rPr>
          <w:rFonts w:cs="Arial"/>
          <w:color w:val="292B2C"/>
          <w:szCs w:val="20"/>
          <w:lang w:eastAsia="sl-SI"/>
        </w:rPr>
      </w:pPr>
    </w:p>
    <w:p w14:paraId="3B785566" w14:textId="4E8D2F63" w:rsidR="00367BA5" w:rsidRPr="00367BA5" w:rsidRDefault="00367BA5" w:rsidP="00367BA5">
      <w:pPr>
        <w:shd w:val="clear" w:color="auto" w:fill="FFFFFF"/>
        <w:spacing w:line="240" w:lineRule="auto"/>
        <w:jc w:val="both"/>
        <w:rPr>
          <w:rFonts w:cs="Arial"/>
          <w:color w:val="292B2C"/>
          <w:szCs w:val="20"/>
          <w:lang w:eastAsia="sl-SI"/>
        </w:rPr>
      </w:pPr>
      <w:r w:rsidRPr="00367BA5">
        <w:rPr>
          <w:rFonts w:cs="Arial"/>
          <w:color w:val="292B2C"/>
          <w:szCs w:val="20"/>
          <w:lang w:eastAsia="sl-SI"/>
        </w:rPr>
        <w:t>(4) Kapitalski sklad mora ročnost in likvidnost naložb Prvega pokojninskega sklada ustrezno uskladiti z dospelostmi terjatev iz naslova zavarovanj, ki jih krije Prvi pokojninski sklad.</w:t>
      </w:r>
    </w:p>
    <w:p w14:paraId="2FDBA094" w14:textId="77777777" w:rsidR="00367BA5" w:rsidRDefault="00367BA5" w:rsidP="00367BA5">
      <w:pPr>
        <w:shd w:val="clear" w:color="auto" w:fill="FFFFFF"/>
        <w:spacing w:line="240" w:lineRule="auto"/>
        <w:jc w:val="both"/>
        <w:rPr>
          <w:rFonts w:cs="Arial"/>
          <w:color w:val="292B2C"/>
          <w:szCs w:val="20"/>
          <w:lang w:eastAsia="sl-SI"/>
        </w:rPr>
      </w:pPr>
    </w:p>
    <w:p w14:paraId="1270FD61" w14:textId="3CAC0F81" w:rsidR="00367BA5" w:rsidRPr="00367BA5" w:rsidRDefault="00367BA5" w:rsidP="00367BA5">
      <w:pPr>
        <w:shd w:val="clear" w:color="auto" w:fill="FFFFFF"/>
        <w:spacing w:line="240" w:lineRule="auto"/>
        <w:jc w:val="both"/>
        <w:rPr>
          <w:rFonts w:cs="Arial"/>
          <w:color w:val="292B2C"/>
          <w:szCs w:val="20"/>
          <w:lang w:eastAsia="sl-SI"/>
        </w:rPr>
      </w:pPr>
      <w:r w:rsidRPr="00367BA5">
        <w:rPr>
          <w:rFonts w:cs="Arial"/>
          <w:color w:val="292B2C"/>
          <w:szCs w:val="20"/>
          <w:lang w:eastAsia="sl-SI"/>
        </w:rPr>
        <w:t>(5) Kritni sklad Prvega pokojninskega sklada iz 2. točke prvega odstavka tega člena je ločeno premoženje, namenjeno kritju obveznosti Prvega pokojninskega sklada iz naslova izplačil mesečnih pokojninskih rent, ki se oblikuje z izločitvijo iz premoženja iz 1. točke prvega odstavka tega člena, ko zavarovanec izpolni pogoje za pridobitev mesečne pokojninske rente. Za naložbe kritnega sklada se smiselno uporabljajo določbe o naložbah kritnega sklada, kot jih predpisuje zakon, ki ureja zavarovalništvo.</w:t>
      </w:r>
    </w:p>
    <w:p w14:paraId="42D432D8" w14:textId="77777777" w:rsidR="00367BA5" w:rsidRDefault="00367BA5" w:rsidP="00367BA5">
      <w:pPr>
        <w:shd w:val="clear" w:color="auto" w:fill="FFFFFF"/>
        <w:spacing w:line="240" w:lineRule="auto"/>
        <w:jc w:val="both"/>
        <w:rPr>
          <w:rFonts w:cs="Arial"/>
          <w:color w:val="292B2C"/>
          <w:szCs w:val="20"/>
          <w:lang w:eastAsia="sl-SI"/>
        </w:rPr>
      </w:pPr>
    </w:p>
    <w:p w14:paraId="13B5251E" w14:textId="17AC2A01" w:rsidR="00367BA5" w:rsidRPr="00367BA5" w:rsidRDefault="00367BA5" w:rsidP="00367BA5">
      <w:pPr>
        <w:shd w:val="clear" w:color="auto" w:fill="FFFFFF"/>
        <w:spacing w:line="240" w:lineRule="auto"/>
        <w:jc w:val="both"/>
        <w:rPr>
          <w:rFonts w:cs="Arial"/>
          <w:color w:val="292B2C"/>
          <w:szCs w:val="20"/>
          <w:lang w:eastAsia="sl-SI"/>
        </w:rPr>
      </w:pPr>
      <w:r w:rsidRPr="00367BA5">
        <w:rPr>
          <w:rFonts w:cs="Arial"/>
          <w:color w:val="292B2C"/>
          <w:szCs w:val="20"/>
          <w:lang w:eastAsia="sl-SI"/>
        </w:rPr>
        <w:t>(6) Iz premoženja iz 1. točke prvega odstavka tega člena se na kritni sklad Prvega pokojninskega sklada prenese sorazmerni del sredstev, ki ustreza čisti vrednosti premoženja, ki pripada polici v trenutku, ko imetnik police izpolni pogoje za pridobitev pravice do mesečne pokojninske rente.</w:t>
      </w:r>
    </w:p>
    <w:p w14:paraId="1DC6201E" w14:textId="77777777" w:rsidR="00367BA5" w:rsidRDefault="00367BA5" w:rsidP="00367BA5">
      <w:pPr>
        <w:shd w:val="clear" w:color="auto" w:fill="FFFFFF"/>
        <w:spacing w:line="240" w:lineRule="auto"/>
        <w:jc w:val="both"/>
        <w:rPr>
          <w:rFonts w:cs="Arial"/>
          <w:color w:val="292B2C"/>
          <w:szCs w:val="20"/>
          <w:lang w:eastAsia="sl-SI"/>
        </w:rPr>
      </w:pPr>
    </w:p>
    <w:p w14:paraId="275DB030" w14:textId="61AF5113" w:rsidR="00367BA5" w:rsidRPr="00367BA5" w:rsidRDefault="00367BA5" w:rsidP="00367BA5">
      <w:pPr>
        <w:shd w:val="clear" w:color="auto" w:fill="FFFFFF"/>
        <w:spacing w:line="240" w:lineRule="auto"/>
        <w:jc w:val="both"/>
        <w:rPr>
          <w:rFonts w:cs="Arial"/>
          <w:color w:val="292B2C"/>
          <w:szCs w:val="20"/>
          <w:lang w:eastAsia="sl-SI"/>
        </w:rPr>
      </w:pPr>
      <w:r w:rsidRPr="00367BA5">
        <w:rPr>
          <w:rFonts w:cs="Arial"/>
          <w:color w:val="292B2C"/>
          <w:szCs w:val="20"/>
          <w:lang w:eastAsia="sl-SI"/>
        </w:rPr>
        <w:t>(7) Ob prenosu sredstev na kritni sklad Prvega pokojninskega sklada, namenjenih za izplačilo pokojninskih rent, se obseg zahtevanega kritja lahko zagotovi s prenosom naložb Prvega pokojninskega sklada. Struktura naložb kritnega sklada po prenosu mora biti usklajena z določbami o naložbah kritnega sklada, kot jih predpisuje zakon, ki ureja zavarovalništvo.</w:t>
      </w:r>
    </w:p>
    <w:p w14:paraId="334DAA7B" w14:textId="77777777" w:rsidR="00BD2839" w:rsidRDefault="00BD2839" w:rsidP="00BD2839">
      <w:pPr>
        <w:shd w:val="clear" w:color="auto" w:fill="FFFFFF"/>
        <w:spacing w:line="240" w:lineRule="auto"/>
        <w:jc w:val="both"/>
        <w:rPr>
          <w:rFonts w:cs="Arial"/>
          <w:color w:val="292B2C"/>
          <w:szCs w:val="20"/>
          <w:lang w:eastAsia="sl-SI"/>
        </w:rPr>
      </w:pPr>
    </w:p>
    <w:p w14:paraId="503CF56E" w14:textId="5B1442A5" w:rsidR="00367BA5" w:rsidRPr="00367BA5" w:rsidRDefault="00367BA5" w:rsidP="00BD2839">
      <w:pPr>
        <w:shd w:val="clear" w:color="auto" w:fill="FFFFFF"/>
        <w:spacing w:line="240" w:lineRule="auto"/>
        <w:jc w:val="both"/>
        <w:rPr>
          <w:rFonts w:cs="Arial"/>
          <w:color w:val="292B2C"/>
          <w:szCs w:val="20"/>
          <w:lang w:eastAsia="sl-SI"/>
        </w:rPr>
      </w:pPr>
      <w:r w:rsidRPr="00367BA5">
        <w:rPr>
          <w:rFonts w:cs="Arial"/>
          <w:color w:val="292B2C"/>
          <w:szCs w:val="20"/>
          <w:lang w:eastAsia="sl-SI"/>
        </w:rPr>
        <w:t>(8) Ob prenosu na kritni sklad Prvega pokojninskega sklada mora vrednost prenesenega premoženja za posamezno polico ustrezati prvemu izračunu matematičnih rezervacij, oblikovanih skladno s 16. členom tega zakona in predpisom izdanim na podlagi 1. točke 22. člena tega zakona.</w:t>
      </w:r>
    </w:p>
    <w:p w14:paraId="0AF5F308" w14:textId="77777777" w:rsidR="00BD2839" w:rsidRDefault="00BD2839" w:rsidP="00BD2839">
      <w:pPr>
        <w:shd w:val="clear" w:color="auto" w:fill="FFFFFF"/>
        <w:spacing w:line="240" w:lineRule="auto"/>
        <w:jc w:val="both"/>
        <w:rPr>
          <w:rFonts w:cs="Arial"/>
          <w:color w:val="292B2C"/>
          <w:szCs w:val="20"/>
          <w:lang w:eastAsia="sl-SI"/>
        </w:rPr>
      </w:pPr>
    </w:p>
    <w:p w14:paraId="4DA06E8D" w14:textId="4591F1CC" w:rsidR="00367BA5" w:rsidRPr="00367BA5" w:rsidRDefault="00367BA5" w:rsidP="00BD2839">
      <w:pPr>
        <w:shd w:val="clear" w:color="auto" w:fill="FFFFFF"/>
        <w:spacing w:line="240" w:lineRule="auto"/>
        <w:jc w:val="both"/>
        <w:rPr>
          <w:rFonts w:cs="Arial"/>
          <w:color w:val="292B2C"/>
          <w:szCs w:val="20"/>
          <w:lang w:eastAsia="sl-SI"/>
        </w:rPr>
      </w:pPr>
      <w:r w:rsidRPr="00367BA5">
        <w:rPr>
          <w:rFonts w:cs="Arial"/>
          <w:color w:val="292B2C"/>
          <w:szCs w:val="20"/>
          <w:lang w:eastAsia="sl-SI"/>
        </w:rPr>
        <w:t>(9) Po oblikovanju kritnega sklada Prvega pokojninskega sklada mora Kapitalska družba, najkasneje v roku osmih let, naložbe premoženja Prvega pokojninskega sklada iz 1. točke prvega odstavka tega člena uskladiti z določbami o naložbah kritnega sklada, kot jih predpisuje zakon, ki ureja zavarovalništvo.</w:t>
      </w:r>
    </w:p>
    <w:p w14:paraId="0E7E3D95" w14:textId="77777777" w:rsidR="0095794A" w:rsidRDefault="0095794A" w:rsidP="00367BA5">
      <w:pPr>
        <w:spacing w:line="240" w:lineRule="auto"/>
        <w:rPr>
          <w:rFonts w:cs="Arial"/>
          <w:b/>
          <w:szCs w:val="20"/>
        </w:rPr>
      </w:pPr>
    </w:p>
    <w:p w14:paraId="5797BA15" w14:textId="77777777" w:rsidR="00BD2839" w:rsidRDefault="00BD2839" w:rsidP="00BD2839">
      <w:pPr>
        <w:shd w:val="clear" w:color="auto" w:fill="FFFFFF"/>
        <w:spacing w:line="240" w:lineRule="auto"/>
        <w:jc w:val="center"/>
        <w:rPr>
          <w:rFonts w:cs="Arial"/>
          <w:b/>
          <w:bCs/>
          <w:color w:val="292B2C"/>
          <w:szCs w:val="20"/>
          <w:lang w:eastAsia="sl-SI"/>
        </w:rPr>
      </w:pPr>
      <w:r w:rsidRPr="00BD2839">
        <w:rPr>
          <w:rFonts w:cs="Arial"/>
          <w:b/>
          <w:bCs/>
          <w:color w:val="292B2C"/>
          <w:szCs w:val="20"/>
          <w:lang w:eastAsia="sl-SI"/>
        </w:rPr>
        <w:t>Pravice iz police dodatnega pokojninskega zavarovanja Prvega pokojninskega sklada</w:t>
      </w:r>
    </w:p>
    <w:p w14:paraId="44BA5CB0" w14:textId="77777777" w:rsidR="00BD2839" w:rsidRPr="00BD2839" w:rsidRDefault="00BD2839" w:rsidP="00BD2839">
      <w:pPr>
        <w:shd w:val="clear" w:color="auto" w:fill="FFFFFF"/>
        <w:spacing w:line="240" w:lineRule="auto"/>
        <w:jc w:val="center"/>
        <w:rPr>
          <w:rFonts w:cs="Arial"/>
          <w:b/>
          <w:bCs/>
          <w:color w:val="292B2C"/>
          <w:szCs w:val="20"/>
          <w:lang w:eastAsia="sl-SI"/>
        </w:rPr>
      </w:pPr>
    </w:p>
    <w:p w14:paraId="72CAAF23" w14:textId="77777777" w:rsidR="00BD2839" w:rsidRDefault="00BD2839" w:rsidP="00BD2839">
      <w:pPr>
        <w:shd w:val="clear" w:color="auto" w:fill="FFFFFF"/>
        <w:spacing w:line="240" w:lineRule="auto"/>
        <w:jc w:val="center"/>
        <w:rPr>
          <w:rFonts w:cs="Arial"/>
          <w:b/>
          <w:bCs/>
          <w:color w:val="292B2C"/>
          <w:szCs w:val="20"/>
          <w:lang w:eastAsia="sl-SI"/>
        </w:rPr>
      </w:pPr>
      <w:r w:rsidRPr="00BD2839">
        <w:rPr>
          <w:rFonts w:cs="Arial"/>
          <w:b/>
          <w:bCs/>
          <w:color w:val="292B2C"/>
          <w:szCs w:val="20"/>
          <w:lang w:eastAsia="sl-SI"/>
        </w:rPr>
        <w:t>32. člen</w:t>
      </w:r>
    </w:p>
    <w:p w14:paraId="64ADC70D" w14:textId="77777777" w:rsidR="00BD2839" w:rsidRDefault="00BD2839" w:rsidP="00BD2839">
      <w:pPr>
        <w:shd w:val="clear" w:color="auto" w:fill="FFFFFF"/>
        <w:spacing w:line="240" w:lineRule="auto"/>
        <w:jc w:val="both"/>
        <w:rPr>
          <w:rFonts w:cs="Arial"/>
          <w:color w:val="292B2C"/>
          <w:szCs w:val="20"/>
          <w:lang w:eastAsia="sl-SI"/>
        </w:rPr>
      </w:pPr>
      <w:r w:rsidRPr="00BD2839">
        <w:rPr>
          <w:rFonts w:cs="Arial"/>
          <w:color w:val="292B2C"/>
          <w:szCs w:val="20"/>
          <w:lang w:eastAsia="sl-SI"/>
        </w:rPr>
        <w:t>(1) Polica dodatnega pokojninskega zavarovanja Prvega pokojninskega sklada je zavarovalna polica, pri kateri zavarovanec prevzema naložbeno tveganje z minimalnim 1% letnim donosom, za katerega jamči Kapitalski sklad (v nadaljnjem besedilu: zajamčeni donos).</w:t>
      </w:r>
    </w:p>
    <w:p w14:paraId="6F988FB7" w14:textId="77777777" w:rsidR="00BD2839" w:rsidRDefault="00BD2839" w:rsidP="00BD2839">
      <w:pPr>
        <w:shd w:val="clear" w:color="auto" w:fill="FFFFFF"/>
        <w:spacing w:line="240" w:lineRule="auto"/>
        <w:jc w:val="both"/>
        <w:rPr>
          <w:rFonts w:cs="Arial"/>
          <w:color w:val="292B2C"/>
          <w:szCs w:val="20"/>
          <w:lang w:eastAsia="sl-SI"/>
        </w:rPr>
      </w:pPr>
    </w:p>
    <w:p w14:paraId="79BA28F1" w14:textId="1B10D3C3" w:rsidR="00BD2839" w:rsidRDefault="00BD2839" w:rsidP="00BD2839">
      <w:pPr>
        <w:shd w:val="clear" w:color="auto" w:fill="FFFFFF"/>
        <w:spacing w:line="240" w:lineRule="auto"/>
        <w:jc w:val="both"/>
        <w:rPr>
          <w:rFonts w:cs="Arial"/>
          <w:color w:val="292B2C"/>
          <w:szCs w:val="20"/>
          <w:lang w:eastAsia="sl-SI"/>
        </w:rPr>
      </w:pPr>
      <w:r>
        <w:rPr>
          <w:rFonts w:cs="Arial"/>
          <w:color w:val="292B2C"/>
          <w:szCs w:val="20"/>
          <w:lang w:eastAsia="sl-SI"/>
        </w:rPr>
        <w:t>(</w:t>
      </w:r>
      <w:r w:rsidRPr="00BD2839">
        <w:rPr>
          <w:rFonts w:cs="Arial"/>
          <w:color w:val="292B2C"/>
          <w:szCs w:val="20"/>
          <w:lang w:eastAsia="sl-SI"/>
        </w:rPr>
        <w:t>2) Zajamčeni donos se izračuna tako, da se:</w:t>
      </w:r>
    </w:p>
    <w:p w14:paraId="6A9E29DE" w14:textId="77777777" w:rsidR="00BD2839" w:rsidRPr="00BD2839" w:rsidRDefault="00BD2839" w:rsidP="00BD2839">
      <w:pPr>
        <w:shd w:val="clear" w:color="auto" w:fill="FFFFFF"/>
        <w:spacing w:line="240" w:lineRule="auto"/>
        <w:jc w:val="both"/>
        <w:rPr>
          <w:rFonts w:cs="Arial"/>
          <w:color w:val="292B2C"/>
          <w:szCs w:val="20"/>
          <w:lang w:eastAsia="sl-SI"/>
        </w:rPr>
      </w:pPr>
    </w:p>
    <w:p w14:paraId="75C1A2FA" w14:textId="77777777" w:rsidR="00BD2839" w:rsidRPr="00BD2839" w:rsidRDefault="00BD2839" w:rsidP="00BD2839">
      <w:pPr>
        <w:shd w:val="clear" w:color="auto" w:fill="FFFFFF"/>
        <w:spacing w:line="240" w:lineRule="auto"/>
        <w:jc w:val="both"/>
        <w:rPr>
          <w:rFonts w:cs="Arial"/>
          <w:color w:val="292B2C"/>
          <w:szCs w:val="20"/>
          <w:lang w:eastAsia="sl-SI"/>
        </w:rPr>
      </w:pPr>
      <w:r w:rsidRPr="00BD2839">
        <w:rPr>
          <w:rFonts w:cs="Arial"/>
          <w:color w:val="292B2C"/>
          <w:szCs w:val="20"/>
          <w:lang w:eastAsia="sl-SI"/>
        </w:rPr>
        <w:t>1.     skupna nominalna vrednost lastniških certifikatov iz 9. člena tega zakona valorizira z indeksom drobnoprodajnih cen od 1. 1. 1993 do dneva uveljavitve tega zakona,</w:t>
      </w:r>
    </w:p>
    <w:p w14:paraId="209653B9" w14:textId="77777777" w:rsidR="00BD2839" w:rsidRPr="00BD2839" w:rsidRDefault="00BD2839" w:rsidP="00BD2839">
      <w:pPr>
        <w:shd w:val="clear" w:color="auto" w:fill="FFFFFF"/>
        <w:spacing w:line="240" w:lineRule="auto"/>
        <w:jc w:val="both"/>
        <w:rPr>
          <w:rFonts w:cs="Arial"/>
          <w:color w:val="292B2C"/>
          <w:szCs w:val="20"/>
          <w:lang w:eastAsia="sl-SI"/>
        </w:rPr>
      </w:pPr>
      <w:r w:rsidRPr="00BD2839">
        <w:rPr>
          <w:rFonts w:cs="Arial"/>
          <w:color w:val="292B2C"/>
          <w:szCs w:val="20"/>
          <w:lang w:eastAsia="sl-SI"/>
        </w:rPr>
        <w:lastRenderedPageBreak/>
        <w:t>2.     osnova, izračunana na način iz 1. točke se povečuje za nominalno 1% letno od uveljavitve tega zakona dalje.</w:t>
      </w:r>
    </w:p>
    <w:p w14:paraId="682E9CE5" w14:textId="77777777" w:rsidR="00BD2839" w:rsidRDefault="00BD2839" w:rsidP="00BD2839">
      <w:pPr>
        <w:shd w:val="clear" w:color="auto" w:fill="FFFFFF"/>
        <w:spacing w:line="240" w:lineRule="auto"/>
        <w:jc w:val="both"/>
        <w:rPr>
          <w:rFonts w:cs="Arial"/>
          <w:color w:val="292B2C"/>
          <w:szCs w:val="20"/>
          <w:lang w:eastAsia="sl-SI"/>
        </w:rPr>
      </w:pPr>
    </w:p>
    <w:p w14:paraId="4216A045" w14:textId="50B91A31" w:rsidR="00BD2839" w:rsidRPr="00BD2839" w:rsidRDefault="00BD2839" w:rsidP="00BD2839">
      <w:pPr>
        <w:shd w:val="clear" w:color="auto" w:fill="FFFFFF"/>
        <w:spacing w:line="240" w:lineRule="auto"/>
        <w:jc w:val="both"/>
        <w:rPr>
          <w:rFonts w:cs="Arial"/>
          <w:color w:val="292B2C"/>
          <w:szCs w:val="20"/>
          <w:lang w:eastAsia="sl-SI"/>
        </w:rPr>
      </w:pPr>
      <w:r w:rsidRPr="00BD2839">
        <w:rPr>
          <w:rFonts w:cs="Arial"/>
          <w:color w:val="292B2C"/>
          <w:szCs w:val="20"/>
          <w:lang w:eastAsia="sl-SI"/>
        </w:rPr>
        <w:t>(3) Polica dodatnega pokojninskega zavarovanja Prvega pokojninskega sklada daje naslednje pravice:</w:t>
      </w:r>
    </w:p>
    <w:p w14:paraId="790F5C84" w14:textId="77777777" w:rsidR="00BD2839" w:rsidRPr="00BD2839" w:rsidRDefault="00BD2839" w:rsidP="00BD2839">
      <w:pPr>
        <w:shd w:val="clear" w:color="auto" w:fill="FFFFFF"/>
        <w:spacing w:line="240" w:lineRule="auto"/>
        <w:jc w:val="both"/>
        <w:rPr>
          <w:rFonts w:cs="Arial"/>
          <w:color w:val="292B2C"/>
          <w:szCs w:val="20"/>
          <w:lang w:eastAsia="sl-SI"/>
        </w:rPr>
      </w:pPr>
      <w:r w:rsidRPr="00BD2839">
        <w:rPr>
          <w:rFonts w:cs="Arial"/>
          <w:color w:val="292B2C"/>
          <w:szCs w:val="20"/>
          <w:lang w:eastAsia="sl-SI"/>
        </w:rPr>
        <w:t>1.     zavarovanec, pridobi z dopolnjenim šestdesetim letom starosti pravico do mesečne pokojninske rente, katere višina se izračuna z uporabo ustreznih aktuarskih metod vrednotenja ob upoštevanju vrednosti enot premoženja Prvega pokojninskega sklada, ki jih predstavlja zavarovalna polica, in zajamčenega donosa.</w:t>
      </w:r>
    </w:p>
    <w:p w14:paraId="5D5D31E8" w14:textId="77777777" w:rsidR="00BD2839" w:rsidRPr="00BD2839" w:rsidRDefault="00BD2839" w:rsidP="00BD2839">
      <w:pPr>
        <w:shd w:val="clear" w:color="auto" w:fill="FFFFFF"/>
        <w:spacing w:line="240" w:lineRule="auto"/>
        <w:jc w:val="both"/>
        <w:rPr>
          <w:rFonts w:cs="Arial"/>
          <w:color w:val="292B2C"/>
          <w:szCs w:val="20"/>
          <w:lang w:eastAsia="sl-SI"/>
        </w:rPr>
      </w:pPr>
      <w:r w:rsidRPr="00BD2839">
        <w:rPr>
          <w:rFonts w:cs="Arial"/>
          <w:color w:val="292B2C"/>
          <w:szCs w:val="20"/>
          <w:lang w:eastAsia="sl-SI"/>
        </w:rPr>
        <w:t>2.     Ne glede na določbe prejšnje točke se lahko:</w:t>
      </w:r>
    </w:p>
    <w:p w14:paraId="5B507828" w14:textId="77777777" w:rsidR="00BD2839" w:rsidRPr="00BD2839" w:rsidRDefault="00BD2839" w:rsidP="00BD2839">
      <w:pPr>
        <w:shd w:val="clear" w:color="auto" w:fill="FFFFFF"/>
        <w:spacing w:line="240" w:lineRule="auto"/>
        <w:jc w:val="both"/>
        <w:rPr>
          <w:rFonts w:cs="Arial"/>
          <w:color w:val="292B2C"/>
          <w:szCs w:val="20"/>
          <w:lang w:eastAsia="sl-SI"/>
        </w:rPr>
      </w:pPr>
      <w:r w:rsidRPr="00BD2839">
        <w:rPr>
          <w:rFonts w:cs="Arial"/>
          <w:color w:val="292B2C"/>
          <w:szCs w:val="20"/>
          <w:lang w:eastAsia="sl-SI"/>
        </w:rPr>
        <w:t>-  zavarovancem, ki so imetniki 2000 ali manj točk police, izplača pokojninska renta v enkratnem znesku;</w:t>
      </w:r>
    </w:p>
    <w:p w14:paraId="391E7F6E" w14:textId="77777777" w:rsidR="00BD2839" w:rsidRPr="00BD2839" w:rsidRDefault="00BD2839" w:rsidP="00BD2839">
      <w:pPr>
        <w:shd w:val="clear" w:color="auto" w:fill="FFFFFF"/>
        <w:spacing w:line="240" w:lineRule="auto"/>
        <w:jc w:val="both"/>
        <w:rPr>
          <w:rFonts w:cs="Arial"/>
          <w:color w:val="292B2C"/>
          <w:szCs w:val="20"/>
          <w:lang w:eastAsia="sl-SI"/>
        </w:rPr>
      </w:pPr>
      <w:r w:rsidRPr="00BD2839">
        <w:rPr>
          <w:rFonts w:cs="Arial"/>
          <w:color w:val="292B2C"/>
          <w:szCs w:val="20"/>
          <w:lang w:eastAsia="sl-SI"/>
        </w:rPr>
        <w:t>-  zavarovancem, ki so imetniki nad 2000 in do 5000 točk police, izplača letna pokojninska renta.</w:t>
      </w:r>
    </w:p>
    <w:p w14:paraId="17DDE27C" w14:textId="77777777" w:rsidR="00BD2839" w:rsidRDefault="00BD2839" w:rsidP="00BD2839">
      <w:pPr>
        <w:shd w:val="clear" w:color="auto" w:fill="FFFFFF"/>
        <w:spacing w:line="240" w:lineRule="auto"/>
        <w:ind w:hanging="425"/>
        <w:jc w:val="both"/>
        <w:rPr>
          <w:rFonts w:cs="Arial"/>
          <w:color w:val="292B2C"/>
          <w:szCs w:val="20"/>
          <w:lang w:eastAsia="sl-SI"/>
        </w:rPr>
      </w:pPr>
    </w:p>
    <w:p w14:paraId="620B8430" w14:textId="5F45E7E3" w:rsidR="00BD2839" w:rsidRPr="00BD2839" w:rsidRDefault="00BD2839" w:rsidP="00BD2839">
      <w:pPr>
        <w:shd w:val="clear" w:color="auto" w:fill="FFFFFF"/>
        <w:spacing w:line="240" w:lineRule="auto"/>
        <w:jc w:val="both"/>
        <w:rPr>
          <w:rFonts w:cs="Arial"/>
          <w:color w:val="292B2C"/>
          <w:szCs w:val="20"/>
          <w:lang w:eastAsia="sl-SI"/>
        </w:rPr>
      </w:pPr>
      <w:r w:rsidRPr="00BD2839">
        <w:rPr>
          <w:rFonts w:cs="Arial"/>
          <w:color w:val="292B2C"/>
          <w:szCs w:val="20"/>
          <w:lang w:eastAsia="sl-SI"/>
        </w:rPr>
        <w:t>Kapitalska družba mora zavarovance predhodno pisno obvestiti o spremenjenem načinu izplačila. Kolikor v roku 15 dni po prejemu obvestila zavarovanec temu pisno ne nasprotuje, Kapitalska družba lahko prične izvrševati izplačila, na način določen v tej točki.</w:t>
      </w:r>
    </w:p>
    <w:p w14:paraId="6EDB0E7C" w14:textId="77777777" w:rsidR="00BD2839" w:rsidRPr="00BD2839" w:rsidRDefault="00BD2839" w:rsidP="00BD2839">
      <w:pPr>
        <w:shd w:val="clear" w:color="auto" w:fill="FFFFFF"/>
        <w:spacing w:line="240" w:lineRule="auto"/>
        <w:jc w:val="both"/>
        <w:rPr>
          <w:rFonts w:cs="Arial"/>
          <w:color w:val="292B2C"/>
          <w:szCs w:val="20"/>
          <w:lang w:eastAsia="sl-SI"/>
        </w:rPr>
      </w:pPr>
      <w:r w:rsidRPr="00BD2839">
        <w:rPr>
          <w:rFonts w:cs="Arial"/>
          <w:color w:val="292B2C"/>
          <w:szCs w:val="20"/>
          <w:lang w:eastAsia="sl-SI"/>
        </w:rPr>
        <w:t>3.     zavarovanec nima pravice zahtevati izplačila odkupne vrednosti police,</w:t>
      </w:r>
    </w:p>
    <w:p w14:paraId="64C79E36" w14:textId="77777777" w:rsidR="00BD2839" w:rsidRPr="00BD2839" w:rsidRDefault="00BD2839" w:rsidP="00BD2839">
      <w:pPr>
        <w:shd w:val="clear" w:color="auto" w:fill="FFFFFF"/>
        <w:spacing w:line="240" w:lineRule="auto"/>
        <w:jc w:val="both"/>
        <w:rPr>
          <w:rFonts w:cs="Arial"/>
          <w:color w:val="292B2C"/>
          <w:szCs w:val="20"/>
          <w:lang w:eastAsia="sl-SI"/>
        </w:rPr>
      </w:pPr>
      <w:r w:rsidRPr="00BD2839">
        <w:rPr>
          <w:rFonts w:cs="Arial"/>
          <w:color w:val="292B2C"/>
          <w:szCs w:val="20"/>
          <w:lang w:eastAsia="sl-SI"/>
        </w:rPr>
        <w:t>4.     če zavarovanec umre preden pridobi pravico do pokojninske rente, pripada pravica do zavarovalne vsote v višini odkupne vrednosti police njegovi zapuščini in preide kot del njegove zapuščine na njegove dediče.</w:t>
      </w:r>
    </w:p>
    <w:p w14:paraId="44332C61" w14:textId="77777777" w:rsidR="00BD2839" w:rsidRDefault="00BD2839" w:rsidP="00BD2839">
      <w:pPr>
        <w:shd w:val="clear" w:color="auto" w:fill="FFFFFF"/>
        <w:spacing w:line="240" w:lineRule="auto"/>
        <w:jc w:val="both"/>
        <w:rPr>
          <w:rFonts w:cs="Arial"/>
          <w:color w:val="292B2C"/>
          <w:szCs w:val="20"/>
          <w:lang w:eastAsia="sl-SI"/>
        </w:rPr>
      </w:pPr>
    </w:p>
    <w:p w14:paraId="590D5E80" w14:textId="36465B8E" w:rsidR="00BD2839" w:rsidRPr="00BD2839" w:rsidRDefault="00BD2839" w:rsidP="00BD2839">
      <w:pPr>
        <w:shd w:val="clear" w:color="auto" w:fill="FFFFFF"/>
        <w:spacing w:line="240" w:lineRule="auto"/>
        <w:jc w:val="both"/>
        <w:rPr>
          <w:rFonts w:cs="Arial"/>
          <w:color w:val="292B2C"/>
          <w:szCs w:val="20"/>
          <w:lang w:eastAsia="sl-SI"/>
        </w:rPr>
      </w:pPr>
      <w:r w:rsidRPr="00BD2839">
        <w:rPr>
          <w:rFonts w:cs="Arial"/>
          <w:color w:val="292B2C"/>
          <w:szCs w:val="20"/>
          <w:lang w:eastAsia="sl-SI"/>
        </w:rPr>
        <w:t>(4) Izplačilo pokojninske rente je obdavčeno enako kot izplačilo zavarovalnih vsot iz življenjskega zavarovanja. </w:t>
      </w:r>
      <w:hyperlink r:id="rId16" w:history="1">
        <w:r w:rsidRPr="00BD2839">
          <w:rPr>
            <w:rFonts w:cs="Arial"/>
            <w:b/>
            <w:bCs/>
            <w:color w:val="3E7C94"/>
            <w:szCs w:val="20"/>
            <w:u w:val="single"/>
            <w:lang w:eastAsia="sl-SI"/>
          </w:rPr>
          <w:t>(se preneha uporabljati)</w:t>
        </w:r>
      </w:hyperlink>
    </w:p>
    <w:p w14:paraId="2C3EB55D" w14:textId="77777777" w:rsidR="00BD2839" w:rsidRDefault="00BD2839" w:rsidP="00BD2839">
      <w:pPr>
        <w:shd w:val="clear" w:color="auto" w:fill="FFFFFF"/>
        <w:spacing w:line="240" w:lineRule="auto"/>
        <w:jc w:val="both"/>
        <w:rPr>
          <w:rFonts w:cs="Arial"/>
          <w:color w:val="292B2C"/>
          <w:szCs w:val="20"/>
          <w:lang w:eastAsia="sl-SI"/>
        </w:rPr>
      </w:pPr>
    </w:p>
    <w:p w14:paraId="70EF2904" w14:textId="7A3A5E40" w:rsidR="00BD2839" w:rsidRPr="00BD2839" w:rsidRDefault="00BD2839" w:rsidP="00BD2839">
      <w:pPr>
        <w:shd w:val="clear" w:color="auto" w:fill="FFFFFF"/>
        <w:spacing w:line="240" w:lineRule="auto"/>
        <w:jc w:val="both"/>
        <w:rPr>
          <w:rFonts w:cs="Arial"/>
          <w:color w:val="292B2C"/>
          <w:szCs w:val="20"/>
          <w:lang w:eastAsia="sl-SI"/>
        </w:rPr>
      </w:pPr>
      <w:r w:rsidRPr="00BD2839">
        <w:rPr>
          <w:rFonts w:cs="Arial"/>
          <w:color w:val="292B2C"/>
          <w:szCs w:val="20"/>
          <w:lang w:eastAsia="sl-SI"/>
        </w:rPr>
        <w:t>(5) Ne glede na določbo 1. točke tretjega odstavka tega člena pridobi zavarovanec, ki je bil ob uveljavitvi tega zakona starejši od 55 let pravico do pokojninske rente z iztekom petih let od uveljavitve tega zakona.</w:t>
      </w:r>
    </w:p>
    <w:p w14:paraId="7CD024A1" w14:textId="77777777" w:rsidR="00BD2839" w:rsidRDefault="00BD2839" w:rsidP="00BD2839">
      <w:pPr>
        <w:shd w:val="clear" w:color="auto" w:fill="FFFFFF"/>
        <w:spacing w:line="240" w:lineRule="auto"/>
        <w:jc w:val="both"/>
        <w:rPr>
          <w:rFonts w:cs="Arial"/>
          <w:color w:val="292B2C"/>
          <w:szCs w:val="20"/>
          <w:lang w:eastAsia="sl-SI"/>
        </w:rPr>
      </w:pPr>
    </w:p>
    <w:p w14:paraId="22057A76" w14:textId="7CC06ADA" w:rsidR="00BD2839" w:rsidRPr="00BD2839" w:rsidRDefault="00BD2839" w:rsidP="00BD2839">
      <w:pPr>
        <w:shd w:val="clear" w:color="auto" w:fill="FFFFFF"/>
        <w:spacing w:line="240" w:lineRule="auto"/>
        <w:jc w:val="both"/>
        <w:rPr>
          <w:rFonts w:cs="Arial"/>
          <w:color w:val="292B2C"/>
          <w:szCs w:val="20"/>
          <w:lang w:eastAsia="sl-SI"/>
        </w:rPr>
      </w:pPr>
      <w:r w:rsidRPr="00BD2839">
        <w:rPr>
          <w:rFonts w:cs="Arial"/>
          <w:color w:val="292B2C"/>
          <w:szCs w:val="20"/>
          <w:lang w:eastAsia="sl-SI"/>
        </w:rPr>
        <w:t>(6) Za vodenje in vzdrževanje podatkovnih zbirk o zavarovancih Prvega pokojninskega sklada se osebni podatki za namene opravljanja nalog iz 4. točke drugega odstavka 15. člena tega zakona, zlasti podatki iz naslednjega odstavka, zbirajo neposredno od posameznika, na katerega se nanašajo.</w:t>
      </w:r>
    </w:p>
    <w:p w14:paraId="7DBDDA91" w14:textId="77777777" w:rsidR="00BD2839" w:rsidRDefault="00BD2839" w:rsidP="00BD2839">
      <w:pPr>
        <w:shd w:val="clear" w:color="auto" w:fill="FFFFFF"/>
        <w:spacing w:line="240" w:lineRule="auto"/>
        <w:jc w:val="both"/>
        <w:rPr>
          <w:rFonts w:cs="Arial"/>
          <w:color w:val="292B2C"/>
          <w:szCs w:val="20"/>
          <w:lang w:eastAsia="sl-SI"/>
        </w:rPr>
      </w:pPr>
    </w:p>
    <w:p w14:paraId="4737CC05" w14:textId="581A2302" w:rsidR="00BD2839" w:rsidRPr="00BD2839" w:rsidRDefault="00BD2839" w:rsidP="00BD2839">
      <w:pPr>
        <w:shd w:val="clear" w:color="auto" w:fill="FFFFFF"/>
        <w:spacing w:line="240" w:lineRule="auto"/>
        <w:jc w:val="both"/>
        <w:rPr>
          <w:rFonts w:cs="Arial"/>
          <w:color w:val="292B2C"/>
          <w:szCs w:val="20"/>
          <w:lang w:eastAsia="sl-SI"/>
        </w:rPr>
      </w:pPr>
      <w:r w:rsidRPr="00BD2839">
        <w:rPr>
          <w:rFonts w:cs="Arial"/>
          <w:color w:val="292B2C"/>
          <w:szCs w:val="20"/>
          <w:lang w:eastAsia="sl-SI"/>
        </w:rPr>
        <w:t xml:space="preserve">(7) Ne glede na prejšnji odstavek lahko, v primeru </w:t>
      </w:r>
      <w:proofErr w:type="spellStart"/>
      <w:r w:rsidRPr="00BD2839">
        <w:rPr>
          <w:rFonts w:cs="Arial"/>
          <w:color w:val="292B2C"/>
          <w:szCs w:val="20"/>
          <w:lang w:eastAsia="sl-SI"/>
        </w:rPr>
        <w:t>nepridobitve</w:t>
      </w:r>
      <w:proofErr w:type="spellEnd"/>
      <w:r w:rsidRPr="00BD2839">
        <w:rPr>
          <w:rFonts w:cs="Arial"/>
          <w:color w:val="292B2C"/>
          <w:szCs w:val="20"/>
          <w:lang w:eastAsia="sl-SI"/>
        </w:rPr>
        <w:t xml:space="preserve"> podatkov oziroma pridobitve nepopolnih podatkov, Kapitalska družba za namene opravljanja nalog iz 4. točke drugega odstavka 15. člena tega zakona na podlagi pisne zahteve pridobi o zavarovancih Prvega pokojninskega sklada iz Centralnega registra prebivalstva naslednje podatke: enotno matično številko občana, kraj rojstva, osebno ime, naslov stalnega ali začasnega prebivališča, državljanstvo, spol, datum rojstva ter datume in podatke o dogodkih, spremembah ali popravkih v Centralnem registru prebivalstva o zavarovancu. Kapitalska družba lahko podatke, ki jih pridobi na podlagi prejšnjega stavka, uporablja zgolj za namen, za katerega so bili podatki pridobljeni.</w:t>
      </w:r>
    </w:p>
    <w:p w14:paraId="25AA053F" w14:textId="77777777" w:rsidR="00BD2839" w:rsidRDefault="00BD2839" w:rsidP="00BD2839">
      <w:pPr>
        <w:shd w:val="clear" w:color="auto" w:fill="FFFFFF"/>
        <w:spacing w:line="240" w:lineRule="auto"/>
        <w:jc w:val="both"/>
        <w:rPr>
          <w:rFonts w:cs="Arial"/>
          <w:color w:val="292B2C"/>
          <w:szCs w:val="20"/>
          <w:lang w:eastAsia="sl-SI"/>
        </w:rPr>
      </w:pPr>
    </w:p>
    <w:p w14:paraId="429ABCC6" w14:textId="7776DA85" w:rsidR="00BD2839" w:rsidRPr="00BD2839" w:rsidRDefault="00BD2839" w:rsidP="00BD2839">
      <w:pPr>
        <w:shd w:val="clear" w:color="auto" w:fill="FFFFFF"/>
        <w:spacing w:line="240" w:lineRule="auto"/>
        <w:jc w:val="both"/>
        <w:rPr>
          <w:rFonts w:cs="Arial"/>
          <w:color w:val="292B2C"/>
          <w:szCs w:val="20"/>
          <w:lang w:eastAsia="sl-SI"/>
        </w:rPr>
      </w:pPr>
      <w:r w:rsidRPr="00BD2839">
        <w:rPr>
          <w:rFonts w:cs="Arial"/>
          <w:color w:val="292B2C"/>
          <w:szCs w:val="20"/>
          <w:lang w:eastAsia="sl-SI"/>
        </w:rPr>
        <w:t>(8) Podatki iz šestega in sedmega odstavka tega člena se hranijo trajno.</w:t>
      </w:r>
    </w:p>
    <w:p w14:paraId="128995F9" w14:textId="77777777" w:rsidR="00BD2839" w:rsidRDefault="00BD2839" w:rsidP="00BD2839">
      <w:pPr>
        <w:shd w:val="clear" w:color="auto" w:fill="FFFFFF"/>
        <w:spacing w:line="240" w:lineRule="auto"/>
        <w:jc w:val="both"/>
        <w:rPr>
          <w:rFonts w:cs="Arial"/>
          <w:color w:val="292B2C"/>
          <w:szCs w:val="20"/>
          <w:lang w:eastAsia="sl-SI"/>
        </w:rPr>
      </w:pPr>
    </w:p>
    <w:p w14:paraId="4548D36B" w14:textId="06980F24" w:rsidR="00BD2839" w:rsidRPr="00BD2839" w:rsidRDefault="00BD2839" w:rsidP="00BD2839">
      <w:pPr>
        <w:shd w:val="clear" w:color="auto" w:fill="FFFFFF"/>
        <w:spacing w:line="240" w:lineRule="auto"/>
        <w:jc w:val="both"/>
        <w:rPr>
          <w:rFonts w:cs="Arial"/>
          <w:color w:val="292B2C"/>
          <w:szCs w:val="20"/>
          <w:lang w:eastAsia="sl-SI"/>
        </w:rPr>
      </w:pPr>
      <w:r w:rsidRPr="00BD2839">
        <w:rPr>
          <w:rFonts w:cs="Arial"/>
          <w:color w:val="292B2C"/>
          <w:szCs w:val="20"/>
          <w:lang w:eastAsia="sl-SI"/>
        </w:rPr>
        <w:t>(9) Če premoženje Prvega pokojninskega sklada ne zadošča za izplačilo zajamčenega donosa in tega izplačila tudi ni mogoče zagotoviti iz premoženja Kapitalskega sklada, jamči za izplačilo pravic iz police dodatnega pokojninskega zavarovanja Prvega pokojninskega sklada Republika Slovenija.</w:t>
      </w:r>
    </w:p>
    <w:p w14:paraId="7E52BD4D" w14:textId="77777777" w:rsidR="00BD2839" w:rsidRDefault="00BD2839" w:rsidP="00367BA5">
      <w:pPr>
        <w:spacing w:line="240" w:lineRule="auto"/>
        <w:rPr>
          <w:rFonts w:cs="Arial"/>
          <w:b/>
          <w:szCs w:val="20"/>
        </w:rPr>
      </w:pPr>
    </w:p>
    <w:p w14:paraId="41FD113F" w14:textId="77777777" w:rsidR="0095794A" w:rsidRDefault="0095794A" w:rsidP="0095794A">
      <w:pPr>
        <w:spacing w:line="240" w:lineRule="auto"/>
        <w:ind w:left="1080" w:hanging="720"/>
        <w:rPr>
          <w:rFonts w:cs="Arial"/>
          <w:b/>
          <w:szCs w:val="20"/>
        </w:rPr>
      </w:pPr>
    </w:p>
    <w:p w14:paraId="15590EE9" w14:textId="1C0D36D4" w:rsidR="008E0F84" w:rsidRPr="006C2809" w:rsidRDefault="0095794A" w:rsidP="00C44CDB">
      <w:pPr>
        <w:spacing w:line="240" w:lineRule="auto"/>
        <w:rPr>
          <w:rFonts w:cs="Arial"/>
          <w:b/>
          <w:szCs w:val="20"/>
        </w:rPr>
      </w:pPr>
      <w:r>
        <w:rPr>
          <w:rFonts w:cs="Arial"/>
          <w:b/>
          <w:szCs w:val="20"/>
        </w:rPr>
        <w:t xml:space="preserve">V. </w:t>
      </w:r>
      <w:r w:rsidR="008E0F84" w:rsidRPr="006C2809">
        <w:rPr>
          <w:rFonts w:cs="Arial"/>
          <w:b/>
          <w:szCs w:val="20"/>
        </w:rPr>
        <w:t>PRILOGE:</w:t>
      </w:r>
    </w:p>
    <w:p w14:paraId="149DC5A8" w14:textId="77777777" w:rsidR="008E0F84" w:rsidRPr="006C2809" w:rsidRDefault="008E0F84" w:rsidP="008E0F84">
      <w:pPr>
        <w:rPr>
          <w:rFonts w:cs="Arial"/>
          <w:szCs w:val="20"/>
        </w:rPr>
      </w:pPr>
    </w:p>
    <w:p w14:paraId="03B47CAD" w14:textId="77777777" w:rsidR="008E0F84" w:rsidRPr="00BE5DA3" w:rsidRDefault="008E0F84" w:rsidP="008E0F84">
      <w:pPr>
        <w:rPr>
          <w:rFonts w:cs="Arial"/>
          <w:b/>
          <w:szCs w:val="20"/>
        </w:rPr>
      </w:pPr>
      <w:r w:rsidRPr="006C2809">
        <w:rPr>
          <w:rFonts w:cs="Arial"/>
          <w:b/>
          <w:szCs w:val="20"/>
        </w:rPr>
        <w:t>/</w:t>
      </w:r>
    </w:p>
    <w:p w14:paraId="3E1FA6A1" w14:textId="77777777" w:rsidR="008E0F84" w:rsidRPr="00457816" w:rsidRDefault="008E0F84" w:rsidP="008E0F84">
      <w:pPr>
        <w:spacing w:line="240" w:lineRule="auto"/>
        <w:jc w:val="both"/>
        <w:rPr>
          <w:rFonts w:cs="Arial"/>
          <w:b/>
          <w:szCs w:val="20"/>
        </w:rPr>
      </w:pPr>
    </w:p>
    <w:bookmarkEnd w:id="0"/>
    <w:p w14:paraId="5F4847A7" w14:textId="77777777" w:rsidR="00A14B9B" w:rsidRPr="00457816" w:rsidRDefault="00A14B9B" w:rsidP="00A40F77">
      <w:pPr>
        <w:spacing w:line="240" w:lineRule="auto"/>
        <w:ind w:left="1080" w:hanging="720"/>
        <w:rPr>
          <w:rFonts w:cs="Arial"/>
          <w:szCs w:val="20"/>
        </w:rPr>
      </w:pPr>
    </w:p>
    <w:sectPr w:rsidR="00A14B9B" w:rsidRPr="00457816" w:rsidSect="00A1390B">
      <w:head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7C5FB" w14:textId="77777777" w:rsidR="00CA09EF" w:rsidRDefault="00CA09EF" w:rsidP="008C2741">
      <w:pPr>
        <w:spacing w:line="240" w:lineRule="auto"/>
      </w:pPr>
      <w:r>
        <w:separator/>
      </w:r>
    </w:p>
  </w:endnote>
  <w:endnote w:type="continuationSeparator" w:id="0">
    <w:p w14:paraId="6E9B7254" w14:textId="77777777" w:rsidR="00CA09EF" w:rsidRDefault="00CA09EF" w:rsidP="008C27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EU Albertina">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F9770" w14:textId="77777777" w:rsidR="00CA09EF" w:rsidRDefault="00CA09EF" w:rsidP="008C2741">
      <w:pPr>
        <w:spacing w:line="240" w:lineRule="auto"/>
      </w:pPr>
      <w:r>
        <w:separator/>
      </w:r>
    </w:p>
  </w:footnote>
  <w:footnote w:type="continuationSeparator" w:id="0">
    <w:p w14:paraId="17D20AED" w14:textId="77777777" w:rsidR="00CA09EF" w:rsidRDefault="00CA09EF" w:rsidP="008C2741">
      <w:pPr>
        <w:spacing w:line="240" w:lineRule="auto"/>
      </w:pPr>
      <w:r>
        <w:continuationSeparator/>
      </w:r>
    </w:p>
  </w:footnote>
  <w:footnote w:id="1">
    <w:p w14:paraId="234CA138" w14:textId="5E3499D2" w:rsidR="00CA09EF" w:rsidRPr="00422AE5" w:rsidRDefault="00CA09EF" w:rsidP="00191170">
      <w:pPr>
        <w:pStyle w:val="Sprotnaopomba-besedilo"/>
        <w:rPr>
          <w:rFonts w:ascii="Arial" w:hAnsi="Arial" w:cs="Arial"/>
          <w:sz w:val="18"/>
          <w:szCs w:val="18"/>
        </w:rPr>
      </w:pPr>
      <w:r>
        <w:rPr>
          <w:rStyle w:val="Sprotnaopomba-sklic"/>
        </w:rPr>
        <w:footnoteRef/>
      </w:r>
      <w:r>
        <w:t xml:space="preserve">  </w:t>
      </w:r>
      <w:r w:rsidRPr="00422AE5">
        <w:rPr>
          <w:rFonts w:ascii="Arial" w:hAnsi="Arial" w:cs="Arial"/>
          <w:sz w:val="18"/>
          <w:szCs w:val="18"/>
        </w:rPr>
        <w:t>Od začetka izračunavanja zajamčene vrednosti sredstev 31.</w:t>
      </w:r>
      <w:r>
        <w:rPr>
          <w:rFonts w:ascii="Arial" w:hAnsi="Arial" w:cs="Arial"/>
          <w:sz w:val="18"/>
          <w:szCs w:val="18"/>
        </w:rPr>
        <w:t xml:space="preserve"> </w:t>
      </w:r>
      <w:r w:rsidRPr="00422AE5">
        <w:rPr>
          <w:rFonts w:ascii="Arial" w:hAnsi="Arial" w:cs="Arial"/>
          <w:sz w:val="18"/>
          <w:szCs w:val="18"/>
        </w:rPr>
        <w:t>7.</w:t>
      </w:r>
      <w:r>
        <w:rPr>
          <w:rFonts w:ascii="Arial" w:hAnsi="Arial" w:cs="Arial"/>
          <w:sz w:val="18"/>
          <w:szCs w:val="18"/>
        </w:rPr>
        <w:t xml:space="preserve"> </w:t>
      </w:r>
      <w:r w:rsidRPr="00422AE5">
        <w:rPr>
          <w:rFonts w:ascii="Arial" w:hAnsi="Arial" w:cs="Arial"/>
          <w:sz w:val="18"/>
          <w:szCs w:val="18"/>
        </w:rPr>
        <w:t>1999 do konca februarja 2025 je zajamčena vrednost sredstev narastla za 29,0</w:t>
      </w:r>
      <w:r>
        <w:rPr>
          <w:rFonts w:ascii="Arial" w:hAnsi="Arial" w:cs="Arial"/>
          <w:sz w:val="18"/>
          <w:szCs w:val="18"/>
        </w:rPr>
        <w:t xml:space="preserve"> </w:t>
      </w:r>
      <w:r w:rsidRPr="00422AE5">
        <w:rPr>
          <w:rFonts w:ascii="Arial" w:hAnsi="Arial" w:cs="Arial"/>
          <w:sz w:val="18"/>
          <w:szCs w:val="18"/>
        </w:rPr>
        <w:t>%, inflacija v tem obdobju pa je znašala 124,6</w:t>
      </w:r>
      <w:r>
        <w:rPr>
          <w:rFonts w:ascii="Arial" w:hAnsi="Arial" w:cs="Arial"/>
          <w:sz w:val="18"/>
          <w:szCs w:val="18"/>
        </w:rPr>
        <w:t xml:space="preserve"> </w:t>
      </w:r>
      <w:r w:rsidRPr="00422AE5">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2BB8" w14:textId="77777777" w:rsidR="00CA09EF" w:rsidRDefault="00CA09EF" w:rsidP="00A1390B">
    <w:pPr>
      <w:tabs>
        <w:tab w:val="left" w:pos="5112"/>
      </w:tabs>
      <w:spacing w:before="120" w:line="240" w:lineRule="exact"/>
      <w:rPr>
        <w:rFonts w:cs="Arial"/>
        <w:sz w:val="16"/>
        <w:lang w:val="it-IT"/>
      </w:rPr>
    </w:pPr>
    <w:bookmarkStart w:id="19" w:name="_Hlk89427742"/>
    <w:r w:rsidRPr="00A1390B">
      <w:rPr>
        <w:noProof/>
        <w:lang w:eastAsia="sl-SI"/>
      </w:rPr>
      <w:drawing>
        <wp:anchor distT="0" distB="0" distL="114300" distR="114300" simplePos="0" relativeHeight="251659264" behindDoc="0" locked="0" layoutInCell="1" allowOverlap="1" wp14:anchorId="3030665F" wp14:editId="4BD4234D">
          <wp:simplePos x="0" y="0"/>
          <wp:positionH relativeFrom="page">
            <wp:align>left</wp:align>
          </wp:positionH>
          <wp:positionV relativeFrom="page">
            <wp:align>top</wp:align>
          </wp:positionV>
          <wp:extent cx="4755198" cy="1069675"/>
          <wp:effectExtent l="0" t="0" r="7620" b="0"/>
          <wp:wrapSquare wrapText="bothSides"/>
          <wp:docPr id="1" name="Slika 20"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descr="00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5198" cy="1069675"/>
                  </a:xfrm>
                  <a:prstGeom prst="rect">
                    <a:avLst/>
                  </a:prstGeom>
                  <a:noFill/>
                  <a:ln>
                    <a:noFill/>
                  </a:ln>
                </pic:spPr>
              </pic:pic>
            </a:graphicData>
          </a:graphic>
        </wp:anchor>
      </w:drawing>
    </w:r>
  </w:p>
  <w:p w14:paraId="36461413" w14:textId="77777777" w:rsidR="00CA09EF" w:rsidRDefault="00CA09EF" w:rsidP="00A1390B">
    <w:pPr>
      <w:tabs>
        <w:tab w:val="left" w:pos="5112"/>
      </w:tabs>
      <w:spacing w:before="120" w:line="240" w:lineRule="exact"/>
      <w:rPr>
        <w:rFonts w:cs="Arial"/>
        <w:sz w:val="16"/>
        <w:lang w:val="it-IT"/>
      </w:rPr>
    </w:pPr>
  </w:p>
  <w:p w14:paraId="397CFBC3" w14:textId="77777777" w:rsidR="00CA09EF" w:rsidRDefault="00CA09EF" w:rsidP="00A1390B">
    <w:pPr>
      <w:tabs>
        <w:tab w:val="left" w:pos="5112"/>
      </w:tabs>
      <w:spacing w:before="120" w:line="240" w:lineRule="exact"/>
      <w:rPr>
        <w:rFonts w:cs="Arial"/>
        <w:sz w:val="16"/>
        <w:lang w:val="it-IT"/>
      </w:rPr>
    </w:pPr>
  </w:p>
  <w:p w14:paraId="0AD34009" w14:textId="77777777" w:rsidR="00CA09EF" w:rsidRPr="00A1390B" w:rsidRDefault="00CA09EF" w:rsidP="00A1390B">
    <w:pPr>
      <w:tabs>
        <w:tab w:val="left" w:pos="5112"/>
      </w:tabs>
      <w:spacing w:before="120" w:line="240" w:lineRule="exact"/>
      <w:rPr>
        <w:rFonts w:cs="Arial"/>
        <w:sz w:val="16"/>
        <w:lang w:val="it-IT"/>
      </w:rPr>
    </w:pPr>
    <w:proofErr w:type="spellStart"/>
    <w:r w:rsidRPr="00A1390B">
      <w:rPr>
        <w:rFonts w:cs="Arial"/>
        <w:sz w:val="16"/>
        <w:lang w:val="it-IT"/>
      </w:rPr>
      <w:t>Župančičeva</w:t>
    </w:r>
    <w:proofErr w:type="spellEnd"/>
    <w:r w:rsidRPr="00A1390B">
      <w:rPr>
        <w:rFonts w:cs="Arial"/>
        <w:sz w:val="16"/>
        <w:lang w:val="it-IT"/>
      </w:rPr>
      <w:t xml:space="preserve"> </w:t>
    </w:r>
    <w:proofErr w:type="spellStart"/>
    <w:r w:rsidRPr="00A1390B">
      <w:rPr>
        <w:rFonts w:cs="Arial"/>
        <w:sz w:val="16"/>
        <w:lang w:val="it-IT"/>
      </w:rPr>
      <w:t>ulica</w:t>
    </w:r>
    <w:proofErr w:type="spellEnd"/>
    <w:r w:rsidRPr="00A1390B">
      <w:rPr>
        <w:rFonts w:cs="Arial"/>
        <w:sz w:val="16"/>
        <w:lang w:val="it-IT"/>
      </w:rPr>
      <w:t xml:space="preserve"> 3, p.</w:t>
    </w:r>
    <w:r>
      <w:rPr>
        <w:rFonts w:cs="Arial"/>
        <w:sz w:val="16"/>
        <w:lang w:val="it-IT"/>
      </w:rPr>
      <w:t> </w:t>
    </w:r>
    <w:r w:rsidRPr="00A1390B">
      <w:rPr>
        <w:rFonts w:cs="Arial"/>
        <w:sz w:val="16"/>
        <w:lang w:val="it-IT"/>
      </w:rPr>
      <w:t xml:space="preserve">p. </w:t>
    </w:r>
    <w:proofErr w:type="gramStart"/>
    <w:r w:rsidRPr="00A1390B">
      <w:rPr>
        <w:rFonts w:cs="Arial"/>
        <w:sz w:val="16"/>
        <w:lang w:val="it-IT"/>
      </w:rPr>
      <w:t>644a</w:t>
    </w:r>
    <w:proofErr w:type="gramEnd"/>
    <w:r w:rsidRPr="00A1390B">
      <w:rPr>
        <w:rFonts w:cs="Arial"/>
        <w:sz w:val="16"/>
        <w:lang w:val="it-IT"/>
      </w:rPr>
      <w:t xml:space="preserve">, 1001 </w:t>
    </w:r>
    <w:proofErr w:type="spellStart"/>
    <w:r w:rsidRPr="00A1390B">
      <w:rPr>
        <w:rFonts w:cs="Arial"/>
        <w:sz w:val="16"/>
        <w:lang w:val="it-IT"/>
      </w:rPr>
      <w:t>Ljubljana</w:t>
    </w:r>
    <w:proofErr w:type="spellEnd"/>
    <w:r w:rsidRPr="00A1390B">
      <w:rPr>
        <w:rFonts w:cs="Arial"/>
        <w:sz w:val="16"/>
        <w:lang w:val="it-IT"/>
      </w:rPr>
      <w:tab/>
      <w:t>T: 369 6600</w:t>
    </w:r>
  </w:p>
  <w:p w14:paraId="654C44BA" w14:textId="1F4F0C79" w:rsidR="00CA09EF" w:rsidRPr="00A1390B" w:rsidRDefault="00CA09EF" w:rsidP="00A1390B">
    <w:pPr>
      <w:tabs>
        <w:tab w:val="left" w:pos="5112"/>
      </w:tabs>
      <w:spacing w:line="240" w:lineRule="exact"/>
      <w:rPr>
        <w:rFonts w:cs="Arial"/>
        <w:sz w:val="16"/>
        <w:lang w:val="it-IT"/>
      </w:rPr>
    </w:pPr>
    <w:r w:rsidRPr="00A1390B">
      <w:rPr>
        <w:rFonts w:cs="Arial"/>
        <w:sz w:val="16"/>
        <w:lang w:val="it-IT"/>
      </w:rPr>
      <w:tab/>
      <w:t>F: 369 6609</w:t>
    </w:r>
  </w:p>
  <w:p w14:paraId="39F57AE6" w14:textId="77777777" w:rsidR="00CA09EF" w:rsidRPr="00A1390B" w:rsidRDefault="00CA09EF" w:rsidP="00A1390B">
    <w:pPr>
      <w:tabs>
        <w:tab w:val="left" w:pos="5112"/>
      </w:tabs>
      <w:spacing w:line="240" w:lineRule="exact"/>
      <w:rPr>
        <w:rFonts w:cs="Arial"/>
        <w:sz w:val="16"/>
        <w:lang w:val="it-IT"/>
      </w:rPr>
    </w:pPr>
    <w:r w:rsidRPr="00A1390B">
      <w:rPr>
        <w:rFonts w:cs="Arial"/>
        <w:sz w:val="16"/>
        <w:lang w:val="it-IT"/>
      </w:rPr>
      <w:tab/>
      <w:t>E: gp.mf@gov.si</w:t>
    </w:r>
  </w:p>
  <w:p w14:paraId="19788F8A" w14:textId="77777777" w:rsidR="00CA09EF" w:rsidRPr="00A1390B" w:rsidRDefault="00CA09EF" w:rsidP="00A1390B">
    <w:pPr>
      <w:tabs>
        <w:tab w:val="left" w:pos="5112"/>
      </w:tabs>
      <w:spacing w:line="240" w:lineRule="exact"/>
      <w:rPr>
        <w:rFonts w:cs="Arial"/>
        <w:sz w:val="16"/>
        <w:lang w:val="en-US"/>
      </w:rPr>
    </w:pPr>
    <w:r w:rsidRPr="00A1390B">
      <w:rPr>
        <w:rFonts w:cs="Arial"/>
        <w:sz w:val="16"/>
        <w:lang w:val="it-IT"/>
      </w:rPr>
      <w:tab/>
    </w:r>
    <w:r w:rsidRPr="00A1390B">
      <w:rPr>
        <w:rFonts w:cs="Arial"/>
        <w:sz w:val="16"/>
        <w:lang w:val="en-US"/>
      </w:rPr>
      <w:t>www.mf.gov.si</w:t>
    </w:r>
  </w:p>
  <w:bookmarkEnd w:id="19"/>
  <w:p w14:paraId="41276DA3" w14:textId="77777777" w:rsidR="00CA09EF" w:rsidRDefault="00CA09EF" w:rsidP="00A1390B">
    <w:pPr>
      <w:tabs>
        <w:tab w:val="left" w:pos="5112"/>
      </w:tabs>
      <w:spacing w:before="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3AD9"/>
    <w:multiLevelType w:val="multilevel"/>
    <w:tmpl w:val="A86C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8463B"/>
    <w:multiLevelType w:val="multilevel"/>
    <w:tmpl w:val="FE42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853EE"/>
    <w:multiLevelType w:val="hybridMultilevel"/>
    <w:tmpl w:val="4FE474FE"/>
    <w:lvl w:ilvl="0" w:tplc="D8A6F628">
      <w:start w:val="1000"/>
      <w:numFmt w:val="bullet"/>
      <w:lvlText w:val="–"/>
      <w:lvlJc w:val="left"/>
      <w:pPr>
        <w:ind w:left="360" w:hanging="360"/>
      </w:pPr>
      <w:rPr>
        <w:rFonts w:ascii="Calibri" w:eastAsiaTheme="minorHAns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B1D61CE"/>
    <w:multiLevelType w:val="hybridMultilevel"/>
    <w:tmpl w:val="8D1878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CAB69A5"/>
    <w:multiLevelType w:val="hybridMultilevel"/>
    <w:tmpl w:val="3C4221A6"/>
    <w:lvl w:ilvl="0" w:tplc="00000005">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24C4F98"/>
    <w:multiLevelType w:val="hybridMultilevel"/>
    <w:tmpl w:val="3F505B1C"/>
    <w:lvl w:ilvl="0" w:tplc="00000005">
      <w:start w:val="1"/>
      <w:numFmt w:val="bullet"/>
      <w:lvlText w:val=""/>
      <w:lvlJc w:val="left"/>
      <w:pPr>
        <w:tabs>
          <w:tab w:val="num" w:pos="600"/>
        </w:tabs>
        <w:ind w:left="600" w:hanging="360"/>
      </w:pPr>
      <w:rPr>
        <w:rFonts w:ascii="Symbol" w:hAnsi="Symbol" w:cs="Symbol" w:hint="default"/>
        <w:color w:val="auto"/>
      </w:rPr>
    </w:lvl>
    <w:lvl w:ilvl="1" w:tplc="04240003" w:tentative="1">
      <w:start w:val="1"/>
      <w:numFmt w:val="bullet"/>
      <w:lvlText w:val="o"/>
      <w:lvlJc w:val="left"/>
      <w:pPr>
        <w:tabs>
          <w:tab w:val="num" w:pos="1320"/>
        </w:tabs>
        <w:ind w:left="1320" w:hanging="360"/>
      </w:pPr>
      <w:rPr>
        <w:rFonts w:ascii="Courier New" w:hAnsi="Courier New" w:hint="default"/>
      </w:rPr>
    </w:lvl>
    <w:lvl w:ilvl="2" w:tplc="04240005" w:tentative="1">
      <w:start w:val="1"/>
      <w:numFmt w:val="bullet"/>
      <w:lvlText w:val=""/>
      <w:lvlJc w:val="left"/>
      <w:pPr>
        <w:tabs>
          <w:tab w:val="num" w:pos="2040"/>
        </w:tabs>
        <w:ind w:left="2040" w:hanging="360"/>
      </w:pPr>
      <w:rPr>
        <w:rFonts w:ascii="Wingdings" w:hAnsi="Wingdings" w:hint="default"/>
      </w:rPr>
    </w:lvl>
    <w:lvl w:ilvl="3" w:tplc="04240001" w:tentative="1">
      <w:start w:val="1"/>
      <w:numFmt w:val="bullet"/>
      <w:lvlText w:val=""/>
      <w:lvlJc w:val="left"/>
      <w:pPr>
        <w:tabs>
          <w:tab w:val="num" w:pos="2760"/>
        </w:tabs>
        <w:ind w:left="2760" w:hanging="360"/>
      </w:pPr>
      <w:rPr>
        <w:rFonts w:ascii="Symbol" w:hAnsi="Symbol" w:hint="default"/>
      </w:rPr>
    </w:lvl>
    <w:lvl w:ilvl="4" w:tplc="04240003" w:tentative="1">
      <w:start w:val="1"/>
      <w:numFmt w:val="bullet"/>
      <w:lvlText w:val="o"/>
      <w:lvlJc w:val="left"/>
      <w:pPr>
        <w:tabs>
          <w:tab w:val="num" w:pos="3480"/>
        </w:tabs>
        <w:ind w:left="3480" w:hanging="360"/>
      </w:pPr>
      <w:rPr>
        <w:rFonts w:ascii="Courier New" w:hAnsi="Courier New" w:hint="default"/>
      </w:rPr>
    </w:lvl>
    <w:lvl w:ilvl="5" w:tplc="04240005" w:tentative="1">
      <w:start w:val="1"/>
      <w:numFmt w:val="bullet"/>
      <w:lvlText w:val=""/>
      <w:lvlJc w:val="left"/>
      <w:pPr>
        <w:tabs>
          <w:tab w:val="num" w:pos="4200"/>
        </w:tabs>
        <w:ind w:left="4200" w:hanging="360"/>
      </w:pPr>
      <w:rPr>
        <w:rFonts w:ascii="Wingdings" w:hAnsi="Wingdings" w:hint="default"/>
      </w:rPr>
    </w:lvl>
    <w:lvl w:ilvl="6" w:tplc="04240001" w:tentative="1">
      <w:start w:val="1"/>
      <w:numFmt w:val="bullet"/>
      <w:lvlText w:val=""/>
      <w:lvlJc w:val="left"/>
      <w:pPr>
        <w:tabs>
          <w:tab w:val="num" w:pos="4920"/>
        </w:tabs>
        <w:ind w:left="4920" w:hanging="360"/>
      </w:pPr>
      <w:rPr>
        <w:rFonts w:ascii="Symbol" w:hAnsi="Symbol" w:hint="default"/>
      </w:rPr>
    </w:lvl>
    <w:lvl w:ilvl="7" w:tplc="04240003" w:tentative="1">
      <w:start w:val="1"/>
      <w:numFmt w:val="bullet"/>
      <w:lvlText w:val="o"/>
      <w:lvlJc w:val="left"/>
      <w:pPr>
        <w:tabs>
          <w:tab w:val="num" w:pos="5640"/>
        </w:tabs>
        <w:ind w:left="5640" w:hanging="360"/>
      </w:pPr>
      <w:rPr>
        <w:rFonts w:ascii="Courier New" w:hAnsi="Courier New" w:hint="default"/>
      </w:rPr>
    </w:lvl>
    <w:lvl w:ilvl="8" w:tplc="04240005" w:tentative="1">
      <w:start w:val="1"/>
      <w:numFmt w:val="bullet"/>
      <w:lvlText w:val=""/>
      <w:lvlJc w:val="left"/>
      <w:pPr>
        <w:tabs>
          <w:tab w:val="num" w:pos="6360"/>
        </w:tabs>
        <w:ind w:left="6360" w:hanging="360"/>
      </w:pPr>
      <w:rPr>
        <w:rFonts w:ascii="Wingdings" w:hAnsi="Wingdings" w:hint="default"/>
      </w:rPr>
    </w:lvl>
  </w:abstractNum>
  <w:abstractNum w:abstractNumId="8" w15:restartNumberingAfterBreak="0">
    <w:nsid w:val="333E112B"/>
    <w:multiLevelType w:val="hybridMultilevel"/>
    <w:tmpl w:val="155848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4DA42FF"/>
    <w:multiLevelType w:val="hybridMultilevel"/>
    <w:tmpl w:val="E74A7DB2"/>
    <w:lvl w:ilvl="0" w:tplc="00000005">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3AF74D08"/>
    <w:multiLevelType w:val="hybridMultilevel"/>
    <w:tmpl w:val="42AE58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2AA3A63"/>
    <w:multiLevelType w:val="multilevel"/>
    <w:tmpl w:val="368CE47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EAE2167"/>
    <w:multiLevelType w:val="multilevel"/>
    <w:tmpl w:val="15141C1C"/>
    <w:lvl w:ilvl="0">
      <w:start w:val="1"/>
      <w:numFmt w:val="decimal"/>
      <w:pStyle w:val="tevilnatoka"/>
      <w:lvlText w:val="%1."/>
      <w:lvlJc w:val="left"/>
      <w:pPr>
        <w:tabs>
          <w:tab w:val="num" w:pos="425"/>
        </w:tabs>
        <w:ind w:left="425" w:hanging="425"/>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9526900"/>
    <w:multiLevelType w:val="multilevel"/>
    <w:tmpl w:val="EDEC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BB3A33"/>
    <w:multiLevelType w:val="hybridMultilevel"/>
    <w:tmpl w:val="17461CA6"/>
    <w:lvl w:ilvl="0" w:tplc="3C04B97A">
      <w:start w:val="1"/>
      <w:numFmt w:val="upperRoman"/>
      <w:lvlText w:val="%1."/>
      <w:lvlJc w:val="left"/>
      <w:pPr>
        <w:ind w:left="1080" w:hanging="720"/>
      </w:pPr>
    </w:lvl>
    <w:lvl w:ilvl="1" w:tplc="79C046B8">
      <w:start w:val="1"/>
      <w:numFmt w:val="decimal"/>
      <w:lvlText w:val="%2."/>
      <w:lvlJc w:val="left"/>
      <w:pPr>
        <w:ind w:left="705" w:hanging="705"/>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8CD51C9"/>
    <w:multiLevelType w:val="hybridMultilevel"/>
    <w:tmpl w:val="C42674AE"/>
    <w:lvl w:ilvl="0" w:tplc="C0480DDE">
      <w:start w:val="1"/>
      <w:numFmt w:val="decimal"/>
      <w:lvlText w:val="%1."/>
      <w:lvlJc w:val="left"/>
      <w:pPr>
        <w:ind w:left="1440" w:hanging="360"/>
      </w:pPr>
    </w:lvl>
    <w:lvl w:ilvl="1" w:tplc="40EC0F9A">
      <w:start w:val="1"/>
      <w:numFmt w:val="decimal"/>
      <w:lvlText w:val="%2."/>
      <w:lvlJc w:val="left"/>
      <w:pPr>
        <w:ind w:left="1440" w:hanging="360"/>
      </w:pPr>
    </w:lvl>
    <w:lvl w:ilvl="2" w:tplc="D910D9E2">
      <w:start w:val="1"/>
      <w:numFmt w:val="decimal"/>
      <w:lvlText w:val="%3."/>
      <w:lvlJc w:val="left"/>
      <w:pPr>
        <w:ind w:left="1440" w:hanging="360"/>
      </w:pPr>
    </w:lvl>
    <w:lvl w:ilvl="3" w:tplc="6C2C65AC">
      <w:start w:val="1"/>
      <w:numFmt w:val="decimal"/>
      <w:lvlText w:val="%4."/>
      <w:lvlJc w:val="left"/>
      <w:pPr>
        <w:ind w:left="1440" w:hanging="360"/>
      </w:pPr>
    </w:lvl>
    <w:lvl w:ilvl="4" w:tplc="D17035AE">
      <w:start w:val="1"/>
      <w:numFmt w:val="decimal"/>
      <w:lvlText w:val="%5."/>
      <w:lvlJc w:val="left"/>
      <w:pPr>
        <w:ind w:left="1440" w:hanging="360"/>
      </w:pPr>
    </w:lvl>
    <w:lvl w:ilvl="5" w:tplc="D5BAD2EE">
      <w:start w:val="1"/>
      <w:numFmt w:val="decimal"/>
      <w:lvlText w:val="%6."/>
      <w:lvlJc w:val="left"/>
      <w:pPr>
        <w:ind w:left="1440" w:hanging="360"/>
      </w:pPr>
    </w:lvl>
    <w:lvl w:ilvl="6" w:tplc="6E0A10BA">
      <w:start w:val="1"/>
      <w:numFmt w:val="decimal"/>
      <w:lvlText w:val="%7."/>
      <w:lvlJc w:val="left"/>
      <w:pPr>
        <w:ind w:left="1440" w:hanging="360"/>
      </w:pPr>
    </w:lvl>
    <w:lvl w:ilvl="7" w:tplc="2C343370">
      <w:start w:val="1"/>
      <w:numFmt w:val="decimal"/>
      <w:lvlText w:val="%8."/>
      <w:lvlJc w:val="left"/>
      <w:pPr>
        <w:ind w:left="1440" w:hanging="360"/>
      </w:pPr>
    </w:lvl>
    <w:lvl w:ilvl="8" w:tplc="C72C6A12">
      <w:start w:val="1"/>
      <w:numFmt w:val="decimal"/>
      <w:lvlText w:val="%9."/>
      <w:lvlJc w:val="left"/>
      <w:pPr>
        <w:ind w:left="1440" w:hanging="360"/>
      </w:pPr>
    </w:lvl>
  </w:abstractNum>
  <w:abstractNum w:abstractNumId="19"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75DC8"/>
    <w:multiLevelType w:val="hybridMultilevel"/>
    <w:tmpl w:val="15A82126"/>
    <w:lvl w:ilvl="0" w:tplc="00000005">
      <w:start w:val="1"/>
      <w:numFmt w:val="bullet"/>
      <w:lvlText w:val=""/>
      <w:lvlJc w:val="left"/>
      <w:pPr>
        <w:tabs>
          <w:tab w:val="num" w:pos="600"/>
        </w:tabs>
        <w:ind w:left="600" w:hanging="360"/>
      </w:pPr>
      <w:rPr>
        <w:rFonts w:ascii="Symbol" w:hAnsi="Symbol" w:cs="Symbol" w:hint="default"/>
        <w:color w:val="auto"/>
      </w:rPr>
    </w:lvl>
    <w:lvl w:ilvl="1" w:tplc="04240003" w:tentative="1">
      <w:start w:val="1"/>
      <w:numFmt w:val="bullet"/>
      <w:lvlText w:val="o"/>
      <w:lvlJc w:val="left"/>
      <w:pPr>
        <w:tabs>
          <w:tab w:val="num" w:pos="1320"/>
        </w:tabs>
        <w:ind w:left="1320" w:hanging="360"/>
      </w:pPr>
      <w:rPr>
        <w:rFonts w:ascii="Courier New" w:hAnsi="Courier New" w:hint="default"/>
      </w:rPr>
    </w:lvl>
    <w:lvl w:ilvl="2" w:tplc="04240005" w:tentative="1">
      <w:start w:val="1"/>
      <w:numFmt w:val="bullet"/>
      <w:lvlText w:val=""/>
      <w:lvlJc w:val="left"/>
      <w:pPr>
        <w:tabs>
          <w:tab w:val="num" w:pos="2040"/>
        </w:tabs>
        <w:ind w:left="2040" w:hanging="360"/>
      </w:pPr>
      <w:rPr>
        <w:rFonts w:ascii="Wingdings" w:hAnsi="Wingdings" w:hint="default"/>
      </w:rPr>
    </w:lvl>
    <w:lvl w:ilvl="3" w:tplc="04240001" w:tentative="1">
      <w:start w:val="1"/>
      <w:numFmt w:val="bullet"/>
      <w:lvlText w:val=""/>
      <w:lvlJc w:val="left"/>
      <w:pPr>
        <w:tabs>
          <w:tab w:val="num" w:pos="2760"/>
        </w:tabs>
        <w:ind w:left="2760" w:hanging="360"/>
      </w:pPr>
      <w:rPr>
        <w:rFonts w:ascii="Symbol" w:hAnsi="Symbol" w:hint="default"/>
      </w:rPr>
    </w:lvl>
    <w:lvl w:ilvl="4" w:tplc="04240003" w:tentative="1">
      <w:start w:val="1"/>
      <w:numFmt w:val="bullet"/>
      <w:lvlText w:val="o"/>
      <w:lvlJc w:val="left"/>
      <w:pPr>
        <w:tabs>
          <w:tab w:val="num" w:pos="3480"/>
        </w:tabs>
        <w:ind w:left="3480" w:hanging="360"/>
      </w:pPr>
      <w:rPr>
        <w:rFonts w:ascii="Courier New" w:hAnsi="Courier New" w:hint="default"/>
      </w:rPr>
    </w:lvl>
    <w:lvl w:ilvl="5" w:tplc="04240005" w:tentative="1">
      <w:start w:val="1"/>
      <w:numFmt w:val="bullet"/>
      <w:lvlText w:val=""/>
      <w:lvlJc w:val="left"/>
      <w:pPr>
        <w:tabs>
          <w:tab w:val="num" w:pos="4200"/>
        </w:tabs>
        <w:ind w:left="4200" w:hanging="360"/>
      </w:pPr>
      <w:rPr>
        <w:rFonts w:ascii="Wingdings" w:hAnsi="Wingdings" w:hint="default"/>
      </w:rPr>
    </w:lvl>
    <w:lvl w:ilvl="6" w:tplc="04240001" w:tentative="1">
      <w:start w:val="1"/>
      <w:numFmt w:val="bullet"/>
      <w:lvlText w:val=""/>
      <w:lvlJc w:val="left"/>
      <w:pPr>
        <w:tabs>
          <w:tab w:val="num" w:pos="4920"/>
        </w:tabs>
        <w:ind w:left="4920" w:hanging="360"/>
      </w:pPr>
      <w:rPr>
        <w:rFonts w:ascii="Symbol" w:hAnsi="Symbol" w:hint="default"/>
      </w:rPr>
    </w:lvl>
    <w:lvl w:ilvl="7" w:tplc="04240003" w:tentative="1">
      <w:start w:val="1"/>
      <w:numFmt w:val="bullet"/>
      <w:lvlText w:val="o"/>
      <w:lvlJc w:val="left"/>
      <w:pPr>
        <w:tabs>
          <w:tab w:val="num" w:pos="5640"/>
        </w:tabs>
        <w:ind w:left="5640" w:hanging="360"/>
      </w:pPr>
      <w:rPr>
        <w:rFonts w:ascii="Courier New" w:hAnsi="Courier New" w:hint="default"/>
      </w:rPr>
    </w:lvl>
    <w:lvl w:ilvl="8" w:tplc="04240005" w:tentative="1">
      <w:start w:val="1"/>
      <w:numFmt w:val="bullet"/>
      <w:lvlText w:val=""/>
      <w:lvlJc w:val="left"/>
      <w:pPr>
        <w:tabs>
          <w:tab w:val="num" w:pos="6360"/>
        </w:tabs>
        <w:ind w:left="6360" w:hanging="360"/>
      </w:pPr>
      <w:rPr>
        <w:rFonts w:ascii="Wingdings" w:hAnsi="Wingdings" w:hint="default"/>
      </w:rPr>
    </w:lvl>
  </w:abstractNum>
  <w:abstractNum w:abstractNumId="21" w15:restartNumberingAfterBreak="0">
    <w:nsid w:val="75866F21"/>
    <w:multiLevelType w:val="multilevel"/>
    <w:tmpl w:val="1374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053C6B"/>
    <w:multiLevelType w:val="hybridMultilevel"/>
    <w:tmpl w:val="2026C364"/>
    <w:lvl w:ilvl="0" w:tplc="76AC1A70">
      <w:start w:val="49"/>
      <w:numFmt w:val="bullet"/>
      <w:lvlText w:val=""/>
      <w:lvlJc w:val="left"/>
      <w:pPr>
        <w:ind w:left="360" w:hanging="360"/>
      </w:pPr>
      <w:rPr>
        <w:rFonts w:ascii="Symbol" w:eastAsia="Times New Roman" w:hAnsi="Symbol" w:cs="Times New Roman" w:hint="default"/>
      </w:rPr>
    </w:lvl>
    <w:lvl w:ilvl="1" w:tplc="1010BA0A">
      <w:start w:val="1"/>
      <w:numFmt w:val="bullet"/>
      <w:lvlText w:val="‒"/>
      <w:lvlJc w:val="left"/>
      <w:pPr>
        <w:ind w:left="1080" w:hanging="360"/>
      </w:pPr>
      <w:rPr>
        <w:rFonts w:ascii="Times New Roman" w:eastAsia="Times New Roman" w:hAnsi="Times New Roman"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7B431EAD"/>
    <w:multiLevelType w:val="multilevel"/>
    <w:tmpl w:val="F956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19684452">
    <w:abstractNumId w:val="19"/>
  </w:num>
  <w:num w:numId="2" w16cid:durableId="886381994">
    <w:abstractNumId w:val="14"/>
  </w:num>
  <w:num w:numId="3" w16cid:durableId="20362259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8635463">
    <w:abstractNumId w:val="13"/>
  </w:num>
  <w:num w:numId="5" w16cid:durableId="923686354">
    <w:abstractNumId w:val="6"/>
  </w:num>
  <w:num w:numId="6" w16cid:durableId="721172013">
    <w:abstractNumId w:val="9"/>
  </w:num>
  <w:num w:numId="7" w16cid:durableId="1456867250">
    <w:abstractNumId w:val="4"/>
  </w:num>
  <w:num w:numId="8" w16cid:durableId="1648973268">
    <w:abstractNumId w:val="10"/>
  </w:num>
  <w:num w:numId="9" w16cid:durableId="1934514163">
    <w:abstractNumId w:val="17"/>
  </w:num>
  <w:num w:numId="10" w16cid:durableId="1138494462">
    <w:abstractNumId w:val="24"/>
  </w:num>
  <w:num w:numId="11" w16cid:durableId="1301571944">
    <w:abstractNumId w:val="7"/>
  </w:num>
  <w:num w:numId="12" w16cid:durableId="2033068782">
    <w:abstractNumId w:val="20"/>
  </w:num>
  <w:num w:numId="13" w16cid:durableId="1794398483">
    <w:abstractNumId w:val="22"/>
  </w:num>
  <w:num w:numId="14" w16cid:durableId="1115710774">
    <w:abstractNumId w:val="12"/>
  </w:num>
  <w:num w:numId="15" w16cid:durableId="1564290467">
    <w:abstractNumId w:val="5"/>
  </w:num>
  <w:num w:numId="16" w16cid:durableId="605045705">
    <w:abstractNumId w:val="8"/>
  </w:num>
  <w:num w:numId="17" w16cid:durableId="376701812">
    <w:abstractNumId w:val="11"/>
  </w:num>
  <w:num w:numId="18" w16cid:durableId="1981030685">
    <w:abstractNumId w:val="1"/>
  </w:num>
  <w:num w:numId="19" w16cid:durableId="1890920588">
    <w:abstractNumId w:val="23"/>
  </w:num>
  <w:num w:numId="20" w16cid:durableId="1001549455">
    <w:abstractNumId w:val="0"/>
  </w:num>
  <w:num w:numId="21" w16cid:durableId="1940867703">
    <w:abstractNumId w:val="21"/>
  </w:num>
  <w:num w:numId="22" w16cid:durableId="278993213">
    <w:abstractNumId w:val="15"/>
  </w:num>
  <w:num w:numId="23" w16cid:durableId="60755313">
    <w:abstractNumId w:val="3"/>
  </w:num>
  <w:num w:numId="24" w16cid:durableId="1234513543">
    <w:abstractNumId w:val="18"/>
  </w:num>
  <w:num w:numId="25" w16cid:durableId="2066220512">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95C"/>
    <w:rsid w:val="000007E8"/>
    <w:rsid w:val="0000518E"/>
    <w:rsid w:val="00005D4D"/>
    <w:rsid w:val="00006A77"/>
    <w:rsid w:val="000076C6"/>
    <w:rsid w:val="000076F4"/>
    <w:rsid w:val="00007FDA"/>
    <w:rsid w:val="00012E00"/>
    <w:rsid w:val="00021587"/>
    <w:rsid w:val="00021ACC"/>
    <w:rsid w:val="00026325"/>
    <w:rsid w:val="0002778B"/>
    <w:rsid w:val="000329DC"/>
    <w:rsid w:val="000331A9"/>
    <w:rsid w:val="00034792"/>
    <w:rsid w:val="0003761B"/>
    <w:rsid w:val="000410C9"/>
    <w:rsid w:val="0004729D"/>
    <w:rsid w:val="000555E8"/>
    <w:rsid w:val="00060B42"/>
    <w:rsid w:val="00060DBA"/>
    <w:rsid w:val="000627B0"/>
    <w:rsid w:val="0006557B"/>
    <w:rsid w:val="0006681E"/>
    <w:rsid w:val="00066DF4"/>
    <w:rsid w:val="00067497"/>
    <w:rsid w:val="00067863"/>
    <w:rsid w:val="00073983"/>
    <w:rsid w:val="00074825"/>
    <w:rsid w:val="00074F02"/>
    <w:rsid w:val="00076384"/>
    <w:rsid w:val="000806A8"/>
    <w:rsid w:val="000822EF"/>
    <w:rsid w:val="00082449"/>
    <w:rsid w:val="00085394"/>
    <w:rsid w:val="00090A6E"/>
    <w:rsid w:val="00090C7B"/>
    <w:rsid w:val="00091056"/>
    <w:rsid w:val="0009243D"/>
    <w:rsid w:val="000935AC"/>
    <w:rsid w:val="0009396D"/>
    <w:rsid w:val="000956AC"/>
    <w:rsid w:val="00097543"/>
    <w:rsid w:val="000A29C4"/>
    <w:rsid w:val="000A5437"/>
    <w:rsid w:val="000A6D3B"/>
    <w:rsid w:val="000A789B"/>
    <w:rsid w:val="000B1110"/>
    <w:rsid w:val="000B54BF"/>
    <w:rsid w:val="000B5900"/>
    <w:rsid w:val="000C081B"/>
    <w:rsid w:val="000C08CD"/>
    <w:rsid w:val="000C1CD1"/>
    <w:rsid w:val="000C4288"/>
    <w:rsid w:val="000C4639"/>
    <w:rsid w:val="000C55BB"/>
    <w:rsid w:val="000C57AB"/>
    <w:rsid w:val="000C5E1E"/>
    <w:rsid w:val="000C7AFE"/>
    <w:rsid w:val="000D03B7"/>
    <w:rsid w:val="000D3229"/>
    <w:rsid w:val="000D4CC6"/>
    <w:rsid w:val="000D56CE"/>
    <w:rsid w:val="000D5BB3"/>
    <w:rsid w:val="000E0A24"/>
    <w:rsid w:val="000E5BE9"/>
    <w:rsid w:val="000F0A71"/>
    <w:rsid w:val="00101876"/>
    <w:rsid w:val="00102A0E"/>
    <w:rsid w:val="00103760"/>
    <w:rsid w:val="00106903"/>
    <w:rsid w:val="00110A8E"/>
    <w:rsid w:val="0011402F"/>
    <w:rsid w:val="001161FF"/>
    <w:rsid w:val="0011687C"/>
    <w:rsid w:val="001210E4"/>
    <w:rsid w:val="00121E3D"/>
    <w:rsid w:val="00131EE0"/>
    <w:rsid w:val="001320D3"/>
    <w:rsid w:val="001333A2"/>
    <w:rsid w:val="00134799"/>
    <w:rsid w:val="00134BDD"/>
    <w:rsid w:val="001360A3"/>
    <w:rsid w:val="001360BB"/>
    <w:rsid w:val="00136C83"/>
    <w:rsid w:val="00137698"/>
    <w:rsid w:val="0014172C"/>
    <w:rsid w:val="00142F95"/>
    <w:rsid w:val="00146DEF"/>
    <w:rsid w:val="00154B29"/>
    <w:rsid w:val="00156E63"/>
    <w:rsid w:val="00160BA1"/>
    <w:rsid w:val="001642C7"/>
    <w:rsid w:val="00165086"/>
    <w:rsid w:val="00165F98"/>
    <w:rsid w:val="001672E7"/>
    <w:rsid w:val="001675F6"/>
    <w:rsid w:val="00170E17"/>
    <w:rsid w:val="00171BA4"/>
    <w:rsid w:val="00175914"/>
    <w:rsid w:val="00175988"/>
    <w:rsid w:val="001776D9"/>
    <w:rsid w:val="0018256C"/>
    <w:rsid w:val="0018288B"/>
    <w:rsid w:val="001866A8"/>
    <w:rsid w:val="00191170"/>
    <w:rsid w:val="00191B0C"/>
    <w:rsid w:val="00197505"/>
    <w:rsid w:val="001A33A8"/>
    <w:rsid w:val="001A646F"/>
    <w:rsid w:val="001B10FC"/>
    <w:rsid w:val="001B3EB0"/>
    <w:rsid w:val="001C0442"/>
    <w:rsid w:val="001C06CD"/>
    <w:rsid w:val="001C0B35"/>
    <w:rsid w:val="001C12D6"/>
    <w:rsid w:val="001C217B"/>
    <w:rsid w:val="001C5472"/>
    <w:rsid w:val="001D44DB"/>
    <w:rsid w:val="001D618B"/>
    <w:rsid w:val="001E1382"/>
    <w:rsid w:val="001E1657"/>
    <w:rsid w:val="001E1933"/>
    <w:rsid w:val="001E2AC3"/>
    <w:rsid w:val="001E3FCF"/>
    <w:rsid w:val="001E444C"/>
    <w:rsid w:val="001E651B"/>
    <w:rsid w:val="001E6A55"/>
    <w:rsid w:val="001E6CE3"/>
    <w:rsid w:val="001E7C56"/>
    <w:rsid w:val="001E7F36"/>
    <w:rsid w:val="001F6686"/>
    <w:rsid w:val="001F76DA"/>
    <w:rsid w:val="00200048"/>
    <w:rsid w:val="0020176B"/>
    <w:rsid w:val="002017C9"/>
    <w:rsid w:val="0020365F"/>
    <w:rsid w:val="00203D9B"/>
    <w:rsid w:val="00204E28"/>
    <w:rsid w:val="00206167"/>
    <w:rsid w:val="00210501"/>
    <w:rsid w:val="00210B44"/>
    <w:rsid w:val="00211742"/>
    <w:rsid w:val="0021283D"/>
    <w:rsid w:val="00213357"/>
    <w:rsid w:val="002137AE"/>
    <w:rsid w:val="00214B36"/>
    <w:rsid w:val="00216F8A"/>
    <w:rsid w:val="00220A0E"/>
    <w:rsid w:val="00221E82"/>
    <w:rsid w:val="002239E7"/>
    <w:rsid w:val="0022420F"/>
    <w:rsid w:val="002264B7"/>
    <w:rsid w:val="0022788A"/>
    <w:rsid w:val="002319B9"/>
    <w:rsid w:val="00232948"/>
    <w:rsid w:val="00233FA1"/>
    <w:rsid w:val="00234887"/>
    <w:rsid w:val="002364BF"/>
    <w:rsid w:val="00237D30"/>
    <w:rsid w:val="0024283A"/>
    <w:rsid w:val="00245392"/>
    <w:rsid w:val="002465A6"/>
    <w:rsid w:val="00246ED8"/>
    <w:rsid w:val="0024789B"/>
    <w:rsid w:val="00250513"/>
    <w:rsid w:val="002509DC"/>
    <w:rsid w:val="00253BA2"/>
    <w:rsid w:val="00253F35"/>
    <w:rsid w:val="00260032"/>
    <w:rsid w:val="002600D5"/>
    <w:rsid w:val="002623D5"/>
    <w:rsid w:val="00262B35"/>
    <w:rsid w:val="00264E29"/>
    <w:rsid w:val="00265EE4"/>
    <w:rsid w:val="002708D6"/>
    <w:rsid w:val="0027401B"/>
    <w:rsid w:val="00275E12"/>
    <w:rsid w:val="00276E2F"/>
    <w:rsid w:val="00277261"/>
    <w:rsid w:val="002809BE"/>
    <w:rsid w:val="00282BF0"/>
    <w:rsid w:val="00283B9F"/>
    <w:rsid w:val="00286333"/>
    <w:rsid w:val="00290002"/>
    <w:rsid w:val="00291A84"/>
    <w:rsid w:val="00296870"/>
    <w:rsid w:val="00297A01"/>
    <w:rsid w:val="002A1AE9"/>
    <w:rsid w:val="002A1B76"/>
    <w:rsid w:val="002A6750"/>
    <w:rsid w:val="002A69B0"/>
    <w:rsid w:val="002A7964"/>
    <w:rsid w:val="002B111E"/>
    <w:rsid w:val="002B29B6"/>
    <w:rsid w:val="002B30F3"/>
    <w:rsid w:val="002B4BEC"/>
    <w:rsid w:val="002B72F0"/>
    <w:rsid w:val="002C05C8"/>
    <w:rsid w:val="002C0AC0"/>
    <w:rsid w:val="002C79E1"/>
    <w:rsid w:val="002D0547"/>
    <w:rsid w:val="002D2D24"/>
    <w:rsid w:val="002D5CA6"/>
    <w:rsid w:val="002D648D"/>
    <w:rsid w:val="002E04CA"/>
    <w:rsid w:val="002E0D2E"/>
    <w:rsid w:val="002E6945"/>
    <w:rsid w:val="002E798F"/>
    <w:rsid w:val="002F3D5B"/>
    <w:rsid w:val="002F6897"/>
    <w:rsid w:val="002F7900"/>
    <w:rsid w:val="003006EA"/>
    <w:rsid w:val="00305D58"/>
    <w:rsid w:val="00310705"/>
    <w:rsid w:val="00310D69"/>
    <w:rsid w:val="00311340"/>
    <w:rsid w:val="003119FE"/>
    <w:rsid w:val="00314378"/>
    <w:rsid w:val="003150A2"/>
    <w:rsid w:val="00316074"/>
    <w:rsid w:val="003175BF"/>
    <w:rsid w:val="003177EF"/>
    <w:rsid w:val="003207A4"/>
    <w:rsid w:val="003210F3"/>
    <w:rsid w:val="0032183B"/>
    <w:rsid w:val="00322C6B"/>
    <w:rsid w:val="00324307"/>
    <w:rsid w:val="0032499E"/>
    <w:rsid w:val="00324ADC"/>
    <w:rsid w:val="003255A7"/>
    <w:rsid w:val="00333268"/>
    <w:rsid w:val="00333C70"/>
    <w:rsid w:val="00334D39"/>
    <w:rsid w:val="00344D70"/>
    <w:rsid w:val="00345FF1"/>
    <w:rsid w:val="0035109F"/>
    <w:rsid w:val="003538AC"/>
    <w:rsid w:val="0035473A"/>
    <w:rsid w:val="00355A73"/>
    <w:rsid w:val="00355B49"/>
    <w:rsid w:val="00355CE5"/>
    <w:rsid w:val="00360E06"/>
    <w:rsid w:val="00365654"/>
    <w:rsid w:val="00367BA5"/>
    <w:rsid w:val="00375114"/>
    <w:rsid w:val="0037793C"/>
    <w:rsid w:val="00380387"/>
    <w:rsid w:val="0038103C"/>
    <w:rsid w:val="00383B0D"/>
    <w:rsid w:val="00383C5F"/>
    <w:rsid w:val="00383E76"/>
    <w:rsid w:val="00385FF2"/>
    <w:rsid w:val="00391E34"/>
    <w:rsid w:val="00394185"/>
    <w:rsid w:val="00394EFC"/>
    <w:rsid w:val="00397D84"/>
    <w:rsid w:val="003A0D01"/>
    <w:rsid w:val="003A1352"/>
    <w:rsid w:val="003A277F"/>
    <w:rsid w:val="003A4282"/>
    <w:rsid w:val="003A63BA"/>
    <w:rsid w:val="003A675F"/>
    <w:rsid w:val="003A67D0"/>
    <w:rsid w:val="003A71BE"/>
    <w:rsid w:val="003B2ADE"/>
    <w:rsid w:val="003B2F85"/>
    <w:rsid w:val="003B6900"/>
    <w:rsid w:val="003B7379"/>
    <w:rsid w:val="003B77C7"/>
    <w:rsid w:val="003B78A5"/>
    <w:rsid w:val="003C08F2"/>
    <w:rsid w:val="003C1A98"/>
    <w:rsid w:val="003C2CEA"/>
    <w:rsid w:val="003C3FA5"/>
    <w:rsid w:val="003C67D8"/>
    <w:rsid w:val="003C7CA0"/>
    <w:rsid w:val="003D0A2A"/>
    <w:rsid w:val="003D1EB9"/>
    <w:rsid w:val="003D4DD5"/>
    <w:rsid w:val="003D75F3"/>
    <w:rsid w:val="003D76BD"/>
    <w:rsid w:val="003D78D6"/>
    <w:rsid w:val="003E212A"/>
    <w:rsid w:val="003E3BF2"/>
    <w:rsid w:val="003F0358"/>
    <w:rsid w:val="003F2798"/>
    <w:rsid w:val="003F2BAE"/>
    <w:rsid w:val="003F36FD"/>
    <w:rsid w:val="0040458F"/>
    <w:rsid w:val="0040668E"/>
    <w:rsid w:val="00411327"/>
    <w:rsid w:val="00414892"/>
    <w:rsid w:val="004149A8"/>
    <w:rsid w:val="0041502F"/>
    <w:rsid w:val="00416981"/>
    <w:rsid w:val="00417321"/>
    <w:rsid w:val="004178BF"/>
    <w:rsid w:val="0041796E"/>
    <w:rsid w:val="00417D43"/>
    <w:rsid w:val="004218F4"/>
    <w:rsid w:val="00422A9F"/>
    <w:rsid w:val="00422AE5"/>
    <w:rsid w:val="004248F7"/>
    <w:rsid w:val="00426D46"/>
    <w:rsid w:val="004278DC"/>
    <w:rsid w:val="00433FD5"/>
    <w:rsid w:val="00435300"/>
    <w:rsid w:val="004359D9"/>
    <w:rsid w:val="00435FD1"/>
    <w:rsid w:val="004369C6"/>
    <w:rsid w:val="004408C9"/>
    <w:rsid w:val="00440F6B"/>
    <w:rsid w:val="004476C8"/>
    <w:rsid w:val="00450E59"/>
    <w:rsid w:val="004528CB"/>
    <w:rsid w:val="004535EB"/>
    <w:rsid w:val="00453ECB"/>
    <w:rsid w:val="00457816"/>
    <w:rsid w:val="004616B3"/>
    <w:rsid w:val="004638B6"/>
    <w:rsid w:val="00463C44"/>
    <w:rsid w:val="00464E58"/>
    <w:rsid w:val="00466136"/>
    <w:rsid w:val="00471A73"/>
    <w:rsid w:val="00472DA3"/>
    <w:rsid w:val="00474358"/>
    <w:rsid w:val="00480614"/>
    <w:rsid w:val="004815CA"/>
    <w:rsid w:val="004816FD"/>
    <w:rsid w:val="004848E1"/>
    <w:rsid w:val="00487D01"/>
    <w:rsid w:val="0049083F"/>
    <w:rsid w:val="0049162D"/>
    <w:rsid w:val="00493351"/>
    <w:rsid w:val="00496875"/>
    <w:rsid w:val="004A1BB8"/>
    <w:rsid w:val="004A297A"/>
    <w:rsid w:val="004A61FE"/>
    <w:rsid w:val="004A719B"/>
    <w:rsid w:val="004C0140"/>
    <w:rsid w:val="004C213C"/>
    <w:rsid w:val="004D1837"/>
    <w:rsid w:val="004D1FB2"/>
    <w:rsid w:val="004D22B8"/>
    <w:rsid w:val="004D2AC5"/>
    <w:rsid w:val="004D68FC"/>
    <w:rsid w:val="004D6BF1"/>
    <w:rsid w:val="004D7EA1"/>
    <w:rsid w:val="004E016E"/>
    <w:rsid w:val="004E33AF"/>
    <w:rsid w:val="004E51C7"/>
    <w:rsid w:val="004E565B"/>
    <w:rsid w:val="004F02CC"/>
    <w:rsid w:val="004F1F68"/>
    <w:rsid w:val="004F246A"/>
    <w:rsid w:val="004F2ED2"/>
    <w:rsid w:val="004F5B42"/>
    <w:rsid w:val="004F6BBC"/>
    <w:rsid w:val="00501954"/>
    <w:rsid w:val="005039CA"/>
    <w:rsid w:val="00504A02"/>
    <w:rsid w:val="00505A61"/>
    <w:rsid w:val="00506680"/>
    <w:rsid w:val="00506A34"/>
    <w:rsid w:val="00507D46"/>
    <w:rsid w:val="00507E12"/>
    <w:rsid w:val="00510707"/>
    <w:rsid w:val="00510B5C"/>
    <w:rsid w:val="00513762"/>
    <w:rsid w:val="00514F13"/>
    <w:rsid w:val="00516561"/>
    <w:rsid w:val="00516A1A"/>
    <w:rsid w:val="00524EDA"/>
    <w:rsid w:val="00526BFD"/>
    <w:rsid w:val="005271BC"/>
    <w:rsid w:val="0053201B"/>
    <w:rsid w:val="005323E6"/>
    <w:rsid w:val="00533224"/>
    <w:rsid w:val="00533591"/>
    <w:rsid w:val="005360B2"/>
    <w:rsid w:val="005368A7"/>
    <w:rsid w:val="00537F8A"/>
    <w:rsid w:val="00540357"/>
    <w:rsid w:val="005446EC"/>
    <w:rsid w:val="005447D5"/>
    <w:rsid w:val="00544AF3"/>
    <w:rsid w:val="0054554C"/>
    <w:rsid w:val="00550D51"/>
    <w:rsid w:val="005519C8"/>
    <w:rsid w:val="00551C5C"/>
    <w:rsid w:val="00552D98"/>
    <w:rsid w:val="0055338B"/>
    <w:rsid w:val="00556F08"/>
    <w:rsid w:val="00560C23"/>
    <w:rsid w:val="005616CD"/>
    <w:rsid w:val="00563BC0"/>
    <w:rsid w:val="00567295"/>
    <w:rsid w:val="0056748E"/>
    <w:rsid w:val="00572A5B"/>
    <w:rsid w:val="005740E7"/>
    <w:rsid w:val="00575467"/>
    <w:rsid w:val="005764B1"/>
    <w:rsid w:val="00577933"/>
    <w:rsid w:val="00580152"/>
    <w:rsid w:val="005803AE"/>
    <w:rsid w:val="00582CE1"/>
    <w:rsid w:val="00583138"/>
    <w:rsid w:val="005833DA"/>
    <w:rsid w:val="00584DB2"/>
    <w:rsid w:val="005914C2"/>
    <w:rsid w:val="00591AA6"/>
    <w:rsid w:val="00593D7B"/>
    <w:rsid w:val="005A1538"/>
    <w:rsid w:val="005A1E52"/>
    <w:rsid w:val="005A497D"/>
    <w:rsid w:val="005A4A6C"/>
    <w:rsid w:val="005A5542"/>
    <w:rsid w:val="005A6160"/>
    <w:rsid w:val="005A7B38"/>
    <w:rsid w:val="005B2C43"/>
    <w:rsid w:val="005B2DBC"/>
    <w:rsid w:val="005B419D"/>
    <w:rsid w:val="005B41BA"/>
    <w:rsid w:val="005B4C5C"/>
    <w:rsid w:val="005B4DFF"/>
    <w:rsid w:val="005C093B"/>
    <w:rsid w:val="005C19D4"/>
    <w:rsid w:val="005C224E"/>
    <w:rsid w:val="005C4BA3"/>
    <w:rsid w:val="005D026A"/>
    <w:rsid w:val="005D042D"/>
    <w:rsid w:val="005D095B"/>
    <w:rsid w:val="005D56C6"/>
    <w:rsid w:val="005E2761"/>
    <w:rsid w:val="005E5F7B"/>
    <w:rsid w:val="005E6F5E"/>
    <w:rsid w:val="005F307F"/>
    <w:rsid w:val="005F6190"/>
    <w:rsid w:val="00601A19"/>
    <w:rsid w:val="00602BBF"/>
    <w:rsid w:val="00604727"/>
    <w:rsid w:val="006047E1"/>
    <w:rsid w:val="00610B8A"/>
    <w:rsid w:val="00612284"/>
    <w:rsid w:val="0061634B"/>
    <w:rsid w:val="006164B2"/>
    <w:rsid w:val="00616F26"/>
    <w:rsid w:val="006213DC"/>
    <w:rsid w:val="006259E8"/>
    <w:rsid w:val="00625AA0"/>
    <w:rsid w:val="0062751B"/>
    <w:rsid w:val="0063053E"/>
    <w:rsid w:val="00630861"/>
    <w:rsid w:val="00631CE4"/>
    <w:rsid w:val="00632363"/>
    <w:rsid w:val="006330E2"/>
    <w:rsid w:val="00634302"/>
    <w:rsid w:val="00635394"/>
    <w:rsid w:val="006353B9"/>
    <w:rsid w:val="00635D59"/>
    <w:rsid w:val="00635EAB"/>
    <w:rsid w:val="00640525"/>
    <w:rsid w:val="00641622"/>
    <w:rsid w:val="00642773"/>
    <w:rsid w:val="00642FED"/>
    <w:rsid w:val="00645203"/>
    <w:rsid w:val="00645F02"/>
    <w:rsid w:val="00647937"/>
    <w:rsid w:val="00647D36"/>
    <w:rsid w:val="00653132"/>
    <w:rsid w:val="0065395A"/>
    <w:rsid w:val="006577E3"/>
    <w:rsid w:val="00661DE5"/>
    <w:rsid w:val="00664E36"/>
    <w:rsid w:val="006739E9"/>
    <w:rsid w:val="0068356E"/>
    <w:rsid w:val="00683EB2"/>
    <w:rsid w:val="00687981"/>
    <w:rsid w:val="0069474E"/>
    <w:rsid w:val="006A00DC"/>
    <w:rsid w:val="006A0D4B"/>
    <w:rsid w:val="006A15D6"/>
    <w:rsid w:val="006A24AA"/>
    <w:rsid w:val="006A4AB7"/>
    <w:rsid w:val="006A6465"/>
    <w:rsid w:val="006B09CF"/>
    <w:rsid w:val="006B37A8"/>
    <w:rsid w:val="006B4345"/>
    <w:rsid w:val="006C13B3"/>
    <w:rsid w:val="006C15CA"/>
    <w:rsid w:val="006C1CA9"/>
    <w:rsid w:val="006C1EA6"/>
    <w:rsid w:val="006C2809"/>
    <w:rsid w:val="006D069D"/>
    <w:rsid w:val="006D1779"/>
    <w:rsid w:val="006D17D6"/>
    <w:rsid w:val="006D3B0D"/>
    <w:rsid w:val="006D3C03"/>
    <w:rsid w:val="006D3CD9"/>
    <w:rsid w:val="006D4011"/>
    <w:rsid w:val="006D450E"/>
    <w:rsid w:val="006D45B1"/>
    <w:rsid w:val="006D4E01"/>
    <w:rsid w:val="006E2ED1"/>
    <w:rsid w:val="006E3412"/>
    <w:rsid w:val="006E3DB5"/>
    <w:rsid w:val="006E52F3"/>
    <w:rsid w:val="006E7CDA"/>
    <w:rsid w:val="006F13F2"/>
    <w:rsid w:val="006F36AB"/>
    <w:rsid w:val="006F3EEB"/>
    <w:rsid w:val="006F473D"/>
    <w:rsid w:val="006F47FD"/>
    <w:rsid w:val="006F6DEE"/>
    <w:rsid w:val="00710E35"/>
    <w:rsid w:val="00714C62"/>
    <w:rsid w:val="00715B5E"/>
    <w:rsid w:val="007214FF"/>
    <w:rsid w:val="007254FA"/>
    <w:rsid w:val="007258CC"/>
    <w:rsid w:val="007305E3"/>
    <w:rsid w:val="007313E8"/>
    <w:rsid w:val="007340B0"/>
    <w:rsid w:val="00742AB5"/>
    <w:rsid w:val="00743FB7"/>
    <w:rsid w:val="0074773C"/>
    <w:rsid w:val="00752970"/>
    <w:rsid w:val="007529F9"/>
    <w:rsid w:val="0075564F"/>
    <w:rsid w:val="0076022D"/>
    <w:rsid w:val="00761D0C"/>
    <w:rsid w:val="00763BE3"/>
    <w:rsid w:val="0076454E"/>
    <w:rsid w:val="007646A8"/>
    <w:rsid w:val="00764A78"/>
    <w:rsid w:val="00764E2F"/>
    <w:rsid w:val="007654BB"/>
    <w:rsid w:val="00765894"/>
    <w:rsid w:val="00771103"/>
    <w:rsid w:val="007735A6"/>
    <w:rsid w:val="00773F00"/>
    <w:rsid w:val="007772ED"/>
    <w:rsid w:val="00782AB5"/>
    <w:rsid w:val="00784D3D"/>
    <w:rsid w:val="00786367"/>
    <w:rsid w:val="0079107B"/>
    <w:rsid w:val="0079126E"/>
    <w:rsid w:val="00793499"/>
    <w:rsid w:val="0079451D"/>
    <w:rsid w:val="00796E34"/>
    <w:rsid w:val="00797B1D"/>
    <w:rsid w:val="007A2B56"/>
    <w:rsid w:val="007A3CE6"/>
    <w:rsid w:val="007A6087"/>
    <w:rsid w:val="007B0397"/>
    <w:rsid w:val="007B2229"/>
    <w:rsid w:val="007B3895"/>
    <w:rsid w:val="007B4566"/>
    <w:rsid w:val="007B4B4E"/>
    <w:rsid w:val="007B790D"/>
    <w:rsid w:val="007C038F"/>
    <w:rsid w:val="007C2992"/>
    <w:rsid w:val="007D1354"/>
    <w:rsid w:val="007D23DD"/>
    <w:rsid w:val="007D3436"/>
    <w:rsid w:val="007D48A3"/>
    <w:rsid w:val="007D4ABC"/>
    <w:rsid w:val="007D622B"/>
    <w:rsid w:val="007E01F7"/>
    <w:rsid w:val="007E48DD"/>
    <w:rsid w:val="007E4959"/>
    <w:rsid w:val="007E7139"/>
    <w:rsid w:val="007F1747"/>
    <w:rsid w:val="007F1F80"/>
    <w:rsid w:val="007F2333"/>
    <w:rsid w:val="007F70EC"/>
    <w:rsid w:val="007F73CA"/>
    <w:rsid w:val="00801AC0"/>
    <w:rsid w:val="00801C99"/>
    <w:rsid w:val="00803C13"/>
    <w:rsid w:val="00805FD4"/>
    <w:rsid w:val="0080629A"/>
    <w:rsid w:val="008075E6"/>
    <w:rsid w:val="00810579"/>
    <w:rsid w:val="00810BEA"/>
    <w:rsid w:val="00811193"/>
    <w:rsid w:val="00811850"/>
    <w:rsid w:val="00815E66"/>
    <w:rsid w:val="00816208"/>
    <w:rsid w:val="00816708"/>
    <w:rsid w:val="00817609"/>
    <w:rsid w:val="00817EC5"/>
    <w:rsid w:val="008272B9"/>
    <w:rsid w:val="008301F8"/>
    <w:rsid w:val="00830D6B"/>
    <w:rsid w:val="008329C4"/>
    <w:rsid w:val="00832C8E"/>
    <w:rsid w:val="0083325E"/>
    <w:rsid w:val="00834EDF"/>
    <w:rsid w:val="008379B6"/>
    <w:rsid w:val="00841F33"/>
    <w:rsid w:val="0084553F"/>
    <w:rsid w:val="0085217B"/>
    <w:rsid w:val="0085342E"/>
    <w:rsid w:val="0085714C"/>
    <w:rsid w:val="008577F5"/>
    <w:rsid w:val="008616B1"/>
    <w:rsid w:val="00861C0E"/>
    <w:rsid w:val="00862097"/>
    <w:rsid w:val="00863E2C"/>
    <w:rsid w:val="0086427C"/>
    <w:rsid w:val="008649E4"/>
    <w:rsid w:val="00871993"/>
    <w:rsid w:val="00877223"/>
    <w:rsid w:val="00880B94"/>
    <w:rsid w:val="00881B47"/>
    <w:rsid w:val="008825E2"/>
    <w:rsid w:val="00882C9A"/>
    <w:rsid w:val="00885F6F"/>
    <w:rsid w:val="008872C8"/>
    <w:rsid w:val="00887EB0"/>
    <w:rsid w:val="00890FC9"/>
    <w:rsid w:val="00893AA5"/>
    <w:rsid w:val="008941E8"/>
    <w:rsid w:val="00895385"/>
    <w:rsid w:val="008953DA"/>
    <w:rsid w:val="00895681"/>
    <w:rsid w:val="00895EEF"/>
    <w:rsid w:val="008A13D9"/>
    <w:rsid w:val="008A20C9"/>
    <w:rsid w:val="008A264B"/>
    <w:rsid w:val="008A27CB"/>
    <w:rsid w:val="008A5662"/>
    <w:rsid w:val="008B0E84"/>
    <w:rsid w:val="008B1C06"/>
    <w:rsid w:val="008B1E4D"/>
    <w:rsid w:val="008B271A"/>
    <w:rsid w:val="008B59CF"/>
    <w:rsid w:val="008C2728"/>
    <w:rsid w:val="008C2741"/>
    <w:rsid w:val="008C2C4C"/>
    <w:rsid w:val="008C32C0"/>
    <w:rsid w:val="008C5B13"/>
    <w:rsid w:val="008C7764"/>
    <w:rsid w:val="008C7901"/>
    <w:rsid w:val="008C7A74"/>
    <w:rsid w:val="008D01F2"/>
    <w:rsid w:val="008D0C48"/>
    <w:rsid w:val="008D1A0A"/>
    <w:rsid w:val="008D3758"/>
    <w:rsid w:val="008D4C9C"/>
    <w:rsid w:val="008D6989"/>
    <w:rsid w:val="008E034B"/>
    <w:rsid w:val="008E0F84"/>
    <w:rsid w:val="008E142B"/>
    <w:rsid w:val="008E1511"/>
    <w:rsid w:val="008E2570"/>
    <w:rsid w:val="008E46B2"/>
    <w:rsid w:val="008E61A8"/>
    <w:rsid w:val="008E6C4E"/>
    <w:rsid w:val="008F3C4F"/>
    <w:rsid w:val="008F5061"/>
    <w:rsid w:val="008F5B75"/>
    <w:rsid w:val="00901D93"/>
    <w:rsid w:val="00902545"/>
    <w:rsid w:val="009032C3"/>
    <w:rsid w:val="009034F4"/>
    <w:rsid w:val="0090508E"/>
    <w:rsid w:val="0091148E"/>
    <w:rsid w:val="00913AB7"/>
    <w:rsid w:val="00915E25"/>
    <w:rsid w:val="009163B9"/>
    <w:rsid w:val="00917343"/>
    <w:rsid w:val="00924DD6"/>
    <w:rsid w:val="00925BDB"/>
    <w:rsid w:val="00927B24"/>
    <w:rsid w:val="00931B63"/>
    <w:rsid w:val="00931C27"/>
    <w:rsid w:val="00931FA3"/>
    <w:rsid w:val="00936D1A"/>
    <w:rsid w:val="0094249E"/>
    <w:rsid w:val="00944679"/>
    <w:rsid w:val="00945CBD"/>
    <w:rsid w:val="00946347"/>
    <w:rsid w:val="00946EA9"/>
    <w:rsid w:val="00947EFA"/>
    <w:rsid w:val="00952BCA"/>
    <w:rsid w:val="0095326D"/>
    <w:rsid w:val="00954F65"/>
    <w:rsid w:val="009552B1"/>
    <w:rsid w:val="00956E38"/>
    <w:rsid w:val="00957115"/>
    <w:rsid w:val="0095794A"/>
    <w:rsid w:val="00963242"/>
    <w:rsid w:val="00970327"/>
    <w:rsid w:val="00971299"/>
    <w:rsid w:val="00972E78"/>
    <w:rsid w:val="009756EB"/>
    <w:rsid w:val="0097694B"/>
    <w:rsid w:val="00976A29"/>
    <w:rsid w:val="00981890"/>
    <w:rsid w:val="009857FD"/>
    <w:rsid w:val="00987D95"/>
    <w:rsid w:val="00995AA7"/>
    <w:rsid w:val="00995C88"/>
    <w:rsid w:val="0099711B"/>
    <w:rsid w:val="00997A57"/>
    <w:rsid w:val="00997B38"/>
    <w:rsid w:val="009A1127"/>
    <w:rsid w:val="009A4869"/>
    <w:rsid w:val="009A7C34"/>
    <w:rsid w:val="009B08BA"/>
    <w:rsid w:val="009B3BFF"/>
    <w:rsid w:val="009B4FBF"/>
    <w:rsid w:val="009B54ED"/>
    <w:rsid w:val="009B60B0"/>
    <w:rsid w:val="009B679A"/>
    <w:rsid w:val="009B731A"/>
    <w:rsid w:val="009C0F19"/>
    <w:rsid w:val="009C4DF1"/>
    <w:rsid w:val="009C51D5"/>
    <w:rsid w:val="009C52E5"/>
    <w:rsid w:val="009C72DC"/>
    <w:rsid w:val="009D2A50"/>
    <w:rsid w:val="009D36E3"/>
    <w:rsid w:val="009D7BB8"/>
    <w:rsid w:val="009E1AD3"/>
    <w:rsid w:val="009E28F8"/>
    <w:rsid w:val="009F0CA2"/>
    <w:rsid w:val="009F2719"/>
    <w:rsid w:val="009F7537"/>
    <w:rsid w:val="00A00264"/>
    <w:rsid w:val="00A027F0"/>
    <w:rsid w:val="00A02E19"/>
    <w:rsid w:val="00A07837"/>
    <w:rsid w:val="00A07A5D"/>
    <w:rsid w:val="00A1010F"/>
    <w:rsid w:val="00A10AF5"/>
    <w:rsid w:val="00A11AFB"/>
    <w:rsid w:val="00A1390B"/>
    <w:rsid w:val="00A14B9B"/>
    <w:rsid w:val="00A17917"/>
    <w:rsid w:val="00A20760"/>
    <w:rsid w:val="00A22591"/>
    <w:rsid w:val="00A246F5"/>
    <w:rsid w:val="00A255E2"/>
    <w:rsid w:val="00A2710F"/>
    <w:rsid w:val="00A2765E"/>
    <w:rsid w:val="00A277D6"/>
    <w:rsid w:val="00A34B9B"/>
    <w:rsid w:val="00A40228"/>
    <w:rsid w:val="00A40F77"/>
    <w:rsid w:val="00A42817"/>
    <w:rsid w:val="00A45B30"/>
    <w:rsid w:val="00A471B3"/>
    <w:rsid w:val="00A4784E"/>
    <w:rsid w:val="00A51240"/>
    <w:rsid w:val="00A546F8"/>
    <w:rsid w:val="00A60C4F"/>
    <w:rsid w:val="00A66A59"/>
    <w:rsid w:val="00A66F9B"/>
    <w:rsid w:val="00A66FC4"/>
    <w:rsid w:val="00A6758B"/>
    <w:rsid w:val="00A72C95"/>
    <w:rsid w:val="00A738D2"/>
    <w:rsid w:val="00A7486E"/>
    <w:rsid w:val="00A7519A"/>
    <w:rsid w:val="00A82F0E"/>
    <w:rsid w:val="00A84A2E"/>
    <w:rsid w:val="00A85D9D"/>
    <w:rsid w:val="00A861A0"/>
    <w:rsid w:val="00A9409F"/>
    <w:rsid w:val="00A97908"/>
    <w:rsid w:val="00AA1349"/>
    <w:rsid w:val="00AA1DC9"/>
    <w:rsid w:val="00AA2446"/>
    <w:rsid w:val="00AA2612"/>
    <w:rsid w:val="00AA2E75"/>
    <w:rsid w:val="00AA63F4"/>
    <w:rsid w:val="00AA6CC1"/>
    <w:rsid w:val="00AA6DBA"/>
    <w:rsid w:val="00AA6DC3"/>
    <w:rsid w:val="00AB36C1"/>
    <w:rsid w:val="00AB595C"/>
    <w:rsid w:val="00AC0122"/>
    <w:rsid w:val="00AC13B6"/>
    <w:rsid w:val="00AC2CEA"/>
    <w:rsid w:val="00AC4D33"/>
    <w:rsid w:val="00AC7C79"/>
    <w:rsid w:val="00AD17AE"/>
    <w:rsid w:val="00AD36CF"/>
    <w:rsid w:val="00AD48D9"/>
    <w:rsid w:val="00AD742F"/>
    <w:rsid w:val="00AE18F2"/>
    <w:rsid w:val="00AE30AA"/>
    <w:rsid w:val="00AE60EF"/>
    <w:rsid w:val="00AF62D0"/>
    <w:rsid w:val="00AF62F7"/>
    <w:rsid w:val="00AF6F47"/>
    <w:rsid w:val="00AF707D"/>
    <w:rsid w:val="00AF7692"/>
    <w:rsid w:val="00AF7E09"/>
    <w:rsid w:val="00AF7F06"/>
    <w:rsid w:val="00B056BE"/>
    <w:rsid w:val="00B10600"/>
    <w:rsid w:val="00B112BA"/>
    <w:rsid w:val="00B1155B"/>
    <w:rsid w:val="00B1504D"/>
    <w:rsid w:val="00B15F65"/>
    <w:rsid w:val="00B1761E"/>
    <w:rsid w:val="00B20267"/>
    <w:rsid w:val="00B20EF5"/>
    <w:rsid w:val="00B21B7A"/>
    <w:rsid w:val="00B23779"/>
    <w:rsid w:val="00B26584"/>
    <w:rsid w:val="00B33A6B"/>
    <w:rsid w:val="00B3610D"/>
    <w:rsid w:val="00B4099F"/>
    <w:rsid w:val="00B44336"/>
    <w:rsid w:val="00B449BB"/>
    <w:rsid w:val="00B45225"/>
    <w:rsid w:val="00B460BA"/>
    <w:rsid w:val="00B505AB"/>
    <w:rsid w:val="00B53577"/>
    <w:rsid w:val="00B552FF"/>
    <w:rsid w:val="00B5635D"/>
    <w:rsid w:val="00B604B6"/>
    <w:rsid w:val="00B6119E"/>
    <w:rsid w:val="00B71B56"/>
    <w:rsid w:val="00B74488"/>
    <w:rsid w:val="00B76627"/>
    <w:rsid w:val="00B86AE4"/>
    <w:rsid w:val="00B86BAA"/>
    <w:rsid w:val="00B90304"/>
    <w:rsid w:val="00B92EF2"/>
    <w:rsid w:val="00B93D2E"/>
    <w:rsid w:val="00B97DA3"/>
    <w:rsid w:val="00BA00C1"/>
    <w:rsid w:val="00BA2E30"/>
    <w:rsid w:val="00BA31ED"/>
    <w:rsid w:val="00BA3A5A"/>
    <w:rsid w:val="00BB01E5"/>
    <w:rsid w:val="00BB2B6C"/>
    <w:rsid w:val="00BB3DAA"/>
    <w:rsid w:val="00BB4064"/>
    <w:rsid w:val="00BB40EA"/>
    <w:rsid w:val="00BB4842"/>
    <w:rsid w:val="00BB6912"/>
    <w:rsid w:val="00BB76C0"/>
    <w:rsid w:val="00BC20C2"/>
    <w:rsid w:val="00BC33E9"/>
    <w:rsid w:val="00BC5ED8"/>
    <w:rsid w:val="00BD042F"/>
    <w:rsid w:val="00BD0511"/>
    <w:rsid w:val="00BD0D29"/>
    <w:rsid w:val="00BD1622"/>
    <w:rsid w:val="00BD2839"/>
    <w:rsid w:val="00BD29D8"/>
    <w:rsid w:val="00BD3B81"/>
    <w:rsid w:val="00BD49E1"/>
    <w:rsid w:val="00BD4ADD"/>
    <w:rsid w:val="00BE0D70"/>
    <w:rsid w:val="00BE353F"/>
    <w:rsid w:val="00BE3860"/>
    <w:rsid w:val="00BE38F4"/>
    <w:rsid w:val="00BE5CE8"/>
    <w:rsid w:val="00BE5DA3"/>
    <w:rsid w:val="00BE5E2F"/>
    <w:rsid w:val="00BF3551"/>
    <w:rsid w:val="00BF44AA"/>
    <w:rsid w:val="00BF77C1"/>
    <w:rsid w:val="00C05D2C"/>
    <w:rsid w:val="00C111B0"/>
    <w:rsid w:val="00C1155D"/>
    <w:rsid w:val="00C11F68"/>
    <w:rsid w:val="00C1584A"/>
    <w:rsid w:val="00C16A8F"/>
    <w:rsid w:val="00C17C24"/>
    <w:rsid w:val="00C20CC4"/>
    <w:rsid w:val="00C249F9"/>
    <w:rsid w:val="00C25896"/>
    <w:rsid w:val="00C25901"/>
    <w:rsid w:val="00C26ABF"/>
    <w:rsid w:val="00C316E6"/>
    <w:rsid w:val="00C31E15"/>
    <w:rsid w:val="00C35B46"/>
    <w:rsid w:val="00C4388B"/>
    <w:rsid w:val="00C43F2F"/>
    <w:rsid w:val="00C44B6E"/>
    <w:rsid w:val="00C44CDB"/>
    <w:rsid w:val="00C454C2"/>
    <w:rsid w:val="00C50937"/>
    <w:rsid w:val="00C520B7"/>
    <w:rsid w:val="00C534F7"/>
    <w:rsid w:val="00C57BB6"/>
    <w:rsid w:val="00C621F4"/>
    <w:rsid w:val="00C641ED"/>
    <w:rsid w:val="00C66233"/>
    <w:rsid w:val="00C666F3"/>
    <w:rsid w:val="00C66B56"/>
    <w:rsid w:val="00C66E45"/>
    <w:rsid w:val="00C66E89"/>
    <w:rsid w:val="00C71F97"/>
    <w:rsid w:val="00C72E58"/>
    <w:rsid w:val="00C8002E"/>
    <w:rsid w:val="00C82FD6"/>
    <w:rsid w:val="00C87790"/>
    <w:rsid w:val="00C877E8"/>
    <w:rsid w:val="00C87914"/>
    <w:rsid w:val="00C93FAC"/>
    <w:rsid w:val="00CA03E5"/>
    <w:rsid w:val="00CA0878"/>
    <w:rsid w:val="00CA09EF"/>
    <w:rsid w:val="00CA0B4F"/>
    <w:rsid w:val="00CA18E1"/>
    <w:rsid w:val="00CA3918"/>
    <w:rsid w:val="00CA4075"/>
    <w:rsid w:val="00CA6AF9"/>
    <w:rsid w:val="00CB11EC"/>
    <w:rsid w:val="00CB1351"/>
    <w:rsid w:val="00CB13D2"/>
    <w:rsid w:val="00CB1D9A"/>
    <w:rsid w:val="00CB2B6C"/>
    <w:rsid w:val="00CB3EFE"/>
    <w:rsid w:val="00CB4A83"/>
    <w:rsid w:val="00CB7739"/>
    <w:rsid w:val="00CB7FB2"/>
    <w:rsid w:val="00CC09E7"/>
    <w:rsid w:val="00CC4147"/>
    <w:rsid w:val="00CC700B"/>
    <w:rsid w:val="00CC717E"/>
    <w:rsid w:val="00CD1EE7"/>
    <w:rsid w:val="00CD3F65"/>
    <w:rsid w:val="00CD55F5"/>
    <w:rsid w:val="00CD5D5B"/>
    <w:rsid w:val="00CE0470"/>
    <w:rsid w:val="00CE3BD9"/>
    <w:rsid w:val="00CE406E"/>
    <w:rsid w:val="00CF12DC"/>
    <w:rsid w:val="00CF236A"/>
    <w:rsid w:val="00CF3156"/>
    <w:rsid w:val="00CF42CC"/>
    <w:rsid w:val="00CF5604"/>
    <w:rsid w:val="00D118CF"/>
    <w:rsid w:val="00D11CCC"/>
    <w:rsid w:val="00D14DFE"/>
    <w:rsid w:val="00D15DE4"/>
    <w:rsid w:val="00D1719D"/>
    <w:rsid w:val="00D20C60"/>
    <w:rsid w:val="00D26E4C"/>
    <w:rsid w:val="00D306EE"/>
    <w:rsid w:val="00D30CE2"/>
    <w:rsid w:val="00D30F6C"/>
    <w:rsid w:val="00D34E41"/>
    <w:rsid w:val="00D46AE6"/>
    <w:rsid w:val="00D47540"/>
    <w:rsid w:val="00D50387"/>
    <w:rsid w:val="00D525CC"/>
    <w:rsid w:val="00D52E3E"/>
    <w:rsid w:val="00D6558B"/>
    <w:rsid w:val="00D65678"/>
    <w:rsid w:val="00D66DDA"/>
    <w:rsid w:val="00D67971"/>
    <w:rsid w:val="00D70216"/>
    <w:rsid w:val="00D71A8A"/>
    <w:rsid w:val="00D7329F"/>
    <w:rsid w:val="00D77720"/>
    <w:rsid w:val="00D82211"/>
    <w:rsid w:val="00D83366"/>
    <w:rsid w:val="00D83F63"/>
    <w:rsid w:val="00D87360"/>
    <w:rsid w:val="00D87A5F"/>
    <w:rsid w:val="00D90FB7"/>
    <w:rsid w:val="00D9130F"/>
    <w:rsid w:val="00D92448"/>
    <w:rsid w:val="00D93465"/>
    <w:rsid w:val="00D95B6F"/>
    <w:rsid w:val="00D9626A"/>
    <w:rsid w:val="00DA0E66"/>
    <w:rsid w:val="00DA210B"/>
    <w:rsid w:val="00DA4CF8"/>
    <w:rsid w:val="00DA513B"/>
    <w:rsid w:val="00DA6871"/>
    <w:rsid w:val="00DA7417"/>
    <w:rsid w:val="00DB3509"/>
    <w:rsid w:val="00DB4E78"/>
    <w:rsid w:val="00DB7AF8"/>
    <w:rsid w:val="00DC016C"/>
    <w:rsid w:val="00DC096A"/>
    <w:rsid w:val="00DC098E"/>
    <w:rsid w:val="00DC1FD9"/>
    <w:rsid w:val="00DC7AF8"/>
    <w:rsid w:val="00DD1F71"/>
    <w:rsid w:val="00DD36CD"/>
    <w:rsid w:val="00DD3C76"/>
    <w:rsid w:val="00DD69CD"/>
    <w:rsid w:val="00DE2607"/>
    <w:rsid w:val="00DE30E6"/>
    <w:rsid w:val="00DE4209"/>
    <w:rsid w:val="00DE4582"/>
    <w:rsid w:val="00DE4A18"/>
    <w:rsid w:val="00DE4C18"/>
    <w:rsid w:val="00DE4FC5"/>
    <w:rsid w:val="00DE6A01"/>
    <w:rsid w:val="00DE6B9E"/>
    <w:rsid w:val="00DF31B7"/>
    <w:rsid w:val="00E005F5"/>
    <w:rsid w:val="00E00CC3"/>
    <w:rsid w:val="00E011FE"/>
    <w:rsid w:val="00E02D9A"/>
    <w:rsid w:val="00E02E5D"/>
    <w:rsid w:val="00E03DC4"/>
    <w:rsid w:val="00E04905"/>
    <w:rsid w:val="00E05E73"/>
    <w:rsid w:val="00E062B9"/>
    <w:rsid w:val="00E0788F"/>
    <w:rsid w:val="00E14080"/>
    <w:rsid w:val="00E14ADA"/>
    <w:rsid w:val="00E15C9A"/>
    <w:rsid w:val="00E2411C"/>
    <w:rsid w:val="00E35850"/>
    <w:rsid w:val="00E35AE4"/>
    <w:rsid w:val="00E4006A"/>
    <w:rsid w:val="00E42459"/>
    <w:rsid w:val="00E42C2F"/>
    <w:rsid w:val="00E42C7D"/>
    <w:rsid w:val="00E467B9"/>
    <w:rsid w:val="00E47812"/>
    <w:rsid w:val="00E5024D"/>
    <w:rsid w:val="00E50CF8"/>
    <w:rsid w:val="00E5186E"/>
    <w:rsid w:val="00E538AA"/>
    <w:rsid w:val="00E5709C"/>
    <w:rsid w:val="00E655F4"/>
    <w:rsid w:val="00E65BF2"/>
    <w:rsid w:val="00E66F47"/>
    <w:rsid w:val="00E700B1"/>
    <w:rsid w:val="00E72200"/>
    <w:rsid w:val="00E73974"/>
    <w:rsid w:val="00E7735F"/>
    <w:rsid w:val="00E77553"/>
    <w:rsid w:val="00E775F0"/>
    <w:rsid w:val="00E77E25"/>
    <w:rsid w:val="00E84C9A"/>
    <w:rsid w:val="00E87D34"/>
    <w:rsid w:val="00E903B7"/>
    <w:rsid w:val="00E90C78"/>
    <w:rsid w:val="00E942AF"/>
    <w:rsid w:val="00E9437D"/>
    <w:rsid w:val="00E948A8"/>
    <w:rsid w:val="00E95102"/>
    <w:rsid w:val="00E95ABA"/>
    <w:rsid w:val="00EA06C5"/>
    <w:rsid w:val="00EA2CCA"/>
    <w:rsid w:val="00EA56C3"/>
    <w:rsid w:val="00EB1519"/>
    <w:rsid w:val="00EB242D"/>
    <w:rsid w:val="00EB37CA"/>
    <w:rsid w:val="00EB59CF"/>
    <w:rsid w:val="00EB6A7C"/>
    <w:rsid w:val="00EB7205"/>
    <w:rsid w:val="00EB7A75"/>
    <w:rsid w:val="00EC062B"/>
    <w:rsid w:val="00EC1716"/>
    <w:rsid w:val="00EC495C"/>
    <w:rsid w:val="00EC5F89"/>
    <w:rsid w:val="00ED1526"/>
    <w:rsid w:val="00ED293A"/>
    <w:rsid w:val="00ED31C3"/>
    <w:rsid w:val="00ED34D7"/>
    <w:rsid w:val="00ED3803"/>
    <w:rsid w:val="00ED3D1B"/>
    <w:rsid w:val="00ED6914"/>
    <w:rsid w:val="00EE2CCB"/>
    <w:rsid w:val="00EE49FD"/>
    <w:rsid w:val="00EF1794"/>
    <w:rsid w:val="00EF57D1"/>
    <w:rsid w:val="00EF615A"/>
    <w:rsid w:val="00EF6D90"/>
    <w:rsid w:val="00F003AB"/>
    <w:rsid w:val="00F0301D"/>
    <w:rsid w:val="00F034B9"/>
    <w:rsid w:val="00F03AE0"/>
    <w:rsid w:val="00F057A7"/>
    <w:rsid w:val="00F069F2"/>
    <w:rsid w:val="00F07C36"/>
    <w:rsid w:val="00F1181A"/>
    <w:rsid w:val="00F15E68"/>
    <w:rsid w:val="00F2122C"/>
    <w:rsid w:val="00F26081"/>
    <w:rsid w:val="00F268F9"/>
    <w:rsid w:val="00F32F2B"/>
    <w:rsid w:val="00F3313E"/>
    <w:rsid w:val="00F359EB"/>
    <w:rsid w:val="00F3694F"/>
    <w:rsid w:val="00F40390"/>
    <w:rsid w:val="00F42871"/>
    <w:rsid w:val="00F42CB9"/>
    <w:rsid w:val="00F43F05"/>
    <w:rsid w:val="00F44CDD"/>
    <w:rsid w:val="00F51E2B"/>
    <w:rsid w:val="00F523EE"/>
    <w:rsid w:val="00F53832"/>
    <w:rsid w:val="00F53CC5"/>
    <w:rsid w:val="00F628DD"/>
    <w:rsid w:val="00F6532C"/>
    <w:rsid w:val="00F65A06"/>
    <w:rsid w:val="00F67A38"/>
    <w:rsid w:val="00F725D1"/>
    <w:rsid w:val="00F75B09"/>
    <w:rsid w:val="00F76467"/>
    <w:rsid w:val="00F7702A"/>
    <w:rsid w:val="00F83C29"/>
    <w:rsid w:val="00F84BB2"/>
    <w:rsid w:val="00FA13E7"/>
    <w:rsid w:val="00FA230E"/>
    <w:rsid w:val="00FA2D13"/>
    <w:rsid w:val="00FA3710"/>
    <w:rsid w:val="00FA438C"/>
    <w:rsid w:val="00FB0098"/>
    <w:rsid w:val="00FB32E2"/>
    <w:rsid w:val="00FB4B1C"/>
    <w:rsid w:val="00FC3D17"/>
    <w:rsid w:val="00FC7C9E"/>
    <w:rsid w:val="00FD3357"/>
    <w:rsid w:val="00FD3460"/>
    <w:rsid w:val="00FD3F0C"/>
    <w:rsid w:val="00FD66EC"/>
    <w:rsid w:val="00FE0EC7"/>
    <w:rsid w:val="00FE2CFC"/>
    <w:rsid w:val="00FE56F1"/>
    <w:rsid w:val="00FE5E2C"/>
    <w:rsid w:val="00FE6198"/>
    <w:rsid w:val="00FE684B"/>
    <w:rsid w:val="00FE7187"/>
    <w:rsid w:val="00FE79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E9A6B03"/>
  <w15:docId w15:val="{0114E385-593C-4634-BFDA-FCB04A40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3D17"/>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dstavek">
    <w:name w:val="Odstavek"/>
    <w:basedOn w:val="Navaden"/>
    <w:link w:val="OdstavekZnak"/>
    <w:qFormat/>
    <w:rsid w:val="00EC495C"/>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sid w:val="00EC495C"/>
    <w:rPr>
      <w:rFonts w:ascii="Arial" w:eastAsia="Times New Roman" w:hAnsi="Arial" w:cs="Times New Roman"/>
    </w:rPr>
  </w:style>
  <w:style w:type="paragraph" w:customStyle="1" w:styleId="Default">
    <w:name w:val="Default"/>
    <w:rsid w:val="00EC495C"/>
    <w:pPr>
      <w:autoSpaceDE w:val="0"/>
      <w:autoSpaceDN w:val="0"/>
      <w:adjustRightInd w:val="0"/>
      <w:spacing w:after="0" w:line="240" w:lineRule="auto"/>
    </w:pPr>
    <w:rPr>
      <w:rFonts w:ascii="Arial" w:eastAsia="Calibri" w:hAnsi="Arial" w:cs="Arial"/>
      <w:color w:val="000000"/>
      <w:sz w:val="24"/>
      <w:szCs w:val="24"/>
    </w:rPr>
  </w:style>
  <w:style w:type="paragraph" w:customStyle="1" w:styleId="len">
    <w:name w:val="Člen"/>
    <w:basedOn w:val="Navaden"/>
    <w:link w:val="lenZnak"/>
    <w:qFormat/>
    <w:rsid w:val="00EC495C"/>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
    <w:rsid w:val="00EC495C"/>
    <w:rPr>
      <w:rFonts w:ascii="Arial" w:eastAsia="Times New Roman" w:hAnsi="Arial" w:cs="Times New Roman"/>
      <w:b/>
    </w:rPr>
  </w:style>
  <w:style w:type="paragraph" w:customStyle="1" w:styleId="lennaslov">
    <w:name w:val="Člen_naslov"/>
    <w:basedOn w:val="len"/>
    <w:qFormat/>
    <w:rsid w:val="00EC495C"/>
    <w:pPr>
      <w:spacing w:before="0"/>
    </w:pPr>
  </w:style>
  <w:style w:type="paragraph" w:customStyle="1" w:styleId="tevilnatoka111">
    <w:name w:val="Številčna točka 1.1.1"/>
    <w:basedOn w:val="Navaden"/>
    <w:qFormat/>
    <w:rsid w:val="00EC495C"/>
    <w:pPr>
      <w:widowControl w:val="0"/>
      <w:numPr>
        <w:ilvl w:val="2"/>
        <w:numId w:val="2"/>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avaden"/>
    <w:link w:val="tevilnatokaZnak"/>
    <w:qFormat/>
    <w:rsid w:val="00EC495C"/>
    <w:pPr>
      <w:numPr>
        <w:numId w:val="2"/>
      </w:numPr>
      <w:spacing w:line="240" w:lineRule="auto"/>
      <w:jc w:val="both"/>
    </w:pPr>
    <w:rPr>
      <w:sz w:val="22"/>
      <w:szCs w:val="22"/>
    </w:rPr>
  </w:style>
  <w:style w:type="character" w:customStyle="1" w:styleId="tevilnatokaZnak">
    <w:name w:val="Številčna točka Znak"/>
    <w:link w:val="tevilnatoka"/>
    <w:rsid w:val="00EC495C"/>
    <w:rPr>
      <w:rFonts w:ascii="Arial" w:eastAsia="Times New Roman" w:hAnsi="Arial" w:cs="Times New Roman"/>
    </w:rPr>
  </w:style>
  <w:style w:type="paragraph" w:customStyle="1" w:styleId="tevilnatoka11Nova">
    <w:name w:val="Številčna točka 1.1 Nova"/>
    <w:basedOn w:val="tevilnatoka"/>
    <w:qFormat/>
    <w:rsid w:val="00EC495C"/>
    <w:pPr>
      <w:numPr>
        <w:ilvl w:val="1"/>
      </w:numPr>
      <w:tabs>
        <w:tab w:val="clear" w:pos="425"/>
        <w:tab w:val="num" w:pos="360"/>
      </w:tabs>
      <w:ind w:left="1080" w:hanging="360"/>
    </w:pPr>
  </w:style>
  <w:style w:type="paragraph" w:customStyle="1" w:styleId="Alineazaodstavkom">
    <w:name w:val="Alinea za odstavkom"/>
    <w:basedOn w:val="Navaden"/>
    <w:link w:val="AlineazaodstavkomZnak"/>
    <w:qFormat/>
    <w:rsid w:val="00EC495C"/>
    <w:pPr>
      <w:numPr>
        <w:numId w:val="1"/>
      </w:numPr>
      <w:spacing w:line="240" w:lineRule="auto"/>
      <w:jc w:val="both"/>
    </w:pPr>
    <w:rPr>
      <w:rFonts w:cs="Arial"/>
      <w:sz w:val="22"/>
      <w:szCs w:val="22"/>
      <w:lang w:eastAsia="sl-SI"/>
    </w:rPr>
  </w:style>
  <w:style w:type="character" w:customStyle="1" w:styleId="AlineazaodstavkomZnak">
    <w:name w:val="Alinea za odstavkom Znak"/>
    <w:basedOn w:val="Privzetapisavaodstavka"/>
    <w:link w:val="Alineazaodstavkom"/>
    <w:rsid w:val="00EC495C"/>
    <w:rPr>
      <w:rFonts w:ascii="Arial" w:eastAsia="Times New Roman" w:hAnsi="Arial" w:cs="Arial"/>
      <w:lang w:eastAsia="sl-SI"/>
    </w:rPr>
  </w:style>
  <w:style w:type="paragraph" w:customStyle="1" w:styleId="CM4">
    <w:name w:val="CM4"/>
    <w:basedOn w:val="Default"/>
    <w:next w:val="Default"/>
    <w:uiPriority w:val="99"/>
    <w:rsid w:val="00EC495C"/>
    <w:rPr>
      <w:rFonts w:ascii="EU Albertina" w:eastAsiaTheme="minorHAnsi" w:hAnsi="EU Albertina" w:cstheme="minorBidi"/>
      <w:color w:val="auto"/>
    </w:rPr>
  </w:style>
  <w:style w:type="paragraph" w:customStyle="1" w:styleId="Poglavje">
    <w:name w:val="Poglavje"/>
    <w:basedOn w:val="Navaden"/>
    <w:qFormat/>
    <w:rsid w:val="00EC495C"/>
    <w:pPr>
      <w:suppressAutoHyphens/>
      <w:spacing w:before="480" w:line="240" w:lineRule="auto"/>
      <w:ind w:firstLine="1021"/>
      <w:jc w:val="center"/>
    </w:pPr>
    <w:rPr>
      <w:rFonts w:cs="Arial"/>
      <w:sz w:val="22"/>
      <w:szCs w:val="22"/>
      <w:lang w:eastAsia="sl-SI"/>
    </w:rPr>
  </w:style>
  <w:style w:type="paragraph" w:customStyle="1" w:styleId="odstavek0">
    <w:name w:val="odstavek"/>
    <w:basedOn w:val="Navaden"/>
    <w:rsid w:val="00EC495C"/>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link w:val="OdstavekseznamaZnak"/>
    <w:uiPriority w:val="34"/>
    <w:qFormat/>
    <w:rsid w:val="00F725D1"/>
    <w:pPr>
      <w:ind w:left="720"/>
      <w:contextualSpacing/>
    </w:pPr>
  </w:style>
  <w:style w:type="character" w:customStyle="1" w:styleId="Sprotnaopomba-besediloZnak">
    <w:name w:val="Sprotna opomba - besedilo Znak"/>
    <w:aliases w:val="Footnote Znak,Fußnote Znak,C26 Footnote body Znak,FSR footnote Znak,lábléc Znak,Footnote Text Char Char Znak,text Znak,Footnote Char Znak,Fußnote Char Znak,Voetnoottekst Char Znak,Voetnoottekst Char1 Char Znak,fn Znak"/>
    <w:basedOn w:val="Privzetapisavaodstavka"/>
    <w:link w:val="Sprotnaopomba-besedilo"/>
    <w:uiPriority w:val="99"/>
    <w:semiHidden/>
    <w:locked/>
    <w:rsid w:val="008C2741"/>
    <w:rPr>
      <w:lang w:eastAsia="zh-CN"/>
    </w:rPr>
  </w:style>
  <w:style w:type="paragraph" w:styleId="Sprotnaopomba-besedilo">
    <w:name w:val="footnote text"/>
    <w:aliases w:val="Footnote,Fußnote,C26 Footnote body,FSR footnote,lábléc,Footnote Text Char Char,text,Footnote Char,Fußnote Char,Voetnoottekst Char,Voetnoottekst Char1 Char,Voetnoottekst Char Char Char,Footnote Char Char Char,fn,Fußnotentext Ch"/>
    <w:basedOn w:val="Navaden"/>
    <w:link w:val="Sprotnaopomba-besediloZnak"/>
    <w:uiPriority w:val="99"/>
    <w:semiHidden/>
    <w:unhideWhenUsed/>
    <w:rsid w:val="008C2741"/>
    <w:pPr>
      <w:spacing w:line="240" w:lineRule="auto"/>
      <w:jc w:val="both"/>
    </w:pPr>
    <w:rPr>
      <w:rFonts w:asciiTheme="minorHAnsi" w:eastAsiaTheme="minorHAnsi" w:hAnsiTheme="minorHAnsi" w:cstheme="minorBidi"/>
      <w:sz w:val="22"/>
      <w:szCs w:val="22"/>
      <w:lang w:eastAsia="zh-CN"/>
    </w:rPr>
  </w:style>
  <w:style w:type="character" w:customStyle="1" w:styleId="FootnoteTextChar1">
    <w:name w:val="Footnote Text Char1"/>
    <w:basedOn w:val="Privzetapisavaodstavka"/>
    <w:uiPriority w:val="99"/>
    <w:semiHidden/>
    <w:rsid w:val="008C2741"/>
    <w:rPr>
      <w:rFonts w:ascii="Arial" w:eastAsia="Times New Roman" w:hAnsi="Arial" w:cs="Times New Roman"/>
      <w:sz w:val="20"/>
      <w:szCs w:val="20"/>
    </w:rPr>
  </w:style>
  <w:style w:type="paragraph" w:styleId="Pripombabesedilo">
    <w:name w:val="annotation text"/>
    <w:basedOn w:val="Navaden"/>
    <w:link w:val="PripombabesediloZnak"/>
    <w:uiPriority w:val="99"/>
    <w:unhideWhenUsed/>
    <w:rsid w:val="008C2741"/>
    <w:rPr>
      <w:szCs w:val="20"/>
      <w:lang w:val="en-US"/>
    </w:rPr>
  </w:style>
  <w:style w:type="character" w:customStyle="1" w:styleId="PripombabesediloZnak">
    <w:name w:val="Pripomba – besedilo Znak"/>
    <w:basedOn w:val="Privzetapisavaodstavka"/>
    <w:link w:val="Pripombabesedilo"/>
    <w:uiPriority w:val="99"/>
    <w:rsid w:val="008C2741"/>
    <w:rPr>
      <w:rFonts w:ascii="Arial" w:eastAsia="Times New Roman" w:hAnsi="Arial" w:cs="Times New Roman"/>
      <w:sz w:val="20"/>
      <w:szCs w:val="20"/>
      <w:lang w:val="en-US"/>
    </w:rPr>
  </w:style>
  <w:style w:type="character" w:customStyle="1" w:styleId="BrezrazmikovZnak">
    <w:name w:val="Brez razmikov Znak"/>
    <w:link w:val="Brezrazmikov"/>
    <w:uiPriority w:val="1"/>
    <w:locked/>
    <w:rsid w:val="008C2741"/>
    <w:rPr>
      <w:rFonts w:ascii="Arial" w:hAnsi="Arial" w:cs="Arial"/>
      <w:szCs w:val="24"/>
      <w:lang w:val="en-US"/>
    </w:rPr>
  </w:style>
  <w:style w:type="paragraph" w:styleId="Brezrazmikov">
    <w:name w:val="No Spacing"/>
    <w:link w:val="BrezrazmikovZnak"/>
    <w:uiPriority w:val="1"/>
    <w:qFormat/>
    <w:rsid w:val="008C2741"/>
    <w:pPr>
      <w:spacing w:after="0" w:line="240" w:lineRule="auto"/>
    </w:pPr>
    <w:rPr>
      <w:rFonts w:ascii="Arial" w:hAnsi="Arial" w:cs="Arial"/>
      <w:szCs w:val="24"/>
      <w:lang w:val="en-US"/>
    </w:rPr>
  </w:style>
  <w:style w:type="character" w:customStyle="1" w:styleId="OdstavekseznamaZnak">
    <w:name w:val="Odstavek seznama Znak"/>
    <w:link w:val="Odstavekseznama"/>
    <w:uiPriority w:val="34"/>
    <w:locked/>
    <w:rsid w:val="008C2741"/>
    <w:rPr>
      <w:rFonts w:ascii="Arial" w:eastAsia="Times New Roman" w:hAnsi="Arial" w:cs="Times New Roman"/>
      <w:sz w:val="20"/>
      <w:szCs w:val="24"/>
    </w:rPr>
  </w:style>
  <w:style w:type="paragraph" w:customStyle="1" w:styleId="CM3">
    <w:name w:val="CM3"/>
    <w:basedOn w:val="Default"/>
    <w:next w:val="Default"/>
    <w:uiPriority w:val="99"/>
    <w:rsid w:val="008C2741"/>
    <w:rPr>
      <w:rFonts w:ascii="EU Albertina" w:eastAsiaTheme="minorHAnsi" w:hAnsi="EU Albertina" w:cstheme="minorBidi"/>
      <w:color w:val="auto"/>
    </w:rPr>
  </w:style>
  <w:style w:type="character" w:styleId="Sprotnaopomba-sklic">
    <w:name w:val="footnote reference"/>
    <w:aliases w:val="Footnote Reference Number,Footnote Reference_LVL6,Footnote Reference_LVL61,Footnote Reference_LVL62,Footnote Reference_LVL63,Footnote Reference_LVL64,C26 Footnote Number,Footnote Reference_LVL65,Footnote symbol,Re"/>
    <w:uiPriority w:val="99"/>
    <w:semiHidden/>
    <w:unhideWhenUsed/>
    <w:qFormat/>
    <w:rsid w:val="008C2741"/>
    <w:rPr>
      <w:vertAlign w:val="superscript"/>
    </w:rPr>
  </w:style>
  <w:style w:type="character" w:styleId="Pripombasklic">
    <w:name w:val="annotation reference"/>
    <w:uiPriority w:val="99"/>
    <w:unhideWhenUsed/>
    <w:rsid w:val="008C2741"/>
    <w:rPr>
      <w:sz w:val="16"/>
      <w:szCs w:val="16"/>
    </w:rPr>
  </w:style>
  <w:style w:type="character" w:styleId="Hiperpovezava">
    <w:name w:val="Hyperlink"/>
    <w:basedOn w:val="Privzetapisavaodstavka"/>
    <w:uiPriority w:val="99"/>
    <w:unhideWhenUsed/>
    <w:rsid w:val="008C2741"/>
    <w:rPr>
      <w:color w:val="0000FF"/>
      <w:u w:val="single"/>
    </w:rPr>
  </w:style>
  <w:style w:type="paragraph" w:styleId="Zadevapripombe">
    <w:name w:val="annotation subject"/>
    <w:basedOn w:val="Pripombabesedilo"/>
    <w:next w:val="Pripombabesedilo"/>
    <w:link w:val="ZadevapripombeZnak"/>
    <w:uiPriority w:val="99"/>
    <w:semiHidden/>
    <w:unhideWhenUsed/>
    <w:rsid w:val="000C5E1E"/>
    <w:pPr>
      <w:spacing w:line="240" w:lineRule="auto"/>
    </w:pPr>
    <w:rPr>
      <w:b/>
      <w:bCs/>
      <w:lang w:val="sl-SI"/>
    </w:rPr>
  </w:style>
  <w:style w:type="character" w:customStyle="1" w:styleId="ZadevapripombeZnak">
    <w:name w:val="Zadeva pripombe Znak"/>
    <w:basedOn w:val="PripombabesediloZnak"/>
    <w:link w:val="Zadevapripombe"/>
    <w:uiPriority w:val="99"/>
    <w:semiHidden/>
    <w:rsid w:val="000C5E1E"/>
    <w:rPr>
      <w:rFonts w:ascii="Arial" w:eastAsia="Times New Roman" w:hAnsi="Arial" w:cs="Times New Roman"/>
      <w:b/>
      <w:bCs/>
      <w:sz w:val="20"/>
      <w:szCs w:val="20"/>
      <w:lang w:val="en-US"/>
    </w:rPr>
  </w:style>
  <w:style w:type="character" w:customStyle="1" w:styleId="Pripombasklic1">
    <w:name w:val="Pripomba – sklic1"/>
    <w:basedOn w:val="Privzetapisavaodstavka"/>
    <w:rsid w:val="00FA3710"/>
    <w:rPr>
      <w:sz w:val="16"/>
      <w:szCs w:val="16"/>
    </w:rPr>
  </w:style>
  <w:style w:type="paragraph" w:customStyle="1" w:styleId="Pripombabesedilo1">
    <w:name w:val="Pripomba – besedilo1"/>
    <w:basedOn w:val="Navaden"/>
    <w:rsid w:val="00FA3710"/>
    <w:pPr>
      <w:suppressAutoHyphens/>
      <w:autoSpaceDN w:val="0"/>
      <w:spacing w:after="160" w:line="240" w:lineRule="auto"/>
      <w:textAlignment w:val="baseline"/>
    </w:pPr>
    <w:rPr>
      <w:rFonts w:ascii="Calibri" w:eastAsia="Calibri" w:hAnsi="Calibri"/>
      <w:szCs w:val="20"/>
    </w:rPr>
  </w:style>
  <w:style w:type="character" w:customStyle="1" w:styleId="NaslovpredpisaZnak">
    <w:name w:val="Naslov_predpisa Znak"/>
    <w:link w:val="Naslovpredpisa"/>
    <w:locked/>
    <w:rsid w:val="00A40F77"/>
    <w:rPr>
      <w:rFonts w:ascii="Arial" w:hAnsi="Arial" w:cs="Arial"/>
      <w:b/>
    </w:rPr>
  </w:style>
  <w:style w:type="paragraph" w:customStyle="1" w:styleId="Naslovpredpisa">
    <w:name w:val="Naslov_predpisa"/>
    <w:basedOn w:val="Navaden"/>
    <w:link w:val="NaslovpredpisaZnak"/>
    <w:qFormat/>
    <w:rsid w:val="00A40F77"/>
    <w:pPr>
      <w:suppressAutoHyphens/>
      <w:overflowPunct w:val="0"/>
      <w:autoSpaceDE w:val="0"/>
      <w:autoSpaceDN w:val="0"/>
      <w:adjustRightInd w:val="0"/>
      <w:spacing w:before="120" w:after="160" w:line="200" w:lineRule="exact"/>
      <w:jc w:val="center"/>
    </w:pPr>
    <w:rPr>
      <w:rFonts w:eastAsiaTheme="minorHAnsi" w:cs="Arial"/>
      <w:b/>
      <w:sz w:val="22"/>
      <w:szCs w:val="22"/>
    </w:rPr>
  </w:style>
  <w:style w:type="character" w:customStyle="1" w:styleId="VrstapredpisaZnak">
    <w:name w:val="Vrsta predpisa Znak"/>
    <w:link w:val="Vrstapredpisa"/>
    <w:locked/>
    <w:rsid w:val="00A40F77"/>
    <w:rPr>
      <w:rFonts w:ascii="Arial" w:hAnsi="Arial" w:cs="Arial"/>
      <w:b/>
      <w:bCs/>
      <w:color w:val="000000"/>
      <w:spacing w:val="40"/>
    </w:rPr>
  </w:style>
  <w:style w:type="paragraph" w:customStyle="1" w:styleId="Vrstapredpisa">
    <w:name w:val="Vrsta predpisa"/>
    <w:basedOn w:val="Navaden"/>
    <w:link w:val="VrstapredpisaZnak"/>
    <w:qFormat/>
    <w:rsid w:val="00A40F77"/>
    <w:pPr>
      <w:suppressAutoHyphens/>
      <w:overflowPunct w:val="0"/>
      <w:autoSpaceDE w:val="0"/>
      <w:autoSpaceDN w:val="0"/>
      <w:adjustRightInd w:val="0"/>
      <w:spacing w:before="480" w:line="240" w:lineRule="auto"/>
      <w:jc w:val="center"/>
    </w:pPr>
    <w:rPr>
      <w:rFonts w:eastAsiaTheme="minorHAnsi" w:cs="Arial"/>
      <w:b/>
      <w:bCs/>
      <w:color w:val="000000"/>
      <w:spacing w:val="40"/>
      <w:sz w:val="22"/>
      <w:szCs w:val="22"/>
    </w:rPr>
  </w:style>
  <w:style w:type="paragraph" w:customStyle="1" w:styleId="CM1">
    <w:name w:val="CM1"/>
    <w:basedOn w:val="Default"/>
    <w:next w:val="Default"/>
    <w:uiPriority w:val="99"/>
    <w:rsid w:val="00A40F77"/>
    <w:rPr>
      <w:rFonts w:ascii="EU Albertina" w:eastAsiaTheme="minorHAnsi" w:hAnsi="EU Albertina" w:cstheme="minorBidi"/>
      <w:color w:val="auto"/>
    </w:rPr>
  </w:style>
  <w:style w:type="paragraph" w:customStyle="1" w:styleId="Oddelek">
    <w:name w:val="Oddelek"/>
    <w:basedOn w:val="Navaden"/>
    <w:link w:val="OddelekZnak1"/>
    <w:qFormat/>
    <w:rsid w:val="00817609"/>
    <w:pPr>
      <w:numPr>
        <w:numId w:val="8"/>
      </w:numPr>
      <w:suppressAutoHyphens/>
      <w:overflowPunct w:val="0"/>
      <w:autoSpaceDE w:val="0"/>
      <w:autoSpaceDN w:val="0"/>
      <w:adjustRightInd w:val="0"/>
      <w:spacing w:before="280" w:after="60" w:line="200" w:lineRule="exact"/>
      <w:jc w:val="center"/>
      <w:textAlignment w:val="baseline"/>
      <w:outlineLvl w:val="3"/>
    </w:pPr>
    <w:rPr>
      <w:b/>
      <w:sz w:val="22"/>
      <w:szCs w:val="20"/>
    </w:rPr>
  </w:style>
  <w:style w:type="character" w:customStyle="1" w:styleId="OddelekZnak1">
    <w:name w:val="Oddelek Znak1"/>
    <w:link w:val="Oddelek"/>
    <w:locked/>
    <w:rsid w:val="00817609"/>
    <w:rPr>
      <w:rFonts w:ascii="Arial" w:eastAsia="Times New Roman" w:hAnsi="Arial" w:cs="Times New Roman"/>
      <w:b/>
      <w:szCs w:val="20"/>
    </w:rPr>
  </w:style>
  <w:style w:type="paragraph" w:customStyle="1" w:styleId="Neotevilenodstavek">
    <w:name w:val="Neoštevilčen odstavek"/>
    <w:basedOn w:val="Navaden"/>
    <w:link w:val="NeotevilenodstavekZnak"/>
    <w:qFormat/>
    <w:rsid w:val="00817609"/>
    <w:pPr>
      <w:overflowPunct w:val="0"/>
      <w:autoSpaceDE w:val="0"/>
      <w:autoSpaceDN w:val="0"/>
      <w:adjustRightInd w:val="0"/>
      <w:spacing w:before="60" w:after="60" w:line="200" w:lineRule="exact"/>
      <w:jc w:val="both"/>
      <w:textAlignment w:val="baseline"/>
    </w:pPr>
    <w:rPr>
      <w:sz w:val="22"/>
      <w:szCs w:val="20"/>
    </w:rPr>
  </w:style>
  <w:style w:type="character" w:customStyle="1" w:styleId="NeotevilenodstavekZnak">
    <w:name w:val="Neoštevilčen odstavek Znak"/>
    <w:link w:val="Neotevilenodstavek"/>
    <w:locked/>
    <w:rsid w:val="00817609"/>
    <w:rPr>
      <w:rFonts w:ascii="Arial" w:eastAsia="Times New Roman" w:hAnsi="Arial" w:cs="Times New Roman"/>
      <w:szCs w:val="20"/>
    </w:rPr>
  </w:style>
  <w:style w:type="character" w:styleId="SledenaHiperpovezava">
    <w:name w:val="FollowedHyperlink"/>
    <w:basedOn w:val="Privzetapisavaodstavka"/>
    <w:uiPriority w:val="99"/>
    <w:semiHidden/>
    <w:unhideWhenUsed/>
    <w:rsid w:val="00C72E58"/>
    <w:rPr>
      <w:color w:val="954F72" w:themeColor="followedHyperlink"/>
      <w:u w:val="single"/>
    </w:rPr>
  </w:style>
  <w:style w:type="character" w:customStyle="1" w:styleId="Nerazreenaomemba1">
    <w:name w:val="Nerazrešena omemba1"/>
    <w:basedOn w:val="Privzetapisavaodstavka"/>
    <w:uiPriority w:val="99"/>
    <w:semiHidden/>
    <w:unhideWhenUsed/>
    <w:rsid w:val="00C72E58"/>
    <w:rPr>
      <w:color w:val="605E5C"/>
      <w:shd w:val="clear" w:color="auto" w:fill="E1DFDD"/>
    </w:rPr>
  </w:style>
  <w:style w:type="paragraph" w:styleId="Revizija">
    <w:name w:val="Revision"/>
    <w:hidden/>
    <w:uiPriority w:val="99"/>
    <w:semiHidden/>
    <w:rsid w:val="006C2809"/>
    <w:pPr>
      <w:spacing w:after="0" w:line="240" w:lineRule="auto"/>
    </w:pPr>
    <w:rPr>
      <w:rFonts w:ascii="Arial" w:eastAsia="Times New Roman" w:hAnsi="Arial" w:cs="Times New Roman"/>
      <w:sz w:val="20"/>
      <w:szCs w:val="24"/>
    </w:rPr>
  </w:style>
  <w:style w:type="paragraph" w:styleId="Glava">
    <w:name w:val="header"/>
    <w:basedOn w:val="Navaden"/>
    <w:link w:val="GlavaZnak"/>
    <w:uiPriority w:val="99"/>
    <w:unhideWhenUsed/>
    <w:rsid w:val="00F42CB9"/>
    <w:pPr>
      <w:tabs>
        <w:tab w:val="center" w:pos="4536"/>
        <w:tab w:val="right" w:pos="9072"/>
      </w:tabs>
      <w:spacing w:line="240" w:lineRule="auto"/>
    </w:pPr>
  </w:style>
  <w:style w:type="character" w:customStyle="1" w:styleId="GlavaZnak">
    <w:name w:val="Glava Znak"/>
    <w:basedOn w:val="Privzetapisavaodstavka"/>
    <w:link w:val="Glava"/>
    <w:uiPriority w:val="99"/>
    <w:rsid w:val="00F42CB9"/>
    <w:rPr>
      <w:rFonts w:ascii="Arial" w:eastAsia="Times New Roman" w:hAnsi="Arial" w:cs="Times New Roman"/>
      <w:sz w:val="20"/>
      <w:szCs w:val="24"/>
    </w:rPr>
  </w:style>
  <w:style w:type="paragraph" w:styleId="Noga">
    <w:name w:val="footer"/>
    <w:basedOn w:val="Navaden"/>
    <w:link w:val="NogaZnak"/>
    <w:uiPriority w:val="99"/>
    <w:unhideWhenUsed/>
    <w:rsid w:val="00F42CB9"/>
    <w:pPr>
      <w:tabs>
        <w:tab w:val="center" w:pos="4536"/>
        <w:tab w:val="right" w:pos="9072"/>
      </w:tabs>
      <w:spacing w:line="240" w:lineRule="auto"/>
    </w:pPr>
  </w:style>
  <w:style w:type="character" w:customStyle="1" w:styleId="NogaZnak">
    <w:name w:val="Noga Znak"/>
    <w:basedOn w:val="Privzetapisavaodstavka"/>
    <w:link w:val="Noga"/>
    <w:uiPriority w:val="99"/>
    <w:rsid w:val="00F42CB9"/>
    <w:rPr>
      <w:rFonts w:ascii="Arial" w:eastAsia="Times New Roman" w:hAnsi="Arial" w:cs="Times New Roman"/>
      <w:sz w:val="20"/>
      <w:szCs w:val="24"/>
    </w:rPr>
  </w:style>
  <w:style w:type="paragraph" w:styleId="Besedilooblaka">
    <w:name w:val="Balloon Text"/>
    <w:basedOn w:val="Navaden"/>
    <w:link w:val="BesedilooblakaZnak"/>
    <w:uiPriority w:val="99"/>
    <w:unhideWhenUsed/>
    <w:rsid w:val="004369C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rsid w:val="004369C6"/>
    <w:rPr>
      <w:rFonts w:ascii="Tahoma" w:eastAsia="Times New Roman" w:hAnsi="Tahoma" w:cs="Tahoma"/>
      <w:sz w:val="16"/>
      <w:szCs w:val="16"/>
    </w:rPr>
  </w:style>
  <w:style w:type="paragraph" w:customStyle="1" w:styleId="odstavek1">
    <w:name w:val="odstavek1"/>
    <w:basedOn w:val="Navaden"/>
    <w:rsid w:val="00C26ABF"/>
    <w:pPr>
      <w:spacing w:before="240" w:line="240" w:lineRule="auto"/>
      <w:ind w:firstLine="1021"/>
      <w:jc w:val="both"/>
    </w:pPr>
    <w:rPr>
      <w:rFonts w:cs="Arial"/>
      <w:sz w:val="22"/>
      <w:szCs w:val="22"/>
      <w:lang w:eastAsia="sl-SI"/>
    </w:rPr>
  </w:style>
  <w:style w:type="character" w:customStyle="1" w:styleId="Nerazreenaomemba2">
    <w:name w:val="Nerazrešena omemba2"/>
    <w:basedOn w:val="Privzetapisavaodstavka"/>
    <w:uiPriority w:val="99"/>
    <w:semiHidden/>
    <w:unhideWhenUsed/>
    <w:rsid w:val="00AA2612"/>
    <w:rPr>
      <w:color w:val="605E5C"/>
      <w:shd w:val="clear" w:color="auto" w:fill="E1DFDD"/>
    </w:rPr>
  </w:style>
  <w:style w:type="paragraph" w:customStyle="1" w:styleId="tevilnatoka0">
    <w:name w:val="tevilnatoka"/>
    <w:basedOn w:val="Navaden"/>
    <w:rsid w:val="003119FE"/>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3119FE"/>
  </w:style>
  <w:style w:type="character" w:customStyle="1" w:styleId="Nerazreenaomemba3">
    <w:name w:val="Nerazrešena omemba3"/>
    <w:basedOn w:val="Privzetapisavaodstavka"/>
    <w:uiPriority w:val="99"/>
    <w:semiHidden/>
    <w:unhideWhenUsed/>
    <w:rsid w:val="0020365F"/>
    <w:rPr>
      <w:color w:val="605E5C"/>
      <w:shd w:val="clear" w:color="auto" w:fill="E1DFDD"/>
    </w:rPr>
  </w:style>
  <w:style w:type="character" w:customStyle="1" w:styleId="Nerazreenaomemba4">
    <w:name w:val="Nerazrešena omemba4"/>
    <w:basedOn w:val="Privzetapisavaodstavka"/>
    <w:uiPriority w:val="99"/>
    <w:semiHidden/>
    <w:unhideWhenUsed/>
    <w:rsid w:val="00D46AE6"/>
    <w:rPr>
      <w:color w:val="605E5C"/>
      <w:shd w:val="clear" w:color="auto" w:fill="E1DFDD"/>
    </w:rPr>
  </w:style>
  <w:style w:type="character" w:styleId="Poudarek">
    <w:name w:val="Emphasis"/>
    <w:basedOn w:val="Privzetapisavaodstavka"/>
    <w:uiPriority w:val="20"/>
    <w:qFormat/>
    <w:rsid w:val="00A246F5"/>
    <w:rPr>
      <w:i/>
      <w:iCs/>
    </w:rPr>
  </w:style>
  <w:style w:type="table" w:customStyle="1" w:styleId="Tabelaseznam3poudarek11">
    <w:name w:val="Tabela – seznam 3 (poudarek 1)1"/>
    <w:basedOn w:val="Navadnatabela"/>
    <w:next w:val="Tabelaseznam3poudarek1"/>
    <w:uiPriority w:val="48"/>
    <w:rsid w:val="00191170"/>
    <w:pPr>
      <w:spacing w:after="0" w:line="240" w:lineRule="auto"/>
    </w:pPr>
    <w:rPr>
      <w:rFonts w:eastAsia="MS PGothic"/>
      <w:sz w:val="24"/>
      <w:szCs w:val="24"/>
      <w:lang w:val="en-US"/>
    </w:rPr>
    <w:tblPr>
      <w:tblStyleRowBandSize w:val="1"/>
      <w:tblStyleColBandSize w:val="1"/>
      <w:tblBorders>
        <w:top w:val="single" w:sz="4" w:space="0" w:color="0061CF"/>
        <w:left w:val="single" w:sz="4" w:space="0" w:color="0061CF"/>
        <w:bottom w:val="single" w:sz="4" w:space="0" w:color="0061CF"/>
        <w:right w:val="single" w:sz="4" w:space="0" w:color="0061CF"/>
      </w:tblBorders>
    </w:tblPr>
    <w:tblStylePr w:type="firstRow">
      <w:rPr>
        <w:b/>
        <w:bCs/>
        <w:color w:val="FFFFFF"/>
      </w:rPr>
      <w:tblPr/>
      <w:tcPr>
        <w:shd w:val="clear" w:color="auto" w:fill="0061CF"/>
      </w:tcPr>
    </w:tblStylePr>
    <w:tblStylePr w:type="lastRow">
      <w:rPr>
        <w:b/>
        <w:bCs/>
      </w:rPr>
      <w:tblPr/>
      <w:tcPr>
        <w:tcBorders>
          <w:top w:val="double" w:sz="4" w:space="0" w:color="0061C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61CF"/>
          <w:right w:val="single" w:sz="4" w:space="0" w:color="0061CF"/>
        </w:tcBorders>
      </w:tcPr>
    </w:tblStylePr>
    <w:tblStylePr w:type="band1Horz">
      <w:tblPr/>
      <w:tcPr>
        <w:tcBorders>
          <w:top w:val="single" w:sz="4" w:space="0" w:color="0061CF"/>
          <w:bottom w:val="single" w:sz="4" w:space="0" w:color="0061C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1CF"/>
          <w:left w:val="nil"/>
        </w:tcBorders>
      </w:tcPr>
    </w:tblStylePr>
    <w:tblStylePr w:type="swCell">
      <w:tblPr/>
      <w:tcPr>
        <w:tcBorders>
          <w:top w:val="double" w:sz="4" w:space="0" w:color="0061CF"/>
          <w:right w:val="nil"/>
        </w:tcBorders>
      </w:tcPr>
    </w:tblStylePr>
  </w:style>
  <w:style w:type="table" w:styleId="Tabelaseznam3poudarek1">
    <w:name w:val="List Table 3 Accent 1"/>
    <w:basedOn w:val="Navadnatabela"/>
    <w:uiPriority w:val="48"/>
    <w:rsid w:val="00191170"/>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Nerazreenaomemba5">
    <w:name w:val="Nerazrešena omemba5"/>
    <w:basedOn w:val="Privzetapisavaodstavka"/>
    <w:uiPriority w:val="99"/>
    <w:semiHidden/>
    <w:unhideWhenUsed/>
    <w:rsid w:val="00E77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2083">
      <w:bodyDiv w:val="1"/>
      <w:marLeft w:val="0"/>
      <w:marRight w:val="0"/>
      <w:marTop w:val="0"/>
      <w:marBottom w:val="0"/>
      <w:divBdr>
        <w:top w:val="none" w:sz="0" w:space="0" w:color="auto"/>
        <w:left w:val="none" w:sz="0" w:space="0" w:color="auto"/>
        <w:bottom w:val="none" w:sz="0" w:space="0" w:color="auto"/>
        <w:right w:val="none" w:sz="0" w:space="0" w:color="auto"/>
      </w:divBdr>
      <w:divsChild>
        <w:div w:id="63844804">
          <w:marLeft w:val="0"/>
          <w:marRight w:val="0"/>
          <w:marTop w:val="480"/>
          <w:marBottom w:val="0"/>
          <w:divBdr>
            <w:top w:val="none" w:sz="0" w:space="0" w:color="auto"/>
            <w:left w:val="none" w:sz="0" w:space="0" w:color="auto"/>
            <w:bottom w:val="none" w:sz="0" w:space="0" w:color="auto"/>
            <w:right w:val="none" w:sz="0" w:space="0" w:color="auto"/>
          </w:divBdr>
        </w:div>
        <w:div w:id="1194538798">
          <w:marLeft w:val="0"/>
          <w:marRight w:val="0"/>
          <w:marTop w:val="480"/>
          <w:marBottom w:val="0"/>
          <w:divBdr>
            <w:top w:val="none" w:sz="0" w:space="0" w:color="auto"/>
            <w:left w:val="none" w:sz="0" w:space="0" w:color="auto"/>
            <w:bottom w:val="none" w:sz="0" w:space="0" w:color="auto"/>
            <w:right w:val="none" w:sz="0" w:space="0" w:color="auto"/>
          </w:divBdr>
        </w:div>
        <w:div w:id="1831142645">
          <w:marLeft w:val="0"/>
          <w:marRight w:val="0"/>
          <w:marTop w:val="240"/>
          <w:marBottom w:val="0"/>
          <w:divBdr>
            <w:top w:val="none" w:sz="0" w:space="0" w:color="auto"/>
            <w:left w:val="none" w:sz="0" w:space="0" w:color="auto"/>
            <w:bottom w:val="none" w:sz="0" w:space="0" w:color="auto"/>
            <w:right w:val="none" w:sz="0" w:space="0" w:color="auto"/>
          </w:divBdr>
        </w:div>
        <w:div w:id="1131708056">
          <w:marLeft w:val="0"/>
          <w:marRight w:val="0"/>
          <w:marTop w:val="0"/>
          <w:marBottom w:val="0"/>
          <w:divBdr>
            <w:top w:val="none" w:sz="0" w:space="0" w:color="auto"/>
            <w:left w:val="none" w:sz="0" w:space="0" w:color="auto"/>
            <w:bottom w:val="none" w:sz="0" w:space="0" w:color="auto"/>
            <w:right w:val="none" w:sz="0" w:space="0" w:color="auto"/>
          </w:divBdr>
        </w:div>
        <w:div w:id="976762828">
          <w:marLeft w:val="0"/>
          <w:marRight w:val="0"/>
          <w:marTop w:val="0"/>
          <w:marBottom w:val="0"/>
          <w:divBdr>
            <w:top w:val="none" w:sz="0" w:space="0" w:color="auto"/>
            <w:left w:val="none" w:sz="0" w:space="0" w:color="auto"/>
            <w:bottom w:val="none" w:sz="0" w:space="0" w:color="auto"/>
            <w:right w:val="none" w:sz="0" w:space="0" w:color="auto"/>
          </w:divBdr>
        </w:div>
        <w:div w:id="633144220">
          <w:marLeft w:val="0"/>
          <w:marRight w:val="0"/>
          <w:marTop w:val="240"/>
          <w:marBottom w:val="0"/>
          <w:divBdr>
            <w:top w:val="none" w:sz="0" w:space="0" w:color="auto"/>
            <w:left w:val="none" w:sz="0" w:space="0" w:color="auto"/>
            <w:bottom w:val="none" w:sz="0" w:space="0" w:color="auto"/>
            <w:right w:val="none" w:sz="0" w:space="0" w:color="auto"/>
          </w:divBdr>
        </w:div>
        <w:div w:id="1943416155">
          <w:marLeft w:val="0"/>
          <w:marRight w:val="0"/>
          <w:marTop w:val="240"/>
          <w:marBottom w:val="0"/>
          <w:divBdr>
            <w:top w:val="none" w:sz="0" w:space="0" w:color="auto"/>
            <w:left w:val="none" w:sz="0" w:space="0" w:color="auto"/>
            <w:bottom w:val="none" w:sz="0" w:space="0" w:color="auto"/>
            <w:right w:val="none" w:sz="0" w:space="0" w:color="auto"/>
          </w:divBdr>
        </w:div>
        <w:div w:id="608468143">
          <w:marLeft w:val="0"/>
          <w:marRight w:val="0"/>
          <w:marTop w:val="240"/>
          <w:marBottom w:val="0"/>
          <w:divBdr>
            <w:top w:val="none" w:sz="0" w:space="0" w:color="auto"/>
            <w:left w:val="none" w:sz="0" w:space="0" w:color="auto"/>
            <w:bottom w:val="none" w:sz="0" w:space="0" w:color="auto"/>
            <w:right w:val="none" w:sz="0" w:space="0" w:color="auto"/>
          </w:divBdr>
        </w:div>
        <w:div w:id="2045136818">
          <w:marLeft w:val="0"/>
          <w:marRight w:val="0"/>
          <w:marTop w:val="240"/>
          <w:marBottom w:val="0"/>
          <w:divBdr>
            <w:top w:val="none" w:sz="0" w:space="0" w:color="auto"/>
            <w:left w:val="none" w:sz="0" w:space="0" w:color="auto"/>
            <w:bottom w:val="none" w:sz="0" w:space="0" w:color="auto"/>
            <w:right w:val="none" w:sz="0" w:space="0" w:color="auto"/>
          </w:divBdr>
        </w:div>
        <w:div w:id="188104741">
          <w:marLeft w:val="0"/>
          <w:marRight w:val="0"/>
          <w:marTop w:val="240"/>
          <w:marBottom w:val="0"/>
          <w:divBdr>
            <w:top w:val="none" w:sz="0" w:space="0" w:color="auto"/>
            <w:left w:val="none" w:sz="0" w:space="0" w:color="auto"/>
            <w:bottom w:val="none" w:sz="0" w:space="0" w:color="auto"/>
            <w:right w:val="none" w:sz="0" w:space="0" w:color="auto"/>
          </w:divBdr>
        </w:div>
        <w:div w:id="1933972529">
          <w:marLeft w:val="0"/>
          <w:marRight w:val="0"/>
          <w:marTop w:val="240"/>
          <w:marBottom w:val="0"/>
          <w:divBdr>
            <w:top w:val="none" w:sz="0" w:space="0" w:color="auto"/>
            <w:left w:val="none" w:sz="0" w:space="0" w:color="auto"/>
            <w:bottom w:val="none" w:sz="0" w:space="0" w:color="auto"/>
            <w:right w:val="none" w:sz="0" w:space="0" w:color="auto"/>
          </w:divBdr>
        </w:div>
        <w:div w:id="781654372">
          <w:marLeft w:val="0"/>
          <w:marRight w:val="0"/>
          <w:marTop w:val="240"/>
          <w:marBottom w:val="0"/>
          <w:divBdr>
            <w:top w:val="none" w:sz="0" w:space="0" w:color="auto"/>
            <w:left w:val="none" w:sz="0" w:space="0" w:color="auto"/>
            <w:bottom w:val="none" w:sz="0" w:space="0" w:color="auto"/>
            <w:right w:val="none" w:sz="0" w:space="0" w:color="auto"/>
          </w:divBdr>
        </w:div>
        <w:div w:id="626470982">
          <w:marLeft w:val="0"/>
          <w:marRight w:val="0"/>
          <w:marTop w:val="240"/>
          <w:marBottom w:val="0"/>
          <w:divBdr>
            <w:top w:val="none" w:sz="0" w:space="0" w:color="auto"/>
            <w:left w:val="none" w:sz="0" w:space="0" w:color="auto"/>
            <w:bottom w:val="none" w:sz="0" w:space="0" w:color="auto"/>
            <w:right w:val="none" w:sz="0" w:space="0" w:color="auto"/>
          </w:divBdr>
        </w:div>
      </w:divsChild>
    </w:div>
    <w:div w:id="386955593">
      <w:bodyDiv w:val="1"/>
      <w:marLeft w:val="0"/>
      <w:marRight w:val="0"/>
      <w:marTop w:val="0"/>
      <w:marBottom w:val="0"/>
      <w:divBdr>
        <w:top w:val="none" w:sz="0" w:space="0" w:color="auto"/>
        <w:left w:val="none" w:sz="0" w:space="0" w:color="auto"/>
        <w:bottom w:val="none" w:sz="0" w:space="0" w:color="auto"/>
        <w:right w:val="none" w:sz="0" w:space="0" w:color="auto"/>
      </w:divBdr>
    </w:div>
    <w:div w:id="519010576">
      <w:bodyDiv w:val="1"/>
      <w:marLeft w:val="0"/>
      <w:marRight w:val="0"/>
      <w:marTop w:val="0"/>
      <w:marBottom w:val="0"/>
      <w:divBdr>
        <w:top w:val="none" w:sz="0" w:space="0" w:color="auto"/>
        <w:left w:val="none" w:sz="0" w:space="0" w:color="auto"/>
        <w:bottom w:val="none" w:sz="0" w:space="0" w:color="auto"/>
        <w:right w:val="none" w:sz="0" w:space="0" w:color="auto"/>
      </w:divBdr>
    </w:div>
    <w:div w:id="576131586">
      <w:bodyDiv w:val="1"/>
      <w:marLeft w:val="0"/>
      <w:marRight w:val="0"/>
      <w:marTop w:val="0"/>
      <w:marBottom w:val="0"/>
      <w:divBdr>
        <w:top w:val="none" w:sz="0" w:space="0" w:color="auto"/>
        <w:left w:val="none" w:sz="0" w:space="0" w:color="auto"/>
        <w:bottom w:val="none" w:sz="0" w:space="0" w:color="auto"/>
        <w:right w:val="none" w:sz="0" w:space="0" w:color="auto"/>
      </w:divBdr>
      <w:divsChild>
        <w:div w:id="20012148">
          <w:marLeft w:val="425"/>
          <w:marRight w:val="0"/>
          <w:marTop w:val="0"/>
          <w:marBottom w:val="0"/>
          <w:divBdr>
            <w:top w:val="none" w:sz="0" w:space="0" w:color="auto"/>
            <w:left w:val="none" w:sz="0" w:space="0" w:color="auto"/>
            <w:bottom w:val="none" w:sz="0" w:space="0" w:color="auto"/>
            <w:right w:val="none" w:sz="0" w:space="0" w:color="auto"/>
          </w:divBdr>
        </w:div>
        <w:div w:id="1682077058">
          <w:marLeft w:val="425"/>
          <w:marRight w:val="0"/>
          <w:marTop w:val="0"/>
          <w:marBottom w:val="0"/>
          <w:divBdr>
            <w:top w:val="none" w:sz="0" w:space="0" w:color="auto"/>
            <w:left w:val="none" w:sz="0" w:space="0" w:color="auto"/>
            <w:bottom w:val="none" w:sz="0" w:space="0" w:color="auto"/>
            <w:right w:val="none" w:sz="0" w:space="0" w:color="auto"/>
          </w:divBdr>
        </w:div>
      </w:divsChild>
    </w:div>
    <w:div w:id="640036953">
      <w:bodyDiv w:val="1"/>
      <w:marLeft w:val="0"/>
      <w:marRight w:val="0"/>
      <w:marTop w:val="0"/>
      <w:marBottom w:val="0"/>
      <w:divBdr>
        <w:top w:val="none" w:sz="0" w:space="0" w:color="auto"/>
        <w:left w:val="none" w:sz="0" w:space="0" w:color="auto"/>
        <w:bottom w:val="none" w:sz="0" w:space="0" w:color="auto"/>
        <w:right w:val="none" w:sz="0" w:space="0" w:color="auto"/>
      </w:divBdr>
    </w:div>
    <w:div w:id="832069207">
      <w:bodyDiv w:val="1"/>
      <w:marLeft w:val="0"/>
      <w:marRight w:val="0"/>
      <w:marTop w:val="0"/>
      <w:marBottom w:val="0"/>
      <w:divBdr>
        <w:top w:val="none" w:sz="0" w:space="0" w:color="auto"/>
        <w:left w:val="none" w:sz="0" w:space="0" w:color="auto"/>
        <w:bottom w:val="none" w:sz="0" w:space="0" w:color="auto"/>
        <w:right w:val="none" w:sz="0" w:space="0" w:color="auto"/>
      </w:divBdr>
    </w:div>
    <w:div w:id="853567868">
      <w:bodyDiv w:val="1"/>
      <w:marLeft w:val="0"/>
      <w:marRight w:val="0"/>
      <w:marTop w:val="0"/>
      <w:marBottom w:val="0"/>
      <w:divBdr>
        <w:top w:val="none" w:sz="0" w:space="0" w:color="auto"/>
        <w:left w:val="none" w:sz="0" w:space="0" w:color="auto"/>
        <w:bottom w:val="none" w:sz="0" w:space="0" w:color="auto"/>
        <w:right w:val="none" w:sz="0" w:space="0" w:color="auto"/>
      </w:divBdr>
      <w:divsChild>
        <w:div w:id="2122341319">
          <w:marLeft w:val="0"/>
          <w:marRight w:val="0"/>
          <w:marTop w:val="480"/>
          <w:marBottom w:val="0"/>
          <w:divBdr>
            <w:top w:val="none" w:sz="0" w:space="0" w:color="auto"/>
            <w:left w:val="none" w:sz="0" w:space="0" w:color="auto"/>
            <w:bottom w:val="none" w:sz="0" w:space="0" w:color="auto"/>
            <w:right w:val="none" w:sz="0" w:space="0" w:color="auto"/>
          </w:divBdr>
        </w:div>
        <w:div w:id="232205789">
          <w:marLeft w:val="0"/>
          <w:marRight w:val="0"/>
          <w:marTop w:val="240"/>
          <w:marBottom w:val="0"/>
          <w:divBdr>
            <w:top w:val="none" w:sz="0" w:space="0" w:color="auto"/>
            <w:left w:val="none" w:sz="0" w:space="0" w:color="auto"/>
            <w:bottom w:val="none" w:sz="0" w:space="0" w:color="auto"/>
            <w:right w:val="none" w:sz="0" w:space="0" w:color="auto"/>
          </w:divBdr>
        </w:div>
        <w:div w:id="2045328587">
          <w:marLeft w:val="425"/>
          <w:marRight w:val="0"/>
          <w:marTop w:val="0"/>
          <w:marBottom w:val="0"/>
          <w:divBdr>
            <w:top w:val="none" w:sz="0" w:space="0" w:color="auto"/>
            <w:left w:val="none" w:sz="0" w:space="0" w:color="auto"/>
            <w:bottom w:val="none" w:sz="0" w:space="0" w:color="auto"/>
            <w:right w:val="none" w:sz="0" w:space="0" w:color="auto"/>
          </w:divBdr>
        </w:div>
        <w:div w:id="1413356951">
          <w:marLeft w:val="425"/>
          <w:marRight w:val="0"/>
          <w:marTop w:val="0"/>
          <w:marBottom w:val="0"/>
          <w:divBdr>
            <w:top w:val="none" w:sz="0" w:space="0" w:color="auto"/>
            <w:left w:val="none" w:sz="0" w:space="0" w:color="auto"/>
            <w:bottom w:val="none" w:sz="0" w:space="0" w:color="auto"/>
            <w:right w:val="none" w:sz="0" w:space="0" w:color="auto"/>
          </w:divBdr>
        </w:div>
        <w:div w:id="1255360150">
          <w:marLeft w:val="425"/>
          <w:marRight w:val="0"/>
          <w:marTop w:val="0"/>
          <w:marBottom w:val="0"/>
          <w:divBdr>
            <w:top w:val="none" w:sz="0" w:space="0" w:color="auto"/>
            <w:left w:val="none" w:sz="0" w:space="0" w:color="auto"/>
            <w:bottom w:val="none" w:sz="0" w:space="0" w:color="auto"/>
            <w:right w:val="none" w:sz="0" w:space="0" w:color="auto"/>
          </w:divBdr>
        </w:div>
        <w:div w:id="92016988">
          <w:marLeft w:val="425"/>
          <w:marRight w:val="0"/>
          <w:marTop w:val="0"/>
          <w:marBottom w:val="0"/>
          <w:divBdr>
            <w:top w:val="none" w:sz="0" w:space="0" w:color="auto"/>
            <w:left w:val="none" w:sz="0" w:space="0" w:color="auto"/>
            <w:bottom w:val="none" w:sz="0" w:space="0" w:color="auto"/>
            <w:right w:val="none" w:sz="0" w:space="0" w:color="auto"/>
          </w:divBdr>
        </w:div>
        <w:div w:id="332729504">
          <w:marLeft w:val="425"/>
          <w:marRight w:val="0"/>
          <w:marTop w:val="0"/>
          <w:marBottom w:val="0"/>
          <w:divBdr>
            <w:top w:val="none" w:sz="0" w:space="0" w:color="auto"/>
            <w:left w:val="none" w:sz="0" w:space="0" w:color="auto"/>
            <w:bottom w:val="none" w:sz="0" w:space="0" w:color="auto"/>
            <w:right w:val="none" w:sz="0" w:space="0" w:color="auto"/>
          </w:divBdr>
        </w:div>
        <w:div w:id="1550069378">
          <w:marLeft w:val="425"/>
          <w:marRight w:val="0"/>
          <w:marTop w:val="0"/>
          <w:marBottom w:val="0"/>
          <w:divBdr>
            <w:top w:val="none" w:sz="0" w:space="0" w:color="auto"/>
            <w:left w:val="none" w:sz="0" w:space="0" w:color="auto"/>
            <w:bottom w:val="none" w:sz="0" w:space="0" w:color="auto"/>
            <w:right w:val="none" w:sz="0" w:space="0" w:color="auto"/>
          </w:divBdr>
        </w:div>
        <w:div w:id="1404252040">
          <w:marLeft w:val="0"/>
          <w:marRight w:val="0"/>
          <w:marTop w:val="240"/>
          <w:marBottom w:val="0"/>
          <w:divBdr>
            <w:top w:val="none" w:sz="0" w:space="0" w:color="auto"/>
            <w:left w:val="none" w:sz="0" w:space="0" w:color="auto"/>
            <w:bottom w:val="none" w:sz="0" w:space="0" w:color="auto"/>
            <w:right w:val="none" w:sz="0" w:space="0" w:color="auto"/>
          </w:divBdr>
        </w:div>
        <w:div w:id="440534675">
          <w:marLeft w:val="0"/>
          <w:marRight w:val="0"/>
          <w:marTop w:val="480"/>
          <w:marBottom w:val="0"/>
          <w:divBdr>
            <w:top w:val="none" w:sz="0" w:space="0" w:color="auto"/>
            <w:left w:val="none" w:sz="0" w:space="0" w:color="auto"/>
            <w:bottom w:val="none" w:sz="0" w:space="0" w:color="auto"/>
            <w:right w:val="none" w:sz="0" w:space="0" w:color="auto"/>
          </w:divBdr>
        </w:div>
        <w:div w:id="877666090">
          <w:marLeft w:val="0"/>
          <w:marRight w:val="0"/>
          <w:marTop w:val="480"/>
          <w:marBottom w:val="0"/>
          <w:divBdr>
            <w:top w:val="none" w:sz="0" w:space="0" w:color="auto"/>
            <w:left w:val="none" w:sz="0" w:space="0" w:color="auto"/>
            <w:bottom w:val="none" w:sz="0" w:space="0" w:color="auto"/>
            <w:right w:val="none" w:sz="0" w:space="0" w:color="auto"/>
          </w:divBdr>
        </w:div>
        <w:div w:id="600455474">
          <w:marLeft w:val="0"/>
          <w:marRight w:val="0"/>
          <w:marTop w:val="480"/>
          <w:marBottom w:val="0"/>
          <w:divBdr>
            <w:top w:val="none" w:sz="0" w:space="0" w:color="auto"/>
            <w:left w:val="none" w:sz="0" w:space="0" w:color="auto"/>
            <w:bottom w:val="none" w:sz="0" w:space="0" w:color="auto"/>
            <w:right w:val="none" w:sz="0" w:space="0" w:color="auto"/>
          </w:divBdr>
        </w:div>
        <w:div w:id="1585841352">
          <w:marLeft w:val="0"/>
          <w:marRight w:val="0"/>
          <w:marTop w:val="240"/>
          <w:marBottom w:val="0"/>
          <w:divBdr>
            <w:top w:val="none" w:sz="0" w:space="0" w:color="auto"/>
            <w:left w:val="none" w:sz="0" w:space="0" w:color="auto"/>
            <w:bottom w:val="none" w:sz="0" w:space="0" w:color="auto"/>
            <w:right w:val="none" w:sz="0" w:space="0" w:color="auto"/>
          </w:divBdr>
        </w:div>
        <w:div w:id="2093696811">
          <w:marLeft w:val="0"/>
          <w:marRight w:val="0"/>
          <w:marTop w:val="240"/>
          <w:marBottom w:val="0"/>
          <w:divBdr>
            <w:top w:val="none" w:sz="0" w:space="0" w:color="auto"/>
            <w:left w:val="none" w:sz="0" w:space="0" w:color="auto"/>
            <w:bottom w:val="none" w:sz="0" w:space="0" w:color="auto"/>
            <w:right w:val="none" w:sz="0" w:space="0" w:color="auto"/>
          </w:divBdr>
        </w:div>
        <w:div w:id="1269778365">
          <w:marLeft w:val="0"/>
          <w:marRight w:val="0"/>
          <w:marTop w:val="240"/>
          <w:marBottom w:val="0"/>
          <w:divBdr>
            <w:top w:val="none" w:sz="0" w:space="0" w:color="auto"/>
            <w:left w:val="none" w:sz="0" w:space="0" w:color="auto"/>
            <w:bottom w:val="none" w:sz="0" w:space="0" w:color="auto"/>
            <w:right w:val="none" w:sz="0" w:space="0" w:color="auto"/>
          </w:divBdr>
        </w:div>
      </w:divsChild>
    </w:div>
    <w:div w:id="1025979278">
      <w:bodyDiv w:val="1"/>
      <w:marLeft w:val="0"/>
      <w:marRight w:val="0"/>
      <w:marTop w:val="0"/>
      <w:marBottom w:val="0"/>
      <w:divBdr>
        <w:top w:val="none" w:sz="0" w:space="0" w:color="auto"/>
        <w:left w:val="none" w:sz="0" w:space="0" w:color="auto"/>
        <w:bottom w:val="none" w:sz="0" w:space="0" w:color="auto"/>
        <w:right w:val="none" w:sz="0" w:space="0" w:color="auto"/>
      </w:divBdr>
      <w:divsChild>
        <w:div w:id="1568110141">
          <w:marLeft w:val="0"/>
          <w:marRight w:val="0"/>
          <w:marTop w:val="0"/>
          <w:marBottom w:val="0"/>
          <w:divBdr>
            <w:top w:val="none" w:sz="0" w:space="0" w:color="auto"/>
            <w:left w:val="none" w:sz="0" w:space="0" w:color="auto"/>
            <w:bottom w:val="none" w:sz="0" w:space="0" w:color="auto"/>
            <w:right w:val="none" w:sz="0" w:space="0" w:color="auto"/>
          </w:divBdr>
          <w:divsChild>
            <w:div w:id="1031804054">
              <w:marLeft w:val="0"/>
              <w:marRight w:val="0"/>
              <w:marTop w:val="0"/>
              <w:marBottom w:val="0"/>
              <w:divBdr>
                <w:top w:val="none" w:sz="0" w:space="0" w:color="auto"/>
                <w:left w:val="none" w:sz="0" w:space="0" w:color="auto"/>
                <w:bottom w:val="none" w:sz="0" w:space="0" w:color="auto"/>
                <w:right w:val="none" w:sz="0" w:space="0" w:color="auto"/>
              </w:divBdr>
              <w:divsChild>
                <w:div w:id="1259557675">
                  <w:marLeft w:val="0"/>
                  <w:marRight w:val="0"/>
                  <w:marTop w:val="0"/>
                  <w:marBottom w:val="0"/>
                  <w:divBdr>
                    <w:top w:val="none" w:sz="0" w:space="0" w:color="auto"/>
                    <w:left w:val="none" w:sz="0" w:space="0" w:color="auto"/>
                    <w:bottom w:val="none" w:sz="0" w:space="0" w:color="auto"/>
                    <w:right w:val="none" w:sz="0" w:space="0" w:color="auto"/>
                  </w:divBdr>
                  <w:divsChild>
                    <w:div w:id="211039294">
                      <w:marLeft w:val="0"/>
                      <w:marRight w:val="0"/>
                      <w:marTop w:val="0"/>
                      <w:marBottom w:val="0"/>
                      <w:divBdr>
                        <w:top w:val="none" w:sz="0" w:space="0" w:color="auto"/>
                        <w:left w:val="none" w:sz="0" w:space="0" w:color="auto"/>
                        <w:bottom w:val="none" w:sz="0" w:space="0" w:color="auto"/>
                        <w:right w:val="none" w:sz="0" w:space="0" w:color="auto"/>
                      </w:divBdr>
                      <w:divsChild>
                        <w:div w:id="1188174440">
                          <w:marLeft w:val="0"/>
                          <w:marRight w:val="0"/>
                          <w:marTop w:val="0"/>
                          <w:marBottom w:val="0"/>
                          <w:divBdr>
                            <w:top w:val="none" w:sz="0" w:space="0" w:color="auto"/>
                            <w:left w:val="none" w:sz="0" w:space="0" w:color="auto"/>
                            <w:bottom w:val="none" w:sz="0" w:space="0" w:color="auto"/>
                            <w:right w:val="none" w:sz="0" w:space="0" w:color="auto"/>
                          </w:divBdr>
                          <w:divsChild>
                            <w:div w:id="916868463">
                              <w:marLeft w:val="0"/>
                              <w:marRight w:val="0"/>
                              <w:marTop w:val="0"/>
                              <w:marBottom w:val="0"/>
                              <w:divBdr>
                                <w:top w:val="none" w:sz="0" w:space="0" w:color="auto"/>
                                <w:left w:val="none" w:sz="0" w:space="0" w:color="auto"/>
                                <w:bottom w:val="none" w:sz="0" w:space="0" w:color="auto"/>
                                <w:right w:val="none" w:sz="0" w:space="0" w:color="auto"/>
                              </w:divBdr>
                              <w:divsChild>
                                <w:div w:id="466632937">
                                  <w:marLeft w:val="0"/>
                                  <w:marRight w:val="0"/>
                                  <w:marTop w:val="0"/>
                                  <w:marBottom w:val="0"/>
                                  <w:divBdr>
                                    <w:top w:val="none" w:sz="0" w:space="0" w:color="auto"/>
                                    <w:left w:val="none" w:sz="0" w:space="0" w:color="auto"/>
                                    <w:bottom w:val="none" w:sz="0" w:space="0" w:color="auto"/>
                                    <w:right w:val="none" w:sz="0" w:space="0" w:color="auto"/>
                                  </w:divBdr>
                                  <w:divsChild>
                                    <w:div w:id="14638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802268">
          <w:marLeft w:val="0"/>
          <w:marRight w:val="0"/>
          <w:marTop w:val="0"/>
          <w:marBottom w:val="0"/>
          <w:divBdr>
            <w:top w:val="none" w:sz="0" w:space="0" w:color="auto"/>
            <w:left w:val="none" w:sz="0" w:space="0" w:color="auto"/>
            <w:bottom w:val="none" w:sz="0" w:space="0" w:color="auto"/>
            <w:right w:val="none" w:sz="0" w:space="0" w:color="auto"/>
          </w:divBdr>
        </w:div>
      </w:divsChild>
    </w:div>
    <w:div w:id="1617063264">
      <w:bodyDiv w:val="1"/>
      <w:marLeft w:val="0"/>
      <w:marRight w:val="0"/>
      <w:marTop w:val="0"/>
      <w:marBottom w:val="0"/>
      <w:divBdr>
        <w:top w:val="none" w:sz="0" w:space="0" w:color="auto"/>
        <w:left w:val="none" w:sz="0" w:space="0" w:color="auto"/>
        <w:bottom w:val="none" w:sz="0" w:space="0" w:color="auto"/>
        <w:right w:val="none" w:sz="0" w:space="0" w:color="auto"/>
      </w:divBdr>
      <w:divsChild>
        <w:div w:id="914556220">
          <w:marLeft w:val="0"/>
          <w:marRight w:val="0"/>
          <w:marTop w:val="480"/>
          <w:marBottom w:val="0"/>
          <w:divBdr>
            <w:top w:val="none" w:sz="0" w:space="0" w:color="auto"/>
            <w:left w:val="none" w:sz="0" w:space="0" w:color="auto"/>
            <w:bottom w:val="none" w:sz="0" w:space="0" w:color="auto"/>
            <w:right w:val="none" w:sz="0" w:space="0" w:color="auto"/>
          </w:divBdr>
        </w:div>
        <w:div w:id="1709529146">
          <w:marLeft w:val="0"/>
          <w:marRight w:val="0"/>
          <w:marTop w:val="480"/>
          <w:marBottom w:val="0"/>
          <w:divBdr>
            <w:top w:val="none" w:sz="0" w:space="0" w:color="auto"/>
            <w:left w:val="none" w:sz="0" w:space="0" w:color="auto"/>
            <w:bottom w:val="none" w:sz="0" w:space="0" w:color="auto"/>
            <w:right w:val="none" w:sz="0" w:space="0" w:color="auto"/>
          </w:divBdr>
        </w:div>
        <w:div w:id="1330331225">
          <w:marLeft w:val="0"/>
          <w:marRight w:val="0"/>
          <w:marTop w:val="240"/>
          <w:marBottom w:val="0"/>
          <w:divBdr>
            <w:top w:val="none" w:sz="0" w:space="0" w:color="auto"/>
            <w:left w:val="none" w:sz="0" w:space="0" w:color="auto"/>
            <w:bottom w:val="none" w:sz="0" w:space="0" w:color="auto"/>
            <w:right w:val="none" w:sz="0" w:space="0" w:color="auto"/>
          </w:divBdr>
        </w:div>
        <w:div w:id="77097190">
          <w:marLeft w:val="0"/>
          <w:marRight w:val="0"/>
          <w:marTop w:val="240"/>
          <w:marBottom w:val="0"/>
          <w:divBdr>
            <w:top w:val="none" w:sz="0" w:space="0" w:color="auto"/>
            <w:left w:val="none" w:sz="0" w:space="0" w:color="auto"/>
            <w:bottom w:val="none" w:sz="0" w:space="0" w:color="auto"/>
            <w:right w:val="none" w:sz="0" w:space="0" w:color="auto"/>
          </w:divBdr>
        </w:div>
        <w:div w:id="1895582558">
          <w:marLeft w:val="425"/>
          <w:marRight w:val="0"/>
          <w:marTop w:val="0"/>
          <w:marBottom w:val="0"/>
          <w:divBdr>
            <w:top w:val="none" w:sz="0" w:space="0" w:color="auto"/>
            <w:left w:val="none" w:sz="0" w:space="0" w:color="auto"/>
            <w:bottom w:val="none" w:sz="0" w:space="0" w:color="auto"/>
            <w:right w:val="none" w:sz="0" w:space="0" w:color="auto"/>
          </w:divBdr>
        </w:div>
        <w:div w:id="73819972">
          <w:marLeft w:val="425"/>
          <w:marRight w:val="0"/>
          <w:marTop w:val="0"/>
          <w:marBottom w:val="0"/>
          <w:divBdr>
            <w:top w:val="none" w:sz="0" w:space="0" w:color="auto"/>
            <w:left w:val="none" w:sz="0" w:space="0" w:color="auto"/>
            <w:bottom w:val="none" w:sz="0" w:space="0" w:color="auto"/>
            <w:right w:val="none" w:sz="0" w:space="0" w:color="auto"/>
          </w:divBdr>
        </w:div>
        <w:div w:id="1117480709">
          <w:marLeft w:val="0"/>
          <w:marRight w:val="0"/>
          <w:marTop w:val="240"/>
          <w:marBottom w:val="0"/>
          <w:divBdr>
            <w:top w:val="none" w:sz="0" w:space="0" w:color="auto"/>
            <w:left w:val="none" w:sz="0" w:space="0" w:color="auto"/>
            <w:bottom w:val="none" w:sz="0" w:space="0" w:color="auto"/>
            <w:right w:val="none" w:sz="0" w:space="0" w:color="auto"/>
          </w:divBdr>
        </w:div>
        <w:div w:id="1254896169">
          <w:marLeft w:val="425"/>
          <w:marRight w:val="0"/>
          <w:marTop w:val="0"/>
          <w:marBottom w:val="0"/>
          <w:divBdr>
            <w:top w:val="none" w:sz="0" w:space="0" w:color="auto"/>
            <w:left w:val="none" w:sz="0" w:space="0" w:color="auto"/>
            <w:bottom w:val="none" w:sz="0" w:space="0" w:color="auto"/>
            <w:right w:val="none" w:sz="0" w:space="0" w:color="auto"/>
          </w:divBdr>
        </w:div>
        <w:div w:id="1669365324">
          <w:marLeft w:val="425"/>
          <w:marRight w:val="0"/>
          <w:marTop w:val="0"/>
          <w:marBottom w:val="0"/>
          <w:divBdr>
            <w:top w:val="none" w:sz="0" w:space="0" w:color="auto"/>
            <w:left w:val="none" w:sz="0" w:space="0" w:color="auto"/>
            <w:bottom w:val="none" w:sz="0" w:space="0" w:color="auto"/>
            <w:right w:val="none" w:sz="0" w:space="0" w:color="auto"/>
          </w:divBdr>
        </w:div>
        <w:div w:id="1458914328">
          <w:marLeft w:val="567"/>
          <w:marRight w:val="0"/>
          <w:marTop w:val="0"/>
          <w:marBottom w:val="0"/>
          <w:divBdr>
            <w:top w:val="none" w:sz="0" w:space="0" w:color="auto"/>
            <w:left w:val="none" w:sz="0" w:space="0" w:color="auto"/>
            <w:bottom w:val="none" w:sz="0" w:space="0" w:color="auto"/>
            <w:right w:val="none" w:sz="0" w:space="0" w:color="auto"/>
          </w:divBdr>
        </w:div>
        <w:div w:id="1875924157">
          <w:marLeft w:val="567"/>
          <w:marRight w:val="0"/>
          <w:marTop w:val="0"/>
          <w:marBottom w:val="0"/>
          <w:divBdr>
            <w:top w:val="none" w:sz="0" w:space="0" w:color="auto"/>
            <w:left w:val="none" w:sz="0" w:space="0" w:color="auto"/>
            <w:bottom w:val="none" w:sz="0" w:space="0" w:color="auto"/>
            <w:right w:val="none" w:sz="0" w:space="0" w:color="auto"/>
          </w:divBdr>
        </w:div>
        <w:div w:id="1749034343">
          <w:marLeft w:val="425"/>
          <w:marRight w:val="0"/>
          <w:marTop w:val="0"/>
          <w:marBottom w:val="0"/>
          <w:divBdr>
            <w:top w:val="none" w:sz="0" w:space="0" w:color="auto"/>
            <w:left w:val="none" w:sz="0" w:space="0" w:color="auto"/>
            <w:bottom w:val="none" w:sz="0" w:space="0" w:color="auto"/>
            <w:right w:val="none" w:sz="0" w:space="0" w:color="auto"/>
          </w:divBdr>
        </w:div>
        <w:div w:id="106969580">
          <w:marLeft w:val="425"/>
          <w:marRight w:val="0"/>
          <w:marTop w:val="0"/>
          <w:marBottom w:val="0"/>
          <w:divBdr>
            <w:top w:val="none" w:sz="0" w:space="0" w:color="auto"/>
            <w:left w:val="none" w:sz="0" w:space="0" w:color="auto"/>
            <w:bottom w:val="none" w:sz="0" w:space="0" w:color="auto"/>
            <w:right w:val="none" w:sz="0" w:space="0" w:color="auto"/>
          </w:divBdr>
        </w:div>
        <w:div w:id="770858475">
          <w:marLeft w:val="425"/>
          <w:marRight w:val="0"/>
          <w:marTop w:val="0"/>
          <w:marBottom w:val="0"/>
          <w:divBdr>
            <w:top w:val="none" w:sz="0" w:space="0" w:color="auto"/>
            <w:left w:val="none" w:sz="0" w:space="0" w:color="auto"/>
            <w:bottom w:val="none" w:sz="0" w:space="0" w:color="auto"/>
            <w:right w:val="none" w:sz="0" w:space="0" w:color="auto"/>
          </w:divBdr>
        </w:div>
        <w:div w:id="388960455">
          <w:marLeft w:val="0"/>
          <w:marRight w:val="0"/>
          <w:marTop w:val="240"/>
          <w:marBottom w:val="0"/>
          <w:divBdr>
            <w:top w:val="none" w:sz="0" w:space="0" w:color="auto"/>
            <w:left w:val="none" w:sz="0" w:space="0" w:color="auto"/>
            <w:bottom w:val="none" w:sz="0" w:space="0" w:color="auto"/>
            <w:right w:val="none" w:sz="0" w:space="0" w:color="auto"/>
          </w:divBdr>
        </w:div>
        <w:div w:id="1102191985">
          <w:marLeft w:val="0"/>
          <w:marRight w:val="0"/>
          <w:marTop w:val="240"/>
          <w:marBottom w:val="0"/>
          <w:divBdr>
            <w:top w:val="none" w:sz="0" w:space="0" w:color="auto"/>
            <w:left w:val="none" w:sz="0" w:space="0" w:color="auto"/>
            <w:bottom w:val="none" w:sz="0" w:space="0" w:color="auto"/>
            <w:right w:val="none" w:sz="0" w:space="0" w:color="auto"/>
          </w:divBdr>
        </w:div>
        <w:div w:id="32118467">
          <w:marLeft w:val="0"/>
          <w:marRight w:val="0"/>
          <w:marTop w:val="240"/>
          <w:marBottom w:val="0"/>
          <w:divBdr>
            <w:top w:val="none" w:sz="0" w:space="0" w:color="auto"/>
            <w:left w:val="none" w:sz="0" w:space="0" w:color="auto"/>
            <w:bottom w:val="none" w:sz="0" w:space="0" w:color="auto"/>
            <w:right w:val="none" w:sz="0" w:space="0" w:color="auto"/>
          </w:divBdr>
        </w:div>
        <w:div w:id="972171277">
          <w:marLeft w:val="0"/>
          <w:marRight w:val="0"/>
          <w:marTop w:val="240"/>
          <w:marBottom w:val="0"/>
          <w:divBdr>
            <w:top w:val="none" w:sz="0" w:space="0" w:color="auto"/>
            <w:left w:val="none" w:sz="0" w:space="0" w:color="auto"/>
            <w:bottom w:val="none" w:sz="0" w:space="0" w:color="auto"/>
            <w:right w:val="none" w:sz="0" w:space="0" w:color="auto"/>
          </w:divBdr>
        </w:div>
        <w:div w:id="301157845">
          <w:marLeft w:val="0"/>
          <w:marRight w:val="0"/>
          <w:marTop w:val="240"/>
          <w:marBottom w:val="0"/>
          <w:divBdr>
            <w:top w:val="none" w:sz="0" w:space="0" w:color="auto"/>
            <w:left w:val="none" w:sz="0" w:space="0" w:color="auto"/>
            <w:bottom w:val="none" w:sz="0" w:space="0" w:color="auto"/>
            <w:right w:val="none" w:sz="0" w:space="0" w:color="auto"/>
          </w:divBdr>
        </w:div>
        <w:div w:id="1976905767">
          <w:marLeft w:val="0"/>
          <w:marRight w:val="0"/>
          <w:marTop w:val="240"/>
          <w:marBottom w:val="0"/>
          <w:divBdr>
            <w:top w:val="none" w:sz="0" w:space="0" w:color="auto"/>
            <w:left w:val="none" w:sz="0" w:space="0" w:color="auto"/>
            <w:bottom w:val="none" w:sz="0" w:space="0" w:color="auto"/>
            <w:right w:val="none" w:sz="0" w:space="0" w:color="auto"/>
          </w:divBdr>
        </w:div>
      </w:divsChild>
    </w:div>
    <w:div w:id="1617172649">
      <w:bodyDiv w:val="1"/>
      <w:marLeft w:val="0"/>
      <w:marRight w:val="0"/>
      <w:marTop w:val="0"/>
      <w:marBottom w:val="0"/>
      <w:divBdr>
        <w:top w:val="none" w:sz="0" w:space="0" w:color="auto"/>
        <w:left w:val="none" w:sz="0" w:space="0" w:color="auto"/>
        <w:bottom w:val="none" w:sz="0" w:space="0" w:color="auto"/>
        <w:right w:val="none" w:sz="0" w:space="0" w:color="auto"/>
      </w:divBdr>
    </w:div>
    <w:div w:id="1716854631">
      <w:bodyDiv w:val="1"/>
      <w:marLeft w:val="0"/>
      <w:marRight w:val="0"/>
      <w:marTop w:val="0"/>
      <w:marBottom w:val="0"/>
      <w:divBdr>
        <w:top w:val="none" w:sz="0" w:space="0" w:color="auto"/>
        <w:left w:val="none" w:sz="0" w:space="0" w:color="auto"/>
        <w:bottom w:val="none" w:sz="0" w:space="0" w:color="auto"/>
        <w:right w:val="none" w:sz="0" w:space="0" w:color="auto"/>
      </w:divBdr>
    </w:div>
    <w:div w:id="1730689670">
      <w:bodyDiv w:val="1"/>
      <w:marLeft w:val="0"/>
      <w:marRight w:val="0"/>
      <w:marTop w:val="0"/>
      <w:marBottom w:val="0"/>
      <w:divBdr>
        <w:top w:val="none" w:sz="0" w:space="0" w:color="auto"/>
        <w:left w:val="none" w:sz="0" w:space="0" w:color="auto"/>
        <w:bottom w:val="none" w:sz="0" w:space="0" w:color="auto"/>
        <w:right w:val="none" w:sz="0" w:space="0" w:color="auto"/>
      </w:divBdr>
    </w:div>
    <w:div w:id="207862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prava.gov.si/si/drzava-in-druzba/e-demokracija/predlogi-predpisov/predlog-predpisa.html?id=18001&amp;lang=s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radni-list.si/1/objava.jsp?urlid=200454&amp;stevilka=253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chart" Target="charts/chart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6544317409240255E-2"/>
          <c:y val="0.13664269129820311"/>
          <c:w val="0.92593590274899851"/>
          <c:h val="0.84903846153846152"/>
        </c:manualLayout>
      </c:layout>
      <c:barChart>
        <c:barDir val="col"/>
        <c:grouping val="clustered"/>
        <c:varyColors val="0"/>
        <c:ser>
          <c:idx val="0"/>
          <c:order val="0"/>
          <c:tx>
            <c:strRef>
              <c:f>'[Grafikon v programu Microsoft Word]List1'!$B$74</c:f>
              <c:strCache>
                <c:ptCount val="1"/>
                <c:pt idx="0">
                  <c:v>Št. zavarovancev</c:v>
                </c:pt>
              </c:strCache>
            </c:strRef>
          </c:tx>
          <c:spPr>
            <a:solidFill>
              <a:srgbClr val="0061CF"/>
            </a:solidFill>
            <a:ln w="92075" cap="rnd">
              <a:solidFill>
                <a:srgbClr val="0061CF">
                  <a:alpha val="98000"/>
                </a:srgbClr>
              </a:solidFill>
            </a:ln>
            <a:effectLst/>
          </c:spPr>
          <c:invertIfNegative val="0"/>
          <c:dPt>
            <c:idx val="10"/>
            <c:invertIfNegative val="0"/>
            <c:bubble3D val="0"/>
            <c:spPr>
              <a:solidFill>
                <a:srgbClr val="0061CF"/>
              </a:solidFill>
              <a:ln w="92075" cap="flat">
                <a:solidFill>
                  <a:srgbClr val="0061CF">
                    <a:alpha val="98000"/>
                  </a:srgbClr>
                </a:solidFill>
              </a:ln>
              <a:effectLst/>
            </c:spPr>
            <c:extLst>
              <c:ext xmlns:c16="http://schemas.microsoft.com/office/drawing/2014/chart" uri="{C3380CC4-5D6E-409C-BE32-E72D297353CC}">
                <c16:uniqueId val="{00000001-83E4-4AF9-945C-13EE71FD03F9}"/>
              </c:ext>
            </c:extLst>
          </c:dPt>
          <c:cat>
            <c:numRef>
              <c:f>'[Grafikon v programu Microsoft Word]List1'!$A$75:$A$95</c:f>
              <c:numCache>
                <c:formatCode>General</c:formatCod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numCache>
            </c:numRef>
          </c:cat>
          <c:val>
            <c:numRef>
              <c:f>'[Grafikon v programu Microsoft Word]List1'!$B$75:$B$95</c:f>
              <c:numCache>
                <c:formatCode>#,##0</c:formatCode>
                <c:ptCount val="21"/>
                <c:pt idx="0">
                  <c:v>39558</c:v>
                </c:pt>
                <c:pt idx="1">
                  <c:v>38437</c:v>
                </c:pt>
                <c:pt idx="2">
                  <c:v>37060</c:v>
                </c:pt>
                <c:pt idx="3">
                  <c:v>35584</c:v>
                </c:pt>
                <c:pt idx="4">
                  <c:v>34160</c:v>
                </c:pt>
                <c:pt idx="5">
                  <c:v>32767</c:v>
                </c:pt>
                <c:pt idx="6">
                  <c:v>31235</c:v>
                </c:pt>
                <c:pt idx="7">
                  <c:v>29769</c:v>
                </c:pt>
                <c:pt idx="8">
                  <c:v>27997</c:v>
                </c:pt>
                <c:pt idx="9">
                  <c:v>26555</c:v>
                </c:pt>
                <c:pt idx="10">
                  <c:v>25042</c:v>
                </c:pt>
                <c:pt idx="11">
                  <c:v>23651</c:v>
                </c:pt>
                <c:pt idx="12">
                  <c:v>22283</c:v>
                </c:pt>
                <c:pt idx="13">
                  <c:v>20976</c:v>
                </c:pt>
                <c:pt idx="14">
                  <c:v>19716</c:v>
                </c:pt>
                <c:pt idx="15">
                  <c:v>18448</c:v>
                </c:pt>
                <c:pt idx="16">
                  <c:v>17192</c:v>
                </c:pt>
                <c:pt idx="17">
                  <c:v>15862</c:v>
                </c:pt>
                <c:pt idx="18">
                  <c:v>14597</c:v>
                </c:pt>
                <c:pt idx="19">
                  <c:v>13298</c:v>
                </c:pt>
                <c:pt idx="20">
                  <c:v>12061</c:v>
                </c:pt>
              </c:numCache>
            </c:numRef>
          </c:val>
          <c:extLst>
            <c:ext xmlns:c16="http://schemas.microsoft.com/office/drawing/2014/chart" uri="{C3380CC4-5D6E-409C-BE32-E72D297353CC}">
              <c16:uniqueId val="{00000002-83E4-4AF9-945C-13EE71FD03F9}"/>
            </c:ext>
          </c:extLst>
        </c:ser>
        <c:dLbls>
          <c:showLegendKey val="0"/>
          <c:showVal val="0"/>
          <c:showCatName val="0"/>
          <c:showSerName val="0"/>
          <c:showPercent val="0"/>
          <c:showBubbleSize val="0"/>
        </c:dLbls>
        <c:gapWidth val="102"/>
        <c:axId val="64929528"/>
        <c:axId val="299471360"/>
      </c:barChart>
      <c:catAx>
        <c:axId val="6492952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299471360"/>
        <c:crosses val="autoZero"/>
        <c:auto val="1"/>
        <c:lblAlgn val="ctr"/>
        <c:lblOffset val="100"/>
        <c:noMultiLvlLbl val="0"/>
      </c:catAx>
      <c:valAx>
        <c:axId val="299471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0" spcFirstLastPara="1" vertOverflow="ellipsis" wrap="square" anchor="ctr" anchorCtr="1"/>
          <a:lstStyle/>
          <a:p>
            <a:pPr>
              <a:defRPr sz="800" b="0" i="0" u="none" strike="noStrike" kern="1200" baseline="0">
                <a:ln>
                  <a:noFill/>
                </a:ln>
                <a:solidFill>
                  <a:sysClr val="windowText" lastClr="000000"/>
                </a:solidFill>
                <a:latin typeface="Arial" panose="020B0604020202020204" pitchFamily="34" charset="0"/>
                <a:ea typeface="+mn-ea"/>
                <a:cs typeface="Arial" panose="020B0604020202020204" pitchFamily="34" charset="0"/>
              </a:defRPr>
            </a:pPr>
            <a:endParaRPr lang="sl-SI"/>
          </a:p>
        </c:txPr>
        <c:crossAx val="64929528"/>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l-SI"/>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6544317409240255E-2"/>
          <c:y val="0.13664269129820311"/>
          <c:w val="0.92593590274899851"/>
          <c:h val="0.84903846153846152"/>
        </c:manualLayout>
      </c:layout>
      <c:barChart>
        <c:barDir val="col"/>
        <c:grouping val="clustered"/>
        <c:varyColors val="0"/>
        <c:ser>
          <c:idx val="0"/>
          <c:order val="0"/>
          <c:tx>
            <c:strRef>
              <c:f>'[Grafikon v programu Microsoft Word]List1'!$C$1</c:f>
              <c:strCache>
                <c:ptCount val="1"/>
                <c:pt idx="0">
                  <c:v>Vrednost sredstev konec leta v EUR</c:v>
                </c:pt>
              </c:strCache>
            </c:strRef>
          </c:tx>
          <c:spPr>
            <a:solidFill>
              <a:srgbClr val="0061CF"/>
            </a:solidFill>
            <a:ln w="142875">
              <a:solidFill>
                <a:srgbClr val="0061CF">
                  <a:alpha val="98000"/>
                </a:srgbClr>
              </a:solidFill>
            </a:ln>
            <a:effectLst/>
          </c:spPr>
          <c:invertIfNegative val="0"/>
          <c:cat>
            <c:numRef>
              <c:f>'[Grafikon v programu Microsoft Word]List1'!$A$2:$A$23</c:f>
              <c:numCache>
                <c:formatCode>General</c:formatCod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numCache>
              <c:extLst/>
            </c:numRef>
          </c:cat>
          <c:val>
            <c:numRef>
              <c:f>'[Grafikon v programu Microsoft Word]List1'!$C$2:$C$23</c:f>
              <c:numCache>
                <c:formatCode>#,##0</c:formatCode>
                <c:ptCount val="21"/>
                <c:pt idx="0">
                  <c:v>98249415.790352196</c:v>
                </c:pt>
                <c:pt idx="1">
                  <c:v>107748685.52829245</c:v>
                </c:pt>
                <c:pt idx="2">
                  <c:v>118525000</c:v>
                </c:pt>
                <c:pt idx="3">
                  <c:v>139347000</c:v>
                </c:pt>
                <c:pt idx="4">
                  <c:v>74000000</c:v>
                </c:pt>
                <c:pt idx="5">
                  <c:v>70925840</c:v>
                </c:pt>
                <c:pt idx="6">
                  <c:v>59428703</c:v>
                </c:pt>
                <c:pt idx="7">
                  <c:v>53231164</c:v>
                </c:pt>
                <c:pt idx="8">
                  <c:v>48398916</c:v>
                </c:pt>
                <c:pt idx="9">
                  <c:v>33246827</c:v>
                </c:pt>
                <c:pt idx="10">
                  <c:v>30042939</c:v>
                </c:pt>
                <c:pt idx="11">
                  <c:v>21888882</c:v>
                </c:pt>
                <c:pt idx="12">
                  <c:v>20666833</c:v>
                </c:pt>
                <c:pt idx="13">
                  <c:v>20120513</c:v>
                </c:pt>
                <c:pt idx="14">
                  <c:v>19131937</c:v>
                </c:pt>
                <c:pt idx="15">
                  <c:v>17449273</c:v>
                </c:pt>
                <c:pt idx="16">
                  <c:v>16177547</c:v>
                </c:pt>
                <c:pt idx="17">
                  <c:v>15704027</c:v>
                </c:pt>
                <c:pt idx="18">
                  <c:v>12062120</c:v>
                </c:pt>
                <c:pt idx="19">
                  <c:v>11822124</c:v>
                </c:pt>
                <c:pt idx="20">
                  <c:v>10945007</c:v>
                </c:pt>
              </c:numCache>
              <c:extLst/>
            </c:numRef>
          </c:val>
          <c:extLst>
            <c:ext xmlns:c16="http://schemas.microsoft.com/office/drawing/2014/chart" uri="{C3380CC4-5D6E-409C-BE32-E72D297353CC}">
              <c16:uniqueId val="{00000000-3870-41F4-934E-5CBF0D933D2A}"/>
            </c:ext>
          </c:extLst>
        </c:ser>
        <c:dLbls>
          <c:showLegendKey val="0"/>
          <c:showVal val="0"/>
          <c:showCatName val="0"/>
          <c:showSerName val="0"/>
          <c:showPercent val="0"/>
          <c:showBubbleSize val="0"/>
        </c:dLbls>
        <c:gapWidth val="150"/>
        <c:axId val="299226608"/>
        <c:axId val="296694312"/>
      </c:barChart>
      <c:catAx>
        <c:axId val="29922660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296694312"/>
        <c:crosses val="autoZero"/>
        <c:auto val="1"/>
        <c:lblAlgn val="ctr"/>
        <c:lblOffset val="100"/>
        <c:noMultiLvlLbl val="0"/>
      </c:catAx>
      <c:valAx>
        <c:axId val="2966943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299226608"/>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l-SI"/>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0731507751814424E-2"/>
          <c:y val="3.8942376521116678E-2"/>
          <c:w val="0.8296171618580761"/>
          <c:h val="0.79840212799345756"/>
        </c:manualLayout>
      </c:layout>
      <c:barChart>
        <c:barDir val="col"/>
        <c:grouping val="clustered"/>
        <c:varyColors val="0"/>
        <c:ser>
          <c:idx val="0"/>
          <c:order val="0"/>
          <c:tx>
            <c:strRef>
              <c:f>List1!$L$272</c:f>
              <c:strCache>
                <c:ptCount val="1"/>
                <c:pt idx="0">
                  <c:v>Letna donosnost</c:v>
                </c:pt>
              </c:strCache>
            </c:strRef>
          </c:tx>
          <c:spPr>
            <a:solidFill>
              <a:srgbClr val="0070C0"/>
            </a:solidFill>
          </c:spPr>
          <c:invertIfNegative val="0"/>
          <c:cat>
            <c:numRef>
              <c:f>List1!$K$273:$K$294</c:f>
              <c:numCache>
                <c:formatCode>0</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formatCode="General">
                  <c:v>2024</c:v>
                </c:pt>
              </c:numCache>
            </c:numRef>
          </c:cat>
          <c:val>
            <c:numRef>
              <c:f>List1!$L$273:$L$294</c:f>
              <c:numCache>
                <c:formatCode>0.00%</c:formatCode>
                <c:ptCount val="22"/>
                <c:pt idx="0">
                  <c:v>5.0027793218454741E-2</c:v>
                </c:pt>
                <c:pt idx="1">
                  <c:v>5.6820187047820658E-2</c:v>
                </c:pt>
                <c:pt idx="2">
                  <c:v>0.14777091334112535</c:v>
                </c:pt>
                <c:pt idx="3">
                  <c:v>0.20133837649112585</c:v>
                </c:pt>
                <c:pt idx="4">
                  <c:v>0.2897190603051587</c:v>
                </c:pt>
                <c:pt idx="5">
                  <c:v>-0.42185812872635087</c:v>
                </c:pt>
                <c:pt idx="6">
                  <c:v>4.9533089727973989E-2</c:v>
                </c:pt>
                <c:pt idx="7">
                  <c:v>-7.3500967117988369E-2</c:v>
                </c:pt>
                <c:pt idx="8">
                  <c:v>-1.3361169102296455E-2</c:v>
                </c:pt>
                <c:pt idx="9">
                  <c:v>9.1409225560727947E-3</c:v>
                </c:pt>
                <c:pt idx="10">
                  <c:v>-0.23987251530655029</c:v>
                </c:pt>
                <c:pt idx="11">
                  <c:v>-1.0371841553569405E-2</c:v>
                </c:pt>
                <c:pt idx="12">
                  <c:v>-0.20002229902999225</c:v>
                </c:pt>
                <c:pt idx="13">
                  <c:v>4.6132404181184583E-2</c:v>
                </c:pt>
                <c:pt idx="14">
                  <c:v>7.5672795097255552E-2</c:v>
                </c:pt>
                <c:pt idx="15">
                  <c:v>4.8303195442159996E-2</c:v>
                </c:pt>
                <c:pt idx="16">
                  <c:v>2.8119092627599152E-2</c:v>
                </c:pt>
                <c:pt idx="17">
                  <c:v>2.3902551137669592E-2</c:v>
                </c:pt>
                <c:pt idx="18">
                  <c:v>9.4500561167227826E-2</c:v>
                </c:pt>
                <c:pt idx="19">
                  <c:v>-0.12992206726825262</c:v>
                </c:pt>
                <c:pt idx="20">
                  <c:v>0.12174425456688276</c:v>
                </c:pt>
                <c:pt idx="21">
                  <c:v>6.8599999999999994E-2</c:v>
                </c:pt>
              </c:numCache>
            </c:numRef>
          </c:val>
          <c:extLst>
            <c:ext xmlns:c16="http://schemas.microsoft.com/office/drawing/2014/chart" uri="{C3380CC4-5D6E-409C-BE32-E72D297353CC}">
              <c16:uniqueId val="{00000000-0D63-4160-AC14-6C0EA048470C}"/>
            </c:ext>
          </c:extLst>
        </c:ser>
        <c:ser>
          <c:idx val="1"/>
          <c:order val="1"/>
          <c:tx>
            <c:strRef>
              <c:f>List1!$M$272</c:f>
              <c:strCache>
                <c:ptCount val="1"/>
                <c:pt idx="0">
                  <c:v>Letna zajamčena donosnost</c:v>
                </c:pt>
              </c:strCache>
            </c:strRef>
          </c:tx>
          <c:spPr>
            <a:solidFill>
              <a:schemeClr val="bg2">
                <a:lumMod val="75000"/>
              </a:schemeClr>
            </a:solidFill>
          </c:spPr>
          <c:invertIfNegative val="0"/>
          <c:cat>
            <c:numRef>
              <c:f>List1!$K$273:$K$294</c:f>
              <c:numCache>
                <c:formatCode>0</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formatCode="General">
                  <c:v>2024</c:v>
                </c:pt>
              </c:numCache>
            </c:numRef>
          </c:cat>
          <c:val>
            <c:numRef>
              <c:f>List1!$M$273:$M$294</c:f>
              <c:numCache>
                <c:formatCode>0.00%</c:formatCode>
                <c:ptCount val="22"/>
                <c:pt idx="0">
                  <c:v>1.0020459005441795E-2</c:v>
                </c:pt>
                <c:pt idx="1">
                  <c:v>9.9981654742249404E-3</c:v>
                </c:pt>
                <c:pt idx="2">
                  <c:v>9.9900099900100958E-3</c:v>
                </c:pt>
                <c:pt idx="3">
                  <c:v>9.9811168060424116E-3</c:v>
                </c:pt>
                <c:pt idx="4">
                  <c:v>1.0010088732338884E-2</c:v>
                </c:pt>
                <c:pt idx="5">
                  <c:v>1.0010785042191106E-2</c:v>
                </c:pt>
                <c:pt idx="6">
                  <c:v>9.9894124657051719E-3</c:v>
                </c:pt>
                <c:pt idx="7">
                  <c:v>9.9999134581265636E-3</c:v>
                </c:pt>
                <c:pt idx="8">
                  <c:v>1.0000157089222306E-2</c:v>
                </c:pt>
                <c:pt idx="9">
                  <c:v>9.999766699211321E-3</c:v>
                </c:pt>
                <c:pt idx="10">
                  <c:v>1.0000157493818218E-2</c:v>
                </c:pt>
                <c:pt idx="11">
                  <c:v>9.9999029741202339E-3</c:v>
                </c:pt>
                <c:pt idx="12">
                  <c:v>1.0000048032618558E-2</c:v>
                </c:pt>
                <c:pt idx="13">
                  <c:v>9.9998879012497266E-3</c:v>
                </c:pt>
                <c:pt idx="14">
                  <c:v>1.0000097535677099E-2</c:v>
                </c:pt>
                <c:pt idx="15">
                  <c:v>9.9999866800044579E-3</c:v>
                </c:pt>
                <c:pt idx="16">
                  <c:v>9.9998879010259056E-3</c:v>
                </c:pt>
                <c:pt idx="17">
                  <c:v>1.0000117517865892E-2</c:v>
                </c:pt>
                <c:pt idx="18">
                  <c:v>1.0000006464128353E-2</c:v>
                </c:pt>
                <c:pt idx="19">
                  <c:v>9.999878397587203E-3</c:v>
                </c:pt>
                <c:pt idx="20">
                  <c:v>1.0000041188941156E-2</c:v>
                </c:pt>
                <c:pt idx="21">
                  <c:v>9.9976067285116876E-3</c:v>
                </c:pt>
              </c:numCache>
            </c:numRef>
          </c:val>
          <c:extLst>
            <c:ext xmlns:c16="http://schemas.microsoft.com/office/drawing/2014/chart" uri="{C3380CC4-5D6E-409C-BE32-E72D297353CC}">
              <c16:uniqueId val="{00000001-0D63-4160-AC14-6C0EA048470C}"/>
            </c:ext>
          </c:extLst>
        </c:ser>
        <c:dLbls>
          <c:showLegendKey val="0"/>
          <c:showVal val="0"/>
          <c:showCatName val="0"/>
          <c:showSerName val="0"/>
          <c:showPercent val="0"/>
          <c:showBubbleSize val="0"/>
        </c:dLbls>
        <c:gapWidth val="150"/>
        <c:axId val="296695488"/>
        <c:axId val="296695880"/>
      </c:barChart>
      <c:lineChart>
        <c:grouping val="standard"/>
        <c:varyColors val="0"/>
        <c:ser>
          <c:idx val="2"/>
          <c:order val="2"/>
          <c:tx>
            <c:strRef>
              <c:f>List1!$N$272</c:f>
              <c:strCache>
                <c:ptCount val="1"/>
                <c:pt idx="0">
                  <c:v>Kumulativna dejanska donosnost</c:v>
                </c:pt>
              </c:strCache>
            </c:strRef>
          </c:tx>
          <c:spPr>
            <a:ln w="44450">
              <a:solidFill>
                <a:srgbClr val="0061CF"/>
              </a:solidFill>
            </a:ln>
          </c:spPr>
          <c:marker>
            <c:spPr>
              <a:solidFill>
                <a:srgbClr val="0061CF"/>
              </a:solidFill>
              <a:ln>
                <a:solidFill>
                  <a:srgbClr val="0061CF"/>
                </a:solidFill>
              </a:ln>
            </c:spPr>
          </c:marker>
          <c:cat>
            <c:numRef>
              <c:f>List1!$K$273:$K$294</c:f>
              <c:numCache>
                <c:formatCode>0</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formatCode="General">
                  <c:v>2024</c:v>
                </c:pt>
              </c:numCache>
            </c:numRef>
          </c:cat>
          <c:val>
            <c:numRef>
              <c:f>List1!$N$273:$N$294</c:f>
              <c:numCache>
                <c:formatCode>0.00%</c:formatCode>
                <c:ptCount val="22"/>
                <c:pt idx="0">
                  <c:v>5.0027793218454741E-2</c:v>
                </c:pt>
                <c:pt idx="1">
                  <c:v>0.10969056883453776</c:v>
                </c:pt>
                <c:pt idx="2">
                  <c:v>0.27367055771725024</c:v>
                </c:pt>
                <c:pt idx="3">
                  <c:v>0.53010931999258815</c:v>
                </c:pt>
                <c:pt idx="4">
                  <c:v>0.97341115434500614</c:v>
                </c:pt>
                <c:pt idx="5">
                  <c:v>0.14091161756531378</c:v>
                </c:pt>
                <c:pt idx="6">
                  <c:v>0.19742449508986448</c:v>
                </c:pt>
                <c:pt idx="7">
                  <c:v>0.10941263664999057</c:v>
                </c:pt>
                <c:pt idx="8">
                  <c:v>9.4589586807485526E-2</c:v>
                </c:pt>
                <c:pt idx="9">
                  <c:v>0.10459514545117643</c:v>
                </c:pt>
                <c:pt idx="10">
                  <c:v>-0.16036687048360199</c:v>
                </c:pt>
                <c:pt idx="11">
                  <c:v>-0.1690754122660737</c:v>
                </c:pt>
                <c:pt idx="12">
                  <c:v>-0.33527885862516216</c:v>
                </c:pt>
                <c:pt idx="13">
                  <c:v>-0.30461367426347985</c:v>
                </c:pt>
                <c:pt idx="14">
                  <c:v>-0.25199184732258673</c:v>
                </c:pt>
                <c:pt idx="15">
                  <c:v>-0.21586066333148057</c:v>
                </c:pt>
                <c:pt idx="16">
                  <c:v>-0.19381137669075432</c:v>
                </c:pt>
                <c:pt idx="17">
                  <c:v>-0.17454141189549766</c:v>
                </c:pt>
                <c:pt idx="18">
                  <c:v>-9.6535112099314646E-2</c:v>
                </c:pt>
                <c:pt idx="19">
                  <c:v>-0.21391513803965179</c:v>
                </c:pt>
                <c:pt idx="20">
                  <c:v>-0.11821382249397827</c:v>
                </c:pt>
                <c:pt idx="21">
                  <c:v>-5.7723290717065168E-2</c:v>
                </c:pt>
              </c:numCache>
            </c:numRef>
          </c:val>
          <c:smooth val="0"/>
          <c:extLst>
            <c:ext xmlns:c16="http://schemas.microsoft.com/office/drawing/2014/chart" uri="{C3380CC4-5D6E-409C-BE32-E72D297353CC}">
              <c16:uniqueId val="{00000002-0D63-4160-AC14-6C0EA048470C}"/>
            </c:ext>
          </c:extLst>
        </c:ser>
        <c:ser>
          <c:idx val="3"/>
          <c:order val="3"/>
          <c:tx>
            <c:strRef>
              <c:f>List1!$O$272</c:f>
              <c:strCache>
                <c:ptCount val="1"/>
                <c:pt idx="0">
                  <c:v>Kumulativna zajamčena donosnost</c:v>
                </c:pt>
              </c:strCache>
            </c:strRef>
          </c:tx>
          <c:spPr>
            <a:ln w="44450"/>
          </c:spPr>
          <c:marker>
            <c:symbol val="circle"/>
            <c:size val="13"/>
            <c:spPr>
              <a:solidFill>
                <a:schemeClr val="bg2">
                  <a:lumMod val="75000"/>
                </a:schemeClr>
              </a:solidFill>
              <a:ln w="3175"/>
            </c:spPr>
          </c:marker>
          <c:cat>
            <c:numRef>
              <c:f>List1!$K$273:$K$294</c:f>
              <c:numCache>
                <c:formatCode>0</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formatCode="General">
                  <c:v>2024</c:v>
                </c:pt>
              </c:numCache>
            </c:numRef>
          </c:cat>
          <c:val>
            <c:numRef>
              <c:f>List1!$O$273:$O$294</c:f>
              <c:numCache>
                <c:formatCode>0.00%</c:formatCode>
                <c:ptCount val="22"/>
                <c:pt idx="0">
                  <c:v>1.0020459005441795E-2</c:v>
                </c:pt>
                <c:pt idx="1">
                  <c:v>2.0118810686930777E-2</c:v>
                </c:pt>
                <c:pt idx="2">
                  <c:v>3.0309807796690347E-2</c:v>
                </c:pt>
                <c:pt idx="3">
                  <c:v>4.0593450334720282E-2</c:v>
                </c:pt>
                <c:pt idx="4">
                  <c:v>5.1009883106861498E-2</c:v>
                </c:pt>
                <c:pt idx="5">
                  <c:v>6.1531317123862728E-2</c:v>
                </c:pt>
                <c:pt idx="6">
                  <c:v>7.2135391295876206E-2</c:v>
                </c:pt>
                <c:pt idx="7">
                  <c:v>8.2856652424229571E-2</c:v>
                </c:pt>
                <c:pt idx="8">
                  <c:v>9.3685389053581369E-2</c:v>
                </c:pt>
                <c:pt idx="9">
                  <c:v>0.10462198778645337</c:v>
                </c:pt>
                <c:pt idx="10">
                  <c:v>0.11566838163545246</c:v>
                </c:pt>
                <c:pt idx="11">
                  <c:v>0.12682495720310083</c:v>
                </c:pt>
                <c:pt idx="12">
                  <c:v>0.13809326089948515</c:v>
                </c:pt>
                <c:pt idx="13">
                  <c:v>0.14947406592964785</c:v>
                </c:pt>
                <c:pt idx="14">
                  <c:v>0.16096891870367558</c:v>
                </c:pt>
                <c:pt idx="15">
                  <c:v>0.17257859242661144</c:v>
                </c:pt>
                <c:pt idx="16">
                  <c:v>0.18430424690602032</c:v>
                </c:pt>
                <c:pt idx="17">
                  <c:v>0.19614742855198819</c:v>
                </c:pt>
                <c:pt idx="18">
                  <c:v>0.2081089105695586</c:v>
                </c:pt>
                <c:pt idx="19">
                  <c:v>0.22018985276629577</c:v>
                </c:pt>
                <c:pt idx="20">
                  <c:v>0.23239180155228678</c:v>
                </c:pt>
                <c:pt idx="21">
                  <c:v>0.24471277011964854</c:v>
                </c:pt>
              </c:numCache>
            </c:numRef>
          </c:val>
          <c:smooth val="0"/>
          <c:extLst>
            <c:ext xmlns:c16="http://schemas.microsoft.com/office/drawing/2014/chart" uri="{C3380CC4-5D6E-409C-BE32-E72D297353CC}">
              <c16:uniqueId val="{00000003-0D63-4160-AC14-6C0EA048470C}"/>
            </c:ext>
          </c:extLst>
        </c:ser>
        <c:dLbls>
          <c:showLegendKey val="0"/>
          <c:showVal val="0"/>
          <c:showCatName val="0"/>
          <c:showSerName val="0"/>
          <c:showPercent val="0"/>
          <c:showBubbleSize val="0"/>
        </c:dLbls>
        <c:marker val="1"/>
        <c:smooth val="0"/>
        <c:axId val="64301816"/>
        <c:axId val="64301424"/>
      </c:lineChart>
      <c:catAx>
        <c:axId val="296695488"/>
        <c:scaling>
          <c:orientation val="minMax"/>
        </c:scaling>
        <c:delete val="0"/>
        <c:axPos val="b"/>
        <c:numFmt formatCode="0" sourceLinked="1"/>
        <c:majorTickMark val="out"/>
        <c:minorTickMark val="none"/>
        <c:tickLblPos val="nextTo"/>
        <c:txPr>
          <a:bodyPr/>
          <a:lstStyle/>
          <a:p>
            <a:pPr>
              <a:defRPr b="1">
                <a:latin typeface="+mj-lt"/>
              </a:defRPr>
            </a:pPr>
            <a:endParaRPr lang="sl-SI"/>
          </a:p>
        </c:txPr>
        <c:crossAx val="296695880"/>
        <c:crosses val="autoZero"/>
        <c:auto val="1"/>
        <c:lblAlgn val="ctr"/>
        <c:lblOffset val="100"/>
        <c:noMultiLvlLbl val="0"/>
      </c:catAx>
      <c:valAx>
        <c:axId val="296695880"/>
        <c:scaling>
          <c:orientation val="minMax"/>
        </c:scaling>
        <c:delete val="0"/>
        <c:axPos val="l"/>
        <c:majorGridlines/>
        <c:numFmt formatCode="0%" sourceLinked="0"/>
        <c:majorTickMark val="out"/>
        <c:minorTickMark val="none"/>
        <c:tickLblPos val="nextTo"/>
        <c:txPr>
          <a:bodyPr/>
          <a:lstStyle/>
          <a:p>
            <a:pPr>
              <a:defRPr>
                <a:latin typeface="+mj-lt"/>
              </a:defRPr>
            </a:pPr>
            <a:endParaRPr lang="sl-SI"/>
          </a:p>
        </c:txPr>
        <c:crossAx val="296695488"/>
        <c:crosses val="autoZero"/>
        <c:crossBetween val="between"/>
      </c:valAx>
      <c:valAx>
        <c:axId val="64301424"/>
        <c:scaling>
          <c:orientation val="minMax"/>
        </c:scaling>
        <c:delete val="0"/>
        <c:axPos val="r"/>
        <c:numFmt formatCode="0%" sourceLinked="0"/>
        <c:majorTickMark val="out"/>
        <c:minorTickMark val="none"/>
        <c:tickLblPos val="nextTo"/>
        <c:txPr>
          <a:bodyPr/>
          <a:lstStyle/>
          <a:p>
            <a:pPr>
              <a:defRPr>
                <a:latin typeface="+mj-lt"/>
              </a:defRPr>
            </a:pPr>
            <a:endParaRPr lang="sl-SI"/>
          </a:p>
        </c:txPr>
        <c:crossAx val="64301816"/>
        <c:crosses val="max"/>
        <c:crossBetween val="between"/>
      </c:valAx>
      <c:catAx>
        <c:axId val="64301816"/>
        <c:scaling>
          <c:orientation val="minMax"/>
        </c:scaling>
        <c:delete val="1"/>
        <c:axPos val="b"/>
        <c:numFmt formatCode="0" sourceLinked="1"/>
        <c:majorTickMark val="out"/>
        <c:minorTickMark val="none"/>
        <c:tickLblPos val="none"/>
        <c:crossAx val="64301424"/>
        <c:crosses val="autoZero"/>
        <c:auto val="1"/>
        <c:lblAlgn val="ctr"/>
        <c:lblOffset val="100"/>
        <c:noMultiLvlLbl val="0"/>
      </c:catAx>
    </c:plotArea>
    <c:legend>
      <c:legendPos val="b"/>
      <c:layout>
        <c:manualLayout>
          <c:xMode val="edge"/>
          <c:yMode val="edge"/>
          <c:x val="4.2458223972003932E-2"/>
          <c:y val="0.88094711767313016"/>
          <c:w val="0.62080303507600521"/>
          <c:h val="0.10724925624164292"/>
        </c:manualLayout>
      </c:layout>
      <c:overlay val="0"/>
    </c:legend>
    <c:plotVisOnly val="1"/>
    <c:dispBlanksAs val="gap"/>
    <c:showDLblsOverMax val="0"/>
  </c:chart>
  <c:spPr>
    <a:ln>
      <a:noFill/>
    </a:ln>
  </c:spPr>
  <c:txPr>
    <a:bodyPr/>
    <a:lstStyle/>
    <a:p>
      <a:pPr>
        <a:defRPr>
          <a:latin typeface="Linotype Univers 420 Condensed" pitchFamily="34" charset="-18"/>
        </a:defRPr>
      </a:pPr>
      <a:endParaRPr lang="sl-SI"/>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0.00769</cdr:y>
    </cdr:from>
    <cdr:to>
      <cdr:x>0.10423</cdr:x>
      <cdr:y>0.07308</cdr:y>
    </cdr:to>
    <cdr:sp macro="" textlink="">
      <cdr:nvSpPr>
        <cdr:cNvPr id="2" name="PoljeZBesedilom 1">
          <a:extLst xmlns:a="http://schemas.openxmlformats.org/drawingml/2006/main">
            <a:ext uri="{FF2B5EF4-FFF2-40B4-BE49-F238E27FC236}">
              <a16:creationId xmlns:a16="http://schemas.microsoft.com/office/drawing/2014/main" id="{0FBF8864-FFFD-7A6A-5ACD-F78F19B1F155}"/>
            </a:ext>
          </a:extLst>
        </cdr:cNvPr>
        <cdr:cNvSpPr txBox="1"/>
      </cdr:nvSpPr>
      <cdr:spPr>
        <a:xfrm xmlns:a="http://schemas.openxmlformats.org/drawingml/2006/main">
          <a:off x="0" y="30480"/>
          <a:ext cx="769620" cy="2590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sl-SI" sz="900" b="1">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84CCBCEF155D4F86DBA912F3619BEC" ma:contentTypeVersion="4" ma:contentTypeDescription="Create a new document." ma:contentTypeScope="" ma:versionID="a4035d35cee6d5282c045a068bd30167">
  <xsd:schema xmlns:xsd="http://www.w3.org/2001/XMLSchema" xmlns:xs="http://www.w3.org/2001/XMLSchema" xmlns:p="http://schemas.microsoft.com/office/2006/metadata/properties" xmlns:ns3="2fdef39d-dbb0-4ffd-8e8a-5fd53897dad7" targetNamespace="http://schemas.microsoft.com/office/2006/metadata/properties" ma:root="true" ma:fieldsID="e1386a37d8cb979af3767c1a81d2356f" ns3:_="">
    <xsd:import namespace="2fdef39d-dbb0-4ffd-8e8a-5fd53897dad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ef39d-dbb0-4ffd-8e8a-5fd53897d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9394B-061C-4ECB-9DD2-E8EB3560378F}">
  <ds:schemaRefs>
    <ds:schemaRef ds:uri="http://schemas.microsoft.com/sharepoint/v3/contenttype/forms"/>
  </ds:schemaRefs>
</ds:datastoreItem>
</file>

<file path=customXml/itemProps2.xml><?xml version="1.0" encoding="utf-8"?>
<ds:datastoreItem xmlns:ds="http://schemas.openxmlformats.org/officeDocument/2006/customXml" ds:itemID="{56E61D19-0367-44D2-BE12-FF5FDB481615}">
  <ds:schemaRefs>
    <ds:schemaRef ds:uri="2fdef39d-dbb0-4ffd-8e8a-5fd53897dad7"/>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FDE1FB6-7BFC-4D1D-8335-1B261D414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ef39d-dbb0-4ffd-8e8a-5fd53897d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7C8B3B-F92A-47A9-BFE4-7E4477FC5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8848</Words>
  <Characters>50434</Characters>
  <Application>Microsoft Office Word</Application>
  <DocSecurity>0</DocSecurity>
  <Lines>420</Lines>
  <Paragraphs>118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SVZ</Company>
  <LinksUpToDate>false</LinksUpToDate>
  <CharactersWithSpaces>59164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Polona Gul</dc:creator>
  <cp:lastModifiedBy>Marina Kalfić</cp:lastModifiedBy>
  <cp:revision>2</cp:revision>
  <cp:lastPrinted>2023-03-23T13:47:00Z</cp:lastPrinted>
  <dcterms:created xsi:type="dcterms:W3CDTF">2025-11-28T11:20:00Z</dcterms:created>
  <dcterms:modified xsi:type="dcterms:W3CDTF">2025-11-28T11:20:00Z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0x010100A484CCBCEF155D4F86DBA912F3619BEC</vt:lpwstr>
  </property>
</Properties>
</file>