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22EF" w14:textId="77777777" w:rsidR="00C7562D" w:rsidRPr="0095610C" w:rsidRDefault="00C7562D" w:rsidP="00C7562D">
      <w:pPr>
        <w:pStyle w:val="Heading20"/>
        <w:keepNext/>
        <w:keepLines/>
        <w:shd w:val="clear" w:color="auto" w:fill="auto"/>
        <w:spacing w:after="1500" w:line="262" w:lineRule="auto"/>
        <w:rPr>
          <w:sz w:val="48"/>
          <w:szCs w:val="48"/>
          <w:lang w:val="sl"/>
        </w:rPr>
      </w:pPr>
      <w:bookmarkStart w:id="0" w:name="bookmark3"/>
      <w:bookmarkStart w:id="1" w:name="bookmark2"/>
      <w:r>
        <w:rPr>
          <w:rFonts w:ascii="Arial Narrow" w:eastAsia="Arial Narrow" w:hAnsi="Arial Narrow" w:cs="Arial Narrow"/>
          <w:sz w:val="48"/>
          <w:szCs w:val="48"/>
          <w:lang w:val="sl"/>
        </w:rPr>
        <w:t>Večstranski sporazum med pristojnimi organi o</w:t>
      </w:r>
      <w:r>
        <w:rPr>
          <w:rFonts w:ascii="Arial Narrow" w:eastAsia="Arial Narrow" w:hAnsi="Arial Narrow" w:cs="Arial Narrow"/>
          <w:b w:val="0"/>
          <w:bCs w:val="0"/>
          <w:sz w:val="48"/>
          <w:szCs w:val="48"/>
          <w:lang w:val="sl"/>
        </w:rPr>
        <w:br/>
      </w:r>
      <w:r>
        <w:rPr>
          <w:rFonts w:ascii="Arial Narrow" w:eastAsia="Arial Narrow" w:hAnsi="Arial Narrow" w:cs="Arial Narrow"/>
          <w:sz w:val="48"/>
          <w:szCs w:val="48"/>
          <w:lang w:val="sl"/>
        </w:rPr>
        <w:t xml:space="preserve">izmenjavi informacij </w:t>
      </w:r>
      <w:proofErr w:type="spellStart"/>
      <w:r>
        <w:rPr>
          <w:rFonts w:ascii="Arial Narrow" w:eastAsia="Arial Narrow" w:hAnsi="Arial Narrow" w:cs="Arial Narrow"/>
          <w:sz w:val="48"/>
          <w:szCs w:val="48"/>
          <w:lang w:val="sl"/>
        </w:rPr>
        <w:t>GloBE</w:t>
      </w:r>
      <w:bookmarkEnd w:id="0"/>
      <w:bookmarkEnd w:id="1"/>
      <w:proofErr w:type="spellEnd"/>
    </w:p>
    <w:p w14:paraId="12D3DF47" w14:textId="77777777" w:rsidR="00C7562D" w:rsidRDefault="00C7562D" w:rsidP="00C7562D">
      <w:pPr>
        <w:pStyle w:val="Heading20"/>
        <w:keepNext/>
        <w:keepLines/>
        <w:shd w:val="clear" w:color="auto" w:fill="auto"/>
        <w:spacing w:after="700" w:line="240" w:lineRule="auto"/>
      </w:pPr>
      <w:bookmarkStart w:id="2" w:name="bookmark5"/>
      <w:bookmarkStart w:id="3" w:name="bookmark4"/>
      <w:r>
        <w:rPr>
          <w:lang w:val="sl"/>
        </w:rPr>
        <w:t>IZJAVA</w:t>
      </w:r>
      <w:bookmarkEnd w:id="2"/>
      <w:bookmarkEnd w:id="3"/>
    </w:p>
    <w:p w14:paraId="65295FF6" w14:textId="77777777" w:rsidR="00C7562D" w:rsidRDefault="00C7562D" w:rsidP="00C7562D">
      <w:pPr>
        <w:pStyle w:val="Telobesedila"/>
        <w:numPr>
          <w:ilvl w:val="0"/>
          <w:numId w:val="1"/>
        </w:numPr>
        <w:shd w:val="clear" w:color="auto" w:fill="auto"/>
        <w:tabs>
          <w:tab w:val="left" w:pos="310"/>
        </w:tabs>
        <w:spacing w:after="440" w:line="240" w:lineRule="auto"/>
        <w:jc w:val="both"/>
      </w:pPr>
      <w:r>
        <w:rPr>
          <w:lang w:val="sl"/>
        </w:rPr>
        <w:t>[IME in NAZIV] v imenu pristojnega organa [JURISDIKCIJA] izjavljam, da bo ta ravnal v skladu z določbami</w:t>
      </w:r>
    </w:p>
    <w:p w14:paraId="7F5350E8" w14:textId="77777777" w:rsidR="00C7562D" w:rsidRPr="0095610C" w:rsidRDefault="00C7562D" w:rsidP="00C7562D">
      <w:pPr>
        <w:pStyle w:val="Telobesedila"/>
        <w:shd w:val="clear" w:color="auto" w:fill="auto"/>
        <w:spacing w:after="440" w:line="240" w:lineRule="auto"/>
        <w:jc w:val="center"/>
        <w:rPr>
          <w:lang w:val="it-IT"/>
        </w:rPr>
      </w:pPr>
      <w:r>
        <w:rPr>
          <w:i/>
          <w:iCs/>
          <w:lang w:val="sl"/>
        </w:rPr>
        <w:t xml:space="preserve">Večstranskega sporazuma med pristojnimi organi o izmenjavi informacij </w:t>
      </w:r>
      <w:proofErr w:type="spellStart"/>
      <w:r>
        <w:rPr>
          <w:i/>
          <w:iCs/>
          <w:lang w:val="sl"/>
        </w:rPr>
        <w:t>GloBE</w:t>
      </w:r>
      <w:proofErr w:type="spellEnd"/>
      <w:r>
        <w:rPr>
          <w:i/>
          <w:iCs/>
          <w:lang w:val="sl"/>
        </w:rPr>
        <w:t>,</w:t>
      </w:r>
    </w:p>
    <w:p w14:paraId="3A53CDBE" w14:textId="77777777" w:rsidR="00C7562D" w:rsidRPr="0095610C" w:rsidRDefault="00C7562D" w:rsidP="00C7562D">
      <w:pPr>
        <w:pStyle w:val="Telobesedila"/>
        <w:shd w:val="clear" w:color="auto" w:fill="auto"/>
        <w:spacing w:after="220" w:line="240" w:lineRule="auto"/>
        <w:jc w:val="both"/>
        <w:rPr>
          <w:lang w:val="it-IT"/>
        </w:rPr>
      </w:pPr>
      <w:r>
        <w:rPr>
          <w:lang w:val="sl"/>
        </w:rPr>
        <w:t>v nadaljevanju "sporazum", ki je priloga te izjave.</w:t>
      </w:r>
    </w:p>
    <w:p w14:paraId="3C08B66F" w14:textId="77777777" w:rsidR="00C7562D" w:rsidRPr="0095610C" w:rsidRDefault="00C7562D" w:rsidP="00C7562D">
      <w:pPr>
        <w:pStyle w:val="Telobesedila"/>
        <w:shd w:val="clear" w:color="auto" w:fill="auto"/>
        <w:spacing w:after="920" w:line="240" w:lineRule="auto"/>
        <w:jc w:val="both"/>
        <w:rPr>
          <w:lang w:val="sl"/>
        </w:rPr>
      </w:pPr>
      <w:r>
        <w:rPr>
          <w:lang w:val="sl"/>
        </w:rPr>
        <w:t>Na podlagi te izjave se pristojni organ [JURISDIKCIJA] šteje za podpisnika sporazuma od [DATUM]. Sporazum se med pristojnim organom [JURISDIKCIJA] in drugim pristojnim organom začne uporabljati v skladu s pododstavkom k prvega odstavka 1. člena sporazuma.</w:t>
      </w:r>
    </w:p>
    <w:p w14:paraId="354B93F2" w14:textId="77777777" w:rsidR="00C7562D" w:rsidRPr="0095610C" w:rsidRDefault="00C7562D" w:rsidP="00C7562D">
      <w:pPr>
        <w:pStyle w:val="Telobesedila"/>
        <w:shd w:val="clear" w:color="auto" w:fill="auto"/>
        <w:spacing w:after="0" w:line="240" w:lineRule="auto"/>
        <w:jc w:val="both"/>
        <w:rPr>
          <w:lang w:val="it-IT"/>
        </w:rPr>
        <w:sectPr w:rsidR="00C7562D" w:rsidRPr="0095610C">
          <w:pgSz w:w="11900" w:h="16840"/>
          <w:pgMar w:top="1825" w:right="1273" w:bottom="1825" w:left="1268" w:header="0" w:footer="3" w:gutter="0"/>
          <w:cols w:space="720"/>
          <w:noEndnote/>
          <w:docGrid w:linePitch="360"/>
        </w:sectPr>
      </w:pPr>
      <w:r>
        <w:rPr>
          <w:lang w:val="sl"/>
        </w:rPr>
        <w:t>Podpisano v [KRAJ] [DATUM]</w:t>
      </w:r>
    </w:p>
    <w:p w14:paraId="2F7779AA" w14:textId="77777777" w:rsidR="00C7562D" w:rsidRPr="0095610C" w:rsidRDefault="00C7562D" w:rsidP="00C7562D">
      <w:pPr>
        <w:pStyle w:val="Heading20"/>
        <w:keepNext/>
        <w:keepLines/>
        <w:shd w:val="clear" w:color="auto" w:fill="auto"/>
        <w:spacing w:after="620" w:line="276" w:lineRule="auto"/>
        <w:rPr>
          <w:lang w:val="it-IT"/>
        </w:rPr>
      </w:pPr>
      <w:bookmarkStart w:id="4" w:name="bookmark7"/>
      <w:bookmarkStart w:id="5" w:name="bookmark6"/>
      <w:r>
        <w:rPr>
          <w:lang w:val="sl"/>
        </w:rPr>
        <w:t>VEČSTRANSKI SPORAZUM MED PRISTOJNIMI ORGANI O</w:t>
      </w:r>
      <w:r>
        <w:rPr>
          <w:b w:val="0"/>
          <w:bCs w:val="0"/>
          <w:lang w:val="sl"/>
        </w:rPr>
        <w:br/>
      </w:r>
      <w:r>
        <w:rPr>
          <w:lang w:val="sl"/>
        </w:rPr>
        <w:t>IZMENJAVI INFORMACIJ GLOBE</w:t>
      </w:r>
      <w:bookmarkEnd w:id="4"/>
      <w:bookmarkEnd w:id="5"/>
    </w:p>
    <w:p w14:paraId="158344EE" w14:textId="77777777" w:rsidR="00C7562D" w:rsidRPr="0095610C" w:rsidRDefault="00C7562D" w:rsidP="00C7562D">
      <w:pPr>
        <w:pStyle w:val="Telobesedila"/>
        <w:shd w:val="clear" w:color="auto" w:fill="auto"/>
        <w:jc w:val="both"/>
        <w:rPr>
          <w:lang w:val="it-IT"/>
        </w:rPr>
      </w:pPr>
      <w:r>
        <w:rPr>
          <w:lang w:val="sl"/>
        </w:rPr>
        <w:t xml:space="preserve">Ker so jurisdikcije podpisnikov tega Večstranskega sporazuma med pristojnimi organi o izmenjavi informacij </w:t>
      </w:r>
      <w:proofErr w:type="spellStart"/>
      <w:r>
        <w:rPr>
          <w:lang w:val="sl"/>
        </w:rPr>
        <w:t>GloBE</w:t>
      </w:r>
      <w:proofErr w:type="spellEnd"/>
      <w:r>
        <w:rPr>
          <w:lang w:val="sl"/>
        </w:rPr>
        <w:t xml:space="preserve"> (sporazum) pogodbenice Konvencije o medsebojni upravni pomoči pri davčnih zadevah ali Konvencije o medsebojni upravni pomoči pri davčnih zadevah, kot je bila spremenjena s Protokolom o spremembi Konvencije o medsebojni upravni pomoči pri davčnih zadevah (skupaj "konvencija" ter posamezno "izvirna konvencija" in "spremenjena konvencija"), ali ozemlja, za katera velja ta konvencija;</w:t>
      </w:r>
    </w:p>
    <w:p w14:paraId="67F80D97" w14:textId="77777777" w:rsidR="00C7562D" w:rsidRPr="0095610C" w:rsidRDefault="00C7562D" w:rsidP="00C7562D">
      <w:pPr>
        <w:pStyle w:val="Telobesedila"/>
        <w:shd w:val="clear" w:color="auto" w:fill="auto"/>
        <w:jc w:val="both"/>
        <w:rPr>
          <w:lang w:val="it-IT"/>
        </w:rPr>
      </w:pPr>
      <w:r>
        <w:rPr>
          <w:lang w:val="sl"/>
        </w:rPr>
        <w:t>ker so bila svetovna pravila za preprečevanje zmanjševanja davčne osnove (</w:t>
      </w:r>
      <w:proofErr w:type="spellStart"/>
      <w:r>
        <w:rPr>
          <w:lang w:val="sl"/>
        </w:rPr>
        <w:t>GloBE</w:t>
      </w:r>
      <w:proofErr w:type="spellEnd"/>
      <w:r>
        <w:rPr>
          <w:lang w:val="sl"/>
        </w:rPr>
        <w:t>) razvita v okviru vključujočega okvira OECD/G20 za preprečevanje zmanjševanja davčne osnove in preusmerjanja dobička (vključujoči okvir), da bi zagotovili, da nekatere velike mednarodne skupine podjetij plačajo minimalno raven davka na dohodek, ki izhaja iz vsake jurisdikcije, v kateri delujejo;</w:t>
      </w:r>
    </w:p>
    <w:p w14:paraId="322E3D5D" w14:textId="77777777" w:rsidR="00C7562D" w:rsidRPr="0095610C" w:rsidRDefault="00C7562D" w:rsidP="00C7562D">
      <w:pPr>
        <w:pStyle w:val="Telobesedila"/>
        <w:shd w:val="clear" w:color="auto" w:fill="auto"/>
        <w:spacing w:line="276" w:lineRule="auto"/>
        <w:jc w:val="both"/>
        <w:rPr>
          <w:lang w:val="it-IT"/>
        </w:rPr>
      </w:pPr>
      <w:r>
        <w:rPr>
          <w:lang w:val="sl"/>
        </w:rPr>
        <w:t>ker k doseganju istega cilja lahko prispeva tudi kvalificirani domači minimalni povrhnji davek (QDMTT);</w:t>
      </w:r>
    </w:p>
    <w:p w14:paraId="32F4D4A7" w14:textId="77777777" w:rsidR="00C7562D" w:rsidRPr="0095610C" w:rsidRDefault="00C7562D" w:rsidP="00C7562D">
      <w:pPr>
        <w:pStyle w:val="Telobesedila"/>
        <w:shd w:val="clear" w:color="auto" w:fill="auto"/>
        <w:spacing w:line="276" w:lineRule="auto"/>
        <w:jc w:val="both"/>
        <w:rPr>
          <w:lang w:val="it-IT"/>
        </w:rPr>
      </w:pPr>
      <w:r>
        <w:rPr>
          <w:lang w:val="sl"/>
        </w:rPr>
        <w:t xml:space="preserve">ker mora po pravilih </w:t>
      </w:r>
      <w:proofErr w:type="spellStart"/>
      <w:r>
        <w:rPr>
          <w:lang w:val="sl"/>
        </w:rPr>
        <w:t>GloBe</w:t>
      </w:r>
      <w:proofErr w:type="spellEnd"/>
      <w:r>
        <w:rPr>
          <w:lang w:val="sl"/>
        </w:rPr>
        <w:t xml:space="preserve"> vsak subjekt v sestavi, ki se nahaja v jurisdikciji izvajalki, vložiti informativni obrazec za obračun pri davčni upravi te jurisdikcije izvajalke, da bi podprl izvajanje pravil </w:t>
      </w:r>
      <w:proofErr w:type="spellStart"/>
      <w:r>
        <w:rPr>
          <w:lang w:val="sl"/>
        </w:rPr>
        <w:t>GloBE</w:t>
      </w:r>
      <w:proofErr w:type="spellEnd"/>
      <w:r>
        <w:rPr>
          <w:lang w:val="sl"/>
        </w:rPr>
        <w:t>;</w:t>
      </w:r>
    </w:p>
    <w:p w14:paraId="758EE986" w14:textId="77777777" w:rsidR="00C7562D" w:rsidRPr="0095610C" w:rsidRDefault="00C7562D" w:rsidP="00C7562D">
      <w:pPr>
        <w:pStyle w:val="Telobesedila"/>
        <w:shd w:val="clear" w:color="auto" w:fill="auto"/>
        <w:jc w:val="both"/>
        <w:rPr>
          <w:lang w:val="it-IT"/>
        </w:rPr>
      </w:pPr>
      <w:r>
        <w:rPr>
          <w:lang w:val="sl"/>
        </w:rPr>
        <w:t xml:space="preserve">ker je informativni obrazec za obračun sestavljen iz dveh delov, in sicer splošnega razdelka, ki vsebuje splošne informacije o mednarodni skupini podjetij kot celoti, vključno z njeno korporativno strukturo in splošnim povzetkom informacij </w:t>
      </w:r>
      <w:proofErr w:type="spellStart"/>
      <w:r>
        <w:rPr>
          <w:lang w:val="sl"/>
        </w:rPr>
        <w:t>GloBE</w:t>
      </w:r>
      <w:proofErr w:type="spellEnd"/>
      <w:r>
        <w:rPr>
          <w:lang w:val="sl"/>
        </w:rPr>
        <w:t xml:space="preserve">, ter en razdelek ali več razdelkov za posamezne jurisdikcije, ki izražajo podrobno uporabo pravil </w:t>
      </w:r>
      <w:proofErr w:type="spellStart"/>
      <w:r>
        <w:rPr>
          <w:lang w:val="sl"/>
        </w:rPr>
        <w:t>GloBE</w:t>
      </w:r>
      <w:proofErr w:type="spellEnd"/>
      <w:r>
        <w:rPr>
          <w:lang w:val="sl"/>
        </w:rPr>
        <w:t xml:space="preserve"> in kvalificiranega domačega povrhnjega davka, če je to primerno, za vsako jurisdikcijo, v kateri deluje mednarodna skupina podjetij;</w:t>
      </w:r>
    </w:p>
    <w:p w14:paraId="06A1B83D" w14:textId="77777777" w:rsidR="00C7562D" w:rsidRPr="0095610C" w:rsidRDefault="00C7562D" w:rsidP="00C7562D">
      <w:pPr>
        <w:pStyle w:val="Telobesedila"/>
        <w:shd w:val="clear" w:color="auto" w:fill="auto"/>
        <w:spacing w:line="276" w:lineRule="auto"/>
        <w:jc w:val="both"/>
        <w:rPr>
          <w:lang w:val="it-IT"/>
        </w:rPr>
      </w:pPr>
      <w:r>
        <w:rPr>
          <w:lang w:val="sl"/>
        </w:rPr>
        <w:t xml:space="preserve">ker je način razširjanja, ki določa, katere razdelke informativnega obrazca za obračun je treba zagotoviti vsaki jurisdikciji izvajalki in jurisdikciji, ki uporablja samo kvalificirani domači minimalni povrhnji davek, v kateri deluje mednarodna skupina podjetij, večstransko dogovorjen in odvisen od strukture mednarodne skupine podjetij ter vrstnega reda pravil v skladu s pravili </w:t>
      </w:r>
      <w:proofErr w:type="spellStart"/>
      <w:r>
        <w:rPr>
          <w:lang w:val="sl"/>
        </w:rPr>
        <w:t>GloBE</w:t>
      </w:r>
      <w:proofErr w:type="spellEnd"/>
      <w:r>
        <w:rPr>
          <w:lang w:val="sl"/>
        </w:rPr>
        <w:t>;</w:t>
      </w:r>
    </w:p>
    <w:p w14:paraId="0525A7B3" w14:textId="77777777" w:rsidR="00C7562D" w:rsidRPr="0095610C" w:rsidRDefault="00C7562D" w:rsidP="00C7562D">
      <w:pPr>
        <w:pStyle w:val="Telobesedila"/>
        <w:shd w:val="clear" w:color="auto" w:fill="auto"/>
        <w:spacing w:line="276" w:lineRule="auto"/>
        <w:jc w:val="both"/>
        <w:rPr>
          <w:lang w:val="it-IT"/>
        </w:rPr>
      </w:pPr>
      <w:r>
        <w:rPr>
          <w:lang w:val="sl"/>
        </w:rPr>
        <w:t xml:space="preserve">ker se pričakuje, da se bo zakonodaja jurisdikcij občasno spreminjala tako, da bo izražala posodobitve pravil </w:t>
      </w:r>
      <w:proofErr w:type="spellStart"/>
      <w:r>
        <w:rPr>
          <w:lang w:val="sl"/>
        </w:rPr>
        <w:t>GloBE</w:t>
      </w:r>
      <w:proofErr w:type="spellEnd"/>
      <w:r>
        <w:rPr>
          <w:lang w:val="sl"/>
        </w:rPr>
        <w:t xml:space="preserve">, ter da se bo po uveljavitvi sprememb v posamezni jurisdikciji štelo, da se za to jurisdikcijo opredelitev pravil </w:t>
      </w:r>
      <w:proofErr w:type="spellStart"/>
      <w:r>
        <w:rPr>
          <w:lang w:val="sl"/>
        </w:rPr>
        <w:t>GloBE</w:t>
      </w:r>
      <w:proofErr w:type="spellEnd"/>
      <w:r>
        <w:rPr>
          <w:lang w:val="sl"/>
        </w:rPr>
        <w:t xml:space="preserve"> za namene tega sporazuma nanaša na posodobljeno različico;</w:t>
      </w:r>
    </w:p>
    <w:p w14:paraId="109F1F99" w14:textId="77777777" w:rsidR="00C7562D" w:rsidRPr="0095610C" w:rsidRDefault="00C7562D" w:rsidP="00C7562D">
      <w:pPr>
        <w:pStyle w:val="Telobesedila"/>
        <w:shd w:val="clear" w:color="auto" w:fill="auto"/>
        <w:spacing w:line="276" w:lineRule="auto"/>
        <w:jc w:val="both"/>
        <w:rPr>
          <w:lang w:val="it-IT"/>
        </w:rPr>
      </w:pPr>
      <w:r>
        <w:rPr>
          <w:lang w:val="sl"/>
        </w:rPr>
        <w:t xml:space="preserve">ker je po pravilih </w:t>
      </w:r>
      <w:proofErr w:type="spellStart"/>
      <w:r>
        <w:rPr>
          <w:lang w:val="sl"/>
        </w:rPr>
        <w:t>GloBE</w:t>
      </w:r>
      <w:proofErr w:type="spellEnd"/>
      <w:r>
        <w:rPr>
          <w:lang w:val="sl"/>
        </w:rPr>
        <w:t xml:space="preserve"> subjekt v sestavi oproščen obveznosti predložitve informativnega obrazca za obračun davčni upravi jurisdikcije izvajalke, v kateri se nahaja, če obrazec za obračun do roka za predložitev predloži krovni matični subjekt ali imenovani </w:t>
      </w:r>
      <w:proofErr w:type="spellStart"/>
      <w:r>
        <w:rPr>
          <w:lang w:val="sl"/>
        </w:rPr>
        <w:t>vložniški</w:t>
      </w:r>
      <w:proofErr w:type="spellEnd"/>
      <w:r>
        <w:rPr>
          <w:lang w:val="sl"/>
        </w:rPr>
        <w:t xml:space="preserve"> subjekt, ki se nahaja v jurisdikciji, ki ima s takšno jurisdikcijo izvajalko sklenjen kvalificirani sporazum med pristojnimi organi;</w:t>
      </w:r>
    </w:p>
    <w:p w14:paraId="438BF272" w14:textId="77777777" w:rsidR="00C7562D" w:rsidRPr="0095610C" w:rsidRDefault="00C7562D" w:rsidP="00C7562D">
      <w:pPr>
        <w:pStyle w:val="Telobesedila"/>
        <w:shd w:val="clear" w:color="auto" w:fill="auto"/>
        <w:jc w:val="both"/>
        <w:rPr>
          <w:lang w:val="it-IT"/>
        </w:rPr>
      </w:pPr>
      <w:r>
        <w:rPr>
          <w:lang w:val="sl"/>
        </w:rPr>
        <w:t xml:space="preserve">ker se v skladu s kvalificiranim sporazumom med pristojnimi organi pričakuje, da bo pristojni organ jurisdikcije izvajalke ali jurisdikcije, ki uporablja samo kvalificirani domači minimalni povrhnji davek, avtomatično prejel ustrezne razdelke informativnega obrazca za obračun od pristojnega organa jurisdikcije, v kateri se nahaja krovni matični subjekt ali imenovani </w:t>
      </w:r>
      <w:proofErr w:type="spellStart"/>
      <w:r>
        <w:rPr>
          <w:lang w:val="sl"/>
        </w:rPr>
        <w:t>vložniški</w:t>
      </w:r>
      <w:proofErr w:type="spellEnd"/>
      <w:r>
        <w:rPr>
          <w:lang w:val="sl"/>
        </w:rPr>
        <w:t xml:space="preserve"> subjekt, v skladu z načinom razširjanja;</w:t>
      </w:r>
    </w:p>
    <w:p w14:paraId="6AE0CC4A" w14:textId="77777777" w:rsidR="00C7562D" w:rsidRPr="0095610C" w:rsidRDefault="00C7562D" w:rsidP="00C7562D">
      <w:pPr>
        <w:pStyle w:val="Telobesedila"/>
        <w:shd w:val="clear" w:color="auto" w:fill="auto"/>
        <w:jc w:val="both"/>
        <w:rPr>
          <w:lang w:val="it-IT"/>
        </w:rPr>
      </w:pPr>
      <w:r>
        <w:rPr>
          <w:lang w:val="sl"/>
        </w:rPr>
        <w:t>ker III. poglavje konvencije dovoljuje izmenjavo informacij za davčne namene, vključno z avtomatično izmenjavo informacij, in pristojnim organom jurisdikcij omogoča, da se dogovorijo o obsegu in načinih take avtomatične izmenjave;</w:t>
      </w:r>
    </w:p>
    <w:p w14:paraId="4D0A1AA8" w14:textId="77777777" w:rsidR="00C7562D" w:rsidRPr="0095610C" w:rsidRDefault="00C7562D" w:rsidP="00C7562D">
      <w:pPr>
        <w:pStyle w:val="Telobesedila"/>
        <w:shd w:val="clear" w:color="auto" w:fill="auto"/>
        <w:spacing w:line="276" w:lineRule="auto"/>
        <w:jc w:val="both"/>
        <w:rPr>
          <w:lang w:val="it-IT"/>
        </w:rPr>
      </w:pPr>
      <w:r>
        <w:rPr>
          <w:lang w:val="sl"/>
        </w:rPr>
        <w:t>ker 6. člen konvencije določa, da se dve pogodbenici ali več pogodbenic lahko med seboj dogovori o avtomatični izmenjavi informacij, čeprav bo dejanska izmenjava informacij med pristojnimi organi potekala dvostransko;</w:t>
      </w:r>
    </w:p>
    <w:p w14:paraId="17AD8EE7" w14:textId="77777777" w:rsidR="00C7562D" w:rsidRPr="0095610C" w:rsidRDefault="00C7562D" w:rsidP="00C7562D">
      <w:pPr>
        <w:pStyle w:val="Telobesedila"/>
        <w:shd w:val="clear" w:color="auto" w:fill="auto"/>
        <w:jc w:val="both"/>
        <w:rPr>
          <w:lang w:val="it-IT"/>
        </w:rPr>
      </w:pPr>
      <w:r>
        <w:rPr>
          <w:lang w:val="sl"/>
        </w:rPr>
        <w:t xml:space="preserve">ker se nameravajo pristojni organi zaradi lažjega in učinkovitega izvajanja pravil </w:t>
      </w:r>
      <w:proofErr w:type="spellStart"/>
      <w:r>
        <w:rPr>
          <w:lang w:val="sl"/>
        </w:rPr>
        <w:t>GloBE</w:t>
      </w:r>
      <w:proofErr w:type="spellEnd"/>
      <w:r>
        <w:rPr>
          <w:lang w:val="sl"/>
        </w:rPr>
        <w:t xml:space="preserve"> pri avtomatični izmenjavi informacij, vključenih v informativne obrazce za obračun, z jurisdikcijami izvajalkami in jurisdikcijami, ki uporabljajo samo kvalificirani domači minimalni povrhnji davek, opirati na ta sporazum;</w:t>
      </w:r>
    </w:p>
    <w:p w14:paraId="784FEEA9" w14:textId="77777777" w:rsidR="00C7562D" w:rsidRPr="0095610C" w:rsidRDefault="00C7562D" w:rsidP="00C7562D">
      <w:pPr>
        <w:pStyle w:val="Telobesedila"/>
        <w:shd w:val="clear" w:color="auto" w:fill="auto"/>
        <w:spacing w:line="293" w:lineRule="auto"/>
        <w:jc w:val="both"/>
        <w:rPr>
          <w:lang w:val="it-IT"/>
        </w:rPr>
      </w:pPr>
      <w:r>
        <w:rPr>
          <w:lang w:val="sl"/>
        </w:rPr>
        <w:t xml:space="preserve">ker je ta sporazum kvalificirani sporazum med pristojnimi organi, kot je opredeljen v pravilih </w:t>
      </w:r>
      <w:proofErr w:type="spellStart"/>
      <w:r>
        <w:rPr>
          <w:lang w:val="sl"/>
        </w:rPr>
        <w:t>GloBE</w:t>
      </w:r>
      <w:proofErr w:type="spellEnd"/>
      <w:r>
        <w:rPr>
          <w:lang w:val="sl"/>
        </w:rPr>
        <w:t>; ker jurisdikcije, ki nameravajo pošiljati informacije po tem sporazumu, imajo ali se pričakuje, da bodo imele pred prvo izmenjavo informacij, vključenih v informativni obrazec za obračun, vzpostavljen pravni in operativni okvir, ki bo omogočal domačo predložitev informativnih obrazcev za obračun in mednarodno izmenjavo informacij, vključenih v take informativne obrazce za obračun (vključno z vzpostavljenimi postopki za zagotavljanje pravočasne, točne, varne in zaupne izmenjave informacij, z učinkovitim in zanesljivim sporočanjem ter zmožnostmi za sprotno reševanje vprašanj in težav glede izmenjave ali zahtev za izmenjavo ter za izvajanje določb tega sporazuma); ker jurisdikcije izvajalke ali jurisdikcije, ki uporabljajo samo kvalificirani domači minimalni povrhnji davek, ki nameravajo prejemati informacije po tem sporazumu, imajo ali se pričakuje, da bodo imele pred prvo izmenjavo informacij, vključenih v informativni obrazec za obračun, vzpostavljene ustrezne zaščitne ukrepe, ki zagotavljajo, da po tem sporazumu prejete informacije ostanejo zaupne in se uporabljajo samo za namene, določene v konvenciji;</w:t>
      </w:r>
    </w:p>
    <w:p w14:paraId="2D83B2D2" w14:textId="77777777" w:rsidR="00C7562D" w:rsidRPr="0095610C" w:rsidRDefault="00C7562D" w:rsidP="00C7562D">
      <w:pPr>
        <w:pStyle w:val="Telobesedila"/>
        <w:shd w:val="clear" w:color="auto" w:fill="auto"/>
        <w:spacing w:line="276" w:lineRule="auto"/>
        <w:jc w:val="both"/>
        <w:rPr>
          <w:lang w:val="it-IT"/>
        </w:rPr>
      </w:pPr>
      <w:r>
        <w:rPr>
          <w:lang w:val="sl"/>
        </w:rPr>
        <w:t>ker pristojni organi jurisdikcij nameravajo skleniti ta sporazum ne glede na (morebitne) notranje zakonodajne postopke ter ob upoštevanju zaupnosti, varstva podatkov in drugih zaščitnih ukrepov, predvidenih v konvenciji, vključno z določbami, ki omejujejo uporabo informacij, izmenjanih po konvenciji;</w:t>
      </w:r>
    </w:p>
    <w:p w14:paraId="306FEBA5" w14:textId="77777777" w:rsidR="00C7562D" w:rsidRPr="0095610C" w:rsidRDefault="00C7562D" w:rsidP="00C7562D">
      <w:pPr>
        <w:pStyle w:val="Telobesedila"/>
        <w:shd w:val="clear" w:color="auto" w:fill="auto"/>
        <w:jc w:val="both"/>
        <w:rPr>
          <w:lang w:val="it-IT"/>
        </w:rPr>
      </w:pPr>
      <w:r>
        <w:rPr>
          <w:lang w:val="sl"/>
        </w:rPr>
        <w:t>ker si bodo pristojni organi jurisdikcij ob priznavanju prednosti centralne predložitve informacij s poznejšo izmenjavo informacij, vključenih v informativni obrazec za obračun, med pristojnimi organi, ki lahko spodbuja poenostavljeno izpolnjevanje zahtev in zmanjšuje obremenitve mednarodnih skupin podjetij in davčnih uprav, prizadevali za vzpostavitev izmenjave med podpisniki tega sporazuma, kadar koli bo to izvedljivo;</w:t>
      </w:r>
    </w:p>
    <w:p w14:paraId="50AFEC1C" w14:textId="77777777" w:rsidR="00C7562D" w:rsidRPr="0095610C" w:rsidRDefault="00C7562D" w:rsidP="00C7562D">
      <w:pPr>
        <w:pStyle w:val="Telobesedila"/>
        <w:shd w:val="clear" w:color="auto" w:fill="auto"/>
        <w:jc w:val="both"/>
        <w:rPr>
          <w:lang w:val="it-IT"/>
        </w:rPr>
      </w:pPr>
      <w:r>
        <w:rPr>
          <w:lang w:val="sl"/>
        </w:rPr>
        <w:t>ker ta sporazum še dodatno olajšuje izmenjavo informacij, vključenih v informativni obrazec za obračun, v skladu z načinom razširjanja z jurisdikcijami, ki uporabljajo samo kvalificirani domači minimalni povrhnji davek;</w:t>
      </w:r>
    </w:p>
    <w:p w14:paraId="0801DFD8" w14:textId="77777777" w:rsidR="00C7562D" w:rsidRPr="0095610C" w:rsidRDefault="00C7562D" w:rsidP="00C7562D">
      <w:pPr>
        <w:pStyle w:val="Telobesedila"/>
        <w:shd w:val="clear" w:color="auto" w:fill="auto"/>
        <w:spacing w:after="460" w:line="276" w:lineRule="auto"/>
        <w:jc w:val="both"/>
        <w:rPr>
          <w:lang w:val="it-IT"/>
        </w:rPr>
      </w:pPr>
      <w:r>
        <w:rPr>
          <w:lang w:val="sl"/>
        </w:rPr>
        <w:t>so se pristojni organi dogovorili:</w:t>
      </w:r>
    </w:p>
    <w:p w14:paraId="4AF503A3" w14:textId="77777777" w:rsidR="00C7562D" w:rsidRDefault="00C7562D" w:rsidP="00C7562D">
      <w:pPr>
        <w:pStyle w:val="Telobesedila"/>
        <w:shd w:val="clear" w:color="auto" w:fill="auto"/>
        <w:spacing w:after="200" w:line="336" w:lineRule="auto"/>
        <w:jc w:val="center"/>
      </w:pPr>
      <w:bookmarkStart w:id="6" w:name="bookmark8"/>
      <w:r>
        <w:rPr>
          <w:b/>
          <w:bCs/>
          <w:color w:val="4E81BD"/>
          <w:lang w:val="sl"/>
        </w:rPr>
        <w:t>1. ČLEN</w:t>
      </w:r>
      <w:r>
        <w:rPr>
          <w:color w:val="4E81BD"/>
          <w:lang w:val="sl"/>
        </w:rPr>
        <w:br/>
      </w:r>
      <w:r>
        <w:rPr>
          <w:b/>
          <w:bCs/>
          <w:i/>
          <w:iCs/>
          <w:color w:val="4E81BD"/>
          <w:lang w:val="sl"/>
        </w:rPr>
        <w:t>Pomen izrazov</w:t>
      </w:r>
      <w:bookmarkEnd w:id="6"/>
    </w:p>
    <w:p w14:paraId="34995776" w14:textId="77777777" w:rsidR="00C7562D" w:rsidRPr="0095610C" w:rsidRDefault="00C7562D" w:rsidP="00C7562D">
      <w:pPr>
        <w:pStyle w:val="Telobesedila"/>
        <w:numPr>
          <w:ilvl w:val="0"/>
          <w:numId w:val="2"/>
        </w:numPr>
        <w:shd w:val="clear" w:color="auto" w:fill="auto"/>
        <w:tabs>
          <w:tab w:val="left" w:pos="720"/>
        </w:tabs>
        <w:spacing w:line="276" w:lineRule="auto"/>
        <w:jc w:val="both"/>
        <w:rPr>
          <w:lang w:val="it-IT"/>
        </w:rPr>
      </w:pPr>
      <w:bookmarkStart w:id="7" w:name="bookmark9"/>
      <w:r>
        <w:rPr>
          <w:lang w:val="sl"/>
        </w:rPr>
        <w:t>V sporazumu ti izrazi pomenijo:</w:t>
      </w:r>
      <w:bookmarkEnd w:id="7"/>
    </w:p>
    <w:p w14:paraId="79BD1C23" w14:textId="77777777" w:rsidR="00C7562D" w:rsidRPr="0095610C" w:rsidRDefault="00C7562D" w:rsidP="00C7562D">
      <w:pPr>
        <w:pStyle w:val="Telobesedila"/>
        <w:numPr>
          <w:ilvl w:val="0"/>
          <w:numId w:val="3"/>
        </w:numPr>
        <w:shd w:val="clear" w:color="auto" w:fill="auto"/>
        <w:tabs>
          <w:tab w:val="left" w:pos="1147"/>
        </w:tabs>
        <w:spacing w:line="240" w:lineRule="auto"/>
        <w:ind w:left="1140" w:hanging="420"/>
        <w:jc w:val="both"/>
        <w:rPr>
          <w:lang w:val="it-IT"/>
        </w:rPr>
      </w:pPr>
      <w:r>
        <w:rPr>
          <w:lang w:val="sl"/>
        </w:rPr>
        <w:t>izraz "</w:t>
      </w:r>
      <w:r>
        <w:rPr>
          <w:b/>
          <w:bCs/>
          <w:lang w:val="sl"/>
        </w:rPr>
        <w:t>jurisdikcija</w:t>
      </w:r>
      <w:r>
        <w:rPr>
          <w:lang w:val="sl"/>
        </w:rPr>
        <w:t>" pomeni državo ali ozemlje, za katero konvencija velja ali se uporablja kot izvirna oziroma spremenjena konvencija s podpisom in ratifikacijo v skladu z 28. členom ali z ozemeljsko razširitvijo v skladu z 29. členom ter ki je podpisnik tega sporazuma;</w:t>
      </w:r>
    </w:p>
    <w:p w14:paraId="66ED557C" w14:textId="77777777" w:rsidR="00C7562D" w:rsidRPr="0095610C" w:rsidRDefault="00C7562D" w:rsidP="00C7562D">
      <w:pPr>
        <w:pStyle w:val="Telobesedila"/>
        <w:numPr>
          <w:ilvl w:val="0"/>
          <w:numId w:val="3"/>
        </w:numPr>
        <w:shd w:val="clear" w:color="auto" w:fill="auto"/>
        <w:tabs>
          <w:tab w:val="left" w:pos="1147"/>
        </w:tabs>
        <w:spacing w:line="240" w:lineRule="auto"/>
        <w:ind w:left="1140" w:hanging="420"/>
        <w:jc w:val="both"/>
        <w:rPr>
          <w:lang w:val="it-IT"/>
        </w:rPr>
      </w:pPr>
      <w:r>
        <w:rPr>
          <w:lang w:val="sl"/>
        </w:rPr>
        <w:t>izraz "</w:t>
      </w:r>
      <w:r>
        <w:rPr>
          <w:b/>
          <w:bCs/>
          <w:lang w:val="sl"/>
        </w:rPr>
        <w:t>pristojni organ</w:t>
      </w:r>
      <w:r>
        <w:rPr>
          <w:lang w:val="sl"/>
        </w:rPr>
        <w:t>" pomeni osebe in organe, ki so za vsako jurisdikcijo navedeni v prilogi B h konvenciji;</w:t>
      </w:r>
    </w:p>
    <w:p w14:paraId="39F5701B" w14:textId="77777777" w:rsidR="00C7562D" w:rsidRPr="0095610C" w:rsidRDefault="00C7562D" w:rsidP="00C7562D">
      <w:pPr>
        <w:pStyle w:val="Telobesedila"/>
        <w:numPr>
          <w:ilvl w:val="0"/>
          <w:numId w:val="3"/>
        </w:numPr>
        <w:shd w:val="clear" w:color="auto" w:fill="auto"/>
        <w:tabs>
          <w:tab w:val="left" w:pos="1147"/>
        </w:tabs>
        <w:spacing w:line="240" w:lineRule="auto"/>
        <w:ind w:left="1140" w:hanging="420"/>
        <w:jc w:val="both"/>
        <w:rPr>
          <w:lang w:val="it-IT"/>
        </w:rPr>
      </w:pPr>
      <w:r>
        <w:rPr>
          <w:lang w:val="sl"/>
        </w:rPr>
        <w:t>izraz "</w:t>
      </w:r>
      <w:r>
        <w:rPr>
          <w:b/>
          <w:bCs/>
          <w:lang w:val="sl"/>
        </w:rPr>
        <w:t>informativni obrazec za obračun</w:t>
      </w:r>
      <w:r>
        <w:rPr>
          <w:lang w:val="sl"/>
        </w:rPr>
        <w:t xml:space="preserve">" pomeni informativni obrazec za obračun, ki ga predloži krovni matični subjekt, imenovani </w:t>
      </w:r>
      <w:proofErr w:type="spellStart"/>
      <w:r>
        <w:rPr>
          <w:lang w:val="sl"/>
        </w:rPr>
        <w:t>vložniški</w:t>
      </w:r>
      <w:proofErr w:type="spellEnd"/>
      <w:r>
        <w:rPr>
          <w:lang w:val="sl"/>
        </w:rPr>
        <w:t xml:space="preserve"> subjekt, imenovani lokalni subjekt ali subjekt v sestavi v skladu z notranjim pravom, pravili in/ali postopki jurisdikcije, v kateri se tak subjekt nahaja, pri čemer tak obrazec za obračun izraža obliko in vsebino standardiziranega informativnega obrazca za obračun, kot je bil odobren v okviru vključujočega okvira OECD/G20 za preprečevanje zmanjševanja davčne osnove in preusmerjanja dobička;</w:t>
      </w:r>
    </w:p>
    <w:p w14:paraId="17DA9188" w14:textId="77777777" w:rsidR="00C7562D" w:rsidRPr="0095610C" w:rsidRDefault="00C7562D" w:rsidP="00C7562D">
      <w:pPr>
        <w:pStyle w:val="Telobesedila"/>
        <w:numPr>
          <w:ilvl w:val="0"/>
          <w:numId w:val="3"/>
        </w:numPr>
        <w:shd w:val="clear" w:color="auto" w:fill="auto"/>
        <w:tabs>
          <w:tab w:val="left" w:pos="1148"/>
        </w:tabs>
        <w:spacing w:line="240" w:lineRule="auto"/>
        <w:ind w:left="1140" w:hanging="420"/>
        <w:jc w:val="both"/>
        <w:rPr>
          <w:lang w:val="it-IT"/>
        </w:rPr>
      </w:pPr>
      <w:r>
        <w:rPr>
          <w:lang w:val="sl"/>
        </w:rPr>
        <w:t>izraz "</w:t>
      </w:r>
      <w:r>
        <w:rPr>
          <w:b/>
          <w:bCs/>
          <w:lang w:val="sl"/>
        </w:rPr>
        <w:t>splošni razdelek</w:t>
      </w:r>
      <w:r>
        <w:rPr>
          <w:lang w:val="sl"/>
        </w:rPr>
        <w:t xml:space="preserve">" pomeni razdelek informativnega obrazca za obračun, ki vsebuje splošne informacije o mednarodni skupini podjetij kot celoti, vključno z njeno korporativno strukturo in splošnim povzetkom informacij </w:t>
      </w:r>
      <w:proofErr w:type="spellStart"/>
      <w:r>
        <w:rPr>
          <w:lang w:val="sl"/>
        </w:rPr>
        <w:t>GloBE</w:t>
      </w:r>
      <w:proofErr w:type="spellEnd"/>
      <w:r>
        <w:rPr>
          <w:lang w:val="sl"/>
        </w:rPr>
        <w:t>, pri čemer je tak razdelek skladen z razdelkom 1 informativnega obrazca za obračun, kot je bil odobren v okviru vključujočega okvira OECD/G20 za preprečevanje zmanjševanja davčne osnove in preusmerjanja dobička;</w:t>
      </w:r>
    </w:p>
    <w:p w14:paraId="370DBA17" w14:textId="77777777" w:rsidR="00C7562D" w:rsidRPr="0095610C" w:rsidRDefault="00C7562D" w:rsidP="00C7562D">
      <w:pPr>
        <w:pStyle w:val="Telobesedila"/>
        <w:numPr>
          <w:ilvl w:val="0"/>
          <w:numId w:val="3"/>
        </w:numPr>
        <w:shd w:val="clear" w:color="auto" w:fill="auto"/>
        <w:tabs>
          <w:tab w:val="left" w:pos="1148"/>
        </w:tabs>
        <w:spacing w:line="240" w:lineRule="auto"/>
        <w:ind w:left="1140" w:hanging="420"/>
        <w:jc w:val="both"/>
        <w:rPr>
          <w:lang w:val="it-IT"/>
        </w:rPr>
      </w:pPr>
      <w:r>
        <w:rPr>
          <w:lang w:val="sl"/>
        </w:rPr>
        <w:t>izraz "</w:t>
      </w:r>
      <w:r>
        <w:rPr>
          <w:b/>
          <w:bCs/>
          <w:lang w:val="sl"/>
        </w:rPr>
        <w:t>razdelki za posamezne jurisdikcije</w:t>
      </w:r>
      <w:r>
        <w:rPr>
          <w:lang w:val="sl"/>
        </w:rPr>
        <w:t xml:space="preserve">" pomeni razdelke informativnega obrazca za obračun, ki vsebujejo informacije o podrobni uporabi pravil </w:t>
      </w:r>
      <w:proofErr w:type="spellStart"/>
      <w:r>
        <w:rPr>
          <w:lang w:val="sl"/>
        </w:rPr>
        <w:t>GloBE</w:t>
      </w:r>
      <w:proofErr w:type="spellEnd"/>
      <w:r>
        <w:rPr>
          <w:lang w:val="sl"/>
        </w:rPr>
        <w:t xml:space="preserve"> in kvalificiranega domačega minimalnega povrhnjega davka za vsako jurisdikcijo, v kateri deluje mednarodna skupina podjetij, pri čemer so taki razdelki skladni z razdelkoma 2 in 3 informativnega obrazca za obračun, kot sta bila odobrena v okviru vključujočega okvira OECD/G20 za preprečevanje zmanjševanja davčne osnove in preusmerjanja dobička;</w:t>
      </w:r>
    </w:p>
    <w:p w14:paraId="24A8DA3A" w14:textId="77777777" w:rsidR="00C7562D" w:rsidRPr="0095610C" w:rsidRDefault="00C7562D" w:rsidP="00C7562D">
      <w:pPr>
        <w:pStyle w:val="Telobesedila"/>
        <w:numPr>
          <w:ilvl w:val="0"/>
          <w:numId w:val="3"/>
        </w:numPr>
        <w:shd w:val="clear" w:color="auto" w:fill="auto"/>
        <w:tabs>
          <w:tab w:val="left" w:pos="1148"/>
        </w:tabs>
        <w:spacing w:line="240" w:lineRule="auto"/>
        <w:ind w:left="1140" w:hanging="420"/>
        <w:jc w:val="both"/>
        <w:rPr>
          <w:lang w:val="it-IT"/>
        </w:rPr>
      </w:pPr>
      <w:r>
        <w:rPr>
          <w:lang w:val="sl"/>
        </w:rPr>
        <w:t>izraz "</w:t>
      </w:r>
      <w:r>
        <w:rPr>
          <w:b/>
          <w:bCs/>
          <w:lang w:val="sl"/>
        </w:rPr>
        <w:t>način razširjanja</w:t>
      </w:r>
      <w:r>
        <w:rPr>
          <w:lang w:val="sl"/>
        </w:rPr>
        <w:t>" pomeni način, ki je odobren v okviru vključujočega okvira OECD/G20 za preprečevanje zmanjševanja davčne osnove in preusmerjanja dobička, da se določi, v katerih okoliščinah in v kakšnem obsegu je splošni razdelek ali en razdelek ali več razdelkov za posamezne jurisdikcije v informativnem obrazcu za obračun pomemben za pobiranje domačih davkov v jurisdikciji, in v skladu s katerim:</w:t>
      </w:r>
    </w:p>
    <w:p w14:paraId="7CC89CB0" w14:textId="77777777" w:rsidR="00C7562D" w:rsidRPr="0095610C" w:rsidRDefault="00C7562D" w:rsidP="00C7562D">
      <w:pPr>
        <w:pStyle w:val="Telobesedila"/>
        <w:numPr>
          <w:ilvl w:val="0"/>
          <w:numId w:val="4"/>
        </w:numPr>
        <w:shd w:val="clear" w:color="auto" w:fill="auto"/>
        <w:tabs>
          <w:tab w:val="left" w:pos="1824"/>
        </w:tabs>
        <w:spacing w:line="240" w:lineRule="auto"/>
        <w:ind w:left="1800" w:hanging="300"/>
        <w:jc w:val="both"/>
        <w:rPr>
          <w:lang w:val="it-IT"/>
        </w:rPr>
      </w:pPr>
      <w:r>
        <w:rPr>
          <w:lang w:val="sl"/>
        </w:rPr>
        <w:t>se splošni razdelek predloži jurisdikcijam izvajalkam, v katerih se nahaja krovni matični subjekt ali subjekti v sestavi mednarodne skupine podjetij;</w:t>
      </w:r>
    </w:p>
    <w:p w14:paraId="372FFFED" w14:textId="77777777" w:rsidR="00C7562D" w:rsidRPr="0095610C" w:rsidRDefault="00C7562D" w:rsidP="00C7562D">
      <w:pPr>
        <w:pStyle w:val="Telobesedila"/>
        <w:numPr>
          <w:ilvl w:val="0"/>
          <w:numId w:val="4"/>
        </w:numPr>
        <w:shd w:val="clear" w:color="auto" w:fill="auto"/>
        <w:tabs>
          <w:tab w:val="left" w:pos="1824"/>
        </w:tabs>
        <w:spacing w:line="240" w:lineRule="auto"/>
        <w:ind w:left="1800" w:hanging="300"/>
        <w:jc w:val="both"/>
        <w:rPr>
          <w:lang w:val="it-IT"/>
        </w:rPr>
      </w:pPr>
      <w:r>
        <w:rPr>
          <w:lang w:val="sl"/>
        </w:rPr>
        <w:t xml:space="preserve">se splošni razdelek, razen splošnega povzetka informacij </w:t>
      </w:r>
      <w:proofErr w:type="spellStart"/>
      <w:r>
        <w:rPr>
          <w:lang w:val="sl"/>
        </w:rPr>
        <w:t>GloBE</w:t>
      </w:r>
      <w:proofErr w:type="spellEnd"/>
      <w:r>
        <w:rPr>
          <w:lang w:val="sl"/>
        </w:rPr>
        <w:t xml:space="preserve"> iz razdelka 1.4 informativnega obrazca za obračun, predloži jurisdikcijam, ki uporabljajo samo kvalificirani domači minimalni povrhnji davek, a) v katerih se nahajajo subjekti v sestavi mednarodne skupine podjetij; b) v katerih se nahaja skupni podvig ali član skupine skupnega podviga mednarodne skupine podjetij, če je kvalificirani domači minimalni povrhnji davek uveden v jurisdikciji za skupne podvige, ali c) v primerih, ko je kvalificirani domači minimalni povrhnji davek uveden v jurisdikciji za subjekt v sestavi brez države ali za skupni podvig brez države mednarodne skupine podjetij;</w:t>
      </w:r>
    </w:p>
    <w:p w14:paraId="477A07D4" w14:textId="77777777" w:rsidR="00C7562D" w:rsidRPr="0095610C" w:rsidRDefault="00C7562D" w:rsidP="00C7562D">
      <w:pPr>
        <w:pStyle w:val="Telobesedila"/>
        <w:numPr>
          <w:ilvl w:val="0"/>
          <w:numId w:val="4"/>
        </w:numPr>
        <w:shd w:val="clear" w:color="auto" w:fill="auto"/>
        <w:tabs>
          <w:tab w:val="left" w:pos="1824"/>
        </w:tabs>
        <w:spacing w:line="240" w:lineRule="auto"/>
        <w:ind w:left="1800" w:hanging="360"/>
        <w:jc w:val="both"/>
        <w:rPr>
          <w:lang w:val="sl"/>
        </w:rPr>
      </w:pPr>
      <w:r>
        <w:rPr>
          <w:lang w:val="sl"/>
        </w:rPr>
        <w:t xml:space="preserve">se en razdelek ali več razdelkov za posamezne jurisdikcije predloži jurisdikciji ali jurisdikcijam, ki imajo pravice do obdavčitve na podlagi pravil </w:t>
      </w:r>
      <w:proofErr w:type="spellStart"/>
      <w:r>
        <w:rPr>
          <w:lang w:val="sl"/>
        </w:rPr>
        <w:t>GloBE</w:t>
      </w:r>
      <w:proofErr w:type="spellEnd"/>
      <w:r>
        <w:rPr>
          <w:lang w:val="sl"/>
        </w:rPr>
        <w:t xml:space="preserve"> ali kvalificiranega domačega minimalnega povrhnjega davka za jurisdikcijo ali jurisdikcije, na katere se razdelek ali več razdelkov za posamezne jurisdikcije nanaša. Ne glede na zgoraj navedeno: a) jurisdikcijam, ki uporabljajo pravilo o prenizko obdavčenih dobičkih, v katerih je odstotek na podlagi pravila o prenizko obdavčenih dobičkih enak nič, se predloži samo tisti del informativnega obrazca za obračun, ki vsebuje informacije o pripisu povrhnjega davka na podlagi pravila o prenizko obdavčenih dobičkih za to jurisdikcijo, pri čemer so te informacije skladne z izvlečkom iz razdelka 3.4.3 informativnega obrazca za obračun, in b) jurisdikciji izvajalki, v kateri se nahaja krovni matični subjekt, se predložijo vsi razdelki za posamezne jurisdikcije;</w:t>
      </w:r>
    </w:p>
    <w:p w14:paraId="2F8B3CF6" w14:textId="77777777" w:rsidR="00C7562D" w:rsidRPr="0095610C" w:rsidRDefault="00C7562D" w:rsidP="00C7562D">
      <w:pPr>
        <w:pStyle w:val="Telobesedila"/>
        <w:numPr>
          <w:ilvl w:val="0"/>
          <w:numId w:val="3"/>
        </w:numPr>
        <w:shd w:val="clear" w:color="auto" w:fill="auto"/>
        <w:tabs>
          <w:tab w:val="left" w:pos="1148"/>
        </w:tabs>
        <w:spacing w:line="240" w:lineRule="auto"/>
        <w:ind w:left="1140" w:hanging="420"/>
        <w:jc w:val="both"/>
        <w:rPr>
          <w:lang w:val="sl"/>
        </w:rPr>
      </w:pPr>
      <w:r>
        <w:rPr>
          <w:lang w:val="sl"/>
        </w:rPr>
        <w:t>izraz "</w:t>
      </w:r>
      <w:r>
        <w:rPr>
          <w:b/>
          <w:bCs/>
          <w:lang w:val="sl"/>
        </w:rPr>
        <w:t>jurisdikcija izvajalka</w:t>
      </w:r>
      <w:r>
        <w:rPr>
          <w:lang w:val="sl"/>
        </w:rPr>
        <w:t>" pomeni jurisdikcijo, ki uporablja pravilo o vključitvi dohodkov ali pravilo o prenizko obdavčenih dobičkih ali oboje;</w:t>
      </w:r>
    </w:p>
    <w:p w14:paraId="0BAE8741" w14:textId="77777777" w:rsidR="00C7562D" w:rsidRPr="0095610C" w:rsidRDefault="00C7562D" w:rsidP="00C7562D">
      <w:pPr>
        <w:pStyle w:val="Telobesedila"/>
        <w:numPr>
          <w:ilvl w:val="0"/>
          <w:numId w:val="3"/>
        </w:numPr>
        <w:shd w:val="clear" w:color="auto" w:fill="auto"/>
        <w:tabs>
          <w:tab w:val="left" w:pos="1148"/>
        </w:tabs>
        <w:spacing w:line="240" w:lineRule="auto"/>
        <w:ind w:left="1140" w:hanging="420"/>
        <w:jc w:val="both"/>
        <w:rPr>
          <w:lang w:val="sl"/>
        </w:rPr>
      </w:pPr>
      <w:r>
        <w:rPr>
          <w:lang w:val="sl"/>
        </w:rPr>
        <w:t>izraz "</w:t>
      </w:r>
      <w:r>
        <w:rPr>
          <w:b/>
          <w:bCs/>
          <w:lang w:val="sl"/>
        </w:rPr>
        <w:t xml:space="preserve">pravila </w:t>
      </w:r>
      <w:proofErr w:type="spellStart"/>
      <w:r>
        <w:rPr>
          <w:b/>
          <w:bCs/>
          <w:lang w:val="sl"/>
        </w:rPr>
        <w:t>GloBE</w:t>
      </w:r>
      <w:proofErr w:type="spellEnd"/>
      <w:r>
        <w:rPr>
          <w:lang w:val="sl"/>
        </w:rPr>
        <w:t xml:space="preserve">" pomeni vzorčna pravila </w:t>
      </w:r>
      <w:proofErr w:type="spellStart"/>
      <w:r>
        <w:rPr>
          <w:lang w:val="sl"/>
        </w:rPr>
        <w:t>GloBE</w:t>
      </w:r>
      <w:proofErr w:type="spellEnd"/>
      <w:r>
        <w:rPr>
          <w:lang w:val="sl"/>
        </w:rPr>
        <w:t xml:space="preserve">, komentar k vzorčnim pravilom </w:t>
      </w:r>
      <w:proofErr w:type="spellStart"/>
      <w:r>
        <w:rPr>
          <w:lang w:val="sl"/>
        </w:rPr>
        <w:t>GloBE</w:t>
      </w:r>
      <w:proofErr w:type="spellEnd"/>
      <w:r>
        <w:rPr>
          <w:lang w:val="sl"/>
        </w:rPr>
        <w:t xml:space="preserve"> in vse dogovorjene upravne smernice, kot so bile pripravljene v okviru vključujočega okvira OECD/G20 za preprečevanje zmanjševanja davčne osnove in preusmerjanja dobička (vključno z informativnim obrazcem za obračun, načinom razširjanja in vsemi drugimi smernicami, pogoji ali zahtevami, dogovorjenimi kot del izvedbenega okvira </w:t>
      </w:r>
      <w:proofErr w:type="spellStart"/>
      <w:r>
        <w:rPr>
          <w:lang w:val="sl"/>
        </w:rPr>
        <w:t>GloBE</w:t>
      </w:r>
      <w:proofErr w:type="spellEnd"/>
      <w:r>
        <w:rPr>
          <w:lang w:val="sl"/>
        </w:rPr>
        <w:t>);</w:t>
      </w:r>
    </w:p>
    <w:p w14:paraId="418792F1" w14:textId="77777777" w:rsidR="00C7562D" w:rsidRPr="0095610C" w:rsidRDefault="00C7562D" w:rsidP="00C7562D">
      <w:pPr>
        <w:pStyle w:val="Telobesedila"/>
        <w:numPr>
          <w:ilvl w:val="0"/>
          <w:numId w:val="3"/>
        </w:numPr>
        <w:shd w:val="clear" w:color="auto" w:fill="auto"/>
        <w:tabs>
          <w:tab w:val="left" w:pos="1148"/>
        </w:tabs>
        <w:spacing w:line="240" w:lineRule="auto"/>
        <w:ind w:left="1140" w:hanging="420"/>
        <w:jc w:val="both"/>
        <w:rPr>
          <w:lang w:val="sl"/>
        </w:rPr>
      </w:pPr>
      <w:r>
        <w:rPr>
          <w:lang w:val="sl"/>
        </w:rPr>
        <w:t>izraz "</w:t>
      </w:r>
      <w:r>
        <w:rPr>
          <w:b/>
          <w:bCs/>
          <w:lang w:val="sl"/>
        </w:rPr>
        <w:t>usklajevalni organ</w:t>
      </w:r>
      <w:r>
        <w:rPr>
          <w:lang w:val="sl"/>
        </w:rPr>
        <w:t>" pomeni usklajevalni organ konvencije, ki ga v skladu s tretjim odstavkom 24. člena konvencije sestavljajo predstavniki pristojnih organov pogodbenic konvencije;</w:t>
      </w:r>
    </w:p>
    <w:p w14:paraId="091D0896" w14:textId="77777777" w:rsidR="00C7562D" w:rsidRPr="0095610C" w:rsidRDefault="00C7562D" w:rsidP="00C7562D">
      <w:pPr>
        <w:pStyle w:val="Telobesedila"/>
        <w:numPr>
          <w:ilvl w:val="0"/>
          <w:numId w:val="3"/>
        </w:numPr>
        <w:shd w:val="clear" w:color="auto" w:fill="auto"/>
        <w:tabs>
          <w:tab w:val="left" w:pos="1148"/>
        </w:tabs>
        <w:spacing w:line="240" w:lineRule="auto"/>
        <w:ind w:left="1140" w:hanging="420"/>
        <w:jc w:val="both"/>
        <w:rPr>
          <w:lang w:val="sl"/>
        </w:rPr>
      </w:pPr>
      <w:r>
        <w:rPr>
          <w:lang w:val="sl"/>
        </w:rPr>
        <w:t>izraz "</w:t>
      </w:r>
      <w:r>
        <w:rPr>
          <w:b/>
          <w:bCs/>
          <w:lang w:val="sl"/>
        </w:rPr>
        <w:t>sekretariat usklajevalnega organa</w:t>
      </w:r>
      <w:r>
        <w:rPr>
          <w:lang w:val="sl"/>
        </w:rPr>
        <w:t>" pomeni sekretariat OECD, ki zagotavlja pomoč usklajevalnemu organu;</w:t>
      </w:r>
    </w:p>
    <w:p w14:paraId="39DF1E96" w14:textId="77777777" w:rsidR="00C7562D" w:rsidRPr="0095610C" w:rsidRDefault="00C7562D" w:rsidP="00C7562D">
      <w:pPr>
        <w:pStyle w:val="Telobesedila"/>
        <w:numPr>
          <w:ilvl w:val="0"/>
          <w:numId w:val="3"/>
        </w:numPr>
        <w:shd w:val="clear" w:color="auto" w:fill="auto"/>
        <w:tabs>
          <w:tab w:val="left" w:pos="1148"/>
        </w:tabs>
        <w:spacing w:after="120" w:line="240" w:lineRule="auto"/>
        <w:ind w:left="1140" w:hanging="420"/>
        <w:jc w:val="both"/>
        <w:rPr>
          <w:lang w:val="sl"/>
        </w:rPr>
      </w:pPr>
      <w:r>
        <w:rPr>
          <w:lang w:val="sl"/>
        </w:rPr>
        <w:t>izraz "</w:t>
      </w:r>
      <w:r>
        <w:rPr>
          <w:b/>
          <w:bCs/>
          <w:lang w:val="sl"/>
        </w:rPr>
        <w:t>sporazum, ki se uporablja</w:t>
      </w:r>
      <w:r>
        <w:rPr>
          <w:lang w:val="sl"/>
        </w:rPr>
        <w:t>" v zvezi dvema pristojnima organoma pomeni, da sta ta pristojna organa podpisala ta sporazum in da je prvi navedeni pristojni organ sekretariatu usklajevalnega organa predložil uradno obvestilo po pododstavku a prvega odstavka 8. člena, v katerem je navedel jurisdikcijo drugega pristojnega organa, drugi pristojni organ pa je sekretariatu usklajevalnega organa predložil uradno obvestilo po pododstavku b prvega odstavka 8. člena, v katerem je navedel jurisdikcijo prvega navedenega pristojnega organa, in</w:t>
      </w:r>
    </w:p>
    <w:p w14:paraId="3FA52DE5" w14:textId="77777777" w:rsidR="00C7562D" w:rsidRPr="0095610C" w:rsidRDefault="00C7562D" w:rsidP="00C7562D">
      <w:pPr>
        <w:pStyle w:val="Telobesedila"/>
        <w:shd w:val="clear" w:color="auto" w:fill="auto"/>
        <w:spacing w:after="120" w:line="240" w:lineRule="auto"/>
        <w:ind w:left="1140" w:hanging="420"/>
        <w:jc w:val="both"/>
        <w:rPr>
          <w:lang w:val="sl"/>
        </w:rPr>
      </w:pPr>
      <w:r>
        <w:rPr>
          <w:lang w:val="sl"/>
        </w:rPr>
        <w:t>l. izraz "</w:t>
      </w:r>
      <w:r>
        <w:rPr>
          <w:b/>
          <w:bCs/>
          <w:lang w:val="sl"/>
        </w:rPr>
        <w:t>jurisdikcija, ki uporablja samo kvalificirani domači minimalni povrhnji davek</w:t>
      </w:r>
      <w:r>
        <w:rPr>
          <w:lang w:val="sl"/>
        </w:rPr>
        <w:t>" pomeni jurisdikcijo, ki uporablja samo kvalificirani domači minimalni povrhnji davek.</w:t>
      </w:r>
    </w:p>
    <w:p w14:paraId="3EDE7605" w14:textId="77777777" w:rsidR="00C7562D" w:rsidRPr="0095610C" w:rsidRDefault="00C7562D" w:rsidP="00C7562D">
      <w:pPr>
        <w:pStyle w:val="Telobesedila"/>
        <w:numPr>
          <w:ilvl w:val="0"/>
          <w:numId w:val="2"/>
        </w:numPr>
        <w:shd w:val="clear" w:color="auto" w:fill="auto"/>
        <w:tabs>
          <w:tab w:val="left" w:pos="699"/>
        </w:tabs>
        <w:spacing w:after="380"/>
        <w:jc w:val="both"/>
        <w:rPr>
          <w:lang w:val="sl"/>
        </w:rPr>
      </w:pPr>
      <w:r>
        <w:rPr>
          <w:lang w:val="sl"/>
        </w:rPr>
        <w:t xml:space="preserve">Posebni izrazi, ki v tem sporazumu niso opredeljeni drugače, imajo pomen, kot ga imajo takrat po pravu jurisdikcije, ki uporablja ta sporazum, pri čemer je ta pomen skladen s pomenom iz pravil </w:t>
      </w:r>
      <w:proofErr w:type="spellStart"/>
      <w:r>
        <w:rPr>
          <w:lang w:val="sl"/>
        </w:rPr>
        <w:t>GloBE</w:t>
      </w:r>
      <w:proofErr w:type="spellEnd"/>
      <w:r>
        <w:rPr>
          <w:lang w:val="sl"/>
        </w:rPr>
        <w:t xml:space="preserve">. Vsi izrazi, ki v tem sporazumu ali pravilih </w:t>
      </w:r>
      <w:proofErr w:type="spellStart"/>
      <w:r>
        <w:rPr>
          <w:lang w:val="sl"/>
        </w:rPr>
        <w:t>GloBE</w:t>
      </w:r>
      <w:proofErr w:type="spellEnd"/>
      <w:r>
        <w:rPr>
          <w:lang w:val="sl"/>
        </w:rPr>
        <w:t xml:space="preserve"> niso drugače opredeljeni, imajo, razen če sobesedilo ne zahteva drugače ali se pristojni organi ne dogovorijo o skupnem pomenu (kot dovoljuje notranje pravo), pomen, kot ga imajo takrat po pravu jurisdikcije, ki uporablja ta sporazum, pri čemer pomen po veljavni davčni zakonodaji te jurisdikcije prevlada nad pomenom izraza po drugi zakonodaji te jurisdikcije.</w:t>
      </w:r>
    </w:p>
    <w:p w14:paraId="776270C2" w14:textId="77777777" w:rsidR="00C7562D" w:rsidRPr="0095610C" w:rsidRDefault="00C7562D" w:rsidP="00C7562D">
      <w:pPr>
        <w:pStyle w:val="Heading20"/>
        <w:keepNext/>
        <w:keepLines/>
        <w:shd w:val="clear" w:color="auto" w:fill="auto"/>
        <w:spacing w:after="40" w:line="276" w:lineRule="auto"/>
        <w:rPr>
          <w:sz w:val="20"/>
          <w:szCs w:val="20"/>
          <w:lang w:val="sl"/>
        </w:rPr>
      </w:pPr>
      <w:bookmarkStart w:id="8" w:name="bookmark11"/>
      <w:bookmarkStart w:id="9" w:name="bookmark10"/>
      <w:r>
        <w:rPr>
          <w:sz w:val="20"/>
          <w:szCs w:val="20"/>
          <w:lang w:val="sl"/>
        </w:rPr>
        <w:t>2. ČLEN</w:t>
      </w:r>
      <w:bookmarkEnd w:id="8"/>
      <w:bookmarkEnd w:id="9"/>
    </w:p>
    <w:p w14:paraId="168CC59B" w14:textId="77777777" w:rsidR="00C7562D" w:rsidRPr="0095610C" w:rsidRDefault="00C7562D" w:rsidP="00C7562D">
      <w:pPr>
        <w:pStyle w:val="Heading20"/>
        <w:keepNext/>
        <w:keepLines/>
        <w:shd w:val="clear" w:color="auto" w:fill="auto"/>
        <w:spacing w:line="276" w:lineRule="auto"/>
        <w:rPr>
          <w:sz w:val="20"/>
          <w:szCs w:val="20"/>
          <w:lang w:val="sl"/>
        </w:rPr>
      </w:pPr>
      <w:bookmarkStart w:id="10" w:name="bookmark13"/>
      <w:bookmarkStart w:id="11" w:name="bookmark12"/>
      <w:r>
        <w:rPr>
          <w:i/>
          <w:iCs/>
          <w:sz w:val="20"/>
          <w:szCs w:val="20"/>
          <w:lang w:val="sl"/>
        </w:rPr>
        <w:t>Izmenjava informacij, vključenih v informativne obrazce za obračun</w:t>
      </w:r>
      <w:bookmarkEnd w:id="10"/>
      <w:bookmarkEnd w:id="11"/>
    </w:p>
    <w:p w14:paraId="318579FD" w14:textId="77777777" w:rsidR="00C7562D" w:rsidRPr="0095610C" w:rsidRDefault="00C7562D" w:rsidP="00C7562D">
      <w:pPr>
        <w:pStyle w:val="Telobesedila"/>
        <w:shd w:val="clear" w:color="auto" w:fill="auto"/>
        <w:spacing w:after="380" w:line="276" w:lineRule="auto"/>
        <w:jc w:val="both"/>
        <w:rPr>
          <w:lang w:val="sl"/>
        </w:rPr>
      </w:pPr>
      <w:r>
        <w:rPr>
          <w:lang w:val="sl"/>
        </w:rPr>
        <w:t xml:space="preserve">V skladu z določbami 6. člena konvencije in na podlagi določitve krovnega matičnega subjekta ali imenovanega </w:t>
      </w:r>
      <w:proofErr w:type="spellStart"/>
      <w:r>
        <w:rPr>
          <w:lang w:val="sl"/>
        </w:rPr>
        <w:t>vložniškega</w:t>
      </w:r>
      <w:proofErr w:type="spellEnd"/>
      <w:r>
        <w:rPr>
          <w:lang w:val="sl"/>
        </w:rPr>
        <w:t xml:space="preserve"> subjekta bo vsak pristojni organ z vsemi drugimi pristojnimi organi jurisdikcij, s katerimi ima v skladu z drugim odstavkom 8. člena vzpostavljeno dejavno izmenjavo, avtomatično izmenjal informacije, vključene v informativni obrazec za obračun mednarodne skupine podjetij, prejet od krovnega matičnega subjekta ali imenovanega </w:t>
      </w:r>
      <w:proofErr w:type="spellStart"/>
      <w:r>
        <w:rPr>
          <w:lang w:val="sl"/>
        </w:rPr>
        <w:t>vložniškega</w:t>
      </w:r>
      <w:proofErr w:type="spellEnd"/>
      <w:r>
        <w:rPr>
          <w:lang w:val="sl"/>
        </w:rPr>
        <w:t xml:space="preserve"> subjekta, ki se nahaja v njegovi jurisdikciji, ki so pomembne za te jurisdikcije v skladu z načinom razširjanja.</w:t>
      </w:r>
    </w:p>
    <w:p w14:paraId="68A5BEF7" w14:textId="77777777" w:rsidR="00C7562D" w:rsidRDefault="00C7562D" w:rsidP="00C7562D">
      <w:pPr>
        <w:pStyle w:val="Heading20"/>
        <w:keepNext/>
        <w:keepLines/>
        <w:shd w:val="clear" w:color="auto" w:fill="auto"/>
        <w:spacing w:after="40" w:line="276" w:lineRule="auto"/>
        <w:rPr>
          <w:sz w:val="20"/>
          <w:szCs w:val="20"/>
        </w:rPr>
      </w:pPr>
      <w:bookmarkStart w:id="12" w:name="bookmark15"/>
      <w:bookmarkStart w:id="13" w:name="bookmark14"/>
      <w:r>
        <w:rPr>
          <w:sz w:val="20"/>
          <w:szCs w:val="20"/>
          <w:lang w:val="sl"/>
        </w:rPr>
        <w:t>3. ČLEN</w:t>
      </w:r>
      <w:bookmarkEnd w:id="12"/>
      <w:bookmarkEnd w:id="13"/>
    </w:p>
    <w:p w14:paraId="399C04B0" w14:textId="77777777" w:rsidR="00C7562D" w:rsidRDefault="00C7562D" w:rsidP="00C7562D">
      <w:pPr>
        <w:pStyle w:val="Heading20"/>
        <w:keepNext/>
        <w:keepLines/>
        <w:shd w:val="clear" w:color="auto" w:fill="auto"/>
        <w:spacing w:line="276" w:lineRule="auto"/>
        <w:rPr>
          <w:sz w:val="20"/>
          <w:szCs w:val="20"/>
        </w:rPr>
      </w:pPr>
      <w:bookmarkStart w:id="14" w:name="bookmark17"/>
      <w:bookmarkStart w:id="15" w:name="bookmark16"/>
      <w:r>
        <w:rPr>
          <w:i/>
          <w:iCs/>
          <w:sz w:val="20"/>
          <w:szCs w:val="20"/>
          <w:lang w:val="sl"/>
        </w:rPr>
        <w:t>Čas in način izmenjave informacij</w:t>
      </w:r>
      <w:bookmarkEnd w:id="14"/>
      <w:bookmarkEnd w:id="15"/>
    </w:p>
    <w:p w14:paraId="316CB08D" w14:textId="77777777" w:rsidR="00C7562D" w:rsidRDefault="00C7562D" w:rsidP="00C7562D">
      <w:pPr>
        <w:pStyle w:val="Telobesedila"/>
        <w:shd w:val="clear" w:color="auto" w:fill="auto"/>
        <w:spacing w:after="120"/>
        <w:jc w:val="both"/>
      </w:pPr>
      <w:r>
        <w:rPr>
          <w:lang w:val="sl"/>
        </w:rPr>
        <w:t>1. V zvezi z 2. členom je treba informacije, vključene v informativni obrazec za obračun, izmenjati najpozneje tri mesece po roku za predložitev v jurisdikciji pošiljateljici za poslovno leto poročanja, na katero se informacije nanašajo.</w:t>
      </w:r>
    </w:p>
    <w:p w14:paraId="31BDD82E" w14:textId="77777777" w:rsidR="00C7562D" w:rsidRDefault="00C7562D" w:rsidP="00C7562D">
      <w:pPr>
        <w:pStyle w:val="Telobesedila"/>
        <w:numPr>
          <w:ilvl w:val="0"/>
          <w:numId w:val="5"/>
        </w:numPr>
        <w:shd w:val="clear" w:color="auto" w:fill="auto"/>
        <w:tabs>
          <w:tab w:val="left" w:pos="699"/>
        </w:tabs>
        <w:spacing w:after="120" w:line="276" w:lineRule="auto"/>
        <w:jc w:val="both"/>
      </w:pPr>
      <w:r>
        <w:rPr>
          <w:lang w:val="sl"/>
        </w:rPr>
        <w:t>Ne glede na prvi odstavek je treba informacije, vključene v informativni obrazec za obračun, izmenjati v zvezi s prvim poslovnim letom poročanja, ki ga pristojni organ navede v uradnem obvestilu v skladu s pododstavkom a prvega odstavka 8. člena, najpozneje šest mesecev po roku za predložitev v jurisdikciji pošiljateljici za to poslovno leto poročanja.</w:t>
      </w:r>
    </w:p>
    <w:p w14:paraId="5B1B3713" w14:textId="77777777" w:rsidR="00C7562D" w:rsidRDefault="00C7562D" w:rsidP="00C7562D">
      <w:pPr>
        <w:pStyle w:val="Telobesedila"/>
        <w:numPr>
          <w:ilvl w:val="0"/>
          <w:numId w:val="5"/>
        </w:numPr>
        <w:shd w:val="clear" w:color="auto" w:fill="auto"/>
        <w:tabs>
          <w:tab w:val="left" w:pos="699"/>
        </w:tabs>
        <w:spacing w:after="120" w:line="276" w:lineRule="auto"/>
        <w:jc w:val="both"/>
      </w:pPr>
      <w:r>
        <w:rPr>
          <w:lang w:val="sl"/>
        </w:rPr>
        <w:t>Ne glede na prvi odstavek bodo pristojni organi izmenjali informacije, vključene v informativni obrazec za obračun, prejete po roku za predložitev v jurisdikciji pošiljateljici, v treh mesecih po dnevu prejema.</w:t>
      </w:r>
    </w:p>
    <w:p w14:paraId="3E1CAFFD" w14:textId="77777777" w:rsidR="00C7562D" w:rsidRPr="0095610C" w:rsidRDefault="00C7562D" w:rsidP="00C7562D">
      <w:pPr>
        <w:pStyle w:val="Telobesedila"/>
        <w:numPr>
          <w:ilvl w:val="0"/>
          <w:numId w:val="5"/>
        </w:numPr>
        <w:shd w:val="clear" w:color="auto" w:fill="auto"/>
        <w:tabs>
          <w:tab w:val="left" w:pos="699"/>
        </w:tabs>
        <w:spacing w:after="0" w:line="276" w:lineRule="auto"/>
        <w:jc w:val="both"/>
        <w:rPr>
          <w:lang w:val="it-IT"/>
        </w:rPr>
      </w:pPr>
      <w:r>
        <w:rPr>
          <w:lang w:val="sl"/>
        </w:rPr>
        <w:t>Pristojni organi bodo avtomatično izmenjali informacije, vključene v informativne obrazce za obračun,</w:t>
      </w:r>
    </w:p>
    <w:p w14:paraId="6D985FD0" w14:textId="77777777" w:rsidR="00C7562D" w:rsidRPr="0095610C" w:rsidRDefault="00C7562D" w:rsidP="00C7562D">
      <w:pPr>
        <w:pStyle w:val="Telobesedila"/>
        <w:shd w:val="clear" w:color="auto" w:fill="auto"/>
        <w:spacing w:after="120" w:line="276" w:lineRule="auto"/>
        <w:jc w:val="both"/>
        <w:rPr>
          <w:lang w:val="sl"/>
        </w:rPr>
      </w:pPr>
      <w:r>
        <w:rPr>
          <w:lang w:val="sl"/>
        </w:rPr>
        <w:t xml:space="preserve"> po skupni shemi v razširljivem označevalnem jeziku.</w:t>
      </w:r>
    </w:p>
    <w:p w14:paraId="09A0A5C7" w14:textId="77777777" w:rsidR="00C7562D" w:rsidRPr="0095610C" w:rsidRDefault="00C7562D" w:rsidP="00C7562D">
      <w:pPr>
        <w:pStyle w:val="Telobesedila"/>
        <w:numPr>
          <w:ilvl w:val="0"/>
          <w:numId w:val="5"/>
        </w:numPr>
        <w:shd w:val="clear" w:color="auto" w:fill="auto"/>
        <w:tabs>
          <w:tab w:val="left" w:pos="699"/>
        </w:tabs>
        <w:spacing w:after="0" w:line="276" w:lineRule="auto"/>
        <w:jc w:val="both"/>
        <w:rPr>
          <w:lang w:val="it-IT"/>
        </w:rPr>
      </w:pPr>
      <w:r>
        <w:rPr>
          <w:lang w:val="sl"/>
        </w:rPr>
        <w:t>Pristojni organi bodo informacije pošiljali po enotnem sistemu prenosa OECD ter v skladu s povezanimi standardi šifriranja in priprave datotek.</w:t>
      </w:r>
    </w:p>
    <w:p w14:paraId="73047677" w14:textId="77777777" w:rsidR="00C7562D" w:rsidRPr="0095610C" w:rsidRDefault="00C7562D" w:rsidP="00C7562D">
      <w:pPr>
        <w:pStyle w:val="Telobesedila"/>
        <w:shd w:val="clear" w:color="auto" w:fill="auto"/>
        <w:spacing w:after="380" w:line="276" w:lineRule="auto"/>
        <w:jc w:val="both"/>
        <w:rPr>
          <w:lang w:val="it-IT"/>
        </w:rPr>
      </w:pPr>
    </w:p>
    <w:p w14:paraId="0D41B5C2" w14:textId="77777777" w:rsidR="00C7562D" w:rsidRPr="0095610C" w:rsidRDefault="00C7562D" w:rsidP="00C7562D">
      <w:pPr>
        <w:pStyle w:val="Heading20"/>
        <w:keepNext/>
        <w:keepLines/>
        <w:shd w:val="clear" w:color="auto" w:fill="auto"/>
        <w:spacing w:after="40" w:line="276" w:lineRule="auto"/>
        <w:rPr>
          <w:sz w:val="20"/>
          <w:szCs w:val="20"/>
          <w:lang w:val="it-IT"/>
        </w:rPr>
      </w:pPr>
      <w:bookmarkStart w:id="16" w:name="bookmark19"/>
      <w:bookmarkStart w:id="17" w:name="bookmark18"/>
      <w:r>
        <w:rPr>
          <w:sz w:val="20"/>
          <w:szCs w:val="20"/>
          <w:lang w:val="sl"/>
        </w:rPr>
        <w:t>4. ČLEN</w:t>
      </w:r>
      <w:bookmarkEnd w:id="16"/>
      <w:bookmarkEnd w:id="17"/>
    </w:p>
    <w:p w14:paraId="2CE69723" w14:textId="77777777" w:rsidR="00C7562D" w:rsidRPr="0095610C" w:rsidRDefault="00C7562D" w:rsidP="00C7562D">
      <w:pPr>
        <w:pStyle w:val="Heading20"/>
        <w:keepNext/>
        <w:keepLines/>
        <w:shd w:val="clear" w:color="auto" w:fill="auto"/>
        <w:spacing w:line="276" w:lineRule="auto"/>
        <w:rPr>
          <w:sz w:val="20"/>
          <w:szCs w:val="20"/>
          <w:lang w:val="it-IT"/>
        </w:rPr>
      </w:pPr>
      <w:bookmarkStart w:id="18" w:name="bookmark21"/>
      <w:bookmarkStart w:id="19" w:name="bookmark20"/>
      <w:r>
        <w:rPr>
          <w:i/>
          <w:iCs/>
          <w:sz w:val="20"/>
          <w:szCs w:val="20"/>
          <w:lang w:val="sl"/>
        </w:rPr>
        <w:t>Sodelovanje pri popravkih, izpolnjevanju in uveljavljanju</w:t>
      </w:r>
      <w:bookmarkEnd w:id="18"/>
      <w:bookmarkEnd w:id="19"/>
    </w:p>
    <w:p w14:paraId="2540F461" w14:textId="77777777" w:rsidR="00C7562D" w:rsidRPr="0095610C" w:rsidRDefault="00C7562D" w:rsidP="00C7562D">
      <w:pPr>
        <w:pStyle w:val="Telobesedila"/>
        <w:numPr>
          <w:ilvl w:val="0"/>
          <w:numId w:val="6"/>
        </w:numPr>
        <w:shd w:val="clear" w:color="auto" w:fill="auto"/>
        <w:tabs>
          <w:tab w:val="left" w:pos="699"/>
        </w:tabs>
        <w:spacing w:line="276" w:lineRule="auto"/>
        <w:jc w:val="both"/>
        <w:rPr>
          <w:lang w:val="sl"/>
        </w:rPr>
      </w:pPr>
      <w:r>
        <w:rPr>
          <w:lang w:val="sl"/>
        </w:rPr>
        <w:t xml:space="preserve">Pristojni organ lahko uradno obvesti drug pristojni organ, kadar prvi navedeni pristojni organ utemeljeno meni, da je treba v zvezi s krovnim matičnim subjektom ali imenovanim </w:t>
      </w:r>
      <w:proofErr w:type="spellStart"/>
      <w:r>
        <w:rPr>
          <w:lang w:val="sl"/>
        </w:rPr>
        <w:t>vložniškim</w:t>
      </w:r>
      <w:proofErr w:type="spellEnd"/>
      <w:r>
        <w:rPr>
          <w:lang w:val="sl"/>
        </w:rPr>
        <w:t xml:space="preserve"> subjektom, ki se nahaja v jurisdikciji drugega pristojnega organa, popraviti informacije, vključene v informativni obrazec za obračun. Če se obveščeni pristojni organ strinja, da je treba informacije, vključene v informativni obrazec za obračun, popraviti, bo brez nepotrebnega odlašanja sprejel ustrezne ukrepe, da od zadevnega krovnega matičnega subjekta ali imenovanega </w:t>
      </w:r>
      <w:proofErr w:type="spellStart"/>
      <w:r>
        <w:rPr>
          <w:lang w:val="sl"/>
        </w:rPr>
        <w:t>vložniškega</w:t>
      </w:r>
      <w:proofErr w:type="spellEnd"/>
      <w:r>
        <w:rPr>
          <w:lang w:val="sl"/>
        </w:rPr>
        <w:t xml:space="preserve"> subjekta pridobi take popravljene informacije, in bo popravljene informacije brez nepotrebnega odlašanja izmenjal z vsemi pristojnimi organi, ki morajo te informacije izmenjati v skladu z 2. členom.</w:t>
      </w:r>
    </w:p>
    <w:p w14:paraId="47EBFED6" w14:textId="77777777" w:rsidR="00C7562D" w:rsidRPr="0095610C" w:rsidRDefault="00C7562D" w:rsidP="00C7562D">
      <w:pPr>
        <w:pStyle w:val="Telobesedila"/>
        <w:numPr>
          <w:ilvl w:val="0"/>
          <w:numId w:val="6"/>
        </w:numPr>
        <w:shd w:val="clear" w:color="auto" w:fill="auto"/>
        <w:tabs>
          <w:tab w:val="left" w:pos="720"/>
        </w:tabs>
        <w:spacing w:after="380"/>
        <w:jc w:val="both"/>
        <w:rPr>
          <w:lang w:val="sl"/>
        </w:rPr>
      </w:pPr>
      <w:r>
        <w:rPr>
          <w:lang w:val="sl"/>
        </w:rPr>
        <w:t xml:space="preserve">Pristojni organ lahko uradno obvesti drug pristojni organ, če je prvi navedeni pristojni organ prejel uradno obvestilo enega subjekta ali več subjektov v sestavi, ki se nahajajo v njegovi jurisdikciji, da je informativni obrazec za obračun za te subjekte v sestavi predložil krovni matični subjekt ali imenovani </w:t>
      </w:r>
      <w:proofErr w:type="spellStart"/>
      <w:r>
        <w:rPr>
          <w:lang w:val="sl"/>
        </w:rPr>
        <w:t>vložniški</w:t>
      </w:r>
      <w:proofErr w:type="spellEnd"/>
      <w:r>
        <w:rPr>
          <w:lang w:val="sl"/>
        </w:rPr>
        <w:t xml:space="preserve"> subjekt, ki se nahaja v jurisdikciji drugega pristojnega organa, vendar informacije, vključene v informativni obrazec za obračun, ki so pomembne za jurisdikcijo prvega navedenega pristojnega organa v skladu z načinom razširjanja, niso bile izmenjane do roka iz prvega ali drugega odstavka 3. člena. Drugi pristojni organ bo nemudoma ugotovil, zakaj te informacije niso bile izmenjane, in bo o tem obvestil prvi navedeni pristojni organ v enem mesecu po prejemu uradnega obvestila, vključno s pričakovanim datumom izmenjave informacij, vključenih v informativni obrazec za obračun, če je to primerno.</w:t>
      </w:r>
    </w:p>
    <w:p w14:paraId="439C2A2A" w14:textId="77777777" w:rsidR="00C7562D" w:rsidRPr="0095610C" w:rsidRDefault="00C7562D" w:rsidP="00C7562D">
      <w:pPr>
        <w:pStyle w:val="Heading20"/>
        <w:keepNext/>
        <w:keepLines/>
        <w:shd w:val="clear" w:color="auto" w:fill="auto"/>
        <w:spacing w:after="40" w:line="276" w:lineRule="auto"/>
        <w:rPr>
          <w:sz w:val="20"/>
          <w:szCs w:val="20"/>
          <w:lang w:val="sl"/>
        </w:rPr>
      </w:pPr>
      <w:bookmarkStart w:id="20" w:name="bookmark23"/>
      <w:bookmarkStart w:id="21" w:name="bookmark22"/>
      <w:r>
        <w:rPr>
          <w:sz w:val="20"/>
          <w:szCs w:val="20"/>
          <w:lang w:val="sl"/>
        </w:rPr>
        <w:t>5. ČLEN</w:t>
      </w:r>
      <w:bookmarkEnd w:id="20"/>
      <w:bookmarkEnd w:id="21"/>
    </w:p>
    <w:p w14:paraId="590A5F9A" w14:textId="77777777" w:rsidR="00C7562D" w:rsidRPr="0095610C" w:rsidRDefault="00C7562D" w:rsidP="00C7562D">
      <w:pPr>
        <w:pStyle w:val="Heading20"/>
        <w:keepNext/>
        <w:keepLines/>
        <w:shd w:val="clear" w:color="auto" w:fill="auto"/>
        <w:spacing w:line="276" w:lineRule="auto"/>
        <w:rPr>
          <w:sz w:val="20"/>
          <w:szCs w:val="20"/>
          <w:lang w:val="sl"/>
        </w:rPr>
      </w:pPr>
      <w:bookmarkStart w:id="22" w:name="bookmark25"/>
      <w:bookmarkStart w:id="23" w:name="bookmark24"/>
      <w:r>
        <w:rPr>
          <w:i/>
          <w:iCs/>
          <w:sz w:val="20"/>
          <w:szCs w:val="20"/>
          <w:lang w:val="sl"/>
        </w:rPr>
        <w:t>Zaupnost in varstvo podatkov</w:t>
      </w:r>
      <w:bookmarkEnd w:id="22"/>
      <w:bookmarkEnd w:id="23"/>
    </w:p>
    <w:p w14:paraId="7E0288AF" w14:textId="77777777" w:rsidR="00C7562D" w:rsidRPr="0095610C" w:rsidRDefault="00C7562D" w:rsidP="00C7562D">
      <w:pPr>
        <w:pStyle w:val="Telobesedila"/>
        <w:shd w:val="clear" w:color="auto" w:fill="auto"/>
        <w:spacing w:line="276" w:lineRule="auto"/>
        <w:jc w:val="both"/>
        <w:rPr>
          <w:lang w:val="sl"/>
        </w:rPr>
      </w:pPr>
      <w:r>
        <w:rPr>
          <w:lang w:val="sl"/>
        </w:rPr>
        <w:t>1. Za vse izmenjane informacije veljajo pravila o zaupnosti in drugi zaščitni ukrepi, ki jih predvideva konvencija, vključno z določbami, ki omejujejo uporabo izmenjanih informacij.</w:t>
      </w:r>
    </w:p>
    <w:p w14:paraId="42429770" w14:textId="77777777" w:rsidR="00C7562D" w:rsidRPr="0095610C" w:rsidRDefault="00C7562D" w:rsidP="00C7562D">
      <w:pPr>
        <w:pStyle w:val="Telobesedila"/>
        <w:numPr>
          <w:ilvl w:val="0"/>
          <w:numId w:val="7"/>
        </w:numPr>
        <w:shd w:val="clear" w:color="auto" w:fill="auto"/>
        <w:tabs>
          <w:tab w:val="left" w:pos="720"/>
        </w:tabs>
        <w:spacing w:after="380" w:line="276" w:lineRule="auto"/>
        <w:jc w:val="both"/>
        <w:rPr>
          <w:lang w:val="sl"/>
        </w:rPr>
      </w:pPr>
      <w:r>
        <w:rPr>
          <w:lang w:val="sl"/>
        </w:rPr>
        <w:t>Pristojni organ nemudoma uradno obvesti sekretariat usklajevalnega organa o vsaki kršitvi zaupnosti ali neuspešnih zaščitnih ukrepih ter vseh zaradi tega sprejetih sankcijah in ukrepih za odpravo kršitve. Sekretariat usklajevalnega organa uradno obvesti vse druge pristojne organe, ki uporabljajo ta sporazum s prvim navedenim pristojnim organom.</w:t>
      </w:r>
    </w:p>
    <w:p w14:paraId="0FB872E4" w14:textId="77777777" w:rsidR="00C7562D" w:rsidRPr="0095610C" w:rsidRDefault="00C7562D" w:rsidP="00C7562D">
      <w:pPr>
        <w:pStyle w:val="Heading20"/>
        <w:keepNext/>
        <w:keepLines/>
        <w:shd w:val="clear" w:color="auto" w:fill="auto"/>
        <w:spacing w:after="40" w:line="276" w:lineRule="auto"/>
        <w:rPr>
          <w:sz w:val="20"/>
          <w:szCs w:val="20"/>
          <w:lang w:val="sl"/>
        </w:rPr>
      </w:pPr>
      <w:bookmarkStart w:id="24" w:name="bookmark27"/>
      <w:bookmarkStart w:id="25" w:name="bookmark26"/>
      <w:r>
        <w:rPr>
          <w:sz w:val="20"/>
          <w:szCs w:val="20"/>
          <w:lang w:val="sl"/>
        </w:rPr>
        <w:t>6. ČLEN</w:t>
      </w:r>
      <w:bookmarkEnd w:id="24"/>
      <w:bookmarkEnd w:id="25"/>
    </w:p>
    <w:p w14:paraId="321C4815" w14:textId="77777777" w:rsidR="00C7562D" w:rsidRPr="0095610C" w:rsidRDefault="00C7562D" w:rsidP="00C7562D">
      <w:pPr>
        <w:pStyle w:val="Heading20"/>
        <w:keepNext/>
        <w:keepLines/>
        <w:shd w:val="clear" w:color="auto" w:fill="auto"/>
        <w:spacing w:line="276" w:lineRule="auto"/>
        <w:rPr>
          <w:sz w:val="20"/>
          <w:szCs w:val="20"/>
          <w:lang w:val="sl"/>
        </w:rPr>
      </w:pPr>
      <w:bookmarkStart w:id="26" w:name="bookmark29"/>
      <w:bookmarkStart w:id="27" w:name="bookmark28"/>
      <w:r>
        <w:rPr>
          <w:i/>
          <w:iCs/>
          <w:sz w:val="20"/>
          <w:szCs w:val="20"/>
          <w:lang w:val="sl"/>
        </w:rPr>
        <w:t>Posvetovanja</w:t>
      </w:r>
      <w:bookmarkEnd w:id="26"/>
      <w:bookmarkEnd w:id="27"/>
    </w:p>
    <w:p w14:paraId="02060A66" w14:textId="77777777" w:rsidR="00C7562D" w:rsidRPr="0095610C" w:rsidRDefault="00C7562D" w:rsidP="00C7562D">
      <w:pPr>
        <w:pStyle w:val="Telobesedila"/>
        <w:shd w:val="clear" w:color="auto" w:fill="auto"/>
        <w:spacing w:line="276" w:lineRule="auto"/>
        <w:jc w:val="both"/>
        <w:rPr>
          <w:lang w:val="sl"/>
        </w:rPr>
      </w:pPr>
      <w:r>
        <w:rPr>
          <w:lang w:val="sl"/>
        </w:rPr>
        <w:t>1. Ob težavah pri izvajanju ali razlagi tega sporazuma lahko pristojni organ zaprosi za posvet z enim pristojnim organom ali več pristojnimi organi zaradi priprave ustreznih ukrepov za zagotovitev izvajanja tega sporazuma. Kateri koli pristojni organ lahko v obsegu, ki ga dopušča veljavno pravo, če želi, tudi po sekretariatu usklajevalnega organa, vključi druge pristojne organe, ki uporabljajo ta sporazum, da bi našli sprejemljivo rešitev za to težavo.</w:t>
      </w:r>
    </w:p>
    <w:p w14:paraId="3CC9AA72" w14:textId="77777777" w:rsidR="00C7562D" w:rsidRPr="0095610C" w:rsidRDefault="00C7562D" w:rsidP="00C7562D">
      <w:pPr>
        <w:pStyle w:val="Telobesedila"/>
        <w:shd w:val="clear" w:color="auto" w:fill="auto"/>
        <w:spacing w:line="276" w:lineRule="auto"/>
        <w:jc w:val="both"/>
        <w:rPr>
          <w:lang w:val="it-IT"/>
        </w:rPr>
      </w:pPr>
      <w:r>
        <w:rPr>
          <w:lang w:val="sl"/>
        </w:rPr>
        <w:t>2. Pristojni organ, ki je zaprosil za posvet v skladu s prvim odstavkom, po potrebi zagotovi, da je sekretariat usklajevalnega organa obveščen o vseh sprejetih sklepih in pripravljenih ukrepih, vključno o tem, da taki sklepi niso bili sprejeti ali taki ukrepi niso bili pripravljeni, sekretariat usklajevalnega organa pa bo o takih sklepih ali ukrepih uradno obvestil vse pristojne organe, ki uporabljajo ta sporazum s prvim navedenim pristojnim organom, tudi tiste, ki niso sodelovali pri posvetu. Informacije, ki se nanašajo na posameznega davčnega zavezanca, vključno z informacijami, ki bi razkrile njegovo identiteto, se ne predložijo.</w:t>
      </w:r>
    </w:p>
    <w:p w14:paraId="1F9CA485" w14:textId="77777777" w:rsidR="00C7562D" w:rsidRPr="0095610C" w:rsidRDefault="00C7562D" w:rsidP="00C7562D">
      <w:pPr>
        <w:pStyle w:val="Telobesedila"/>
        <w:numPr>
          <w:ilvl w:val="0"/>
          <w:numId w:val="7"/>
        </w:numPr>
        <w:shd w:val="clear" w:color="auto" w:fill="auto"/>
        <w:tabs>
          <w:tab w:val="left" w:pos="720"/>
        </w:tabs>
        <w:spacing w:line="276" w:lineRule="auto"/>
        <w:jc w:val="both"/>
        <w:rPr>
          <w:lang w:val="it-IT"/>
        </w:rPr>
        <w:sectPr w:rsidR="00C7562D" w:rsidRPr="0095610C">
          <w:pgSz w:w="11900" w:h="16840"/>
          <w:pgMar w:top="1791" w:right="1264" w:bottom="1810" w:left="1266" w:header="0" w:footer="3" w:gutter="0"/>
          <w:cols w:space="720"/>
          <w:noEndnote/>
          <w:docGrid w:linePitch="360"/>
        </w:sectPr>
      </w:pPr>
      <w:r>
        <w:rPr>
          <w:lang w:val="sl"/>
        </w:rPr>
        <w:t>O informacijah, vključenih v informativni obrazec za obračun, ki jih pristojni organ predloži drugemu pristojnemu organu po tem sporazumu, lahko ta razpravlja s tretjim pristojnim organom, če je prvi navedeni pristojni organ tretjemu pristojnemu organu predložil enake informacije po tem sporazumu.</w:t>
      </w:r>
    </w:p>
    <w:p w14:paraId="57604946" w14:textId="5230EBBC" w:rsidR="00C7562D" w:rsidRPr="0095610C" w:rsidRDefault="00C7562D" w:rsidP="00C7562D">
      <w:pPr>
        <w:pStyle w:val="Telobesedila"/>
        <w:shd w:val="clear" w:color="auto" w:fill="auto"/>
        <w:spacing w:after="360" w:line="240" w:lineRule="auto"/>
        <w:jc w:val="both"/>
        <w:rPr>
          <w:lang w:val="it-IT"/>
        </w:rPr>
      </w:pPr>
      <w:r>
        <w:rPr>
          <w:lang w:val="sl"/>
        </w:rPr>
        <w:t>|</w:t>
      </w:r>
    </w:p>
    <w:p w14:paraId="23E7DCCC" w14:textId="77777777" w:rsidR="00C7562D" w:rsidRPr="0095610C" w:rsidRDefault="00C7562D" w:rsidP="00C7562D">
      <w:pPr>
        <w:pStyle w:val="Heading20"/>
        <w:keepNext/>
        <w:keepLines/>
        <w:shd w:val="clear" w:color="auto" w:fill="auto"/>
        <w:spacing w:after="100"/>
        <w:rPr>
          <w:sz w:val="20"/>
          <w:szCs w:val="20"/>
          <w:lang w:val="it-IT"/>
        </w:rPr>
      </w:pPr>
      <w:bookmarkStart w:id="28" w:name="bookmark31"/>
      <w:bookmarkStart w:id="29" w:name="bookmark30"/>
      <w:r>
        <w:rPr>
          <w:sz w:val="20"/>
          <w:szCs w:val="20"/>
          <w:lang w:val="sl"/>
        </w:rPr>
        <w:t>7. ČLEN</w:t>
      </w:r>
      <w:bookmarkEnd w:id="28"/>
      <w:bookmarkEnd w:id="29"/>
    </w:p>
    <w:p w14:paraId="110E33D6" w14:textId="77777777" w:rsidR="00C7562D" w:rsidRPr="0095610C" w:rsidRDefault="00C7562D" w:rsidP="00C7562D">
      <w:pPr>
        <w:pStyle w:val="Heading20"/>
        <w:keepNext/>
        <w:keepLines/>
        <w:shd w:val="clear" w:color="auto" w:fill="auto"/>
        <w:rPr>
          <w:sz w:val="20"/>
          <w:szCs w:val="20"/>
          <w:lang w:val="it-IT"/>
        </w:rPr>
      </w:pPr>
      <w:bookmarkStart w:id="30" w:name="bookmark33"/>
      <w:bookmarkStart w:id="31" w:name="bookmark32"/>
      <w:r>
        <w:rPr>
          <w:i/>
          <w:iCs/>
          <w:sz w:val="20"/>
          <w:szCs w:val="20"/>
          <w:lang w:val="sl"/>
        </w:rPr>
        <w:t>Spremembe</w:t>
      </w:r>
      <w:bookmarkEnd w:id="30"/>
      <w:bookmarkEnd w:id="31"/>
    </w:p>
    <w:p w14:paraId="68E75548" w14:textId="77777777" w:rsidR="00C7562D" w:rsidRPr="0095610C" w:rsidRDefault="00C7562D" w:rsidP="00C7562D">
      <w:pPr>
        <w:pStyle w:val="Telobesedila"/>
        <w:shd w:val="clear" w:color="auto" w:fill="auto"/>
        <w:spacing w:after="360" w:line="276" w:lineRule="auto"/>
        <w:jc w:val="both"/>
        <w:rPr>
          <w:lang w:val="sl"/>
        </w:rPr>
      </w:pPr>
      <w:r>
        <w:rPr>
          <w:lang w:val="sl"/>
        </w:rPr>
        <w:t>Ta sporazum se lahko spremeni soglasno s pisnim dogovorom med vsemi pristojnimi organi, ki uporabljajo ta sporazum. Če ni dogovorjeno drugače, začne taka sprememba veljati prvi dan meseca po preteku enega meseca od dneva zadnjega podpisa takega pisnega dogovora.</w:t>
      </w:r>
    </w:p>
    <w:p w14:paraId="0DBFA25F" w14:textId="77777777" w:rsidR="00C7562D" w:rsidRPr="0095610C" w:rsidRDefault="00C7562D" w:rsidP="00C7562D">
      <w:pPr>
        <w:pStyle w:val="Heading20"/>
        <w:keepNext/>
        <w:keepLines/>
        <w:shd w:val="clear" w:color="auto" w:fill="auto"/>
        <w:spacing w:after="100"/>
        <w:rPr>
          <w:sz w:val="20"/>
          <w:szCs w:val="20"/>
          <w:lang w:val="sl"/>
        </w:rPr>
      </w:pPr>
      <w:bookmarkStart w:id="32" w:name="bookmark35"/>
      <w:bookmarkStart w:id="33" w:name="bookmark34"/>
      <w:r>
        <w:rPr>
          <w:sz w:val="20"/>
          <w:szCs w:val="20"/>
          <w:lang w:val="sl"/>
        </w:rPr>
        <w:t>8. ČLEN</w:t>
      </w:r>
      <w:bookmarkEnd w:id="32"/>
      <w:bookmarkEnd w:id="33"/>
    </w:p>
    <w:p w14:paraId="0BC4C99E" w14:textId="77777777" w:rsidR="00C7562D" w:rsidRPr="0095610C" w:rsidRDefault="00C7562D" w:rsidP="00C7562D">
      <w:pPr>
        <w:pStyle w:val="Heading20"/>
        <w:keepNext/>
        <w:keepLines/>
        <w:shd w:val="clear" w:color="auto" w:fill="auto"/>
        <w:rPr>
          <w:sz w:val="20"/>
          <w:szCs w:val="20"/>
          <w:lang w:val="sl"/>
        </w:rPr>
      </w:pPr>
      <w:bookmarkStart w:id="34" w:name="bookmark37"/>
      <w:bookmarkStart w:id="35" w:name="bookmark36"/>
      <w:r>
        <w:rPr>
          <w:i/>
          <w:iCs/>
          <w:sz w:val="20"/>
          <w:szCs w:val="20"/>
          <w:lang w:val="sl"/>
        </w:rPr>
        <w:t>Splošni pogoji</w:t>
      </w:r>
      <w:bookmarkEnd w:id="34"/>
      <w:bookmarkEnd w:id="35"/>
    </w:p>
    <w:p w14:paraId="1777613B" w14:textId="77777777" w:rsidR="00C7562D" w:rsidRPr="0095610C" w:rsidRDefault="00C7562D" w:rsidP="00C7562D">
      <w:pPr>
        <w:pStyle w:val="Telobesedila"/>
        <w:shd w:val="clear" w:color="auto" w:fill="auto"/>
        <w:spacing w:line="276" w:lineRule="auto"/>
        <w:jc w:val="both"/>
        <w:rPr>
          <w:lang w:val="sl"/>
        </w:rPr>
      </w:pPr>
      <w:r>
        <w:rPr>
          <w:lang w:val="sl"/>
        </w:rPr>
        <w:t>1. Pristojni organ mora ob podpisu tega sporazuma ali čim prej po njem sekretariatu usklajevalnega organa poslati uradno obvestilo, v katerem:</w:t>
      </w:r>
    </w:p>
    <w:p w14:paraId="59D9DC10" w14:textId="77777777" w:rsidR="00C7562D" w:rsidRPr="0095610C" w:rsidRDefault="00C7562D" w:rsidP="00C7562D">
      <w:pPr>
        <w:pStyle w:val="Telobesedila"/>
        <w:shd w:val="clear" w:color="auto" w:fill="auto"/>
        <w:ind w:firstLine="720"/>
        <w:jc w:val="both"/>
        <w:rPr>
          <w:lang w:val="it-IT"/>
        </w:rPr>
      </w:pPr>
      <w:r>
        <w:rPr>
          <w:lang w:val="sl"/>
        </w:rPr>
        <w:t>a. navede, ali namerava poslati informacije po tem sporazumu, in če jih namerava poslati:</w:t>
      </w:r>
    </w:p>
    <w:p w14:paraId="15DC4488" w14:textId="77777777" w:rsidR="00C7562D" w:rsidRPr="0095610C" w:rsidRDefault="00C7562D" w:rsidP="00C7562D">
      <w:pPr>
        <w:pStyle w:val="Telobesedila"/>
        <w:shd w:val="clear" w:color="auto" w:fill="auto"/>
        <w:spacing w:line="240" w:lineRule="auto"/>
        <w:ind w:left="1620" w:hanging="300"/>
        <w:jc w:val="both"/>
        <w:rPr>
          <w:lang w:val="it-IT"/>
        </w:rPr>
      </w:pPr>
      <w:r>
        <w:rPr>
          <w:lang w:val="sl"/>
        </w:rPr>
        <w:t>i. potrdi, da ima njegova jurisdikcija vzpostavljen pravni in operativni okvir, ki omogoča domačo predložitev informativnih obrazcev za obračun in mednarodno izmenjavo informacij, vključenih v take informativne obrazce za obračun, za poslovna leta poročanja, ki se začnejo na dan, določen v uradnem obvestilu, ali po njem, ali navede morebitno obdobje začasne uporabe tega sporazuma zaradi (morebitnih) nedokončanih notranjih zakonodajnih postopkov in</w:t>
      </w:r>
    </w:p>
    <w:p w14:paraId="3E3DCC67" w14:textId="77777777" w:rsidR="00C7562D" w:rsidRPr="0095610C" w:rsidRDefault="00C7562D" w:rsidP="00C7562D">
      <w:pPr>
        <w:pStyle w:val="Telobesedila"/>
        <w:numPr>
          <w:ilvl w:val="0"/>
          <w:numId w:val="8"/>
        </w:numPr>
        <w:shd w:val="clear" w:color="auto" w:fill="auto"/>
        <w:tabs>
          <w:tab w:val="left" w:pos="1636"/>
        </w:tabs>
        <w:spacing w:line="240" w:lineRule="auto"/>
        <w:ind w:left="1620" w:hanging="300"/>
        <w:jc w:val="both"/>
        <w:rPr>
          <w:lang w:val="it-IT"/>
        </w:rPr>
      </w:pPr>
      <w:r>
        <w:rPr>
          <w:lang w:val="sl"/>
        </w:rPr>
        <w:t>navede seznam jurisdikcij pristojnih organov, ki jim želi poslati te informacije, in</w:t>
      </w:r>
    </w:p>
    <w:p w14:paraId="63D771B1" w14:textId="77777777" w:rsidR="00C7562D" w:rsidRPr="0095610C" w:rsidRDefault="00C7562D" w:rsidP="00C7562D">
      <w:pPr>
        <w:pStyle w:val="Telobesedila"/>
        <w:shd w:val="clear" w:color="auto" w:fill="auto"/>
        <w:ind w:firstLine="720"/>
        <w:jc w:val="both"/>
        <w:rPr>
          <w:lang w:val="it-IT"/>
        </w:rPr>
      </w:pPr>
      <w:r>
        <w:rPr>
          <w:lang w:val="sl"/>
        </w:rPr>
        <w:t>b. navede, ali želi prejeti informacije po tem sporazumu, in če jih želi prejeti:</w:t>
      </w:r>
    </w:p>
    <w:p w14:paraId="5B31912E" w14:textId="77777777" w:rsidR="00C7562D" w:rsidRPr="0095610C" w:rsidRDefault="00C7562D" w:rsidP="00C7562D">
      <w:pPr>
        <w:pStyle w:val="Telobesedila"/>
        <w:shd w:val="clear" w:color="auto" w:fill="auto"/>
        <w:ind w:left="1300"/>
        <w:jc w:val="both"/>
        <w:rPr>
          <w:lang w:val="it-IT"/>
        </w:rPr>
      </w:pPr>
      <w:r>
        <w:rPr>
          <w:lang w:val="sl"/>
        </w:rPr>
        <w:t>i. navede, ali njegova jurisdikcija uporablja pravilo o vključitvi dohodkov, pravilo o prenizko obdavčenih dobičkih ali kvalificirani domači minimalni povrhnji davek;</w:t>
      </w:r>
    </w:p>
    <w:p w14:paraId="179B718C" w14:textId="77777777" w:rsidR="00C7562D" w:rsidRPr="0095610C" w:rsidRDefault="00C7562D" w:rsidP="00C7562D">
      <w:pPr>
        <w:pStyle w:val="Telobesedila"/>
        <w:shd w:val="clear" w:color="auto" w:fill="auto"/>
        <w:spacing w:line="240" w:lineRule="auto"/>
        <w:ind w:left="1620" w:hanging="300"/>
        <w:jc w:val="both"/>
        <w:rPr>
          <w:lang w:val="it-IT"/>
        </w:rPr>
      </w:pPr>
      <w:r>
        <w:rPr>
          <w:lang w:val="sl"/>
        </w:rPr>
        <w:t>ii. potrdi, da ima vzpostavljene ustrezne ukrepe za zagotovitev izpolnjevanja zahtev glede zaupnosti in varstva podatkov, ter</w:t>
      </w:r>
    </w:p>
    <w:p w14:paraId="415FC78C" w14:textId="77777777" w:rsidR="00C7562D" w:rsidRPr="0095610C" w:rsidRDefault="00C7562D" w:rsidP="00C7562D">
      <w:pPr>
        <w:pStyle w:val="Telobesedila"/>
        <w:numPr>
          <w:ilvl w:val="0"/>
          <w:numId w:val="8"/>
        </w:numPr>
        <w:shd w:val="clear" w:color="auto" w:fill="auto"/>
        <w:tabs>
          <w:tab w:val="left" w:pos="1636"/>
        </w:tabs>
        <w:spacing w:after="140" w:line="240" w:lineRule="auto"/>
        <w:ind w:left="1620" w:hanging="360"/>
        <w:jc w:val="both"/>
        <w:rPr>
          <w:lang w:val="it-IT"/>
        </w:rPr>
      </w:pPr>
      <w:r>
        <w:rPr>
          <w:lang w:val="sl"/>
        </w:rPr>
        <w:t>navede seznam jurisdikcij pristojnih organov, od katerih želi prejeti te informacije.</w:t>
      </w:r>
    </w:p>
    <w:p w14:paraId="12772ED6" w14:textId="77777777" w:rsidR="00C7562D" w:rsidRPr="0095610C" w:rsidRDefault="00C7562D" w:rsidP="00C7562D">
      <w:pPr>
        <w:pStyle w:val="Telobesedila"/>
        <w:shd w:val="clear" w:color="auto" w:fill="auto"/>
        <w:jc w:val="both"/>
        <w:rPr>
          <w:lang w:val="it-IT"/>
        </w:rPr>
      </w:pPr>
      <w:r>
        <w:rPr>
          <w:lang w:val="sl"/>
        </w:rPr>
        <w:t>Pristojni organi morajo sekretariat usklajevalnega organa nemudoma uradno obvestiti o vsaki naknadni spremembi zgoraj navedene vsebine uradnega obvestila.</w:t>
      </w:r>
    </w:p>
    <w:p w14:paraId="014C8D94" w14:textId="77777777" w:rsidR="00C7562D" w:rsidRPr="0095610C" w:rsidRDefault="00C7562D" w:rsidP="00C7562D">
      <w:pPr>
        <w:pStyle w:val="Telobesedila"/>
        <w:shd w:val="clear" w:color="auto" w:fill="auto"/>
        <w:jc w:val="both"/>
        <w:rPr>
          <w:lang w:val="it-IT"/>
        </w:rPr>
      </w:pPr>
      <w:r>
        <w:rPr>
          <w:lang w:val="sl"/>
        </w:rPr>
        <w:t>2. Za namene 2. člena je dejavna izmenjava po tem sporazumu vzpostavljena od dneva, ko (i) pristojni organ pošiljatelj pošlje uradno obvestilo sekretariatu usklajevalnega organa v skladu s pododstavkom a prvega odstavka tega člena, vključno z navedbo jurisdikcije pristojnega organa prejemnika, in (ii) pristojni organ prejemnik pošlje uradno obvestilo sekretariatu usklajevalnega organa v skladu s pododstavkom b prvega odstavka tega člena, vključno z navedbo jurisdikcije pristojnega organa pošiljatelja.</w:t>
      </w:r>
    </w:p>
    <w:p w14:paraId="70E02554" w14:textId="77777777" w:rsidR="00C7562D" w:rsidRPr="0095610C" w:rsidRDefault="00C7562D" w:rsidP="00C7562D">
      <w:pPr>
        <w:pStyle w:val="Telobesedila"/>
        <w:numPr>
          <w:ilvl w:val="0"/>
          <w:numId w:val="6"/>
        </w:numPr>
        <w:shd w:val="clear" w:color="auto" w:fill="auto"/>
        <w:tabs>
          <w:tab w:val="left" w:pos="720"/>
        </w:tabs>
        <w:spacing w:line="276" w:lineRule="auto"/>
        <w:jc w:val="both"/>
        <w:rPr>
          <w:lang w:val="it-IT"/>
        </w:rPr>
      </w:pPr>
      <w:r>
        <w:rPr>
          <w:lang w:val="sl"/>
        </w:rPr>
        <w:t>Sekretariat usklajevalnega organa bo vodil seznam pristojnih organov, ki so podpisali ta sporazum in med katerimi je vzpostavljena dejavna izmenjava v skladu drugim odstavkom tega člena, ki bo objavljen na spletnem mestu OECD.</w:t>
      </w:r>
    </w:p>
    <w:p w14:paraId="6204FB0E" w14:textId="77777777" w:rsidR="00C7562D" w:rsidRPr="0095610C" w:rsidRDefault="00C7562D" w:rsidP="00C7562D">
      <w:pPr>
        <w:pStyle w:val="Telobesedila"/>
        <w:numPr>
          <w:ilvl w:val="0"/>
          <w:numId w:val="6"/>
        </w:numPr>
        <w:shd w:val="clear" w:color="auto" w:fill="auto"/>
        <w:tabs>
          <w:tab w:val="left" w:pos="720"/>
        </w:tabs>
        <w:spacing w:line="276" w:lineRule="auto"/>
        <w:jc w:val="both"/>
        <w:rPr>
          <w:lang w:val="it-IT"/>
        </w:rPr>
      </w:pPr>
      <w:r>
        <w:rPr>
          <w:lang w:val="sl"/>
        </w:rPr>
        <w:t>Sekretariat usklajevalnega organa bo informacije, zagotovljene v skladu s pododstavkoma a in b prvega odstavka, na ustrezen način dal na voljo drugim podpisnikom.</w:t>
      </w:r>
    </w:p>
    <w:p w14:paraId="742030E8" w14:textId="77777777" w:rsidR="00C7562D" w:rsidRPr="0095610C" w:rsidRDefault="00C7562D" w:rsidP="00C7562D">
      <w:pPr>
        <w:pStyle w:val="Telobesedila"/>
        <w:numPr>
          <w:ilvl w:val="0"/>
          <w:numId w:val="6"/>
        </w:numPr>
        <w:shd w:val="clear" w:color="auto" w:fill="auto"/>
        <w:tabs>
          <w:tab w:val="left" w:pos="720"/>
        </w:tabs>
        <w:jc w:val="both"/>
        <w:rPr>
          <w:lang w:val="sl"/>
        </w:rPr>
        <w:sectPr w:rsidR="00C7562D" w:rsidRPr="0095610C">
          <w:headerReference w:type="even" r:id="rId7"/>
          <w:headerReference w:type="default" r:id="rId8"/>
          <w:footerReference w:type="even" r:id="rId9"/>
          <w:footerReference w:type="default" r:id="rId10"/>
          <w:pgSz w:w="11900" w:h="16840"/>
          <w:pgMar w:top="1244" w:right="1268" w:bottom="1278" w:left="1268" w:header="816" w:footer="3" w:gutter="0"/>
          <w:pgNumType w:start="12"/>
          <w:cols w:space="720"/>
          <w:noEndnote/>
          <w:docGrid w:linePitch="360"/>
        </w:sectPr>
      </w:pPr>
      <w:r>
        <w:rPr>
          <w:lang w:val="sl"/>
        </w:rPr>
        <w:t>Pristojni organ lahko prekine izvajanje izmenjave po tem sporazumu s pisnim obvestilom o prekinitvi izvajanja sekretariatu usklajevalnega organa. Sekretariat usklajevalnega organa o tem nemudoma uradno obvesti drugi pristojni organ. Prekinitev izvajanja bo učinkovala za poslovna leta poročanja, ki se začnejo po takem obvestilu. Ne glede na navedeno bo prekinitev izvajanja začela učinkovati takoj, če je razlog zanjo kršitev zaupnosti ali neuspešnost zaščitnih ukrepov.</w:t>
      </w:r>
    </w:p>
    <w:p w14:paraId="120138E8" w14:textId="77777777" w:rsidR="00C7562D" w:rsidRPr="0095610C" w:rsidRDefault="00C7562D" w:rsidP="00C7562D">
      <w:pPr>
        <w:pStyle w:val="Telobesedila"/>
        <w:numPr>
          <w:ilvl w:val="0"/>
          <w:numId w:val="6"/>
        </w:numPr>
        <w:shd w:val="clear" w:color="auto" w:fill="auto"/>
        <w:tabs>
          <w:tab w:val="left" w:pos="720"/>
        </w:tabs>
        <w:spacing w:after="380"/>
        <w:jc w:val="both"/>
        <w:rPr>
          <w:lang w:val="it-IT"/>
        </w:rPr>
      </w:pPr>
      <w:r>
        <w:rPr>
          <w:lang w:val="sl"/>
        </w:rPr>
        <w:t>Pristojni organ lahko odpove sodelovanje po tem sporazumu s pisnim obvestilom o odpovedi sekretariatu usklajevalnega organa. Če pristojni organ ne določi drugače, taka odpoved začne učinkovati prvi dan meseca po preteku 30 mesecev po dnevu uradnega obvestila o odpovedi. Ob odpovedi vse informacije, ki so že bile prejete po tem sporazumu, ostanejo zaupne in zanje veljajo pogoji konvencije.</w:t>
      </w:r>
    </w:p>
    <w:p w14:paraId="53F0E33D" w14:textId="77777777" w:rsidR="00C7562D" w:rsidRPr="0095610C" w:rsidRDefault="00C7562D" w:rsidP="00C7562D">
      <w:pPr>
        <w:pStyle w:val="Heading20"/>
        <w:keepNext/>
        <w:keepLines/>
        <w:shd w:val="clear" w:color="auto" w:fill="auto"/>
        <w:spacing w:after="60"/>
        <w:rPr>
          <w:sz w:val="20"/>
          <w:szCs w:val="20"/>
          <w:lang w:val="it-IT"/>
        </w:rPr>
      </w:pPr>
      <w:bookmarkStart w:id="36" w:name="bookmark39"/>
      <w:bookmarkStart w:id="37" w:name="bookmark38"/>
      <w:r>
        <w:rPr>
          <w:sz w:val="20"/>
          <w:szCs w:val="20"/>
          <w:lang w:val="sl"/>
        </w:rPr>
        <w:t>9. ČLEN</w:t>
      </w:r>
      <w:bookmarkEnd w:id="36"/>
      <w:bookmarkEnd w:id="37"/>
    </w:p>
    <w:p w14:paraId="5B4A7586" w14:textId="77777777" w:rsidR="00C7562D" w:rsidRPr="0095610C" w:rsidRDefault="00C7562D" w:rsidP="00C7562D">
      <w:pPr>
        <w:pStyle w:val="Heading20"/>
        <w:keepNext/>
        <w:keepLines/>
        <w:shd w:val="clear" w:color="auto" w:fill="auto"/>
        <w:rPr>
          <w:sz w:val="20"/>
          <w:szCs w:val="20"/>
          <w:lang w:val="it-IT"/>
        </w:rPr>
      </w:pPr>
      <w:bookmarkStart w:id="38" w:name="bookmark41"/>
      <w:bookmarkStart w:id="39" w:name="bookmark40"/>
      <w:r>
        <w:rPr>
          <w:i/>
          <w:iCs/>
          <w:sz w:val="20"/>
          <w:szCs w:val="20"/>
          <w:lang w:val="sl"/>
        </w:rPr>
        <w:t>Sekretariat usklajevalnega organa</w:t>
      </w:r>
      <w:bookmarkEnd w:id="38"/>
      <w:bookmarkEnd w:id="39"/>
    </w:p>
    <w:p w14:paraId="528B71C4" w14:textId="77777777" w:rsidR="00C7562D" w:rsidRPr="0095610C" w:rsidRDefault="00C7562D" w:rsidP="00C7562D">
      <w:pPr>
        <w:pStyle w:val="Telobesedila"/>
        <w:shd w:val="clear" w:color="auto" w:fill="auto"/>
        <w:spacing w:after="380" w:line="276" w:lineRule="auto"/>
        <w:jc w:val="both"/>
        <w:rPr>
          <w:lang w:val="it-IT"/>
        </w:rPr>
      </w:pPr>
      <w:r>
        <w:rPr>
          <w:lang w:val="sl"/>
        </w:rPr>
        <w:t>Če ta sporazum ne določa drugače, sekretariat usklajevalnega organa obvesti vse pristojne organe o vseh uradnih obvestilih, ki jih prejme po tem sporazumu, in vse podpisnike sporazuma, ko ga podpiše nov pristojni organ.</w:t>
      </w:r>
    </w:p>
    <w:sectPr w:rsidR="00C7562D" w:rsidRPr="009561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6DD5" w14:textId="77777777" w:rsidR="000618C3" w:rsidRDefault="000618C3" w:rsidP="00C7562D">
      <w:r>
        <w:separator/>
      </w:r>
    </w:p>
  </w:endnote>
  <w:endnote w:type="continuationSeparator" w:id="0">
    <w:p w14:paraId="7288B1F1" w14:textId="77777777" w:rsidR="000618C3" w:rsidRDefault="000618C3" w:rsidP="00C7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10A8" w14:textId="77777777" w:rsidR="000618C3" w:rsidRDefault="000618C3">
    <w:pPr>
      <w:spacing w:line="1" w:lineRule="exact"/>
    </w:pPr>
    <w:r>
      <w:rPr>
        <w:noProof/>
        <w:lang w:val="sl-SI" w:eastAsia="sl-SI" w:bidi="ar-SA"/>
      </w:rPr>
      <mc:AlternateContent>
        <mc:Choice Requires="wps">
          <w:drawing>
            <wp:anchor distT="0" distB="0" distL="0" distR="0" simplePos="0" relativeHeight="251660288" behindDoc="1" locked="0" layoutInCell="1" allowOverlap="1" wp14:anchorId="209C6539" wp14:editId="2AE3EEE2">
              <wp:simplePos x="0" y="0"/>
              <wp:positionH relativeFrom="page">
                <wp:posOffset>1569720</wp:posOffset>
              </wp:positionH>
              <wp:positionV relativeFrom="page">
                <wp:posOffset>9881870</wp:posOffset>
              </wp:positionV>
              <wp:extent cx="5154295" cy="45720"/>
              <wp:effectExtent l="0" t="0" r="0" b="0"/>
              <wp:wrapNone/>
              <wp:docPr id="20" name="Shape 20"/>
              <wp:cNvGraphicFramePr/>
              <a:graphic xmlns:a="http://schemas.openxmlformats.org/drawingml/2006/main">
                <a:graphicData uri="http://schemas.microsoft.com/office/word/2010/wordprocessingShape">
                  <wps:wsp>
                    <wps:cNvSpPr txBox="1"/>
                    <wps:spPr>
                      <a:xfrm>
                        <a:off x="0" y="0"/>
                        <a:ext cx="5154295" cy="45720"/>
                      </a:xfrm>
                      <a:prstGeom prst="rect">
                        <a:avLst/>
                      </a:prstGeom>
                      <a:noFill/>
                    </wps:spPr>
                    <wps:txbx>
                      <w:txbxContent>
                        <w:p w14:paraId="10021A5A" w14:textId="77777777" w:rsidR="000618C3" w:rsidRDefault="000618C3">
                          <w:pPr>
                            <w:pStyle w:val="Headerorfooter20"/>
                            <w:shd w:val="clear" w:color="auto" w:fill="auto"/>
                            <w:rPr>
                              <w:sz w:val="8"/>
                              <w:szCs w:val="8"/>
                            </w:rPr>
                          </w:pPr>
                          <w:r>
                            <w:rPr>
                              <w:rFonts w:ascii="Arial" w:eastAsia="Arial" w:hAnsi="Arial" w:cs="Arial"/>
                              <w:sz w:val="8"/>
                              <w:szCs w:val="8"/>
                              <w:lang w:val="sl"/>
                            </w:rPr>
                            <w:t xml:space="preserve">DAVČNI IZZIVI, KI IZHAJAJO IZ DIGITALIZACIJE GOSPODARSTVA – </w:t>
                          </w:r>
                          <w:r>
                            <w:rPr>
                              <w:rFonts w:ascii="Arial" w:eastAsia="Arial" w:hAnsi="Arial" w:cs="Arial"/>
                              <w:sz w:val="8"/>
                              <w:szCs w:val="8"/>
                              <w:lang w:val="sl"/>
                            </w:rPr>
                            <w:t>VEČSTRANSKI SPORAZUM MED PRISTOJNIMI ORGANI O IZMENJAVI INFORMACIJ GLOBE (JANUAR 2025) © OECD 2025</w:t>
                          </w:r>
                        </w:p>
                      </w:txbxContent>
                    </wps:txbx>
                    <wps:bodyPr wrap="none" lIns="0" tIns="0" rIns="0" bIns="0">
                      <a:spAutoFit/>
                    </wps:bodyPr>
                  </wps:wsp>
                </a:graphicData>
              </a:graphic>
            </wp:anchor>
          </w:drawing>
        </mc:Choice>
        <mc:Fallback>
          <w:pict>
            <v:shapetype w14:anchorId="209C6539" id="_x0000_t202" coordsize="21600,21600" o:spt="202" path="m,l,21600r21600,l21600,xe">
              <v:stroke joinstyle="miter"/>
              <v:path gradientshapeok="t" o:connecttype="rect"/>
            </v:shapetype>
            <v:shape id="Shape 20" o:spid="_x0000_s1026" type="#_x0000_t202" style="position:absolute;margin-left:123.6pt;margin-top:778.1pt;width:405.85pt;height:3.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" filled="f" stroked="f">
              <v:textbox style="mso-fit-shape-to-text:t" inset="0,0,0,0">
                <w:txbxContent>
                  <w:p w14:paraId="10021A5A" w14:textId="77777777" w:rsidR="000618C3" w:rsidRDefault="000618C3">
                    <w:pPr>
                      <w:pStyle w:val="Headerorfooter20"/>
                      <w:shd w:val="clear" w:color="auto" w:fill="auto"/>
                      <w:rPr>
                        <w:sz w:val="8"/>
                        <w:szCs w:val="8"/>
                      </w:rPr>
                    </w:pPr>
                    <w:r>
                      <w:rPr>
                        <w:rFonts w:ascii="Arial" w:eastAsia="Arial" w:hAnsi="Arial" w:cs="Arial"/>
                        <w:sz w:val="8"/>
                        <w:szCs w:val="8"/>
                        <w:lang w:val="sl"/>
                      </w:rPr>
                      <w:t xml:space="preserve">DAVČNI IZZIVI, KI IZHAJAJO IZ DIGITALIZACIJE GOSPODARSTVA – </w:t>
                    </w:r>
                    <w:r>
                      <w:rPr>
                        <w:rFonts w:ascii="Arial" w:eastAsia="Arial" w:hAnsi="Arial" w:cs="Arial"/>
                        <w:sz w:val="8"/>
                        <w:szCs w:val="8"/>
                        <w:lang w:val="sl"/>
                      </w:rPr>
                      <w:t>VEČSTRANSKI SPORAZUM MED PRISTOJNIMI ORGANI O IZMENJAVI INFORMACIJ GLOBE (JANUAR 2025) © OECD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D255" w14:textId="5EBD4F45" w:rsidR="000618C3" w:rsidRDefault="000618C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E36B8" w14:textId="77777777" w:rsidR="000618C3" w:rsidRDefault="000618C3" w:rsidP="00C7562D">
      <w:r>
        <w:separator/>
      </w:r>
    </w:p>
  </w:footnote>
  <w:footnote w:type="continuationSeparator" w:id="0">
    <w:p w14:paraId="155068CC" w14:textId="77777777" w:rsidR="000618C3" w:rsidRDefault="000618C3" w:rsidP="00C75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5D35" w14:textId="77777777" w:rsidR="000618C3" w:rsidRDefault="00061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B838" w14:textId="77777777" w:rsidR="000618C3" w:rsidRDefault="000618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84287"/>
    <w:multiLevelType w:val="multilevel"/>
    <w:tmpl w:val="E5C2FFB2"/>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682BC9"/>
    <w:multiLevelType w:val="multilevel"/>
    <w:tmpl w:val="D1BA8B4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AE0632"/>
    <w:multiLevelType w:val="multilevel"/>
    <w:tmpl w:val="CF7081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2C118C"/>
    <w:multiLevelType w:val="multilevel"/>
    <w:tmpl w:val="D34EE0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424E92"/>
    <w:multiLevelType w:val="multilevel"/>
    <w:tmpl w:val="F7D8B10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DF43DE"/>
    <w:multiLevelType w:val="multilevel"/>
    <w:tmpl w:val="AEBE28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5C3D5D"/>
    <w:multiLevelType w:val="multilevel"/>
    <w:tmpl w:val="C8C01AC0"/>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D8778C"/>
    <w:multiLevelType w:val="multilevel"/>
    <w:tmpl w:val="1144C51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2521311">
    <w:abstractNumId w:val="7"/>
  </w:num>
  <w:num w:numId="2" w16cid:durableId="1501702067">
    <w:abstractNumId w:val="2"/>
  </w:num>
  <w:num w:numId="3" w16cid:durableId="806750019">
    <w:abstractNumId w:val="3"/>
  </w:num>
  <w:num w:numId="4" w16cid:durableId="1346597744">
    <w:abstractNumId w:val="4"/>
  </w:num>
  <w:num w:numId="5" w16cid:durableId="1795244654">
    <w:abstractNumId w:val="1"/>
  </w:num>
  <w:num w:numId="6" w16cid:durableId="933905861">
    <w:abstractNumId w:val="5"/>
  </w:num>
  <w:num w:numId="7" w16cid:durableId="1772824027">
    <w:abstractNumId w:val="0"/>
  </w:num>
  <w:num w:numId="8" w16cid:durableId="15694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2D"/>
    <w:rsid w:val="000618C3"/>
    <w:rsid w:val="002434DA"/>
    <w:rsid w:val="006245FF"/>
    <w:rsid w:val="00931FD2"/>
    <w:rsid w:val="00B139E4"/>
    <w:rsid w:val="00BD76BB"/>
    <w:rsid w:val="00C7562D"/>
    <w:rsid w:val="00DA12E6"/>
    <w:rsid w:val="00DE5D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B48B"/>
  <w15:chartTrackingRefBased/>
  <w15:docId w15:val="{A55BE1A3-E1CA-44AB-833B-66B3352C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C7562D"/>
    <w:pPr>
      <w:widowControl w:val="0"/>
      <w:spacing w:after="0" w:line="240" w:lineRule="auto"/>
    </w:pPr>
    <w:rPr>
      <w:rFonts w:ascii="Courier New" w:eastAsia="Courier New" w:hAnsi="Courier New" w:cs="Courier New"/>
      <w:color w:val="000000"/>
      <w:kern w:val="0"/>
      <w:sz w:val="24"/>
      <w:szCs w:val="24"/>
      <w:lang w:val="en-US" w:bidi="en-US"/>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rsid w:val="00C7562D"/>
    <w:rPr>
      <w:rFonts w:ascii="Arial" w:eastAsia="Arial" w:hAnsi="Arial" w:cs="Arial"/>
      <w:sz w:val="20"/>
      <w:szCs w:val="20"/>
      <w:shd w:val="clear" w:color="auto" w:fill="FFFFFF"/>
    </w:rPr>
  </w:style>
  <w:style w:type="character" w:customStyle="1" w:styleId="Headerorfooter2">
    <w:name w:val="Header or footer (2)_"/>
    <w:basedOn w:val="Privzetapisavaodstavka"/>
    <w:link w:val="Headerorfooter20"/>
    <w:rsid w:val="00C7562D"/>
    <w:rPr>
      <w:rFonts w:ascii="Times New Roman" w:eastAsia="Times New Roman" w:hAnsi="Times New Roman" w:cs="Times New Roman"/>
      <w:sz w:val="20"/>
      <w:szCs w:val="20"/>
      <w:shd w:val="clear" w:color="auto" w:fill="FFFFFF"/>
    </w:rPr>
  </w:style>
  <w:style w:type="character" w:customStyle="1" w:styleId="Heading2">
    <w:name w:val="Heading #2_"/>
    <w:basedOn w:val="Privzetapisavaodstavka"/>
    <w:link w:val="Heading20"/>
    <w:rsid w:val="00C7562D"/>
    <w:rPr>
      <w:rFonts w:ascii="Arial" w:eastAsia="Arial" w:hAnsi="Arial" w:cs="Arial"/>
      <w:b/>
      <w:bCs/>
      <w:color w:val="4E81BD"/>
      <w:shd w:val="clear" w:color="auto" w:fill="FFFFFF"/>
    </w:rPr>
  </w:style>
  <w:style w:type="paragraph" w:styleId="Telobesedila">
    <w:name w:val="Body Text"/>
    <w:basedOn w:val="Navaden"/>
    <w:link w:val="TelobesedilaZnak"/>
    <w:qFormat/>
    <w:rsid w:val="00C7562D"/>
    <w:pPr>
      <w:shd w:val="clear" w:color="auto" w:fill="FFFFFF"/>
      <w:spacing w:after="100" w:line="271" w:lineRule="auto"/>
    </w:pPr>
    <w:rPr>
      <w:rFonts w:ascii="Arial" w:eastAsia="Arial" w:hAnsi="Arial" w:cs="Arial"/>
      <w:color w:val="auto"/>
      <w:kern w:val="2"/>
      <w:sz w:val="20"/>
      <w:szCs w:val="20"/>
      <w:lang w:val="sl-SI" w:bidi="ar-SA"/>
      <w14:ligatures w14:val="standardContextual"/>
    </w:rPr>
  </w:style>
  <w:style w:type="character" w:customStyle="1" w:styleId="TelobesedilaZnak1">
    <w:name w:val="Telo besedila Znak1"/>
    <w:basedOn w:val="Privzetapisavaodstavka"/>
    <w:uiPriority w:val="99"/>
    <w:semiHidden/>
    <w:rsid w:val="00C7562D"/>
    <w:rPr>
      <w:rFonts w:ascii="Courier New" w:eastAsia="Courier New" w:hAnsi="Courier New" w:cs="Courier New"/>
      <w:color w:val="000000"/>
      <w:kern w:val="0"/>
      <w:sz w:val="24"/>
      <w:szCs w:val="24"/>
      <w:lang w:val="en-US" w:bidi="en-US"/>
      <w14:ligatures w14:val="none"/>
    </w:rPr>
  </w:style>
  <w:style w:type="paragraph" w:customStyle="1" w:styleId="Headerorfooter20">
    <w:name w:val="Header or footer (2)"/>
    <w:basedOn w:val="Navaden"/>
    <w:link w:val="Headerorfooter2"/>
    <w:rsid w:val="00C7562D"/>
    <w:pPr>
      <w:shd w:val="clear" w:color="auto" w:fill="FFFFFF"/>
    </w:pPr>
    <w:rPr>
      <w:rFonts w:ascii="Times New Roman" w:eastAsia="Times New Roman" w:hAnsi="Times New Roman" w:cs="Times New Roman"/>
      <w:color w:val="auto"/>
      <w:kern w:val="2"/>
      <w:sz w:val="20"/>
      <w:szCs w:val="20"/>
      <w:lang w:val="sl-SI" w:bidi="ar-SA"/>
      <w14:ligatures w14:val="standardContextual"/>
    </w:rPr>
  </w:style>
  <w:style w:type="paragraph" w:customStyle="1" w:styleId="Heading20">
    <w:name w:val="Heading #2"/>
    <w:basedOn w:val="Navaden"/>
    <w:link w:val="Heading2"/>
    <w:rsid w:val="00C7562D"/>
    <w:pPr>
      <w:shd w:val="clear" w:color="auto" w:fill="FFFFFF"/>
      <w:spacing w:after="240" w:line="271" w:lineRule="auto"/>
      <w:jc w:val="center"/>
      <w:outlineLvl w:val="1"/>
    </w:pPr>
    <w:rPr>
      <w:rFonts w:ascii="Arial" w:eastAsia="Arial" w:hAnsi="Arial" w:cs="Arial"/>
      <w:b/>
      <w:bCs/>
      <w:color w:val="4E81BD"/>
      <w:kern w:val="2"/>
      <w:sz w:val="22"/>
      <w:szCs w:val="22"/>
      <w:lang w:val="sl-SI" w:bidi="ar-SA"/>
      <w14:ligatures w14:val="standardContextual"/>
    </w:rPr>
  </w:style>
  <w:style w:type="paragraph" w:styleId="Glava">
    <w:name w:val="header"/>
    <w:basedOn w:val="Navaden"/>
    <w:link w:val="GlavaZnak"/>
    <w:uiPriority w:val="99"/>
    <w:unhideWhenUsed/>
    <w:rsid w:val="00C7562D"/>
    <w:pPr>
      <w:tabs>
        <w:tab w:val="center" w:pos="4536"/>
        <w:tab w:val="right" w:pos="9072"/>
      </w:tabs>
    </w:pPr>
  </w:style>
  <w:style w:type="character" w:customStyle="1" w:styleId="GlavaZnak">
    <w:name w:val="Glava Znak"/>
    <w:basedOn w:val="Privzetapisavaodstavka"/>
    <w:link w:val="Glava"/>
    <w:uiPriority w:val="99"/>
    <w:rsid w:val="00C7562D"/>
    <w:rPr>
      <w:rFonts w:ascii="Courier New" w:eastAsia="Courier New" w:hAnsi="Courier New" w:cs="Courier New"/>
      <w:color w:val="000000"/>
      <w:kern w:val="0"/>
      <w:sz w:val="24"/>
      <w:szCs w:val="24"/>
      <w:lang w:val="en-US" w:bidi="en-US"/>
      <w14:ligatures w14:val="none"/>
    </w:rPr>
  </w:style>
  <w:style w:type="paragraph" w:styleId="Noga">
    <w:name w:val="footer"/>
    <w:basedOn w:val="Navaden"/>
    <w:link w:val="NogaZnak"/>
    <w:uiPriority w:val="99"/>
    <w:unhideWhenUsed/>
    <w:rsid w:val="00C7562D"/>
    <w:pPr>
      <w:tabs>
        <w:tab w:val="center" w:pos="4536"/>
        <w:tab w:val="right" w:pos="9072"/>
      </w:tabs>
    </w:pPr>
  </w:style>
  <w:style w:type="character" w:customStyle="1" w:styleId="NogaZnak">
    <w:name w:val="Noga Znak"/>
    <w:basedOn w:val="Privzetapisavaodstavka"/>
    <w:link w:val="Noga"/>
    <w:uiPriority w:val="99"/>
    <w:rsid w:val="00C7562D"/>
    <w:rPr>
      <w:rFonts w:ascii="Courier New" w:eastAsia="Courier New" w:hAnsi="Courier New" w:cs="Courier New"/>
      <w:color w:val="000000"/>
      <w:kern w:val="0"/>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3329</Words>
  <Characters>18978</Characters>
  <Application>Microsoft Office Word</Application>
  <DocSecurity>0</DocSecurity>
  <Lines>158</Lines>
  <Paragraphs>44</Paragraphs>
  <ScaleCrop>false</ScaleCrop>
  <Company>MJU</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Marjetka Štemberger</dc:creator>
  <cp:keywords/>
  <dc:description/>
  <cp:lastModifiedBy>Marjetka Štemberger</cp:lastModifiedBy>
  <cp:revision>3</cp:revision>
  <dcterms:created xsi:type="dcterms:W3CDTF">2025-05-14T18:59:00Z</dcterms:created>
  <dcterms:modified xsi:type="dcterms:W3CDTF">2025-05-14T19:02:00Z</dcterms:modified>
</cp:coreProperties>
</file>