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A0529" w14:textId="77777777" w:rsidR="003F5664" w:rsidRPr="00D00DBA" w:rsidRDefault="003F5664" w:rsidP="00F154F0">
      <w:pPr>
        <w:jc w:val="center"/>
        <w:rPr>
          <w:rFonts w:cs="Arial"/>
          <w:b/>
          <w:sz w:val="20"/>
          <w:szCs w:val="20"/>
        </w:rPr>
      </w:pPr>
    </w:p>
    <w:p w14:paraId="7434C192" w14:textId="63AF7BB6" w:rsidR="003F5664" w:rsidRPr="00D00DBA" w:rsidRDefault="003F5664" w:rsidP="00F154F0">
      <w:pPr>
        <w:pStyle w:val="datumtevilka"/>
        <w:spacing w:line="240" w:lineRule="auto"/>
      </w:pPr>
      <w:r w:rsidRPr="00D00DBA">
        <w:t>Številka:</w:t>
      </w:r>
      <w:r w:rsidR="003218B6" w:rsidRPr="00D00DBA">
        <w:t xml:space="preserve"> </w:t>
      </w:r>
      <w:r w:rsidR="0018758F" w:rsidRPr="00D00DBA">
        <w:t>5440-4/2025-2611-</w:t>
      </w:r>
      <w:r w:rsidR="00D12923">
        <w:t>8</w:t>
      </w:r>
      <w:r w:rsidRPr="00D00DBA">
        <w:tab/>
      </w:r>
    </w:p>
    <w:p w14:paraId="26F2E96A" w14:textId="49C7CC04" w:rsidR="003F5664" w:rsidRPr="00D00DBA" w:rsidRDefault="003F5664" w:rsidP="00F154F0">
      <w:pPr>
        <w:pStyle w:val="datumtevilka"/>
        <w:spacing w:line="240" w:lineRule="auto"/>
      </w:pPr>
      <w:r w:rsidRPr="00D00DBA">
        <w:t>Datum</w:t>
      </w:r>
      <w:proofErr w:type="gramStart"/>
      <w:r w:rsidRPr="00D12923">
        <w:t>:</w:t>
      </w:r>
      <w:r w:rsidR="00F154F0" w:rsidRPr="00D12923">
        <w:t xml:space="preserve"> </w:t>
      </w:r>
      <w:r w:rsidR="003218B6" w:rsidRPr="00D12923">
        <w:t xml:space="preserve"> </w:t>
      </w:r>
      <w:r w:rsidRPr="00D12923">
        <w:t xml:space="preserve"> </w:t>
      </w:r>
      <w:proofErr w:type="gramEnd"/>
      <w:r w:rsidR="0003182A" w:rsidRPr="00D12923">
        <w:t>1</w:t>
      </w:r>
      <w:r w:rsidR="00D12923" w:rsidRPr="00D12923">
        <w:t>8</w:t>
      </w:r>
      <w:r w:rsidR="00551A91" w:rsidRPr="00D12923">
        <w:t xml:space="preserve">. </w:t>
      </w:r>
      <w:r w:rsidR="0003182A" w:rsidRPr="00D12923">
        <w:t>8</w:t>
      </w:r>
      <w:r w:rsidR="00551A91" w:rsidRPr="00D00DBA">
        <w:t>. 2025</w:t>
      </w:r>
      <w:r w:rsidRPr="00D00DBA">
        <w:tab/>
        <w:t xml:space="preserve"> </w:t>
      </w:r>
    </w:p>
    <w:p w14:paraId="4FF14639" w14:textId="77777777" w:rsidR="003F5664" w:rsidRPr="00D00DBA" w:rsidRDefault="003F5664" w:rsidP="00F154F0">
      <w:pPr>
        <w:jc w:val="center"/>
        <w:rPr>
          <w:rFonts w:cs="Arial"/>
          <w:b/>
          <w:sz w:val="20"/>
          <w:szCs w:val="20"/>
        </w:rPr>
      </w:pPr>
    </w:p>
    <w:p w14:paraId="761FD3D1" w14:textId="77777777" w:rsidR="003F5664" w:rsidRPr="00D00DBA" w:rsidRDefault="003F5664" w:rsidP="00F154F0">
      <w:pPr>
        <w:jc w:val="center"/>
        <w:rPr>
          <w:rFonts w:cs="Arial"/>
          <w:b/>
          <w:sz w:val="20"/>
          <w:szCs w:val="20"/>
        </w:rPr>
      </w:pPr>
    </w:p>
    <w:p w14:paraId="3E0DF455" w14:textId="77777777" w:rsidR="003F5664" w:rsidRPr="00D00DBA" w:rsidRDefault="003F5664" w:rsidP="00F154F0">
      <w:pPr>
        <w:jc w:val="center"/>
        <w:rPr>
          <w:rFonts w:cs="Arial"/>
          <w:b/>
          <w:sz w:val="20"/>
          <w:szCs w:val="20"/>
        </w:rPr>
      </w:pPr>
    </w:p>
    <w:p w14:paraId="743191A0" w14:textId="77777777" w:rsidR="00F154F0" w:rsidRPr="00D00DBA" w:rsidRDefault="00F154F0" w:rsidP="00F154F0">
      <w:pPr>
        <w:jc w:val="center"/>
        <w:rPr>
          <w:rFonts w:cs="Arial"/>
          <w:b/>
          <w:sz w:val="20"/>
          <w:szCs w:val="20"/>
        </w:rPr>
      </w:pPr>
    </w:p>
    <w:p w14:paraId="73A2559B" w14:textId="77777777" w:rsidR="00F154F0" w:rsidRPr="00D00DBA" w:rsidRDefault="00F154F0" w:rsidP="00F154F0">
      <w:pPr>
        <w:jc w:val="center"/>
        <w:rPr>
          <w:rFonts w:cs="Arial"/>
          <w:b/>
          <w:sz w:val="20"/>
          <w:szCs w:val="20"/>
        </w:rPr>
      </w:pPr>
    </w:p>
    <w:p w14:paraId="650FEE70" w14:textId="77777777" w:rsidR="00F154F0" w:rsidRPr="00D00DBA" w:rsidRDefault="00F154F0" w:rsidP="00F154F0">
      <w:pPr>
        <w:jc w:val="center"/>
        <w:rPr>
          <w:rFonts w:cs="Arial"/>
          <w:b/>
          <w:sz w:val="20"/>
          <w:szCs w:val="20"/>
        </w:rPr>
      </w:pPr>
    </w:p>
    <w:p w14:paraId="0B1FCE16" w14:textId="77777777" w:rsidR="00F154F0" w:rsidRPr="00D00DBA" w:rsidRDefault="00F154F0" w:rsidP="00F154F0">
      <w:pPr>
        <w:jc w:val="center"/>
        <w:rPr>
          <w:rFonts w:cs="Arial"/>
          <w:b/>
          <w:sz w:val="20"/>
          <w:szCs w:val="20"/>
        </w:rPr>
      </w:pPr>
    </w:p>
    <w:p w14:paraId="39EE01B9" w14:textId="77777777" w:rsidR="00F154F0" w:rsidRPr="00D00DBA" w:rsidRDefault="00F154F0" w:rsidP="00F154F0">
      <w:pPr>
        <w:jc w:val="center"/>
        <w:rPr>
          <w:rFonts w:cs="Arial"/>
          <w:b/>
          <w:sz w:val="20"/>
          <w:szCs w:val="20"/>
        </w:rPr>
      </w:pPr>
    </w:p>
    <w:p w14:paraId="6DBE8A9C" w14:textId="49720299" w:rsidR="00F154F0" w:rsidRPr="00D00DBA" w:rsidRDefault="00F154F0" w:rsidP="00F154F0">
      <w:pPr>
        <w:jc w:val="center"/>
        <w:rPr>
          <w:rFonts w:cs="Arial"/>
          <w:b/>
          <w:sz w:val="36"/>
          <w:szCs w:val="36"/>
        </w:rPr>
      </w:pPr>
      <w:r w:rsidRPr="00D00DBA">
        <w:rPr>
          <w:rFonts w:cs="Arial"/>
          <w:b/>
          <w:sz w:val="36"/>
          <w:szCs w:val="36"/>
        </w:rPr>
        <w:t>Načrt izvajanja</w:t>
      </w:r>
    </w:p>
    <w:p w14:paraId="08CE89BE" w14:textId="77777777" w:rsidR="00F154F0" w:rsidRPr="00D00DBA" w:rsidRDefault="00F154F0" w:rsidP="00F154F0">
      <w:pPr>
        <w:jc w:val="center"/>
        <w:rPr>
          <w:rFonts w:cs="Arial"/>
          <w:b/>
          <w:sz w:val="36"/>
          <w:szCs w:val="36"/>
        </w:rPr>
      </w:pPr>
    </w:p>
    <w:p w14:paraId="258E25DE" w14:textId="77777777" w:rsidR="00AE2002" w:rsidRPr="00D00DBA" w:rsidRDefault="00BE5B0A" w:rsidP="00F154F0">
      <w:pPr>
        <w:jc w:val="center"/>
        <w:rPr>
          <w:rFonts w:cs="Arial"/>
          <w:b/>
          <w:sz w:val="36"/>
          <w:szCs w:val="36"/>
        </w:rPr>
      </w:pPr>
      <w:r w:rsidRPr="00D00DBA">
        <w:rPr>
          <w:rFonts w:cs="Arial"/>
          <w:b/>
          <w:sz w:val="36"/>
          <w:szCs w:val="36"/>
        </w:rPr>
        <w:t>finančnih instrumentov</w:t>
      </w:r>
      <w:r w:rsidR="00EB48F1" w:rsidRPr="00D00DBA">
        <w:rPr>
          <w:rFonts w:cs="Arial"/>
          <w:b/>
          <w:sz w:val="36"/>
          <w:szCs w:val="36"/>
        </w:rPr>
        <w:t xml:space="preserve"> </w:t>
      </w:r>
    </w:p>
    <w:p w14:paraId="2602BFA7" w14:textId="79760761" w:rsidR="00AE2002" w:rsidRPr="00D00DBA" w:rsidRDefault="00AE2002" w:rsidP="00AE2002">
      <w:pPr>
        <w:jc w:val="center"/>
        <w:rPr>
          <w:rFonts w:cs="Arial"/>
          <w:b/>
          <w:sz w:val="36"/>
          <w:szCs w:val="36"/>
        </w:rPr>
      </w:pPr>
      <w:r w:rsidRPr="00D00DBA">
        <w:rPr>
          <w:rFonts w:cs="Arial"/>
          <w:b/>
          <w:sz w:val="36"/>
          <w:szCs w:val="36"/>
        </w:rPr>
        <w:t>Ministrstv</w:t>
      </w:r>
      <w:r w:rsidR="0018758F" w:rsidRPr="00D00DBA">
        <w:rPr>
          <w:rFonts w:cs="Arial"/>
          <w:b/>
          <w:sz w:val="36"/>
          <w:szCs w:val="36"/>
        </w:rPr>
        <w:t>a</w:t>
      </w:r>
      <w:r w:rsidRPr="00D00DBA">
        <w:rPr>
          <w:rFonts w:cs="Arial"/>
          <w:b/>
          <w:sz w:val="36"/>
          <w:szCs w:val="36"/>
        </w:rPr>
        <w:t xml:space="preserve"> za delo, družino, socialne zadeve in enake možnosti </w:t>
      </w:r>
    </w:p>
    <w:p w14:paraId="3DAC7F5D" w14:textId="0C1BEA93" w:rsidR="00BE5B0A" w:rsidRPr="00D00DBA" w:rsidRDefault="00777994" w:rsidP="00AE2002">
      <w:pPr>
        <w:jc w:val="center"/>
        <w:rPr>
          <w:rFonts w:cs="Arial"/>
          <w:b/>
          <w:sz w:val="36"/>
          <w:szCs w:val="36"/>
        </w:rPr>
      </w:pPr>
      <w:r w:rsidRPr="00D00DBA">
        <w:rPr>
          <w:rFonts w:cs="Arial"/>
          <w:b/>
          <w:sz w:val="36"/>
          <w:szCs w:val="36"/>
        </w:rPr>
        <w:t xml:space="preserve">za leti </w:t>
      </w:r>
      <w:r w:rsidR="00EB48F1" w:rsidRPr="00D00DBA">
        <w:rPr>
          <w:rFonts w:cs="Arial"/>
          <w:b/>
          <w:sz w:val="36"/>
          <w:szCs w:val="36"/>
        </w:rPr>
        <w:t>202</w:t>
      </w:r>
      <w:r w:rsidR="00A57208" w:rsidRPr="00D00DBA">
        <w:rPr>
          <w:rFonts w:cs="Arial"/>
          <w:b/>
          <w:sz w:val="36"/>
          <w:szCs w:val="36"/>
        </w:rPr>
        <w:t>6</w:t>
      </w:r>
      <w:r w:rsidR="00BB3654" w:rsidRPr="00D00DBA">
        <w:rPr>
          <w:rFonts w:cs="Arial"/>
          <w:b/>
          <w:sz w:val="36"/>
          <w:szCs w:val="36"/>
        </w:rPr>
        <w:t xml:space="preserve"> in </w:t>
      </w:r>
      <w:r w:rsidR="00EB48F1" w:rsidRPr="00D00DBA">
        <w:rPr>
          <w:rFonts w:cs="Arial"/>
          <w:b/>
          <w:sz w:val="36"/>
          <w:szCs w:val="36"/>
        </w:rPr>
        <w:t>202</w:t>
      </w:r>
      <w:r w:rsidR="00A57208" w:rsidRPr="00D00DBA">
        <w:rPr>
          <w:rFonts w:cs="Arial"/>
          <w:b/>
          <w:sz w:val="36"/>
          <w:szCs w:val="36"/>
        </w:rPr>
        <w:t>7</w:t>
      </w:r>
      <w:r w:rsidR="00EB48F1" w:rsidRPr="00D00DBA">
        <w:rPr>
          <w:rFonts w:cs="Arial"/>
          <w:b/>
          <w:sz w:val="36"/>
          <w:szCs w:val="36"/>
        </w:rPr>
        <w:t xml:space="preserve"> </w:t>
      </w:r>
    </w:p>
    <w:p w14:paraId="76D9D16C" w14:textId="19ED2463" w:rsidR="00BE5B0A" w:rsidRPr="00D00DBA" w:rsidRDefault="00BE5B0A" w:rsidP="00F154F0">
      <w:pPr>
        <w:jc w:val="center"/>
        <w:rPr>
          <w:rFonts w:cs="Arial"/>
          <w:b/>
          <w:sz w:val="36"/>
          <w:szCs w:val="36"/>
        </w:rPr>
      </w:pPr>
      <w:r w:rsidRPr="00D00DBA">
        <w:rPr>
          <w:rFonts w:cs="Arial"/>
          <w:b/>
          <w:sz w:val="36"/>
          <w:szCs w:val="36"/>
        </w:rPr>
        <w:t>programske</w:t>
      </w:r>
      <w:r w:rsidR="00C014A4" w:rsidRPr="00D00DBA">
        <w:rPr>
          <w:rFonts w:cs="Arial"/>
          <w:b/>
          <w:sz w:val="36"/>
          <w:szCs w:val="36"/>
        </w:rPr>
        <w:t>ga</w:t>
      </w:r>
      <w:r w:rsidRPr="00D00DBA">
        <w:rPr>
          <w:rFonts w:cs="Arial"/>
          <w:b/>
          <w:sz w:val="36"/>
          <w:szCs w:val="36"/>
        </w:rPr>
        <w:t xml:space="preserve"> obdobj</w:t>
      </w:r>
      <w:r w:rsidR="00C014A4" w:rsidRPr="00D00DBA">
        <w:rPr>
          <w:rFonts w:cs="Arial"/>
          <w:b/>
          <w:sz w:val="36"/>
          <w:szCs w:val="36"/>
        </w:rPr>
        <w:t>a</w:t>
      </w:r>
      <w:r w:rsidR="00AE2002" w:rsidRPr="00D00DBA">
        <w:rPr>
          <w:rFonts w:cs="Arial"/>
          <w:b/>
          <w:sz w:val="36"/>
          <w:szCs w:val="36"/>
        </w:rPr>
        <w:t xml:space="preserve"> </w:t>
      </w:r>
    </w:p>
    <w:p w14:paraId="55970DF4" w14:textId="6DF9E31D" w:rsidR="00BE5B0A" w:rsidRPr="00D00DBA" w:rsidRDefault="00AE2002" w:rsidP="00F154F0">
      <w:pPr>
        <w:jc w:val="center"/>
        <w:rPr>
          <w:rFonts w:cs="Arial"/>
          <w:b/>
          <w:sz w:val="36"/>
          <w:szCs w:val="36"/>
        </w:rPr>
      </w:pPr>
      <w:r w:rsidRPr="00D00DBA">
        <w:rPr>
          <w:rFonts w:cs="Arial"/>
          <w:b/>
          <w:sz w:val="36"/>
          <w:szCs w:val="36"/>
        </w:rPr>
        <w:t xml:space="preserve">PEKP </w:t>
      </w:r>
      <w:r w:rsidR="00BE5B0A" w:rsidRPr="00D00DBA">
        <w:rPr>
          <w:rFonts w:cs="Arial"/>
          <w:b/>
          <w:sz w:val="36"/>
          <w:szCs w:val="36"/>
        </w:rPr>
        <w:t>2021–2027</w:t>
      </w:r>
    </w:p>
    <w:p w14:paraId="133C4FC8" w14:textId="77777777" w:rsidR="00BE5B0A" w:rsidRPr="00D00DBA" w:rsidRDefault="00BE5B0A" w:rsidP="00F154F0">
      <w:pPr>
        <w:rPr>
          <w:rFonts w:cs="Arial"/>
          <w:b/>
          <w:sz w:val="72"/>
          <w:szCs w:val="72"/>
        </w:rPr>
      </w:pPr>
    </w:p>
    <w:p w14:paraId="7CD79036" w14:textId="77777777" w:rsidR="00BE5B0A" w:rsidRPr="00D00DBA" w:rsidRDefault="00BE5B0A" w:rsidP="00F154F0">
      <w:pPr>
        <w:rPr>
          <w:rFonts w:cs="Arial"/>
          <w:b/>
          <w:sz w:val="72"/>
          <w:szCs w:val="72"/>
        </w:rPr>
      </w:pPr>
    </w:p>
    <w:p w14:paraId="2CB041F8" w14:textId="77777777" w:rsidR="00BE5B0A" w:rsidRPr="00D00DBA" w:rsidRDefault="00BE5B0A" w:rsidP="00F154F0">
      <w:pPr>
        <w:rPr>
          <w:rFonts w:cs="Arial"/>
          <w:b/>
          <w:sz w:val="72"/>
          <w:szCs w:val="72"/>
        </w:rPr>
      </w:pPr>
    </w:p>
    <w:p w14:paraId="38634103" w14:textId="77777777" w:rsidR="003F5664" w:rsidRPr="00D00DBA" w:rsidRDefault="003F5664" w:rsidP="00F154F0">
      <w:pPr>
        <w:jc w:val="center"/>
        <w:rPr>
          <w:rFonts w:cs="Arial"/>
          <w:b/>
          <w:sz w:val="20"/>
          <w:szCs w:val="20"/>
        </w:rPr>
      </w:pPr>
    </w:p>
    <w:p w14:paraId="3438D2A9" w14:textId="77777777" w:rsidR="00F154F0" w:rsidRPr="00D00DBA" w:rsidRDefault="00F154F0" w:rsidP="00F154F0">
      <w:pPr>
        <w:jc w:val="center"/>
        <w:rPr>
          <w:rFonts w:cs="Arial"/>
          <w:b/>
          <w:sz w:val="20"/>
          <w:szCs w:val="20"/>
        </w:rPr>
      </w:pPr>
    </w:p>
    <w:p w14:paraId="441B0C8A" w14:textId="77777777" w:rsidR="00F154F0" w:rsidRPr="00D00DBA" w:rsidRDefault="00F154F0" w:rsidP="00F154F0">
      <w:pPr>
        <w:jc w:val="center"/>
        <w:rPr>
          <w:rFonts w:cs="Arial"/>
          <w:b/>
          <w:sz w:val="20"/>
          <w:szCs w:val="20"/>
        </w:rPr>
      </w:pPr>
    </w:p>
    <w:p w14:paraId="53D38388" w14:textId="77777777" w:rsidR="00F154F0" w:rsidRPr="00D00DBA" w:rsidRDefault="00F154F0" w:rsidP="00F154F0">
      <w:pPr>
        <w:jc w:val="center"/>
        <w:rPr>
          <w:rFonts w:cs="Arial"/>
          <w:b/>
          <w:sz w:val="20"/>
          <w:szCs w:val="20"/>
        </w:rPr>
      </w:pPr>
    </w:p>
    <w:p w14:paraId="19ED357C" w14:textId="77777777" w:rsidR="00F154F0" w:rsidRPr="00D00DBA" w:rsidRDefault="00F154F0" w:rsidP="00F154F0">
      <w:pPr>
        <w:jc w:val="center"/>
        <w:rPr>
          <w:rFonts w:cs="Arial"/>
          <w:b/>
          <w:sz w:val="20"/>
          <w:szCs w:val="20"/>
        </w:rPr>
      </w:pPr>
    </w:p>
    <w:p w14:paraId="22DDD0B6" w14:textId="77777777" w:rsidR="00F154F0" w:rsidRPr="00D00DBA" w:rsidRDefault="00F154F0" w:rsidP="00F154F0">
      <w:pPr>
        <w:jc w:val="center"/>
        <w:rPr>
          <w:rFonts w:cs="Arial"/>
          <w:b/>
          <w:sz w:val="20"/>
          <w:szCs w:val="20"/>
        </w:rPr>
      </w:pPr>
    </w:p>
    <w:p w14:paraId="3F4824FD" w14:textId="77777777" w:rsidR="00F154F0" w:rsidRPr="00D00DBA" w:rsidRDefault="00F154F0" w:rsidP="00F154F0">
      <w:pPr>
        <w:jc w:val="center"/>
        <w:rPr>
          <w:rFonts w:cs="Arial"/>
          <w:b/>
          <w:sz w:val="20"/>
          <w:szCs w:val="20"/>
        </w:rPr>
      </w:pPr>
    </w:p>
    <w:p w14:paraId="522C84C9" w14:textId="77777777" w:rsidR="00F154F0" w:rsidRPr="00D00DBA" w:rsidRDefault="00F154F0" w:rsidP="00F154F0">
      <w:pPr>
        <w:jc w:val="center"/>
        <w:rPr>
          <w:rFonts w:cs="Arial"/>
          <w:b/>
          <w:sz w:val="20"/>
          <w:szCs w:val="20"/>
        </w:rPr>
      </w:pPr>
    </w:p>
    <w:p w14:paraId="3A65F58F" w14:textId="77777777" w:rsidR="00F154F0" w:rsidRPr="00D00DBA" w:rsidRDefault="00F154F0" w:rsidP="00F154F0">
      <w:pPr>
        <w:jc w:val="center"/>
        <w:rPr>
          <w:rFonts w:cs="Arial"/>
          <w:b/>
          <w:sz w:val="20"/>
          <w:szCs w:val="20"/>
        </w:rPr>
      </w:pPr>
    </w:p>
    <w:p w14:paraId="762E9509" w14:textId="77777777" w:rsidR="00F154F0" w:rsidRPr="00D00DBA" w:rsidRDefault="00F154F0" w:rsidP="00F154F0">
      <w:pPr>
        <w:jc w:val="center"/>
        <w:rPr>
          <w:rFonts w:cs="Arial"/>
          <w:b/>
          <w:sz w:val="20"/>
          <w:szCs w:val="20"/>
        </w:rPr>
      </w:pPr>
    </w:p>
    <w:p w14:paraId="6B8F3526" w14:textId="77777777" w:rsidR="00F154F0" w:rsidRPr="00D00DBA" w:rsidRDefault="00F154F0" w:rsidP="00F154F0">
      <w:pPr>
        <w:jc w:val="center"/>
        <w:rPr>
          <w:rFonts w:cs="Arial"/>
          <w:b/>
          <w:sz w:val="20"/>
          <w:szCs w:val="20"/>
        </w:rPr>
      </w:pPr>
    </w:p>
    <w:p w14:paraId="747A3E28" w14:textId="77777777" w:rsidR="003F5664" w:rsidRPr="00D00DBA" w:rsidRDefault="003F5664" w:rsidP="00F154F0">
      <w:pPr>
        <w:jc w:val="both"/>
        <w:rPr>
          <w:rFonts w:cs="Arial"/>
          <w:sz w:val="20"/>
          <w:szCs w:val="20"/>
        </w:rPr>
      </w:pPr>
    </w:p>
    <w:p w14:paraId="10AF723B" w14:textId="3774B4F8" w:rsidR="003F5664" w:rsidRPr="00D00DBA" w:rsidRDefault="006E7E26" w:rsidP="00F154F0">
      <w:pPr>
        <w:jc w:val="center"/>
        <w:rPr>
          <w:rFonts w:cs="Arial"/>
          <w:sz w:val="20"/>
          <w:szCs w:val="20"/>
        </w:rPr>
      </w:pPr>
      <w:r w:rsidRPr="00D00DBA">
        <w:rPr>
          <w:rFonts w:cs="Arial"/>
          <w:noProof/>
        </w:rPr>
        <w:drawing>
          <wp:inline distT="0" distB="0" distL="0" distR="0" wp14:anchorId="134F6B88" wp14:editId="68DD0749">
            <wp:extent cx="2326943" cy="612341"/>
            <wp:effectExtent l="0" t="0" r="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3091" cy="616590"/>
                    </a:xfrm>
                    <a:prstGeom prst="rect">
                      <a:avLst/>
                    </a:prstGeom>
                    <a:noFill/>
                    <a:ln>
                      <a:noFill/>
                    </a:ln>
                  </pic:spPr>
                </pic:pic>
              </a:graphicData>
            </a:graphic>
          </wp:inline>
        </w:drawing>
      </w:r>
    </w:p>
    <w:p w14:paraId="35BDF1EA" w14:textId="77777777" w:rsidR="003F5664" w:rsidRPr="00D00DBA" w:rsidRDefault="003F5664" w:rsidP="00F154F0">
      <w:pPr>
        <w:jc w:val="both"/>
        <w:rPr>
          <w:rFonts w:cs="Arial"/>
          <w:sz w:val="20"/>
          <w:szCs w:val="20"/>
        </w:rPr>
      </w:pPr>
    </w:p>
    <w:p w14:paraId="6C828BC0" w14:textId="77777777" w:rsidR="00F154F0" w:rsidRPr="00D00DBA" w:rsidRDefault="00F154F0" w:rsidP="00F154F0">
      <w:pPr>
        <w:jc w:val="both"/>
        <w:rPr>
          <w:rFonts w:cs="Arial"/>
          <w:sz w:val="20"/>
          <w:szCs w:val="20"/>
        </w:rPr>
      </w:pPr>
    </w:p>
    <w:p w14:paraId="748C1874" w14:textId="77777777" w:rsidR="00F154F0" w:rsidRPr="00D00DBA" w:rsidRDefault="00F154F0" w:rsidP="00F154F0">
      <w:pPr>
        <w:jc w:val="both"/>
        <w:rPr>
          <w:rFonts w:cs="Arial"/>
          <w:sz w:val="20"/>
          <w:szCs w:val="20"/>
        </w:rPr>
      </w:pPr>
    </w:p>
    <w:p w14:paraId="4EC29B29" w14:textId="77777777" w:rsidR="00F154F0" w:rsidRPr="00D00DBA" w:rsidRDefault="00F154F0" w:rsidP="00F154F0">
      <w:pPr>
        <w:jc w:val="both"/>
        <w:rPr>
          <w:rFonts w:cs="Arial"/>
          <w:sz w:val="20"/>
          <w:szCs w:val="20"/>
        </w:rPr>
      </w:pPr>
    </w:p>
    <w:p w14:paraId="6DB8778A" w14:textId="77777777" w:rsidR="00F154F0" w:rsidRPr="00D00DBA" w:rsidRDefault="00F154F0" w:rsidP="00F154F0">
      <w:pPr>
        <w:jc w:val="both"/>
        <w:rPr>
          <w:rFonts w:cs="Arial"/>
          <w:sz w:val="20"/>
          <w:szCs w:val="20"/>
        </w:rPr>
      </w:pPr>
    </w:p>
    <w:p w14:paraId="52F6657D" w14:textId="06408AB7" w:rsidR="003F5664" w:rsidRPr="00D00DBA" w:rsidRDefault="00D406A9" w:rsidP="00F154F0">
      <w:pPr>
        <w:jc w:val="center"/>
        <w:rPr>
          <w:rFonts w:cs="Arial"/>
          <w:sz w:val="20"/>
          <w:szCs w:val="20"/>
        </w:rPr>
      </w:pPr>
      <w:r w:rsidRPr="00D00DBA">
        <w:rPr>
          <w:rFonts w:cs="Arial"/>
          <w:sz w:val="20"/>
          <w:szCs w:val="20"/>
        </w:rPr>
        <w:t xml:space="preserve"> </w:t>
      </w:r>
    </w:p>
    <w:p w14:paraId="5D9A9FEB" w14:textId="0FF5F362" w:rsidR="006E7E26" w:rsidRPr="00D00DBA" w:rsidRDefault="006E7E26" w:rsidP="00F154F0">
      <w:pPr>
        <w:jc w:val="both"/>
        <w:rPr>
          <w:rFonts w:cs="Arial"/>
          <w:szCs w:val="22"/>
        </w:rPr>
      </w:pPr>
      <w:r w:rsidRPr="00D00DBA">
        <w:rPr>
          <w:rFonts w:cs="Arial"/>
          <w:sz w:val="20"/>
          <w:szCs w:val="20"/>
        </w:rPr>
        <w:tab/>
      </w:r>
      <w:r w:rsidRPr="00D00DBA">
        <w:rPr>
          <w:rFonts w:cs="Arial"/>
          <w:sz w:val="20"/>
          <w:szCs w:val="20"/>
        </w:rPr>
        <w:tab/>
      </w:r>
      <w:r w:rsidRPr="00D00DBA">
        <w:rPr>
          <w:rFonts w:cs="Arial"/>
          <w:sz w:val="20"/>
          <w:szCs w:val="20"/>
        </w:rPr>
        <w:tab/>
      </w:r>
      <w:r w:rsidRPr="00D00DBA">
        <w:rPr>
          <w:rFonts w:cs="Arial"/>
          <w:sz w:val="20"/>
          <w:szCs w:val="20"/>
        </w:rPr>
        <w:tab/>
      </w:r>
      <w:r w:rsidRPr="00D00DBA">
        <w:rPr>
          <w:rFonts w:cs="Arial"/>
          <w:sz w:val="20"/>
          <w:szCs w:val="20"/>
        </w:rPr>
        <w:tab/>
      </w:r>
      <w:r w:rsidRPr="00D00DBA">
        <w:rPr>
          <w:rFonts w:cs="Arial"/>
          <w:sz w:val="20"/>
          <w:szCs w:val="20"/>
        </w:rPr>
        <w:tab/>
      </w:r>
      <w:r w:rsidRPr="00D00DBA">
        <w:rPr>
          <w:rFonts w:cs="Arial"/>
          <w:sz w:val="20"/>
          <w:szCs w:val="20"/>
        </w:rPr>
        <w:tab/>
      </w:r>
      <w:r w:rsidRPr="00D00DBA">
        <w:rPr>
          <w:rFonts w:cs="Arial"/>
          <w:sz w:val="20"/>
          <w:szCs w:val="20"/>
        </w:rPr>
        <w:tab/>
      </w:r>
      <w:r w:rsidRPr="00D00DBA">
        <w:rPr>
          <w:rFonts w:cs="Arial"/>
          <w:sz w:val="20"/>
          <w:szCs w:val="20"/>
        </w:rPr>
        <w:tab/>
      </w:r>
      <w:r w:rsidRPr="00D00DBA">
        <w:rPr>
          <w:rFonts w:cs="Arial"/>
          <w:sz w:val="20"/>
          <w:szCs w:val="20"/>
        </w:rPr>
        <w:tab/>
      </w:r>
      <w:r w:rsidRPr="00D00DBA">
        <w:rPr>
          <w:rFonts w:cs="Arial"/>
          <w:szCs w:val="22"/>
        </w:rPr>
        <w:t>Različica 1.0</w:t>
      </w:r>
    </w:p>
    <w:p w14:paraId="51A05130" w14:textId="2F0E4349" w:rsidR="003F5664" w:rsidRPr="00D00DBA" w:rsidRDefault="003F5664" w:rsidP="00F154F0">
      <w:pPr>
        <w:jc w:val="both"/>
        <w:rPr>
          <w:rFonts w:cs="Arial"/>
          <w:sz w:val="20"/>
          <w:szCs w:val="20"/>
        </w:rPr>
      </w:pPr>
    </w:p>
    <w:p w14:paraId="0E57840B" w14:textId="570F29E8" w:rsidR="003F5664" w:rsidRPr="00D00DBA" w:rsidRDefault="003F5664" w:rsidP="00F154F0">
      <w:pPr>
        <w:jc w:val="center"/>
        <w:rPr>
          <w:rFonts w:cs="Arial"/>
          <w:sz w:val="20"/>
          <w:szCs w:val="20"/>
        </w:rPr>
      </w:pPr>
    </w:p>
    <w:p w14:paraId="45EFC2B7" w14:textId="77777777" w:rsidR="00F70CA0" w:rsidRPr="00D00DBA" w:rsidRDefault="00F70CA0" w:rsidP="00F154F0">
      <w:pPr>
        <w:pStyle w:val="Kazalovsebine1"/>
        <w:spacing w:after="0" w:line="240" w:lineRule="auto"/>
        <w:rPr>
          <w:rFonts w:ascii="Arial" w:hAnsi="Arial" w:cs="Arial"/>
          <w:b/>
          <w:bCs/>
          <w:sz w:val="20"/>
          <w:szCs w:val="20"/>
        </w:rPr>
      </w:pPr>
    </w:p>
    <w:p w14:paraId="6D765874" w14:textId="5FB4D13B" w:rsidR="003F5664" w:rsidRPr="00D00DBA" w:rsidRDefault="003F5664" w:rsidP="00F154F0">
      <w:pPr>
        <w:pStyle w:val="Kazalovsebine1"/>
        <w:spacing w:after="0" w:line="240" w:lineRule="auto"/>
        <w:rPr>
          <w:rFonts w:ascii="Arial" w:hAnsi="Arial" w:cs="Arial"/>
          <w:b/>
          <w:bCs/>
          <w:sz w:val="20"/>
          <w:szCs w:val="20"/>
        </w:rPr>
      </w:pPr>
      <w:r w:rsidRPr="00D00DBA">
        <w:rPr>
          <w:rFonts w:ascii="Arial" w:hAnsi="Arial" w:cs="Arial"/>
          <w:b/>
          <w:bCs/>
          <w:sz w:val="20"/>
          <w:szCs w:val="20"/>
        </w:rPr>
        <w:t>KAZALO</w:t>
      </w:r>
    </w:p>
    <w:p w14:paraId="234C14C0" w14:textId="32BC7CBD" w:rsidR="00E70227" w:rsidRPr="00D00DBA" w:rsidRDefault="00E70227" w:rsidP="00F154F0">
      <w:pPr>
        <w:rPr>
          <w:rFonts w:cs="Arial"/>
          <w:sz w:val="20"/>
          <w:szCs w:val="20"/>
          <w:lang w:eastAsia="sl-SI"/>
        </w:rPr>
      </w:pPr>
    </w:p>
    <w:sdt>
      <w:sdtPr>
        <w:rPr>
          <w:rFonts w:ascii="Arial" w:eastAsia="Times New Roman" w:hAnsi="Arial" w:cs="Arial"/>
          <w:color w:val="auto"/>
          <w:sz w:val="20"/>
          <w:szCs w:val="20"/>
          <w:lang w:eastAsia="en-US"/>
        </w:rPr>
        <w:id w:val="-1248722395"/>
        <w:docPartObj>
          <w:docPartGallery w:val="Table of Contents"/>
          <w:docPartUnique/>
        </w:docPartObj>
      </w:sdtPr>
      <w:sdtEndPr>
        <w:rPr>
          <w:b/>
          <w:bCs/>
        </w:rPr>
      </w:sdtEndPr>
      <w:sdtContent>
        <w:p w14:paraId="7CDAF5CE" w14:textId="7EC3BA66" w:rsidR="00E70227" w:rsidRPr="00D00DBA" w:rsidRDefault="00E70227" w:rsidP="00F154F0">
          <w:pPr>
            <w:pStyle w:val="NaslovTOC"/>
            <w:spacing w:line="240" w:lineRule="auto"/>
            <w:rPr>
              <w:rFonts w:ascii="Arial" w:hAnsi="Arial" w:cs="Arial"/>
              <w:sz w:val="20"/>
              <w:szCs w:val="20"/>
            </w:rPr>
          </w:pPr>
        </w:p>
        <w:p w14:paraId="276AA4D8" w14:textId="3703439D" w:rsidR="008D2F7D" w:rsidRPr="00D00DBA" w:rsidRDefault="00E70227">
          <w:pPr>
            <w:pStyle w:val="Kazalovsebine2"/>
            <w:rPr>
              <w:rFonts w:ascii="Arial" w:hAnsi="Arial" w:cs="Arial"/>
              <w:noProof/>
              <w:kern w:val="2"/>
              <w:sz w:val="24"/>
              <w:szCs w:val="24"/>
              <w14:ligatures w14:val="standardContextual"/>
            </w:rPr>
          </w:pPr>
          <w:r w:rsidRPr="00D00DBA">
            <w:rPr>
              <w:rFonts w:ascii="Arial" w:hAnsi="Arial" w:cs="Arial"/>
              <w:sz w:val="20"/>
              <w:szCs w:val="20"/>
            </w:rPr>
            <w:fldChar w:fldCharType="begin"/>
          </w:r>
          <w:r w:rsidRPr="00D00DBA">
            <w:rPr>
              <w:rFonts w:ascii="Arial" w:hAnsi="Arial" w:cs="Arial"/>
              <w:sz w:val="20"/>
              <w:szCs w:val="20"/>
            </w:rPr>
            <w:instrText xml:space="preserve"> TOC \o "1-3" \h \z \u </w:instrText>
          </w:r>
          <w:r w:rsidRPr="00D00DBA">
            <w:rPr>
              <w:rFonts w:ascii="Arial" w:hAnsi="Arial" w:cs="Arial"/>
              <w:sz w:val="20"/>
              <w:szCs w:val="20"/>
            </w:rPr>
            <w:fldChar w:fldCharType="separate"/>
          </w:r>
          <w:hyperlink w:anchor="_Toc204329689" w:history="1">
            <w:r w:rsidR="008D2F7D" w:rsidRPr="00D00DBA">
              <w:rPr>
                <w:rStyle w:val="Hiperpovezava"/>
                <w:rFonts w:ascii="Arial" w:hAnsi="Arial" w:cs="Arial"/>
                <w:noProof/>
              </w:rPr>
              <w:t>1.</w:t>
            </w:r>
            <w:r w:rsidR="008D2F7D" w:rsidRPr="00D00DBA">
              <w:rPr>
                <w:rFonts w:ascii="Arial" w:hAnsi="Arial" w:cs="Arial"/>
                <w:noProof/>
                <w:kern w:val="2"/>
                <w:sz w:val="24"/>
                <w:szCs w:val="24"/>
                <w14:ligatures w14:val="standardContextual"/>
              </w:rPr>
              <w:tab/>
            </w:r>
            <w:r w:rsidR="008D2F7D" w:rsidRPr="00D00DBA">
              <w:rPr>
                <w:rStyle w:val="Hiperpovezava"/>
                <w:rFonts w:ascii="Arial" w:hAnsi="Arial" w:cs="Arial"/>
                <w:noProof/>
              </w:rPr>
              <w:t>UVODNO POJASNILO</w:t>
            </w:r>
            <w:r w:rsidR="008D2F7D" w:rsidRPr="00D00DBA">
              <w:rPr>
                <w:rFonts w:ascii="Arial" w:hAnsi="Arial" w:cs="Arial"/>
                <w:noProof/>
                <w:webHidden/>
              </w:rPr>
              <w:tab/>
            </w:r>
            <w:r w:rsidR="008D2F7D" w:rsidRPr="00D00DBA">
              <w:rPr>
                <w:rFonts w:ascii="Arial" w:hAnsi="Arial" w:cs="Arial"/>
                <w:noProof/>
                <w:webHidden/>
              </w:rPr>
              <w:fldChar w:fldCharType="begin"/>
            </w:r>
            <w:r w:rsidR="008D2F7D" w:rsidRPr="00D00DBA">
              <w:rPr>
                <w:rFonts w:ascii="Arial" w:hAnsi="Arial" w:cs="Arial"/>
                <w:noProof/>
                <w:webHidden/>
              </w:rPr>
              <w:instrText xml:space="preserve"> PAGEREF _Toc204329689 \h </w:instrText>
            </w:r>
            <w:r w:rsidR="008D2F7D" w:rsidRPr="00D00DBA">
              <w:rPr>
                <w:rFonts w:ascii="Arial" w:hAnsi="Arial" w:cs="Arial"/>
                <w:noProof/>
                <w:webHidden/>
              </w:rPr>
            </w:r>
            <w:r w:rsidR="008D2F7D" w:rsidRPr="00D00DBA">
              <w:rPr>
                <w:rFonts w:ascii="Arial" w:hAnsi="Arial" w:cs="Arial"/>
                <w:noProof/>
                <w:webHidden/>
              </w:rPr>
              <w:fldChar w:fldCharType="separate"/>
            </w:r>
            <w:r w:rsidR="00793E4C" w:rsidRPr="00D00DBA">
              <w:rPr>
                <w:rFonts w:ascii="Arial" w:hAnsi="Arial" w:cs="Arial"/>
                <w:noProof/>
                <w:webHidden/>
              </w:rPr>
              <w:t>3</w:t>
            </w:r>
            <w:r w:rsidR="008D2F7D" w:rsidRPr="00D00DBA">
              <w:rPr>
                <w:rFonts w:ascii="Arial" w:hAnsi="Arial" w:cs="Arial"/>
                <w:noProof/>
                <w:webHidden/>
              </w:rPr>
              <w:fldChar w:fldCharType="end"/>
            </w:r>
          </w:hyperlink>
        </w:p>
        <w:p w14:paraId="4142AFAF" w14:textId="1CB658AC" w:rsidR="008D2F7D" w:rsidRPr="00D00DBA" w:rsidRDefault="00D12923">
          <w:pPr>
            <w:pStyle w:val="Kazalovsebine2"/>
            <w:rPr>
              <w:rFonts w:ascii="Arial" w:hAnsi="Arial" w:cs="Arial"/>
              <w:noProof/>
              <w:kern w:val="2"/>
              <w:sz w:val="24"/>
              <w:szCs w:val="24"/>
              <w14:ligatures w14:val="standardContextual"/>
            </w:rPr>
          </w:pPr>
          <w:hyperlink w:anchor="_Toc204329690" w:history="1">
            <w:r w:rsidR="008D2F7D" w:rsidRPr="00D00DBA">
              <w:rPr>
                <w:rStyle w:val="Hiperpovezava"/>
                <w:rFonts w:ascii="Arial" w:hAnsi="Arial" w:cs="Arial"/>
                <w:noProof/>
              </w:rPr>
              <w:t>2.</w:t>
            </w:r>
            <w:r w:rsidR="008D2F7D" w:rsidRPr="00D00DBA">
              <w:rPr>
                <w:rFonts w:ascii="Arial" w:hAnsi="Arial" w:cs="Arial"/>
                <w:noProof/>
                <w:kern w:val="2"/>
                <w:sz w:val="24"/>
                <w:szCs w:val="24"/>
                <w14:ligatures w14:val="standardContextual"/>
              </w:rPr>
              <w:tab/>
            </w:r>
            <w:r w:rsidR="008D2F7D" w:rsidRPr="00D00DBA">
              <w:rPr>
                <w:rStyle w:val="Hiperpovezava"/>
                <w:rFonts w:ascii="Arial" w:hAnsi="Arial" w:cs="Arial"/>
                <w:noProof/>
              </w:rPr>
              <w:t>OBLIKE FINANČNIH INSTRUMENTOV</w:t>
            </w:r>
            <w:r w:rsidR="008D2F7D" w:rsidRPr="00D00DBA">
              <w:rPr>
                <w:rFonts w:ascii="Arial" w:hAnsi="Arial" w:cs="Arial"/>
                <w:noProof/>
                <w:webHidden/>
              </w:rPr>
              <w:tab/>
            </w:r>
            <w:r w:rsidR="008D2F7D" w:rsidRPr="00D00DBA">
              <w:rPr>
                <w:rFonts w:ascii="Arial" w:hAnsi="Arial" w:cs="Arial"/>
                <w:noProof/>
                <w:webHidden/>
              </w:rPr>
              <w:fldChar w:fldCharType="begin"/>
            </w:r>
            <w:r w:rsidR="008D2F7D" w:rsidRPr="00D00DBA">
              <w:rPr>
                <w:rFonts w:ascii="Arial" w:hAnsi="Arial" w:cs="Arial"/>
                <w:noProof/>
                <w:webHidden/>
              </w:rPr>
              <w:instrText xml:space="preserve"> PAGEREF _Toc204329690 \h </w:instrText>
            </w:r>
            <w:r w:rsidR="008D2F7D" w:rsidRPr="00D00DBA">
              <w:rPr>
                <w:rFonts w:ascii="Arial" w:hAnsi="Arial" w:cs="Arial"/>
                <w:noProof/>
                <w:webHidden/>
              </w:rPr>
            </w:r>
            <w:r w:rsidR="008D2F7D" w:rsidRPr="00D00DBA">
              <w:rPr>
                <w:rFonts w:ascii="Arial" w:hAnsi="Arial" w:cs="Arial"/>
                <w:noProof/>
                <w:webHidden/>
              </w:rPr>
              <w:fldChar w:fldCharType="separate"/>
            </w:r>
            <w:r w:rsidR="00793E4C" w:rsidRPr="00D00DBA">
              <w:rPr>
                <w:rFonts w:ascii="Arial" w:hAnsi="Arial" w:cs="Arial"/>
                <w:noProof/>
                <w:webHidden/>
              </w:rPr>
              <w:t>4</w:t>
            </w:r>
            <w:r w:rsidR="008D2F7D" w:rsidRPr="00D00DBA">
              <w:rPr>
                <w:rFonts w:ascii="Arial" w:hAnsi="Arial" w:cs="Arial"/>
                <w:noProof/>
                <w:webHidden/>
              </w:rPr>
              <w:fldChar w:fldCharType="end"/>
            </w:r>
          </w:hyperlink>
        </w:p>
        <w:p w14:paraId="365AB5C6" w14:textId="21F3A98E" w:rsidR="008D2F7D" w:rsidRPr="00D00DBA" w:rsidRDefault="00D12923">
          <w:pPr>
            <w:pStyle w:val="Kazalovsebine2"/>
            <w:rPr>
              <w:rFonts w:ascii="Arial" w:hAnsi="Arial" w:cs="Arial"/>
              <w:noProof/>
              <w:kern w:val="2"/>
              <w:sz w:val="24"/>
              <w:szCs w:val="24"/>
              <w14:ligatures w14:val="standardContextual"/>
            </w:rPr>
          </w:pPr>
          <w:hyperlink w:anchor="_Toc204329691" w:history="1">
            <w:r w:rsidR="008D2F7D" w:rsidRPr="00D00DBA">
              <w:rPr>
                <w:rStyle w:val="Hiperpovezava"/>
                <w:rFonts w:ascii="Arial" w:hAnsi="Arial" w:cs="Arial"/>
                <w:noProof/>
              </w:rPr>
              <w:t>3.</w:t>
            </w:r>
            <w:r w:rsidR="008D2F7D" w:rsidRPr="00D00DBA">
              <w:rPr>
                <w:rFonts w:ascii="Arial" w:hAnsi="Arial" w:cs="Arial"/>
                <w:noProof/>
                <w:kern w:val="2"/>
                <w:sz w:val="24"/>
                <w:szCs w:val="24"/>
                <w14:ligatures w14:val="standardContextual"/>
              </w:rPr>
              <w:tab/>
            </w:r>
            <w:r w:rsidR="008D2F7D" w:rsidRPr="00D00DBA">
              <w:rPr>
                <w:rStyle w:val="Hiperpovezava"/>
                <w:rFonts w:ascii="Arial" w:hAnsi="Arial" w:cs="Arial"/>
                <w:noProof/>
              </w:rPr>
              <w:t>NAČRTOVAN OBSEG EU SREDSTEV FINANČNIH INSTRUMENTOV TER OKVIRNA DINAMIKA IZPLAČIL SREDSTEV IZVAJALCU FINANČNIH INSTRUMENTOV</w:t>
            </w:r>
            <w:r w:rsidR="008D2F7D" w:rsidRPr="00D00DBA">
              <w:rPr>
                <w:rFonts w:ascii="Arial" w:hAnsi="Arial" w:cs="Arial"/>
                <w:noProof/>
                <w:webHidden/>
              </w:rPr>
              <w:tab/>
            </w:r>
            <w:r w:rsidR="008D2F7D" w:rsidRPr="00D00DBA">
              <w:rPr>
                <w:rFonts w:ascii="Arial" w:hAnsi="Arial" w:cs="Arial"/>
                <w:noProof/>
                <w:webHidden/>
              </w:rPr>
              <w:fldChar w:fldCharType="begin"/>
            </w:r>
            <w:r w:rsidR="008D2F7D" w:rsidRPr="00D00DBA">
              <w:rPr>
                <w:rFonts w:ascii="Arial" w:hAnsi="Arial" w:cs="Arial"/>
                <w:noProof/>
                <w:webHidden/>
              </w:rPr>
              <w:instrText xml:space="preserve"> PAGEREF _Toc204329691 \h </w:instrText>
            </w:r>
            <w:r w:rsidR="008D2F7D" w:rsidRPr="00D00DBA">
              <w:rPr>
                <w:rFonts w:ascii="Arial" w:hAnsi="Arial" w:cs="Arial"/>
                <w:noProof/>
                <w:webHidden/>
              </w:rPr>
            </w:r>
            <w:r w:rsidR="008D2F7D" w:rsidRPr="00D00DBA">
              <w:rPr>
                <w:rFonts w:ascii="Arial" w:hAnsi="Arial" w:cs="Arial"/>
                <w:noProof/>
                <w:webHidden/>
              </w:rPr>
              <w:fldChar w:fldCharType="separate"/>
            </w:r>
            <w:r w:rsidR="00793E4C" w:rsidRPr="00D00DBA">
              <w:rPr>
                <w:rFonts w:ascii="Arial" w:hAnsi="Arial" w:cs="Arial"/>
                <w:noProof/>
                <w:webHidden/>
              </w:rPr>
              <w:t>4</w:t>
            </w:r>
            <w:r w:rsidR="008D2F7D" w:rsidRPr="00D00DBA">
              <w:rPr>
                <w:rFonts w:ascii="Arial" w:hAnsi="Arial" w:cs="Arial"/>
                <w:noProof/>
                <w:webHidden/>
              </w:rPr>
              <w:fldChar w:fldCharType="end"/>
            </w:r>
          </w:hyperlink>
        </w:p>
        <w:p w14:paraId="50FC47AB" w14:textId="0411C3AD" w:rsidR="008D2F7D" w:rsidRPr="00D00DBA" w:rsidRDefault="00D12923">
          <w:pPr>
            <w:pStyle w:val="Kazalovsebine2"/>
            <w:rPr>
              <w:rFonts w:ascii="Arial" w:hAnsi="Arial" w:cs="Arial"/>
              <w:noProof/>
              <w:kern w:val="2"/>
              <w:sz w:val="24"/>
              <w:szCs w:val="24"/>
              <w14:ligatures w14:val="standardContextual"/>
            </w:rPr>
          </w:pPr>
          <w:hyperlink w:anchor="_Toc204329692" w:history="1">
            <w:r w:rsidR="008D2F7D" w:rsidRPr="00D00DBA">
              <w:rPr>
                <w:rStyle w:val="Hiperpovezava"/>
                <w:rFonts w:ascii="Arial" w:hAnsi="Arial" w:cs="Arial"/>
                <w:noProof/>
              </w:rPr>
              <w:t>4.</w:t>
            </w:r>
            <w:r w:rsidR="008D2F7D" w:rsidRPr="00D00DBA">
              <w:rPr>
                <w:rFonts w:ascii="Arial" w:hAnsi="Arial" w:cs="Arial"/>
                <w:noProof/>
                <w:kern w:val="2"/>
                <w:sz w:val="24"/>
                <w:szCs w:val="24"/>
                <w14:ligatures w14:val="standardContextual"/>
              </w:rPr>
              <w:tab/>
            </w:r>
            <w:r w:rsidR="008D2F7D" w:rsidRPr="00D00DBA">
              <w:rPr>
                <w:rStyle w:val="Hiperpovezava"/>
                <w:rFonts w:ascii="Arial" w:hAnsi="Arial" w:cs="Arial"/>
                <w:noProof/>
              </w:rPr>
              <w:t>PROGRAMSKA KLASIFIKACIJA</w:t>
            </w:r>
            <w:r w:rsidR="008D2F7D" w:rsidRPr="00D00DBA">
              <w:rPr>
                <w:rFonts w:ascii="Arial" w:hAnsi="Arial" w:cs="Arial"/>
                <w:noProof/>
                <w:webHidden/>
              </w:rPr>
              <w:tab/>
            </w:r>
            <w:r w:rsidR="008D2F7D" w:rsidRPr="00D00DBA">
              <w:rPr>
                <w:rFonts w:ascii="Arial" w:hAnsi="Arial" w:cs="Arial"/>
                <w:noProof/>
                <w:webHidden/>
              </w:rPr>
              <w:fldChar w:fldCharType="begin"/>
            </w:r>
            <w:r w:rsidR="008D2F7D" w:rsidRPr="00D00DBA">
              <w:rPr>
                <w:rFonts w:ascii="Arial" w:hAnsi="Arial" w:cs="Arial"/>
                <w:noProof/>
                <w:webHidden/>
              </w:rPr>
              <w:instrText xml:space="preserve"> PAGEREF _Toc204329692 \h </w:instrText>
            </w:r>
            <w:r w:rsidR="008D2F7D" w:rsidRPr="00D00DBA">
              <w:rPr>
                <w:rFonts w:ascii="Arial" w:hAnsi="Arial" w:cs="Arial"/>
                <w:noProof/>
                <w:webHidden/>
              </w:rPr>
            </w:r>
            <w:r w:rsidR="008D2F7D" w:rsidRPr="00D00DBA">
              <w:rPr>
                <w:rFonts w:ascii="Arial" w:hAnsi="Arial" w:cs="Arial"/>
                <w:noProof/>
                <w:webHidden/>
              </w:rPr>
              <w:fldChar w:fldCharType="separate"/>
            </w:r>
            <w:r w:rsidR="00793E4C" w:rsidRPr="00D00DBA">
              <w:rPr>
                <w:rFonts w:ascii="Arial" w:hAnsi="Arial" w:cs="Arial"/>
                <w:noProof/>
                <w:webHidden/>
              </w:rPr>
              <w:t>5</w:t>
            </w:r>
            <w:r w:rsidR="008D2F7D" w:rsidRPr="00D00DBA">
              <w:rPr>
                <w:rFonts w:ascii="Arial" w:hAnsi="Arial" w:cs="Arial"/>
                <w:noProof/>
                <w:webHidden/>
              </w:rPr>
              <w:fldChar w:fldCharType="end"/>
            </w:r>
          </w:hyperlink>
        </w:p>
        <w:p w14:paraId="795643AF" w14:textId="7BDFC092" w:rsidR="008D2F7D" w:rsidRPr="00D00DBA" w:rsidRDefault="00D12923">
          <w:pPr>
            <w:pStyle w:val="Kazalovsebine2"/>
            <w:rPr>
              <w:rFonts w:ascii="Arial" w:hAnsi="Arial" w:cs="Arial"/>
              <w:noProof/>
              <w:kern w:val="2"/>
              <w:sz w:val="24"/>
              <w:szCs w:val="24"/>
              <w14:ligatures w14:val="standardContextual"/>
            </w:rPr>
          </w:pPr>
          <w:hyperlink w:anchor="_Toc204329693" w:history="1">
            <w:r w:rsidR="008D2F7D" w:rsidRPr="00D00DBA">
              <w:rPr>
                <w:rStyle w:val="Hiperpovezava"/>
                <w:rFonts w:ascii="Arial" w:hAnsi="Arial" w:cs="Arial"/>
                <w:noProof/>
              </w:rPr>
              <w:t>5.</w:t>
            </w:r>
            <w:r w:rsidR="008D2F7D" w:rsidRPr="00D00DBA">
              <w:rPr>
                <w:rFonts w:ascii="Arial" w:hAnsi="Arial" w:cs="Arial"/>
                <w:noProof/>
                <w:kern w:val="2"/>
                <w:sz w:val="24"/>
                <w:szCs w:val="24"/>
                <w14:ligatures w14:val="standardContextual"/>
              </w:rPr>
              <w:tab/>
            </w:r>
            <w:r w:rsidR="008D2F7D" w:rsidRPr="00D00DBA">
              <w:rPr>
                <w:rStyle w:val="Hiperpovezava"/>
                <w:rFonts w:ascii="Arial" w:hAnsi="Arial" w:cs="Arial"/>
                <w:noProof/>
              </w:rPr>
              <w:t>OBLIKE FINANCIRANJA IN PODROČJA UKREPANJA ZA FI V OKVIRU PEKP</w:t>
            </w:r>
            <w:r w:rsidR="008D2F7D" w:rsidRPr="00D00DBA">
              <w:rPr>
                <w:rFonts w:ascii="Arial" w:hAnsi="Arial" w:cs="Arial"/>
                <w:noProof/>
                <w:webHidden/>
              </w:rPr>
              <w:tab/>
            </w:r>
            <w:r w:rsidR="008D2F7D" w:rsidRPr="00D00DBA">
              <w:rPr>
                <w:rFonts w:ascii="Arial" w:hAnsi="Arial" w:cs="Arial"/>
                <w:noProof/>
                <w:webHidden/>
              </w:rPr>
              <w:fldChar w:fldCharType="begin"/>
            </w:r>
            <w:r w:rsidR="008D2F7D" w:rsidRPr="00D00DBA">
              <w:rPr>
                <w:rFonts w:ascii="Arial" w:hAnsi="Arial" w:cs="Arial"/>
                <w:noProof/>
                <w:webHidden/>
              </w:rPr>
              <w:instrText xml:space="preserve"> PAGEREF _Toc204329693 \h </w:instrText>
            </w:r>
            <w:r w:rsidR="008D2F7D" w:rsidRPr="00D00DBA">
              <w:rPr>
                <w:rFonts w:ascii="Arial" w:hAnsi="Arial" w:cs="Arial"/>
                <w:noProof/>
                <w:webHidden/>
              </w:rPr>
            </w:r>
            <w:r w:rsidR="008D2F7D" w:rsidRPr="00D00DBA">
              <w:rPr>
                <w:rFonts w:ascii="Arial" w:hAnsi="Arial" w:cs="Arial"/>
                <w:noProof/>
                <w:webHidden/>
              </w:rPr>
              <w:fldChar w:fldCharType="separate"/>
            </w:r>
            <w:r w:rsidR="00793E4C" w:rsidRPr="00D00DBA">
              <w:rPr>
                <w:rFonts w:ascii="Arial" w:hAnsi="Arial" w:cs="Arial"/>
                <w:noProof/>
                <w:webHidden/>
              </w:rPr>
              <w:t>5</w:t>
            </w:r>
            <w:r w:rsidR="008D2F7D" w:rsidRPr="00D00DBA">
              <w:rPr>
                <w:rFonts w:ascii="Arial" w:hAnsi="Arial" w:cs="Arial"/>
                <w:noProof/>
                <w:webHidden/>
              </w:rPr>
              <w:fldChar w:fldCharType="end"/>
            </w:r>
          </w:hyperlink>
        </w:p>
        <w:p w14:paraId="73D24B8C" w14:textId="7D6F853C" w:rsidR="00E70227" w:rsidRPr="00D00DBA" w:rsidRDefault="00E70227" w:rsidP="00F154F0">
          <w:pPr>
            <w:rPr>
              <w:rFonts w:cs="Arial"/>
              <w:sz w:val="20"/>
              <w:szCs w:val="20"/>
            </w:rPr>
          </w:pPr>
          <w:r w:rsidRPr="00D00DBA">
            <w:rPr>
              <w:rFonts w:cs="Arial"/>
              <w:b/>
              <w:bCs/>
              <w:sz w:val="20"/>
              <w:szCs w:val="20"/>
            </w:rPr>
            <w:fldChar w:fldCharType="end"/>
          </w:r>
        </w:p>
      </w:sdtContent>
    </w:sdt>
    <w:p w14:paraId="72AD2B42" w14:textId="2D46B675" w:rsidR="00E70227" w:rsidRPr="00D00DBA" w:rsidRDefault="003F5664" w:rsidP="00F154F0">
      <w:pPr>
        <w:pStyle w:val="Kazalovsebine2"/>
        <w:spacing w:after="0" w:line="240" w:lineRule="auto"/>
        <w:rPr>
          <w:rFonts w:ascii="Arial" w:hAnsi="Arial" w:cs="Arial"/>
          <w:noProof/>
        </w:rPr>
      </w:pPr>
      <w:r w:rsidRPr="00D00DBA">
        <w:rPr>
          <w:rStyle w:val="Hiperpovezava"/>
          <w:rFonts w:ascii="Arial" w:hAnsi="Arial" w:cs="Arial"/>
          <w:sz w:val="20"/>
          <w:szCs w:val="20"/>
        </w:rPr>
        <w:fldChar w:fldCharType="begin"/>
      </w:r>
      <w:r w:rsidRPr="00D00DBA">
        <w:rPr>
          <w:rStyle w:val="Hiperpovezava"/>
          <w:rFonts w:ascii="Arial" w:hAnsi="Arial" w:cs="Arial"/>
          <w:sz w:val="20"/>
          <w:szCs w:val="20"/>
        </w:rPr>
        <w:instrText xml:space="preserve"> TOC \o "1-3" \h \z \u </w:instrText>
      </w:r>
      <w:r w:rsidRPr="00D00DBA">
        <w:rPr>
          <w:rStyle w:val="Hiperpovezava"/>
          <w:rFonts w:ascii="Arial" w:hAnsi="Arial" w:cs="Arial"/>
          <w:sz w:val="20"/>
          <w:szCs w:val="20"/>
        </w:rPr>
        <w:fldChar w:fldCharType="separate"/>
      </w:r>
    </w:p>
    <w:p w14:paraId="07FE6CEF" w14:textId="5C7B326E" w:rsidR="00E70227" w:rsidRPr="00D00DBA" w:rsidRDefault="00E70227" w:rsidP="00F154F0">
      <w:pPr>
        <w:pStyle w:val="Kazalovsebine2"/>
        <w:spacing w:after="0" w:line="240" w:lineRule="auto"/>
        <w:rPr>
          <w:rFonts w:ascii="Arial" w:hAnsi="Arial" w:cs="Arial"/>
          <w:noProof/>
        </w:rPr>
      </w:pPr>
    </w:p>
    <w:p w14:paraId="01ED9B20" w14:textId="1907B408" w:rsidR="008A3FD6" w:rsidRPr="00D00DBA" w:rsidRDefault="003F5664" w:rsidP="00F154F0">
      <w:pPr>
        <w:pStyle w:val="Kazalovsebine1"/>
        <w:spacing w:after="0" w:line="240" w:lineRule="auto"/>
        <w:rPr>
          <w:rStyle w:val="Hiperpovezava"/>
          <w:rFonts w:ascii="Arial" w:hAnsi="Arial" w:cs="Arial"/>
          <w:sz w:val="20"/>
          <w:szCs w:val="20"/>
        </w:rPr>
      </w:pPr>
      <w:r w:rsidRPr="00D00DBA">
        <w:rPr>
          <w:rStyle w:val="Hiperpovezava"/>
          <w:rFonts w:ascii="Arial" w:hAnsi="Arial" w:cs="Arial"/>
          <w:sz w:val="20"/>
          <w:szCs w:val="20"/>
        </w:rPr>
        <w:fldChar w:fldCharType="end"/>
      </w:r>
    </w:p>
    <w:p w14:paraId="57925E29" w14:textId="77777777" w:rsidR="008A3FD6" w:rsidRPr="00D00DBA" w:rsidRDefault="008A3FD6">
      <w:pPr>
        <w:spacing w:after="160" w:line="259" w:lineRule="auto"/>
        <w:rPr>
          <w:rStyle w:val="Hiperpovezava"/>
          <w:rFonts w:eastAsiaTheme="minorEastAsia" w:cs="Arial"/>
          <w:sz w:val="20"/>
          <w:szCs w:val="20"/>
          <w:lang w:eastAsia="sl-SI"/>
        </w:rPr>
      </w:pPr>
      <w:r w:rsidRPr="00D00DBA">
        <w:rPr>
          <w:rStyle w:val="Hiperpovezava"/>
          <w:rFonts w:cs="Arial"/>
          <w:sz w:val="20"/>
          <w:szCs w:val="20"/>
        </w:rPr>
        <w:br w:type="page"/>
      </w:r>
    </w:p>
    <w:p w14:paraId="7D42737A" w14:textId="5DBC82B3" w:rsidR="00173B06" w:rsidRPr="00D00DBA" w:rsidRDefault="00173B06" w:rsidP="00173B06">
      <w:pPr>
        <w:jc w:val="both"/>
        <w:rPr>
          <w:rFonts w:cs="Arial"/>
          <w:sz w:val="20"/>
          <w:szCs w:val="20"/>
        </w:rPr>
      </w:pPr>
      <w:bookmarkStart w:id="0" w:name="_Hlk175051453"/>
      <w:r w:rsidRPr="00D00DBA">
        <w:rPr>
          <w:rFonts w:cs="Arial"/>
          <w:sz w:val="20"/>
          <w:szCs w:val="20"/>
        </w:rPr>
        <w:lastRenderedPageBreak/>
        <w:t xml:space="preserve">Načrt izvajanja finančnih instrumentov (v nadaljevanju: NIFI) predstavlja dokument, v katerem so predstavljeni finančni instrumenti (v nadaljevanju: FI), določeni ukrepi, oblike, obseg sredstev, ter terminski načrt izplačil sredstev </w:t>
      </w:r>
      <w:r w:rsidR="008604F6" w:rsidRPr="00D00DBA">
        <w:rPr>
          <w:rFonts w:cs="Arial"/>
          <w:sz w:val="20"/>
          <w:szCs w:val="20"/>
        </w:rPr>
        <w:t xml:space="preserve">izvajalcu </w:t>
      </w:r>
      <w:r w:rsidRPr="00D00DBA">
        <w:rPr>
          <w:rFonts w:cs="Arial"/>
          <w:sz w:val="20"/>
          <w:szCs w:val="20"/>
        </w:rPr>
        <w:t xml:space="preserve">FI. Vlada Republike Slovenije v sklepu št. 41003-6/2025/3 z dne 17. 6. 2025 v 4. točki nalaga ministrstvom, ki bodo v letih 2026 in 2027 izvajal finančne instrumente, da pripravijo Predlog načrta izvajanja finančnih instrumentov, in jih predložijo Vladi Republike Slovenije do 31. avgusta 2025. </w:t>
      </w:r>
    </w:p>
    <w:bookmarkEnd w:id="0"/>
    <w:p w14:paraId="4C46DA93" w14:textId="77777777" w:rsidR="00F154F0" w:rsidRPr="00D00DBA" w:rsidRDefault="00F154F0" w:rsidP="00F154F0">
      <w:pPr>
        <w:jc w:val="both"/>
        <w:rPr>
          <w:rFonts w:cs="Arial"/>
          <w:sz w:val="20"/>
          <w:szCs w:val="20"/>
        </w:rPr>
      </w:pPr>
    </w:p>
    <w:p w14:paraId="7EAF2CB0" w14:textId="0B6BB488" w:rsidR="00F154F0" w:rsidRPr="00D00DBA" w:rsidRDefault="003F5664" w:rsidP="00F154F0">
      <w:pPr>
        <w:jc w:val="both"/>
        <w:rPr>
          <w:rFonts w:cs="Arial"/>
          <w:sz w:val="20"/>
          <w:szCs w:val="20"/>
        </w:rPr>
      </w:pPr>
      <w:r w:rsidRPr="00D00DBA">
        <w:rPr>
          <w:rFonts w:cs="Arial"/>
          <w:sz w:val="20"/>
          <w:szCs w:val="20"/>
        </w:rPr>
        <w:t xml:space="preserve">Skladno s </w:t>
      </w:r>
      <w:bookmarkStart w:id="1" w:name="_Hlk175051067"/>
      <w:r w:rsidR="00FF26F7" w:rsidRPr="00D00DBA">
        <w:rPr>
          <w:rFonts w:cs="Arial"/>
          <w:sz w:val="20"/>
          <w:szCs w:val="20"/>
        </w:rPr>
        <w:t xml:space="preserve">četrtim </w:t>
      </w:r>
      <w:r w:rsidR="000347E0" w:rsidRPr="00D00DBA">
        <w:rPr>
          <w:rFonts w:cs="Arial"/>
          <w:sz w:val="20"/>
          <w:szCs w:val="20"/>
        </w:rPr>
        <w:t xml:space="preserve">odstavkom </w:t>
      </w:r>
      <w:r w:rsidRPr="00D00DBA">
        <w:rPr>
          <w:rFonts w:cs="Arial"/>
          <w:sz w:val="20"/>
          <w:szCs w:val="20"/>
        </w:rPr>
        <w:t>13. člen</w:t>
      </w:r>
      <w:r w:rsidR="000347E0" w:rsidRPr="00D00DBA">
        <w:rPr>
          <w:rFonts w:cs="Arial"/>
          <w:sz w:val="20"/>
          <w:szCs w:val="20"/>
        </w:rPr>
        <w:t>a</w:t>
      </w:r>
      <w:r w:rsidRPr="00D00DBA">
        <w:rPr>
          <w:rFonts w:cs="Arial"/>
          <w:sz w:val="20"/>
          <w:szCs w:val="20"/>
        </w:rPr>
        <w:t xml:space="preserve"> Zakona o javnih financah (</w:t>
      </w:r>
      <w:r w:rsidR="009C7E8A" w:rsidRPr="00D00DBA">
        <w:rPr>
          <w:rFonts w:cs="Arial"/>
          <w:sz w:val="20"/>
          <w:szCs w:val="20"/>
        </w:rPr>
        <w:t xml:space="preserve">Uradni list RS, št. 11/11 – uradno prečiščeno besedilo, 14/13 – popr., 101/13, 55/15 – </w:t>
      </w:r>
      <w:proofErr w:type="spellStart"/>
      <w:r w:rsidR="009C7E8A" w:rsidRPr="00D00DBA">
        <w:rPr>
          <w:rFonts w:cs="Arial"/>
          <w:sz w:val="20"/>
          <w:szCs w:val="20"/>
        </w:rPr>
        <w:t>ZFisP</w:t>
      </w:r>
      <w:proofErr w:type="spellEnd"/>
      <w:r w:rsidR="009C7E8A" w:rsidRPr="00D00DBA">
        <w:rPr>
          <w:rFonts w:cs="Arial"/>
          <w:sz w:val="20"/>
          <w:szCs w:val="20"/>
        </w:rPr>
        <w:t>, 96/15 – ZIPRS1617, 13/18, 195/20 – odl. US, 18/23 – ZDU-1O in 76/23</w:t>
      </w:r>
      <w:r w:rsidRPr="00D00DBA">
        <w:rPr>
          <w:rFonts w:cs="Arial"/>
          <w:sz w:val="20"/>
          <w:szCs w:val="20"/>
        </w:rPr>
        <w:t xml:space="preserve">; v </w:t>
      </w:r>
      <w:r w:rsidR="00893CAE" w:rsidRPr="00D00DBA">
        <w:rPr>
          <w:rFonts w:cs="Arial"/>
          <w:sz w:val="20"/>
          <w:szCs w:val="20"/>
        </w:rPr>
        <w:t xml:space="preserve">nadaljevanju: </w:t>
      </w:r>
      <w:r w:rsidRPr="00D00DBA">
        <w:rPr>
          <w:rFonts w:cs="Arial"/>
          <w:sz w:val="20"/>
          <w:szCs w:val="20"/>
        </w:rPr>
        <w:t>ZJF)</w:t>
      </w:r>
      <w:bookmarkEnd w:id="1"/>
      <w:r w:rsidRPr="00D00DBA">
        <w:rPr>
          <w:rFonts w:cs="Arial"/>
          <w:sz w:val="20"/>
          <w:szCs w:val="20"/>
        </w:rPr>
        <w:t xml:space="preserve"> je </w:t>
      </w:r>
      <w:r w:rsidR="009D3FC0" w:rsidRPr="00D00DBA">
        <w:rPr>
          <w:rFonts w:cs="Arial"/>
          <w:sz w:val="20"/>
          <w:szCs w:val="20"/>
        </w:rPr>
        <w:t xml:space="preserve">NIFI tudi </w:t>
      </w:r>
      <w:r w:rsidRPr="00D00DBA">
        <w:rPr>
          <w:rFonts w:cs="Arial"/>
          <w:sz w:val="20"/>
          <w:szCs w:val="20"/>
        </w:rPr>
        <w:t xml:space="preserve">sestavni del </w:t>
      </w:r>
      <w:r w:rsidR="00FF26F7" w:rsidRPr="00D00DBA">
        <w:rPr>
          <w:rFonts w:cs="Arial"/>
          <w:sz w:val="20"/>
          <w:szCs w:val="20"/>
        </w:rPr>
        <w:t xml:space="preserve">obrazložitve predloga </w:t>
      </w:r>
      <w:r w:rsidRPr="00D00DBA">
        <w:rPr>
          <w:rFonts w:cs="Arial"/>
          <w:sz w:val="20"/>
          <w:szCs w:val="20"/>
        </w:rPr>
        <w:t xml:space="preserve">proračuna </w:t>
      </w:r>
      <w:r w:rsidR="009D3FC0" w:rsidRPr="00D00DBA">
        <w:rPr>
          <w:rFonts w:cs="Arial"/>
          <w:sz w:val="20"/>
          <w:szCs w:val="20"/>
        </w:rPr>
        <w:t>Republike Slovenije</w:t>
      </w:r>
      <w:r w:rsidRPr="00D00DBA">
        <w:rPr>
          <w:rFonts w:cs="Arial"/>
          <w:sz w:val="20"/>
          <w:szCs w:val="20"/>
        </w:rPr>
        <w:t>.</w:t>
      </w:r>
      <w:r w:rsidR="00E17453" w:rsidRPr="00D00DBA">
        <w:rPr>
          <w:rFonts w:cs="Arial"/>
          <w:sz w:val="20"/>
          <w:szCs w:val="20"/>
        </w:rPr>
        <w:t xml:space="preserve"> </w:t>
      </w:r>
    </w:p>
    <w:p w14:paraId="681BC9C9" w14:textId="553C2047" w:rsidR="00E17453" w:rsidRPr="00D00DBA" w:rsidRDefault="00D12923" w:rsidP="00F154F0">
      <w:pPr>
        <w:jc w:val="both"/>
        <w:rPr>
          <w:rFonts w:cs="Arial"/>
          <w:sz w:val="20"/>
          <w:szCs w:val="20"/>
        </w:rPr>
      </w:pPr>
      <w:hyperlink r:id="rId9" w:anchor="28.%C2%A0%C4%8Dlen" w:history="1"/>
    </w:p>
    <w:p w14:paraId="09C551B5" w14:textId="77777777" w:rsidR="003F5664" w:rsidRPr="00D00DBA" w:rsidRDefault="003F5664" w:rsidP="00F154F0">
      <w:pPr>
        <w:pStyle w:val="Naslov2"/>
        <w:spacing w:after="0"/>
        <w:ind w:left="0"/>
        <w:rPr>
          <w:sz w:val="20"/>
          <w:szCs w:val="20"/>
        </w:rPr>
      </w:pPr>
      <w:bookmarkStart w:id="2" w:name="_Toc51325415"/>
      <w:bookmarkStart w:id="3" w:name="_Toc141708950"/>
      <w:bookmarkStart w:id="4" w:name="_Toc204329689"/>
      <w:bookmarkStart w:id="5" w:name="_Hlk141261079"/>
      <w:r w:rsidRPr="00D00DBA">
        <w:rPr>
          <w:sz w:val="20"/>
          <w:szCs w:val="20"/>
        </w:rPr>
        <w:t>UVODNO POJASNILO</w:t>
      </w:r>
      <w:bookmarkEnd w:id="2"/>
      <w:bookmarkEnd w:id="3"/>
      <w:bookmarkEnd w:id="4"/>
    </w:p>
    <w:p w14:paraId="715A8F2A" w14:textId="77777777" w:rsidR="00F154F0" w:rsidRPr="00D00DBA" w:rsidRDefault="00F154F0" w:rsidP="00F154F0">
      <w:pPr>
        <w:rPr>
          <w:rFonts w:cs="Arial"/>
          <w:sz w:val="20"/>
          <w:szCs w:val="20"/>
        </w:rPr>
      </w:pPr>
    </w:p>
    <w:bookmarkEnd w:id="5"/>
    <w:p w14:paraId="46C9B2BD" w14:textId="426C1737" w:rsidR="00173B06" w:rsidRPr="00D00DBA" w:rsidRDefault="000347E0" w:rsidP="00EA4E5E">
      <w:pPr>
        <w:jc w:val="both"/>
        <w:rPr>
          <w:rFonts w:cs="Arial"/>
          <w:bCs/>
          <w:iCs/>
          <w:sz w:val="20"/>
          <w:szCs w:val="20"/>
        </w:rPr>
      </w:pPr>
      <w:r w:rsidRPr="00D00DBA">
        <w:rPr>
          <w:rFonts w:cs="Arial"/>
          <w:bCs/>
          <w:iCs/>
          <w:sz w:val="20"/>
          <w:szCs w:val="20"/>
        </w:rPr>
        <w:t>Vsebinsko podlago za pripravo NIFI predstavlja Program za izvajanje evropske kohezijske politike v programskem obdobju 2021-2027 (v nadaljevanju</w:t>
      </w:r>
      <w:r w:rsidR="00FF26F7" w:rsidRPr="00D00DBA">
        <w:rPr>
          <w:rFonts w:cs="Arial"/>
          <w:bCs/>
          <w:iCs/>
          <w:sz w:val="20"/>
          <w:szCs w:val="20"/>
        </w:rPr>
        <w:t>:</w:t>
      </w:r>
      <w:r w:rsidRPr="00D00DBA">
        <w:rPr>
          <w:rFonts w:cs="Arial"/>
          <w:bCs/>
          <w:iCs/>
          <w:sz w:val="20"/>
          <w:szCs w:val="20"/>
        </w:rPr>
        <w:t xml:space="preserve"> PEKP)</w:t>
      </w:r>
      <w:r w:rsidR="00E8005F" w:rsidRPr="00D00DBA">
        <w:rPr>
          <w:rFonts w:cs="Arial"/>
          <w:bCs/>
          <w:iCs/>
          <w:sz w:val="20"/>
          <w:szCs w:val="20"/>
        </w:rPr>
        <w:t>.</w:t>
      </w:r>
      <w:r w:rsidRPr="00D00DBA">
        <w:rPr>
          <w:rFonts w:cs="Arial"/>
          <w:bCs/>
          <w:iCs/>
          <w:sz w:val="20"/>
          <w:szCs w:val="20"/>
        </w:rPr>
        <w:t xml:space="preserve"> </w:t>
      </w:r>
      <w:r w:rsidR="00173B06" w:rsidRPr="00D00DBA">
        <w:rPr>
          <w:rFonts w:cs="Arial"/>
          <w:bCs/>
          <w:iCs/>
          <w:sz w:val="20"/>
          <w:szCs w:val="20"/>
        </w:rPr>
        <w:t>V spremembi PEKP</w:t>
      </w:r>
      <w:r w:rsidR="00E8005F" w:rsidRPr="00D00DBA">
        <w:rPr>
          <w:rFonts w:cs="Arial"/>
          <w:bCs/>
          <w:iCs/>
          <w:sz w:val="20"/>
          <w:szCs w:val="20"/>
        </w:rPr>
        <w:t>,</w:t>
      </w:r>
      <w:r w:rsidR="00173B06" w:rsidRPr="00D00DBA">
        <w:rPr>
          <w:rFonts w:cs="Arial"/>
          <w:bCs/>
          <w:iCs/>
          <w:sz w:val="20"/>
          <w:szCs w:val="20"/>
        </w:rPr>
        <w:t xml:space="preserve"> verzija 3.1.</w:t>
      </w:r>
      <w:r w:rsidR="00E8005F" w:rsidRPr="00D00DBA">
        <w:rPr>
          <w:rFonts w:cs="Arial"/>
          <w:bCs/>
          <w:iCs/>
          <w:sz w:val="20"/>
          <w:szCs w:val="20"/>
        </w:rPr>
        <w:t>,</w:t>
      </w:r>
      <w:r w:rsidR="00173B06" w:rsidRPr="00D00DBA">
        <w:rPr>
          <w:rFonts w:cs="Arial"/>
          <w:bCs/>
          <w:iCs/>
          <w:sz w:val="20"/>
          <w:szCs w:val="20"/>
        </w:rPr>
        <w:t xml:space="preserve"> je Ministrstvo za kohezijo in regionalni razvoj v vlogi Organa upravljanja (v nadaljevanju: MKRR-OU) na predlog posredniškega telesa</w:t>
      </w:r>
      <w:r w:rsidR="00E8005F" w:rsidRPr="00D00DBA">
        <w:rPr>
          <w:rFonts w:cs="Arial"/>
          <w:bCs/>
          <w:iCs/>
          <w:sz w:val="20"/>
          <w:szCs w:val="20"/>
        </w:rPr>
        <w:t>,</w:t>
      </w:r>
      <w:r w:rsidR="00173B06" w:rsidRPr="00D00DBA">
        <w:rPr>
          <w:rFonts w:cs="Arial"/>
          <w:bCs/>
          <w:iCs/>
          <w:sz w:val="20"/>
          <w:szCs w:val="20"/>
        </w:rPr>
        <w:t xml:space="preserve"> Ministrstv</w:t>
      </w:r>
      <w:r w:rsidR="00E8005F" w:rsidRPr="00D00DBA">
        <w:rPr>
          <w:rFonts w:cs="Arial"/>
          <w:bCs/>
          <w:iCs/>
          <w:sz w:val="20"/>
          <w:szCs w:val="20"/>
        </w:rPr>
        <w:t>a</w:t>
      </w:r>
      <w:r w:rsidR="00173B06" w:rsidRPr="00D00DBA">
        <w:rPr>
          <w:rFonts w:cs="Arial"/>
          <w:bCs/>
          <w:iCs/>
          <w:sz w:val="20"/>
          <w:szCs w:val="20"/>
        </w:rPr>
        <w:t xml:space="preserve"> za delo, družin</w:t>
      </w:r>
      <w:r w:rsidR="00E8005F" w:rsidRPr="00D00DBA">
        <w:rPr>
          <w:rFonts w:cs="Arial"/>
          <w:bCs/>
          <w:iCs/>
          <w:sz w:val="20"/>
          <w:szCs w:val="20"/>
        </w:rPr>
        <w:t>o,</w:t>
      </w:r>
      <w:r w:rsidR="00173B06" w:rsidRPr="00D00DBA">
        <w:rPr>
          <w:rFonts w:cs="Arial"/>
          <w:bCs/>
          <w:iCs/>
          <w:sz w:val="20"/>
          <w:szCs w:val="20"/>
        </w:rPr>
        <w:t xml:space="preserve"> socialne zadeve</w:t>
      </w:r>
      <w:r w:rsidR="00E8005F" w:rsidRPr="00D00DBA">
        <w:rPr>
          <w:rFonts w:cs="Arial"/>
          <w:bCs/>
          <w:iCs/>
          <w:sz w:val="20"/>
          <w:szCs w:val="20"/>
        </w:rPr>
        <w:t xml:space="preserve"> in enake možnosti</w:t>
      </w:r>
      <w:r w:rsidR="00173B06" w:rsidRPr="00D00DBA">
        <w:rPr>
          <w:rFonts w:cs="Arial"/>
          <w:bCs/>
          <w:iCs/>
          <w:sz w:val="20"/>
          <w:szCs w:val="20"/>
        </w:rPr>
        <w:t xml:space="preserve"> (v nadaljevanju: MDDSZ)</w:t>
      </w:r>
      <w:r w:rsidR="00E8005F" w:rsidRPr="00D00DBA">
        <w:rPr>
          <w:rFonts w:cs="Arial"/>
          <w:bCs/>
          <w:iCs/>
          <w:sz w:val="20"/>
          <w:szCs w:val="20"/>
        </w:rPr>
        <w:t>,</w:t>
      </w:r>
      <w:r w:rsidR="00173B06" w:rsidRPr="00D00DBA">
        <w:rPr>
          <w:rFonts w:cs="Arial"/>
          <w:bCs/>
          <w:iCs/>
          <w:sz w:val="20"/>
          <w:szCs w:val="20"/>
        </w:rPr>
        <w:t xml:space="preserve"> </w:t>
      </w:r>
      <w:r w:rsidR="00E8005F" w:rsidRPr="00D00DBA">
        <w:rPr>
          <w:rFonts w:cs="Arial"/>
          <w:bCs/>
          <w:iCs/>
          <w:sz w:val="20"/>
          <w:szCs w:val="20"/>
        </w:rPr>
        <w:t xml:space="preserve">vpeljalo </w:t>
      </w:r>
      <w:r w:rsidR="00EE7615" w:rsidRPr="00D00DBA">
        <w:rPr>
          <w:rFonts w:cs="Arial"/>
          <w:bCs/>
          <w:iCs/>
          <w:sz w:val="20"/>
          <w:szCs w:val="20"/>
        </w:rPr>
        <w:t>FI</w:t>
      </w:r>
      <w:r w:rsidR="00E8005F" w:rsidRPr="00D00DBA">
        <w:rPr>
          <w:rFonts w:cs="Arial"/>
          <w:bCs/>
          <w:iCs/>
          <w:sz w:val="20"/>
          <w:szCs w:val="20"/>
        </w:rPr>
        <w:t xml:space="preserve"> za </w:t>
      </w:r>
      <w:r w:rsidR="001170B7" w:rsidRPr="00D00DBA">
        <w:rPr>
          <w:rFonts w:cs="Arial"/>
          <w:bCs/>
          <w:iCs/>
          <w:sz w:val="20"/>
          <w:szCs w:val="20"/>
        </w:rPr>
        <w:t>spodbujanje udeležbe zaposlenih</w:t>
      </w:r>
      <w:r w:rsidR="00E8005F" w:rsidRPr="00D00DBA">
        <w:rPr>
          <w:rFonts w:cs="Arial"/>
          <w:bCs/>
          <w:iCs/>
          <w:sz w:val="20"/>
          <w:szCs w:val="20"/>
        </w:rPr>
        <w:t xml:space="preserve"> v lastništvu podjetij iz Evropskega socialnega sklada plus (v nad</w:t>
      </w:r>
      <w:r w:rsidR="00EE7615" w:rsidRPr="00D00DBA">
        <w:rPr>
          <w:rFonts w:cs="Arial"/>
          <w:bCs/>
          <w:iCs/>
          <w:sz w:val="20"/>
          <w:szCs w:val="20"/>
        </w:rPr>
        <w:t>a</w:t>
      </w:r>
      <w:r w:rsidR="00E8005F" w:rsidRPr="00D00DBA">
        <w:rPr>
          <w:rFonts w:cs="Arial"/>
          <w:bCs/>
          <w:iCs/>
          <w:sz w:val="20"/>
          <w:szCs w:val="20"/>
        </w:rPr>
        <w:t>ljevanju: ESS+)</w:t>
      </w:r>
      <w:r w:rsidR="00173B06" w:rsidRPr="00D00DBA">
        <w:rPr>
          <w:rFonts w:cs="Arial"/>
          <w:bCs/>
          <w:iCs/>
          <w:sz w:val="20"/>
          <w:szCs w:val="20"/>
        </w:rPr>
        <w:t xml:space="preserve"> na cilj politike 4 »Bolj socialna in vključujoča Evropa za izvajanje evropskega stebra socialnih pravic«, na prednostn</w:t>
      </w:r>
      <w:r w:rsidR="00E8005F" w:rsidRPr="00D00DBA">
        <w:rPr>
          <w:rFonts w:cs="Arial"/>
          <w:bCs/>
          <w:iCs/>
          <w:sz w:val="20"/>
          <w:szCs w:val="20"/>
        </w:rPr>
        <w:t>o</w:t>
      </w:r>
      <w:r w:rsidR="00173B06" w:rsidRPr="00D00DBA">
        <w:rPr>
          <w:rFonts w:cs="Arial"/>
          <w:bCs/>
          <w:iCs/>
          <w:sz w:val="20"/>
          <w:szCs w:val="20"/>
        </w:rPr>
        <w:t xml:space="preserve"> nalog</w:t>
      </w:r>
      <w:r w:rsidR="00E8005F" w:rsidRPr="00D00DBA">
        <w:rPr>
          <w:rFonts w:cs="Arial"/>
          <w:bCs/>
          <w:iCs/>
          <w:sz w:val="20"/>
          <w:szCs w:val="20"/>
        </w:rPr>
        <w:t>o</w:t>
      </w:r>
      <w:r w:rsidR="00173B06" w:rsidRPr="00D00DBA">
        <w:rPr>
          <w:rFonts w:cs="Arial"/>
          <w:bCs/>
          <w:iCs/>
          <w:sz w:val="20"/>
          <w:szCs w:val="20"/>
        </w:rPr>
        <w:t xml:space="preserve"> 6 »Znanja in spretnosti ter odzivni trg dela« in </w:t>
      </w:r>
      <w:r w:rsidR="001170B7" w:rsidRPr="00D00DBA">
        <w:rPr>
          <w:rFonts w:cs="Arial"/>
          <w:bCs/>
          <w:iCs/>
          <w:sz w:val="20"/>
          <w:szCs w:val="20"/>
        </w:rPr>
        <w:t xml:space="preserve">na </w:t>
      </w:r>
      <w:r w:rsidR="00173B06" w:rsidRPr="00D00DBA">
        <w:rPr>
          <w:rFonts w:cs="Arial"/>
          <w:bCs/>
          <w:iCs/>
          <w:sz w:val="20"/>
          <w:szCs w:val="20"/>
        </w:rPr>
        <w:t>specifičn</w:t>
      </w:r>
      <w:r w:rsidR="001170B7" w:rsidRPr="00D00DBA">
        <w:rPr>
          <w:rFonts w:cs="Arial"/>
          <w:bCs/>
          <w:iCs/>
          <w:sz w:val="20"/>
          <w:szCs w:val="20"/>
        </w:rPr>
        <w:t>i</w:t>
      </w:r>
      <w:r w:rsidR="00173B06" w:rsidRPr="00D00DBA">
        <w:rPr>
          <w:rFonts w:cs="Arial"/>
          <w:bCs/>
          <w:iCs/>
          <w:sz w:val="20"/>
          <w:szCs w:val="20"/>
        </w:rPr>
        <w:t xml:space="preserve"> cilj </w:t>
      </w:r>
      <w:r w:rsidR="00E8005F" w:rsidRPr="00D00DBA">
        <w:rPr>
          <w:rFonts w:cs="Arial"/>
          <w:bCs/>
          <w:iCs/>
          <w:sz w:val="20"/>
          <w:szCs w:val="20"/>
        </w:rPr>
        <w:t>E</w:t>
      </w:r>
      <w:r w:rsidR="00173B06" w:rsidRPr="00D00DBA">
        <w:rPr>
          <w:rFonts w:cs="Arial"/>
          <w:bCs/>
          <w:iCs/>
          <w:sz w:val="20"/>
          <w:szCs w:val="20"/>
        </w:rPr>
        <w:t>SO</w:t>
      </w:r>
      <w:r w:rsidR="00E8005F" w:rsidRPr="00D00DBA">
        <w:rPr>
          <w:rFonts w:cs="Arial"/>
          <w:bCs/>
          <w:iCs/>
          <w:sz w:val="20"/>
          <w:szCs w:val="20"/>
        </w:rPr>
        <w:t xml:space="preserve"> </w:t>
      </w:r>
      <w:r w:rsidR="00173B06" w:rsidRPr="00D00DBA">
        <w:rPr>
          <w:rFonts w:cs="Arial"/>
          <w:bCs/>
          <w:iCs/>
          <w:sz w:val="20"/>
          <w:szCs w:val="20"/>
        </w:rPr>
        <w:t>4.4. »Spodbujanje prilagajanja delavcev, podjetij in podjetnikov na spremembe, aktivnega in zdravega staranja ter zdravega in dobro prilagojenega delovnega okolja, ki obravnava tveganja za zdravje (ESS+).</w:t>
      </w:r>
    </w:p>
    <w:p w14:paraId="18FD9C5D" w14:textId="77777777" w:rsidR="00173B06" w:rsidRPr="00D00DBA" w:rsidRDefault="00173B06" w:rsidP="00EA4E5E">
      <w:pPr>
        <w:jc w:val="both"/>
        <w:rPr>
          <w:rFonts w:cs="Arial"/>
          <w:bCs/>
          <w:iCs/>
          <w:sz w:val="20"/>
          <w:szCs w:val="20"/>
        </w:rPr>
      </w:pPr>
    </w:p>
    <w:p w14:paraId="00C4F477" w14:textId="40C380AF" w:rsidR="00854E47" w:rsidRPr="00D00DBA" w:rsidRDefault="00173B06" w:rsidP="00EA4E5E">
      <w:pPr>
        <w:jc w:val="both"/>
        <w:rPr>
          <w:rFonts w:cs="Arial"/>
          <w:bCs/>
          <w:iCs/>
          <w:sz w:val="20"/>
          <w:szCs w:val="20"/>
        </w:rPr>
      </w:pPr>
      <w:r w:rsidRPr="00D00DBA">
        <w:rPr>
          <w:rFonts w:cs="Arial"/>
          <w:bCs/>
          <w:iCs/>
          <w:sz w:val="20"/>
          <w:szCs w:val="20"/>
        </w:rPr>
        <w:t xml:space="preserve">V skladu z 58. členom </w:t>
      </w:r>
      <w:r w:rsidR="00AA573F" w:rsidRPr="00D00DBA">
        <w:rPr>
          <w:rFonts w:cs="Arial"/>
          <w:bCs/>
          <w:iCs/>
          <w:sz w:val="20"/>
          <w:szCs w:val="20"/>
        </w:rPr>
        <w:t>Uredbe 2021/1060/EU</w:t>
      </w:r>
      <w:r w:rsidR="00AA573F" w:rsidRPr="00D00DBA">
        <w:rPr>
          <w:rStyle w:val="Sprotnaopomba-sklic"/>
          <w:rFonts w:cs="Arial"/>
          <w:bCs/>
          <w:iCs/>
          <w:sz w:val="20"/>
          <w:szCs w:val="20"/>
          <w:vertAlign w:val="baseline"/>
        </w:rPr>
        <w:t xml:space="preserve"> </w:t>
      </w:r>
      <w:r w:rsidR="00AA573F" w:rsidRPr="00D00DBA">
        <w:rPr>
          <w:rStyle w:val="Sprotnaopomba-sklic"/>
          <w:rFonts w:cs="Arial"/>
          <w:bCs/>
          <w:iCs/>
          <w:sz w:val="20"/>
          <w:szCs w:val="20"/>
        </w:rPr>
        <w:footnoteReference w:id="1"/>
      </w:r>
      <w:r w:rsidRPr="00D00DBA">
        <w:rPr>
          <w:rFonts w:cs="Arial"/>
          <w:bCs/>
          <w:iCs/>
          <w:sz w:val="20"/>
          <w:szCs w:val="20"/>
        </w:rPr>
        <w:t xml:space="preserve"> se ustrezna podpora v </w:t>
      </w:r>
      <w:r w:rsidR="00EE7615" w:rsidRPr="00D00DBA">
        <w:rPr>
          <w:rFonts w:cs="Arial"/>
          <w:bCs/>
          <w:iCs/>
          <w:sz w:val="20"/>
          <w:szCs w:val="20"/>
        </w:rPr>
        <w:t>FI</w:t>
      </w:r>
      <w:r w:rsidRPr="00D00DBA">
        <w:rPr>
          <w:rFonts w:cs="Arial"/>
          <w:bCs/>
          <w:iCs/>
          <w:sz w:val="20"/>
          <w:szCs w:val="20"/>
        </w:rPr>
        <w:t xml:space="preserve"> utemelji na podlagi predhodne ocene, za pripravo katere je odgovoren organ upravljanja (MKRR-OU).</w:t>
      </w:r>
      <w:r w:rsidR="00957FDA" w:rsidRPr="00D00DBA">
        <w:rPr>
          <w:rFonts w:cs="Arial"/>
          <w:bCs/>
          <w:iCs/>
          <w:sz w:val="20"/>
          <w:szCs w:val="20"/>
        </w:rPr>
        <w:t xml:space="preserve"> MKRR-OU je že pristopil  k revidiranju obstoječe Predhodne ocene potreb trga in vrzeli financiranja na trgu za izvajanje </w:t>
      </w:r>
      <w:proofErr w:type="spellStart"/>
      <w:r w:rsidR="00957FDA" w:rsidRPr="00D00DBA">
        <w:rPr>
          <w:rFonts w:cs="Arial"/>
          <w:bCs/>
          <w:iCs/>
          <w:sz w:val="20"/>
          <w:szCs w:val="20"/>
        </w:rPr>
        <w:t>finančnin</w:t>
      </w:r>
      <w:proofErr w:type="spellEnd"/>
      <w:r w:rsidR="00957FDA" w:rsidRPr="00D00DBA">
        <w:rPr>
          <w:rFonts w:cs="Arial"/>
          <w:bCs/>
          <w:iCs/>
          <w:sz w:val="20"/>
          <w:szCs w:val="20"/>
        </w:rPr>
        <w:t xml:space="preserve"> instrumentov v programskem obdobju 2021-2027 iz leta 2022 (v nadaljevanju: Predhodna ocena)</w:t>
      </w:r>
      <w:r w:rsidR="00957FDA" w:rsidRPr="00D00DBA">
        <w:rPr>
          <w:rStyle w:val="Sprotnaopomba-sklic"/>
          <w:rFonts w:cs="Arial"/>
          <w:bCs/>
          <w:iCs/>
          <w:sz w:val="20"/>
          <w:szCs w:val="20"/>
        </w:rPr>
        <w:footnoteReference w:id="2"/>
      </w:r>
      <w:r w:rsidR="00957FDA" w:rsidRPr="00D00DBA">
        <w:rPr>
          <w:rFonts w:cs="Arial"/>
          <w:bCs/>
          <w:iCs/>
          <w:sz w:val="20"/>
          <w:szCs w:val="20"/>
        </w:rPr>
        <w:t xml:space="preserve">, s katero bo zaključil, preden se bo dodelil programski prispevek v navedene FI iz področja specifičnega cilja ESO 4.4. </w:t>
      </w:r>
      <w:r w:rsidRPr="00D00DBA">
        <w:rPr>
          <w:rFonts w:cs="Arial"/>
          <w:bCs/>
          <w:iCs/>
          <w:sz w:val="20"/>
          <w:szCs w:val="20"/>
        </w:rPr>
        <w:t xml:space="preserve"> </w:t>
      </w:r>
      <w:r w:rsidR="00957FDA" w:rsidRPr="00D00DBA">
        <w:rPr>
          <w:rFonts w:cs="Arial"/>
          <w:bCs/>
          <w:iCs/>
          <w:sz w:val="20"/>
          <w:szCs w:val="20"/>
        </w:rPr>
        <w:t xml:space="preserve">V skladu z 58. členom Uredbe (EU) št. 2021/1060 mora biti predhodna ocena zaključena preden organ upravljanja finančnim instrumentom dodeli programske prispevke. To pomeni, da mora biti predhodna ocena zaključena pred izdajo odločitve o podpori s strani MKRR-OU. V okviru sprememb PEKP 3.1 je bil za SC4.4 iz strani MDDSZ in MKRR-OU podan predlog vpeljave finančnega instrumenta za področje delavskih odkupov iz sklada ESS+ na podlagi že izvedene študije o delavskih odkupih (WBO) za Slovenijo v okviru platforme FI </w:t>
      </w:r>
      <w:proofErr w:type="spellStart"/>
      <w:r w:rsidR="00957FDA" w:rsidRPr="00D00DBA">
        <w:rPr>
          <w:rFonts w:cs="Arial"/>
          <w:bCs/>
          <w:iCs/>
          <w:sz w:val="20"/>
          <w:szCs w:val="20"/>
        </w:rPr>
        <w:t>Compass</w:t>
      </w:r>
      <w:proofErr w:type="spellEnd"/>
      <w:r w:rsidR="00957FDA" w:rsidRPr="00D00DBA">
        <w:rPr>
          <w:rStyle w:val="Sprotnaopomba-sklic"/>
          <w:rFonts w:cs="Arial"/>
          <w:bCs/>
          <w:iCs/>
          <w:sz w:val="20"/>
          <w:szCs w:val="20"/>
        </w:rPr>
        <w:footnoteReference w:id="3"/>
      </w:r>
      <w:r w:rsidR="00957FDA" w:rsidRPr="00D00DBA">
        <w:rPr>
          <w:rFonts w:cs="Arial"/>
          <w:bCs/>
          <w:iCs/>
          <w:sz w:val="20"/>
          <w:szCs w:val="20"/>
        </w:rPr>
        <w:t xml:space="preserve">, v kateri je Evropska komisija podala pobudo, da naj organ upravljanja v Sloveniji razmisli o uporabi obstoječih ali načrtovanih FI za podporo delavskih odkupov. V prilogi tega dokumenta kot predlaga MF prilagamo povzemano predhodno oceno tržne vrzeli na podlagi dokumenta FI </w:t>
      </w:r>
      <w:proofErr w:type="spellStart"/>
      <w:r w:rsidR="00957FDA" w:rsidRPr="00D00DBA">
        <w:rPr>
          <w:rFonts w:cs="Arial"/>
          <w:bCs/>
          <w:iCs/>
          <w:sz w:val="20"/>
          <w:szCs w:val="20"/>
        </w:rPr>
        <w:t>compass</w:t>
      </w:r>
      <w:proofErr w:type="spellEnd"/>
      <w:r w:rsidR="00957FDA" w:rsidRPr="00D00DBA">
        <w:rPr>
          <w:rFonts w:cs="Arial"/>
          <w:bCs/>
          <w:iCs/>
          <w:sz w:val="20"/>
          <w:szCs w:val="20"/>
        </w:rPr>
        <w:t xml:space="preserve">: ESF+ </w:t>
      </w:r>
      <w:proofErr w:type="spellStart"/>
      <w:r w:rsidR="00957FDA" w:rsidRPr="00D00DBA">
        <w:rPr>
          <w:rFonts w:cs="Arial"/>
          <w:bCs/>
          <w:iCs/>
          <w:sz w:val="20"/>
          <w:szCs w:val="20"/>
        </w:rPr>
        <w:t>Study</w:t>
      </w:r>
      <w:proofErr w:type="spellEnd"/>
      <w:r w:rsidR="00957FDA" w:rsidRPr="00D00DBA">
        <w:rPr>
          <w:rFonts w:cs="Arial"/>
          <w:bCs/>
          <w:iCs/>
          <w:sz w:val="20"/>
          <w:szCs w:val="20"/>
        </w:rPr>
        <w:t xml:space="preserve"> on </w:t>
      </w:r>
      <w:proofErr w:type="spellStart"/>
      <w:r w:rsidR="00957FDA" w:rsidRPr="00D00DBA">
        <w:rPr>
          <w:rFonts w:cs="Arial"/>
          <w:bCs/>
          <w:iCs/>
          <w:sz w:val="20"/>
          <w:szCs w:val="20"/>
        </w:rPr>
        <w:t>Workers</w:t>
      </w:r>
      <w:proofErr w:type="spellEnd"/>
      <w:r w:rsidR="00957FDA" w:rsidRPr="00D00DBA">
        <w:rPr>
          <w:rFonts w:cs="Arial"/>
          <w:bCs/>
          <w:iCs/>
          <w:sz w:val="20"/>
          <w:szCs w:val="20"/>
        </w:rPr>
        <w:t xml:space="preserve">’ </w:t>
      </w:r>
      <w:proofErr w:type="spellStart"/>
      <w:r w:rsidR="00957FDA" w:rsidRPr="00D00DBA">
        <w:rPr>
          <w:rFonts w:cs="Arial"/>
          <w:bCs/>
          <w:iCs/>
          <w:sz w:val="20"/>
          <w:szCs w:val="20"/>
        </w:rPr>
        <w:t>Buyout</w:t>
      </w:r>
      <w:proofErr w:type="spellEnd"/>
      <w:r w:rsidR="00957FDA" w:rsidRPr="00D00DBA">
        <w:rPr>
          <w:rFonts w:cs="Arial"/>
          <w:bCs/>
          <w:iCs/>
          <w:sz w:val="20"/>
          <w:szCs w:val="20"/>
        </w:rPr>
        <w:t xml:space="preserve"> in Slovenia, Country </w:t>
      </w:r>
      <w:proofErr w:type="spellStart"/>
      <w:r w:rsidR="00957FDA" w:rsidRPr="00D00DBA">
        <w:rPr>
          <w:rFonts w:cs="Arial"/>
          <w:bCs/>
          <w:iCs/>
          <w:sz w:val="20"/>
          <w:szCs w:val="20"/>
        </w:rPr>
        <w:t>report</w:t>
      </w:r>
      <w:proofErr w:type="spellEnd"/>
      <w:r w:rsidR="00957FDA" w:rsidRPr="00D00DBA">
        <w:rPr>
          <w:rFonts w:cs="Arial"/>
          <w:bCs/>
          <w:iCs/>
          <w:sz w:val="20"/>
          <w:szCs w:val="20"/>
        </w:rPr>
        <w:t xml:space="preserve">, 2 April 2025 (v nadaljevanju: FI </w:t>
      </w:r>
      <w:proofErr w:type="spellStart"/>
      <w:r w:rsidR="00957FDA" w:rsidRPr="00D00DBA">
        <w:rPr>
          <w:rFonts w:cs="Arial"/>
          <w:bCs/>
          <w:iCs/>
          <w:sz w:val="20"/>
          <w:szCs w:val="20"/>
        </w:rPr>
        <w:t>compass</w:t>
      </w:r>
      <w:proofErr w:type="spellEnd"/>
      <w:r w:rsidR="00957FDA" w:rsidRPr="00D00DBA">
        <w:rPr>
          <w:rFonts w:cs="Arial"/>
          <w:bCs/>
          <w:iCs/>
          <w:sz w:val="20"/>
          <w:szCs w:val="20"/>
        </w:rPr>
        <w:t xml:space="preserve"> WBO SI) in na podlagi preliminarne </w:t>
      </w:r>
      <w:bookmarkStart w:id="6" w:name="_Hlk204930041"/>
      <w:r w:rsidR="00957FDA" w:rsidRPr="00D00DBA">
        <w:rPr>
          <w:rFonts w:cs="Arial"/>
          <w:bCs/>
          <w:iCs/>
          <w:sz w:val="20"/>
          <w:szCs w:val="20"/>
        </w:rPr>
        <w:t>raziskave Ciljnega raziskovalnega projekta – Analiza lastniških struktur v slovenskem gospodarstvu in potenciala za spodbujanje družbeno odgovornega lastništva, Univerza v Ljubljani, december 2024</w:t>
      </w:r>
      <w:bookmarkEnd w:id="6"/>
      <w:r w:rsidR="00957FDA" w:rsidRPr="00D00DBA">
        <w:rPr>
          <w:rFonts w:cs="Arial"/>
          <w:bCs/>
          <w:iCs/>
          <w:sz w:val="20"/>
          <w:szCs w:val="20"/>
        </w:rPr>
        <w:t xml:space="preserve"> (v nadaljevanju: CRP študija). Pomembno je poudariti, da je MKRR-OU že izvedel vse potrebne korake za zagotovitev razširitve že pripravljenih predhodnih ocen. MKRR-OU je že oddal evidenčno javno naročilo in podpisal pogodbo za »Izdelavo študije, ki bo naslovila tržno vrzel na področju delavskih odkupov ter predlagala ustrezne finančne instrumente« s podjetjem Kapitalska Genetika d.o.o. v sodelovanju z Inštitutom za ekonomsko demokracijo, ki bo dodatno naslovila samo zasnovo produktne logike in instrumentov, vključno s posojili in garancijami, ki bodo zadostili ocenjeni tržne vrzeli glede na obstoječo stanje kvantificirane potrebe in zadostili ocenjenemu obsegu ustreznih finančnih produktov, kar dodatno naslavljate z naslednjimi vprašanji. Po pogodbi bo Študija, ki bo naslovila tržno vrzel zaključena najkasneje do 31. 10. 2025, s čimer bo zagotovljeno, da bo predhodna ocena pravočasno na voljo in skladna z zahtevami 58. člena uredbe, še preden bo MKRR-OU izdal odločitev o podpori. Predhodna ocena bo predstavljena na odboru za spremljanje v novembru 2025. </w:t>
      </w:r>
    </w:p>
    <w:p w14:paraId="1E52631C" w14:textId="77777777" w:rsidR="00854E47" w:rsidRPr="00D00DBA" w:rsidRDefault="00854E47" w:rsidP="00EA4E5E">
      <w:pPr>
        <w:jc w:val="both"/>
        <w:rPr>
          <w:rFonts w:cs="Arial"/>
          <w:b/>
          <w:iCs/>
          <w:sz w:val="20"/>
          <w:szCs w:val="20"/>
        </w:rPr>
      </w:pPr>
    </w:p>
    <w:p w14:paraId="0F550155" w14:textId="77777777" w:rsidR="00854E47" w:rsidRPr="00D00DBA" w:rsidRDefault="00854E47" w:rsidP="00EA4E5E">
      <w:pPr>
        <w:jc w:val="both"/>
        <w:rPr>
          <w:rFonts w:cs="Arial"/>
          <w:bCs/>
          <w:iCs/>
          <w:sz w:val="20"/>
          <w:szCs w:val="20"/>
        </w:rPr>
      </w:pPr>
      <w:r w:rsidRPr="00D00DBA">
        <w:rPr>
          <w:rFonts w:cs="Arial"/>
          <w:bCs/>
          <w:iCs/>
          <w:sz w:val="20"/>
          <w:szCs w:val="20"/>
        </w:rPr>
        <w:t>Za pristop k revidiranju Predhodne ocene je MKRR-OU pristopil na podlagi spodnjih aktivnosti/informacij:</w:t>
      </w:r>
    </w:p>
    <w:p w14:paraId="7F42E978" w14:textId="02C3F5D1" w:rsidR="00854E47" w:rsidRPr="00D00DBA" w:rsidRDefault="00854E47" w:rsidP="00854E47">
      <w:pPr>
        <w:pStyle w:val="Odstavekseznama"/>
        <w:numPr>
          <w:ilvl w:val="0"/>
          <w:numId w:val="16"/>
        </w:numPr>
        <w:jc w:val="both"/>
        <w:rPr>
          <w:rFonts w:ascii="Arial" w:hAnsi="Arial" w:cs="Arial"/>
          <w:bCs/>
          <w:iCs/>
          <w:sz w:val="20"/>
          <w:szCs w:val="20"/>
        </w:rPr>
      </w:pPr>
      <w:r w:rsidRPr="00D00DBA">
        <w:rPr>
          <w:rFonts w:ascii="Arial" w:hAnsi="Arial" w:cs="Arial"/>
          <w:bCs/>
          <w:iCs/>
          <w:sz w:val="20"/>
          <w:szCs w:val="20"/>
        </w:rPr>
        <w:lastRenderedPageBreak/>
        <w:t>izvedene študije o delavskih odkupih (WBO)</w:t>
      </w:r>
      <w:r w:rsidR="00B40BB2" w:rsidRPr="00D00DBA">
        <w:rPr>
          <w:rStyle w:val="Sprotnaopomba-sklic"/>
          <w:rFonts w:ascii="Arial" w:hAnsi="Arial" w:cs="Arial"/>
          <w:bCs/>
          <w:iCs/>
          <w:sz w:val="20"/>
          <w:szCs w:val="20"/>
        </w:rPr>
        <w:footnoteReference w:id="4"/>
      </w:r>
      <w:r w:rsidRPr="00D00DBA">
        <w:rPr>
          <w:rFonts w:ascii="Arial" w:hAnsi="Arial" w:cs="Arial"/>
          <w:bCs/>
          <w:iCs/>
          <w:sz w:val="20"/>
          <w:szCs w:val="20"/>
        </w:rPr>
        <w:t xml:space="preserve"> za Slovenijo v okviru platforme FI </w:t>
      </w:r>
      <w:proofErr w:type="spellStart"/>
      <w:r w:rsidRPr="00D00DBA">
        <w:rPr>
          <w:rFonts w:ascii="Arial" w:hAnsi="Arial" w:cs="Arial"/>
          <w:bCs/>
          <w:iCs/>
          <w:sz w:val="20"/>
          <w:szCs w:val="20"/>
        </w:rPr>
        <w:t>compass</w:t>
      </w:r>
      <w:proofErr w:type="spellEnd"/>
      <w:r w:rsidRPr="00D00DBA">
        <w:rPr>
          <w:rFonts w:ascii="Arial" w:hAnsi="Arial" w:cs="Arial"/>
          <w:bCs/>
          <w:iCs/>
          <w:sz w:val="20"/>
          <w:szCs w:val="20"/>
        </w:rPr>
        <w:t>, v kateri je EK podala pobudo, da naj OU v Sloveniji razmisli o uporabi obstoječih ali načrtovanih FI za podporo delavskih odkupov</w:t>
      </w:r>
      <w:r w:rsidR="001170B7" w:rsidRPr="00D00DBA">
        <w:rPr>
          <w:rFonts w:ascii="Arial" w:hAnsi="Arial" w:cs="Arial"/>
          <w:bCs/>
          <w:iCs/>
          <w:sz w:val="20"/>
          <w:szCs w:val="20"/>
        </w:rPr>
        <w:t>;</w:t>
      </w:r>
      <w:r w:rsidRPr="00D00DBA">
        <w:rPr>
          <w:rFonts w:ascii="Arial" w:hAnsi="Arial" w:cs="Arial"/>
          <w:bCs/>
          <w:iCs/>
          <w:sz w:val="20"/>
          <w:szCs w:val="20"/>
        </w:rPr>
        <w:t xml:space="preserve"> </w:t>
      </w:r>
    </w:p>
    <w:p w14:paraId="2766B8F5" w14:textId="7D27DFAA" w:rsidR="00854E47" w:rsidRPr="00D00DBA" w:rsidRDefault="00854E47" w:rsidP="00854E47">
      <w:pPr>
        <w:pStyle w:val="Odstavekseznama"/>
        <w:numPr>
          <w:ilvl w:val="0"/>
          <w:numId w:val="16"/>
        </w:numPr>
        <w:jc w:val="both"/>
        <w:rPr>
          <w:rFonts w:ascii="Arial" w:hAnsi="Arial" w:cs="Arial"/>
          <w:bCs/>
          <w:iCs/>
          <w:sz w:val="20"/>
          <w:szCs w:val="20"/>
        </w:rPr>
      </w:pPr>
      <w:r w:rsidRPr="00D00DBA">
        <w:rPr>
          <w:rFonts w:ascii="Arial" w:hAnsi="Arial" w:cs="Arial"/>
          <w:bCs/>
          <w:iCs/>
          <w:sz w:val="20"/>
          <w:szCs w:val="20"/>
        </w:rPr>
        <w:t>postopk</w:t>
      </w:r>
      <w:r w:rsidR="001170B7" w:rsidRPr="00D00DBA">
        <w:rPr>
          <w:rFonts w:ascii="Arial" w:hAnsi="Arial" w:cs="Arial"/>
          <w:bCs/>
          <w:iCs/>
          <w:sz w:val="20"/>
          <w:szCs w:val="20"/>
        </w:rPr>
        <w:t>a</w:t>
      </w:r>
      <w:r w:rsidRPr="00D00DBA">
        <w:rPr>
          <w:rFonts w:ascii="Arial" w:hAnsi="Arial" w:cs="Arial"/>
          <w:bCs/>
          <w:iCs/>
          <w:sz w:val="20"/>
          <w:szCs w:val="20"/>
        </w:rPr>
        <w:t xml:space="preserve"> javne razprave </w:t>
      </w:r>
      <w:r w:rsidR="001170B7" w:rsidRPr="00D00DBA">
        <w:rPr>
          <w:rFonts w:ascii="Arial" w:hAnsi="Arial" w:cs="Arial"/>
          <w:bCs/>
          <w:iCs/>
          <w:sz w:val="20"/>
          <w:szCs w:val="20"/>
        </w:rPr>
        <w:t xml:space="preserve">o </w:t>
      </w:r>
      <w:r w:rsidRPr="00D00DBA">
        <w:rPr>
          <w:rFonts w:ascii="Arial" w:hAnsi="Arial" w:cs="Arial"/>
          <w:bCs/>
          <w:iCs/>
          <w:sz w:val="20"/>
          <w:szCs w:val="20"/>
        </w:rPr>
        <w:t>Zakon</w:t>
      </w:r>
      <w:r w:rsidR="001170B7" w:rsidRPr="00D00DBA">
        <w:rPr>
          <w:rFonts w:ascii="Arial" w:hAnsi="Arial" w:cs="Arial"/>
          <w:bCs/>
          <w:iCs/>
          <w:sz w:val="20"/>
          <w:szCs w:val="20"/>
        </w:rPr>
        <w:t>u</w:t>
      </w:r>
      <w:r w:rsidRPr="00D00DBA">
        <w:rPr>
          <w:rFonts w:ascii="Arial" w:hAnsi="Arial" w:cs="Arial"/>
          <w:bCs/>
          <w:iCs/>
          <w:sz w:val="20"/>
          <w:szCs w:val="20"/>
        </w:rPr>
        <w:t xml:space="preserve"> o lastniški zadrugi delavcev, ki v slovenski prostor uvaja model delavskega solastništva po zgledu ameriškega ESOP (</w:t>
      </w:r>
      <w:proofErr w:type="spellStart"/>
      <w:r w:rsidRPr="00D00DBA">
        <w:rPr>
          <w:rFonts w:ascii="Arial" w:hAnsi="Arial" w:cs="Arial"/>
          <w:bCs/>
          <w:iCs/>
          <w:sz w:val="20"/>
          <w:szCs w:val="20"/>
        </w:rPr>
        <w:t>Employee</w:t>
      </w:r>
      <w:proofErr w:type="spellEnd"/>
      <w:r w:rsidRPr="00D00DBA">
        <w:rPr>
          <w:rFonts w:ascii="Arial" w:hAnsi="Arial" w:cs="Arial"/>
          <w:bCs/>
          <w:iCs/>
          <w:sz w:val="20"/>
          <w:szCs w:val="20"/>
        </w:rPr>
        <w:t xml:space="preserve"> Stock </w:t>
      </w:r>
      <w:proofErr w:type="spellStart"/>
      <w:r w:rsidRPr="00D00DBA">
        <w:rPr>
          <w:rFonts w:ascii="Arial" w:hAnsi="Arial" w:cs="Arial"/>
          <w:bCs/>
          <w:iCs/>
          <w:sz w:val="20"/>
          <w:szCs w:val="20"/>
        </w:rPr>
        <w:t>Ownership</w:t>
      </w:r>
      <w:proofErr w:type="spellEnd"/>
      <w:r w:rsidRPr="00D00DBA">
        <w:rPr>
          <w:rFonts w:ascii="Arial" w:hAnsi="Arial" w:cs="Arial"/>
          <w:bCs/>
          <w:iCs/>
          <w:sz w:val="20"/>
          <w:szCs w:val="20"/>
        </w:rPr>
        <w:t xml:space="preserve"> Plan)</w:t>
      </w:r>
      <w:r w:rsidR="001170B7" w:rsidRPr="00D00DBA">
        <w:rPr>
          <w:rFonts w:ascii="Arial" w:hAnsi="Arial" w:cs="Arial"/>
          <w:bCs/>
          <w:iCs/>
          <w:sz w:val="20"/>
          <w:szCs w:val="20"/>
        </w:rPr>
        <w:t>;</w:t>
      </w:r>
    </w:p>
    <w:p w14:paraId="44CD2EEE" w14:textId="0EB8FFAF" w:rsidR="00854E47" w:rsidRPr="00D00DBA" w:rsidRDefault="00854E47" w:rsidP="00E8005F">
      <w:pPr>
        <w:pStyle w:val="Odstavekseznama"/>
        <w:numPr>
          <w:ilvl w:val="0"/>
          <w:numId w:val="16"/>
        </w:numPr>
        <w:jc w:val="both"/>
        <w:rPr>
          <w:rFonts w:ascii="Arial" w:hAnsi="Arial" w:cs="Arial"/>
          <w:bCs/>
          <w:iCs/>
          <w:sz w:val="20"/>
          <w:szCs w:val="20"/>
        </w:rPr>
      </w:pPr>
      <w:r w:rsidRPr="00D00DBA">
        <w:rPr>
          <w:rFonts w:ascii="Arial" w:hAnsi="Arial" w:cs="Arial"/>
          <w:bCs/>
          <w:iCs/>
          <w:sz w:val="20"/>
          <w:szCs w:val="20"/>
        </w:rPr>
        <w:t>izvedene študije CRP Analiza lastniških struktur v slovenskem gospodarstvu in potenciala za spodbujanja družbeno-odgovornega lastništva Univerze v Ljubljani</w:t>
      </w:r>
      <w:r w:rsidR="008604F6" w:rsidRPr="00D00DBA">
        <w:rPr>
          <w:rStyle w:val="Sprotnaopomba-sklic"/>
          <w:rFonts w:ascii="Arial" w:hAnsi="Arial" w:cs="Arial"/>
          <w:bCs/>
          <w:iCs/>
          <w:sz w:val="20"/>
          <w:szCs w:val="20"/>
        </w:rPr>
        <w:footnoteReference w:id="5"/>
      </w:r>
      <w:r w:rsidRPr="00D00DBA">
        <w:rPr>
          <w:rFonts w:ascii="Arial" w:hAnsi="Arial" w:cs="Arial"/>
          <w:bCs/>
          <w:iCs/>
          <w:sz w:val="20"/>
          <w:szCs w:val="20"/>
        </w:rPr>
        <w:t>, ki nakazuje na veliko tržno vrzel v delu financiranja delavskih odkupov zaradi problema politike nasledstva, kjer lastniki</w:t>
      </w:r>
      <w:r w:rsidR="00EE7615" w:rsidRPr="00D00DBA">
        <w:rPr>
          <w:rFonts w:ascii="Arial" w:hAnsi="Arial" w:cs="Arial"/>
          <w:bCs/>
          <w:iCs/>
          <w:sz w:val="20"/>
          <w:szCs w:val="20"/>
        </w:rPr>
        <w:t>,</w:t>
      </w:r>
      <w:r w:rsidRPr="00D00DBA">
        <w:rPr>
          <w:rFonts w:ascii="Arial" w:hAnsi="Arial" w:cs="Arial"/>
          <w:bCs/>
          <w:iCs/>
          <w:sz w:val="20"/>
          <w:szCs w:val="20"/>
        </w:rPr>
        <w:t xml:space="preserve"> ki se bodo upokojili</w:t>
      </w:r>
      <w:r w:rsidR="00EE7615" w:rsidRPr="00D00DBA">
        <w:rPr>
          <w:rFonts w:ascii="Arial" w:hAnsi="Arial" w:cs="Arial"/>
          <w:bCs/>
          <w:iCs/>
          <w:sz w:val="20"/>
          <w:szCs w:val="20"/>
        </w:rPr>
        <w:t>,</w:t>
      </w:r>
      <w:r w:rsidRPr="00D00DBA">
        <w:rPr>
          <w:rFonts w:ascii="Arial" w:hAnsi="Arial" w:cs="Arial"/>
          <w:bCs/>
          <w:iCs/>
          <w:sz w:val="20"/>
          <w:szCs w:val="20"/>
        </w:rPr>
        <w:t xml:space="preserve"> nimajo zagotovljenih naslednikov. </w:t>
      </w:r>
    </w:p>
    <w:p w14:paraId="2BD3B617" w14:textId="77777777" w:rsidR="00173B06" w:rsidRPr="00D00DBA" w:rsidRDefault="00173B06" w:rsidP="00EA4E5E">
      <w:pPr>
        <w:jc w:val="both"/>
        <w:rPr>
          <w:rFonts w:cs="Arial"/>
          <w:bCs/>
          <w:iCs/>
          <w:sz w:val="20"/>
          <w:szCs w:val="20"/>
        </w:rPr>
      </w:pPr>
    </w:p>
    <w:p w14:paraId="5ED711BF" w14:textId="6B39BCD4" w:rsidR="000347E0" w:rsidRPr="00D00DBA" w:rsidRDefault="000C3515" w:rsidP="00EA4E5E">
      <w:pPr>
        <w:jc w:val="both"/>
        <w:rPr>
          <w:rFonts w:cs="Arial"/>
          <w:bCs/>
          <w:iCs/>
          <w:sz w:val="20"/>
          <w:szCs w:val="20"/>
        </w:rPr>
      </w:pPr>
      <w:r w:rsidRPr="00D00DBA">
        <w:rPr>
          <w:rFonts w:cs="Arial"/>
          <w:bCs/>
          <w:iCs/>
          <w:sz w:val="20"/>
          <w:szCs w:val="20"/>
        </w:rPr>
        <w:t xml:space="preserve">Pred </w:t>
      </w:r>
      <w:r w:rsidR="00B56042" w:rsidRPr="00D00DBA">
        <w:rPr>
          <w:rFonts w:cs="Arial"/>
          <w:bCs/>
          <w:iCs/>
          <w:sz w:val="20"/>
          <w:szCs w:val="20"/>
        </w:rPr>
        <w:t xml:space="preserve">sklenitvijo sporazuma o financiranju z </w:t>
      </w:r>
      <w:r w:rsidR="00B40BB2" w:rsidRPr="00D00DBA">
        <w:rPr>
          <w:rFonts w:cs="Arial"/>
          <w:bCs/>
          <w:iCs/>
          <w:sz w:val="20"/>
          <w:szCs w:val="20"/>
        </w:rPr>
        <w:t xml:space="preserve">izvajalcem </w:t>
      </w:r>
      <w:r w:rsidR="00EE7615" w:rsidRPr="00D00DBA">
        <w:rPr>
          <w:rFonts w:cs="Arial"/>
          <w:bCs/>
          <w:iCs/>
          <w:sz w:val="20"/>
          <w:szCs w:val="20"/>
        </w:rPr>
        <w:t>FI</w:t>
      </w:r>
      <w:r w:rsidR="00617FE6" w:rsidRPr="00D00DBA">
        <w:rPr>
          <w:rFonts w:cs="Arial"/>
          <w:bCs/>
          <w:iCs/>
          <w:sz w:val="20"/>
          <w:szCs w:val="20"/>
        </w:rPr>
        <w:t xml:space="preserve"> bodo skladno s tretjim odstavkom 27. člena </w:t>
      </w:r>
      <w:r w:rsidR="00AA573F" w:rsidRPr="00D00DBA">
        <w:rPr>
          <w:rFonts w:cs="Arial"/>
          <w:bCs/>
          <w:iCs/>
          <w:sz w:val="20"/>
          <w:szCs w:val="20"/>
        </w:rPr>
        <w:t>Uredbe 2021/1060/EU</w:t>
      </w:r>
      <w:r w:rsidR="00AA573F" w:rsidRPr="00D00DBA">
        <w:rPr>
          <w:rStyle w:val="Sprotnaopomba-sklic"/>
          <w:rFonts w:cs="Arial"/>
          <w:bCs/>
          <w:iCs/>
          <w:sz w:val="20"/>
          <w:szCs w:val="20"/>
          <w:vertAlign w:val="baseline"/>
        </w:rPr>
        <w:t xml:space="preserve"> </w:t>
      </w:r>
      <w:r w:rsidR="00617FE6" w:rsidRPr="00D00DBA">
        <w:rPr>
          <w:rFonts w:cs="Arial"/>
          <w:bCs/>
          <w:iCs/>
          <w:sz w:val="20"/>
          <w:szCs w:val="20"/>
        </w:rPr>
        <w:t>in drugim odstavkom 17. člena</w:t>
      </w:r>
      <w:r w:rsidR="00EA4E5E" w:rsidRPr="00D00DBA">
        <w:rPr>
          <w:rFonts w:cs="Arial"/>
          <w:bCs/>
          <w:iCs/>
          <w:sz w:val="20"/>
          <w:szCs w:val="20"/>
        </w:rPr>
        <w:t xml:space="preserve"> Uredbe o postopku, merilih in načinih dodeljevanja sredstev za spodbujanje razvojnih programov in prednostnih nalog</w:t>
      </w:r>
      <w:r w:rsidR="00617FE6" w:rsidRPr="00D00DBA">
        <w:rPr>
          <w:rFonts w:cs="Arial"/>
          <w:bCs/>
          <w:iCs/>
          <w:sz w:val="20"/>
          <w:szCs w:val="20"/>
        </w:rPr>
        <w:t xml:space="preserve"> </w:t>
      </w:r>
      <w:r w:rsidR="00EA4E5E" w:rsidRPr="00D00DBA">
        <w:rPr>
          <w:rFonts w:cs="Arial"/>
          <w:bCs/>
          <w:iCs/>
          <w:sz w:val="20"/>
          <w:szCs w:val="20"/>
        </w:rPr>
        <w:t xml:space="preserve">(Uradni list RS, št. 56/11) </w:t>
      </w:r>
      <w:r w:rsidR="00617FE6" w:rsidRPr="00D00DBA">
        <w:rPr>
          <w:rFonts w:cs="Arial"/>
          <w:bCs/>
          <w:iCs/>
          <w:sz w:val="20"/>
          <w:szCs w:val="20"/>
        </w:rPr>
        <w:t>pripravljeni</w:t>
      </w:r>
      <w:r w:rsidR="000532C4" w:rsidRPr="00D00DBA">
        <w:rPr>
          <w:rFonts w:cs="Arial"/>
          <w:bCs/>
          <w:iCs/>
          <w:sz w:val="20"/>
          <w:szCs w:val="20"/>
        </w:rPr>
        <w:t xml:space="preserve"> </w:t>
      </w:r>
      <w:r w:rsidRPr="00D00DBA">
        <w:rPr>
          <w:rFonts w:cs="Arial"/>
          <w:bCs/>
          <w:iCs/>
          <w:sz w:val="20"/>
          <w:szCs w:val="20"/>
        </w:rPr>
        <w:t>Ključni elementi finančnih instrumentov v obdobju 2021–2027 (v nadaljevanju: KEFI)</w:t>
      </w:r>
      <w:r w:rsidR="00617FE6" w:rsidRPr="00D00DBA">
        <w:rPr>
          <w:rFonts w:cs="Arial"/>
          <w:bCs/>
          <w:iCs/>
          <w:sz w:val="20"/>
          <w:szCs w:val="20"/>
        </w:rPr>
        <w:t>.</w:t>
      </w:r>
    </w:p>
    <w:p w14:paraId="151A314B" w14:textId="3CF9FEFD" w:rsidR="000347E0" w:rsidRPr="00D00DBA" w:rsidRDefault="000347E0" w:rsidP="00F154F0">
      <w:pPr>
        <w:jc w:val="both"/>
        <w:rPr>
          <w:rFonts w:cs="Arial"/>
          <w:sz w:val="20"/>
          <w:szCs w:val="20"/>
        </w:rPr>
      </w:pPr>
    </w:p>
    <w:p w14:paraId="2B9B71F5" w14:textId="30506A34" w:rsidR="003F5664" w:rsidRPr="00D00DBA" w:rsidRDefault="009D3FC0" w:rsidP="00F154F0">
      <w:pPr>
        <w:jc w:val="both"/>
        <w:rPr>
          <w:rFonts w:cs="Arial"/>
          <w:sz w:val="20"/>
          <w:szCs w:val="20"/>
        </w:rPr>
      </w:pPr>
      <w:bookmarkStart w:id="7" w:name="_Hlk175051532"/>
      <w:r w:rsidRPr="00D00DBA">
        <w:rPr>
          <w:rFonts w:cs="Arial"/>
          <w:sz w:val="20"/>
          <w:szCs w:val="20"/>
        </w:rPr>
        <w:t xml:space="preserve">Predložen </w:t>
      </w:r>
      <w:r w:rsidR="003F5664" w:rsidRPr="00D00DBA">
        <w:rPr>
          <w:rFonts w:cs="Arial"/>
          <w:sz w:val="20"/>
          <w:szCs w:val="20"/>
        </w:rPr>
        <w:t xml:space="preserve">NIFI je </w:t>
      </w:r>
      <w:r w:rsidR="0021094F" w:rsidRPr="00D00DBA">
        <w:rPr>
          <w:rFonts w:cs="Arial"/>
          <w:sz w:val="20"/>
          <w:szCs w:val="20"/>
        </w:rPr>
        <w:t xml:space="preserve">pripravljen z namenom, da bo </w:t>
      </w:r>
      <w:r w:rsidR="003F5664" w:rsidRPr="00D00DBA">
        <w:rPr>
          <w:rFonts w:cs="Arial"/>
          <w:sz w:val="20"/>
          <w:szCs w:val="20"/>
        </w:rPr>
        <w:t xml:space="preserve">sestavni del obrazložitve predloga proračuna </w:t>
      </w:r>
      <w:r w:rsidRPr="00D00DBA">
        <w:rPr>
          <w:rFonts w:cs="Arial"/>
          <w:sz w:val="20"/>
          <w:szCs w:val="20"/>
        </w:rPr>
        <w:t xml:space="preserve">Republike Slovenije </w:t>
      </w:r>
      <w:r w:rsidR="003F5664" w:rsidRPr="00D00DBA">
        <w:rPr>
          <w:rFonts w:cs="Arial"/>
          <w:sz w:val="20"/>
          <w:szCs w:val="20"/>
        </w:rPr>
        <w:t>za obdobje 202</w:t>
      </w:r>
      <w:r w:rsidR="0021094F" w:rsidRPr="00D00DBA">
        <w:rPr>
          <w:rFonts w:cs="Arial"/>
          <w:sz w:val="20"/>
          <w:szCs w:val="20"/>
        </w:rPr>
        <w:t>6</w:t>
      </w:r>
      <w:r w:rsidR="003F5664" w:rsidRPr="00D00DBA">
        <w:rPr>
          <w:rFonts w:cs="Arial"/>
          <w:sz w:val="20"/>
          <w:szCs w:val="20"/>
        </w:rPr>
        <w:t>–202</w:t>
      </w:r>
      <w:r w:rsidR="0021094F" w:rsidRPr="00D00DBA">
        <w:rPr>
          <w:rFonts w:cs="Arial"/>
          <w:sz w:val="20"/>
          <w:szCs w:val="20"/>
        </w:rPr>
        <w:t>7</w:t>
      </w:r>
      <w:r w:rsidR="003F5664" w:rsidRPr="00D00DBA">
        <w:rPr>
          <w:rFonts w:cs="Arial"/>
          <w:sz w:val="20"/>
          <w:szCs w:val="20"/>
        </w:rPr>
        <w:t xml:space="preserve"> </w:t>
      </w:r>
      <w:bookmarkEnd w:id="7"/>
      <w:r w:rsidR="003F5664" w:rsidRPr="00D00DBA">
        <w:rPr>
          <w:rFonts w:cs="Arial"/>
          <w:sz w:val="20"/>
          <w:szCs w:val="20"/>
        </w:rPr>
        <w:t xml:space="preserve">in za potrebe </w:t>
      </w:r>
      <w:r w:rsidR="0021094F" w:rsidRPr="00D00DBA">
        <w:rPr>
          <w:rFonts w:cs="Arial"/>
          <w:sz w:val="20"/>
          <w:szCs w:val="20"/>
        </w:rPr>
        <w:t xml:space="preserve">priprave predlogov proračunov in </w:t>
      </w:r>
      <w:r w:rsidR="003F5664" w:rsidRPr="00D00DBA">
        <w:rPr>
          <w:rFonts w:cs="Arial"/>
          <w:sz w:val="20"/>
          <w:szCs w:val="20"/>
        </w:rPr>
        <w:t>izvajanja proračuna</w:t>
      </w:r>
      <w:r w:rsidRPr="00D00DBA">
        <w:rPr>
          <w:rFonts w:cs="Arial"/>
          <w:sz w:val="20"/>
          <w:szCs w:val="20"/>
        </w:rPr>
        <w:t xml:space="preserve"> Republike Sloveni</w:t>
      </w:r>
      <w:r w:rsidR="00CA353D" w:rsidRPr="00D00DBA">
        <w:rPr>
          <w:rFonts w:cs="Arial"/>
          <w:sz w:val="20"/>
          <w:szCs w:val="20"/>
        </w:rPr>
        <w:t>j</w:t>
      </w:r>
      <w:r w:rsidRPr="00D00DBA">
        <w:rPr>
          <w:rFonts w:cs="Arial"/>
          <w:sz w:val="20"/>
          <w:szCs w:val="20"/>
        </w:rPr>
        <w:t>e</w:t>
      </w:r>
      <w:r w:rsidR="003F5664" w:rsidRPr="00D00DBA">
        <w:rPr>
          <w:rFonts w:cs="Arial"/>
          <w:sz w:val="20"/>
          <w:szCs w:val="20"/>
        </w:rPr>
        <w:t xml:space="preserve"> </w:t>
      </w:r>
      <w:r w:rsidR="0021094F" w:rsidRPr="00D00DBA">
        <w:rPr>
          <w:rFonts w:cs="Arial"/>
          <w:sz w:val="20"/>
          <w:szCs w:val="20"/>
        </w:rPr>
        <w:t xml:space="preserve">za leto 2026 in 2027 </w:t>
      </w:r>
      <w:r w:rsidR="003F5664" w:rsidRPr="00D00DBA">
        <w:rPr>
          <w:rFonts w:cs="Arial"/>
          <w:sz w:val="20"/>
          <w:szCs w:val="20"/>
        </w:rPr>
        <w:t xml:space="preserve">vključuje </w:t>
      </w:r>
      <w:bookmarkStart w:id="8" w:name="_Hlk175051620"/>
      <w:r w:rsidR="003F5664" w:rsidRPr="00D00DBA">
        <w:rPr>
          <w:rFonts w:cs="Arial"/>
          <w:sz w:val="20"/>
          <w:szCs w:val="20"/>
        </w:rPr>
        <w:t>opis ukrepov</w:t>
      </w:r>
      <w:bookmarkEnd w:id="8"/>
      <w:r w:rsidR="00162168" w:rsidRPr="00D00DBA">
        <w:rPr>
          <w:rFonts w:cs="Arial"/>
          <w:sz w:val="20"/>
          <w:szCs w:val="20"/>
        </w:rPr>
        <w:t xml:space="preserve"> (ki </w:t>
      </w:r>
      <w:r w:rsidR="00EA4E5E" w:rsidRPr="00D00DBA">
        <w:rPr>
          <w:rFonts w:cs="Arial"/>
          <w:sz w:val="20"/>
          <w:szCs w:val="20"/>
        </w:rPr>
        <w:t xml:space="preserve">bodo </w:t>
      </w:r>
      <w:r w:rsidR="00162168" w:rsidRPr="00D00DBA">
        <w:rPr>
          <w:rFonts w:cs="Arial"/>
          <w:sz w:val="20"/>
          <w:szCs w:val="20"/>
        </w:rPr>
        <w:t>podrobneje opisani v KEFI)</w:t>
      </w:r>
      <w:r w:rsidR="00EA4E5E" w:rsidRPr="00D00DBA">
        <w:rPr>
          <w:rFonts w:cs="Arial"/>
          <w:sz w:val="20"/>
          <w:szCs w:val="20"/>
        </w:rPr>
        <w:t>,</w:t>
      </w:r>
      <w:r w:rsidR="003F5664" w:rsidRPr="00D00DBA">
        <w:rPr>
          <w:rFonts w:cs="Arial"/>
          <w:sz w:val="20"/>
          <w:szCs w:val="20"/>
        </w:rPr>
        <w:t xml:space="preserve"> </w:t>
      </w:r>
      <w:bookmarkStart w:id="9" w:name="_Hlk175051640"/>
      <w:r w:rsidR="003F5664" w:rsidRPr="00D00DBA">
        <w:rPr>
          <w:rFonts w:cs="Arial"/>
          <w:sz w:val="20"/>
          <w:szCs w:val="20"/>
        </w:rPr>
        <w:t>oblike financiranja</w:t>
      </w:r>
      <w:r w:rsidR="00162168" w:rsidRPr="00D00DBA">
        <w:rPr>
          <w:rFonts w:cs="Arial"/>
          <w:sz w:val="20"/>
          <w:szCs w:val="20"/>
        </w:rPr>
        <w:t>,</w:t>
      </w:r>
      <w:r w:rsidR="00483D96" w:rsidRPr="00D00DBA">
        <w:rPr>
          <w:rFonts w:cs="Arial"/>
          <w:sz w:val="20"/>
          <w:szCs w:val="20"/>
        </w:rPr>
        <w:t xml:space="preserve"> </w:t>
      </w:r>
      <w:r w:rsidR="003F5664" w:rsidRPr="00D00DBA">
        <w:rPr>
          <w:rFonts w:cs="Arial"/>
          <w:sz w:val="20"/>
          <w:szCs w:val="20"/>
        </w:rPr>
        <w:t xml:space="preserve">obseg sredstev in terminski načrt izplačil sredstev </w:t>
      </w:r>
      <w:r w:rsidR="00162168" w:rsidRPr="00D00DBA">
        <w:rPr>
          <w:rFonts w:cs="Arial"/>
          <w:sz w:val="20"/>
          <w:szCs w:val="20"/>
        </w:rPr>
        <w:t xml:space="preserve">izvajalcu </w:t>
      </w:r>
      <w:r w:rsidR="003F5664" w:rsidRPr="00D00DBA">
        <w:rPr>
          <w:rFonts w:cs="Arial"/>
          <w:sz w:val="20"/>
          <w:szCs w:val="20"/>
        </w:rPr>
        <w:t>finančnih instrumentov</w:t>
      </w:r>
      <w:r w:rsidR="00EB680F" w:rsidRPr="00D00DBA">
        <w:rPr>
          <w:rFonts w:cs="Arial"/>
          <w:sz w:val="20"/>
          <w:szCs w:val="20"/>
        </w:rPr>
        <w:t xml:space="preserve"> </w:t>
      </w:r>
      <w:r w:rsidR="00162168" w:rsidRPr="00D00DBA">
        <w:rPr>
          <w:rFonts w:cs="Arial"/>
          <w:sz w:val="20"/>
          <w:szCs w:val="20"/>
        </w:rPr>
        <w:t>ter programsko klasifikacijo</w:t>
      </w:r>
      <w:r w:rsidR="00EA4E5E" w:rsidRPr="00D00DBA">
        <w:rPr>
          <w:rFonts w:cs="Arial"/>
          <w:sz w:val="20"/>
          <w:szCs w:val="20"/>
        </w:rPr>
        <w:t xml:space="preserve"> finančnih instrumentov</w:t>
      </w:r>
      <w:r w:rsidR="00162168" w:rsidRPr="00D00DBA">
        <w:rPr>
          <w:rFonts w:cs="Arial"/>
          <w:sz w:val="20"/>
          <w:szCs w:val="20"/>
        </w:rPr>
        <w:t>.</w:t>
      </w:r>
    </w:p>
    <w:bookmarkEnd w:id="9"/>
    <w:p w14:paraId="252D5C73" w14:textId="77777777" w:rsidR="00C04AC3" w:rsidRPr="00D00DBA" w:rsidRDefault="00C04AC3" w:rsidP="00F154F0">
      <w:pPr>
        <w:autoSpaceDE w:val="0"/>
        <w:autoSpaceDN w:val="0"/>
        <w:adjustRightInd w:val="0"/>
        <w:jc w:val="both"/>
        <w:rPr>
          <w:rFonts w:cs="Arial"/>
          <w:bCs/>
          <w:iCs/>
          <w:sz w:val="20"/>
          <w:szCs w:val="20"/>
        </w:rPr>
      </w:pPr>
    </w:p>
    <w:p w14:paraId="108C9654" w14:textId="2AD1967A" w:rsidR="006112BB" w:rsidRPr="00D00DBA" w:rsidRDefault="00B40BB2" w:rsidP="00F154F0">
      <w:pPr>
        <w:autoSpaceDE w:val="0"/>
        <w:autoSpaceDN w:val="0"/>
        <w:adjustRightInd w:val="0"/>
        <w:jc w:val="both"/>
        <w:rPr>
          <w:rFonts w:cs="Arial"/>
          <w:bCs/>
          <w:iCs/>
          <w:sz w:val="20"/>
          <w:szCs w:val="20"/>
        </w:rPr>
      </w:pPr>
      <w:r w:rsidRPr="00D00DBA">
        <w:rPr>
          <w:rFonts w:cs="Arial"/>
          <w:bCs/>
          <w:iCs/>
          <w:sz w:val="20"/>
          <w:szCs w:val="20"/>
        </w:rPr>
        <w:t>Izvajalca finančnega instrumenta</w:t>
      </w:r>
      <w:r w:rsidR="006112BB" w:rsidRPr="00D00DBA">
        <w:rPr>
          <w:rFonts w:cs="Arial"/>
          <w:bCs/>
          <w:iCs/>
          <w:sz w:val="20"/>
          <w:szCs w:val="20"/>
        </w:rPr>
        <w:t xml:space="preserve"> bo </w:t>
      </w:r>
      <w:r w:rsidR="00AA573F" w:rsidRPr="00D00DBA">
        <w:rPr>
          <w:rFonts w:cs="Arial"/>
          <w:bCs/>
          <w:iCs/>
          <w:sz w:val="20"/>
          <w:szCs w:val="20"/>
        </w:rPr>
        <w:t xml:space="preserve"> MDDSZ</w:t>
      </w:r>
      <w:r w:rsidR="008176CC" w:rsidRPr="00D00DBA">
        <w:rPr>
          <w:rFonts w:cs="Arial"/>
          <w:bCs/>
          <w:iCs/>
          <w:sz w:val="20"/>
          <w:szCs w:val="20"/>
        </w:rPr>
        <w:t>,</w:t>
      </w:r>
      <w:r w:rsidR="006112BB" w:rsidRPr="00D00DBA">
        <w:rPr>
          <w:rFonts w:cs="Arial"/>
          <w:bCs/>
          <w:iCs/>
          <w:sz w:val="20"/>
          <w:szCs w:val="20"/>
        </w:rPr>
        <w:t xml:space="preserve"> skladno</w:t>
      </w:r>
      <w:r w:rsidR="008176CC" w:rsidRPr="00D00DBA">
        <w:rPr>
          <w:rFonts w:cs="Arial"/>
          <w:bCs/>
          <w:iCs/>
          <w:sz w:val="20"/>
          <w:szCs w:val="20"/>
        </w:rPr>
        <w:t xml:space="preserve"> s</w:t>
      </w:r>
      <w:r w:rsidR="006112BB" w:rsidRPr="00D00DBA">
        <w:rPr>
          <w:rFonts w:cs="Arial"/>
          <w:bCs/>
          <w:iCs/>
          <w:sz w:val="20"/>
          <w:szCs w:val="20"/>
        </w:rPr>
        <w:t xml:space="preserve"> točko c) tretjega odstavka 59. člena </w:t>
      </w:r>
      <w:r w:rsidR="00AA573F" w:rsidRPr="00D00DBA">
        <w:rPr>
          <w:rFonts w:cs="Arial"/>
          <w:bCs/>
          <w:iCs/>
          <w:sz w:val="20"/>
          <w:szCs w:val="20"/>
        </w:rPr>
        <w:t>Uredbe 2021/1060/EU</w:t>
      </w:r>
      <w:r w:rsidR="008176CC" w:rsidRPr="00D00DBA">
        <w:rPr>
          <w:rFonts w:cs="Arial"/>
          <w:bCs/>
          <w:iCs/>
          <w:sz w:val="20"/>
          <w:szCs w:val="20"/>
        </w:rPr>
        <w:t>,</w:t>
      </w:r>
      <w:r w:rsidR="006112BB" w:rsidRPr="00D00DBA">
        <w:rPr>
          <w:rFonts w:cs="Arial"/>
          <w:bCs/>
          <w:iCs/>
          <w:sz w:val="20"/>
          <w:szCs w:val="20"/>
        </w:rPr>
        <w:t xml:space="preserve"> upoštevajoč veljavno pravo javnega naročanja. </w:t>
      </w:r>
      <w:r w:rsidR="00AA573F" w:rsidRPr="00D00DBA">
        <w:rPr>
          <w:rFonts w:cs="Arial"/>
          <w:bCs/>
          <w:iCs/>
          <w:sz w:val="20"/>
          <w:szCs w:val="20"/>
        </w:rPr>
        <w:t>MDDSZ</w:t>
      </w:r>
      <w:r w:rsidR="006112BB" w:rsidRPr="00D00DBA">
        <w:rPr>
          <w:rFonts w:cs="Arial"/>
          <w:bCs/>
          <w:iCs/>
          <w:sz w:val="20"/>
          <w:szCs w:val="20"/>
        </w:rPr>
        <w:t xml:space="preserve"> lahko na podlagi 28. člena </w:t>
      </w:r>
      <w:bookmarkStart w:id="10" w:name="_Hlk171499009"/>
      <w:r w:rsidR="006112BB" w:rsidRPr="00D00DBA">
        <w:rPr>
          <w:rFonts w:cs="Arial"/>
          <w:bCs/>
          <w:iCs/>
          <w:sz w:val="20"/>
          <w:szCs w:val="20"/>
        </w:rPr>
        <w:t>Zakona o javnem naročanju (</w:t>
      </w:r>
      <w:r w:rsidR="00636A95" w:rsidRPr="00D00DBA">
        <w:rPr>
          <w:rFonts w:cs="Arial"/>
          <w:bCs/>
          <w:iCs/>
          <w:sz w:val="20"/>
          <w:szCs w:val="20"/>
        </w:rPr>
        <w:t>Uradni list RS, št. 91/15, 14/18, 121/21, 10/22, 74/22 – odl. US, 100/22 – ZNUZSZS, 28/23 in 88/23 – ZOPNN-F</w:t>
      </w:r>
      <w:r w:rsidR="006112BB" w:rsidRPr="00D00DBA">
        <w:rPr>
          <w:rFonts w:cs="Arial"/>
          <w:bCs/>
          <w:iCs/>
          <w:sz w:val="20"/>
          <w:szCs w:val="20"/>
        </w:rPr>
        <w:t xml:space="preserve">) </w:t>
      </w:r>
      <w:bookmarkEnd w:id="10"/>
      <w:r w:rsidR="006112BB" w:rsidRPr="00D00DBA">
        <w:rPr>
          <w:rFonts w:cs="Arial"/>
          <w:bCs/>
          <w:iCs/>
          <w:sz w:val="20"/>
          <w:szCs w:val="20"/>
        </w:rPr>
        <w:t xml:space="preserve">odda javno naročilo pravni osebi javnega prava in neposredno sklene sporazum o financiranju z </w:t>
      </w:r>
      <w:r w:rsidR="00957FDA" w:rsidRPr="00D00DBA">
        <w:rPr>
          <w:rFonts w:cs="Arial"/>
          <w:bCs/>
          <w:iCs/>
          <w:sz w:val="20"/>
          <w:szCs w:val="20"/>
        </w:rPr>
        <w:t>izvajalcem finančnega instrumenta</w:t>
      </w:r>
      <w:r w:rsidR="006112BB" w:rsidRPr="00D00DBA">
        <w:rPr>
          <w:rFonts w:cs="Arial"/>
          <w:bCs/>
          <w:iCs/>
          <w:sz w:val="20"/>
          <w:szCs w:val="20"/>
        </w:rPr>
        <w:t xml:space="preserve">. </w:t>
      </w:r>
    </w:p>
    <w:p w14:paraId="0042F1F4" w14:textId="77777777" w:rsidR="00EB680F" w:rsidRPr="00D00DBA" w:rsidRDefault="00EB680F" w:rsidP="00F154F0">
      <w:pPr>
        <w:jc w:val="both"/>
        <w:rPr>
          <w:rFonts w:cs="Arial"/>
          <w:sz w:val="20"/>
          <w:szCs w:val="20"/>
        </w:rPr>
      </w:pPr>
    </w:p>
    <w:p w14:paraId="720B2E50" w14:textId="77777777" w:rsidR="00F154F0" w:rsidRPr="00D00DBA" w:rsidRDefault="00F154F0" w:rsidP="00F154F0">
      <w:pPr>
        <w:jc w:val="both"/>
        <w:rPr>
          <w:rFonts w:cs="Arial"/>
          <w:sz w:val="20"/>
          <w:szCs w:val="20"/>
        </w:rPr>
      </w:pPr>
    </w:p>
    <w:p w14:paraId="24A888EC" w14:textId="77777777" w:rsidR="003F5664" w:rsidRPr="00D00DBA" w:rsidRDefault="003F5664" w:rsidP="00F154F0">
      <w:pPr>
        <w:pStyle w:val="Naslov2"/>
        <w:spacing w:after="0"/>
        <w:ind w:left="0"/>
        <w:rPr>
          <w:sz w:val="20"/>
          <w:szCs w:val="20"/>
        </w:rPr>
      </w:pPr>
      <w:bookmarkStart w:id="11" w:name="_Toc141708951"/>
      <w:bookmarkStart w:id="12" w:name="_Toc204329690"/>
      <w:r w:rsidRPr="00D00DBA">
        <w:rPr>
          <w:sz w:val="20"/>
          <w:szCs w:val="20"/>
        </w:rPr>
        <w:t>OBLIKE FINANČNIH INSTRUMENTOV</w:t>
      </w:r>
      <w:bookmarkEnd w:id="11"/>
      <w:bookmarkEnd w:id="12"/>
    </w:p>
    <w:p w14:paraId="56A31743" w14:textId="77777777" w:rsidR="00F154F0" w:rsidRPr="00D00DBA" w:rsidRDefault="00F154F0" w:rsidP="00F154F0">
      <w:pPr>
        <w:jc w:val="both"/>
        <w:rPr>
          <w:rFonts w:cs="Arial"/>
          <w:sz w:val="20"/>
          <w:szCs w:val="20"/>
        </w:rPr>
      </w:pPr>
    </w:p>
    <w:p w14:paraId="6FF1D10D" w14:textId="4C04F62B" w:rsidR="00B40BB2" w:rsidRPr="00D00DBA" w:rsidRDefault="00B40BB2" w:rsidP="00F154F0">
      <w:pPr>
        <w:jc w:val="both"/>
        <w:rPr>
          <w:rFonts w:cs="Arial"/>
          <w:sz w:val="20"/>
          <w:szCs w:val="20"/>
        </w:rPr>
      </w:pPr>
      <w:r w:rsidRPr="00D00DBA">
        <w:rPr>
          <w:rFonts w:cs="Arial"/>
          <w:sz w:val="20"/>
          <w:szCs w:val="20"/>
        </w:rPr>
        <w:t xml:space="preserve">NIFI temelji na </w:t>
      </w:r>
      <w:r w:rsidRPr="00D00DBA">
        <w:rPr>
          <w:rFonts w:cs="Arial"/>
          <w:bCs/>
          <w:iCs/>
          <w:sz w:val="20"/>
          <w:szCs w:val="20"/>
        </w:rPr>
        <w:t>spremembi PEKP</w:t>
      </w:r>
      <w:r w:rsidR="001170B7" w:rsidRPr="00D00DBA">
        <w:rPr>
          <w:rFonts w:cs="Arial"/>
          <w:bCs/>
          <w:iCs/>
          <w:sz w:val="20"/>
          <w:szCs w:val="20"/>
        </w:rPr>
        <w:t xml:space="preserve"> 2021-2027,</w:t>
      </w:r>
      <w:r w:rsidRPr="00D00DBA">
        <w:rPr>
          <w:rFonts w:cs="Arial"/>
          <w:bCs/>
          <w:iCs/>
          <w:sz w:val="20"/>
          <w:szCs w:val="20"/>
        </w:rPr>
        <w:t xml:space="preserve"> verzija 3.1.</w:t>
      </w:r>
      <w:r w:rsidR="001170B7" w:rsidRPr="00D00DBA">
        <w:rPr>
          <w:rFonts w:cs="Arial"/>
          <w:bCs/>
          <w:iCs/>
          <w:sz w:val="20"/>
          <w:szCs w:val="20"/>
        </w:rPr>
        <w:t xml:space="preserve">, </w:t>
      </w:r>
      <w:r w:rsidR="00F61896" w:rsidRPr="00D00DBA">
        <w:rPr>
          <w:rFonts w:cs="Arial"/>
          <w:bCs/>
          <w:iCs/>
          <w:sz w:val="20"/>
          <w:szCs w:val="20"/>
        </w:rPr>
        <w:t xml:space="preserve">in Izvedbenem načrtu programa (25.3). </w:t>
      </w:r>
    </w:p>
    <w:p w14:paraId="3400A4BC" w14:textId="77777777" w:rsidR="00957FDA" w:rsidRPr="00D00DBA" w:rsidRDefault="00957FDA" w:rsidP="00F154F0">
      <w:pPr>
        <w:jc w:val="both"/>
        <w:rPr>
          <w:rFonts w:cs="Arial"/>
          <w:sz w:val="20"/>
          <w:szCs w:val="20"/>
        </w:rPr>
      </w:pPr>
    </w:p>
    <w:p w14:paraId="1587E53D" w14:textId="472FE075" w:rsidR="006537B1" w:rsidRPr="00D00DBA" w:rsidRDefault="00EB48F1" w:rsidP="00F154F0">
      <w:pPr>
        <w:jc w:val="both"/>
        <w:rPr>
          <w:rFonts w:cs="Arial"/>
          <w:sz w:val="20"/>
          <w:szCs w:val="20"/>
        </w:rPr>
      </w:pPr>
      <w:r w:rsidRPr="00D00DBA">
        <w:rPr>
          <w:rFonts w:cs="Arial"/>
          <w:sz w:val="20"/>
          <w:szCs w:val="20"/>
        </w:rPr>
        <w:t xml:space="preserve">Predvideni </w:t>
      </w:r>
      <w:r w:rsidR="00231B90" w:rsidRPr="00D00DBA">
        <w:rPr>
          <w:rFonts w:cs="Arial"/>
          <w:sz w:val="20"/>
          <w:szCs w:val="20"/>
        </w:rPr>
        <w:t>FI</w:t>
      </w:r>
      <w:r w:rsidR="005C1582" w:rsidRPr="00D00DBA">
        <w:rPr>
          <w:rFonts w:cs="Arial"/>
          <w:sz w:val="20"/>
          <w:szCs w:val="20"/>
        </w:rPr>
        <w:t xml:space="preserve"> </w:t>
      </w:r>
      <w:r w:rsidRPr="00D00DBA">
        <w:rPr>
          <w:rFonts w:cs="Arial"/>
          <w:sz w:val="20"/>
          <w:szCs w:val="20"/>
        </w:rPr>
        <w:t>v programskem obdobju 2021–2027</w:t>
      </w:r>
      <w:r w:rsidR="00904756" w:rsidRPr="00D00DBA">
        <w:rPr>
          <w:rFonts w:cs="Arial"/>
          <w:sz w:val="20"/>
          <w:szCs w:val="20"/>
        </w:rPr>
        <w:t xml:space="preserve"> po naložbenih področjih</w:t>
      </w:r>
      <w:r w:rsidR="008604F6" w:rsidRPr="00D00DBA">
        <w:rPr>
          <w:rFonts w:cs="Arial"/>
          <w:sz w:val="20"/>
          <w:szCs w:val="20"/>
        </w:rPr>
        <w:t xml:space="preserve"> je </w:t>
      </w:r>
      <w:r w:rsidR="008604F6" w:rsidRPr="00D00DBA">
        <w:rPr>
          <w:rFonts w:cs="Arial"/>
          <w:b/>
          <w:bCs/>
          <w:sz w:val="20"/>
          <w:szCs w:val="20"/>
        </w:rPr>
        <w:t>f</w:t>
      </w:r>
      <w:r w:rsidR="006537B1" w:rsidRPr="00D00DBA">
        <w:rPr>
          <w:rFonts w:cs="Arial"/>
          <w:b/>
          <w:bCs/>
          <w:sz w:val="20"/>
          <w:szCs w:val="20"/>
        </w:rPr>
        <w:t>inančni instrument za spodbujanje solastništva zaposlenih</w:t>
      </w:r>
      <w:r w:rsidR="008604F6" w:rsidRPr="00D00DBA">
        <w:rPr>
          <w:rFonts w:cs="Arial"/>
          <w:b/>
          <w:bCs/>
          <w:sz w:val="20"/>
          <w:szCs w:val="20"/>
        </w:rPr>
        <w:t xml:space="preserve"> </w:t>
      </w:r>
      <w:r w:rsidR="008604F6" w:rsidRPr="00D00DBA">
        <w:rPr>
          <w:rFonts w:cs="Arial"/>
          <w:sz w:val="20"/>
          <w:szCs w:val="20"/>
        </w:rPr>
        <w:t xml:space="preserve">- v </w:t>
      </w:r>
      <w:r w:rsidR="006537B1" w:rsidRPr="00D00DBA">
        <w:rPr>
          <w:rFonts w:cs="Arial"/>
          <w:sz w:val="20"/>
          <w:szCs w:val="20"/>
        </w:rPr>
        <w:t xml:space="preserve">okviru </w:t>
      </w:r>
      <w:r w:rsidR="001170B7" w:rsidRPr="00D00DBA">
        <w:rPr>
          <w:rFonts w:cs="Arial"/>
          <w:sz w:val="20"/>
          <w:szCs w:val="20"/>
        </w:rPr>
        <w:t>specifičnega cilja ESO</w:t>
      </w:r>
      <w:r w:rsidR="00FF18F6" w:rsidRPr="00D00DBA">
        <w:rPr>
          <w:rFonts w:cs="Arial"/>
          <w:sz w:val="20"/>
          <w:szCs w:val="20"/>
        </w:rPr>
        <w:t xml:space="preserve"> 4.4</w:t>
      </w:r>
      <w:r w:rsidR="006537B1" w:rsidRPr="00D00DBA">
        <w:rPr>
          <w:rFonts w:cs="Arial"/>
          <w:sz w:val="20"/>
          <w:szCs w:val="20"/>
        </w:rPr>
        <w:t xml:space="preserve"> Spodbujanje prilagajanja delavcev, podjetij in podjetnikov na spremembe, aktivnega in zdravega staranja ter zdravega in dobro prilagojenega delovnega okolja, ki obravnava tveganja za zdravje Cilja politike 4 Bolj socialna in vključujoča Evropa za izvajanje evropskega stebra socialnih pravic</w:t>
      </w:r>
      <w:r w:rsidR="001170B7" w:rsidRPr="00D00DBA">
        <w:rPr>
          <w:rFonts w:cs="Arial"/>
          <w:sz w:val="20"/>
          <w:szCs w:val="20"/>
        </w:rPr>
        <w:t>.</w:t>
      </w:r>
      <w:r w:rsidR="008604F6" w:rsidRPr="00D00DBA">
        <w:rPr>
          <w:rFonts w:cs="Arial"/>
          <w:sz w:val="20"/>
          <w:szCs w:val="20"/>
        </w:rPr>
        <w:t xml:space="preserve"> Finančni produkt se bo oblikoval po izdelani študiji, ki bo naslovila tržno vrzel na področju delavskih odkupov. </w:t>
      </w:r>
    </w:p>
    <w:p w14:paraId="333BF290" w14:textId="77777777" w:rsidR="00957FDA" w:rsidRPr="00D00DBA" w:rsidRDefault="00957FDA" w:rsidP="00F154F0">
      <w:pPr>
        <w:jc w:val="both"/>
        <w:rPr>
          <w:rFonts w:cs="Arial"/>
          <w:sz w:val="20"/>
          <w:szCs w:val="20"/>
        </w:rPr>
      </w:pPr>
    </w:p>
    <w:p w14:paraId="4C8ED3F7" w14:textId="15446EC7" w:rsidR="00957FDA" w:rsidRPr="00D00DBA" w:rsidRDefault="00957FDA" w:rsidP="00957FDA">
      <w:pPr>
        <w:jc w:val="both"/>
        <w:rPr>
          <w:rFonts w:cs="Arial"/>
          <w:sz w:val="20"/>
          <w:szCs w:val="20"/>
        </w:rPr>
      </w:pPr>
      <w:r w:rsidRPr="00D00DBA">
        <w:rPr>
          <w:rFonts w:cs="Arial"/>
          <w:sz w:val="20"/>
          <w:szCs w:val="20"/>
        </w:rPr>
        <w:t xml:space="preserve">Na podlagi FI </w:t>
      </w:r>
      <w:proofErr w:type="spellStart"/>
      <w:r w:rsidRPr="00D00DBA">
        <w:rPr>
          <w:rFonts w:cs="Arial"/>
          <w:sz w:val="20"/>
          <w:szCs w:val="20"/>
        </w:rPr>
        <w:t>compass</w:t>
      </w:r>
      <w:proofErr w:type="spellEnd"/>
      <w:r w:rsidRPr="00D00DBA">
        <w:rPr>
          <w:rFonts w:cs="Arial"/>
          <w:sz w:val="20"/>
          <w:szCs w:val="20"/>
        </w:rPr>
        <w:t xml:space="preserve"> WBO SI in CRP študije so predlagane naslednje vsebinske zasnove finančnega inštrumenta za spodbujanje solastništva zaposlenih:</w:t>
      </w:r>
    </w:p>
    <w:p w14:paraId="1E668865" w14:textId="7C1BC0C5" w:rsidR="00957FDA" w:rsidRPr="00D00DBA" w:rsidRDefault="00957FDA" w:rsidP="00957FDA">
      <w:pPr>
        <w:pStyle w:val="Odstavekseznama"/>
        <w:numPr>
          <w:ilvl w:val="0"/>
          <w:numId w:val="17"/>
        </w:numPr>
        <w:spacing w:line="276" w:lineRule="auto"/>
        <w:jc w:val="both"/>
        <w:rPr>
          <w:rFonts w:ascii="Arial" w:eastAsia="Times New Roman" w:hAnsi="Arial" w:cs="Arial"/>
          <w:sz w:val="20"/>
          <w:szCs w:val="20"/>
        </w:rPr>
      </w:pPr>
      <w:r w:rsidRPr="00D00DBA">
        <w:rPr>
          <w:rFonts w:ascii="Arial" w:eastAsia="Times New Roman" w:hAnsi="Arial" w:cs="Arial"/>
          <w:b/>
          <w:bCs/>
          <w:sz w:val="20"/>
          <w:szCs w:val="20"/>
        </w:rPr>
        <w:t>finančni produkt</w:t>
      </w:r>
      <w:r w:rsidRPr="00D00DBA">
        <w:rPr>
          <w:rFonts w:ascii="Arial" w:eastAsia="Times New Roman" w:hAnsi="Arial" w:cs="Arial"/>
          <w:sz w:val="20"/>
          <w:szCs w:val="20"/>
        </w:rPr>
        <w:t xml:space="preserve"> s celotno vsebino bo vzpostavljen šele po izvedeni Študiji, ki bo naslovila tržno vrzel, ki bo naslovila ustrezne finančne instrumente. V okviru sprememb PEKP 3.1 je bil za SC4.4 iz strani MDDSZ in MKRR-OU podan predlog vpeljave finančnega instrumenta za področje delavskih odkupov iz sklada ESS+ na podlagi FI </w:t>
      </w:r>
      <w:proofErr w:type="spellStart"/>
      <w:r w:rsidRPr="00D00DBA">
        <w:rPr>
          <w:rFonts w:ascii="Arial" w:eastAsia="Times New Roman" w:hAnsi="Arial" w:cs="Arial"/>
          <w:sz w:val="20"/>
          <w:szCs w:val="20"/>
        </w:rPr>
        <w:t>compass</w:t>
      </w:r>
      <w:proofErr w:type="spellEnd"/>
      <w:r w:rsidRPr="00D00DBA">
        <w:rPr>
          <w:rFonts w:ascii="Arial" w:eastAsia="Times New Roman" w:hAnsi="Arial" w:cs="Arial"/>
          <w:sz w:val="20"/>
          <w:szCs w:val="20"/>
        </w:rPr>
        <w:t xml:space="preserve"> WBO SI. Navedena študija v poglavju 5. Market </w:t>
      </w:r>
      <w:proofErr w:type="spellStart"/>
      <w:r w:rsidRPr="00D00DBA">
        <w:rPr>
          <w:rFonts w:ascii="Arial" w:eastAsia="Times New Roman" w:hAnsi="Arial" w:cs="Arial"/>
          <w:sz w:val="20"/>
          <w:szCs w:val="20"/>
        </w:rPr>
        <w:t>gap</w:t>
      </w:r>
      <w:proofErr w:type="spellEnd"/>
      <w:r w:rsidRPr="00D00DBA">
        <w:rPr>
          <w:rFonts w:ascii="Arial" w:eastAsia="Times New Roman" w:hAnsi="Arial" w:cs="Arial"/>
          <w:sz w:val="20"/>
          <w:szCs w:val="20"/>
        </w:rPr>
        <w:t xml:space="preserve"> and </w:t>
      </w:r>
      <w:proofErr w:type="spellStart"/>
      <w:r w:rsidRPr="00D00DBA">
        <w:rPr>
          <w:rFonts w:ascii="Arial" w:eastAsia="Times New Roman" w:hAnsi="Arial" w:cs="Arial"/>
          <w:sz w:val="20"/>
          <w:szCs w:val="20"/>
        </w:rPr>
        <w:t>suboptimal</w:t>
      </w:r>
      <w:proofErr w:type="spellEnd"/>
      <w:r w:rsidRPr="00D00DBA">
        <w:rPr>
          <w:rFonts w:ascii="Arial" w:eastAsia="Times New Roman" w:hAnsi="Arial" w:cs="Arial"/>
          <w:sz w:val="20"/>
          <w:szCs w:val="20"/>
        </w:rPr>
        <w:t xml:space="preserve"> investment </w:t>
      </w:r>
      <w:proofErr w:type="spellStart"/>
      <w:r w:rsidRPr="00D00DBA">
        <w:rPr>
          <w:rFonts w:ascii="Arial" w:eastAsia="Times New Roman" w:hAnsi="Arial" w:cs="Arial"/>
          <w:sz w:val="20"/>
          <w:szCs w:val="20"/>
        </w:rPr>
        <w:t>situations</w:t>
      </w:r>
      <w:proofErr w:type="spellEnd"/>
      <w:r w:rsidRPr="00D00DBA">
        <w:rPr>
          <w:rFonts w:ascii="Arial" w:eastAsia="Times New Roman" w:hAnsi="Arial" w:cs="Arial"/>
          <w:sz w:val="20"/>
          <w:szCs w:val="20"/>
        </w:rPr>
        <w:t xml:space="preserve"> (stran 29) omenja potrebo po razvoju finančnega instrumenta, ki bo podpiral WBO (</w:t>
      </w:r>
      <w:proofErr w:type="spellStart"/>
      <w:r w:rsidRPr="00D00DBA">
        <w:rPr>
          <w:rFonts w:ascii="Arial" w:eastAsia="Times New Roman" w:hAnsi="Arial" w:cs="Arial"/>
          <w:sz w:val="20"/>
          <w:szCs w:val="20"/>
        </w:rPr>
        <w:t>Workers</w:t>
      </w:r>
      <w:proofErr w:type="spellEnd"/>
      <w:r w:rsidRPr="00D00DBA">
        <w:rPr>
          <w:rFonts w:ascii="Arial" w:eastAsia="Times New Roman" w:hAnsi="Arial" w:cs="Arial"/>
          <w:sz w:val="20"/>
          <w:szCs w:val="20"/>
        </w:rPr>
        <w:t xml:space="preserve"> </w:t>
      </w:r>
      <w:proofErr w:type="spellStart"/>
      <w:r w:rsidRPr="00D00DBA">
        <w:rPr>
          <w:rFonts w:ascii="Arial" w:eastAsia="Times New Roman" w:hAnsi="Arial" w:cs="Arial"/>
          <w:sz w:val="20"/>
          <w:szCs w:val="20"/>
        </w:rPr>
        <w:t>buyout</w:t>
      </w:r>
      <w:proofErr w:type="spellEnd"/>
      <w:r w:rsidRPr="00D00DBA">
        <w:rPr>
          <w:rFonts w:ascii="Arial" w:eastAsia="Times New Roman" w:hAnsi="Arial" w:cs="Arial"/>
          <w:sz w:val="20"/>
          <w:szCs w:val="20"/>
        </w:rPr>
        <w:t xml:space="preserve"> model). Dokument navaja možnosti kombinacije posojil, garancij in tehnične pomoči v sodelovanju za nacionalnimi bankami v okviru sklada ESS+. Na podlagi teh opredelitev smo skupaj z MKRR-OU v spremembo PEKP 3.1 zapisali možnosti razvoja finančnih produktov pod obliko financiranja 04 – Podpora preko finančnih instrumentov: jamstva in 03 – Podpora preko finančnih instrumentov posojila. Tudi CRP študija analizira model kreditnih shem za odkupe deležev. Predlagani so tudi potrebni finančni mehanizmi za izvedbo notranjih odkupov, kot so ugodna posojila, davčne olajšave, državne garancije.</w:t>
      </w:r>
    </w:p>
    <w:p w14:paraId="5E8B401D" w14:textId="0DE91C52" w:rsidR="00957FDA" w:rsidRPr="00D00DBA" w:rsidRDefault="00957FDA" w:rsidP="00957FDA">
      <w:pPr>
        <w:pStyle w:val="Odstavekseznama"/>
        <w:numPr>
          <w:ilvl w:val="0"/>
          <w:numId w:val="17"/>
        </w:numPr>
        <w:spacing w:line="276" w:lineRule="auto"/>
        <w:jc w:val="both"/>
        <w:rPr>
          <w:rFonts w:ascii="Arial" w:eastAsia="Times New Roman" w:hAnsi="Arial" w:cs="Arial"/>
          <w:sz w:val="20"/>
          <w:szCs w:val="20"/>
        </w:rPr>
      </w:pPr>
      <w:r w:rsidRPr="00D00DBA">
        <w:rPr>
          <w:rFonts w:ascii="Arial" w:eastAsia="Times New Roman" w:hAnsi="Arial" w:cs="Arial"/>
          <w:b/>
          <w:bCs/>
          <w:sz w:val="20"/>
          <w:szCs w:val="20"/>
        </w:rPr>
        <w:lastRenderedPageBreak/>
        <w:t>ciljne skupine</w:t>
      </w:r>
      <w:r w:rsidRPr="00D00DBA">
        <w:rPr>
          <w:rFonts w:ascii="Arial" w:eastAsia="Times New Roman" w:hAnsi="Arial" w:cs="Arial"/>
          <w:sz w:val="20"/>
          <w:szCs w:val="20"/>
        </w:rPr>
        <w:t xml:space="preserve"> so predlagana podjetja z vsaj 5 zaposlenimi v Sloveniji s poudarkom na mikro malih in srednjih podjetjih (MSP). Izpostavljena so tudi podjetja z lastniki, starejšimi od 55 let, ki se bližajo prenosu lastništva, a le tega nimajo zagotovljenega. </w:t>
      </w:r>
    </w:p>
    <w:p w14:paraId="1F2785EF" w14:textId="50D3792D" w:rsidR="00957FDA" w:rsidRPr="00D00DBA" w:rsidRDefault="00957FDA" w:rsidP="00957FDA">
      <w:pPr>
        <w:pStyle w:val="Odstavekseznama"/>
        <w:numPr>
          <w:ilvl w:val="0"/>
          <w:numId w:val="17"/>
        </w:numPr>
        <w:spacing w:line="276" w:lineRule="auto"/>
        <w:jc w:val="both"/>
        <w:rPr>
          <w:rFonts w:ascii="Arial" w:eastAsia="Times New Roman" w:hAnsi="Arial" w:cs="Arial"/>
          <w:sz w:val="20"/>
          <w:szCs w:val="20"/>
        </w:rPr>
      </w:pPr>
      <w:r w:rsidRPr="00D00DBA">
        <w:rPr>
          <w:rFonts w:ascii="Arial" w:eastAsia="Times New Roman" w:hAnsi="Arial" w:cs="Arial"/>
          <w:b/>
          <w:bCs/>
          <w:sz w:val="20"/>
          <w:szCs w:val="20"/>
        </w:rPr>
        <w:t>kriteriji upravičenosti</w:t>
      </w:r>
      <w:r w:rsidRPr="00D00DBA">
        <w:rPr>
          <w:rFonts w:ascii="Arial" w:eastAsia="Times New Roman" w:hAnsi="Arial" w:cs="Arial"/>
          <w:sz w:val="20"/>
          <w:szCs w:val="20"/>
        </w:rPr>
        <w:t xml:space="preserve"> – podjetja z vsaj 5 zaposlenimi, podjetja z visoko koncentracijo lastništva, podjetja v postopku nasledstva, podjetja v regijah z manjšo institucionalno podporo. </w:t>
      </w:r>
    </w:p>
    <w:p w14:paraId="4A49DCCB" w14:textId="3BF4716A" w:rsidR="00957FDA" w:rsidRPr="00D00DBA" w:rsidRDefault="00957FDA" w:rsidP="00957FDA">
      <w:pPr>
        <w:pStyle w:val="Odstavekseznama"/>
        <w:numPr>
          <w:ilvl w:val="0"/>
          <w:numId w:val="17"/>
        </w:numPr>
        <w:spacing w:line="276" w:lineRule="auto"/>
        <w:jc w:val="both"/>
        <w:rPr>
          <w:rFonts w:ascii="Arial" w:eastAsia="Times New Roman" w:hAnsi="Arial" w:cs="Arial"/>
          <w:sz w:val="20"/>
          <w:szCs w:val="20"/>
        </w:rPr>
      </w:pPr>
      <w:r w:rsidRPr="00D00DBA">
        <w:rPr>
          <w:rFonts w:ascii="Arial" w:eastAsia="Times New Roman" w:hAnsi="Arial" w:cs="Arial"/>
          <w:b/>
          <w:bCs/>
          <w:sz w:val="20"/>
          <w:szCs w:val="20"/>
        </w:rPr>
        <w:t>Mehanizmi dodeljevanja sredstev</w:t>
      </w:r>
      <w:r w:rsidRPr="00D00DBA">
        <w:rPr>
          <w:rFonts w:ascii="Arial" w:eastAsia="Times New Roman" w:hAnsi="Arial" w:cs="Arial"/>
          <w:sz w:val="20"/>
          <w:szCs w:val="20"/>
        </w:rPr>
        <w:t xml:space="preserve">: posojila in garancijske sheme za notranje odkupe, sistem svetovalne podpore preko regionalnih agencij ali zbornic, ter davčne olajšave pri prenosu za zaposlene, </w:t>
      </w:r>
    </w:p>
    <w:p w14:paraId="0EA82FB7" w14:textId="77777777" w:rsidR="00957FDA" w:rsidRPr="00D00DBA" w:rsidRDefault="00957FDA" w:rsidP="00957FDA">
      <w:pPr>
        <w:pStyle w:val="Odstavekseznama"/>
        <w:numPr>
          <w:ilvl w:val="0"/>
          <w:numId w:val="17"/>
        </w:numPr>
        <w:spacing w:line="276" w:lineRule="auto"/>
        <w:jc w:val="both"/>
        <w:rPr>
          <w:rFonts w:ascii="Arial" w:eastAsia="Times New Roman" w:hAnsi="Arial" w:cs="Arial"/>
          <w:sz w:val="20"/>
          <w:szCs w:val="20"/>
        </w:rPr>
      </w:pPr>
      <w:r w:rsidRPr="00D00DBA">
        <w:rPr>
          <w:rFonts w:ascii="Arial" w:eastAsia="Times New Roman" w:hAnsi="Arial" w:cs="Arial"/>
          <w:b/>
          <w:bCs/>
          <w:sz w:val="20"/>
          <w:szCs w:val="20"/>
        </w:rPr>
        <w:t>Vloga izvajalcev</w:t>
      </w:r>
      <w:r w:rsidRPr="00D00DBA">
        <w:rPr>
          <w:rFonts w:ascii="Arial" w:eastAsia="Times New Roman" w:hAnsi="Arial" w:cs="Arial"/>
          <w:sz w:val="20"/>
          <w:szCs w:val="20"/>
        </w:rPr>
        <w:t xml:space="preserve"> – poročilo CRP študije predlaga da bi regionalne in razvojne agencije, gospodarske zbornice in državne institucije morale imeti vlogo izvajalca podpornih ukrepov (tudi svetovanje, informiranje in financiranje notranjih odkupov). Po predlogu MKRR-OU in predhodno izvedenem sestanku s SID banko (potencialni izvajalec finančnega instrumenta) pa se predlaga vzpostavitev Posebnega sklada za upravljanje s finančnim inštrumentom za delavske odkupe iz sklada ESS+. Pristopili bi k izvedbi pilotnega projekta za vzpostavitev FI za delavske odkupe po podpisu Sporazuma o financiranju med SID banko in MDDSZ, kar bo dodatno še naslovila Študija, ki bo naslovila tržno vrzel. </w:t>
      </w:r>
    </w:p>
    <w:p w14:paraId="653B3C65" w14:textId="77777777" w:rsidR="00957FDA" w:rsidRPr="00D00DBA" w:rsidRDefault="00957FDA" w:rsidP="00957FDA">
      <w:pPr>
        <w:pStyle w:val="Odstavekseznama"/>
        <w:numPr>
          <w:ilvl w:val="0"/>
          <w:numId w:val="17"/>
        </w:numPr>
        <w:spacing w:line="276" w:lineRule="auto"/>
        <w:jc w:val="both"/>
        <w:rPr>
          <w:rFonts w:ascii="Arial" w:eastAsia="Times New Roman" w:hAnsi="Arial" w:cs="Arial"/>
          <w:sz w:val="20"/>
          <w:szCs w:val="20"/>
        </w:rPr>
      </w:pPr>
      <w:r w:rsidRPr="00D00DBA">
        <w:rPr>
          <w:rFonts w:ascii="Arial" w:eastAsia="Times New Roman" w:hAnsi="Arial" w:cs="Arial"/>
          <w:b/>
          <w:bCs/>
          <w:sz w:val="20"/>
          <w:szCs w:val="20"/>
        </w:rPr>
        <w:t>Način spremljanja učinkov</w:t>
      </w:r>
      <w:r w:rsidRPr="00D00DBA">
        <w:rPr>
          <w:rFonts w:ascii="Arial" w:eastAsia="Times New Roman" w:hAnsi="Arial" w:cs="Arial"/>
          <w:sz w:val="20"/>
          <w:szCs w:val="20"/>
        </w:rPr>
        <w:t xml:space="preserve"> – je predlagan kot kazalniki za oceno uspešnosti reševanja problema nasledstva, kot so stabilnost podjetja, kontinuiteta poslovanja, motivacija zaposlenih. Lahko pa se uporabi tudi indikatorje za evalvacijo prihodnjih politik, npr. delež podjetij z vzpostavljenimi načrti nasledstev, delež uspešno izvedenih notranjih odkupov,…</w:t>
      </w:r>
    </w:p>
    <w:p w14:paraId="2BC585D2" w14:textId="77777777" w:rsidR="00957FDA" w:rsidRPr="00D00DBA" w:rsidRDefault="00957FDA" w:rsidP="00F154F0">
      <w:pPr>
        <w:jc w:val="both"/>
        <w:rPr>
          <w:rFonts w:cs="Arial"/>
          <w:sz w:val="20"/>
          <w:szCs w:val="20"/>
        </w:rPr>
      </w:pPr>
    </w:p>
    <w:p w14:paraId="7000B9D3" w14:textId="77777777" w:rsidR="006537B1" w:rsidRPr="00D00DBA" w:rsidRDefault="006537B1" w:rsidP="00F154F0">
      <w:pPr>
        <w:jc w:val="both"/>
        <w:rPr>
          <w:rFonts w:cs="Arial"/>
          <w:sz w:val="20"/>
          <w:szCs w:val="20"/>
        </w:rPr>
      </w:pPr>
    </w:p>
    <w:p w14:paraId="479E80C6" w14:textId="77777777" w:rsidR="00F154F0" w:rsidRPr="00D00DBA" w:rsidRDefault="00F154F0" w:rsidP="00F154F0">
      <w:pPr>
        <w:jc w:val="both"/>
        <w:rPr>
          <w:rFonts w:cs="Arial"/>
          <w:sz w:val="20"/>
          <w:szCs w:val="20"/>
        </w:rPr>
      </w:pPr>
    </w:p>
    <w:p w14:paraId="3E0C0D34" w14:textId="496B950C" w:rsidR="00E75AC8" w:rsidRPr="00D00DBA" w:rsidRDefault="00E814D9" w:rsidP="00F154F0">
      <w:pPr>
        <w:pStyle w:val="Naslov2"/>
        <w:spacing w:after="0"/>
        <w:ind w:left="0"/>
        <w:jc w:val="both"/>
        <w:rPr>
          <w:sz w:val="20"/>
          <w:szCs w:val="20"/>
        </w:rPr>
      </w:pPr>
      <w:bookmarkStart w:id="13" w:name="_Toc139318765"/>
      <w:bookmarkStart w:id="14" w:name="_Toc139318766"/>
      <w:bookmarkStart w:id="15" w:name="_Toc139318767"/>
      <w:bookmarkStart w:id="16" w:name="_Toc139318768"/>
      <w:bookmarkStart w:id="17" w:name="_Toc139318769"/>
      <w:bookmarkStart w:id="18" w:name="_Toc139318770"/>
      <w:bookmarkStart w:id="19" w:name="_Toc139318771"/>
      <w:bookmarkStart w:id="20" w:name="_Toc139318772"/>
      <w:bookmarkStart w:id="21" w:name="_Toc139318773"/>
      <w:bookmarkStart w:id="22" w:name="_Toc139318774"/>
      <w:bookmarkStart w:id="23" w:name="_Toc139318775"/>
      <w:bookmarkStart w:id="24" w:name="_Toc141708952"/>
      <w:bookmarkStart w:id="25" w:name="_Toc204329691"/>
      <w:bookmarkStart w:id="26" w:name="_Toc51325417"/>
      <w:bookmarkEnd w:id="13"/>
      <w:bookmarkEnd w:id="14"/>
      <w:bookmarkEnd w:id="15"/>
      <w:bookmarkEnd w:id="16"/>
      <w:bookmarkEnd w:id="17"/>
      <w:bookmarkEnd w:id="18"/>
      <w:bookmarkEnd w:id="19"/>
      <w:bookmarkEnd w:id="20"/>
      <w:bookmarkEnd w:id="21"/>
      <w:bookmarkEnd w:id="22"/>
      <w:bookmarkEnd w:id="23"/>
      <w:r w:rsidRPr="00D00DBA">
        <w:rPr>
          <w:sz w:val="20"/>
          <w:szCs w:val="20"/>
        </w:rPr>
        <w:t xml:space="preserve">NAČRTOVAN </w:t>
      </w:r>
      <w:r w:rsidR="003F5664" w:rsidRPr="00D00DBA">
        <w:rPr>
          <w:sz w:val="20"/>
          <w:szCs w:val="20"/>
        </w:rPr>
        <w:t xml:space="preserve">OBSEG </w:t>
      </w:r>
      <w:r w:rsidRPr="00D00DBA">
        <w:rPr>
          <w:sz w:val="20"/>
          <w:szCs w:val="20"/>
        </w:rPr>
        <w:t xml:space="preserve">EU </w:t>
      </w:r>
      <w:r w:rsidR="003F5664" w:rsidRPr="00D00DBA">
        <w:rPr>
          <w:sz w:val="20"/>
          <w:szCs w:val="20"/>
        </w:rPr>
        <w:t>SREDSTEV</w:t>
      </w:r>
      <w:r w:rsidRPr="00D00DBA">
        <w:rPr>
          <w:sz w:val="20"/>
          <w:szCs w:val="20"/>
        </w:rPr>
        <w:t xml:space="preserve"> FINANČNIH INSTRUMENTOV</w:t>
      </w:r>
      <w:r w:rsidR="003F5664" w:rsidRPr="00D00DBA">
        <w:rPr>
          <w:sz w:val="20"/>
          <w:szCs w:val="20"/>
        </w:rPr>
        <w:t xml:space="preserve"> TER </w:t>
      </w:r>
      <w:r w:rsidR="0090093E" w:rsidRPr="00D00DBA">
        <w:rPr>
          <w:sz w:val="20"/>
          <w:szCs w:val="20"/>
        </w:rPr>
        <w:t xml:space="preserve">OKVIRNA </w:t>
      </w:r>
      <w:r w:rsidR="003F5664" w:rsidRPr="00D00DBA">
        <w:rPr>
          <w:sz w:val="20"/>
          <w:szCs w:val="20"/>
        </w:rPr>
        <w:t xml:space="preserve">DINAMIKA IZPLAČIL SREDSTEV </w:t>
      </w:r>
      <w:r w:rsidR="00B56042" w:rsidRPr="00D00DBA">
        <w:rPr>
          <w:sz w:val="20"/>
          <w:szCs w:val="20"/>
        </w:rPr>
        <w:t xml:space="preserve">IZVAJALCU </w:t>
      </w:r>
      <w:r w:rsidR="003F5664" w:rsidRPr="00D00DBA">
        <w:rPr>
          <w:sz w:val="20"/>
          <w:szCs w:val="20"/>
        </w:rPr>
        <w:t>FINANČNIH INSTRUMENTOV</w:t>
      </w:r>
      <w:bookmarkEnd w:id="24"/>
      <w:bookmarkEnd w:id="25"/>
      <w:r w:rsidR="003F5664" w:rsidRPr="00D00DBA">
        <w:rPr>
          <w:sz w:val="20"/>
          <w:szCs w:val="20"/>
        </w:rPr>
        <w:t xml:space="preserve">  </w:t>
      </w:r>
      <w:bookmarkStart w:id="27" w:name="_Hlk141357236"/>
      <w:bookmarkEnd w:id="26"/>
    </w:p>
    <w:p w14:paraId="29D6C311" w14:textId="064FE505" w:rsidR="00DC0A1A" w:rsidRPr="00D00DBA" w:rsidRDefault="00DC0A1A" w:rsidP="00F154F0">
      <w:pPr>
        <w:jc w:val="both"/>
        <w:rPr>
          <w:rFonts w:cs="Arial"/>
          <w:sz w:val="20"/>
          <w:szCs w:val="20"/>
        </w:rPr>
      </w:pPr>
    </w:p>
    <w:p w14:paraId="59EF2B3D" w14:textId="0D2215EF" w:rsidR="008604F6" w:rsidRPr="00D00DBA" w:rsidRDefault="008604F6" w:rsidP="008604F6">
      <w:pPr>
        <w:jc w:val="both"/>
        <w:rPr>
          <w:rFonts w:cs="Arial"/>
          <w:sz w:val="20"/>
          <w:szCs w:val="20"/>
        </w:rPr>
      </w:pPr>
      <w:r w:rsidRPr="00D00DBA">
        <w:rPr>
          <w:rFonts w:cs="Arial"/>
          <w:sz w:val="20"/>
          <w:szCs w:val="20"/>
        </w:rPr>
        <w:t>V skladu z drugim odstavkom 65. člena Zakona o izvrševanju proračunov RS za leti 2025 in 2026 (Uradni list RS, št. </w:t>
      </w:r>
      <w:hyperlink r:id="rId10" w:tgtFrame="_blank" w:tooltip="Zakon o izvrševanju proračunov Republike Slovenije za leti 2024 in 2025 (ZIPRS2425)" w:history="1">
        <w:r w:rsidRPr="00D00DBA">
          <w:rPr>
            <w:rStyle w:val="Hiperpovezava"/>
            <w:rFonts w:cs="Arial"/>
            <w:sz w:val="20"/>
            <w:szCs w:val="20"/>
          </w:rPr>
          <w:t>104/2</w:t>
        </w:r>
      </w:hyperlink>
      <w:r w:rsidRPr="00D00DBA">
        <w:rPr>
          <w:rFonts w:cs="Arial"/>
          <w:sz w:val="20"/>
          <w:szCs w:val="20"/>
        </w:rPr>
        <w:t xml:space="preserve">4, 17/25 – ZFO-1E in 32/25 – ZJU-1, v nadaljevanju: ZIPRS2526) se prejeta sredstva EU za izvajanje FI ne izkazujejo kot prihodek proračuna Republike Slovenije, temveč se do zaključka izvedbe posameznega finančnega instrumenta izkazujejo samo v bilanci stanja. </w:t>
      </w:r>
    </w:p>
    <w:p w14:paraId="475AA9E3" w14:textId="77777777" w:rsidR="008604F6" w:rsidRPr="00D00DBA" w:rsidRDefault="008604F6" w:rsidP="008604F6">
      <w:pPr>
        <w:jc w:val="both"/>
        <w:rPr>
          <w:rFonts w:cs="Arial"/>
          <w:sz w:val="20"/>
          <w:szCs w:val="20"/>
        </w:rPr>
      </w:pPr>
    </w:p>
    <w:p w14:paraId="028C2C84" w14:textId="45869E23" w:rsidR="00DC0A1A" w:rsidRPr="00D00DBA" w:rsidRDefault="008604F6" w:rsidP="008604F6">
      <w:pPr>
        <w:jc w:val="both"/>
        <w:rPr>
          <w:rFonts w:cs="Arial"/>
          <w:sz w:val="20"/>
          <w:szCs w:val="20"/>
        </w:rPr>
      </w:pPr>
      <w:r w:rsidRPr="00D00DBA">
        <w:rPr>
          <w:rFonts w:cs="Arial"/>
          <w:sz w:val="20"/>
          <w:szCs w:val="20"/>
        </w:rPr>
        <w:t>NIFI obsega ukrepe FI, ki se skladno s 65. členom ZIPRS2526 vodijo v bilanci stanja, izven bilance A državnega proračuna RS. Sredstva za FI se v skladu s petim odstavkom 58. člena Uredbe (EU) 2021/1060 zagotavljajo neposredno iz podračunov pri Banki Slovenije, katerih upravljanje je v pristojnosti Ministrstva za finance. </w:t>
      </w:r>
      <w:r w:rsidR="00DC0A1A" w:rsidRPr="00D00DBA">
        <w:rPr>
          <w:rFonts w:cs="Arial"/>
          <w:sz w:val="20"/>
          <w:szCs w:val="20"/>
        </w:rPr>
        <w:t xml:space="preserve">  </w:t>
      </w:r>
    </w:p>
    <w:p w14:paraId="2A891C99" w14:textId="77777777" w:rsidR="00DC0A1A" w:rsidRPr="00D00DBA" w:rsidRDefault="00DC0A1A" w:rsidP="00F154F0">
      <w:pPr>
        <w:jc w:val="both"/>
        <w:rPr>
          <w:rFonts w:cs="Arial"/>
          <w:sz w:val="20"/>
          <w:szCs w:val="20"/>
        </w:rPr>
      </w:pPr>
    </w:p>
    <w:p w14:paraId="2CF0E854" w14:textId="007CAC44" w:rsidR="00603D74" w:rsidRPr="00D00DBA" w:rsidRDefault="00603D74" w:rsidP="00F154F0">
      <w:pPr>
        <w:jc w:val="both"/>
        <w:rPr>
          <w:rFonts w:cs="Arial"/>
          <w:sz w:val="20"/>
          <w:szCs w:val="20"/>
        </w:rPr>
      </w:pPr>
      <w:r w:rsidRPr="00D00DBA">
        <w:rPr>
          <w:rFonts w:cs="Arial"/>
        </w:rPr>
        <w:t xml:space="preserve">Spodnje tabele načrtovanih FI izhajajo iz trenutnih prerazporeditev znotraj PEKP 3.1. na katerega tudi Evropska komisija tekom usklajevanja sprememb PEKP verzija 3.1 ni podala nobenih pripomb po razlagi, da bo pred dodelitvijo programskega prispevka v finančni instrument izvedena </w:t>
      </w:r>
      <w:r w:rsidRPr="00D00DBA">
        <w:rPr>
          <w:rFonts w:cs="Arial"/>
          <w:i/>
          <w:iCs/>
        </w:rPr>
        <w:t>Študija, ki bo naslovila tržno vrzel</w:t>
      </w:r>
      <w:r w:rsidRPr="00D00DBA">
        <w:rPr>
          <w:rFonts w:cs="Arial"/>
        </w:rPr>
        <w:t xml:space="preserve">  v skladu s tretjim odstavkom 58 člena Uredbe 2021/1060. Študija bo upravičila tudi merila stroškovne učinkovitosti finančnega instrumenta, na kar nas napotujeta že izvedena dokumenta FI </w:t>
      </w:r>
      <w:proofErr w:type="spellStart"/>
      <w:r w:rsidRPr="00D00DBA">
        <w:rPr>
          <w:rFonts w:cs="Arial"/>
        </w:rPr>
        <w:t>compass</w:t>
      </w:r>
      <w:proofErr w:type="spellEnd"/>
      <w:r w:rsidRPr="00D00DBA">
        <w:rPr>
          <w:rFonts w:cs="Arial"/>
        </w:rPr>
        <w:t xml:space="preserve"> WBO SI in CRP študija.</w:t>
      </w:r>
    </w:p>
    <w:p w14:paraId="340CCEAB" w14:textId="77777777" w:rsidR="00603D74" w:rsidRPr="00D00DBA" w:rsidRDefault="00603D74" w:rsidP="00F154F0">
      <w:pPr>
        <w:jc w:val="both"/>
        <w:rPr>
          <w:rFonts w:cs="Arial"/>
          <w:sz w:val="20"/>
          <w:szCs w:val="20"/>
        </w:rPr>
      </w:pPr>
    </w:p>
    <w:p w14:paraId="2FE9459C" w14:textId="71639A69" w:rsidR="00DC0A1A" w:rsidRPr="00D00DBA" w:rsidRDefault="00DC0A1A" w:rsidP="00DC0A1A">
      <w:pPr>
        <w:jc w:val="both"/>
        <w:rPr>
          <w:rFonts w:cs="Arial"/>
          <w:sz w:val="20"/>
          <w:szCs w:val="20"/>
        </w:rPr>
      </w:pPr>
      <w:r w:rsidRPr="00D00DBA">
        <w:rPr>
          <w:rFonts w:cs="Arial"/>
          <w:sz w:val="20"/>
          <w:szCs w:val="20"/>
        </w:rPr>
        <w:t xml:space="preserve">Višina načrtovanih EU sredstev za </w:t>
      </w:r>
      <w:r w:rsidR="00A6520A" w:rsidRPr="00D00DBA">
        <w:rPr>
          <w:rFonts w:cs="Arial"/>
          <w:sz w:val="20"/>
          <w:szCs w:val="20"/>
        </w:rPr>
        <w:t xml:space="preserve">izkazan </w:t>
      </w:r>
      <w:r w:rsidRPr="00D00DBA">
        <w:rPr>
          <w:rFonts w:cs="Arial"/>
          <w:sz w:val="20"/>
          <w:szCs w:val="20"/>
        </w:rPr>
        <w:t xml:space="preserve">FI v programskem obdobju 2021-2027 je </w:t>
      </w:r>
      <w:r w:rsidR="00FF18F6" w:rsidRPr="00D00DBA">
        <w:rPr>
          <w:rFonts w:cs="Arial"/>
          <w:sz w:val="20"/>
          <w:szCs w:val="20"/>
        </w:rPr>
        <w:t>6,25 milijona</w:t>
      </w:r>
      <w:r w:rsidR="00A57208" w:rsidRPr="00D00DBA">
        <w:rPr>
          <w:rFonts w:cs="Arial"/>
          <w:sz w:val="20"/>
          <w:szCs w:val="20"/>
        </w:rPr>
        <w:t xml:space="preserve"> </w:t>
      </w:r>
      <w:r w:rsidRPr="00D00DBA">
        <w:rPr>
          <w:rFonts w:cs="Arial"/>
          <w:sz w:val="20"/>
          <w:szCs w:val="20"/>
        </w:rPr>
        <w:t>EUR</w:t>
      </w:r>
      <w:r w:rsidR="001170B7" w:rsidRPr="00D00DBA">
        <w:rPr>
          <w:rFonts w:cs="Arial"/>
          <w:sz w:val="20"/>
          <w:szCs w:val="20"/>
        </w:rPr>
        <w:t>,</w:t>
      </w:r>
      <w:r w:rsidRPr="00D00DBA">
        <w:rPr>
          <w:rFonts w:cs="Arial"/>
          <w:sz w:val="20"/>
          <w:szCs w:val="20"/>
        </w:rPr>
        <w:t xml:space="preserve"> kot </w:t>
      </w:r>
      <w:r w:rsidR="00893CAE" w:rsidRPr="00D00DBA">
        <w:rPr>
          <w:rFonts w:cs="Arial"/>
          <w:sz w:val="20"/>
          <w:szCs w:val="20"/>
        </w:rPr>
        <w:t xml:space="preserve">izhaja iz </w:t>
      </w:r>
      <w:r w:rsidRPr="00D00DBA">
        <w:rPr>
          <w:rFonts w:cs="Arial"/>
          <w:sz w:val="20"/>
          <w:szCs w:val="20"/>
        </w:rPr>
        <w:t>spodnj</w:t>
      </w:r>
      <w:r w:rsidR="00893CAE" w:rsidRPr="00D00DBA">
        <w:rPr>
          <w:rFonts w:cs="Arial"/>
          <w:sz w:val="20"/>
          <w:szCs w:val="20"/>
        </w:rPr>
        <w:t>e</w:t>
      </w:r>
      <w:r w:rsidRPr="00D00DBA">
        <w:rPr>
          <w:rFonts w:cs="Arial"/>
          <w:sz w:val="20"/>
          <w:szCs w:val="20"/>
        </w:rPr>
        <w:t xml:space="preserve"> tabel</w:t>
      </w:r>
      <w:r w:rsidR="00893CAE" w:rsidRPr="00D00DBA">
        <w:rPr>
          <w:rFonts w:cs="Arial"/>
          <w:sz w:val="20"/>
          <w:szCs w:val="20"/>
        </w:rPr>
        <w:t>e</w:t>
      </w:r>
      <w:r w:rsidR="001170B7" w:rsidRPr="00D00DBA">
        <w:rPr>
          <w:rFonts w:cs="Arial"/>
          <w:sz w:val="20"/>
          <w:szCs w:val="20"/>
        </w:rPr>
        <w:t>:</w:t>
      </w:r>
    </w:p>
    <w:p w14:paraId="4481CA54" w14:textId="77777777" w:rsidR="003B1E42" w:rsidRPr="00D00DBA" w:rsidRDefault="003B1E42" w:rsidP="00F154F0">
      <w:pPr>
        <w:jc w:val="both"/>
        <w:rPr>
          <w:rFonts w:cs="Arial"/>
          <w:sz w:val="20"/>
          <w:szCs w:val="20"/>
        </w:rPr>
      </w:pPr>
    </w:p>
    <w:p w14:paraId="773BF5D6" w14:textId="4211B0A8" w:rsidR="006C4EEF" w:rsidRPr="00D00DBA" w:rsidRDefault="003B1E42" w:rsidP="00F154F0">
      <w:pPr>
        <w:jc w:val="both"/>
        <w:rPr>
          <w:rFonts w:cs="Arial"/>
          <w:sz w:val="20"/>
          <w:szCs w:val="20"/>
        </w:rPr>
      </w:pPr>
      <w:r w:rsidRPr="00D00DBA">
        <w:rPr>
          <w:rFonts w:cs="Arial"/>
          <w:sz w:val="20"/>
          <w:szCs w:val="20"/>
        </w:rPr>
        <w:t xml:space="preserve">Tabela </w:t>
      </w:r>
      <w:r w:rsidR="00E2498D" w:rsidRPr="00D00DBA">
        <w:rPr>
          <w:rFonts w:cs="Arial"/>
          <w:sz w:val="20"/>
          <w:szCs w:val="20"/>
        </w:rPr>
        <w:t>1</w:t>
      </w:r>
      <w:r w:rsidR="00A60F48" w:rsidRPr="00D00DBA">
        <w:rPr>
          <w:rFonts w:cs="Arial"/>
          <w:sz w:val="20"/>
          <w:szCs w:val="20"/>
        </w:rPr>
        <w:t>:</w:t>
      </w:r>
      <w:r w:rsidRPr="00D00DBA">
        <w:rPr>
          <w:rFonts w:cs="Arial"/>
          <w:sz w:val="20"/>
          <w:szCs w:val="20"/>
        </w:rPr>
        <w:t xml:space="preserve"> </w:t>
      </w:r>
      <w:r w:rsidR="00A60F48" w:rsidRPr="00D00DBA">
        <w:rPr>
          <w:rFonts w:cs="Arial"/>
          <w:sz w:val="20"/>
          <w:szCs w:val="20"/>
        </w:rPr>
        <w:t xml:space="preserve">Načrtovani </w:t>
      </w:r>
      <w:r w:rsidR="00636A95" w:rsidRPr="00D00DBA">
        <w:rPr>
          <w:rFonts w:cs="Arial"/>
          <w:sz w:val="20"/>
          <w:szCs w:val="20"/>
        </w:rPr>
        <w:t>FI</w:t>
      </w:r>
      <w:r w:rsidR="00A60F48" w:rsidRPr="00D00DBA">
        <w:rPr>
          <w:rFonts w:cs="Arial"/>
          <w:sz w:val="20"/>
          <w:szCs w:val="20"/>
        </w:rPr>
        <w:t xml:space="preserve"> z opredeljenimi ciljnimi skupinami in prikazanim obsegom sredstev po posameznih področjih</w:t>
      </w:r>
      <w:r w:rsidR="00A060CD" w:rsidRPr="00D00DBA">
        <w:rPr>
          <w:rFonts w:cs="Arial"/>
          <w:sz w:val="20"/>
          <w:szCs w:val="20"/>
        </w:rPr>
        <w:t xml:space="preserve"> skladno </w:t>
      </w:r>
      <w:r w:rsidR="00AA3F36" w:rsidRPr="00D00DBA">
        <w:rPr>
          <w:rFonts w:cs="Arial"/>
          <w:sz w:val="20"/>
          <w:szCs w:val="20"/>
        </w:rPr>
        <w:t xml:space="preserve">s </w:t>
      </w:r>
      <w:r w:rsidR="00A060CD" w:rsidRPr="00D00DBA">
        <w:rPr>
          <w:rFonts w:cs="Arial"/>
          <w:sz w:val="20"/>
          <w:szCs w:val="20"/>
        </w:rPr>
        <w:t>PEKP v obdobju 2021-2027</w:t>
      </w:r>
      <w:r w:rsidR="00A60F48" w:rsidRPr="00D00DBA">
        <w:rPr>
          <w:rFonts w:cs="Arial"/>
          <w:sz w:val="20"/>
          <w:szCs w:val="20"/>
        </w:rPr>
        <w:t>:</w:t>
      </w:r>
    </w:p>
    <w:p w14:paraId="13F81904" w14:textId="77777777" w:rsidR="00F70CA0" w:rsidRPr="00D00DBA" w:rsidRDefault="00F70CA0" w:rsidP="00F154F0">
      <w:pPr>
        <w:jc w:val="both"/>
        <w:rPr>
          <w:rFonts w:cs="Arial"/>
          <w:sz w:val="20"/>
          <w:szCs w:val="20"/>
        </w:rPr>
      </w:pPr>
    </w:p>
    <w:tbl>
      <w:tblPr>
        <w:tblStyle w:val="Tabelamrea"/>
        <w:tblW w:w="10348" w:type="dxa"/>
        <w:tblInd w:w="-147" w:type="dxa"/>
        <w:tblLook w:val="04A0" w:firstRow="1" w:lastRow="0" w:firstColumn="1" w:lastColumn="0" w:noHBand="0" w:noVBand="1"/>
      </w:tblPr>
      <w:tblGrid>
        <w:gridCol w:w="2836"/>
        <w:gridCol w:w="2693"/>
        <w:gridCol w:w="4819"/>
      </w:tblGrid>
      <w:tr w:rsidR="00A60F48" w:rsidRPr="00D00DBA" w14:paraId="7F5585CB" w14:textId="77777777" w:rsidTr="00A95C13">
        <w:tc>
          <w:tcPr>
            <w:tcW w:w="2836" w:type="dxa"/>
            <w:shd w:val="clear" w:color="auto" w:fill="8EAADB" w:themeFill="accent1" w:themeFillTint="99"/>
          </w:tcPr>
          <w:p w14:paraId="5E578366" w14:textId="3BB2ED94" w:rsidR="00A60F48" w:rsidRPr="00D00DBA" w:rsidRDefault="00A60F48" w:rsidP="00F154F0">
            <w:pPr>
              <w:jc w:val="both"/>
              <w:rPr>
                <w:rFonts w:eastAsia="Calibri" w:cs="Arial"/>
                <w:sz w:val="20"/>
                <w:szCs w:val="20"/>
              </w:rPr>
            </w:pPr>
            <w:r w:rsidRPr="00D00DBA">
              <w:rPr>
                <w:rFonts w:eastAsia="Calibri" w:cs="Arial"/>
                <w:sz w:val="20"/>
                <w:szCs w:val="20"/>
              </w:rPr>
              <w:t xml:space="preserve">Finančni </w:t>
            </w:r>
            <w:r w:rsidR="00636A95" w:rsidRPr="00D00DBA">
              <w:rPr>
                <w:rFonts w:eastAsia="Calibri" w:cs="Arial"/>
                <w:sz w:val="20"/>
                <w:szCs w:val="20"/>
              </w:rPr>
              <w:t>instrumenti</w:t>
            </w:r>
          </w:p>
        </w:tc>
        <w:tc>
          <w:tcPr>
            <w:tcW w:w="2693" w:type="dxa"/>
            <w:shd w:val="clear" w:color="auto" w:fill="8EAADB" w:themeFill="accent1" w:themeFillTint="99"/>
          </w:tcPr>
          <w:p w14:paraId="5E58D1CB" w14:textId="77777777" w:rsidR="00A60F48" w:rsidRPr="00D00DBA" w:rsidRDefault="00A60F48" w:rsidP="00F154F0">
            <w:pPr>
              <w:jc w:val="both"/>
              <w:rPr>
                <w:rFonts w:eastAsia="Calibri" w:cs="Arial"/>
                <w:sz w:val="20"/>
                <w:szCs w:val="20"/>
              </w:rPr>
            </w:pPr>
            <w:r w:rsidRPr="00D00DBA">
              <w:rPr>
                <w:rFonts w:eastAsia="Calibri" w:cs="Arial"/>
                <w:sz w:val="20"/>
                <w:szCs w:val="20"/>
              </w:rPr>
              <w:t>Načrtovana višina sredstev</w:t>
            </w:r>
          </w:p>
        </w:tc>
        <w:tc>
          <w:tcPr>
            <w:tcW w:w="4819" w:type="dxa"/>
            <w:shd w:val="clear" w:color="auto" w:fill="8EAADB" w:themeFill="accent1" w:themeFillTint="99"/>
          </w:tcPr>
          <w:p w14:paraId="10754E9D" w14:textId="77777777" w:rsidR="00A60F48" w:rsidRPr="00D00DBA" w:rsidRDefault="00A60F48" w:rsidP="00F154F0">
            <w:pPr>
              <w:jc w:val="both"/>
              <w:rPr>
                <w:rFonts w:eastAsia="Calibri" w:cs="Arial"/>
                <w:sz w:val="20"/>
                <w:szCs w:val="20"/>
              </w:rPr>
            </w:pPr>
            <w:r w:rsidRPr="00D00DBA">
              <w:rPr>
                <w:rFonts w:eastAsia="Calibri" w:cs="Arial"/>
                <w:sz w:val="20"/>
                <w:szCs w:val="20"/>
              </w:rPr>
              <w:t>Ciljna skupina</w:t>
            </w:r>
          </w:p>
        </w:tc>
      </w:tr>
      <w:tr w:rsidR="00A60F48" w:rsidRPr="00D00DBA" w14:paraId="431B9471" w14:textId="77777777" w:rsidTr="00A95C13">
        <w:tc>
          <w:tcPr>
            <w:tcW w:w="10348" w:type="dxa"/>
            <w:gridSpan w:val="3"/>
            <w:shd w:val="clear" w:color="auto" w:fill="B4C6E7" w:themeFill="accent1" w:themeFillTint="66"/>
          </w:tcPr>
          <w:p w14:paraId="0EFAB5C2" w14:textId="72966955" w:rsidR="00A60F48" w:rsidRPr="00D00DBA" w:rsidRDefault="00A60F48" w:rsidP="00F154F0">
            <w:pPr>
              <w:rPr>
                <w:rFonts w:eastAsia="Calibri" w:cs="Arial"/>
                <w:sz w:val="20"/>
                <w:szCs w:val="20"/>
              </w:rPr>
            </w:pPr>
            <w:r w:rsidRPr="00D00DBA">
              <w:rPr>
                <w:rFonts w:eastAsia="Calibri" w:cs="Arial"/>
                <w:sz w:val="20"/>
                <w:szCs w:val="20"/>
              </w:rPr>
              <w:t xml:space="preserve">Področje: </w:t>
            </w:r>
            <w:r w:rsidR="00FF18F6" w:rsidRPr="00D00DBA">
              <w:rPr>
                <w:rFonts w:cs="Arial"/>
                <w:sz w:val="20"/>
                <w:szCs w:val="20"/>
              </w:rPr>
              <w:t>SC 4.4</w:t>
            </w:r>
          </w:p>
        </w:tc>
      </w:tr>
      <w:tr w:rsidR="00A60F48" w:rsidRPr="00D00DBA" w14:paraId="5EB11652" w14:textId="77777777" w:rsidTr="00A95C13">
        <w:tc>
          <w:tcPr>
            <w:tcW w:w="2836" w:type="dxa"/>
          </w:tcPr>
          <w:p w14:paraId="141A7909" w14:textId="10BECA1C" w:rsidR="00A60F48" w:rsidRPr="00D00DBA" w:rsidRDefault="00FF18F6" w:rsidP="00F154F0">
            <w:pPr>
              <w:jc w:val="both"/>
              <w:rPr>
                <w:rFonts w:eastAsia="Calibri" w:cs="Arial"/>
                <w:sz w:val="20"/>
                <w:szCs w:val="20"/>
              </w:rPr>
            </w:pPr>
            <w:r w:rsidRPr="00D00DBA">
              <w:rPr>
                <w:rFonts w:cs="Arial"/>
                <w:sz w:val="20"/>
                <w:szCs w:val="20"/>
              </w:rPr>
              <w:t>Spodbujanje udeležbe zaposlenih v lastništvu podjetij</w:t>
            </w:r>
          </w:p>
        </w:tc>
        <w:tc>
          <w:tcPr>
            <w:tcW w:w="2693" w:type="dxa"/>
          </w:tcPr>
          <w:p w14:paraId="56A21AC5" w14:textId="4682B04B" w:rsidR="00A60F48" w:rsidRPr="00D00DBA" w:rsidRDefault="00FF18F6" w:rsidP="00F154F0">
            <w:pPr>
              <w:jc w:val="both"/>
              <w:rPr>
                <w:rFonts w:eastAsia="Calibri" w:cs="Arial"/>
                <w:sz w:val="20"/>
                <w:szCs w:val="20"/>
              </w:rPr>
            </w:pPr>
            <w:r w:rsidRPr="00D00DBA">
              <w:rPr>
                <w:rFonts w:cs="Arial"/>
                <w:sz w:val="20"/>
                <w:szCs w:val="20"/>
              </w:rPr>
              <w:t>6.250.000</w:t>
            </w:r>
          </w:p>
        </w:tc>
        <w:tc>
          <w:tcPr>
            <w:tcW w:w="4819" w:type="dxa"/>
          </w:tcPr>
          <w:p w14:paraId="23E9E2DE" w14:textId="0408AE72" w:rsidR="00A60F48" w:rsidRPr="00D00DBA" w:rsidRDefault="00FF18F6" w:rsidP="00F154F0">
            <w:pPr>
              <w:jc w:val="both"/>
              <w:rPr>
                <w:rFonts w:eastAsia="Calibri" w:cs="Arial"/>
                <w:sz w:val="20"/>
                <w:szCs w:val="20"/>
              </w:rPr>
            </w:pPr>
            <w:r w:rsidRPr="00D00DBA">
              <w:rPr>
                <w:rFonts w:cs="Arial"/>
                <w:sz w:val="20"/>
                <w:szCs w:val="20"/>
              </w:rPr>
              <w:t>Zaposleni in zadruge</w:t>
            </w:r>
          </w:p>
        </w:tc>
      </w:tr>
    </w:tbl>
    <w:p w14:paraId="01E873D0" w14:textId="77777777" w:rsidR="00C65AF0" w:rsidRPr="00D00DBA" w:rsidRDefault="00C65AF0" w:rsidP="00F154F0">
      <w:pPr>
        <w:jc w:val="both"/>
        <w:rPr>
          <w:rFonts w:cs="Arial"/>
          <w:sz w:val="20"/>
          <w:szCs w:val="20"/>
        </w:rPr>
      </w:pPr>
    </w:p>
    <w:p w14:paraId="211EB3D6" w14:textId="77777777" w:rsidR="009B2898" w:rsidRPr="00D00DBA" w:rsidRDefault="009B2898" w:rsidP="00F154F0">
      <w:pPr>
        <w:jc w:val="both"/>
        <w:rPr>
          <w:rFonts w:cs="Arial"/>
          <w:sz w:val="20"/>
          <w:szCs w:val="20"/>
        </w:rPr>
      </w:pPr>
    </w:p>
    <w:p w14:paraId="7C052B27" w14:textId="395FC181" w:rsidR="00C65AF0" w:rsidRPr="00D00DBA" w:rsidRDefault="00C65AF0" w:rsidP="00F154F0">
      <w:pPr>
        <w:jc w:val="both"/>
        <w:rPr>
          <w:rFonts w:cs="Arial"/>
          <w:sz w:val="20"/>
          <w:szCs w:val="20"/>
        </w:rPr>
      </w:pPr>
      <w:r w:rsidRPr="00D00DBA">
        <w:rPr>
          <w:rFonts w:cs="Arial"/>
          <w:sz w:val="20"/>
          <w:szCs w:val="20"/>
        </w:rPr>
        <w:t>Skladno z drugim odstavkom 92</w:t>
      </w:r>
      <w:r w:rsidR="00636A95" w:rsidRPr="00D00DBA">
        <w:rPr>
          <w:rFonts w:cs="Arial"/>
          <w:sz w:val="20"/>
          <w:szCs w:val="20"/>
        </w:rPr>
        <w:t>.</w:t>
      </w:r>
      <w:r w:rsidRPr="00D00DBA">
        <w:rPr>
          <w:rFonts w:cs="Arial"/>
          <w:sz w:val="20"/>
          <w:szCs w:val="20"/>
        </w:rPr>
        <w:t xml:space="preserve"> člena </w:t>
      </w:r>
      <w:r w:rsidR="00AA573F" w:rsidRPr="00D00DBA">
        <w:rPr>
          <w:rFonts w:cs="Arial"/>
          <w:bCs/>
          <w:iCs/>
          <w:sz w:val="20"/>
          <w:szCs w:val="20"/>
        </w:rPr>
        <w:t>Uredbe 2021/1060/EU</w:t>
      </w:r>
      <w:r w:rsidR="00AA573F" w:rsidRPr="00D00DBA">
        <w:rPr>
          <w:rStyle w:val="Sprotnaopomba-sklic"/>
          <w:rFonts w:cs="Arial"/>
          <w:bCs/>
          <w:iCs/>
          <w:sz w:val="20"/>
          <w:szCs w:val="20"/>
          <w:vertAlign w:val="baseline"/>
        </w:rPr>
        <w:t xml:space="preserve"> </w:t>
      </w:r>
      <w:r w:rsidR="00826CE9" w:rsidRPr="00D00DBA">
        <w:rPr>
          <w:rFonts w:cs="Arial"/>
          <w:sz w:val="20"/>
          <w:szCs w:val="20"/>
        </w:rPr>
        <w:t xml:space="preserve">lahko </w:t>
      </w:r>
      <w:r w:rsidR="002F6103" w:rsidRPr="00D00DBA">
        <w:rPr>
          <w:rFonts w:cs="Arial"/>
          <w:sz w:val="20"/>
          <w:szCs w:val="20"/>
        </w:rPr>
        <w:t xml:space="preserve">predhodno </w:t>
      </w:r>
      <w:r w:rsidR="00EF6593" w:rsidRPr="00D00DBA">
        <w:rPr>
          <w:rFonts w:cs="Arial"/>
          <w:sz w:val="20"/>
          <w:szCs w:val="20"/>
        </w:rPr>
        <w:t xml:space="preserve">vplačilo </w:t>
      </w:r>
      <w:r w:rsidR="00F61896" w:rsidRPr="00D00DBA">
        <w:rPr>
          <w:rFonts w:cs="Arial"/>
          <w:sz w:val="20"/>
          <w:szCs w:val="20"/>
        </w:rPr>
        <w:t>do izvajalca finančnega instrumenta</w:t>
      </w:r>
      <w:r w:rsidR="001170B7" w:rsidRPr="00D00DBA">
        <w:rPr>
          <w:rFonts w:cs="Arial"/>
          <w:sz w:val="20"/>
          <w:szCs w:val="20"/>
        </w:rPr>
        <w:t xml:space="preserve"> </w:t>
      </w:r>
      <w:r w:rsidRPr="00D00DBA">
        <w:rPr>
          <w:rFonts w:cs="Arial"/>
          <w:sz w:val="20"/>
          <w:szCs w:val="20"/>
        </w:rPr>
        <w:t>znaša največ 30</w:t>
      </w:r>
      <w:r w:rsidR="00DF7420" w:rsidRPr="00D00DBA">
        <w:rPr>
          <w:rFonts w:cs="Arial"/>
          <w:sz w:val="20"/>
          <w:szCs w:val="20"/>
        </w:rPr>
        <w:t xml:space="preserve"> </w:t>
      </w:r>
      <w:r w:rsidRPr="00D00DBA">
        <w:rPr>
          <w:rFonts w:cs="Arial"/>
          <w:sz w:val="20"/>
          <w:szCs w:val="20"/>
        </w:rPr>
        <w:t xml:space="preserve">% (tj. </w:t>
      </w:r>
      <w:r w:rsidR="000950F7" w:rsidRPr="00D00DBA">
        <w:rPr>
          <w:rFonts w:cs="Arial"/>
          <w:sz w:val="20"/>
          <w:szCs w:val="20"/>
        </w:rPr>
        <w:t>1.875.000 EUR</w:t>
      </w:r>
      <w:r w:rsidRPr="00D00DBA">
        <w:rPr>
          <w:rFonts w:cs="Arial"/>
          <w:sz w:val="20"/>
          <w:szCs w:val="20"/>
        </w:rPr>
        <w:t>) dodeljenih sredstev evropske kohezijske politike za operacijo</w:t>
      </w:r>
      <w:r w:rsidR="00826CE9" w:rsidRPr="00D00DBA">
        <w:rPr>
          <w:rFonts w:cs="Arial"/>
          <w:sz w:val="20"/>
          <w:szCs w:val="20"/>
        </w:rPr>
        <w:t xml:space="preserve"> </w:t>
      </w:r>
      <w:r w:rsidR="00452DC6" w:rsidRPr="00D00DBA">
        <w:rPr>
          <w:rFonts w:cs="Arial"/>
          <w:sz w:val="20"/>
          <w:szCs w:val="20"/>
        </w:rPr>
        <w:t>FI</w:t>
      </w:r>
      <w:r w:rsidRPr="00D00DBA">
        <w:rPr>
          <w:rFonts w:cs="Arial"/>
          <w:sz w:val="20"/>
          <w:szCs w:val="20"/>
        </w:rPr>
        <w:t xml:space="preserve">. </w:t>
      </w:r>
      <w:r w:rsidR="00826CE9" w:rsidRPr="00D00DBA">
        <w:rPr>
          <w:rFonts w:cs="Arial"/>
          <w:sz w:val="20"/>
          <w:szCs w:val="20"/>
        </w:rPr>
        <w:t>Dinamika i</w:t>
      </w:r>
      <w:r w:rsidRPr="00D00DBA">
        <w:rPr>
          <w:rFonts w:cs="Arial"/>
          <w:sz w:val="20"/>
          <w:szCs w:val="20"/>
        </w:rPr>
        <w:t>zplačil nadaljn</w:t>
      </w:r>
      <w:r w:rsidR="00EF6593" w:rsidRPr="00D00DBA">
        <w:rPr>
          <w:rFonts w:cs="Arial"/>
          <w:sz w:val="20"/>
          <w:szCs w:val="20"/>
        </w:rPr>
        <w:t>j</w:t>
      </w:r>
      <w:r w:rsidRPr="00D00DBA">
        <w:rPr>
          <w:rFonts w:cs="Arial"/>
          <w:sz w:val="20"/>
          <w:szCs w:val="20"/>
        </w:rPr>
        <w:t>ih zahtevkov za plačilo</w:t>
      </w:r>
      <w:r w:rsidR="00826CE9" w:rsidRPr="00D00DBA">
        <w:rPr>
          <w:rFonts w:cs="Arial"/>
          <w:sz w:val="20"/>
          <w:szCs w:val="20"/>
        </w:rPr>
        <w:t xml:space="preserve"> po letih</w:t>
      </w:r>
      <w:r w:rsidRPr="00D00DBA">
        <w:rPr>
          <w:rFonts w:cs="Arial"/>
          <w:sz w:val="20"/>
          <w:szCs w:val="20"/>
        </w:rPr>
        <w:t xml:space="preserve"> </w:t>
      </w:r>
      <w:r w:rsidR="00826CE9" w:rsidRPr="00D00DBA">
        <w:rPr>
          <w:rFonts w:cs="Arial"/>
          <w:sz w:val="20"/>
          <w:szCs w:val="20"/>
        </w:rPr>
        <w:t>pa je</w:t>
      </w:r>
      <w:r w:rsidRPr="00D00DBA">
        <w:rPr>
          <w:rFonts w:cs="Arial"/>
          <w:sz w:val="20"/>
          <w:szCs w:val="20"/>
        </w:rPr>
        <w:t xml:space="preserve"> odvisn</w:t>
      </w:r>
      <w:r w:rsidR="00826CE9" w:rsidRPr="00D00DBA">
        <w:rPr>
          <w:rFonts w:cs="Arial"/>
          <w:sz w:val="20"/>
          <w:szCs w:val="20"/>
        </w:rPr>
        <w:t>a</w:t>
      </w:r>
      <w:r w:rsidRPr="00D00DBA">
        <w:rPr>
          <w:rFonts w:cs="Arial"/>
          <w:sz w:val="20"/>
          <w:szCs w:val="20"/>
        </w:rPr>
        <w:t xml:space="preserve"> od razvoja </w:t>
      </w:r>
      <w:r w:rsidR="00F61896" w:rsidRPr="00D00DBA">
        <w:rPr>
          <w:rFonts w:cs="Arial"/>
          <w:sz w:val="20"/>
          <w:szCs w:val="20"/>
        </w:rPr>
        <w:t xml:space="preserve">finančnega </w:t>
      </w:r>
      <w:r w:rsidRPr="00D00DBA">
        <w:rPr>
          <w:rFonts w:cs="Arial"/>
          <w:sz w:val="20"/>
          <w:szCs w:val="20"/>
        </w:rPr>
        <w:lastRenderedPageBreak/>
        <w:t>produkt</w:t>
      </w:r>
      <w:r w:rsidR="001170B7" w:rsidRPr="00D00DBA">
        <w:rPr>
          <w:rFonts w:cs="Arial"/>
          <w:sz w:val="20"/>
          <w:szCs w:val="20"/>
        </w:rPr>
        <w:t>a</w:t>
      </w:r>
      <w:r w:rsidRPr="00D00DBA">
        <w:rPr>
          <w:rFonts w:cs="Arial"/>
          <w:sz w:val="20"/>
          <w:szCs w:val="20"/>
        </w:rPr>
        <w:t xml:space="preserve"> in nj</w:t>
      </w:r>
      <w:r w:rsidR="001170B7" w:rsidRPr="00D00DBA">
        <w:rPr>
          <w:rFonts w:cs="Arial"/>
          <w:sz w:val="20"/>
          <w:szCs w:val="20"/>
        </w:rPr>
        <w:t>egove</w:t>
      </w:r>
      <w:r w:rsidRPr="00D00DBA">
        <w:rPr>
          <w:rFonts w:cs="Arial"/>
          <w:sz w:val="20"/>
          <w:szCs w:val="20"/>
        </w:rPr>
        <w:t xml:space="preserve"> dejanske alokacije ter </w:t>
      </w:r>
      <w:proofErr w:type="spellStart"/>
      <w:r w:rsidRPr="00D00DBA">
        <w:rPr>
          <w:rFonts w:cs="Arial"/>
          <w:sz w:val="20"/>
          <w:szCs w:val="20"/>
        </w:rPr>
        <w:t>absorbcije</w:t>
      </w:r>
      <w:proofErr w:type="spellEnd"/>
      <w:r w:rsidRPr="00D00DBA">
        <w:rPr>
          <w:rFonts w:cs="Arial"/>
          <w:sz w:val="20"/>
          <w:szCs w:val="20"/>
        </w:rPr>
        <w:t xml:space="preserve"> na trgu in se lahko tekom izvajanja spremeni</w:t>
      </w:r>
      <w:r w:rsidR="001170B7" w:rsidRPr="00D00DBA">
        <w:rPr>
          <w:rFonts w:cs="Arial"/>
          <w:sz w:val="20"/>
          <w:szCs w:val="20"/>
        </w:rPr>
        <w:t>,</w:t>
      </w:r>
      <w:r w:rsidR="002F6103" w:rsidRPr="00D00DBA">
        <w:rPr>
          <w:rFonts w:cs="Arial"/>
          <w:sz w:val="20"/>
          <w:szCs w:val="20"/>
        </w:rPr>
        <w:t xml:space="preserve"> kar je tudi skladno z </w:t>
      </w:r>
      <w:r w:rsidR="00AA573F" w:rsidRPr="00D00DBA">
        <w:rPr>
          <w:rFonts w:cs="Arial"/>
          <w:bCs/>
          <w:iCs/>
          <w:sz w:val="20"/>
          <w:szCs w:val="20"/>
        </w:rPr>
        <w:t>Uredbo 2021/1060/EU</w:t>
      </w:r>
      <w:r w:rsidR="002F6103" w:rsidRPr="00D00DBA">
        <w:rPr>
          <w:rFonts w:cs="Arial"/>
          <w:sz w:val="20"/>
          <w:szCs w:val="20"/>
        </w:rPr>
        <w:t>, ki v 92. členu</w:t>
      </w:r>
      <w:r w:rsidR="00DF7420" w:rsidRPr="00D00DBA">
        <w:rPr>
          <w:rFonts w:cs="Arial"/>
          <w:sz w:val="20"/>
          <w:szCs w:val="20"/>
        </w:rPr>
        <w:t xml:space="preserve"> določa, da se zahtevki za izplačilo predložijo po nastanku upravičenih izdatkov, torej skladno z dinamiko plasiranja sredstev končnim prejemnikom.</w:t>
      </w:r>
      <w:r w:rsidRPr="00D00DBA">
        <w:rPr>
          <w:rFonts w:cs="Arial"/>
          <w:sz w:val="20"/>
          <w:szCs w:val="20"/>
        </w:rPr>
        <w:t xml:space="preserve"> Pogoji in rok</w:t>
      </w:r>
      <w:r w:rsidR="00826CE9" w:rsidRPr="00D00DBA">
        <w:rPr>
          <w:rFonts w:cs="Arial"/>
          <w:sz w:val="20"/>
          <w:szCs w:val="20"/>
        </w:rPr>
        <w:t>i</w:t>
      </w:r>
      <w:r w:rsidRPr="00D00DBA">
        <w:rPr>
          <w:rFonts w:cs="Arial"/>
          <w:sz w:val="20"/>
          <w:szCs w:val="20"/>
        </w:rPr>
        <w:t xml:space="preserve"> za </w:t>
      </w:r>
      <w:r w:rsidR="002F6103" w:rsidRPr="00D00DBA">
        <w:rPr>
          <w:rFonts w:cs="Arial"/>
          <w:sz w:val="20"/>
          <w:szCs w:val="20"/>
        </w:rPr>
        <w:t xml:space="preserve">izvedbo predhodnega </w:t>
      </w:r>
      <w:r w:rsidR="00826CE9" w:rsidRPr="00D00DBA">
        <w:rPr>
          <w:rFonts w:cs="Arial"/>
          <w:sz w:val="20"/>
          <w:szCs w:val="20"/>
        </w:rPr>
        <w:t>vplačila</w:t>
      </w:r>
      <w:r w:rsidRPr="00D00DBA">
        <w:rPr>
          <w:rFonts w:cs="Arial"/>
          <w:sz w:val="20"/>
          <w:szCs w:val="20"/>
        </w:rPr>
        <w:t xml:space="preserve"> in </w:t>
      </w:r>
      <w:r w:rsidR="00826CE9" w:rsidRPr="00D00DBA">
        <w:rPr>
          <w:rFonts w:cs="Arial"/>
          <w:sz w:val="20"/>
          <w:szCs w:val="20"/>
        </w:rPr>
        <w:t xml:space="preserve">poravnave </w:t>
      </w:r>
      <w:r w:rsidRPr="00D00DBA">
        <w:rPr>
          <w:rFonts w:cs="Arial"/>
          <w:sz w:val="20"/>
          <w:szCs w:val="20"/>
        </w:rPr>
        <w:t xml:space="preserve">nadaljnjih </w:t>
      </w:r>
      <w:r w:rsidR="00826CE9" w:rsidRPr="00D00DBA">
        <w:rPr>
          <w:rFonts w:cs="Arial"/>
          <w:sz w:val="20"/>
          <w:szCs w:val="20"/>
        </w:rPr>
        <w:t>zahtevkov za izplačilo</w:t>
      </w:r>
      <w:r w:rsidRPr="00D00DBA">
        <w:rPr>
          <w:rFonts w:cs="Arial"/>
          <w:sz w:val="20"/>
          <w:szCs w:val="20"/>
        </w:rPr>
        <w:t xml:space="preserve"> bodo natančneje določeni v sporazumu o financiranju</w:t>
      </w:r>
      <w:r w:rsidR="002F6103" w:rsidRPr="00D00DBA">
        <w:rPr>
          <w:rFonts w:cs="Arial"/>
          <w:sz w:val="20"/>
          <w:szCs w:val="20"/>
        </w:rPr>
        <w:t xml:space="preserve"> med </w:t>
      </w:r>
      <w:r w:rsidR="00AA573F" w:rsidRPr="00D00DBA">
        <w:rPr>
          <w:rFonts w:cs="Arial"/>
          <w:sz w:val="20"/>
          <w:szCs w:val="20"/>
        </w:rPr>
        <w:t>MDDSZ</w:t>
      </w:r>
      <w:r w:rsidR="00B46EE3" w:rsidRPr="00D00DBA">
        <w:rPr>
          <w:rFonts w:cs="Arial"/>
          <w:sz w:val="20"/>
          <w:szCs w:val="20"/>
        </w:rPr>
        <w:t xml:space="preserve"> in</w:t>
      </w:r>
      <w:r w:rsidR="002F6103" w:rsidRPr="00D00DBA">
        <w:rPr>
          <w:rFonts w:cs="Arial"/>
          <w:sz w:val="20"/>
          <w:szCs w:val="20"/>
        </w:rPr>
        <w:t xml:space="preserve"> </w:t>
      </w:r>
      <w:r w:rsidR="00F61896" w:rsidRPr="00D00DBA">
        <w:rPr>
          <w:rFonts w:cs="Arial"/>
          <w:sz w:val="20"/>
          <w:szCs w:val="20"/>
        </w:rPr>
        <w:t>izvajalcem finančnega instrumenta</w:t>
      </w:r>
      <w:r w:rsidRPr="00D00DBA">
        <w:rPr>
          <w:rFonts w:cs="Arial"/>
          <w:sz w:val="20"/>
          <w:szCs w:val="20"/>
        </w:rPr>
        <w:t>.</w:t>
      </w:r>
    </w:p>
    <w:p w14:paraId="77442DAA" w14:textId="453CE185" w:rsidR="003F5664" w:rsidRPr="00D00DBA" w:rsidRDefault="003F5664" w:rsidP="00EF73AC">
      <w:pPr>
        <w:spacing w:after="160" w:line="259" w:lineRule="auto"/>
        <w:rPr>
          <w:rFonts w:eastAsia="CIDFont+F2" w:cs="Arial"/>
          <w:sz w:val="20"/>
          <w:szCs w:val="20"/>
          <w:lang w:eastAsia="sl-SI"/>
        </w:rPr>
      </w:pPr>
      <w:r w:rsidRPr="00D00DBA">
        <w:rPr>
          <w:rFonts w:cs="Arial"/>
          <w:sz w:val="20"/>
          <w:szCs w:val="20"/>
        </w:rPr>
        <w:t xml:space="preserve">Tabela </w:t>
      </w:r>
      <w:r w:rsidR="007C274C" w:rsidRPr="00D00DBA">
        <w:rPr>
          <w:rFonts w:cs="Arial"/>
          <w:sz w:val="20"/>
          <w:szCs w:val="20"/>
        </w:rPr>
        <w:t>2</w:t>
      </w:r>
      <w:r w:rsidRPr="00D00DBA">
        <w:rPr>
          <w:rFonts w:eastAsia="CIDFont+F2" w:cs="Arial"/>
          <w:sz w:val="20"/>
          <w:szCs w:val="20"/>
          <w:lang w:eastAsia="sl-SI"/>
        </w:rPr>
        <w:t xml:space="preserve">: </w:t>
      </w:r>
      <w:r w:rsidR="002F6103" w:rsidRPr="00D00DBA">
        <w:rPr>
          <w:rFonts w:eastAsia="CIDFont+F2" w:cs="Arial"/>
          <w:sz w:val="20"/>
          <w:szCs w:val="20"/>
          <w:lang w:eastAsia="sl-SI"/>
        </w:rPr>
        <w:t>P</w:t>
      </w:r>
      <w:r w:rsidR="00B11E5D" w:rsidRPr="00D00DBA">
        <w:rPr>
          <w:rFonts w:eastAsia="CIDFont+F2" w:cs="Arial"/>
          <w:sz w:val="20"/>
          <w:szCs w:val="20"/>
          <w:lang w:eastAsia="sl-SI"/>
        </w:rPr>
        <w:t xml:space="preserve">redvidena </w:t>
      </w:r>
      <w:r w:rsidRPr="00D00DBA">
        <w:rPr>
          <w:rFonts w:eastAsia="CIDFont+F2" w:cs="Arial"/>
          <w:sz w:val="20"/>
          <w:szCs w:val="20"/>
          <w:lang w:eastAsia="sl-SI"/>
        </w:rPr>
        <w:t>dinamika izplačil FI 202</w:t>
      </w:r>
      <w:r w:rsidR="00B9457F" w:rsidRPr="00D00DBA">
        <w:rPr>
          <w:rFonts w:eastAsia="CIDFont+F2" w:cs="Arial"/>
          <w:sz w:val="20"/>
          <w:szCs w:val="20"/>
          <w:lang w:eastAsia="sl-SI"/>
        </w:rPr>
        <w:t>4</w:t>
      </w:r>
      <w:r w:rsidRPr="00D00DBA">
        <w:rPr>
          <w:rFonts w:eastAsia="CIDFont+F2" w:cs="Arial"/>
          <w:sz w:val="20"/>
          <w:szCs w:val="20"/>
          <w:lang w:eastAsia="sl-SI"/>
        </w:rPr>
        <w:t>-202</w:t>
      </w:r>
      <w:r w:rsidR="00B9457F" w:rsidRPr="00D00DBA">
        <w:rPr>
          <w:rFonts w:eastAsia="CIDFont+F2" w:cs="Arial"/>
          <w:sz w:val="20"/>
          <w:szCs w:val="20"/>
          <w:lang w:eastAsia="sl-SI"/>
        </w:rPr>
        <w:t>9</w:t>
      </w:r>
      <w:r w:rsidR="00F70CA0" w:rsidRPr="00D00DBA">
        <w:rPr>
          <w:rFonts w:eastAsia="CIDFont+F2" w:cs="Arial"/>
          <w:sz w:val="20"/>
          <w:szCs w:val="20"/>
          <w:lang w:eastAsia="sl-SI"/>
        </w:rPr>
        <w:t xml:space="preserve"> iz vira </w:t>
      </w:r>
      <w:proofErr w:type="gramStart"/>
      <w:r w:rsidR="00F70CA0" w:rsidRPr="00D00DBA">
        <w:rPr>
          <w:rFonts w:eastAsia="CIDFont+F2" w:cs="Arial"/>
          <w:sz w:val="20"/>
          <w:szCs w:val="20"/>
          <w:lang w:eastAsia="sl-SI"/>
        </w:rPr>
        <w:t>EU sredstev</w:t>
      </w:r>
      <w:proofErr w:type="gramEnd"/>
      <w:r w:rsidR="00EF6593" w:rsidRPr="00D00DBA">
        <w:rPr>
          <w:rFonts w:eastAsia="CIDFont+F2" w:cs="Arial"/>
          <w:sz w:val="20"/>
          <w:szCs w:val="20"/>
          <w:lang w:eastAsia="sl-SI"/>
        </w:rPr>
        <w:t xml:space="preserve"> </w:t>
      </w:r>
    </w:p>
    <w:p w14:paraId="16D4FC55" w14:textId="77777777" w:rsidR="00766419" w:rsidRPr="00D00DBA" w:rsidRDefault="00766419" w:rsidP="00F154F0">
      <w:pPr>
        <w:jc w:val="both"/>
        <w:rPr>
          <w:rFonts w:eastAsia="CIDFont+F2" w:cs="Arial"/>
          <w:sz w:val="20"/>
          <w:szCs w:val="20"/>
          <w:lang w:eastAsia="sl-SI"/>
        </w:rPr>
      </w:pPr>
    </w:p>
    <w:tbl>
      <w:tblPr>
        <w:tblStyle w:val="Tabelamrea"/>
        <w:tblW w:w="0" w:type="auto"/>
        <w:tblLook w:val="04A0" w:firstRow="1" w:lastRow="0" w:firstColumn="1" w:lastColumn="0" w:noHBand="0" w:noVBand="1"/>
      </w:tblPr>
      <w:tblGrid>
        <w:gridCol w:w="1202"/>
        <w:gridCol w:w="1624"/>
        <w:gridCol w:w="961"/>
        <w:gridCol w:w="1257"/>
        <w:gridCol w:w="1106"/>
        <w:gridCol w:w="1106"/>
        <w:gridCol w:w="1217"/>
        <w:gridCol w:w="1257"/>
      </w:tblGrid>
      <w:tr w:rsidR="00F61896" w:rsidRPr="00D00DBA" w14:paraId="1A5F317C" w14:textId="77777777" w:rsidTr="00E8005F">
        <w:trPr>
          <w:trHeight w:val="333"/>
        </w:trPr>
        <w:tc>
          <w:tcPr>
            <w:tcW w:w="1243" w:type="dxa"/>
            <w:shd w:val="clear" w:color="auto" w:fill="8EAADB" w:themeFill="accent1" w:themeFillTint="99"/>
            <w:vAlign w:val="center"/>
          </w:tcPr>
          <w:p w14:paraId="49EDA6C2" w14:textId="77777777" w:rsidR="00F61896" w:rsidRPr="00D00DBA" w:rsidRDefault="00F61896" w:rsidP="00766419">
            <w:pPr>
              <w:rPr>
                <w:rFonts w:cs="Arial"/>
                <w:b/>
                <w:bCs/>
                <w:sz w:val="20"/>
                <w:szCs w:val="20"/>
              </w:rPr>
            </w:pPr>
            <w:bookmarkStart w:id="28" w:name="_Hlk204328997"/>
            <w:r w:rsidRPr="00D00DBA">
              <w:rPr>
                <w:rFonts w:cs="Arial"/>
                <w:b/>
                <w:bCs/>
                <w:sz w:val="20"/>
                <w:szCs w:val="20"/>
              </w:rPr>
              <w:t>Področje</w:t>
            </w:r>
          </w:p>
        </w:tc>
        <w:tc>
          <w:tcPr>
            <w:tcW w:w="1715" w:type="dxa"/>
            <w:shd w:val="clear" w:color="auto" w:fill="8EAADB" w:themeFill="accent1" w:themeFillTint="99"/>
            <w:vAlign w:val="center"/>
          </w:tcPr>
          <w:p w14:paraId="3D2329E8" w14:textId="77777777" w:rsidR="00F61896" w:rsidRPr="00D00DBA" w:rsidRDefault="00F61896" w:rsidP="00766419">
            <w:pPr>
              <w:rPr>
                <w:rFonts w:cs="Arial"/>
                <w:b/>
                <w:bCs/>
                <w:sz w:val="20"/>
                <w:szCs w:val="20"/>
              </w:rPr>
            </w:pPr>
            <w:r w:rsidRPr="00D00DBA">
              <w:rPr>
                <w:rFonts w:cs="Arial"/>
                <w:b/>
                <w:bCs/>
                <w:sz w:val="20"/>
                <w:szCs w:val="20"/>
              </w:rPr>
              <w:t>Finančni instrumenti</w:t>
            </w:r>
          </w:p>
        </w:tc>
        <w:tc>
          <w:tcPr>
            <w:tcW w:w="893" w:type="dxa"/>
            <w:shd w:val="clear" w:color="auto" w:fill="8EAADB" w:themeFill="accent1" w:themeFillTint="99"/>
            <w:vAlign w:val="center"/>
          </w:tcPr>
          <w:p w14:paraId="090B836C" w14:textId="77777777" w:rsidR="00F61896" w:rsidRPr="00D00DBA" w:rsidRDefault="00F61896" w:rsidP="00766419">
            <w:pPr>
              <w:rPr>
                <w:rFonts w:cs="Arial"/>
                <w:b/>
                <w:bCs/>
                <w:sz w:val="20"/>
                <w:szCs w:val="20"/>
              </w:rPr>
            </w:pPr>
            <w:r w:rsidRPr="00D00DBA">
              <w:rPr>
                <w:rFonts w:cs="Arial"/>
                <w:b/>
                <w:bCs/>
                <w:sz w:val="20"/>
                <w:szCs w:val="20"/>
              </w:rPr>
              <w:t>REGIJA</w:t>
            </w:r>
          </w:p>
        </w:tc>
        <w:tc>
          <w:tcPr>
            <w:tcW w:w="1303" w:type="dxa"/>
            <w:shd w:val="clear" w:color="auto" w:fill="8EAADB" w:themeFill="accent1" w:themeFillTint="99"/>
            <w:vAlign w:val="center"/>
          </w:tcPr>
          <w:p w14:paraId="19BD8D6B" w14:textId="77777777" w:rsidR="00F61896" w:rsidRPr="00D00DBA" w:rsidRDefault="00F61896" w:rsidP="00766419">
            <w:pPr>
              <w:rPr>
                <w:rFonts w:cs="Arial"/>
                <w:b/>
                <w:bCs/>
                <w:sz w:val="20"/>
                <w:szCs w:val="20"/>
              </w:rPr>
            </w:pPr>
            <w:r w:rsidRPr="00D00DBA">
              <w:rPr>
                <w:rFonts w:cs="Arial"/>
                <w:b/>
                <w:bCs/>
                <w:sz w:val="20"/>
                <w:szCs w:val="20"/>
              </w:rPr>
              <w:t>2026</w:t>
            </w:r>
          </w:p>
        </w:tc>
        <w:tc>
          <w:tcPr>
            <w:tcW w:w="998" w:type="dxa"/>
            <w:shd w:val="clear" w:color="auto" w:fill="8EAADB" w:themeFill="accent1" w:themeFillTint="99"/>
            <w:vAlign w:val="center"/>
          </w:tcPr>
          <w:p w14:paraId="658360E8" w14:textId="71C3D5A0" w:rsidR="00F61896" w:rsidRPr="00D00DBA" w:rsidRDefault="00F61896" w:rsidP="00766419">
            <w:pPr>
              <w:rPr>
                <w:rFonts w:cs="Arial"/>
                <w:b/>
                <w:bCs/>
                <w:sz w:val="20"/>
                <w:szCs w:val="20"/>
              </w:rPr>
            </w:pPr>
            <w:r w:rsidRPr="00D00DBA">
              <w:rPr>
                <w:rFonts w:cs="Arial"/>
                <w:b/>
                <w:bCs/>
                <w:sz w:val="20"/>
                <w:szCs w:val="20"/>
              </w:rPr>
              <w:t>2027</w:t>
            </w:r>
          </w:p>
        </w:tc>
        <w:tc>
          <w:tcPr>
            <w:tcW w:w="972" w:type="dxa"/>
            <w:shd w:val="clear" w:color="auto" w:fill="8EAADB" w:themeFill="accent1" w:themeFillTint="99"/>
            <w:vAlign w:val="center"/>
          </w:tcPr>
          <w:p w14:paraId="35D0276F" w14:textId="1B4F4311" w:rsidR="00F61896" w:rsidRPr="00D00DBA" w:rsidRDefault="00F61896" w:rsidP="00766419">
            <w:pPr>
              <w:rPr>
                <w:rFonts w:cs="Arial"/>
                <w:b/>
                <w:bCs/>
                <w:sz w:val="20"/>
                <w:szCs w:val="20"/>
              </w:rPr>
            </w:pPr>
            <w:r w:rsidRPr="00D00DBA">
              <w:rPr>
                <w:rFonts w:cs="Arial"/>
                <w:b/>
                <w:bCs/>
                <w:sz w:val="20"/>
                <w:szCs w:val="20"/>
              </w:rPr>
              <w:t>2028</w:t>
            </w:r>
          </w:p>
        </w:tc>
        <w:tc>
          <w:tcPr>
            <w:tcW w:w="1303" w:type="dxa"/>
            <w:shd w:val="clear" w:color="auto" w:fill="8EAADB" w:themeFill="accent1" w:themeFillTint="99"/>
            <w:vAlign w:val="center"/>
          </w:tcPr>
          <w:p w14:paraId="17E70AC7" w14:textId="550AC478" w:rsidR="00F61896" w:rsidRPr="00D00DBA" w:rsidRDefault="00F61896" w:rsidP="00766419">
            <w:pPr>
              <w:rPr>
                <w:rFonts w:cs="Arial"/>
                <w:b/>
                <w:bCs/>
                <w:sz w:val="20"/>
                <w:szCs w:val="20"/>
              </w:rPr>
            </w:pPr>
            <w:r w:rsidRPr="00D00DBA">
              <w:rPr>
                <w:rFonts w:cs="Arial"/>
                <w:b/>
                <w:bCs/>
                <w:sz w:val="20"/>
                <w:szCs w:val="20"/>
              </w:rPr>
              <w:t>2029</w:t>
            </w:r>
          </w:p>
        </w:tc>
        <w:tc>
          <w:tcPr>
            <w:tcW w:w="1303" w:type="dxa"/>
            <w:shd w:val="clear" w:color="auto" w:fill="8EAADB" w:themeFill="accent1" w:themeFillTint="99"/>
            <w:vAlign w:val="center"/>
          </w:tcPr>
          <w:p w14:paraId="15954405" w14:textId="77777777" w:rsidR="00F61896" w:rsidRPr="00D00DBA" w:rsidRDefault="00F61896" w:rsidP="00766419">
            <w:pPr>
              <w:rPr>
                <w:rFonts w:cs="Arial"/>
                <w:b/>
                <w:bCs/>
                <w:sz w:val="20"/>
                <w:szCs w:val="20"/>
              </w:rPr>
            </w:pPr>
            <w:r w:rsidRPr="00D00DBA">
              <w:rPr>
                <w:rFonts w:cs="Arial"/>
                <w:b/>
                <w:bCs/>
                <w:sz w:val="20"/>
                <w:szCs w:val="20"/>
              </w:rPr>
              <w:t>SKUPAJ</w:t>
            </w:r>
          </w:p>
        </w:tc>
      </w:tr>
      <w:tr w:rsidR="00F61896" w:rsidRPr="00D00DBA" w14:paraId="69B26919" w14:textId="77777777" w:rsidTr="00E8005F">
        <w:trPr>
          <w:trHeight w:val="407"/>
        </w:trPr>
        <w:tc>
          <w:tcPr>
            <w:tcW w:w="1243" w:type="dxa"/>
            <w:vMerge w:val="restart"/>
            <w:vAlign w:val="center"/>
          </w:tcPr>
          <w:p w14:paraId="50FA2854" w14:textId="77777777" w:rsidR="00F61896" w:rsidRPr="00D00DBA" w:rsidRDefault="00F61896" w:rsidP="002C1A79">
            <w:pPr>
              <w:rPr>
                <w:rFonts w:cs="Arial"/>
                <w:sz w:val="20"/>
                <w:szCs w:val="20"/>
              </w:rPr>
            </w:pPr>
            <w:r w:rsidRPr="00D00DBA">
              <w:rPr>
                <w:rFonts w:cs="Arial"/>
                <w:sz w:val="20"/>
                <w:szCs w:val="20"/>
              </w:rPr>
              <w:t>SC 4.4</w:t>
            </w:r>
          </w:p>
        </w:tc>
        <w:tc>
          <w:tcPr>
            <w:tcW w:w="1715" w:type="dxa"/>
            <w:vMerge w:val="restart"/>
            <w:vAlign w:val="center"/>
          </w:tcPr>
          <w:p w14:paraId="27EA06E4" w14:textId="77777777" w:rsidR="00F61896" w:rsidRPr="00D00DBA" w:rsidRDefault="00F61896" w:rsidP="002C1A79">
            <w:pPr>
              <w:rPr>
                <w:rFonts w:cs="Arial"/>
                <w:sz w:val="20"/>
                <w:szCs w:val="20"/>
              </w:rPr>
            </w:pPr>
            <w:r w:rsidRPr="00D00DBA">
              <w:rPr>
                <w:rFonts w:cs="Arial"/>
                <w:sz w:val="20"/>
                <w:szCs w:val="20"/>
              </w:rPr>
              <w:t>Spodbujanje udeležbe zaposlenih v lastništvu podjetij</w:t>
            </w:r>
          </w:p>
        </w:tc>
        <w:tc>
          <w:tcPr>
            <w:tcW w:w="893" w:type="dxa"/>
            <w:vAlign w:val="center"/>
          </w:tcPr>
          <w:p w14:paraId="581733A4" w14:textId="77FC39B5" w:rsidR="00F61896" w:rsidRPr="00D00DBA" w:rsidRDefault="00AA573F" w:rsidP="002C1A79">
            <w:pPr>
              <w:rPr>
                <w:rFonts w:cs="Arial"/>
                <w:sz w:val="20"/>
                <w:szCs w:val="20"/>
              </w:rPr>
            </w:pPr>
            <w:r w:rsidRPr="00D00DBA">
              <w:rPr>
                <w:rFonts w:cs="Arial"/>
                <w:sz w:val="20"/>
                <w:szCs w:val="20"/>
              </w:rPr>
              <w:t>V</w:t>
            </w:r>
            <w:r w:rsidR="00F61896" w:rsidRPr="00D00DBA">
              <w:rPr>
                <w:rFonts w:cs="Arial"/>
                <w:sz w:val="20"/>
                <w:szCs w:val="20"/>
              </w:rPr>
              <w:t>zhod</w:t>
            </w:r>
          </w:p>
        </w:tc>
        <w:tc>
          <w:tcPr>
            <w:tcW w:w="1303" w:type="dxa"/>
            <w:vAlign w:val="center"/>
          </w:tcPr>
          <w:p w14:paraId="0D24FA1D" w14:textId="77777777" w:rsidR="00F61896" w:rsidRPr="00D00DBA" w:rsidRDefault="00F61896" w:rsidP="002C1A79">
            <w:pPr>
              <w:jc w:val="center"/>
              <w:rPr>
                <w:rFonts w:cs="Arial"/>
                <w:sz w:val="20"/>
                <w:szCs w:val="20"/>
              </w:rPr>
            </w:pPr>
            <w:r w:rsidRPr="00D00DBA">
              <w:rPr>
                <w:rFonts w:cs="Arial"/>
                <w:sz w:val="20"/>
                <w:szCs w:val="20"/>
              </w:rPr>
              <w:t>1.275.000</w:t>
            </w:r>
          </w:p>
        </w:tc>
        <w:tc>
          <w:tcPr>
            <w:tcW w:w="998" w:type="dxa"/>
            <w:vAlign w:val="center"/>
          </w:tcPr>
          <w:p w14:paraId="61679F72" w14:textId="0F28B206" w:rsidR="00F61896" w:rsidRPr="00D00DBA" w:rsidRDefault="006F4430" w:rsidP="002C1A79">
            <w:pPr>
              <w:jc w:val="center"/>
              <w:rPr>
                <w:rFonts w:cs="Arial"/>
                <w:sz w:val="20"/>
                <w:szCs w:val="20"/>
              </w:rPr>
            </w:pPr>
            <w:r w:rsidRPr="00D00DBA">
              <w:rPr>
                <w:rFonts w:cs="Arial"/>
                <w:sz w:val="20"/>
                <w:szCs w:val="20"/>
              </w:rPr>
              <w:t>1.275.000</w:t>
            </w:r>
          </w:p>
        </w:tc>
        <w:tc>
          <w:tcPr>
            <w:tcW w:w="972" w:type="dxa"/>
            <w:vAlign w:val="center"/>
          </w:tcPr>
          <w:p w14:paraId="5AC12F8F" w14:textId="2D59C72A" w:rsidR="00F61896" w:rsidRPr="00D00DBA" w:rsidRDefault="006F4430" w:rsidP="002C1A79">
            <w:pPr>
              <w:jc w:val="center"/>
              <w:rPr>
                <w:rFonts w:cs="Arial"/>
                <w:sz w:val="20"/>
                <w:szCs w:val="20"/>
              </w:rPr>
            </w:pPr>
            <w:r w:rsidRPr="00D00DBA">
              <w:rPr>
                <w:rFonts w:cs="Arial"/>
                <w:sz w:val="20"/>
                <w:szCs w:val="20"/>
              </w:rPr>
              <w:t>1.275.000</w:t>
            </w:r>
          </w:p>
        </w:tc>
        <w:tc>
          <w:tcPr>
            <w:tcW w:w="1303" w:type="dxa"/>
            <w:vAlign w:val="center"/>
          </w:tcPr>
          <w:p w14:paraId="5E9BF4B6" w14:textId="191FFFB2" w:rsidR="00F61896" w:rsidRPr="00D00DBA" w:rsidRDefault="006F4430" w:rsidP="002C1A79">
            <w:pPr>
              <w:jc w:val="center"/>
              <w:rPr>
                <w:rFonts w:cs="Arial"/>
                <w:sz w:val="20"/>
                <w:szCs w:val="20"/>
              </w:rPr>
            </w:pPr>
            <w:r w:rsidRPr="00D00DBA">
              <w:rPr>
                <w:rFonts w:cs="Arial"/>
                <w:sz w:val="20"/>
                <w:szCs w:val="20"/>
              </w:rPr>
              <w:t>425.000</w:t>
            </w:r>
          </w:p>
        </w:tc>
        <w:tc>
          <w:tcPr>
            <w:tcW w:w="1303" w:type="dxa"/>
            <w:vAlign w:val="center"/>
          </w:tcPr>
          <w:p w14:paraId="2007E394" w14:textId="77777777" w:rsidR="00F61896" w:rsidRPr="00D00DBA" w:rsidRDefault="00F61896" w:rsidP="002C1A79">
            <w:pPr>
              <w:jc w:val="center"/>
              <w:rPr>
                <w:rFonts w:cs="Arial"/>
                <w:sz w:val="20"/>
                <w:szCs w:val="20"/>
              </w:rPr>
            </w:pPr>
            <w:r w:rsidRPr="00D00DBA">
              <w:rPr>
                <w:rFonts w:cs="Arial"/>
                <w:sz w:val="20"/>
                <w:szCs w:val="20"/>
              </w:rPr>
              <w:t>4.250.000</w:t>
            </w:r>
          </w:p>
        </w:tc>
      </w:tr>
      <w:tr w:rsidR="00F61896" w:rsidRPr="00D00DBA" w14:paraId="252746E0" w14:textId="77777777" w:rsidTr="00E8005F">
        <w:trPr>
          <w:trHeight w:val="411"/>
        </w:trPr>
        <w:tc>
          <w:tcPr>
            <w:tcW w:w="1243" w:type="dxa"/>
            <w:vMerge/>
            <w:vAlign w:val="center"/>
          </w:tcPr>
          <w:p w14:paraId="7C76D718" w14:textId="77777777" w:rsidR="00F61896" w:rsidRPr="00D00DBA" w:rsidRDefault="00F61896" w:rsidP="002C1A79">
            <w:pPr>
              <w:rPr>
                <w:rFonts w:cs="Arial"/>
                <w:sz w:val="20"/>
                <w:szCs w:val="20"/>
              </w:rPr>
            </w:pPr>
          </w:p>
        </w:tc>
        <w:tc>
          <w:tcPr>
            <w:tcW w:w="1715" w:type="dxa"/>
            <w:vMerge/>
            <w:vAlign w:val="center"/>
          </w:tcPr>
          <w:p w14:paraId="7626ACF3" w14:textId="77777777" w:rsidR="00F61896" w:rsidRPr="00D00DBA" w:rsidRDefault="00F61896" w:rsidP="002C1A79">
            <w:pPr>
              <w:rPr>
                <w:rFonts w:cs="Arial"/>
                <w:sz w:val="20"/>
                <w:szCs w:val="20"/>
              </w:rPr>
            </w:pPr>
          </w:p>
        </w:tc>
        <w:tc>
          <w:tcPr>
            <w:tcW w:w="893" w:type="dxa"/>
            <w:vAlign w:val="center"/>
          </w:tcPr>
          <w:p w14:paraId="44C5E295" w14:textId="5F686D94" w:rsidR="00F61896" w:rsidRPr="00D00DBA" w:rsidRDefault="00AA573F" w:rsidP="002C1A79">
            <w:pPr>
              <w:rPr>
                <w:rFonts w:cs="Arial"/>
                <w:sz w:val="20"/>
                <w:szCs w:val="20"/>
              </w:rPr>
            </w:pPr>
            <w:r w:rsidRPr="00D00DBA">
              <w:rPr>
                <w:rFonts w:cs="Arial"/>
                <w:sz w:val="20"/>
                <w:szCs w:val="20"/>
              </w:rPr>
              <w:t>Z</w:t>
            </w:r>
            <w:r w:rsidR="00F61896" w:rsidRPr="00D00DBA">
              <w:rPr>
                <w:rFonts w:cs="Arial"/>
                <w:sz w:val="20"/>
                <w:szCs w:val="20"/>
              </w:rPr>
              <w:t>ahod</w:t>
            </w:r>
          </w:p>
        </w:tc>
        <w:tc>
          <w:tcPr>
            <w:tcW w:w="1303" w:type="dxa"/>
            <w:vAlign w:val="center"/>
          </w:tcPr>
          <w:p w14:paraId="76925527" w14:textId="77777777" w:rsidR="00F61896" w:rsidRPr="00D00DBA" w:rsidRDefault="00F61896" w:rsidP="002C1A79">
            <w:pPr>
              <w:jc w:val="center"/>
              <w:rPr>
                <w:rFonts w:cs="Arial"/>
                <w:sz w:val="20"/>
                <w:szCs w:val="20"/>
              </w:rPr>
            </w:pPr>
            <w:r w:rsidRPr="00D00DBA">
              <w:rPr>
                <w:rFonts w:cs="Arial"/>
                <w:sz w:val="20"/>
                <w:szCs w:val="20"/>
              </w:rPr>
              <w:t>600.000</w:t>
            </w:r>
          </w:p>
        </w:tc>
        <w:tc>
          <w:tcPr>
            <w:tcW w:w="998" w:type="dxa"/>
            <w:vAlign w:val="center"/>
          </w:tcPr>
          <w:p w14:paraId="050F182E" w14:textId="69A0C06F" w:rsidR="00F61896" w:rsidRPr="00D00DBA" w:rsidRDefault="006F4430" w:rsidP="002C1A79">
            <w:pPr>
              <w:jc w:val="center"/>
              <w:rPr>
                <w:rFonts w:cs="Arial"/>
                <w:sz w:val="20"/>
                <w:szCs w:val="20"/>
              </w:rPr>
            </w:pPr>
            <w:r w:rsidRPr="00D00DBA">
              <w:rPr>
                <w:rFonts w:cs="Arial"/>
                <w:sz w:val="20"/>
                <w:szCs w:val="20"/>
              </w:rPr>
              <w:t>600.000</w:t>
            </w:r>
          </w:p>
        </w:tc>
        <w:tc>
          <w:tcPr>
            <w:tcW w:w="972" w:type="dxa"/>
            <w:vAlign w:val="center"/>
          </w:tcPr>
          <w:p w14:paraId="0169D376" w14:textId="53494159" w:rsidR="00F61896" w:rsidRPr="00D00DBA" w:rsidRDefault="006F4430" w:rsidP="002C1A79">
            <w:pPr>
              <w:jc w:val="center"/>
              <w:rPr>
                <w:rFonts w:cs="Arial"/>
                <w:sz w:val="20"/>
                <w:szCs w:val="20"/>
              </w:rPr>
            </w:pPr>
            <w:r w:rsidRPr="00D00DBA">
              <w:rPr>
                <w:rFonts w:cs="Arial"/>
                <w:sz w:val="20"/>
                <w:szCs w:val="20"/>
              </w:rPr>
              <w:t>600.000</w:t>
            </w:r>
          </w:p>
        </w:tc>
        <w:tc>
          <w:tcPr>
            <w:tcW w:w="1303" w:type="dxa"/>
            <w:vAlign w:val="center"/>
          </w:tcPr>
          <w:p w14:paraId="66D9B001" w14:textId="7BA109CE" w:rsidR="00F61896" w:rsidRPr="00D00DBA" w:rsidRDefault="006F4430" w:rsidP="002C1A79">
            <w:pPr>
              <w:jc w:val="center"/>
              <w:rPr>
                <w:rFonts w:cs="Arial"/>
                <w:sz w:val="20"/>
                <w:szCs w:val="20"/>
              </w:rPr>
            </w:pPr>
            <w:r w:rsidRPr="00D00DBA">
              <w:rPr>
                <w:rFonts w:cs="Arial"/>
                <w:sz w:val="20"/>
                <w:szCs w:val="20"/>
              </w:rPr>
              <w:t>2</w:t>
            </w:r>
            <w:r w:rsidR="00F61896" w:rsidRPr="00D00DBA">
              <w:rPr>
                <w:rFonts w:cs="Arial"/>
                <w:sz w:val="20"/>
                <w:szCs w:val="20"/>
              </w:rPr>
              <w:t>00.000</w:t>
            </w:r>
          </w:p>
        </w:tc>
        <w:tc>
          <w:tcPr>
            <w:tcW w:w="1303" w:type="dxa"/>
            <w:vAlign w:val="center"/>
          </w:tcPr>
          <w:p w14:paraId="4841F380" w14:textId="77777777" w:rsidR="00F61896" w:rsidRPr="00D00DBA" w:rsidRDefault="00F61896" w:rsidP="002C1A79">
            <w:pPr>
              <w:jc w:val="center"/>
              <w:rPr>
                <w:rFonts w:cs="Arial"/>
                <w:sz w:val="20"/>
                <w:szCs w:val="20"/>
              </w:rPr>
            </w:pPr>
            <w:r w:rsidRPr="00D00DBA">
              <w:rPr>
                <w:rFonts w:cs="Arial"/>
                <w:sz w:val="20"/>
                <w:szCs w:val="20"/>
              </w:rPr>
              <w:t>2.000.000</w:t>
            </w:r>
          </w:p>
        </w:tc>
      </w:tr>
      <w:tr w:rsidR="00F61896" w:rsidRPr="00D00DBA" w14:paraId="003A343C" w14:textId="77777777" w:rsidTr="00E8005F">
        <w:tc>
          <w:tcPr>
            <w:tcW w:w="1243" w:type="dxa"/>
            <w:shd w:val="clear" w:color="auto" w:fill="8EAADB" w:themeFill="accent1" w:themeFillTint="99"/>
            <w:vAlign w:val="center"/>
          </w:tcPr>
          <w:p w14:paraId="6ED6BCE3" w14:textId="77777777" w:rsidR="00F61896" w:rsidRPr="00D00DBA" w:rsidRDefault="00F61896" w:rsidP="002C1A79">
            <w:pPr>
              <w:jc w:val="both"/>
              <w:rPr>
                <w:rFonts w:eastAsia="CIDFont+F2" w:cs="Arial"/>
                <w:b/>
                <w:bCs/>
                <w:sz w:val="20"/>
                <w:szCs w:val="20"/>
                <w:lang w:eastAsia="sl-SI"/>
              </w:rPr>
            </w:pPr>
            <w:r w:rsidRPr="00D00DBA">
              <w:rPr>
                <w:rFonts w:eastAsia="CIDFont+F2" w:cs="Arial"/>
                <w:b/>
                <w:bCs/>
                <w:sz w:val="20"/>
                <w:szCs w:val="20"/>
                <w:lang w:eastAsia="sl-SI"/>
              </w:rPr>
              <w:t>Skupna vsota</w:t>
            </w:r>
          </w:p>
        </w:tc>
        <w:tc>
          <w:tcPr>
            <w:tcW w:w="1715" w:type="dxa"/>
            <w:shd w:val="clear" w:color="auto" w:fill="8EAADB" w:themeFill="accent1" w:themeFillTint="99"/>
            <w:vAlign w:val="center"/>
          </w:tcPr>
          <w:p w14:paraId="3F19558A" w14:textId="77777777" w:rsidR="00F61896" w:rsidRPr="00D00DBA" w:rsidRDefault="00F61896" w:rsidP="002C1A79">
            <w:pPr>
              <w:jc w:val="both"/>
              <w:rPr>
                <w:rFonts w:eastAsia="CIDFont+F2" w:cs="Arial"/>
                <w:b/>
                <w:bCs/>
                <w:sz w:val="20"/>
                <w:szCs w:val="20"/>
                <w:lang w:eastAsia="sl-SI"/>
              </w:rPr>
            </w:pPr>
          </w:p>
        </w:tc>
        <w:tc>
          <w:tcPr>
            <w:tcW w:w="893" w:type="dxa"/>
            <w:shd w:val="clear" w:color="auto" w:fill="8EAADB" w:themeFill="accent1" w:themeFillTint="99"/>
            <w:vAlign w:val="center"/>
          </w:tcPr>
          <w:p w14:paraId="49F35963" w14:textId="77777777" w:rsidR="00F61896" w:rsidRPr="00D00DBA" w:rsidRDefault="00F61896" w:rsidP="002C1A79">
            <w:pPr>
              <w:jc w:val="both"/>
              <w:rPr>
                <w:rFonts w:eastAsia="CIDFont+F2" w:cs="Arial"/>
                <w:b/>
                <w:bCs/>
                <w:sz w:val="20"/>
                <w:szCs w:val="20"/>
                <w:lang w:eastAsia="sl-SI"/>
              </w:rPr>
            </w:pPr>
          </w:p>
        </w:tc>
        <w:tc>
          <w:tcPr>
            <w:tcW w:w="1303" w:type="dxa"/>
            <w:shd w:val="clear" w:color="auto" w:fill="8EAADB" w:themeFill="accent1" w:themeFillTint="99"/>
            <w:vAlign w:val="center"/>
          </w:tcPr>
          <w:p w14:paraId="17B90508" w14:textId="77777777" w:rsidR="00F61896" w:rsidRPr="00D00DBA" w:rsidRDefault="00F61896" w:rsidP="00766419">
            <w:pPr>
              <w:jc w:val="center"/>
              <w:rPr>
                <w:rFonts w:eastAsia="CIDFont+F2" w:cs="Arial"/>
                <w:b/>
                <w:bCs/>
                <w:sz w:val="20"/>
                <w:szCs w:val="20"/>
                <w:lang w:eastAsia="sl-SI"/>
              </w:rPr>
            </w:pPr>
            <w:r w:rsidRPr="00D00DBA">
              <w:rPr>
                <w:rFonts w:eastAsia="CIDFont+F2" w:cs="Arial"/>
                <w:b/>
                <w:bCs/>
                <w:sz w:val="20"/>
                <w:szCs w:val="20"/>
                <w:lang w:eastAsia="sl-SI"/>
              </w:rPr>
              <w:t>1.875.000</w:t>
            </w:r>
          </w:p>
        </w:tc>
        <w:tc>
          <w:tcPr>
            <w:tcW w:w="998" w:type="dxa"/>
            <w:shd w:val="clear" w:color="auto" w:fill="8EAADB" w:themeFill="accent1" w:themeFillTint="99"/>
            <w:vAlign w:val="center"/>
          </w:tcPr>
          <w:p w14:paraId="6222B2C7" w14:textId="52F651C8" w:rsidR="00F61896" w:rsidRPr="00D00DBA" w:rsidRDefault="006F4430" w:rsidP="00766419">
            <w:pPr>
              <w:jc w:val="center"/>
              <w:rPr>
                <w:rFonts w:eastAsia="CIDFont+F2" w:cs="Arial"/>
                <w:b/>
                <w:bCs/>
                <w:sz w:val="20"/>
                <w:szCs w:val="20"/>
                <w:lang w:eastAsia="sl-SI"/>
              </w:rPr>
            </w:pPr>
            <w:r w:rsidRPr="00D00DBA">
              <w:rPr>
                <w:rFonts w:eastAsia="CIDFont+F2" w:cs="Arial"/>
                <w:b/>
                <w:bCs/>
                <w:sz w:val="20"/>
                <w:szCs w:val="20"/>
                <w:lang w:eastAsia="sl-SI"/>
              </w:rPr>
              <w:t>1.875.000</w:t>
            </w:r>
          </w:p>
        </w:tc>
        <w:tc>
          <w:tcPr>
            <w:tcW w:w="972" w:type="dxa"/>
            <w:shd w:val="clear" w:color="auto" w:fill="8EAADB" w:themeFill="accent1" w:themeFillTint="99"/>
            <w:vAlign w:val="center"/>
          </w:tcPr>
          <w:p w14:paraId="21D52369" w14:textId="0741A04C" w:rsidR="00F61896" w:rsidRPr="00D00DBA" w:rsidRDefault="006F4430" w:rsidP="00766419">
            <w:pPr>
              <w:jc w:val="center"/>
              <w:rPr>
                <w:rFonts w:eastAsia="CIDFont+F2" w:cs="Arial"/>
                <w:b/>
                <w:bCs/>
                <w:sz w:val="20"/>
                <w:szCs w:val="20"/>
                <w:lang w:eastAsia="sl-SI"/>
              </w:rPr>
            </w:pPr>
            <w:r w:rsidRPr="00D00DBA">
              <w:rPr>
                <w:rFonts w:eastAsia="CIDFont+F2" w:cs="Arial"/>
                <w:b/>
                <w:bCs/>
                <w:sz w:val="20"/>
                <w:szCs w:val="20"/>
                <w:lang w:eastAsia="sl-SI"/>
              </w:rPr>
              <w:t>1.875.000</w:t>
            </w:r>
          </w:p>
        </w:tc>
        <w:tc>
          <w:tcPr>
            <w:tcW w:w="1303" w:type="dxa"/>
            <w:shd w:val="clear" w:color="auto" w:fill="8EAADB" w:themeFill="accent1" w:themeFillTint="99"/>
            <w:vAlign w:val="center"/>
          </w:tcPr>
          <w:p w14:paraId="3002C41F" w14:textId="28E8687C" w:rsidR="00F61896" w:rsidRPr="00D00DBA" w:rsidRDefault="006F4430" w:rsidP="00766419">
            <w:pPr>
              <w:jc w:val="center"/>
              <w:rPr>
                <w:rFonts w:eastAsia="CIDFont+F2" w:cs="Arial"/>
                <w:b/>
                <w:bCs/>
                <w:sz w:val="20"/>
                <w:szCs w:val="20"/>
                <w:lang w:eastAsia="sl-SI"/>
              </w:rPr>
            </w:pPr>
            <w:r w:rsidRPr="00D00DBA">
              <w:rPr>
                <w:rFonts w:eastAsia="CIDFont+F2" w:cs="Arial"/>
                <w:b/>
                <w:bCs/>
                <w:sz w:val="20"/>
                <w:szCs w:val="20"/>
                <w:lang w:eastAsia="sl-SI"/>
              </w:rPr>
              <w:t>62</w:t>
            </w:r>
            <w:r w:rsidR="00F61896" w:rsidRPr="00D00DBA">
              <w:rPr>
                <w:rFonts w:eastAsia="CIDFont+F2" w:cs="Arial"/>
                <w:b/>
                <w:bCs/>
                <w:sz w:val="20"/>
                <w:szCs w:val="20"/>
                <w:lang w:eastAsia="sl-SI"/>
              </w:rPr>
              <w:t>5.000</w:t>
            </w:r>
          </w:p>
        </w:tc>
        <w:tc>
          <w:tcPr>
            <w:tcW w:w="1303" w:type="dxa"/>
            <w:shd w:val="clear" w:color="auto" w:fill="8EAADB" w:themeFill="accent1" w:themeFillTint="99"/>
            <w:vAlign w:val="center"/>
          </w:tcPr>
          <w:p w14:paraId="752AA649" w14:textId="77777777" w:rsidR="00F61896" w:rsidRPr="00D00DBA" w:rsidRDefault="00F61896" w:rsidP="00766419">
            <w:pPr>
              <w:jc w:val="center"/>
              <w:rPr>
                <w:rFonts w:eastAsia="CIDFont+F2" w:cs="Arial"/>
                <w:b/>
                <w:bCs/>
                <w:sz w:val="20"/>
                <w:szCs w:val="20"/>
                <w:lang w:eastAsia="sl-SI"/>
              </w:rPr>
            </w:pPr>
            <w:r w:rsidRPr="00D00DBA">
              <w:rPr>
                <w:rFonts w:eastAsia="CIDFont+F2" w:cs="Arial"/>
                <w:b/>
                <w:bCs/>
                <w:sz w:val="20"/>
                <w:szCs w:val="20"/>
                <w:lang w:eastAsia="sl-SI"/>
              </w:rPr>
              <w:t>6.250.000</w:t>
            </w:r>
          </w:p>
        </w:tc>
      </w:tr>
      <w:bookmarkEnd w:id="28"/>
    </w:tbl>
    <w:p w14:paraId="31F6EC54" w14:textId="77777777" w:rsidR="00766419" w:rsidRPr="00D00DBA" w:rsidRDefault="00766419" w:rsidP="00F154F0">
      <w:pPr>
        <w:jc w:val="both"/>
        <w:rPr>
          <w:rFonts w:eastAsia="CIDFont+F2" w:cs="Arial"/>
          <w:sz w:val="20"/>
          <w:szCs w:val="20"/>
          <w:lang w:eastAsia="sl-SI"/>
        </w:rPr>
      </w:pPr>
    </w:p>
    <w:p w14:paraId="1EB7C15D" w14:textId="77777777" w:rsidR="00566513" w:rsidRPr="00D00DBA" w:rsidRDefault="00566513" w:rsidP="00F154F0">
      <w:pPr>
        <w:jc w:val="both"/>
        <w:rPr>
          <w:rFonts w:eastAsia="CIDFont+F2" w:cs="Arial"/>
          <w:i/>
          <w:iCs/>
          <w:sz w:val="20"/>
          <w:szCs w:val="20"/>
          <w:lang w:eastAsia="sl-SI"/>
        </w:rPr>
      </w:pPr>
    </w:p>
    <w:p w14:paraId="70829A83" w14:textId="3A53FE57" w:rsidR="00724469" w:rsidRPr="00D00DBA" w:rsidRDefault="00724469" w:rsidP="00F154F0">
      <w:pPr>
        <w:jc w:val="both"/>
        <w:rPr>
          <w:rFonts w:cs="Arial"/>
          <w:sz w:val="20"/>
          <w:szCs w:val="20"/>
        </w:rPr>
      </w:pPr>
      <w:r w:rsidRPr="00D00DBA">
        <w:rPr>
          <w:rFonts w:cs="Arial"/>
          <w:sz w:val="20"/>
          <w:szCs w:val="20"/>
        </w:rPr>
        <w:t>*</w:t>
      </w:r>
      <w:r w:rsidR="00AA573F" w:rsidRPr="00D00DBA">
        <w:rPr>
          <w:rFonts w:cs="Arial"/>
          <w:sz w:val="20"/>
          <w:szCs w:val="20"/>
        </w:rPr>
        <w:t>MDDSZ</w:t>
      </w:r>
      <w:r w:rsidRPr="00D00DBA">
        <w:rPr>
          <w:rFonts w:cs="Arial"/>
          <w:sz w:val="20"/>
          <w:szCs w:val="20"/>
        </w:rPr>
        <w:t xml:space="preserve"> si bo prizadevalo, da bo prvo izplačilo v holdinški sklad do višine </w:t>
      </w:r>
      <w:r w:rsidR="000950F7" w:rsidRPr="00D00DBA">
        <w:rPr>
          <w:rFonts w:cs="Arial"/>
          <w:sz w:val="20"/>
          <w:szCs w:val="20"/>
        </w:rPr>
        <w:t>1.875.000</w:t>
      </w:r>
      <w:r w:rsidR="00A57208" w:rsidRPr="00D00DBA">
        <w:rPr>
          <w:rFonts w:cs="Arial"/>
          <w:sz w:val="20"/>
          <w:szCs w:val="20"/>
        </w:rPr>
        <w:t xml:space="preserve"> </w:t>
      </w:r>
      <w:r w:rsidRPr="00D00DBA">
        <w:rPr>
          <w:rFonts w:cs="Arial"/>
          <w:sz w:val="20"/>
          <w:szCs w:val="20"/>
        </w:rPr>
        <w:t xml:space="preserve">EUR izvedeno v letu </w:t>
      </w:r>
      <w:r w:rsidR="000950F7" w:rsidRPr="00D00DBA">
        <w:rPr>
          <w:rFonts w:cs="Arial"/>
          <w:sz w:val="20"/>
          <w:szCs w:val="20"/>
        </w:rPr>
        <w:t>2026</w:t>
      </w:r>
      <w:r w:rsidRPr="00D00DBA">
        <w:rPr>
          <w:rFonts w:cs="Arial"/>
          <w:sz w:val="20"/>
          <w:szCs w:val="20"/>
        </w:rPr>
        <w:t>.</w:t>
      </w:r>
    </w:p>
    <w:bookmarkEnd w:id="27"/>
    <w:p w14:paraId="0F999A1E" w14:textId="77777777" w:rsidR="007E7842" w:rsidRPr="00D00DBA" w:rsidRDefault="007E7842" w:rsidP="00F154F0">
      <w:pPr>
        <w:jc w:val="both"/>
        <w:rPr>
          <w:rFonts w:cs="Arial"/>
          <w:sz w:val="20"/>
          <w:szCs w:val="20"/>
        </w:rPr>
      </w:pPr>
    </w:p>
    <w:p w14:paraId="7514E295" w14:textId="77777777" w:rsidR="003F5664" w:rsidRPr="00D00DBA" w:rsidRDefault="003F5664" w:rsidP="00F154F0">
      <w:pPr>
        <w:pStyle w:val="Naslov2"/>
        <w:spacing w:after="0"/>
        <w:ind w:left="0"/>
        <w:rPr>
          <w:sz w:val="20"/>
          <w:szCs w:val="20"/>
        </w:rPr>
      </w:pPr>
      <w:bookmarkStart w:id="29" w:name="_Toc141708953"/>
      <w:bookmarkStart w:id="30" w:name="_Toc204329692"/>
      <w:r w:rsidRPr="00D00DBA">
        <w:rPr>
          <w:sz w:val="20"/>
          <w:szCs w:val="20"/>
        </w:rPr>
        <w:t>PROGRAMSKA KLASIFIKACIJA</w:t>
      </w:r>
      <w:bookmarkEnd w:id="29"/>
      <w:bookmarkEnd w:id="30"/>
      <w:r w:rsidRPr="00D00DBA">
        <w:rPr>
          <w:sz w:val="20"/>
          <w:szCs w:val="20"/>
        </w:rPr>
        <w:t xml:space="preserve"> </w:t>
      </w:r>
    </w:p>
    <w:p w14:paraId="08D8F6A6" w14:textId="77777777" w:rsidR="007E7842" w:rsidRPr="00D00DBA" w:rsidRDefault="007E7842" w:rsidP="007E7842">
      <w:pPr>
        <w:rPr>
          <w:rFonts w:cs="Arial"/>
          <w:sz w:val="20"/>
          <w:szCs w:val="20"/>
        </w:rPr>
      </w:pPr>
    </w:p>
    <w:p w14:paraId="7F3C40EF" w14:textId="0AD77045" w:rsidR="00E12F0C" w:rsidRPr="00D00DBA" w:rsidRDefault="00F12A06" w:rsidP="00F154F0">
      <w:pPr>
        <w:jc w:val="both"/>
        <w:rPr>
          <w:rFonts w:cs="Arial"/>
          <w:sz w:val="20"/>
          <w:szCs w:val="20"/>
        </w:rPr>
      </w:pPr>
      <w:r w:rsidRPr="00D00DBA">
        <w:rPr>
          <w:rFonts w:cs="Arial"/>
          <w:sz w:val="20"/>
          <w:szCs w:val="20"/>
        </w:rPr>
        <w:t>Sredstva evropske k</w:t>
      </w:r>
      <w:r w:rsidR="003F5664" w:rsidRPr="00D00DBA">
        <w:rPr>
          <w:rFonts w:cs="Arial"/>
          <w:sz w:val="20"/>
          <w:szCs w:val="20"/>
        </w:rPr>
        <w:t>ohezijsk</w:t>
      </w:r>
      <w:r w:rsidRPr="00D00DBA">
        <w:rPr>
          <w:rFonts w:cs="Arial"/>
          <w:sz w:val="20"/>
          <w:szCs w:val="20"/>
        </w:rPr>
        <w:t>e</w:t>
      </w:r>
      <w:r w:rsidR="003F5664" w:rsidRPr="00D00DBA">
        <w:rPr>
          <w:rFonts w:cs="Arial"/>
          <w:sz w:val="20"/>
          <w:szCs w:val="20"/>
        </w:rPr>
        <w:t xml:space="preserve"> </w:t>
      </w:r>
      <w:r w:rsidRPr="00D00DBA">
        <w:rPr>
          <w:rFonts w:cs="Arial"/>
          <w:sz w:val="20"/>
          <w:szCs w:val="20"/>
        </w:rPr>
        <w:t xml:space="preserve">politike iz </w:t>
      </w:r>
      <w:r w:rsidR="003F5664" w:rsidRPr="00D00DBA">
        <w:rPr>
          <w:rFonts w:cs="Arial"/>
          <w:sz w:val="20"/>
          <w:szCs w:val="20"/>
        </w:rPr>
        <w:t>programskega obdobja 20</w:t>
      </w:r>
      <w:r w:rsidR="00E12F0C" w:rsidRPr="00D00DBA">
        <w:rPr>
          <w:rFonts w:cs="Arial"/>
          <w:sz w:val="20"/>
          <w:szCs w:val="20"/>
        </w:rPr>
        <w:t>21</w:t>
      </w:r>
      <w:r w:rsidR="003F5664" w:rsidRPr="00D00DBA">
        <w:rPr>
          <w:rFonts w:cs="Arial"/>
          <w:sz w:val="20"/>
          <w:szCs w:val="20"/>
        </w:rPr>
        <w:t>–202</w:t>
      </w:r>
      <w:r w:rsidR="00E12F0C" w:rsidRPr="00D00DBA">
        <w:rPr>
          <w:rFonts w:cs="Arial"/>
          <w:sz w:val="20"/>
          <w:szCs w:val="20"/>
        </w:rPr>
        <w:t>7</w:t>
      </w:r>
      <w:r w:rsidR="003F5664" w:rsidRPr="00D00DBA">
        <w:rPr>
          <w:rFonts w:cs="Arial"/>
          <w:sz w:val="20"/>
          <w:szCs w:val="20"/>
        </w:rPr>
        <w:t xml:space="preserve"> </w:t>
      </w:r>
      <w:r w:rsidRPr="00D00DBA">
        <w:rPr>
          <w:rFonts w:cs="Arial"/>
          <w:sz w:val="20"/>
          <w:szCs w:val="20"/>
        </w:rPr>
        <w:t xml:space="preserve">so </w:t>
      </w:r>
      <w:r w:rsidR="003F5664" w:rsidRPr="00D00DBA">
        <w:rPr>
          <w:rFonts w:cs="Arial"/>
          <w:sz w:val="20"/>
          <w:szCs w:val="20"/>
        </w:rPr>
        <w:t xml:space="preserve">načrtovana skladno </w:t>
      </w:r>
      <w:r w:rsidR="00E12F0C" w:rsidRPr="00D00DBA">
        <w:rPr>
          <w:rFonts w:cs="Arial"/>
          <w:sz w:val="20"/>
          <w:szCs w:val="20"/>
        </w:rPr>
        <w:t xml:space="preserve">s Sporazumom o partnerstvu </w:t>
      </w:r>
      <w:r w:rsidR="00601790" w:rsidRPr="00D00DBA">
        <w:rPr>
          <w:rFonts w:cs="Arial"/>
          <w:sz w:val="20"/>
          <w:szCs w:val="20"/>
        </w:rPr>
        <w:t xml:space="preserve">v </w:t>
      </w:r>
      <w:r w:rsidR="00E12F0C" w:rsidRPr="00D00DBA">
        <w:rPr>
          <w:rFonts w:cs="Arial"/>
          <w:sz w:val="20"/>
          <w:szCs w:val="20"/>
        </w:rPr>
        <w:t>Program</w:t>
      </w:r>
      <w:r w:rsidR="00601790" w:rsidRPr="00D00DBA">
        <w:rPr>
          <w:rFonts w:cs="Arial"/>
          <w:sz w:val="20"/>
          <w:szCs w:val="20"/>
        </w:rPr>
        <w:t>u</w:t>
      </w:r>
      <w:r w:rsidR="00E12F0C" w:rsidRPr="00D00DBA">
        <w:rPr>
          <w:rFonts w:cs="Arial"/>
          <w:sz w:val="20"/>
          <w:szCs w:val="20"/>
        </w:rPr>
        <w:t xml:space="preserve"> evropske kohezijske politike v obdobju 2021–2027 v Sloveniji. </w:t>
      </w:r>
    </w:p>
    <w:p w14:paraId="18B989B2" w14:textId="77777777" w:rsidR="003F5664" w:rsidRPr="00D00DBA" w:rsidRDefault="003F5664" w:rsidP="00F154F0">
      <w:pPr>
        <w:jc w:val="both"/>
        <w:rPr>
          <w:rFonts w:cs="Arial"/>
          <w:color w:val="FF0000"/>
          <w:sz w:val="20"/>
          <w:szCs w:val="20"/>
        </w:rPr>
      </w:pPr>
    </w:p>
    <w:p w14:paraId="20E4260B" w14:textId="56CBF223" w:rsidR="003F5664" w:rsidRPr="00D00DBA" w:rsidRDefault="003F5664" w:rsidP="00F154F0">
      <w:pPr>
        <w:jc w:val="both"/>
        <w:rPr>
          <w:rFonts w:cs="Arial"/>
          <w:sz w:val="20"/>
          <w:szCs w:val="20"/>
        </w:rPr>
      </w:pPr>
      <w:r w:rsidRPr="00D00DBA">
        <w:rPr>
          <w:rFonts w:cs="Arial"/>
          <w:sz w:val="20"/>
          <w:szCs w:val="20"/>
        </w:rPr>
        <w:t xml:space="preserve">Glede na programsko klasifikacijo </w:t>
      </w:r>
      <w:r w:rsidR="00F12A06" w:rsidRPr="00D00DBA">
        <w:rPr>
          <w:rFonts w:cs="Arial"/>
          <w:sz w:val="20"/>
          <w:szCs w:val="20"/>
        </w:rPr>
        <w:t xml:space="preserve">proračuna </w:t>
      </w:r>
      <w:r w:rsidRPr="00D00DBA">
        <w:rPr>
          <w:rFonts w:cs="Arial"/>
          <w:sz w:val="20"/>
          <w:szCs w:val="20"/>
        </w:rPr>
        <w:t>R</w:t>
      </w:r>
      <w:r w:rsidR="00F12A06" w:rsidRPr="00D00DBA">
        <w:rPr>
          <w:rFonts w:cs="Arial"/>
          <w:sz w:val="20"/>
          <w:szCs w:val="20"/>
        </w:rPr>
        <w:t xml:space="preserve">epublike </w:t>
      </w:r>
      <w:r w:rsidRPr="00D00DBA">
        <w:rPr>
          <w:rFonts w:cs="Arial"/>
          <w:sz w:val="20"/>
          <w:szCs w:val="20"/>
        </w:rPr>
        <w:t>S</w:t>
      </w:r>
      <w:r w:rsidR="00F12A06" w:rsidRPr="00D00DBA">
        <w:rPr>
          <w:rFonts w:cs="Arial"/>
          <w:sz w:val="20"/>
          <w:szCs w:val="20"/>
        </w:rPr>
        <w:t>lovenije</w:t>
      </w:r>
      <w:r w:rsidRPr="00D00DBA">
        <w:rPr>
          <w:rFonts w:cs="Arial"/>
          <w:sz w:val="20"/>
          <w:szCs w:val="20"/>
        </w:rPr>
        <w:t xml:space="preserve"> se FI</w:t>
      </w:r>
      <w:r w:rsidR="00F007AE" w:rsidRPr="00D00DBA">
        <w:rPr>
          <w:rFonts w:cs="Arial"/>
          <w:sz w:val="20"/>
          <w:szCs w:val="20"/>
        </w:rPr>
        <w:t xml:space="preserve"> glede na specifične cilje PEKP</w:t>
      </w:r>
      <w:r w:rsidRPr="00D00DBA">
        <w:rPr>
          <w:rFonts w:cs="Arial"/>
          <w:sz w:val="20"/>
          <w:szCs w:val="20"/>
        </w:rPr>
        <w:t xml:space="preserve"> vsebinsko umestijo v politike, glavne programe in podprograme</w:t>
      </w:r>
      <w:r w:rsidR="00E67AE9" w:rsidRPr="00D00DBA">
        <w:rPr>
          <w:rFonts w:cs="Arial"/>
          <w:sz w:val="20"/>
          <w:szCs w:val="20"/>
        </w:rPr>
        <w:t xml:space="preserve"> kot je navedeno v tabeli 3. </w:t>
      </w:r>
    </w:p>
    <w:p w14:paraId="6B942632" w14:textId="77777777" w:rsidR="003F5664" w:rsidRPr="00D00DBA" w:rsidRDefault="003F5664" w:rsidP="00F154F0">
      <w:pPr>
        <w:rPr>
          <w:rFonts w:eastAsia="CIDFont+F2" w:cs="Arial"/>
          <w:sz w:val="20"/>
          <w:szCs w:val="20"/>
          <w:lang w:eastAsia="sl-SI"/>
        </w:rPr>
      </w:pPr>
    </w:p>
    <w:p w14:paraId="2D8A40D4" w14:textId="02990E8B" w:rsidR="003F5664" w:rsidRPr="00D00DBA" w:rsidRDefault="003F5664" w:rsidP="00F154F0">
      <w:pPr>
        <w:keepNext/>
        <w:jc w:val="both"/>
        <w:rPr>
          <w:rFonts w:eastAsia="CIDFont+F2" w:cs="Arial"/>
          <w:sz w:val="20"/>
          <w:szCs w:val="20"/>
          <w:lang w:eastAsia="sl-SI"/>
        </w:rPr>
      </w:pPr>
      <w:r w:rsidRPr="00D00DBA">
        <w:rPr>
          <w:rFonts w:cs="Arial"/>
          <w:sz w:val="20"/>
          <w:szCs w:val="20"/>
        </w:rPr>
        <w:t xml:space="preserve">Tabela </w:t>
      </w:r>
      <w:r w:rsidR="003878DF" w:rsidRPr="00D00DBA">
        <w:rPr>
          <w:rFonts w:cs="Arial"/>
          <w:sz w:val="20"/>
          <w:szCs w:val="20"/>
        </w:rPr>
        <w:t>3</w:t>
      </w:r>
      <w:r w:rsidRPr="00D00DBA">
        <w:rPr>
          <w:rFonts w:eastAsia="CIDFont+F2" w:cs="Arial"/>
          <w:sz w:val="20"/>
          <w:szCs w:val="20"/>
          <w:lang w:eastAsia="sl-SI"/>
        </w:rPr>
        <w:t>:</w:t>
      </w:r>
      <w:r w:rsidR="00DD5B38" w:rsidRPr="00D00DBA">
        <w:rPr>
          <w:rFonts w:eastAsia="CIDFont+F2" w:cs="Arial"/>
          <w:sz w:val="20"/>
          <w:szCs w:val="20"/>
          <w:lang w:eastAsia="sl-SI"/>
        </w:rPr>
        <w:t xml:space="preserve"> </w:t>
      </w:r>
      <w:r w:rsidR="00F007AE" w:rsidRPr="00D00DBA">
        <w:rPr>
          <w:rFonts w:eastAsia="CIDFont+F2" w:cs="Arial"/>
          <w:sz w:val="20"/>
          <w:szCs w:val="20"/>
          <w:lang w:eastAsia="sl-SI"/>
        </w:rPr>
        <w:t>Umestitev specifičnih ciljev PEKP</w:t>
      </w:r>
      <w:r w:rsidR="00DD5B38" w:rsidRPr="00D00DBA">
        <w:rPr>
          <w:rFonts w:eastAsia="CIDFont+F2" w:cs="Arial"/>
          <w:sz w:val="20"/>
          <w:szCs w:val="20"/>
          <w:lang w:eastAsia="sl-SI"/>
        </w:rPr>
        <w:t xml:space="preserve"> </w:t>
      </w:r>
      <w:r w:rsidR="00F007AE" w:rsidRPr="00D00DBA">
        <w:rPr>
          <w:rFonts w:eastAsia="CIDFont+F2" w:cs="Arial"/>
          <w:sz w:val="20"/>
          <w:szCs w:val="20"/>
          <w:lang w:eastAsia="sl-SI"/>
        </w:rPr>
        <w:t xml:space="preserve">za </w:t>
      </w:r>
      <w:r w:rsidR="00DD5B38" w:rsidRPr="00D00DBA">
        <w:rPr>
          <w:rFonts w:eastAsia="CIDFont+F2" w:cs="Arial"/>
          <w:sz w:val="20"/>
          <w:szCs w:val="20"/>
          <w:lang w:eastAsia="sl-SI"/>
        </w:rPr>
        <w:t xml:space="preserve">FI </w:t>
      </w:r>
      <w:r w:rsidR="00903CD0" w:rsidRPr="00D00DBA">
        <w:rPr>
          <w:rFonts w:eastAsia="CIDFont+F2" w:cs="Arial"/>
          <w:sz w:val="20"/>
          <w:szCs w:val="20"/>
          <w:lang w:eastAsia="sl-SI"/>
        </w:rPr>
        <w:t>v programskem obdobju 2021</w:t>
      </w:r>
      <w:r w:rsidR="00F007AE" w:rsidRPr="00D00DBA">
        <w:rPr>
          <w:rFonts w:eastAsia="CIDFont+F2" w:cs="Arial"/>
          <w:sz w:val="20"/>
          <w:szCs w:val="20"/>
          <w:lang w:eastAsia="sl-SI"/>
        </w:rPr>
        <w:t>–</w:t>
      </w:r>
      <w:r w:rsidR="00903CD0" w:rsidRPr="00D00DBA">
        <w:rPr>
          <w:rFonts w:eastAsia="CIDFont+F2" w:cs="Arial"/>
          <w:sz w:val="20"/>
          <w:szCs w:val="20"/>
          <w:lang w:eastAsia="sl-SI"/>
        </w:rPr>
        <w:t xml:space="preserve">2027 </w:t>
      </w:r>
      <w:r w:rsidR="00DD5B38" w:rsidRPr="00D00DBA">
        <w:rPr>
          <w:rFonts w:eastAsia="CIDFont+F2" w:cs="Arial"/>
          <w:sz w:val="20"/>
          <w:szCs w:val="20"/>
          <w:lang w:eastAsia="sl-SI"/>
        </w:rPr>
        <w:t>glede na</w:t>
      </w:r>
      <w:r w:rsidR="00AF2B2F" w:rsidRPr="00D00DBA">
        <w:rPr>
          <w:rFonts w:eastAsia="CIDFont+F2" w:cs="Arial"/>
          <w:sz w:val="20"/>
          <w:szCs w:val="20"/>
          <w:lang w:eastAsia="sl-SI"/>
        </w:rPr>
        <w:t xml:space="preserve"> </w:t>
      </w:r>
      <w:r w:rsidR="00DD5B38" w:rsidRPr="00D00DBA">
        <w:rPr>
          <w:rFonts w:eastAsia="CIDFont+F2" w:cs="Arial"/>
          <w:sz w:val="20"/>
          <w:szCs w:val="20"/>
          <w:lang w:eastAsia="sl-SI"/>
        </w:rPr>
        <w:t>p</w:t>
      </w:r>
      <w:r w:rsidRPr="00D00DBA">
        <w:rPr>
          <w:rFonts w:eastAsia="CIDFont+F2" w:cs="Arial"/>
          <w:sz w:val="20"/>
          <w:szCs w:val="20"/>
          <w:lang w:eastAsia="sl-SI"/>
        </w:rPr>
        <w:t>rogramsk</w:t>
      </w:r>
      <w:r w:rsidR="00DD5B38" w:rsidRPr="00D00DBA">
        <w:rPr>
          <w:rFonts w:eastAsia="CIDFont+F2" w:cs="Arial"/>
          <w:sz w:val="20"/>
          <w:szCs w:val="20"/>
          <w:lang w:eastAsia="sl-SI"/>
        </w:rPr>
        <w:t>o</w:t>
      </w:r>
      <w:r w:rsidRPr="00D00DBA">
        <w:rPr>
          <w:rFonts w:eastAsia="CIDFont+F2" w:cs="Arial"/>
          <w:sz w:val="20"/>
          <w:szCs w:val="20"/>
          <w:lang w:eastAsia="sl-SI"/>
        </w:rPr>
        <w:t xml:space="preserve"> klasifikacij</w:t>
      </w:r>
      <w:r w:rsidR="00DD5B38" w:rsidRPr="00D00DBA">
        <w:rPr>
          <w:rFonts w:eastAsia="CIDFont+F2" w:cs="Arial"/>
          <w:sz w:val="20"/>
          <w:szCs w:val="20"/>
          <w:lang w:eastAsia="sl-SI"/>
        </w:rPr>
        <w:t>o proračuna Republike Slovenije</w:t>
      </w:r>
    </w:p>
    <w:p w14:paraId="7937E976" w14:textId="77777777" w:rsidR="006B6A0B" w:rsidRPr="00D00DBA" w:rsidRDefault="006B6A0B" w:rsidP="00F154F0">
      <w:pPr>
        <w:keepNext/>
        <w:jc w:val="both"/>
        <w:rPr>
          <w:rFonts w:eastAsia="CIDFont+F2" w:cs="Arial"/>
          <w:sz w:val="20"/>
          <w:szCs w:val="20"/>
          <w:lang w:eastAsia="sl-SI"/>
        </w:rPr>
      </w:pPr>
    </w:p>
    <w:tbl>
      <w:tblPr>
        <w:tblStyle w:val="Tabelamrea1"/>
        <w:tblW w:w="9776" w:type="dxa"/>
        <w:tblLook w:val="04A0" w:firstRow="1" w:lastRow="0" w:firstColumn="1" w:lastColumn="0" w:noHBand="0" w:noVBand="1"/>
      </w:tblPr>
      <w:tblGrid>
        <w:gridCol w:w="3397"/>
        <w:gridCol w:w="1843"/>
        <w:gridCol w:w="2410"/>
        <w:gridCol w:w="2126"/>
      </w:tblGrid>
      <w:tr w:rsidR="003F5664" w:rsidRPr="00D00DBA" w14:paraId="557A47CE" w14:textId="77777777" w:rsidTr="00082B4E">
        <w:tc>
          <w:tcPr>
            <w:tcW w:w="3397" w:type="dxa"/>
            <w:shd w:val="clear" w:color="auto" w:fill="B4C6E7" w:themeFill="accent1" w:themeFillTint="66"/>
            <w:vAlign w:val="center"/>
          </w:tcPr>
          <w:p w14:paraId="2BE5D7D0" w14:textId="1B7DB903" w:rsidR="003F5664" w:rsidRPr="00D00DBA" w:rsidRDefault="00F007AE" w:rsidP="00DC0A1A">
            <w:pPr>
              <w:jc w:val="center"/>
              <w:rPr>
                <w:rFonts w:eastAsia="CIDFont+F2" w:cs="Arial"/>
                <w:b/>
                <w:sz w:val="20"/>
                <w:szCs w:val="20"/>
                <w:lang w:eastAsia="sl-SI"/>
              </w:rPr>
            </w:pPr>
            <w:r w:rsidRPr="00D00DBA">
              <w:rPr>
                <w:rFonts w:eastAsia="CIDFont+F2" w:cs="Arial"/>
                <w:b/>
                <w:sz w:val="20"/>
                <w:szCs w:val="20"/>
                <w:lang w:eastAsia="sl-SI"/>
              </w:rPr>
              <w:t>Specifični cilj PEKP</w:t>
            </w:r>
          </w:p>
        </w:tc>
        <w:tc>
          <w:tcPr>
            <w:tcW w:w="1843" w:type="dxa"/>
            <w:shd w:val="clear" w:color="auto" w:fill="B4C6E7" w:themeFill="accent1" w:themeFillTint="66"/>
            <w:vAlign w:val="center"/>
          </w:tcPr>
          <w:p w14:paraId="2B951563" w14:textId="77777777" w:rsidR="003F5664" w:rsidRPr="00D00DBA" w:rsidRDefault="003F5664" w:rsidP="00D451F8">
            <w:pPr>
              <w:rPr>
                <w:rFonts w:eastAsia="CIDFont+F2" w:cs="Arial"/>
                <w:b/>
                <w:sz w:val="20"/>
                <w:szCs w:val="20"/>
                <w:lang w:eastAsia="sl-SI"/>
              </w:rPr>
            </w:pPr>
            <w:r w:rsidRPr="00D00DBA">
              <w:rPr>
                <w:rFonts w:eastAsia="CIDFont+F2" w:cs="Arial"/>
                <w:b/>
                <w:sz w:val="20"/>
                <w:szCs w:val="20"/>
                <w:lang w:eastAsia="sl-SI"/>
              </w:rPr>
              <w:t>Politika</w:t>
            </w:r>
          </w:p>
        </w:tc>
        <w:tc>
          <w:tcPr>
            <w:tcW w:w="2410" w:type="dxa"/>
            <w:shd w:val="clear" w:color="auto" w:fill="B4C6E7" w:themeFill="accent1" w:themeFillTint="66"/>
            <w:vAlign w:val="center"/>
          </w:tcPr>
          <w:p w14:paraId="1162541B" w14:textId="77777777" w:rsidR="003F5664" w:rsidRPr="00D00DBA" w:rsidRDefault="003F5664" w:rsidP="00F154F0">
            <w:pPr>
              <w:jc w:val="center"/>
              <w:rPr>
                <w:rFonts w:eastAsia="CIDFont+F2" w:cs="Arial"/>
                <w:b/>
                <w:sz w:val="20"/>
                <w:szCs w:val="20"/>
                <w:lang w:eastAsia="sl-SI"/>
              </w:rPr>
            </w:pPr>
            <w:r w:rsidRPr="00D00DBA">
              <w:rPr>
                <w:rFonts w:eastAsia="CIDFont+F2" w:cs="Arial"/>
                <w:b/>
                <w:sz w:val="20"/>
                <w:szCs w:val="20"/>
                <w:lang w:eastAsia="sl-SI"/>
              </w:rPr>
              <w:t>Glavni program</w:t>
            </w:r>
          </w:p>
        </w:tc>
        <w:tc>
          <w:tcPr>
            <w:tcW w:w="2126" w:type="dxa"/>
            <w:shd w:val="clear" w:color="auto" w:fill="B4C6E7" w:themeFill="accent1" w:themeFillTint="66"/>
            <w:vAlign w:val="center"/>
          </w:tcPr>
          <w:p w14:paraId="04413AD2" w14:textId="77777777" w:rsidR="003F5664" w:rsidRPr="00D00DBA" w:rsidRDefault="003F5664" w:rsidP="00D451F8">
            <w:pPr>
              <w:rPr>
                <w:rFonts w:eastAsia="CIDFont+F2" w:cs="Arial"/>
                <w:b/>
                <w:sz w:val="20"/>
                <w:szCs w:val="20"/>
                <w:lang w:eastAsia="sl-SI"/>
              </w:rPr>
            </w:pPr>
            <w:r w:rsidRPr="00D00DBA">
              <w:rPr>
                <w:rFonts w:eastAsia="CIDFont+F2" w:cs="Arial"/>
                <w:b/>
                <w:sz w:val="20"/>
                <w:szCs w:val="20"/>
                <w:lang w:eastAsia="sl-SI"/>
              </w:rPr>
              <w:t>Podprogram</w:t>
            </w:r>
          </w:p>
        </w:tc>
      </w:tr>
      <w:tr w:rsidR="00F007AE" w:rsidRPr="00D00DBA" w14:paraId="69A218EB" w14:textId="77777777" w:rsidTr="00082B4E">
        <w:tc>
          <w:tcPr>
            <w:tcW w:w="3397" w:type="dxa"/>
            <w:vAlign w:val="center"/>
          </w:tcPr>
          <w:p w14:paraId="4F21888B" w14:textId="13169009" w:rsidR="00F007AE" w:rsidRPr="00D00DBA" w:rsidRDefault="00082B4E" w:rsidP="00F007AE">
            <w:pPr>
              <w:rPr>
                <w:rFonts w:eastAsia="CIDFont+F2" w:cs="Arial"/>
                <w:sz w:val="20"/>
                <w:szCs w:val="20"/>
                <w:lang w:eastAsia="sl-SI"/>
              </w:rPr>
            </w:pPr>
            <w:r w:rsidRPr="00D00DBA">
              <w:rPr>
                <w:rFonts w:cs="Arial"/>
                <w:sz w:val="20"/>
                <w:szCs w:val="20"/>
              </w:rPr>
              <w:t xml:space="preserve">ESO </w:t>
            </w:r>
            <w:r w:rsidR="00A57208" w:rsidRPr="00D00DBA">
              <w:rPr>
                <w:rFonts w:cs="Arial"/>
                <w:sz w:val="20"/>
                <w:szCs w:val="20"/>
              </w:rPr>
              <w:t>4.</w:t>
            </w:r>
            <w:r w:rsidR="000950F7" w:rsidRPr="00D00DBA">
              <w:rPr>
                <w:rFonts w:cs="Arial"/>
                <w:sz w:val="20"/>
                <w:szCs w:val="20"/>
              </w:rPr>
              <w:t>4</w:t>
            </w:r>
            <w:r w:rsidRPr="00D00DBA">
              <w:rPr>
                <w:rFonts w:cs="Arial"/>
                <w:sz w:val="20"/>
                <w:szCs w:val="20"/>
              </w:rPr>
              <w:t xml:space="preserve"> Spodbujanje prilagajanja delavcev, podjetij in podjetnikov na spremembe, aktivnega in zdravega staranja ter zdravega in dobro prilagojenega delovnega okolja, ki obravnava tveganja za zdravje</w:t>
            </w:r>
          </w:p>
        </w:tc>
        <w:tc>
          <w:tcPr>
            <w:tcW w:w="1843" w:type="dxa"/>
            <w:vAlign w:val="center"/>
          </w:tcPr>
          <w:p w14:paraId="54802D1D" w14:textId="32312B6C" w:rsidR="00F007AE" w:rsidRPr="00D00DBA" w:rsidRDefault="007D1380" w:rsidP="00D451F8">
            <w:pPr>
              <w:spacing w:before="60" w:after="60"/>
              <w:rPr>
                <w:rFonts w:eastAsia="CIDFont+F2" w:cs="Arial"/>
                <w:sz w:val="20"/>
                <w:szCs w:val="20"/>
                <w:lang w:eastAsia="sl-SI"/>
              </w:rPr>
            </w:pPr>
            <w:r w:rsidRPr="00D00DBA">
              <w:rPr>
                <w:rFonts w:cs="Arial"/>
                <w:sz w:val="20"/>
                <w:szCs w:val="20"/>
              </w:rPr>
              <w:t>10 TRG DELA IN DELOVNI POGOJI</w:t>
            </w:r>
          </w:p>
        </w:tc>
        <w:tc>
          <w:tcPr>
            <w:tcW w:w="2410" w:type="dxa"/>
            <w:vAlign w:val="center"/>
          </w:tcPr>
          <w:p w14:paraId="5B6B422A" w14:textId="7295A31E" w:rsidR="007D1380" w:rsidRPr="00D00DBA" w:rsidRDefault="007D1380" w:rsidP="007D1380">
            <w:pPr>
              <w:pStyle w:val="Default"/>
              <w:rPr>
                <w:rFonts w:ascii="Arial" w:hAnsi="Arial" w:cs="Arial"/>
                <w:sz w:val="20"/>
                <w:szCs w:val="20"/>
              </w:rPr>
            </w:pPr>
            <w:r w:rsidRPr="00D00DBA">
              <w:rPr>
                <w:rFonts w:ascii="Arial" w:hAnsi="Arial" w:cs="Arial"/>
                <w:sz w:val="20"/>
                <w:szCs w:val="20"/>
              </w:rPr>
              <w:t>1001 Urejanje sistema in podporne dejavnosti na podro</w:t>
            </w:r>
            <w:r w:rsidR="008A3FD6" w:rsidRPr="00D00DBA">
              <w:rPr>
                <w:rFonts w:ascii="Arial" w:hAnsi="Arial" w:cs="Arial"/>
                <w:sz w:val="20"/>
                <w:szCs w:val="20"/>
              </w:rPr>
              <w:t>č</w:t>
            </w:r>
            <w:r w:rsidRPr="00D00DBA">
              <w:rPr>
                <w:rFonts w:ascii="Arial" w:hAnsi="Arial" w:cs="Arial"/>
                <w:sz w:val="20"/>
                <w:szCs w:val="20"/>
              </w:rPr>
              <w:t xml:space="preserve">ju trga dela ter storitve za trg dela </w:t>
            </w:r>
          </w:p>
          <w:p w14:paraId="544F8B99" w14:textId="235B94BE" w:rsidR="00F007AE" w:rsidRPr="00D00DBA" w:rsidRDefault="00F007AE" w:rsidP="00D451F8">
            <w:pPr>
              <w:spacing w:before="60" w:after="60"/>
              <w:rPr>
                <w:rFonts w:eastAsia="CIDFont+F2" w:cs="Arial"/>
                <w:sz w:val="20"/>
                <w:szCs w:val="20"/>
                <w:lang w:eastAsia="sl-SI"/>
              </w:rPr>
            </w:pPr>
          </w:p>
        </w:tc>
        <w:tc>
          <w:tcPr>
            <w:tcW w:w="2126" w:type="dxa"/>
            <w:vAlign w:val="center"/>
          </w:tcPr>
          <w:p w14:paraId="0AAB532A" w14:textId="0B6613F2" w:rsidR="00F007AE" w:rsidRPr="00D00DBA" w:rsidRDefault="007D1380" w:rsidP="00F007AE">
            <w:pPr>
              <w:rPr>
                <w:rFonts w:eastAsia="CIDFont+F2" w:cs="Arial"/>
                <w:sz w:val="20"/>
                <w:szCs w:val="20"/>
                <w:lang w:eastAsia="sl-SI"/>
              </w:rPr>
            </w:pPr>
            <w:r w:rsidRPr="00D00DBA">
              <w:rPr>
                <w:rFonts w:cs="Arial"/>
                <w:sz w:val="20"/>
                <w:szCs w:val="20"/>
              </w:rPr>
              <w:t>100103 Storitve trga dela</w:t>
            </w:r>
          </w:p>
        </w:tc>
      </w:tr>
    </w:tbl>
    <w:p w14:paraId="24902ECA" w14:textId="461D744E" w:rsidR="003F5664" w:rsidRPr="00D00DBA" w:rsidRDefault="003F5664" w:rsidP="00F154F0">
      <w:pPr>
        <w:jc w:val="both"/>
        <w:rPr>
          <w:rFonts w:cs="Arial"/>
          <w:sz w:val="20"/>
          <w:szCs w:val="20"/>
        </w:rPr>
      </w:pPr>
    </w:p>
    <w:p w14:paraId="7303A0FC" w14:textId="77777777" w:rsidR="00765240" w:rsidRPr="00D00DBA" w:rsidRDefault="00765240" w:rsidP="00F154F0">
      <w:pPr>
        <w:jc w:val="both"/>
        <w:rPr>
          <w:rFonts w:cs="Arial"/>
          <w:sz w:val="20"/>
          <w:szCs w:val="20"/>
        </w:rPr>
      </w:pPr>
    </w:p>
    <w:p w14:paraId="4A5FBA79" w14:textId="34DB6EEA" w:rsidR="003F5664" w:rsidRPr="00D00DBA" w:rsidRDefault="00DD5B38" w:rsidP="00F154F0">
      <w:pPr>
        <w:pStyle w:val="Naslov2"/>
        <w:spacing w:after="0"/>
        <w:ind w:left="0"/>
        <w:rPr>
          <w:sz w:val="20"/>
          <w:szCs w:val="20"/>
        </w:rPr>
      </w:pPr>
      <w:bookmarkStart w:id="31" w:name="_Toc204329693"/>
      <w:r w:rsidRPr="00D00DBA">
        <w:rPr>
          <w:sz w:val="20"/>
          <w:szCs w:val="20"/>
        </w:rPr>
        <w:t>OBLIKE FINANCIRANJA IN PODROČJA UKREPANJA ZA FI V OKVIRU PEKP</w:t>
      </w:r>
      <w:bookmarkEnd w:id="31"/>
    </w:p>
    <w:p w14:paraId="33DCCB60" w14:textId="77777777" w:rsidR="007E7842" w:rsidRPr="00D00DBA" w:rsidRDefault="007E7842" w:rsidP="007E7842">
      <w:pPr>
        <w:rPr>
          <w:rFonts w:cs="Arial"/>
          <w:sz w:val="20"/>
          <w:szCs w:val="20"/>
        </w:rPr>
      </w:pPr>
    </w:p>
    <w:p w14:paraId="65D360A9" w14:textId="27FBBCD2" w:rsidR="003F5664" w:rsidRPr="00D00DBA" w:rsidRDefault="00903CD0" w:rsidP="00F154F0">
      <w:pPr>
        <w:jc w:val="both"/>
        <w:rPr>
          <w:rFonts w:eastAsia="CIDFont+F2" w:cs="Arial"/>
          <w:sz w:val="20"/>
          <w:szCs w:val="20"/>
          <w:lang w:eastAsia="sl-SI"/>
        </w:rPr>
      </w:pPr>
      <w:r w:rsidRPr="00D00DBA">
        <w:rPr>
          <w:rFonts w:eastAsia="CIDFont+F2" w:cs="Arial"/>
          <w:sz w:val="20"/>
          <w:szCs w:val="20"/>
          <w:lang w:eastAsia="sl-SI"/>
        </w:rPr>
        <w:t>Sredstva za FI so v PEKP načrtovana po specifičnih ciljih, oblikah financiranja in področjih ukrepanja s</w:t>
      </w:r>
      <w:r w:rsidR="003F5664" w:rsidRPr="00D00DBA">
        <w:rPr>
          <w:rFonts w:eastAsia="CIDFont+F2" w:cs="Arial"/>
          <w:sz w:val="20"/>
          <w:szCs w:val="20"/>
          <w:lang w:eastAsia="sl-SI"/>
        </w:rPr>
        <w:t xml:space="preserve">kladno z </w:t>
      </w:r>
      <w:r w:rsidR="00AA573F" w:rsidRPr="00D00DBA">
        <w:rPr>
          <w:rFonts w:cs="Arial"/>
          <w:bCs/>
          <w:iCs/>
          <w:sz w:val="20"/>
          <w:szCs w:val="20"/>
        </w:rPr>
        <w:t>Uredbo 2021/1060/EU</w:t>
      </w:r>
      <w:r w:rsidR="00AF2B2F" w:rsidRPr="00D00DBA">
        <w:rPr>
          <w:rFonts w:cs="Arial"/>
          <w:sz w:val="20"/>
          <w:szCs w:val="20"/>
        </w:rPr>
        <w:t>,</w:t>
      </w:r>
      <w:r w:rsidR="00DD5B38" w:rsidRPr="00D00DBA">
        <w:rPr>
          <w:rFonts w:cs="Arial"/>
          <w:sz w:val="20"/>
          <w:szCs w:val="20"/>
        </w:rPr>
        <w:t xml:space="preserve"> </w:t>
      </w:r>
      <w:r w:rsidRPr="00D00DBA">
        <w:rPr>
          <w:rFonts w:eastAsia="CIDFont+F2" w:cs="Arial"/>
          <w:sz w:val="20"/>
          <w:szCs w:val="20"/>
          <w:lang w:eastAsia="sl-SI"/>
        </w:rPr>
        <w:t xml:space="preserve">kot </w:t>
      </w:r>
      <w:r w:rsidR="00DD5B38" w:rsidRPr="00D00DBA">
        <w:rPr>
          <w:rFonts w:eastAsia="CIDFont+F2" w:cs="Arial"/>
          <w:sz w:val="20"/>
          <w:szCs w:val="20"/>
          <w:lang w:eastAsia="sl-SI"/>
        </w:rPr>
        <w:t>izhaja iz spodnje tabele</w:t>
      </w:r>
      <w:r w:rsidR="003F5664" w:rsidRPr="00D00DBA">
        <w:rPr>
          <w:rFonts w:eastAsia="CIDFont+F2" w:cs="Arial"/>
          <w:sz w:val="20"/>
          <w:szCs w:val="20"/>
          <w:lang w:eastAsia="sl-SI"/>
        </w:rPr>
        <w:t>.</w:t>
      </w:r>
    </w:p>
    <w:p w14:paraId="79301553" w14:textId="77777777" w:rsidR="003F5664" w:rsidRPr="00D00DBA" w:rsidRDefault="003F5664" w:rsidP="00C9611C">
      <w:pPr>
        <w:spacing w:before="60"/>
        <w:jc w:val="center"/>
        <w:rPr>
          <w:rFonts w:eastAsia="CIDFont+F2" w:cs="Arial"/>
          <w:sz w:val="20"/>
          <w:szCs w:val="20"/>
          <w:lang w:eastAsia="sl-SI"/>
        </w:rPr>
      </w:pPr>
    </w:p>
    <w:p w14:paraId="44AEFA80" w14:textId="3BAAB6BC" w:rsidR="003F5664" w:rsidRPr="00D00DBA" w:rsidRDefault="003F5664" w:rsidP="00D451F8">
      <w:pPr>
        <w:keepNext/>
        <w:spacing w:after="120"/>
        <w:jc w:val="both"/>
        <w:rPr>
          <w:rFonts w:eastAsia="CIDFont+F2" w:cs="Arial"/>
          <w:sz w:val="20"/>
          <w:szCs w:val="20"/>
          <w:lang w:eastAsia="sl-SI"/>
        </w:rPr>
      </w:pPr>
      <w:r w:rsidRPr="00D00DBA">
        <w:rPr>
          <w:rFonts w:cs="Arial"/>
          <w:sz w:val="20"/>
          <w:szCs w:val="20"/>
        </w:rPr>
        <w:t>Tabela</w:t>
      </w:r>
      <w:r w:rsidR="003878DF" w:rsidRPr="00D00DBA">
        <w:rPr>
          <w:rFonts w:cs="Arial"/>
          <w:sz w:val="20"/>
          <w:szCs w:val="20"/>
        </w:rPr>
        <w:t xml:space="preserve"> 4</w:t>
      </w:r>
      <w:r w:rsidRPr="00D00DBA">
        <w:rPr>
          <w:rFonts w:eastAsia="CIDFont+F2" w:cs="Arial"/>
          <w:sz w:val="20"/>
          <w:szCs w:val="20"/>
          <w:lang w:eastAsia="sl-SI"/>
        </w:rPr>
        <w:t xml:space="preserve">: </w:t>
      </w:r>
      <w:r w:rsidR="00903CD0" w:rsidRPr="00D00DBA">
        <w:rPr>
          <w:rFonts w:eastAsia="CIDFont+F2" w:cs="Arial"/>
          <w:sz w:val="20"/>
          <w:szCs w:val="20"/>
          <w:lang w:eastAsia="sl-SI"/>
        </w:rPr>
        <w:t>Specifični cilji, oblike financiranja in področja ukrepanja za FI iz PEKP</w:t>
      </w:r>
    </w:p>
    <w:tbl>
      <w:tblPr>
        <w:tblStyle w:val="Tabelamrea"/>
        <w:tblW w:w="9776" w:type="dxa"/>
        <w:tblLook w:val="04A0" w:firstRow="1" w:lastRow="0" w:firstColumn="1" w:lastColumn="0" w:noHBand="0" w:noVBand="1"/>
      </w:tblPr>
      <w:tblGrid>
        <w:gridCol w:w="1980"/>
        <w:gridCol w:w="2835"/>
        <w:gridCol w:w="1276"/>
        <w:gridCol w:w="3685"/>
      </w:tblGrid>
      <w:tr w:rsidR="00903CD0" w:rsidRPr="00D00DBA" w14:paraId="146040D7" w14:textId="77777777" w:rsidTr="00D451F8">
        <w:tc>
          <w:tcPr>
            <w:tcW w:w="1980" w:type="dxa"/>
            <w:shd w:val="clear" w:color="auto" w:fill="B4C6E7" w:themeFill="accent1" w:themeFillTint="66"/>
            <w:vAlign w:val="center"/>
          </w:tcPr>
          <w:p w14:paraId="5B1FF369" w14:textId="77777777" w:rsidR="00903CD0" w:rsidRPr="00D00DBA" w:rsidRDefault="00903CD0" w:rsidP="00D451F8">
            <w:pPr>
              <w:spacing w:before="60"/>
              <w:rPr>
                <w:rFonts w:cs="Arial"/>
                <w:b/>
                <w:bCs/>
                <w:sz w:val="20"/>
                <w:szCs w:val="20"/>
              </w:rPr>
            </w:pPr>
            <w:r w:rsidRPr="00D00DBA">
              <w:rPr>
                <w:rFonts w:cs="Arial"/>
                <w:b/>
                <w:bCs/>
                <w:sz w:val="20"/>
                <w:szCs w:val="20"/>
              </w:rPr>
              <w:t>Specifični cilj</w:t>
            </w:r>
          </w:p>
        </w:tc>
        <w:tc>
          <w:tcPr>
            <w:tcW w:w="2835" w:type="dxa"/>
            <w:shd w:val="clear" w:color="auto" w:fill="B4C6E7" w:themeFill="accent1" w:themeFillTint="66"/>
          </w:tcPr>
          <w:p w14:paraId="73C9F050" w14:textId="125EE6A1" w:rsidR="00903CD0" w:rsidRPr="00D00DBA" w:rsidRDefault="00903CD0" w:rsidP="00F154F0">
            <w:pPr>
              <w:spacing w:before="60"/>
              <w:jc w:val="center"/>
              <w:rPr>
                <w:rFonts w:cs="Arial"/>
                <w:b/>
                <w:bCs/>
                <w:sz w:val="20"/>
                <w:szCs w:val="20"/>
              </w:rPr>
            </w:pPr>
            <w:r w:rsidRPr="00D00DBA">
              <w:rPr>
                <w:rFonts w:cs="Arial"/>
                <w:b/>
                <w:bCs/>
                <w:sz w:val="20"/>
                <w:szCs w:val="20"/>
              </w:rPr>
              <w:t>FI (oblika financiranja)</w:t>
            </w:r>
          </w:p>
        </w:tc>
        <w:tc>
          <w:tcPr>
            <w:tcW w:w="4961" w:type="dxa"/>
            <w:gridSpan w:val="2"/>
            <w:shd w:val="clear" w:color="auto" w:fill="B4C6E7" w:themeFill="accent1" w:themeFillTint="66"/>
          </w:tcPr>
          <w:p w14:paraId="3673D286" w14:textId="3813C91E" w:rsidR="00903CD0" w:rsidRPr="00D00DBA" w:rsidRDefault="00903CD0" w:rsidP="00F154F0">
            <w:pPr>
              <w:spacing w:before="60"/>
              <w:jc w:val="center"/>
              <w:rPr>
                <w:rFonts w:cs="Arial"/>
                <w:b/>
                <w:bCs/>
                <w:sz w:val="20"/>
                <w:szCs w:val="20"/>
              </w:rPr>
            </w:pPr>
            <w:r w:rsidRPr="00D00DBA">
              <w:rPr>
                <w:rFonts w:cs="Arial"/>
                <w:b/>
                <w:bCs/>
                <w:sz w:val="20"/>
                <w:szCs w:val="20"/>
              </w:rPr>
              <w:t>Področje ukrepanja</w:t>
            </w:r>
          </w:p>
        </w:tc>
      </w:tr>
      <w:tr w:rsidR="002A75ED" w:rsidRPr="00D00DBA" w14:paraId="7C835844" w14:textId="77777777" w:rsidTr="00D451F8">
        <w:tc>
          <w:tcPr>
            <w:tcW w:w="1980" w:type="dxa"/>
            <w:vAlign w:val="center"/>
          </w:tcPr>
          <w:p w14:paraId="73DE0829" w14:textId="2F4260C0" w:rsidR="002A75ED" w:rsidRPr="00D00DBA" w:rsidRDefault="00A57208" w:rsidP="00293DC3">
            <w:pPr>
              <w:spacing w:before="60"/>
              <w:rPr>
                <w:rFonts w:cs="Arial"/>
                <w:sz w:val="20"/>
                <w:szCs w:val="20"/>
              </w:rPr>
            </w:pPr>
            <w:r w:rsidRPr="00D00DBA">
              <w:rPr>
                <w:rFonts w:cs="Arial"/>
                <w:sz w:val="20"/>
                <w:szCs w:val="20"/>
              </w:rPr>
              <w:t>4.</w:t>
            </w:r>
            <w:r w:rsidR="000950F7" w:rsidRPr="00D00DBA">
              <w:rPr>
                <w:rFonts w:cs="Arial"/>
                <w:sz w:val="20"/>
                <w:szCs w:val="20"/>
              </w:rPr>
              <w:t>4</w:t>
            </w:r>
          </w:p>
        </w:tc>
        <w:tc>
          <w:tcPr>
            <w:tcW w:w="2835" w:type="dxa"/>
            <w:vAlign w:val="center"/>
          </w:tcPr>
          <w:p w14:paraId="21F5D166" w14:textId="77777777" w:rsidR="002A75ED" w:rsidRPr="00D00DBA" w:rsidRDefault="00F61896" w:rsidP="0066604F">
            <w:pPr>
              <w:spacing w:before="60"/>
              <w:rPr>
                <w:rFonts w:cs="Arial"/>
                <w:sz w:val="20"/>
                <w:szCs w:val="20"/>
              </w:rPr>
            </w:pPr>
            <w:r w:rsidRPr="00D00DBA">
              <w:rPr>
                <w:rFonts w:cs="Arial"/>
                <w:sz w:val="20"/>
                <w:szCs w:val="20"/>
              </w:rPr>
              <w:t>04 Podpora prek finančnih instrumentov: jamstva</w:t>
            </w:r>
            <w:r w:rsidR="00CF66AD" w:rsidRPr="00D00DBA">
              <w:rPr>
                <w:rFonts w:cs="Arial"/>
                <w:sz w:val="20"/>
                <w:szCs w:val="20"/>
              </w:rPr>
              <w:t xml:space="preserve"> in</w:t>
            </w:r>
          </w:p>
          <w:p w14:paraId="27EC04B5" w14:textId="32C27723" w:rsidR="00CF66AD" w:rsidRPr="00D00DBA" w:rsidRDefault="00CF66AD" w:rsidP="0066604F">
            <w:pPr>
              <w:spacing w:before="60"/>
              <w:rPr>
                <w:rFonts w:cs="Arial"/>
                <w:sz w:val="20"/>
                <w:szCs w:val="20"/>
              </w:rPr>
            </w:pPr>
            <w:r w:rsidRPr="00D00DBA">
              <w:rPr>
                <w:rFonts w:cs="Arial"/>
                <w:sz w:val="20"/>
                <w:szCs w:val="20"/>
              </w:rPr>
              <w:t>03 Podpora prek finančnih instrumentov: posojila</w:t>
            </w:r>
          </w:p>
        </w:tc>
        <w:tc>
          <w:tcPr>
            <w:tcW w:w="1276" w:type="dxa"/>
            <w:vAlign w:val="center"/>
          </w:tcPr>
          <w:p w14:paraId="57FEA2E8" w14:textId="75FA57B0" w:rsidR="002A75ED" w:rsidRPr="00D00DBA" w:rsidRDefault="000950F7" w:rsidP="00D451F8">
            <w:pPr>
              <w:spacing w:before="60"/>
              <w:jc w:val="center"/>
              <w:rPr>
                <w:rFonts w:cs="Arial"/>
                <w:sz w:val="20"/>
                <w:szCs w:val="20"/>
              </w:rPr>
            </w:pPr>
            <w:r w:rsidRPr="00D00DBA">
              <w:rPr>
                <w:rFonts w:cs="Arial"/>
                <w:sz w:val="20"/>
                <w:szCs w:val="20"/>
              </w:rPr>
              <w:t>6.250.000</w:t>
            </w:r>
          </w:p>
          <w:p w14:paraId="5A634385" w14:textId="77777777" w:rsidR="00585324" w:rsidRPr="00D00DBA" w:rsidRDefault="00585324" w:rsidP="00D451F8">
            <w:pPr>
              <w:spacing w:before="60"/>
              <w:jc w:val="center"/>
              <w:rPr>
                <w:rFonts w:cs="Arial"/>
                <w:sz w:val="20"/>
                <w:szCs w:val="20"/>
              </w:rPr>
            </w:pPr>
          </w:p>
          <w:p w14:paraId="247D5851" w14:textId="2F8185F2" w:rsidR="002A75ED" w:rsidRPr="00D00DBA" w:rsidRDefault="002A75ED" w:rsidP="00D451F8">
            <w:pPr>
              <w:spacing w:before="60"/>
              <w:jc w:val="center"/>
              <w:rPr>
                <w:rFonts w:cs="Arial"/>
                <w:sz w:val="20"/>
                <w:szCs w:val="20"/>
              </w:rPr>
            </w:pPr>
          </w:p>
        </w:tc>
        <w:tc>
          <w:tcPr>
            <w:tcW w:w="3685" w:type="dxa"/>
          </w:tcPr>
          <w:p w14:paraId="77B1D69E" w14:textId="3517E425" w:rsidR="002A75ED" w:rsidRPr="00D00DBA" w:rsidRDefault="000950F7" w:rsidP="00F154F0">
            <w:pPr>
              <w:spacing w:before="60"/>
              <w:rPr>
                <w:rFonts w:cs="Arial"/>
                <w:sz w:val="20"/>
                <w:szCs w:val="20"/>
              </w:rPr>
            </w:pPr>
            <w:r w:rsidRPr="00D00DBA">
              <w:rPr>
                <w:rFonts w:cs="Arial"/>
                <w:color w:val="000000"/>
                <w:sz w:val="20"/>
                <w:szCs w:val="20"/>
              </w:rPr>
              <w:t>146. Podpora za prilagajanje delavcev, podjetij in podjetnikov na spremembe</w:t>
            </w:r>
          </w:p>
        </w:tc>
      </w:tr>
    </w:tbl>
    <w:p w14:paraId="4395E2CB" w14:textId="77777777" w:rsidR="003F5664" w:rsidRPr="00D00DBA" w:rsidRDefault="003F5664" w:rsidP="00F154F0">
      <w:pPr>
        <w:jc w:val="both"/>
        <w:rPr>
          <w:rFonts w:cs="Arial"/>
          <w:sz w:val="20"/>
          <w:szCs w:val="20"/>
        </w:rPr>
      </w:pPr>
    </w:p>
    <w:p w14:paraId="207ADFA7" w14:textId="77777777" w:rsidR="00552694" w:rsidRPr="00D00DBA" w:rsidRDefault="00552694" w:rsidP="00F154F0">
      <w:pPr>
        <w:jc w:val="both"/>
        <w:rPr>
          <w:rFonts w:cs="Arial"/>
          <w:sz w:val="20"/>
          <w:szCs w:val="20"/>
        </w:rPr>
      </w:pPr>
    </w:p>
    <w:p w14:paraId="05E26269" w14:textId="282B16AD" w:rsidR="001B17C8" w:rsidRPr="00D00DBA" w:rsidRDefault="00823181" w:rsidP="00F154F0">
      <w:pPr>
        <w:jc w:val="both"/>
        <w:rPr>
          <w:rFonts w:cs="Arial"/>
          <w:sz w:val="20"/>
          <w:szCs w:val="20"/>
        </w:rPr>
      </w:pPr>
      <w:r w:rsidRPr="00D00DBA">
        <w:rPr>
          <w:rFonts w:cs="Arial"/>
          <w:sz w:val="20"/>
          <w:szCs w:val="20"/>
        </w:rPr>
        <w:t xml:space="preserve">Tabela 5: </w:t>
      </w:r>
      <w:r w:rsidR="00903CD0" w:rsidRPr="00D00DBA">
        <w:rPr>
          <w:rFonts w:cs="Arial"/>
          <w:sz w:val="20"/>
          <w:szCs w:val="20"/>
        </w:rPr>
        <w:t>Načrtovana sredstva za FI glede na specifični cilj, obliko financiranja, področje ukrepanja in kohezijsko regijo</w:t>
      </w:r>
    </w:p>
    <w:p w14:paraId="2AED8AB8" w14:textId="77777777" w:rsidR="00823181" w:rsidRPr="00D00DBA" w:rsidRDefault="00823181" w:rsidP="00F154F0">
      <w:pPr>
        <w:jc w:val="both"/>
        <w:rPr>
          <w:rFonts w:cs="Arial"/>
          <w:sz w:val="20"/>
          <w:szCs w:val="20"/>
        </w:rPr>
      </w:pPr>
    </w:p>
    <w:tbl>
      <w:tblPr>
        <w:tblStyle w:val="Tabelamrea"/>
        <w:tblW w:w="9776" w:type="dxa"/>
        <w:tblLook w:val="04A0" w:firstRow="1" w:lastRow="0" w:firstColumn="1" w:lastColumn="0" w:noHBand="0" w:noVBand="1"/>
      </w:tblPr>
      <w:tblGrid>
        <w:gridCol w:w="1268"/>
        <w:gridCol w:w="1733"/>
        <w:gridCol w:w="1272"/>
        <w:gridCol w:w="1996"/>
        <w:gridCol w:w="2107"/>
        <w:gridCol w:w="1400"/>
      </w:tblGrid>
      <w:tr w:rsidR="00CF66AD" w:rsidRPr="00D00DBA" w14:paraId="571BAFA4" w14:textId="77777777" w:rsidTr="00551A91">
        <w:tc>
          <w:tcPr>
            <w:tcW w:w="1268" w:type="dxa"/>
            <w:shd w:val="clear" w:color="auto" w:fill="B4C6E7" w:themeFill="accent1" w:themeFillTint="66"/>
            <w:vAlign w:val="center"/>
          </w:tcPr>
          <w:p w14:paraId="5878AB16" w14:textId="77777777" w:rsidR="008761F8" w:rsidRPr="00D00DBA" w:rsidRDefault="008761F8" w:rsidP="00D451F8">
            <w:pPr>
              <w:rPr>
                <w:rFonts w:cs="Arial"/>
                <w:sz w:val="20"/>
                <w:szCs w:val="20"/>
              </w:rPr>
            </w:pPr>
            <w:bookmarkStart w:id="32" w:name="_Hlk204329135"/>
            <w:r w:rsidRPr="00D00DBA">
              <w:rPr>
                <w:rFonts w:cs="Arial"/>
                <w:b/>
                <w:bCs/>
                <w:sz w:val="20"/>
                <w:szCs w:val="20"/>
              </w:rPr>
              <w:lastRenderedPageBreak/>
              <w:t>Specifični cilj</w:t>
            </w:r>
          </w:p>
        </w:tc>
        <w:tc>
          <w:tcPr>
            <w:tcW w:w="1733" w:type="dxa"/>
            <w:shd w:val="clear" w:color="auto" w:fill="B4C6E7" w:themeFill="accent1" w:themeFillTint="66"/>
            <w:vAlign w:val="center"/>
          </w:tcPr>
          <w:p w14:paraId="2848547E" w14:textId="6C04F9A0" w:rsidR="008761F8" w:rsidRPr="00D00DBA" w:rsidRDefault="008761F8" w:rsidP="00D451F8">
            <w:pPr>
              <w:rPr>
                <w:rFonts w:cs="Arial"/>
                <w:sz w:val="20"/>
                <w:szCs w:val="20"/>
              </w:rPr>
            </w:pPr>
            <w:r w:rsidRPr="00D00DBA">
              <w:rPr>
                <w:rFonts w:cs="Arial"/>
                <w:b/>
                <w:bCs/>
                <w:sz w:val="20"/>
                <w:szCs w:val="20"/>
              </w:rPr>
              <w:t>FI (oblika financiranja</w:t>
            </w:r>
            <w:r w:rsidR="00F007AE" w:rsidRPr="00D00DBA">
              <w:rPr>
                <w:rFonts w:cs="Arial"/>
                <w:b/>
                <w:bCs/>
                <w:sz w:val="20"/>
                <w:szCs w:val="20"/>
              </w:rPr>
              <w:t>)</w:t>
            </w:r>
            <w:r w:rsidR="00CF66AD" w:rsidRPr="00D00DBA">
              <w:rPr>
                <w:rStyle w:val="Sprotnaopomba-sklic"/>
                <w:rFonts w:cs="Arial"/>
                <w:b/>
                <w:bCs/>
                <w:sz w:val="20"/>
                <w:szCs w:val="20"/>
              </w:rPr>
              <w:footnoteReference w:id="6"/>
            </w:r>
          </w:p>
        </w:tc>
        <w:tc>
          <w:tcPr>
            <w:tcW w:w="1272" w:type="dxa"/>
            <w:shd w:val="clear" w:color="auto" w:fill="B4C6E7" w:themeFill="accent1" w:themeFillTint="66"/>
            <w:vAlign w:val="center"/>
          </w:tcPr>
          <w:p w14:paraId="79DE3605" w14:textId="72BED1CD" w:rsidR="008761F8" w:rsidRPr="00D00DBA" w:rsidRDefault="00F007AE" w:rsidP="00D451F8">
            <w:pPr>
              <w:jc w:val="center"/>
              <w:rPr>
                <w:rFonts w:cs="Arial"/>
                <w:sz w:val="20"/>
                <w:szCs w:val="20"/>
              </w:rPr>
            </w:pPr>
            <w:r w:rsidRPr="00D00DBA">
              <w:rPr>
                <w:rFonts w:cs="Arial"/>
                <w:b/>
                <w:bCs/>
                <w:sz w:val="20"/>
                <w:szCs w:val="20"/>
              </w:rPr>
              <w:t>Področje ukrepanja</w:t>
            </w:r>
          </w:p>
        </w:tc>
        <w:tc>
          <w:tcPr>
            <w:tcW w:w="1996" w:type="dxa"/>
            <w:shd w:val="clear" w:color="auto" w:fill="B4C6E7" w:themeFill="accent1" w:themeFillTint="66"/>
            <w:vAlign w:val="center"/>
          </w:tcPr>
          <w:p w14:paraId="5CCB4C42" w14:textId="77777777" w:rsidR="008761F8" w:rsidRPr="00D00DBA" w:rsidRDefault="008761F8" w:rsidP="00D451F8">
            <w:pPr>
              <w:jc w:val="center"/>
              <w:rPr>
                <w:rFonts w:cs="Arial"/>
                <w:sz w:val="20"/>
                <w:szCs w:val="20"/>
              </w:rPr>
            </w:pPr>
            <w:r w:rsidRPr="00D00DBA">
              <w:rPr>
                <w:rFonts w:cs="Arial"/>
                <w:b/>
                <w:bCs/>
                <w:sz w:val="20"/>
                <w:szCs w:val="20"/>
              </w:rPr>
              <w:t>FI (EU del) - VZHOD</w:t>
            </w:r>
          </w:p>
        </w:tc>
        <w:tc>
          <w:tcPr>
            <w:tcW w:w="2107" w:type="dxa"/>
            <w:shd w:val="clear" w:color="auto" w:fill="B4C6E7" w:themeFill="accent1" w:themeFillTint="66"/>
            <w:vAlign w:val="center"/>
          </w:tcPr>
          <w:p w14:paraId="7E397649" w14:textId="77777777" w:rsidR="008761F8" w:rsidRPr="00D00DBA" w:rsidRDefault="008761F8" w:rsidP="00D451F8">
            <w:pPr>
              <w:jc w:val="center"/>
              <w:rPr>
                <w:rFonts w:cs="Arial"/>
                <w:sz w:val="20"/>
                <w:szCs w:val="20"/>
              </w:rPr>
            </w:pPr>
            <w:r w:rsidRPr="00D00DBA">
              <w:rPr>
                <w:rFonts w:cs="Arial"/>
                <w:b/>
                <w:bCs/>
                <w:sz w:val="20"/>
                <w:szCs w:val="20"/>
              </w:rPr>
              <w:t>FI (EU del) - ZAHOD</w:t>
            </w:r>
          </w:p>
        </w:tc>
        <w:tc>
          <w:tcPr>
            <w:tcW w:w="1400" w:type="dxa"/>
            <w:shd w:val="clear" w:color="auto" w:fill="B4C6E7" w:themeFill="accent1" w:themeFillTint="66"/>
            <w:vAlign w:val="center"/>
          </w:tcPr>
          <w:p w14:paraId="7D7BC773" w14:textId="3613CD0F" w:rsidR="008761F8" w:rsidRPr="00D00DBA" w:rsidRDefault="00385DEA" w:rsidP="00D451F8">
            <w:pPr>
              <w:jc w:val="center"/>
              <w:rPr>
                <w:rFonts w:cs="Arial"/>
                <w:b/>
                <w:bCs/>
                <w:sz w:val="20"/>
                <w:szCs w:val="20"/>
              </w:rPr>
            </w:pPr>
            <w:r w:rsidRPr="00D00DBA">
              <w:rPr>
                <w:rFonts w:cs="Arial"/>
                <w:b/>
                <w:bCs/>
                <w:sz w:val="20"/>
                <w:szCs w:val="20"/>
              </w:rPr>
              <w:t>Skupaj</w:t>
            </w:r>
          </w:p>
        </w:tc>
      </w:tr>
      <w:tr w:rsidR="00CF66AD" w:rsidRPr="00D00DBA" w14:paraId="79841B69" w14:textId="77777777" w:rsidTr="00551A91">
        <w:tc>
          <w:tcPr>
            <w:tcW w:w="1268" w:type="dxa"/>
            <w:vAlign w:val="center"/>
          </w:tcPr>
          <w:p w14:paraId="5407118C" w14:textId="3CCB0E12" w:rsidR="00622070" w:rsidRPr="00D00DBA" w:rsidRDefault="00A57208" w:rsidP="00D451F8">
            <w:pPr>
              <w:rPr>
                <w:rFonts w:cs="Arial"/>
                <w:sz w:val="20"/>
                <w:szCs w:val="20"/>
              </w:rPr>
            </w:pPr>
            <w:r w:rsidRPr="00D00DBA">
              <w:rPr>
                <w:rFonts w:cs="Arial"/>
                <w:sz w:val="20"/>
                <w:szCs w:val="20"/>
              </w:rPr>
              <w:t>4.</w:t>
            </w:r>
            <w:r w:rsidR="000950F7" w:rsidRPr="00D00DBA">
              <w:rPr>
                <w:rFonts w:cs="Arial"/>
                <w:sz w:val="20"/>
                <w:szCs w:val="20"/>
              </w:rPr>
              <w:t>4</w:t>
            </w:r>
          </w:p>
        </w:tc>
        <w:tc>
          <w:tcPr>
            <w:tcW w:w="1733" w:type="dxa"/>
          </w:tcPr>
          <w:p w14:paraId="2E391D33" w14:textId="33132A8A" w:rsidR="00622070" w:rsidRPr="00D00DBA" w:rsidRDefault="00F61896" w:rsidP="00622070">
            <w:pPr>
              <w:jc w:val="both"/>
              <w:rPr>
                <w:rFonts w:cs="Arial"/>
                <w:sz w:val="20"/>
                <w:szCs w:val="20"/>
              </w:rPr>
            </w:pPr>
            <w:r w:rsidRPr="00D00DBA">
              <w:rPr>
                <w:rFonts w:cs="Arial"/>
                <w:sz w:val="20"/>
                <w:szCs w:val="20"/>
              </w:rPr>
              <w:t>0</w:t>
            </w:r>
            <w:r w:rsidR="00CF66AD" w:rsidRPr="00D00DBA">
              <w:rPr>
                <w:rFonts w:cs="Arial"/>
                <w:sz w:val="20"/>
                <w:szCs w:val="20"/>
              </w:rPr>
              <w:t>3</w:t>
            </w:r>
            <w:r w:rsidRPr="00D00DBA">
              <w:rPr>
                <w:rFonts w:cs="Arial"/>
                <w:sz w:val="20"/>
                <w:szCs w:val="20"/>
              </w:rPr>
              <w:t xml:space="preserve"> Podpora prek finančnih instrumentov: </w:t>
            </w:r>
            <w:r w:rsidR="00CF66AD" w:rsidRPr="00D00DBA">
              <w:rPr>
                <w:rFonts w:cs="Arial"/>
                <w:sz w:val="20"/>
                <w:szCs w:val="20"/>
              </w:rPr>
              <w:t>posojila</w:t>
            </w:r>
          </w:p>
        </w:tc>
        <w:tc>
          <w:tcPr>
            <w:tcW w:w="1272" w:type="dxa"/>
            <w:vAlign w:val="center"/>
          </w:tcPr>
          <w:p w14:paraId="1156D74B" w14:textId="5E32FAA9" w:rsidR="00622070" w:rsidRPr="00D00DBA" w:rsidRDefault="000950F7" w:rsidP="00D451F8">
            <w:pPr>
              <w:jc w:val="center"/>
              <w:rPr>
                <w:rFonts w:cs="Arial"/>
                <w:sz w:val="20"/>
                <w:szCs w:val="20"/>
              </w:rPr>
            </w:pPr>
            <w:r w:rsidRPr="00D00DBA">
              <w:rPr>
                <w:rFonts w:cs="Arial"/>
                <w:color w:val="000000"/>
                <w:sz w:val="20"/>
                <w:szCs w:val="20"/>
              </w:rPr>
              <w:t>146. Podpora za prilagajanje delavcev, podjetij in podjetnikov na spremembe</w:t>
            </w:r>
          </w:p>
        </w:tc>
        <w:tc>
          <w:tcPr>
            <w:tcW w:w="1996" w:type="dxa"/>
            <w:vAlign w:val="center"/>
          </w:tcPr>
          <w:p w14:paraId="4B8E1683" w14:textId="1942194A" w:rsidR="00622070" w:rsidRPr="00D00DBA" w:rsidRDefault="00CF66AD" w:rsidP="00D451F8">
            <w:pPr>
              <w:jc w:val="center"/>
              <w:rPr>
                <w:rFonts w:cs="Arial"/>
                <w:sz w:val="20"/>
                <w:szCs w:val="20"/>
              </w:rPr>
            </w:pPr>
            <w:r w:rsidRPr="00D00DBA">
              <w:rPr>
                <w:rFonts w:cs="Arial"/>
                <w:sz w:val="20"/>
                <w:szCs w:val="20"/>
              </w:rPr>
              <w:t>2.656.250</w:t>
            </w:r>
          </w:p>
        </w:tc>
        <w:tc>
          <w:tcPr>
            <w:tcW w:w="2107" w:type="dxa"/>
            <w:vAlign w:val="center"/>
          </w:tcPr>
          <w:p w14:paraId="25027742" w14:textId="43A0D9D6" w:rsidR="00622070" w:rsidRPr="00D00DBA" w:rsidRDefault="00CF66AD" w:rsidP="00D451F8">
            <w:pPr>
              <w:rPr>
                <w:rFonts w:cs="Arial"/>
                <w:sz w:val="20"/>
                <w:szCs w:val="20"/>
              </w:rPr>
            </w:pPr>
            <w:r w:rsidRPr="00D00DBA">
              <w:rPr>
                <w:rFonts w:cs="Arial"/>
                <w:sz w:val="20"/>
                <w:szCs w:val="20"/>
              </w:rPr>
              <w:t>1.250.000</w:t>
            </w:r>
          </w:p>
        </w:tc>
        <w:tc>
          <w:tcPr>
            <w:tcW w:w="1400" w:type="dxa"/>
            <w:vAlign w:val="center"/>
          </w:tcPr>
          <w:p w14:paraId="2C8188E7" w14:textId="77777777" w:rsidR="00CF66AD" w:rsidRPr="00D00DBA" w:rsidRDefault="00CF66AD" w:rsidP="00CF66AD">
            <w:pPr>
              <w:jc w:val="center"/>
              <w:rPr>
                <w:rFonts w:cs="Arial"/>
                <w:color w:val="000000"/>
                <w:szCs w:val="22"/>
              </w:rPr>
            </w:pPr>
            <w:r w:rsidRPr="00D00DBA">
              <w:rPr>
                <w:rFonts w:cs="Arial"/>
                <w:color w:val="000000"/>
                <w:szCs w:val="22"/>
              </w:rPr>
              <w:t>3.906.250</w:t>
            </w:r>
          </w:p>
          <w:p w14:paraId="6AA5E662" w14:textId="0CD1AF2F" w:rsidR="00622070" w:rsidRPr="00D00DBA" w:rsidRDefault="00622070" w:rsidP="00D451F8">
            <w:pPr>
              <w:jc w:val="center"/>
              <w:rPr>
                <w:rFonts w:cs="Arial"/>
                <w:sz w:val="20"/>
                <w:szCs w:val="20"/>
              </w:rPr>
            </w:pPr>
          </w:p>
        </w:tc>
      </w:tr>
      <w:tr w:rsidR="00CF66AD" w:rsidRPr="00D00DBA" w14:paraId="1ECBCFD8" w14:textId="77777777" w:rsidTr="00551A91">
        <w:tc>
          <w:tcPr>
            <w:tcW w:w="1268" w:type="dxa"/>
            <w:vAlign w:val="center"/>
          </w:tcPr>
          <w:p w14:paraId="5B44B88A" w14:textId="77777777" w:rsidR="00CF66AD" w:rsidRPr="00D00DBA" w:rsidRDefault="00CF66AD" w:rsidP="00D020AE">
            <w:pPr>
              <w:rPr>
                <w:rFonts w:cs="Arial"/>
                <w:sz w:val="20"/>
                <w:szCs w:val="20"/>
              </w:rPr>
            </w:pPr>
            <w:r w:rsidRPr="00D00DBA">
              <w:rPr>
                <w:rFonts w:cs="Arial"/>
                <w:sz w:val="20"/>
                <w:szCs w:val="20"/>
              </w:rPr>
              <w:t>4.4</w:t>
            </w:r>
          </w:p>
        </w:tc>
        <w:tc>
          <w:tcPr>
            <w:tcW w:w="1733" w:type="dxa"/>
          </w:tcPr>
          <w:p w14:paraId="76687240" w14:textId="65869D11" w:rsidR="00CF66AD" w:rsidRPr="00D00DBA" w:rsidRDefault="00CF66AD" w:rsidP="00D020AE">
            <w:pPr>
              <w:jc w:val="both"/>
              <w:rPr>
                <w:rFonts w:cs="Arial"/>
                <w:sz w:val="20"/>
                <w:szCs w:val="20"/>
              </w:rPr>
            </w:pPr>
            <w:r w:rsidRPr="00D00DBA">
              <w:rPr>
                <w:rFonts w:cs="Arial"/>
                <w:sz w:val="20"/>
                <w:szCs w:val="20"/>
              </w:rPr>
              <w:t>04 Podpora prek finančnih instrumentov: jamstva</w:t>
            </w:r>
          </w:p>
        </w:tc>
        <w:tc>
          <w:tcPr>
            <w:tcW w:w="1272" w:type="dxa"/>
            <w:vAlign w:val="center"/>
          </w:tcPr>
          <w:p w14:paraId="1FF40593" w14:textId="77777777" w:rsidR="00CF66AD" w:rsidRPr="00D00DBA" w:rsidRDefault="00CF66AD" w:rsidP="00D020AE">
            <w:pPr>
              <w:jc w:val="center"/>
              <w:rPr>
                <w:rFonts w:cs="Arial"/>
                <w:sz w:val="20"/>
                <w:szCs w:val="20"/>
              </w:rPr>
            </w:pPr>
            <w:r w:rsidRPr="00D00DBA">
              <w:rPr>
                <w:rFonts w:cs="Arial"/>
                <w:color w:val="000000"/>
                <w:sz w:val="20"/>
                <w:szCs w:val="20"/>
              </w:rPr>
              <w:t>146. Podpora za prilagajanje delavcev, podjetij in podjetnikov na spremembe</w:t>
            </w:r>
          </w:p>
        </w:tc>
        <w:tc>
          <w:tcPr>
            <w:tcW w:w="1996" w:type="dxa"/>
            <w:vAlign w:val="center"/>
          </w:tcPr>
          <w:p w14:paraId="6F86A9D9" w14:textId="77777777" w:rsidR="00CF66AD" w:rsidRPr="00D00DBA" w:rsidRDefault="00CF66AD" w:rsidP="00D020AE">
            <w:pPr>
              <w:jc w:val="center"/>
              <w:rPr>
                <w:rFonts w:cs="Arial"/>
                <w:sz w:val="20"/>
                <w:szCs w:val="20"/>
              </w:rPr>
            </w:pPr>
            <w:r w:rsidRPr="00D00DBA">
              <w:rPr>
                <w:rFonts w:cs="Arial"/>
                <w:sz w:val="20"/>
                <w:szCs w:val="20"/>
              </w:rPr>
              <w:t>1.593.750</w:t>
            </w:r>
          </w:p>
        </w:tc>
        <w:tc>
          <w:tcPr>
            <w:tcW w:w="2107" w:type="dxa"/>
            <w:vAlign w:val="center"/>
          </w:tcPr>
          <w:p w14:paraId="1C2ED4AF" w14:textId="5E3E72BE" w:rsidR="00CF66AD" w:rsidRPr="00D00DBA" w:rsidRDefault="00CF66AD" w:rsidP="00D020AE">
            <w:pPr>
              <w:rPr>
                <w:rFonts w:cs="Arial"/>
                <w:sz w:val="20"/>
                <w:szCs w:val="20"/>
              </w:rPr>
            </w:pPr>
            <w:r w:rsidRPr="00D00DBA">
              <w:rPr>
                <w:rFonts w:cs="Arial"/>
                <w:sz w:val="20"/>
                <w:szCs w:val="20"/>
              </w:rPr>
              <w:t>750.000</w:t>
            </w:r>
          </w:p>
        </w:tc>
        <w:tc>
          <w:tcPr>
            <w:tcW w:w="1400" w:type="dxa"/>
            <w:vAlign w:val="center"/>
          </w:tcPr>
          <w:p w14:paraId="2567964A" w14:textId="77777777" w:rsidR="00CF66AD" w:rsidRPr="00D00DBA" w:rsidRDefault="00CF66AD" w:rsidP="00CF66AD">
            <w:pPr>
              <w:jc w:val="center"/>
              <w:rPr>
                <w:rFonts w:cs="Arial"/>
                <w:color w:val="000000"/>
                <w:szCs w:val="22"/>
              </w:rPr>
            </w:pPr>
            <w:r w:rsidRPr="00D00DBA">
              <w:rPr>
                <w:rFonts w:cs="Arial"/>
                <w:color w:val="000000"/>
                <w:szCs w:val="22"/>
              </w:rPr>
              <w:t>2.343.750</w:t>
            </w:r>
          </w:p>
          <w:p w14:paraId="4BA1F1F3" w14:textId="77777777" w:rsidR="00CF66AD" w:rsidRPr="00D00DBA" w:rsidRDefault="00CF66AD" w:rsidP="00D020AE">
            <w:pPr>
              <w:jc w:val="center"/>
              <w:rPr>
                <w:rFonts w:cs="Arial"/>
                <w:sz w:val="20"/>
                <w:szCs w:val="20"/>
              </w:rPr>
            </w:pPr>
          </w:p>
        </w:tc>
      </w:tr>
      <w:tr w:rsidR="00CF66AD" w:rsidRPr="00D00DBA" w14:paraId="76CD7095" w14:textId="77777777" w:rsidTr="00551A91">
        <w:tc>
          <w:tcPr>
            <w:tcW w:w="4273" w:type="dxa"/>
            <w:gridSpan w:val="3"/>
            <w:shd w:val="clear" w:color="auto" w:fill="B4C6E7" w:themeFill="accent1" w:themeFillTint="66"/>
          </w:tcPr>
          <w:p w14:paraId="7BE5FD28" w14:textId="77777777" w:rsidR="00A57208" w:rsidRPr="00D00DBA" w:rsidRDefault="00A57208" w:rsidP="00A57208">
            <w:pPr>
              <w:jc w:val="center"/>
              <w:rPr>
                <w:rFonts w:cs="Arial"/>
                <w:sz w:val="20"/>
                <w:szCs w:val="20"/>
              </w:rPr>
            </w:pPr>
            <w:r w:rsidRPr="00D00DBA">
              <w:rPr>
                <w:rFonts w:cs="Arial"/>
                <w:b/>
                <w:bCs/>
                <w:sz w:val="20"/>
                <w:szCs w:val="20"/>
              </w:rPr>
              <w:t>Skupna vsota</w:t>
            </w:r>
          </w:p>
        </w:tc>
        <w:tc>
          <w:tcPr>
            <w:tcW w:w="1996" w:type="dxa"/>
            <w:shd w:val="clear" w:color="auto" w:fill="B4C6E7" w:themeFill="accent1" w:themeFillTint="66"/>
            <w:vAlign w:val="center"/>
          </w:tcPr>
          <w:p w14:paraId="412DDD8B" w14:textId="13F3514D" w:rsidR="00A57208" w:rsidRPr="00D00DBA" w:rsidRDefault="00911B3F" w:rsidP="00766419">
            <w:pPr>
              <w:jc w:val="center"/>
              <w:rPr>
                <w:rFonts w:cs="Arial"/>
                <w:b/>
                <w:bCs/>
                <w:color w:val="000000"/>
                <w:sz w:val="20"/>
                <w:szCs w:val="20"/>
              </w:rPr>
            </w:pPr>
            <w:r w:rsidRPr="00D00DBA">
              <w:rPr>
                <w:rFonts w:cs="Arial"/>
                <w:b/>
                <w:bCs/>
                <w:sz w:val="20"/>
                <w:szCs w:val="20"/>
              </w:rPr>
              <w:t>4.250.000</w:t>
            </w:r>
          </w:p>
        </w:tc>
        <w:tc>
          <w:tcPr>
            <w:tcW w:w="2107" w:type="dxa"/>
            <w:shd w:val="clear" w:color="auto" w:fill="B4C6E7" w:themeFill="accent1" w:themeFillTint="66"/>
            <w:vAlign w:val="center"/>
          </w:tcPr>
          <w:p w14:paraId="1798FAA2" w14:textId="58CF24B3" w:rsidR="00A57208" w:rsidRPr="00D00DBA" w:rsidRDefault="00911B3F" w:rsidP="00766419">
            <w:pPr>
              <w:jc w:val="center"/>
              <w:rPr>
                <w:rFonts w:cs="Arial"/>
                <w:b/>
                <w:bCs/>
                <w:color w:val="000000"/>
                <w:sz w:val="20"/>
                <w:szCs w:val="20"/>
              </w:rPr>
            </w:pPr>
            <w:r w:rsidRPr="00D00DBA">
              <w:rPr>
                <w:rFonts w:cs="Arial"/>
                <w:b/>
                <w:bCs/>
                <w:sz w:val="20"/>
                <w:szCs w:val="20"/>
              </w:rPr>
              <w:t>2.000.000</w:t>
            </w:r>
          </w:p>
        </w:tc>
        <w:tc>
          <w:tcPr>
            <w:tcW w:w="1400" w:type="dxa"/>
            <w:shd w:val="clear" w:color="auto" w:fill="B4C6E7" w:themeFill="accent1" w:themeFillTint="66"/>
            <w:vAlign w:val="center"/>
          </w:tcPr>
          <w:p w14:paraId="62D3EA39" w14:textId="6D0B0FC5" w:rsidR="00A57208" w:rsidRPr="00D00DBA" w:rsidRDefault="00911B3F" w:rsidP="00766419">
            <w:pPr>
              <w:jc w:val="center"/>
              <w:rPr>
                <w:rFonts w:cs="Arial"/>
                <w:b/>
                <w:bCs/>
                <w:sz w:val="20"/>
                <w:szCs w:val="20"/>
              </w:rPr>
            </w:pPr>
            <w:r w:rsidRPr="00D00DBA">
              <w:rPr>
                <w:rFonts w:cs="Arial"/>
                <w:b/>
                <w:bCs/>
                <w:sz w:val="20"/>
                <w:szCs w:val="20"/>
              </w:rPr>
              <w:t>6.250.000</w:t>
            </w:r>
          </w:p>
        </w:tc>
      </w:tr>
      <w:bookmarkEnd w:id="32"/>
    </w:tbl>
    <w:p w14:paraId="149FC227" w14:textId="27FC7515" w:rsidR="00823181" w:rsidRPr="00D00DBA" w:rsidRDefault="00823181" w:rsidP="00CF66AD">
      <w:pPr>
        <w:jc w:val="both"/>
        <w:rPr>
          <w:rFonts w:cs="Arial"/>
          <w:sz w:val="20"/>
          <w:szCs w:val="20"/>
        </w:rPr>
      </w:pPr>
    </w:p>
    <w:sectPr w:rsidR="00823181" w:rsidRPr="00D00DBA" w:rsidSect="00C664E3">
      <w:footerReference w:type="default" r:id="rId11"/>
      <w:headerReference w:type="first" r:id="rId12"/>
      <w:footerReference w:type="first" r:id="rId13"/>
      <w:type w:val="continuous"/>
      <w:pgSz w:w="11900" w:h="16840" w:code="9"/>
      <w:pgMar w:top="1440" w:right="1080" w:bottom="1440" w:left="1080" w:header="964" w:footer="39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F27F9" w14:textId="77777777" w:rsidR="00B90FC5" w:rsidRDefault="00B90FC5" w:rsidP="0067131F">
      <w:r>
        <w:separator/>
      </w:r>
    </w:p>
  </w:endnote>
  <w:endnote w:type="continuationSeparator" w:id="0">
    <w:p w14:paraId="4F079E19" w14:textId="77777777" w:rsidR="00B90FC5" w:rsidRDefault="00B90FC5" w:rsidP="00671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MELOP+ArialNarrow">
    <w:altName w:val="Calibri"/>
    <w:panose1 w:val="00000000000000000000"/>
    <w:charset w:val="00"/>
    <w:family w:val="swiss"/>
    <w:notTrueType/>
    <w:pitch w:val="default"/>
    <w:sig w:usb0="00000003" w:usb1="00000000" w:usb2="00000000" w:usb3="00000000" w:csb0="00000001" w:csb1="00000000"/>
  </w:font>
  <w:font w:name="CIDFont+F2">
    <w:altName w:val="Yu Gothic U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6686414"/>
      <w:docPartObj>
        <w:docPartGallery w:val="Page Numbers (Bottom of Page)"/>
        <w:docPartUnique/>
      </w:docPartObj>
    </w:sdtPr>
    <w:sdtEndPr>
      <w:rPr>
        <w:sz w:val="20"/>
        <w:szCs w:val="22"/>
      </w:rPr>
    </w:sdtEndPr>
    <w:sdtContent>
      <w:p w14:paraId="02C7B218" w14:textId="5508858F" w:rsidR="00B56804" w:rsidRPr="002B584F" w:rsidRDefault="00B56804">
        <w:pPr>
          <w:pStyle w:val="Noga"/>
          <w:jc w:val="center"/>
          <w:rPr>
            <w:sz w:val="20"/>
            <w:szCs w:val="22"/>
          </w:rPr>
        </w:pPr>
        <w:r w:rsidRPr="002B584F">
          <w:rPr>
            <w:sz w:val="20"/>
            <w:szCs w:val="22"/>
          </w:rPr>
          <w:fldChar w:fldCharType="begin"/>
        </w:r>
        <w:r w:rsidRPr="002B584F">
          <w:rPr>
            <w:sz w:val="20"/>
            <w:szCs w:val="22"/>
          </w:rPr>
          <w:instrText>PAGE   \* MERGEFORMAT</w:instrText>
        </w:r>
        <w:r w:rsidRPr="002B584F">
          <w:rPr>
            <w:sz w:val="20"/>
            <w:szCs w:val="22"/>
          </w:rPr>
          <w:fldChar w:fldCharType="separate"/>
        </w:r>
        <w:r w:rsidRPr="002B584F">
          <w:rPr>
            <w:sz w:val="20"/>
            <w:szCs w:val="22"/>
          </w:rPr>
          <w:t>2</w:t>
        </w:r>
        <w:r w:rsidRPr="002B584F">
          <w:rPr>
            <w:sz w:val="20"/>
            <w:szCs w:val="22"/>
          </w:rPr>
          <w:fldChar w:fldCharType="end"/>
        </w:r>
      </w:p>
    </w:sdtContent>
  </w:sdt>
  <w:p w14:paraId="10844416" w14:textId="77777777" w:rsidR="00B56804" w:rsidRDefault="00B5680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525202"/>
      <w:docPartObj>
        <w:docPartGallery w:val="Page Numbers (Bottom of Page)"/>
        <w:docPartUnique/>
      </w:docPartObj>
    </w:sdtPr>
    <w:sdtEndPr/>
    <w:sdtContent>
      <w:p w14:paraId="18AF9A77" w14:textId="1E14CDF6" w:rsidR="004F20F0" w:rsidRDefault="003878DF" w:rsidP="00AF0395">
        <w:pPr>
          <w:pStyle w:val="Noga"/>
          <w:jc w:val="center"/>
        </w:pPr>
        <w:r>
          <w:fldChar w:fldCharType="begin"/>
        </w:r>
        <w:r>
          <w:instrText>PAGE   \* MERGEFORMAT</w:instrText>
        </w:r>
        <w:r>
          <w:fldChar w:fldCharType="separate"/>
        </w:r>
        <w:r w:rsidR="00EE6DD7">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12564" w14:textId="77777777" w:rsidR="00B90FC5" w:rsidRDefault="00B90FC5" w:rsidP="0067131F">
      <w:r>
        <w:separator/>
      </w:r>
    </w:p>
  </w:footnote>
  <w:footnote w:type="continuationSeparator" w:id="0">
    <w:p w14:paraId="4BE756C6" w14:textId="77777777" w:rsidR="00B90FC5" w:rsidRDefault="00B90FC5" w:rsidP="0067131F">
      <w:r>
        <w:continuationSeparator/>
      </w:r>
    </w:p>
  </w:footnote>
  <w:footnote w:id="1">
    <w:p w14:paraId="0DA7824B" w14:textId="6B006A35" w:rsidR="00AA573F" w:rsidRPr="00EF73AC" w:rsidRDefault="00AA573F">
      <w:pPr>
        <w:pStyle w:val="Sprotnaopomba-besedilo"/>
        <w:rPr>
          <w:sz w:val="16"/>
          <w:szCs w:val="16"/>
        </w:rPr>
      </w:pPr>
      <w:r w:rsidRPr="00957FDA">
        <w:rPr>
          <w:rStyle w:val="Sprotnaopomba-sklic"/>
          <w:sz w:val="16"/>
          <w:szCs w:val="16"/>
        </w:rPr>
        <w:footnoteRef/>
      </w:r>
      <w:r w:rsidRPr="00957FDA">
        <w:rPr>
          <w:rStyle w:val="Sprotnaopomba-sklic"/>
          <w:sz w:val="16"/>
          <w:szCs w:val="16"/>
        </w:rPr>
        <w:footnoteRef/>
      </w:r>
      <w:r w:rsidRPr="00957FDA">
        <w:rPr>
          <w:sz w:val="16"/>
          <w:szCs w:val="16"/>
        </w:rPr>
        <w:t xml:space="preserve"> </w:t>
      </w:r>
      <w:r w:rsidRPr="00957FDA">
        <w:rPr>
          <w:color w:val="1E1E1F"/>
          <w:sz w:val="16"/>
          <w:szCs w:val="16"/>
        </w:rPr>
        <w:t>Uredba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 vključno s Popravkom (UL L št. 289 z dne 10. 11. 2022, str. 34), zadnjič spremenjene z Uredbo (EU) 2024/795 Evropskega parlamenta in Sveta z dne 29. februarja 2024 o vzpostavitvi platforme za strateške tehnologije za Evropo (platforma STEP) in spremembi Direktive 2003/87/ES ter uredb (EU) 2021/1058, (EU) 2021/1056, (EU) 2021/1057, (EU) št. 1303/2013, (EU) št. 223/2014, (EU) 2021/1060, (EU) 2021/523, (EU) 2021/695, (EU) 2021/697 in (EU) 2021/241 (UL L št. 2024/795 z dne 29. 2. 2024), (v nadaljevanju: Uredba 2021/1060/EU)</w:t>
      </w:r>
    </w:p>
  </w:footnote>
  <w:footnote w:id="2">
    <w:p w14:paraId="5222D74A" w14:textId="77777777" w:rsidR="00957FDA" w:rsidRDefault="00957FDA" w:rsidP="00957FDA">
      <w:pPr>
        <w:pStyle w:val="Sprotnaopomba-besedilo"/>
      </w:pPr>
      <w:r w:rsidRPr="00957FDA">
        <w:rPr>
          <w:rStyle w:val="Sprotnaopomba-sklic"/>
          <w:sz w:val="16"/>
          <w:szCs w:val="16"/>
        </w:rPr>
        <w:footnoteRef/>
      </w:r>
      <w:r w:rsidRPr="00957FDA">
        <w:rPr>
          <w:sz w:val="16"/>
          <w:szCs w:val="16"/>
        </w:rPr>
        <w:t xml:space="preserve"> </w:t>
      </w:r>
      <w:hyperlink r:id="rId1" w:history="1">
        <w:r w:rsidRPr="00957FDA">
          <w:rPr>
            <w:rStyle w:val="Hiperpovezava"/>
            <w:sz w:val="16"/>
            <w:szCs w:val="16"/>
          </w:rPr>
          <w:t>Predhodne-ocene-SI-PO2021_2027.pdf</w:t>
        </w:r>
      </w:hyperlink>
    </w:p>
  </w:footnote>
  <w:footnote w:id="3">
    <w:p w14:paraId="24AF3127" w14:textId="383AC810" w:rsidR="00957FDA" w:rsidRPr="00EF73AC" w:rsidRDefault="00957FDA">
      <w:pPr>
        <w:pStyle w:val="Sprotnaopomba-besedilo"/>
        <w:rPr>
          <w:sz w:val="16"/>
          <w:szCs w:val="16"/>
        </w:rPr>
      </w:pPr>
      <w:r w:rsidRPr="00EF73AC">
        <w:rPr>
          <w:rStyle w:val="Sprotnaopomba-sklic"/>
          <w:sz w:val="16"/>
          <w:szCs w:val="16"/>
        </w:rPr>
        <w:footnoteRef/>
      </w:r>
      <w:r w:rsidRPr="00EF73AC">
        <w:rPr>
          <w:sz w:val="16"/>
          <w:szCs w:val="16"/>
        </w:rPr>
        <w:t xml:space="preserve"> FI compass WBO country report</w:t>
      </w:r>
    </w:p>
  </w:footnote>
  <w:footnote w:id="4">
    <w:p w14:paraId="61ED7539" w14:textId="230C99D0" w:rsidR="00B40BB2" w:rsidRPr="00E8005F" w:rsidRDefault="00B40BB2">
      <w:pPr>
        <w:pStyle w:val="Sprotnaopomba-besedilo"/>
        <w:rPr>
          <w:sz w:val="16"/>
          <w:szCs w:val="16"/>
        </w:rPr>
      </w:pPr>
      <w:r w:rsidRPr="00E8005F">
        <w:rPr>
          <w:rStyle w:val="Sprotnaopomba-sklic"/>
          <w:sz w:val="16"/>
          <w:szCs w:val="16"/>
        </w:rPr>
        <w:footnoteRef/>
      </w:r>
      <w:r w:rsidRPr="00E8005F">
        <w:rPr>
          <w:sz w:val="16"/>
          <w:szCs w:val="16"/>
        </w:rPr>
        <w:t xml:space="preserve"> </w:t>
      </w:r>
      <w:hyperlink r:id="rId2" w:history="1">
        <w:r w:rsidRPr="00E8005F">
          <w:rPr>
            <w:rStyle w:val="Hiperpovezava"/>
            <w:sz w:val="16"/>
            <w:szCs w:val="16"/>
          </w:rPr>
          <w:t>ESF+ Study on Workers’ Buyout in Slovenia</w:t>
        </w:r>
      </w:hyperlink>
    </w:p>
  </w:footnote>
  <w:footnote w:id="5">
    <w:p w14:paraId="0CDD9028" w14:textId="3B126167" w:rsidR="008604F6" w:rsidRDefault="008604F6">
      <w:pPr>
        <w:pStyle w:val="Sprotnaopomba-besedilo"/>
      </w:pPr>
      <w:r>
        <w:rPr>
          <w:rStyle w:val="Sprotnaopomba-sklic"/>
        </w:rPr>
        <w:footnoteRef/>
      </w:r>
      <w:r>
        <w:t xml:space="preserve"> </w:t>
      </w:r>
      <w:r w:rsidRPr="00551A91">
        <w:rPr>
          <w:color w:val="1E1E1F"/>
          <w:sz w:val="16"/>
          <w:szCs w:val="16"/>
        </w:rPr>
        <w:t>Raziskovalni projekt CRP ALSPDOL (https://www.fdv.uni-lj.si/raziskovanje/institut-za-druzbene-vede/raziskovalni-projekti/P7666</w:t>
      </w:r>
    </w:p>
  </w:footnote>
  <w:footnote w:id="6">
    <w:p w14:paraId="2F8088C2" w14:textId="77777777" w:rsidR="00CF66AD" w:rsidRPr="008A3FD6" w:rsidRDefault="00CF66AD" w:rsidP="00CF66AD">
      <w:pPr>
        <w:jc w:val="both"/>
        <w:rPr>
          <w:rFonts w:cs="Arial"/>
          <w:sz w:val="20"/>
          <w:szCs w:val="20"/>
        </w:rPr>
      </w:pPr>
      <w:r>
        <w:rPr>
          <w:rStyle w:val="Sprotnaopomba-sklic"/>
        </w:rPr>
        <w:footnoteRef/>
      </w:r>
      <w:r>
        <w:t xml:space="preserve"> </w:t>
      </w:r>
      <w:r w:rsidRPr="00551A91">
        <w:rPr>
          <w:rFonts w:cs="Arial"/>
          <w:sz w:val="16"/>
          <w:szCs w:val="16"/>
        </w:rPr>
        <w:t>Finančni produkt se bo oblikoval po izdelani študiji, ki bo naslovila tržno vrzel na področju delavskih odkupov</w:t>
      </w:r>
      <w:r>
        <w:rPr>
          <w:rFonts w:cs="Arial"/>
          <w:sz w:val="20"/>
          <w:szCs w:val="20"/>
        </w:rPr>
        <w:t xml:space="preserve">. </w:t>
      </w:r>
    </w:p>
    <w:p w14:paraId="15E9685D" w14:textId="710B3511" w:rsidR="00CF66AD" w:rsidRDefault="00CF66AD">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7C024" w14:textId="77777777" w:rsidR="00A96A27" w:rsidRDefault="00A96A27">
    <w:pPr>
      <w:pStyle w:val="Glava"/>
      <w:rPr>
        <w:rFonts w:cs="Arial"/>
        <w:noProof/>
        <w:sz w:val="16"/>
        <w:szCs w:val="16"/>
        <w:lang w:eastAsia="sl-SI"/>
      </w:rPr>
    </w:pPr>
  </w:p>
  <w:p w14:paraId="63050840" w14:textId="772F658D" w:rsidR="00A96A27" w:rsidRDefault="00A96A27">
    <w:pPr>
      <w:pStyle w:val="Glava"/>
    </w:pPr>
    <w:r>
      <w:rPr>
        <w:rFonts w:cs="Arial"/>
        <w:noProof/>
        <w:sz w:val="16"/>
        <w:szCs w:val="16"/>
        <w:lang w:eastAsia="sl-SI"/>
      </w:rPr>
      <w:drawing>
        <wp:anchor distT="0" distB="0" distL="114300" distR="114300" simplePos="0" relativeHeight="251659264" behindDoc="1" locked="0" layoutInCell="1" allowOverlap="1" wp14:anchorId="34A7BB3A" wp14:editId="1565A31E">
          <wp:simplePos x="0" y="0"/>
          <wp:positionH relativeFrom="page">
            <wp:align>left</wp:align>
          </wp:positionH>
          <wp:positionV relativeFrom="page">
            <wp:posOffset>-218489</wp:posOffset>
          </wp:positionV>
          <wp:extent cx="3343275" cy="1457325"/>
          <wp:effectExtent l="0" t="0" r="9525" b="9525"/>
          <wp:wrapNone/>
          <wp:docPr id="20" name="Slika 20"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DDS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275" cy="14573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C3C77"/>
    <w:multiLevelType w:val="hybridMultilevel"/>
    <w:tmpl w:val="B79C68FA"/>
    <w:lvl w:ilvl="0" w:tplc="04240017">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pStyle w:val="ExhibitHeading4"/>
      <w:lvlText w:val="%4."/>
      <w:lvlJc w:val="left"/>
      <w:pPr>
        <w:ind w:left="2880" w:hanging="360"/>
      </w:pPr>
    </w:lvl>
    <w:lvl w:ilvl="4" w:tplc="04240019" w:tentative="1">
      <w:start w:val="1"/>
      <w:numFmt w:val="lowerLetter"/>
      <w:pStyle w:val="ExhibitHeading5"/>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3DE7198"/>
    <w:multiLevelType w:val="hybridMultilevel"/>
    <w:tmpl w:val="B3EAA3AA"/>
    <w:lvl w:ilvl="0" w:tplc="A33497C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F395A2B"/>
    <w:multiLevelType w:val="multilevel"/>
    <w:tmpl w:val="7B642FD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08D6BFA"/>
    <w:multiLevelType w:val="hybridMultilevel"/>
    <w:tmpl w:val="2DEAEA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1224316"/>
    <w:multiLevelType w:val="hybridMultilevel"/>
    <w:tmpl w:val="27845A6A"/>
    <w:lvl w:ilvl="0" w:tplc="342264C4">
      <w:numFmt w:val="bullet"/>
      <w:lvlText w:val="-"/>
      <w:lvlJc w:val="left"/>
      <w:pPr>
        <w:ind w:left="720" w:hanging="360"/>
      </w:pPr>
      <w:rPr>
        <w:rFonts w:ascii="Aptos" w:eastAsia="Aptos" w:hAnsi="Aptos"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5CD229FA"/>
    <w:multiLevelType w:val="hybridMultilevel"/>
    <w:tmpl w:val="DC5AED6A"/>
    <w:lvl w:ilvl="0" w:tplc="976A35AE">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3AB6BE5"/>
    <w:multiLevelType w:val="multilevel"/>
    <w:tmpl w:val="9FE0D288"/>
    <w:lvl w:ilvl="0">
      <w:start w:val="1"/>
      <w:numFmt w:val="decimal"/>
      <w:pStyle w:val="Naslov2"/>
      <w:lvlText w:val="%1."/>
      <w:lvlJc w:val="left"/>
      <w:pPr>
        <w:ind w:left="1843" w:firstLine="0"/>
      </w:pPr>
      <w:rPr>
        <w:rFonts w:hint="default"/>
      </w:rPr>
    </w:lvl>
    <w:lvl w:ilvl="1">
      <w:start w:val="1"/>
      <w:numFmt w:val="upperLetter"/>
      <w:suff w:val="nothing"/>
      <w:lvlText w:val="%2.   "/>
      <w:lvlJc w:val="left"/>
      <w:pPr>
        <w:ind w:left="1440" w:firstLine="0"/>
      </w:pPr>
      <w:rPr>
        <w:rFonts w:ascii="Arial" w:hAnsi="Arial" w:cs="Arial" w:hint="default"/>
        <w:b w:val="0"/>
        <w:bCs w:val="0"/>
        <w:i w:val="0"/>
        <w:iCs w:val="0"/>
        <w:caps w:val="0"/>
        <w:smallCaps w:val="0"/>
        <w:strike w:val="0"/>
        <w:dstrike w:val="0"/>
        <w:noProof w:val="0"/>
        <w:vanish w:val="0"/>
        <w:color w:val="auto"/>
        <w:spacing w:val="0"/>
        <w:kern w:val="0"/>
        <w:position w:val="0"/>
        <w:u w:val="none"/>
        <w:vertAlign w:val="baseline"/>
        <w:em w:val="none"/>
      </w:rPr>
    </w:lvl>
    <w:lvl w:ilvl="2">
      <w:start w:val="1"/>
      <w:numFmt w:val="decimal"/>
      <w:lvlText w:val="%3."/>
      <w:lvlJc w:val="left"/>
      <w:pPr>
        <w:tabs>
          <w:tab w:val="num" w:pos="1080"/>
        </w:tabs>
        <w:ind w:left="720" w:firstLine="0"/>
      </w:pPr>
      <w:rPr>
        <w:rFonts w:hint="default"/>
      </w:rPr>
    </w:lvl>
    <w:lvl w:ilvl="3">
      <w:start w:val="1"/>
      <w:numFmt w:val="lowerLetter"/>
      <w:lvlText w:val="%4)"/>
      <w:lvlJc w:val="left"/>
      <w:pPr>
        <w:tabs>
          <w:tab w:val="num" w:pos="1800"/>
        </w:tabs>
        <w:ind w:left="1440" w:firstLine="0"/>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396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abstractNum w:abstractNumId="7" w15:restartNumberingAfterBreak="0">
    <w:nsid w:val="70EA15A1"/>
    <w:multiLevelType w:val="multilevel"/>
    <w:tmpl w:val="EF0E6BE4"/>
    <w:lvl w:ilvl="0">
      <w:start w:val="1"/>
      <w:numFmt w:val="upperRoman"/>
      <w:pStyle w:val="Naslov1"/>
      <w:suff w:val="nothing"/>
      <w:lvlText w:val="%1.   "/>
      <w:lvlJc w:val="left"/>
      <w:pPr>
        <w:ind w:left="1843" w:firstLine="0"/>
      </w:pPr>
      <w:rPr>
        <w:rFonts w:hint="default"/>
      </w:rPr>
    </w:lvl>
    <w:lvl w:ilvl="1">
      <w:start w:val="1"/>
      <w:numFmt w:val="upperLetter"/>
      <w:suff w:val="nothing"/>
      <w:lvlText w:val="%2.   "/>
      <w:lvlJc w:val="left"/>
      <w:pPr>
        <w:ind w:left="1440" w:firstLine="0"/>
      </w:pPr>
      <w:rPr>
        <w:rFonts w:ascii="Arial" w:hAnsi="Arial" w:cs="Arial" w:hint="default"/>
        <w:b w:val="0"/>
        <w:bCs w:val="0"/>
        <w:i w:val="0"/>
        <w:iCs w:val="0"/>
        <w:caps w:val="0"/>
        <w:smallCaps w:val="0"/>
        <w:strike w:val="0"/>
        <w:dstrike w:val="0"/>
        <w:noProof w:val="0"/>
        <w:vanish w:val="0"/>
        <w:color w:val="auto"/>
        <w:spacing w:val="0"/>
        <w:kern w:val="0"/>
        <w:position w:val="0"/>
        <w:u w:val="none"/>
        <w:vertAlign w:val="baseline"/>
        <w:em w:val="none"/>
      </w:rPr>
    </w:lvl>
    <w:lvl w:ilvl="2">
      <w:start w:val="1"/>
      <w:numFmt w:val="decimal"/>
      <w:lvlText w:val="%3."/>
      <w:lvlJc w:val="left"/>
      <w:pPr>
        <w:tabs>
          <w:tab w:val="num" w:pos="1080"/>
        </w:tabs>
        <w:ind w:left="720" w:firstLine="0"/>
      </w:pPr>
      <w:rPr>
        <w:rFonts w:hint="default"/>
      </w:rPr>
    </w:lvl>
    <w:lvl w:ilvl="3">
      <w:start w:val="1"/>
      <w:numFmt w:val="lowerLetter"/>
      <w:lvlText w:val="%4)"/>
      <w:lvlJc w:val="left"/>
      <w:pPr>
        <w:tabs>
          <w:tab w:val="num" w:pos="1800"/>
        </w:tabs>
        <w:ind w:left="1440" w:firstLine="0"/>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396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num w:numId="1" w16cid:durableId="1029794822">
    <w:abstractNumId w:val="7"/>
  </w:num>
  <w:num w:numId="2" w16cid:durableId="678191632">
    <w:abstractNumId w:val="2"/>
  </w:num>
  <w:num w:numId="3" w16cid:durableId="1843624256">
    <w:abstractNumId w:val="1"/>
  </w:num>
  <w:num w:numId="4" w16cid:durableId="1852329536">
    <w:abstractNumId w:val="6"/>
  </w:num>
  <w:num w:numId="5" w16cid:durableId="1788160335">
    <w:abstractNumId w:val="7"/>
  </w:num>
  <w:num w:numId="6" w16cid:durableId="1527332982">
    <w:abstractNumId w:val="7"/>
  </w:num>
  <w:num w:numId="7" w16cid:durableId="869957486">
    <w:abstractNumId w:val="7"/>
  </w:num>
  <w:num w:numId="8" w16cid:durableId="800850767">
    <w:abstractNumId w:val="7"/>
  </w:num>
  <w:num w:numId="9" w16cid:durableId="1011689590">
    <w:abstractNumId w:val="6"/>
  </w:num>
  <w:num w:numId="10" w16cid:durableId="821849374">
    <w:abstractNumId w:val="6"/>
  </w:num>
  <w:num w:numId="11" w16cid:durableId="977027730">
    <w:abstractNumId w:val="6"/>
  </w:num>
  <w:num w:numId="12" w16cid:durableId="32579796">
    <w:abstractNumId w:val="6"/>
  </w:num>
  <w:num w:numId="13" w16cid:durableId="1006708925">
    <w:abstractNumId w:val="6"/>
  </w:num>
  <w:num w:numId="14" w16cid:durableId="1881044086">
    <w:abstractNumId w:val="5"/>
  </w:num>
  <w:num w:numId="15" w16cid:durableId="395322997">
    <w:abstractNumId w:val="0"/>
  </w:num>
  <w:num w:numId="16" w16cid:durableId="1514875644">
    <w:abstractNumId w:val="3"/>
  </w:num>
  <w:num w:numId="17" w16cid:durableId="18929604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664"/>
    <w:rsid w:val="00000166"/>
    <w:rsid w:val="000017A8"/>
    <w:rsid w:val="00004F26"/>
    <w:rsid w:val="0000700E"/>
    <w:rsid w:val="00007BDD"/>
    <w:rsid w:val="00012448"/>
    <w:rsid w:val="00020350"/>
    <w:rsid w:val="000243A3"/>
    <w:rsid w:val="0003182A"/>
    <w:rsid w:val="000347E0"/>
    <w:rsid w:val="00034B28"/>
    <w:rsid w:val="00040823"/>
    <w:rsid w:val="000466DC"/>
    <w:rsid w:val="00047252"/>
    <w:rsid w:val="000532C4"/>
    <w:rsid w:val="000750E8"/>
    <w:rsid w:val="00075F9A"/>
    <w:rsid w:val="00077175"/>
    <w:rsid w:val="00082B4E"/>
    <w:rsid w:val="00091FB4"/>
    <w:rsid w:val="00092E63"/>
    <w:rsid w:val="000950F7"/>
    <w:rsid w:val="000A5FCD"/>
    <w:rsid w:val="000C3138"/>
    <w:rsid w:val="000C3515"/>
    <w:rsid w:val="000C4C2B"/>
    <w:rsid w:val="00114A6D"/>
    <w:rsid w:val="001170B7"/>
    <w:rsid w:val="00122770"/>
    <w:rsid w:val="0012734B"/>
    <w:rsid w:val="001560B0"/>
    <w:rsid w:val="00162168"/>
    <w:rsid w:val="00173B06"/>
    <w:rsid w:val="0018000E"/>
    <w:rsid w:val="00185CC3"/>
    <w:rsid w:val="00186A10"/>
    <w:rsid w:val="0018758F"/>
    <w:rsid w:val="0019116B"/>
    <w:rsid w:val="00196D32"/>
    <w:rsid w:val="001A12E7"/>
    <w:rsid w:val="001A5CD4"/>
    <w:rsid w:val="001A7351"/>
    <w:rsid w:val="001B17C8"/>
    <w:rsid w:val="001C1AC2"/>
    <w:rsid w:val="001C4490"/>
    <w:rsid w:val="001E612D"/>
    <w:rsid w:val="001F28AF"/>
    <w:rsid w:val="001F4C61"/>
    <w:rsid w:val="001F6FDB"/>
    <w:rsid w:val="00204058"/>
    <w:rsid w:val="00207330"/>
    <w:rsid w:val="0021094F"/>
    <w:rsid w:val="00221CD6"/>
    <w:rsid w:val="00230EC6"/>
    <w:rsid w:val="00231B90"/>
    <w:rsid w:val="00233A5E"/>
    <w:rsid w:val="0024313C"/>
    <w:rsid w:val="002479B0"/>
    <w:rsid w:val="00254607"/>
    <w:rsid w:val="0026484D"/>
    <w:rsid w:val="00267317"/>
    <w:rsid w:val="0027658F"/>
    <w:rsid w:val="00281E27"/>
    <w:rsid w:val="00293DC3"/>
    <w:rsid w:val="00297939"/>
    <w:rsid w:val="00297A9F"/>
    <w:rsid w:val="002A75ED"/>
    <w:rsid w:val="002B584F"/>
    <w:rsid w:val="002C5A46"/>
    <w:rsid w:val="002E5BCE"/>
    <w:rsid w:val="002F18AB"/>
    <w:rsid w:val="002F2405"/>
    <w:rsid w:val="002F6103"/>
    <w:rsid w:val="00306A75"/>
    <w:rsid w:val="00307486"/>
    <w:rsid w:val="00311A88"/>
    <w:rsid w:val="003218B6"/>
    <w:rsid w:val="00364E47"/>
    <w:rsid w:val="0036718F"/>
    <w:rsid w:val="0037160D"/>
    <w:rsid w:val="00385CF3"/>
    <w:rsid w:val="00385DEA"/>
    <w:rsid w:val="003878DF"/>
    <w:rsid w:val="003B1CE2"/>
    <w:rsid w:val="003B1E42"/>
    <w:rsid w:val="003C69A4"/>
    <w:rsid w:val="003D3FEF"/>
    <w:rsid w:val="003E2E04"/>
    <w:rsid w:val="003F23AC"/>
    <w:rsid w:val="003F398F"/>
    <w:rsid w:val="003F5664"/>
    <w:rsid w:val="00417A61"/>
    <w:rsid w:val="00417DC9"/>
    <w:rsid w:val="004274C0"/>
    <w:rsid w:val="00445470"/>
    <w:rsid w:val="00450E5E"/>
    <w:rsid w:val="00452DC6"/>
    <w:rsid w:val="0045463F"/>
    <w:rsid w:val="00457F32"/>
    <w:rsid w:val="004640EF"/>
    <w:rsid w:val="00465F4C"/>
    <w:rsid w:val="00473941"/>
    <w:rsid w:val="00475361"/>
    <w:rsid w:val="004756E1"/>
    <w:rsid w:val="00480589"/>
    <w:rsid w:val="00483D96"/>
    <w:rsid w:val="0048483D"/>
    <w:rsid w:val="004A4B94"/>
    <w:rsid w:val="004E245D"/>
    <w:rsid w:val="004E2A0F"/>
    <w:rsid w:val="004F20F0"/>
    <w:rsid w:val="004F3D4C"/>
    <w:rsid w:val="004F62E0"/>
    <w:rsid w:val="004F73C4"/>
    <w:rsid w:val="005044C9"/>
    <w:rsid w:val="00532F22"/>
    <w:rsid w:val="00551237"/>
    <w:rsid w:val="00551A91"/>
    <w:rsid w:val="00552694"/>
    <w:rsid w:val="005546E1"/>
    <w:rsid w:val="00563308"/>
    <w:rsid w:val="00566513"/>
    <w:rsid w:val="0056715A"/>
    <w:rsid w:val="0056727C"/>
    <w:rsid w:val="00585324"/>
    <w:rsid w:val="005854B1"/>
    <w:rsid w:val="00586C1B"/>
    <w:rsid w:val="005A4415"/>
    <w:rsid w:val="005A660B"/>
    <w:rsid w:val="005B4F7A"/>
    <w:rsid w:val="005B5B79"/>
    <w:rsid w:val="005C1582"/>
    <w:rsid w:val="005D6A3D"/>
    <w:rsid w:val="005E7643"/>
    <w:rsid w:val="005F0F9A"/>
    <w:rsid w:val="00601790"/>
    <w:rsid w:val="00603D74"/>
    <w:rsid w:val="00604910"/>
    <w:rsid w:val="00607539"/>
    <w:rsid w:val="006112BB"/>
    <w:rsid w:val="006120B6"/>
    <w:rsid w:val="0061634D"/>
    <w:rsid w:val="00617FE6"/>
    <w:rsid w:val="00620555"/>
    <w:rsid w:val="00622070"/>
    <w:rsid w:val="0063276A"/>
    <w:rsid w:val="00636A95"/>
    <w:rsid w:val="00651B15"/>
    <w:rsid w:val="006537B1"/>
    <w:rsid w:val="00661F16"/>
    <w:rsid w:val="0066604F"/>
    <w:rsid w:val="0067131F"/>
    <w:rsid w:val="0067292D"/>
    <w:rsid w:val="0067630C"/>
    <w:rsid w:val="0069079D"/>
    <w:rsid w:val="00694DBB"/>
    <w:rsid w:val="00697A73"/>
    <w:rsid w:val="006A04EE"/>
    <w:rsid w:val="006B0631"/>
    <w:rsid w:val="006B440B"/>
    <w:rsid w:val="006B6A0B"/>
    <w:rsid w:val="006C4EEF"/>
    <w:rsid w:val="006C754F"/>
    <w:rsid w:val="006D4078"/>
    <w:rsid w:val="006D507D"/>
    <w:rsid w:val="006D6238"/>
    <w:rsid w:val="006E04F2"/>
    <w:rsid w:val="006E34E7"/>
    <w:rsid w:val="006E7E26"/>
    <w:rsid w:val="006F4430"/>
    <w:rsid w:val="0070530F"/>
    <w:rsid w:val="00710128"/>
    <w:rsid w:val="00724469"/>
    <w:rsid w:val="007347E2"/>
    <w:rsid w:val="0074769D"/>
    <w:rsid w:val="00761218"/>
    <w:rsid w:val="007643D7"/>
    <w:rsid w:val="00765240"/>
    <w:rsid w:val="00766419"/>
    <w:rsid w:val="00777994"/>
    <w:rsid w:val="007834DC"/>
    <w:rsid w:val="0079336D"/>
    <w:rsid w:val="00793E4C"/>
    <w:rsid w:val="0079472C"/>
    <w:rsid w:val="007A201F"/>
    <w:rsid w:val="007B17DE"/>
    <w:rsid w:val="007B1EC3"/>
    <w:rsid w:val="007C274C"/>
    <w:rsid w:val="007C5B62"/>
    <w:rsid w:val="007D0DD4"/>
    <w:rsid w:val="007D1380"/>
    <w:rsid w:val="007D573F"/>
    <w:rsid w:val="007E7842"/>
    <w:rsid w:val="007F23F4"/>
    <w:rsid w:val="008007AF"/>
    <w:rsid w:val="00807B29"/>
    <w:rsid w:val="00811BA0"/>
    <w:rsid w:val="008176CC"/>
    <w:rsid w:val="00823181"/>
    <w:rsid w:val="00823313"/>
    <w:rsid w:val="00826CE9"/>
    <w:rsid w:val="008312BA"/>
    <w:rsid w:val="00831ED9"/>
    <w:rsid w:val="00831FD3"/>
    <w:rsid w:val="008546E9"/>
    <w:rsid w:val="00854E47"/>
    <w:rsid w:val="00857664"/>
    <w:rsid w:val="008604F6"/>
    <w:rsid w:val="00874C47"/>
    <w:rsid w:val="008761F8"/>
    <w:rsid w:val="0088133F"/>
    <w:rsid w:val="008823A9"/>
    <w:rsid w:val="008832C9"/>
    <w:rsid w:val="00893CAE"/>
    <w:rsid w:val="008A3FD6"/>
    <w:rsid w:val="008B1B83"/>
    <w:rsid w:val="008B3D6B"/>
    <w:rsid w:val="008B4E23"/>
    <w:rsid w:val="008D2F7D"/>
    <w:rsid w:val="008D4E65"/>
    <w:rsid w:val="008E6DEE"/>
    <w:rsid w:val="008F148C"/>
    <w:rsid w:val="008F26EC"/>
    <w:rsid w:val="0090093E"/>
    <w:rsid w:val="00900E57"/>
    <w:rsid w:val="00903CD0"/>
    <w:rsid w:val="00904756"/>
    <w:rsid w:val="0090577E"/>
    <w:rsid w:val="00906824"/>
    <w:rsid w:val="00911B3F"/>
    <w:rsid w:val="00943886"/>
    <w:rsid w:val="009453D5"/>
    <w:rsid w:val="009538C0"/>
    <w:rsid w:val="00957FDA"/>
    <w:rsid w:val="00963864"/>
    <w:rsid w:val="00977A57"/>
    <w:rsid w:val="00981FA2"/>
    <w:rsid w:val="00985800"/>
    <w:rsid w:val="00990638"/>
    <w:rsid w:val="009A226F"/>
    <w:rsid w:val="009B2898"/>
    <w:rsid w:val="009B4861"/>
    <w:rsid w:val="009B601A"/>
    <w:rsid w:val="009C7E8A"/>
    <w:rsid w:val="009D3FC0"/>
    <w:rsid w:val="009E337A"/>
    <w:rsid w:val="009E4EDD"/>
    <w:rsid w:val="009F100D"/>
    <w:rsid w:val="00A060CD"/>
    <w:rsid w:val="00A13BC7"/>
    <w:rsid w:val="00A2355B"/>
    <w:rsid w:val="00A23B5C"/>
    <w:rsid w:val="00A241FA"/>
    <w:rsid w:val="00A24FEF"/>
    <w:rsid w:val="00A37246"/>
    <w:rsid w:val="00A44E89"/>
    <w:rsid w:val="00A51DAB"/>
    <w:rsid w:val="00A57111"/>
    <w:rsid w:val="00A57208"/>
    <w:rsid w:val="00A60F48"/>
    <w:rsid w:val="00A6520A"/>
    <w:rsid w:val="00A74F95"/>
    <w:rsid w:val="00A76A3E"/>
    <w:rsid w:val="00A81959"/>
    <w:rsid w:val="00A83FC2"/>
    <w:rsid w:val="00A94B56"/>
    <w:rsid w:val="00A96A27"/>
    <w:rsid w:val="00A978DE"/>
    <w:rsid w:val="00AA3C2B"/>
    <w:rsid w:val="00AA3F36"/>
    <w:rsid w:val="00AA573F"/>
    <w:rsid w:val="00AD275C"/>
    <w:rsid w:val="00AE03A5"/>
    <w:rsid w:val="00AE2002"/>
    <w:rsid w:val="00AF2B2F"/>
    <w:rsid w:val="00AF5235"/>
    <w:rsid w:val="00AF5F3E"/>
    <w:rsid w:val="00B06689"/>
    <w:rsid w:val="00B11E5D"/>
    <w:rsid w:val="00B36FC8"/>
    <w:rsid w:val="00B40BB2"/>
    <w:rsid w:val="00B46EE3"/>
    <w:rsid w:val="00B4732B"/>
    <w:rsid w:val="00B56042"/>
    <w:rsid w:val="00B56804"/>
    <w:rsid w:val="00B63132"/>
    <w:rsid w:val="00B63593"/>
    <w:rsid w:val="00B661EC"/>
    <w:rsid w:val="00B72571"/>
    <w:rsid w:val="00B826FE"/>
    <w:rsid w:val="00B83633"/>
    <w:rsid w:val="00B90FC5"/>
    <w:rsid w:val="00B90FCD"/>
    <w:rsid w:val="00B9457F"/>
    <w:rsid w:val="00B950BC"/>
    <w:rsid w:val="00BB3654"/>
    <w:rsid w:val="00BC1526"/>
    <w:rsid w:val="00BD485B"/>
    <w:rsid w:val="00BD58D7"/>
    <w:rsid w:val="00BD7398"/>
    <w:rsid w:val="00BE0769"/>
    <w:rsid w:val="00BE0F87"/>
    <w:rsid w:val="00BE4CC3"/>
    <w:rsid w:val="00BE5B0A"/>
    <w:rsid w:val="00BF1F4F"/>
    <w:rsid w:val="00BF3E37"/>
    <w:rsid w:val="00C014A4"/>
    <w:rsid w:val="00C04AC3"/>
    <w:rsid w:val="00C106EB"/>
    <w:rsid w:val="00C10BDF"/>
    <w:rsid w:val="00C13E57"/>
    <w:rsid w:val="00C25F14"/>
    <w:rsid w:val="00C3163C"/>
    <w:rsid w:val="00C36837"/>
    <w:rsid w:val="00C404A8"/>
    <w:rsid w:val="00C55121"/>
    <w:rsid w:val="00C631D7"/>
    <w:rsid w:val="00C65AF0"/>
    <w:rsid w:val="00C664E3"/>
    <w:rsid w:val="00C72B2E"/>
    <w:rsid w:val="00C8001E"/>
    <w:rsid w:val="00C9611C"/>
    <w:rsid w:val="00C96494"/>
    <w:rsid w:val="00CA353D"/>
    <w:rsid w:val="00CA5EA8"/>
    <w:rsid w:val="00CA794B"/>
    <w:rsid w:val="00CA79A0"/>
    <w:rsid w:val="00CD22EB"/>
    <w:rsid w:val="00CD2367"/>
    <w:rsid w:val="00CD5F5B"/>
    <w:rsid w:val="00CE6578"/>
    <w:rsid w:val="00CF0207"/>
    <w:rsid w:val="00CF5430"/>
    <w:rsid w:val="00CF66AD"/>
    <w:rsid w:val="00D00DBA"/>
    <w:rsid w:val="00D03893"/>
    <w:rsid w:val="00D10039"/>
    <w:rsid w:val="00D12923"/>
    <w:rsid w:val="00D15D9B"/>
    <w:rsid w:val="00D23490"/>
    <w:rsid w:val="00D324A7"/>
    <w:rsid w:val="00D35164"/>
    <w:rsid w:val="00D406A9"/>
    <w:rsid w:val="00D42D7B"/>
    <w:rsid w:val="00D4319F"/>
    <w:rsid w:val="00D451F8"/>
    <w:rsid w:val="00D5139F"/>
    <w:rsid w:val="00D623AE"/>
    <w:rsid w:val="00DA3B45"/>
    <w:rsid w:val="00DB3862"/>
    <w:rsid w:val="00DB5629"/>
    <w:rsid w:val="00DC0A1A"/>
    <w:rsid w:val="00DC6CFC"/>
    <w:rsid w:val="00DC72A6"/>
    <w:rsid w:val="00DD2408"/>
    <w:rsid w:val="00DD4664"/>
    <w:rsid w:val="00DD5B38"/>
    <w:rsid w:val="00DE367D"/>
    <w:rsid w:val="00DE43FA"/>
    <w:rsid w:val="00DF6F77"/>
    <w:rsid w:val="00DF7420"/>
    <w:rsid w:val="00E12F0C"/>
    <w:rsid w:val="00E17453"/>
    <w:rsid w:val="00E21A92"/>
    <w:rsid w:val="00E243AF"/>
    <w:rsid w:val="00E2498D"/>
    <w:rsid w:val="00E255C0"/>
    <w:rsid w:val="00E27C15"/>
    <w:rsid w:val="00E33349"/>
    <w:rsid w:val="00E4530B"/>
    <w:rsid w:val="00E46FC3"/>
    <w:rsid w:val="00E51325"/>
    <w:rsid w:val="00E67AE9"/>
    <w:rsid w:val="00E67BED"/>
    <w:rsid w:val="00E70227"/>
    <w:rsid w:val="00E71D7B"/>
    <w:rsid w:val="00E75AC8"/>
    <w:rsid w:val="00E8005F"/>
    <w:rsid w:val="00E814D9"/>
    <w:rsid w:val="00E87D53"/>
    <w:rsid w:val="00E927A4"/>
    <w:rsid w:val="00E93F05"/>
    <w:rsid w:val="00E95D8B"/>
    <w:rsid w:val="00E95F8F"/>
    <w:rsid w:val="00EA1A3A"/>
    <w:rsid w:val="00EA31CB"/>
    <w:rsid w:val="00EA49ED"/>
    <w:rsid w:val="00EA4E5E"/>
    <w:rsid w:val="00EB24AF"/>
    <w:rsid w:val="00EB48F1"/>
    <w:rsid w:val="00EB680F"/>
    <w:rsid w:val="00EB708F"/>
    <w:rsid w:val="00EC25FF"/>
    <w:rsid w:val="00ED6B1B"/>
    <w:rsid w:val="00EE08E1"/>
    <w:rsid w:val="00EE6DD7"/>
    <w:rsid w:val="00EE7615"/>
    <w:rsid w:val="00EF0D84"/>
    <w:rsid w:val="00EF23AC"/>
    <w:rsid w:val="00EF4810"/>
    <w:rsid w:val="00EF6593"/>
    <w:rsid w:val="00EF67A6"/>
    <w:rsid w:val="00EF73AC"/>
    <w:rsid w:val="00F007AE"/>
    <w:rsid w:val="00F03412"/>
    <w:rsid w:val="00F0515F"/>
    <w:rsid w:val="00F116BE"/>
    <w:rsid w:val="00F11C74"/>
    <w:rsid w:val="00F12A06"/>
    <w:rsid w:val="00F14772"/>
    <w:rsid w:val="00F154F0"/>
    <w:rsid w:val="00F27780"/>
    <w:rsid w:val="00F518BC"/>
    <w:rsid w:val="00F51F78"/>
    <w:rsid w:val="00F53C82"/>
    <w:rsid w:val="00F576DE"/>
    <w:rsid w:val="00F61896"/>
    <w:rsid w:val="00F66CC1"/>
    <w:rsid w:val="00F70CA0"/>
    <w:rsid w:val="00F7527D"/>
    <w:rsid w:val="00F919A8"/>
    <w:rsid w:val="00FA2AD8"/>
    <w:rsid w:val="00FA7304"/>
    <w:rsid w:val="00FA7ECD"/>
    <w:rsid w:val="00FB1C61"/>
    <w:rsid w:val="00FC57BB"/>
    <w:rsid w:val="00FD4876"/>
    <w:rsid w:val="00FF18F6"/>
    <w:rsid w:val="00FF26F7"/>
    <w:rsid w:val="00FF2C3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F77CA"/>
  <w15:docId w15:val="{B55F4DBB-CAA5-4B54-A561-B523C940B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F5664"/>
    <w:pPr>
      <w:spacing w:after="0" w:line="240" w:lineRule="auto"/>
    </w:pPr>
    <w:rPr>
      <w:rFonts w:ascii="Arial" w:eastAsia="Times New Roman" w:hAnsi="Arial" w:cs="Times New Roman"/>
      <w:szCs w:val="24"/>
    </w:rPr>
  </w:style>
  <w:style w:type="paragraph" w:styleId="Naslov1">
    <w:name w:val="heading 1"/>
    <w:aliases w:val="NASLOV"/>
    <w:basedOn w:val="Navaden"/>
    <w:next w:val="Navaden"/>
    <w:link w:val="Naslov1Znak"/>
    <w:qFormat/>
    <w:rsid w:val="003F5664"/>
    <w:pPr>
      <w:keepNext/>
      <w:numPr>
        <w:numId w:val="1"/>
      </w:numPr>
      <w:spacing w:after="240"/>
      <w:jc w:val="center"/>
      <w:outlineLvl w:val="0"/>
    </w:pPr>
    <w:rPr>
      <w:rFonts w:cs="Arial"/>
      <w:b/>
      <w:bCs/>
      <w:smallCaps/>
      <w:kern w:val="28"/>
      <w:szCs w:val="32"/>
    </w:rPr>
  </w:style>
  <w:style w:type="paragraph" w:styleId="Naslov2">
    <w:name w:val="heading 2"/>
    <w:basedOn w:val="Naslov1"/>
    <w:next w:val="Navaden"/>
    <w:link w:val="Naslov2Znak"/>
    <w:uiPriority w:val="9"/>
    <w:qFormat/>
    <w:rsid w:val="00E70227"/>
    <w:pPr>
      <w:numPr>
        <w:numId w:val="4"/>
      </w:numPr>
      <w:jc w:val="left"/>
      <w:outlineLvl w:val="1"/>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3F5664"/>
    <w:rPr>
      <w:rFonts w:ascii="Arial" w:eastAsia="Times New Roman" w:hAnsi="Arial" w:cs="Arial"/>
      <w:b/>
      <w:bCs/>
      <w:smallCaps/>
      <w:kern w:val="28"/>
      <w:szCs w:val="32"/>
    </w:rPr>
  </w:style>
  <w:style w:type="character" w:customStyle="1" w:styleId="Naslov2Znak">
    <w:name w:val="Naslov 2 Znak"/>
    <w:basedOn w:val="Privzetapisavaodstavka"/>
    <w:link w:val="Naslov2"/>
    <w:uiPriority w:val="9"/>
    <w:rsid w:val="00E70227"/>
    <w:rPr>
      <w:rFonts w:ascii="Arial" w:eastAsia="Times New Roman" w:hAnsi="Arial" w:cs="Arial"/>
      <w:b/>
      <w:bCs/>
      <w:smallCaps/>
      <w:kern w:val="28"/>
      <w:szCs w:val="32"/>
    </w:rPr>
  </w:style>
  <w:style w:type="character" w:styleId="Hiperpovezava">
    <w:name w:val="Hyperlink"/>
    <w:rsid w:val="003F5664"/>
    <w:rPr>
      <w:color w:val="0000FF"/>
      <w:u w:val="single"/>
    </w:rPr>
  </w:style>
  <w:style w:type="table" w:styleId="Tabelamrea">
    <w:name w:val="Table Grid"/>
    <w:basedOn w:val="Navadnatabela"/>
    <w:uiPriority w:val="39"/>
    <w:rsid w:val="003F5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unhideWhenUsed/>
    <w:rsid w:val="003F5664"/>
    <w:rPr>
      <w:sz w:val="16"/>
      <w:szCs w:val="16"/>
    </w:rPr>
  </w:style>
  <w:style w:type="paragraph" w:styleId="Pripombabesedilo">
    <w:name w:val="annotation text"/>
    <w:basedOn w:val="Navaden"/>
    <w:link w:val="PripombabesediloZnak"/>
    <w:uiPriority w:val="99"/>
    <w:unhideWhenUsed/>
    <w:rsid w:val="003F5664"/>
    <w:pPr>
      <w:spacing w:after="200"/>
    </w:pPr>
    <w:rPr>
      <w:rFonts w:asciiTheme="minorHAnsi" w:eastAsiaTheme="minorHAnsi" w:hAnsiTheme="minorHAnsi" w:cstheme="minorBidi"/>
      <w:sz w:val="20"/>
      <w:szCs w:val="20"/>
    </w:rPr>
  </w:style>
  <w:style w:type="character" w:customStyle="1" w:styleId="PripombabesediloZnak">
    <w:name w:val="Pripomba – besedilo Znak"/>
    <w:basedOn w:val="Privzetapisavaodstavka"/>
    <w:link w:val="Pripombabesedilo"/>
    <w:uiPriority w:val="99"/>
    <w:rsid w:val="003F5664"/>
    <w:rPr>
      <w:sz w:val="20"/>
      <w:szCs w:val="20"/>
    </w:rPr>
  </w:style>
  <w:style w:type="paragraph" w:styleId="Kazalovsebine1">
    <w:name w:val="toc 1"/>
    <w:basedOn w:val="Navaden"/>
    <w:next w:val="Navaden"/>
    <w:autoRedefine/>
    <w:uiPriority w:val="39"/>
    <w:unhideWhenUsed/>
    <w:rsid w:val="003F5664"/>
    <w:pPr>
      <w:tabs>
        <w:tab w:val="left" w:pos="440"/>
        <w:tab w:val="right" w:leader="dot" w:pos="9055"/>
      </w:tabs>
      <w:spacing w:after="100" w:line="259" w:lineRule="auto"/>
    </w:pPr>
    <w:rPr>
      <w:rFonts w:asciiTheme="minorHAnsi" w:eastAsiaTheme="minorEastAsia" w:hAnsiTheme="minorHAnsi"/>
      <w:szCs w:val="22"/>
      <w:lang w:eastAsia="sl-SI"/>
    </w:rPr>
  </w:style>
  <w:style w:type="paragraph" w:styleId="Glava">
    <w:name w:val="header"/>
    <w:basedOn w:val="Navaden"/>
    <w:link w:val="GlavaZnak"/>
    <w:unhideWhenUsed/>
    <w:qFormat/>
    <w:rsid w:val="003F5664"/>
    <w:pPr>
      <w:tabs>
        <w:tab w:val="center" w:pos="4536"/>
        <w:tab w:val="right" w:pos="9072"/>
      </w:tabs>
    </w:pPr>
  </w:style>
  <w:style w:type="character" w:customStyle="1" w:styleId="GlavaZnak">
    <w:name w:val="Glava Znak"/>
    <w:basedOn w:val="Privzetapisavaodstavka"/>
    <w:link w:val="Glava"/>
    <w:rsid w:val="003F5664"/>
    <w:rPr>
      <w:rFonts w:ascii="Arial" w:eastAsia="Times New Roman" w:hAnsi="Arial" w:cs="Times New Roman"/>
      <w:szCs w:val="24"/>
    </w:rPr>
  </w:style>
  <w:style w:type="paragraph" w:styleId="Noga">
    <w:name w:val="footer"/>
    <w:aliases w:val="|| Footer"/>
    <w:basedOn w:val="Navaden"/>
    <w:link w:val="NogaZnak"/>
    <w:uiPriority w:val="99"/>
    <w:unhideWhenUsed/>
    <w:rsid w:val="003F5664"/>
    <w:pPr>
      <w:tabs>
        <w:tab w:val="center" w:pos="4536"/>
        <w:tab w:val="right" w:pos="9072"/>
      </w:tabs>
    </w:pPr>
  </w:style>
  <w:style w:type="character" w:customStyle="1" w:styleId="NogaZnak">
    <w:name w:val="Noga Znak"/>
    <w:aliases w:val="|| Footer Znak"/>
    <w:basedOn w:val="Privzetapisavaodstavka"/>
    <w:link w:val="Noga"/>
    <w:uiPriority w:val="99"/>
    <w:rsid w:val="003F5664"/>
    <w:rPr>
      <w:rFonts w:ascii="Arial" w:eastAsia="Times New Roman" w:hAnsi="Arial" w:cs="Times New Roman"/>
      <w:szCs w:val="24"/>
    </w:rPr>
  </w:style>
  <w:style w:type="paragraph" w:styleId="Napis">
    <w:name w:val="caption"/>
    <w:aliases w:val="topic,c,topic1,topic2,topic3,3559Caption,topic4,c1,C1,Legend1,topic11,topic21,topic31,3559Caption1,Table,Légende italique,Figure Reference,Légende italique Char,kuvateksti Char,kuvateksti,Figure No,Figure-caption,CAPTION,t,Beschriftung Char2 Cha"/>
    <w:basedOn w:val="Navaden"/>
    <w:next w:val="Navaden"/>
    <w:link w:val="NapisZnak"/>
    <w:uiPriority w:val="35"/>
    <w:unhideWhenUsed/>
    <w:qFormat/>
    <w:rsid w:val="003F5664"/>
    <w:pPr>
      <w:spacing w:after="200"/>
    </w:pPr>
    <w:rPr>
      <w:b/>
      <w:bCs/>
      <w:color w:val="4472C4" w:themeColor="accent1"/>
      <w:sz w:val="18"/>
      <w:szCs w:val="18"/>
    </w:rPr>
  </w:style>
  <w:style w:type="table" w:customStyle="1" w:styleId="Tabelamrea1">
    <w:name w:val="Tabela – mreža1"/>
    <w:basedOn w:val="Navadnatabela"/>
    <w:next w:val="Tabelamrea"/>
    <w:uiPriority w:val="39"/>
    <w:rsid w:val="003F5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unhideWhenUsed/>
    <w:rsid w:val="003F5664"/>
    <w:pPr>
      <w:spacing w:before="100" w:beforeAutospacing="1" w:after="100" w:afterAutospacing="1"/>
    </w:pPr>
    <w:rPr>
      <w:rFonts w:ascii="Roboto" w:hAnsi="Roboto"/>
      <w:color w:val="333333"/>
      <w:lang w:eastAsia="sl-SI"/>
    </w:rPr>
  </w:style>
  <w:style w:type="character" w:customStyle="1" w:styleId="NapisZnak">
    <w:name w:val="Napis Znak"/>
    <w:aliases w:val="topic Znak,c Znak,topic1 Znak,topic2 Znak,topic3 Znak,3559Caption Znak,topic4 Znak,c1 Znak,C1 Znak,Legend1 Znak,topic11 Znak,topic21 Znak,topic31 Znak,3559Caption1 Znak,Table Znak,Légende italique Znak,Figure Reference Znak,kuvateksti Znak"/>
    <w:link w:val="Napis"/>
    <w:uiPriority w:val="35"/>
    <w:rsid w:val="003F5664"/>
    <w:rPr>
      <w:rFonts w:ascii="Arial" w:eastAsia="Times New Roman" w:hAnsi="Arial" w:cs="Times New Roman"/>
      <w:b/>
      <w:bCs/>
      <w:color w:val="4472C4" w:themeColor="accent1"/>
      <w:sz w:val="18"/>
      <w:szCs w:val="18"/>
    </w:rPr>
  </w:style>
  <w:style w:type="paragraph" w:styleId="Kazaloslik">
    <w:name w:val="table of figures"/>
    <w:basedOn w:val="Navaden"/>
    <w:next w:val="Navaden"/>
    <w:uiPriority w:val="99"/>
    <w:unhideWhenUsed/>
    <w:rsid w:val="003F5664"/>
    <w:rPr>
      <w:rFonts w:asciiTheme="minorHAnsi" w:eastAsiaTheme="minorHAnsi" w:hAnsiTheme="minorHAnsi" w:cstheme="minorBidi"/>
      <w:sz w:val="18"/>
      <w:szCs w:val="20"/>
    </w:rPr>
  </w:style>
  <w:style w:type="paragraph" w:customStyle="1" w:styleId="datumtevilka">
    <w:name w:val="datum številka"/>
    <w:basedOn w:val="Navaden"/>
    <w:qFormat/>
    <w:rsid w:val="003F5664"/>
    <w:pPr>
      <w:tabs>
        <w:tab w:val="left" w:pos="1701"/>
      </w:tabs>
      <w:spacing w:line="260" w:lineRule="atLeast"/>
    </w:pPr>
    <w:rPr>
      <w:rFonts w:cs="Arial"/>
      <w:sz w:val="20"/>
      <w:szCs w:val="20"/>
      <w:lang w:eastAsia="sl-SI"/>
    </w:rPr>
  </w:style>
  <w:style w:type="table" w:customStyle="1" w:styleId="Tabelamrea2">
    <w:name w:val="Tabela – mreža2"/>
    <w:basedOn w:val="Navadnatabela"/>
    <w:next w:val="Tabelamrea"/>
    <w:uiPriority w:val="39"/>
    <w:rsid w:val="003F5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TOC">
    <w:name w:val="TOC Heading"/>
    <w:basedOn w:val="Naslov1"/>
    <w:next w:val="Navaden"/>
    <w:uiPriority w:val="39"/>
    <w:unhideWhenUsed/>
    <w:qFormat/>
    <w:rsid w:val="00E70227"/>
    <w:pPr>
      <w:keepLines/>
      <w:numPr>
        <w:numId w:val="0"/>
      </w:numPr>
      <w:spacing w:before="240" w:after="0" w:line="259" w:lineRule="auto"/>
      <w:jc w:val="left"/>
      <w:outlineLvl w:val="9"/>
    </w:pPr>
    <w:rPr>
      <w:rFonts w:asciiTheme="majorHAnsi" w:eastAsiaTheme="majorEastAsia" w:hAnsiTheme="majorHAnsi" w:cstheme="majorBidi"/>
      <w:b w:val="0"/>
      <w:bCs w:val="0"/>
      <w:smallCaps w:val="0"/>
      <w:color w:val="2F5496" w:themeColor="accent1" w:themeShade="BF"/>
      <w:kern w:val="0"/>
      <w:sz w:val="32"/>
      <w:lang w:eastAsia="sl-SI"/>
    </w:rPr>
  </w:style>
  <w:style w:type="paragraph" w:styleId="Kazalovsebine2">
    <w:name w:val="toc 2"/>
    <w:basedOn w:val="Navaden"/>
    <w:next w:val="Navaden"/>
    <w:autoRedefine/>
    <w:uiPriority w:val="39"/>
    <w:unhideWhenUsed/>
    <w:rsid w:val="00297A9F"/>
    <w:pPr>
      <w:tabs>
        <w:tab w:val="left" w:pos="660"/>
        <w:tab w:val="right" w:leader="dot" w:pos="9730"/>
      </w:tabs>
      <w:spacing w:after="100" w:line="259" w:lineRule="auto"/>
      <w:ind w:left="220"/>
    </w:pPr>
    <w:rPr>
      <w:rFonts w:asciiTheme="minorHAnsi" w:eastAsiaTheme="minorEastAsia" w:hAnsiTheme="minorHAnsi"/>
      <w:szCs w:val="22"/>
      <w:lang w:eastAsia="sl-SI"/>
    </w:rPr>
  </w:style>
  <w:style w:type="paragraph" w:styleId="Kazalovsebine3">
    <w:name w:val="toc 3"/>
    <w:basedOn w:val="Navaden"/>
    <w:next w:val="Navaden"/>
    <w:autoRedefine/>
    <w:uiPriority w:val="39"/>
    <w:unhideWhenUsed/>
    <w:rsid w:val="00E70227"/>
    <w:pPr>
      <w:spacing w:after="100" w:line="259" w:lineRule="auto"/>
      <w:ind w:left="440"/>
    </w:pPr>
    <w:rPr>
      <w:rFonts w:asciiTheme="minorHAnsi" w:eastAsiaTheme="minorEastAsia" w:hAnsiTheme="minorHAnsi"/>
      <w:szCs w:val="22"/>
      <w:lang w:eastAsia="sl-SI"/>
    </w:rPr>
  </w:style>
  <w:style w:type="paragraph" w:styleId="Zadevapripombe">
    <w:name w:val="annotation subject"/>
    <w:basedOn w:val="Pripombabesedilo"/>
    <w:next w:val="Pripombabesedilo"/>
    <w:link w:val="ZadevapripombeZnak"/>
    <w:uiPriority w:val="99"/>
    <w:semiHidden/>
    <w:unhideWhenUsed/>
    <w:rsid w:val="00C36837"/>
    <w:pPr>
      <w:spacing w:after="0"/>
    </w:pPr>
    <w:rPr>
      <w:rFonts w:ascii="Arial" w:eastAsia="Times New Roman" w:hAnsi="Arial" w:cs="Times New Roman"/>
      <w:b/>
      <w:bCs/>
    </w:rPr>
  </w:style>
  <w:style w:type="character" w:customStyle="1" w:styleId="ZadevapripombeZnak">
    <w:name w:val="Zadeva pripombe Znak"/>
    <w:basedOn w:val="PripombabesediloZnak"/>
    <w:link w:val="Zadevapripombe"/>
    <w:uiPriority w:val="99"/>
    <w:semiHidden/>
    <w:rsid w:val="00C36837"/>
    <w:rPr>
      <w:rFonts w:ascii="Arial" w:eastAsia="Times New Roman" w:hAnsi="Arial" w:cs="Times New Roman"/>
      <w:b/>
      <w:bCs/>
      <w:sz w:val="20"/>
      <w:szCs w:val="20"/>
    </w:rPr>
  </w:style>
  <w:style w:type="paragraph" w:customStyle="1" w:styleId="tbl-norm">
    <w:name w:val="tbl-norm"/>
    <w:basedOn w:val="Navaden"/>
    <w:rsid w:val="00D42D7B"/>
    <w:pPr>
      <w:spacing w:before="100" w:beforeAutospacing="1" w:after="100" w:afterAutospacing="1"/>
    </w:pPr>
    <w:rPr>
      <w:rFonts w:ascii="Times New Roman" w:hAnsi="Times New Roman"/>
      <w:sz w:val="24"/>
      <w:lang w:eastAsia="sl-SI"/>
    </w:rPr>
  </w:style>
  <w:style w:type="paragraph" w:styleId="Sprotnaopomba-besedilo">
    <w:name w:val="footnote text"/>
    <w:aliases w:val=" Znak5,Znak5 Znak Znak,Znak5 Znak Znak Znak Znak, Char Char,Sprotna opomba - besedilo Znak1,Sprotna opomba - besedilo Znak Znak2,Sprotna opomba - besedilo Znak1 Znak Znak1,Sprotna opomba - besedilo Znak1 Znak Znak Znak,fn"/>
    <w:basedOn w:val="Navaden"/>
    <w:link w:val="Sprotnaopomba-besediloZnak"/>
    <w:uiPriority w:val="99"/>
    <w:unhideWhenUsed/>
    <w:qFormat/>
    <w:rsid w:val="0067131F"/>
    <w:rPr>
      <w:sz w:val="20"/>
      <w:szCs w:val="20"/>
    </w:rPr>
  </w:style>
  <w:style w:type="character" w:customStyle="1" w:styleId="Sprotnaopomba-besediloZnak">
    <w:name w:val="Sprotna opomba - besedilo Znak"/>
    <w:aliases w:val=" Znak5 Znak,Znak5 Znak Znak Znak,Znak5 Znak Znak Znak Znak Znak, Char Char Znak,Sprotna opomba - besedilo Znak1 Znak,Sprotna opomba - besedilo Znak Znak2 Znak,Sprotna opomba - besedilo Znak1 Znak Znak1 Znak,fn Znak"/>
    <w:basedOn w:val="Privzetapisavaodstavka"/>
    <w:link w:val="Sprotnaopomba-besedilo"/>
    <w:uiPriority w:val="99"/>
    <w:rsid w:val="0067131F"/>
    <w:rPr>
      <w:rFonts w:ascii="Arial" w:eastAsia="Times New Roman" w:hAnsi="Arial" w:cs="Times New Roman"/>
      <w:sz w:val="20"/>
      <w:szCs w:val="20"/>
    </w:rPr>
  </w:style>
  <w:style w:type="character" w:styleId="Sprotnaopomba-sklic">
    <w:name w:val="footnote reference"/>
    <w:aliases w:val="Footnote symbol,Fussnota,Footnote,Footnote reference number,note TESI,SUPERS,EN Footnote Reference,-E Fußnotenzeichen,Times 10 Point,Exposant 3 Point,E...,nota de rodapé,Footnote Reference_LVL6,Footnote Reference_LVL61,Footnot,fr"/>
    <w:basedOn w:val="Privzetapisavaodstavka"/>
    <w:uiPriority w:val="99"/>
    <w:unhideWhenUsed/>
    <w:qFormat/>
    <w:rsid w:val="0067131F"/>
    <w:rPr>
      <w:vertAlign w:val="superscript"/>
    </w:rPr>
  </w:style>
  <w:style w:type="paragraph" w:styleId="Revizija">
    <w:name w:val="Revision"/>
    <w:hidden/>
    <w:uiPriority w:val="99"/>
    <w:semiHidden/>
    <w:rsid w:val="0067292D"/>
    <w:pPr>
      <w:spacing w:after="0" w:line="240" w:lineRule="auto"/>
    </w:pPr>
    <w:rPr>
      <w:rFonts w:ascii="Arial" w:eastAsia="Times New Roman" w:hAnsi="Arial" w:cs="Times New Roman"/>
      <w:szCs w:val="24"/>
    </w:rPr>
  </w:style>
  <w:style w:type="paragraph" w:styleId="Besedilooblaka">
    <w:name w:val="Balloon Text"/>
    <w:basedOn w:val="Navaden"/>
    <w:link w:val="BesedilooblakaZnak"/>
    <w:uiPriority w:val="99"/>
    <w:semiHidden/>
    <w:unhideWhenUsed/>
    <w:rsid w:val="006D4078"/>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D4078"/>
    <w:rPr>
      <w:rFonts w:ascii="Segoe UI" w:eastAsia="Times New Roman" w:hAnsi="Segoe UI" w:cs="Segoe UI"/>
      <w:sz w:val="18"/>
      <w:szCs w:val="18"/>
    </w:rPr>
  </w:style>
  <w:style w:type="character" w:customStyle="1" w:styleId="OdstavekseznamaZnak">
    <w:name w:val="Odstavek seznama Znak"/>
    <w:aliases w:val="K1 Znak,Table of contents numbered Znak,Elenco num ARGEA Znak,body Znak,Odsek zoznamu2 Znak,Bulletpoints Znak,Lista viñetas Znak,List Paragraph compact Znak,Normal bullet 2 Znak,Paragraphe de liste 2 Znak,Reference list Znak"/>
    <w:link w:val="Odstavekseznama"/>
    <w:uiPriority w:val="34"/>
    <w:qFormat/>
    <w:locked/>
    <w:rsid w:val="008007AF"/>
    <w:rPr>
      <w:sz w:val="24"/>
      <w:szCs w:val="24"/>
    </w:rPr>
  </w:style>
  <w:style w:type="paragraph" w:styleId="Odstavekseznama">
    <w:name w:val="List Paragraph"/>
    <w:aliases w:val="K1,Table of contents numbered,Elenco num ARGEA,body,Odsek zoznamu2,Bulletpoints,Lista viñetas,List Paragraph compact,Normal bullet 2,Paragraphe de liste 2,Reference list,Bullet list,Numbered List,1st level - Bullet List Paragraph"/>
    <w:basedOn w:val="Navaden"/>
    <w:link w:val="OdstavekseznamaZnak"/>
    <w:uiPriority w:val="34"/>
    <w:qFormat/>
    <w:rsid w:val="008007AF"/>
    <w:pPr>
      <w:ind w:left="720"/>
      <w:contextualSpacing/>
    </w:pPr>
    <w:rPr>
      <w:rFonts w:asciiTheme="minorHAnsi" w:eastAsiaTheme="minorHAnsi" w:hAnsiTheme="minorHAnsi" w:cstheme="minorBidi"/>
      <w:sz w:val="24"/>
    </w:rPr>
  </w:style>
  <w:style w:type="paragraph" w:customStyle="1" w:styleId="ExhibitHeading4">
    <w:name w:val="Exhibit Heading 4"/>
    <w:basedOn w:val="Navaden"/>
    <w:next w:val="Telobesedila"/>
    <w:qFormat/>
    <w:rsid w:val="008007AF"/>
    <w:pPr>
      <w:keepNext/>
      <w:numPr>
        <w:ilvl w:val="3"/>
        <w:numId w:val="15"/>
      </w:numPr>
      <w:spacing w:after="160" w:line="0" w:lineRule="atLeast"/>
      <w:ind w:left="792" w:hanging="792"/>
      <w:jc w:val="both"/>
      <w:outlineLvl w:val="3"/>
    </w:pPr>
    <w:rPr>
      <w:rFonts w:asciiTheme="majorHAnsi" w:eastAsiaTheme="minorHAnsi" w:hAnsiTheme="majorHAnsi" w:cstheme="minorBidi"/>
      <w:i/>
      <w:color w:val="44546A" w:themeColor="text2"/>
      <w:sz w:val="28"/>
      <w:szCs w:val="20"/>
    </w:rPr>
  </w:style>
  <w:style w:type="paragraph" w:customStyle="1" w:styleId="ExhibitHeading5">
    <w:name w:val="Exhibit Heading 5"/>
    <w:basedOn w:val="ExhibitHeading4"/>
    <w:next w:val="Telobesedila"/>
    <w:qFormat/>
    <w:rsid w:val="008007AF"/>
    <w:pPr>
      <w:numPr>
        <w:ilvl w:val="4"/>
      </w:numPr>
      <w:ind w:left="864" w:hanging="864"/>
      <w:outlineLvl w:val="4"/>
    </w:pPr>
    <w:rPr>
      <w:sz w:val="24"/>
    </w:rPr>
  </w:style>
  <w:style w:type="paragraph" w:styleId="Telobesedila">
    <w:name w:val="Body Text"/>
    <w:basedOn w:val="Navaden"/>
    <w:link w:val="TelobesedilaZnak"/>
    <w:uiPriority w:val="99"/>
    <w:semiHidden/>
    <w:unhideWhenUsed/>
    <w:rsid w:val="008007AF"/>
    <w:pPr>
      <w:spacing w:after="120"/>
    </w:pPr>
  </w:style>
  <w:style w:type="character" w:customStyle="1" w:styleId="TelobesedilaZnak">
    <w:name w:val="Telo besedila Znak"/>
    <w:basedOn w:val="Privzetapisavaodstavka"/>
    <w:link w:val="Telobesedila"/>
    <w:uiPriority w:val="99"/>
    <w:semiHidden/>
    <w:rsid w:val="008007AF"/>
    <w:rPr>
      <w:rFonts w:ascii="Arial" w:eastAsia="Times New Roman" w:hAnsi="Arial" w:cs="Times New Roman"/>
      <w:szCs w:val="24"/>
    </w:rPr>
  </w:style>
  <w:style w:type="character" w:styleId="Nerazreenaomemba">
    <w:name w:val="Unresolved Mention"/>
    <w:basedOn w:val="Privzetapisavaodstavka"/>
    <w:uiPriority w:val="99"/>
    <w:semiHidden/>
    <w:unhideWhenUsed/>
    <w:rsid w:val="00231B90"/>
    <w:rPr>
      <w:color w:val="605E5C"/>
      <w:shd w:val="clear" w:color="auto" w:fill="E1DFDD"/>
    </w:rPr>
  </w:style>
  <w:style w:type="paragraph" w:customStyle="1" w:styleId="Default">
    <w:name w:val="Default"/>
    <w:rsid w:val="007D1380"/>
    <w:pPr>
      <w:autoSpaceDE w:val="0"/>
      <w:autoSpaceDN w:val="0"/>
      <w:adjustRightInd w:val="0"/>
      <w:spacing w:after="0" w:line="240" w:lineRule="auto"/>
    </w:pPr>
    <w:rPr>
      <w:rFonts w:ascii="DMELOP+ArialNarrow" w:hAnsi="DMELOP+ArialNarrow" w:cs="DMELOP+ArialNarro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99253">
      <w:bodyDiv w:val="1"/>
      <w:marLeft w:val="0"/>
      <w:marRight w:val="0"/>
      <w:marTop w:val="0"/>
      <w:marBottom w:val="0"/>
      <w:divBdr>
        <w:top w:val="none" w:sz="0" w:space="0" w:color="auto"/>
        <w:left w:val="none" w:sz="0" w:space="0" w:color="auto"/>
        <w:bottom w:val="none" w:sz="0" w:space="0" w:color="auto"/>
        <w:right w:val="none" w:sz="0" w:space="0" w:color="auto"/>
      </w:divBdr>
    </w:div>
    <w:div w:id="109974523">
      <w:bodyDiv w:val="1"/>
      <w:marLeft w:val="0"/>
      <w:marRight w:val="0"/>
      <w:marTop w:val="0"/>
      <w:marBottom w:val="0"/>
      <w:divBdr>
        <w:top w:val="none" w:sz="0" w:space="0" w:color="auto"/>
        <w:left w:val="none" w:sz="0" w:space="0" w:color="auto"/>
        <w:bottom w:val="none" w:sz="0" w:space="0" w:color="auto"/>
        <w:right w:val="none" w:sz="0" w:space="0" w:color="auto"/>
      </w:divBdr>
    </w:div>
    <w:div w:id="256445495">
      <w:bodyDiv w:val="1"/>
      <w:marLeft w:val="0"/>
      <w:marRight w:val="0"/>
      <w:marTop w:val="0"/>
      <w:marBottom w:val="0"/>
      <w:divBdr>
        <w:top w:val="none" w:sz="0" w:space="0" w:color="auto"/>
        <w:left w:val="none" w:sz="0" w:space="0" w:color="auto"/>
        <w:bottom w:val="none" w:sz="0" w:space="0" w:color="auto"/>
        <w:right w:val="none" w:sz="0" w:space="0" w:color="auto"/>
      </w:divBdr>
    </w:div>
    <w:div w:id="360934048">
      <w:bodyDiv w:val="1"/>
      <w:marLeft w:val="0"/>
      <w:marRight w:val="0"/>
      <w:marTop w:val="0"/>
      <w:marBottom w:val="0"/>
      <w:divBdr>
        <w:top w:val="none" w:sz="0" w:space="0" w:color="auto"/>
        <w:left w:val="none" w:sz="0" w:space="0" w:color="auto"/>
        <w:bottom w:val="none" w:sz="0" w:space="0" w:color="auto"/>
        <w:right w:val="none" w:sz="0" w:space="0" w:color="auto"/>
      </w:divBdr>
    </w:div>
    <w:div w:id="430590168">
      <w:bodyDiv w:val="1"/>
      <w:marLeft w:val="0"/>
      <w:marRight w:val="0"/>
      <w:marTop w:val="0"/>
      <w:marBottom w:val="0"/>
      <w:divBdr>
        <w:top w:val="none" w:sz="0" w:space="0" w:color="auto"/>
        <w:left w:val="none" w:sz="0" w:space="0" w:color="auto"/>
        <w:bottom w:val="none" w:sz="0" w:space="0" w:color="auto"/>
        <w:right w:val="none" w:sz="0" w:space="0" w:color="auto"/>
      </w:divBdr>
    </w:div>
    <w:div w:id="475337829">
      <w:bodyDiv w:val="1"/>
      <w:marLeft w:val="0"/>
      <w:marRight w:val="0"/>
      <w:marTop w:val="0"/>
      <w:marBottom w:val="0"/>
      <w:divBdr>
        <w:top w:val="none" w:sz="0" w:space="0" w:color="auto"/>
        <w:left w:val="none" w:sz="0" w:space="0" w:color="auto"/>
        <w:bottom w:val="none" w:sz="0" w:space="0" w:color="auto"/>
        <w:right w:val="none" w:sz="0" w:space="0" w:color="auto"/>
      </w:divBdr>
    </w:div>
    <w:div w:id="606625195">
      <w:bodyDiv w:val="1"/>
      <w:marLeft w:val="0"/>
      <w:marRight w:val="0"/>
      <w:marTop w:val="0"/>
      <w:marBottom w:val="0"/>
      <w:divBdr>
        <w:top w:val="none" w:sz="0" w:space="0" w:color="auto"/>
        <w:left w:val="none" w:sz="0" w:space="0" w:color="auto"/>
        <w:bottom w:val="none" w:sz="0" w:space="0" w:color="auto"/>
        <w:right w:val="none" w:sz="0" w:space="0" w:color="auto"/>
      </w:divBdr>
    </w:div>
    <w:div w:id="644701733">
      <w:bodyDiv w:val="1"/>
      <w:marLeft w:val="0"/>
      <w:marRight w:val="0"/>
      <w:marTop w:val="0"/>
      <w:marBottom w:val="0"/>
      <w:divBdr>
        <w:top w:val="none" w:sz="0" w:space="0" w:color="auto"/>
        <w:left w:val="none" w:sz="0" w:space="0" w:color="auto"/>
        <w:bottom w:val="none" w:sz="0" w:space="0" w:color="auto"/>
        <w:right w:val="none" w:sz="0" w:space="0" w:color="auto"/>
      </w:divBdr>
    </w:div>
    <w:div w:id="646128205">
      <w:bodyDiv w:val="1"/>
      <w:marLeft w:val="0"/>
      <w:marRight w:val="0"/>
      <w:marTop w:val="0"/>
      <w:marBottom w:val="0"/>
      <w:divBdr>
        <w:top w:val="none" w:sz="0" w:space="0" w:color="auto"/>
        <w:left w:val="none" w:sz="0" w:space="0" w:color="auto"/>
        <w:bottom w:val="none" w:sz="0" w:space="0" w:color="auto"/>
        <w:right w:val="none" w:sz="0" w:space="0" w:color="auto"/>
      </w:divBdr>
    </w:div>
    <w:div w:id="667442437">
      <w:bodyDiv w:val="1"/>
      <w:marLeft w:val="0"/>
      <w:marRight w:val="0"/>
      <w:marTop w:val="0"/>
      <w:marBottom w:val="0"/>
      <w:divBdr>
        <w:top w:val="none" w:sz="0" w:space="0" w:color="auto"/>
        <w:left w:val="none" w:sz="0" w:space="0" w:color="auto"/>
        <w:bottom w:val="none" w:sz="0" w:space="0" w:color="auto"/>
        <w:right w:val="none" w:sz="0" w:space="0" w:color="auto"/>
      </w:divBdr>
    </w:div>
    <w:div w:id="743575916">
      <w:bodyDiv w:val="1"/>
      <w:marLeft w:val="0"/>
      <w:marRight w:val="0"/>
      <w:marTop w:val="0"/>
      <w:marBottom w:val="0"/>
      <w:divBdr>
        <w:top w:val="none" w:sz="0" w:space="0" w:color="auto"/>
        <w:left w:val="none" w:sz="0" w:space="0" w:color="auto"/>
        <w:bottom w:val="none" w:sz="0" w:space="0" w:color="auto"/>
        <w:right w:val="none" w:sz="0" w:space="0" w:color="auto"/>
      </w:divBdr>
    </w:div>
    <w:div w:id="838811759">
      <w:bodyDiv w:val="1"/>
      <w:marLeft w:val="0"/>
      <w:marRight w:val="0"/>
      <w:marTop w:val="0"/>
      <w:marBottom w:val="0"/>
      <w:divBdr>
        <w:top w:val="none" w:sz="0" w:space="0" w:color="auto"/>
        <w:left w:val="none" w:sz="0" w:space="0" w:color="auto"/>
        <w:bottom w:val="none" w:sz="0" w:space="0" w:color="auto"/>
        <w:right w:val="none" w:sz="0" w:space="0" w:color="auto"/>
      </w:divBdr>
      <w:divsChild>
        <w:div w:id="415053249">
          <w:marLeft w:val="0"/>
          <w:marRight w:val="0"/>
          <w:marTop w:val="0"/>
          <w:marBottom w:val="120"/>
          <w:divBdr>
            <w:top w:val="none" w:sz="0" w:space="0" w:color="auto"/>
            <w:left w:val="none" w:sz="0" w:space="0" w:color="auto"/>
            <w:bottom w:val="none" w:sz="0" w:space="0" w:color="auto"/>
            <w:right w:val="none" w:sz="0" w:space="0" w:color="auto"/>
          </w:divBdr>
        </w:div>
      </w:divsChild>
    </w:div>
    <w:div w:id="1035733438">
      <w:bodyDiv w:val="1"/>
      <w:marLeft w:val="0"/>
      <w:marRight w:val="0"/>
      <w:marTop w:val="0"/>
      <w:marBottom w:val="0"/>
      <w:divBdr>
        <w:top w:val="none" w:sz="0" w:space="0" w:color="auto"/>
        <w:left w:val="none" w:sz="0" w:space="0" w:color="auto"/>
        <w:bottom w:val="none" w:sz="0" w:space="0" w:color="auto"/>
        <w:right w:val="none" w:sz="0" w:space="0" w:color="auto"/>
      </w:divBdr>
    </w:div>
    <w:div w:id="1061028041">
      <w:bodyDiv w:val="1"/>
      <w:marLeft w:val="0"/>
      <w:marRight w:val="0"/>
      <w:marTop w:val="0"/>
      <w:marBottom w:val="0"/>
      <w:divBdr>
        <w:top w:val="none" w:sz="0" w:space="0" w:color="auto"/>
        <w:left w:val="none" w:sz="0" w:space="0" w:color="auto"/>
        <w:bottom w:val="none" w:sz="0" w:space="0" w:color="auto"/>
        <w:right w:val="none" w:sz="0" w:space="0" w:color="auto"/>
      </w:divBdr>
    </w:div>
    <w:div w:id="1187988943">
      <w:bodyDiv w:val="1"/>
      <w:marLeft w:val="0"/>
      <w:marRight w:val="0"/>
      <w:marTop w:val="0"/>
      <w:marBottom w:val="0"/>
      <w:divBdr>
        <w:top w:val="none" w:sz="0" w:space="0" w:color="auto"/>
        <w:left w:val="none" w:sz="0" w:space="0" w:color="auto"/>
        <w:bottom w:val="none" w:sz="0" w:space="0" w:color="auto"/>
        <w:right w:val="none" w:sz="0" w:space="0" w:color="auto"/>
      </w:divBdr>
    </w:div>
    <w:div w:id="1300842473">
      <w:bodyDiv w:val="1"/>
      <w:marLeft w:val="0"/>
      <w:marRight w:val="0"/>
      <w:marTop w:val="0"/>
      <w:marBottom w:val="0"/>
      <w:divBdr>
        <w:top w:val="none" w:sz="0" w:space="0" w:color="auto"/>
        <w:left w:val="none" w:sz="0" w:space="0" w:color="auto"/>
        <w:bottom w:val="none" w:sz="0" w:space="0" w:color="auto"/>
        <w:right w:val="none" w:sz="0" w:space="0" w:color="auto"/>
      </w:divBdr>
    </w:div>
    <w:div w:id="1319647691">
      <w:bodyDiv w:val="1"/>
      <w:marLeft w:val="0"/>
      <w:marRight w:val="0"/>
      <w:marTop w:val="0"/>
      <w:marBottom w:val="0"/>
      <w:divBdr>
        <w:top w:val="none" w:sz="0" w:space="0" w:color="auto"/>
        <w:left w:val="none" w:sz="0" w:space="0" w:color="auto"/>
        <w:bottom w:val="none" w:sz="0" w:space="0" w:color="auto"/>
        <w:right w:val="none" w:sz="0" w:space="0" w:color="auto"/>
      </w:divBdr>
    </w:div>
    <w:div w:id="1439057366">
      <w:bodyDiv w:val="1"/>
      <w:marLeft w:val="0"/>
      <w:marRight w:val="0"/>
      <w:marTop w:val="0"/>
      <w:marBottom w:val="0"/>
      <w:divBdr>
        <w:top w:val="none" w:sz="0" w:space="0" w:color="auto"/>
        <w:left w:val="none" w:sz="0" w:space="0" w:color="auto"/>
        <w:bottom w:val="none" w:sz="0" w:space="0" w:color="auto"/>
        <w:right w:val="none" w:sz="0" w:space="0" w:color="auto"/>
      </w:divBdr>
    </w:div>
    <w:div w:id="1472211349">
      <w:bodyDiv w:val="1"/>
      <w:marLeft w:val="0"/>
      <w:marRight w:val="0"/>
      <w:marTop w:val="0"/>
      <w:marBottom w:val="0"/>
      <w:divBdr>
        <w:top w:val="none" w:sz="0" w:space="0" w:color="auto"/>
        <w:left w:val="none" w:sz="0" w:space="0" w:color="auto"/>
        <w:bottom w:val="none" w:sz="0" w:space="0" w:color="auto"/>
        <w:right w:val="none" w:sz="0" w:space="0" w:color="auto"/>
      </w:divBdr>
    </w:div>
    <w:div w:id="1491025636">
      <w:bodyDiv w:val="1"/>
      <w:marLeft w:val="0"/>
      <w:marRight w:val="0"/>
      <w:marTop w:val="0"/>
      <w:marBottom w:val="0"/>
      <w:divBdr>
        <w:top w:val="none" w:sz="0" w:space="0" w:color="auto"/>
        <w:left w:val="none" w:sz="0" w:space="0" w:color="auto"/>
        <w:bottom w:val="none" w:sz="0" w:space="0" w:color="auto"/>
        <w:right w:val="none" w:sz="0" w:space="0" w:color="auto"/>
      </w:divBdr>
    </w:div>
    <w:div w:id="1512256918">
      <w:bodyDiv w:val="1"/>
      <w:marLeft w:val="0"/>
      <w:marRight w:val="0"/>
      <w:marTop w:val="0"/>
      <w:marBottom w:val="0"/>
      <w:divBdr>
        <w:top w:val="none" w:sz="0" w:space="0" w:color="auto"/>
        <w:left w:val="none" w:sz="0" w:space="0" w:color="auto"/>
        <w:bottom w:val="none" w:sz="0" w:space="0" w:color="auto"/>
        <w:right w:val="none" w:sz="0" w:space="0" w:color="auto"/>
      </w:divBdr>
    </w:div>
    <w:div w:id="1518034354">
      <w:bodyDiv w:val="1"/>
      <w:marLeft w:val="0"/>
      <w:marRight w:val="0"/>
      <w:marTop w:val="0"/>
      <w:marBottom w:val="0"/>
      <w:divBdr>
        <w:top w:val="none" w:sz="0" w:space="0" w:color="auto"/>
        <w:left w:val="none" w:sz="0" w:space="0" w:color="auto"/>
        <w:bottom w:val="none" w:sz="0" w:space="0" w:color="auto"/>
        <w:right w:val="none" w:sz="0" w:space="0" w:color="auto"/>
      </w:divBdr>
    </w:div>
    <w:div w:id="1562212630">
      <w:bodyDiv w:val="1"/>
      <w:marLeft w:val="0"/>
      <w:marRight w:val="0"/>
      <w:marTop w:val="0"/>
      <w:marBottom w:val="0"/>
      <w:divBdr>
        <w:top w:val="none" w:sz="0" w:space="0" w:color="auto"/>
        <w:left w:val="none" w:sz="0" w:space="0" w:color="auto"/>
        <w:bottom w:val="none" w:sz="0" w:space="0" w:color="auto"/>
        <w:right w:val="none" w:sz="0" w:space="0" w:color="auto"/>
      </w:divBdr>
    </w:div>
    <w:div w:id="1609433842">
      <w:bodyDiv w:val="1"/>
      <w:marLeft w:val="0"/>
      <w:marRight w:val="0"/>
      <w:marTop w:val="0"/>
      <w:marBottom w:val="0"/>
      <w:divBdr>
        <w:top w:val="none" w:sz="0" w:space="0" w:color="auto"/>
        <w:left w:val="none" w:sz="0" w:space="0" w:color="auto"/>
        <w:bottom w:val="none" w:sz="0" w:space="0" w:color="auto"/>
        <w:right w:val="none" w:sz="0" w:space="0" w:color="auto"/>
      </w:divBdr>
    </w:div>
    <w:div w:id="1695224042">
      <w:bodyDiv w:val="1"/>
      <w:marLeft w:val="0"/>
      <w:marRight w:val="0"/>
      <w:marTop w:val="0"/>
      <w:marBottom w:val="0"/>
      <w:divBdr>
        <w:top w:val="none" w:sz="0" w:space="0" w:color="auto"/>
        <w:left w:val="none" w:sz="0" w:space="0" w:color="auto"/>
        <w:bottom w:val="none" w:sz="0" w:space="0" w:color="auto"/>
        <w:right w:val="none" w:sz="0" w:space="0" w:color="auto"/>
      </w:divBdr>
    </w:div>
    <w:div w:id="1865553113">
      <w:bodyDiv w:val="1"/>
      <w:marLeft w:val="0"/>
      <w:marRight w:val="0"/>
      <w:marTop w:val="0"/>
      <w:marBottom w:val="0"/>
      <w:divBdr>
        <w:top w:val="none" w:sz="0" w:space="0" w:color="auto"/>
        <w:left w:val="none" w:sz="0" w:space="0" w:color="auto"/>
        <w:bottom w:val="none" w:sz="0" w:space="0" w:color="auto"/>
        <w:right w:val="none" w:sz="0" w:space="0" w:color="auto"/>
      </w:divBdr>
    </w:div>
    <w:div w:id="1949386109">
      <w:bodyDiv w:val="1"/>
      <w:marLeft w:val="0"/>
      <w:marRight w:val="0"/>
      <w:marTop w:val="0"/>
      <w:marBottom w:val="0"/>
      <w:divBdr>
        <w:top w:val="none" w:sz="0" w:space="0" w:color="auto"/>
        <w:left w:val="none" w:sz="0" w:space="0" w:color="auto"/>
        <w:bottom w:val="none" w:sz="0" w:space="0" w:color="auto"/>
        <w:right w:val="none" w:sz="0" w:space="0" w:color="auto"/>
      </w:divBdr>
    </w:div>
    <w:div w:id="2000621229">
      <w:bodyDiv w:val="1"/>
      <w:marLeft w:val="0"/>
      <w:marRight w:val="0"/>
      <w:marTop w:val="0"/>
      <w:marBottom w:val="0"/>
      <w:divBdr>
        <w:top w:val="none" w:sz="0" w:space="0" w:color="auto"/>
        <w:left w:val="none" w:sz="0" w:space="0" w:color="auto"/>
        <w:bottom w:val="none" w:sz="0" w:space="0" w:color="auto"/>
        <w:right w:val="none" w:sz="0" w:space="0" w:color="auto"/>
      </w:divBdr>
    </w:div>
    <w:div w:id="204474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radni-list.si/glasilo-uradni-list-rs/vsebina/2023-01-3596" TargetMode="External"/><Relationship Id="rId4" Type="http://schemas.openxmlformats.org/officeDocument/2006/relationships/settings" Target="settings.xml"/><Relationship Id="rId9" Type="http://schemas.openxmlformats.org/officeDocument/2006/relationships/hyperlink" Target="https://www.uradni-list.si/glasilo-uradni-list-rs/vsebina/2023-01-0403/uredba-o-izvajanju-uredb-eu-in-euratom-na-podrocju-izvajanja-evropske-kohezijske-politike-v-obdobju-2021-2027-za-cilj-nalozbe-za-rast-in-delovna-mesta/"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fi-compass.eu/library/market-analysis/esf-study-workers-buyout-slovenia" TargetMode="External"/><Relationship Id="rId1" Type="http://schemas.openxmlformats.org/officeDocument/2006/relationships/hyperlink" Target="https://evropskasredstva.si/app/uploads/2022/10/Predhodne-ocene-SI-PO2021_2027.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71DA3D9-D7D6-4CE7-A18E-A0D9CE940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2539</Words>
  <Characters>14473</Characters>
  <Application>Microsoft Office Word</Application>
  <DocSecurity>0</DocSecurity>
  <Lines>120</Lines>
  <Paragraphs>33</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MGTŠ1</dc:creator>
  <cp:lastModifiedBy>Nina Klemenc</cp:lastModifiedBy>
  <cp:revision>3</cp:revision>
  <cp:lastPrinted>2024-09-18T12:53:00Z</cp:lastPrinted>
  <dcterms:created xsi:type="dcterms:W3CDTF">2025-08-14T05:38:00Z</dcterms:created>
  <dcterms:modified xsi:type="dcterms:W3CDTF">2025-08-18T09:57:00Z</dcterms:modified>
</cp:coreProperties>
</file>