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202F" w14:textId="77777777" w:rsidR="00BD6A1D" w:rsidRPr="00BD6A1D" w:rsidRDefault="005628CE" w:rsidP="00F713B9">
      <w:pPr>
        <w:pStyle w:val="Glava"/>
        <w:tabs>
          <w:tab w:val="left" w:pos="5103"/>
        </w:tabs>
        <w:spacing w:line="26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5DB452DC" w14:textId="77777777" w:rsidR="00BD6A1D" w:rsidRPr="00BD6A1D" w:rsidRDefault="00BD6A1D" w:rsidP="00F713B9">
      <w:pPr>
        <w:pStyle w:val="Glava"/>
        <w:tabs>
          <w:tab w:val="left" w:pos="5112"/>
        </w:tabs>
        <w:spacing w:line="260" w:lineRule="exact"/>
        <w:ind w:left="5103"/>
        <w:rPr>
          <w:rFonts w:cs="Arial"/>
          <w:sz w:val="16"/>
          <w:szCs w:val="16"/>
        </w:rPr>
      </w:pPr>
      <w:r w:rsidRPr="00BD6A1D">
        <w:rPr>
          <w:rFonts w:cs="Arial"/>
          <w:sz w:val="16"/>
          <w:szCs w:val="16"/>
        </w:rPr>
        <w:t xml:space="preserve">F: 01 369 78 32 </w:t>
      </w:r>
    </w:p>
    <w:p w14:paraId="69DBAD11" w14:textId="77777777" w:rsidR="007C6CA2" w:rsidRDefault="00BD6A1D" w:rsidP="00F713B9">
      <w:pPr>
        <w:pStyle w:val="Glava"/>
        <w:tabs>
          <w:tab w:val="left" w:pos="5112"/>
        </w:tabs>
        <w:spacing w:line="260" w:lineRule="exact"/>
        <w:ind w:left="5103"/>
        <w:rPr>
          <w:rFonts w:cs="Arial"/>
          <w:sz w:val="16"/>
          <w:szCs w:val="16"/>
        </w:rPr>
      </w:pPr>
      <w:r w:rsidRPr="00BD6A1D">
        <w:rPr>
          <w:rFonts w:cs="Arial"/>
          <w:sz w:val="16"/>
          <w:szCs w:val="16"/>
        </w:rPr>
        <w:tab/>
        <w:t xml:space="preserve">E: gp.mddsz@gov.si </w:t>
      </w:r>
    </w:p>
    <w:p w14:paraId="2B8B5BA4" w14:textId="77777777" w:rsidR="00BD6A1D" w:rsidRDefault="008C08BD" w:rsidP="00F713B9">
      <w:pPr>
        <w:pStyle w:val="Glava"/>
        <w:tabs>
          <w:tab w:val="left" w:pos="5112"/>
        </w:tabs>
        <w:spacing w:line="260" w:lineRule="exact"/>
        <w:ind w:left="5103"/>
        <w:rPr>
          <w:rFonts w:cs="Arial"/>
          <w:sz w:val="16"/>
          <w:szCs w:val="16"/>
        </w:rPr>
      </w:pPr>
      <w:hyperlink r:id="rId8" w:history="1">
        <w:r w:rsidR="007C6CA2" w:rsidRPr="006D4200">
          <w:rPr>
            <w:rStyle w:val="Hiperpovezava"/>
            <w:rFonts w:cs="Arial"/>
            <w:sz w:val="16"/>
            <w:szCs w:val="16"/>
          </w:rPr>
          <w:t>www.mddsz.gov.si</w:t>
        </w:r>
      </w:hyperlink>
    </w:p>
    <w:p w14:paraId="1C475CBA" w14:textId="77777777" w:rsidR="00BD6A1D" w:rsidRPr="00BD6A1D" w:rsidRDefault="00BD6A1D" w:rsidP="00F713B9">
      <w:pPr>
        <w:pStyle w:val="Glava"/>
        <w:tabs>
          <w:tab w:val="left" w:pos="5112"/>
        </w:tabs>
        <w:spacing w:line="26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4C4424" w14:textId="77777777" w:rsidTr="00BD6A1D">
        <w:trPr>
          <w:gridAfter w:val="2"/>
          <w:wAfter w:w="3067" w:type="dxa"/>
        </w:trPr>
        <w:tc>
          <w:tcPr>
            <w:tcW w:w="6096" w:type="dxa"/>
            <w:gridSpan w:val="2"/>
          </w:tcPr>
          <w:p w14:paraId="78BCFD3F" w14:textId="649CB6D3" w:rsidR="00AE1F83" w:rsidRPr="00861661" w:rsidRDefault="00AE1F83" w:rsidP="00F713B9">
            <w:pPr>
              <w:overflowPunct w:val="0"/>
              <w:autoSpaceDE w:val="0"/>
              <w:autoSpaceDN w:val="0"/>
              <w:adjustRightInd w:val="0"/>
              <w:spacing w:after="0" w:line="260" w:lineRule="exact"/>
              <w:textAlignment w:val="baseline"/>
              <w:rPr>
                <w:rFonts w:eastAsia="Times New Roman" w:cs="Arial"/>
                <w:szCs w:val="20"/>
                <w:lang w:eastAsia="sl-SI"/>
              </w:rPr>
            </w:pPr>
            <w:r w:rsidRPr="00861661">
              <w:rPr>
                <w:rFonts w:eastAsia="Times New Roman" w:cs="Arial"/>
                <w:szCs w:val="20"/>
                <w:lang w:eastAsia="sl-SI"/>
              </w:rPr>
              <w:t>Številka:</w:t>
            </w:r>
            <w:r w:rsidR="00533760" w:rsidRPr="00861661">
              <w:rPr>
                <w:rFonts w:eastAsia="Times New Roman" w:cs="Arial"/>
                <w:szCs w:val="20"/>
                <w:lang w:eastAsia="sl-SI"/>
              </w:rPr>
              <w:t xml:space="preserve"> </w:t>
            </w:r>
            <w:r w:rsidR="004F1DD1" w:rsidRPr="00861661">
              <w:rPr>
                <w:rFonts w:cs="Arial"/>
              </w:rPr>
              <w:t>5440-4/2025-2611</w:t>
            </w:r>
            <w:r w:rsidR="004F1DD1" w:rsidRPr="00A67B33">
              <w:rPr>
                <w:rFonts w:cs="Arial"/>
              </w:rPr>
              <w:t>-</w:t>
            </w:r>
            <w:r w:rsidR="008C08BD">
              <w:rPr>
                <w:rFonts w:cs="Arial"/>
              </w:rPr>
              <w:t>8</w:t>
            </w:r>
          </w:p>
        </w:tc>
      </w:tr>
      <w:tr w:rsidR="00AE1F83" w:rsidRPr="00AE1F83" w14:paraId="50E1D1B5" w14:textId="77777777" w:rsidTr="00BD6A1D">
        <w:trPr>
          <w:gridAfter w:val="2"/>
          <w:wAfter w:w="3067" w:type="dxa"/>
        </w:trPr>
        <w:tc>
          <w:tcPr>
            <w:tcW w:w="6096" w:type="dxa"/>
            <w:gridSpan w:val="2"/>
          </w:tcPr>
          <w:p w14:paraId="59DEBC12" w14:textId="40641525" w:rsidR="00AE1F83" w:rsidRPr="00861661" w:rsidRDefault="00AE1F83" w:rsidP="00F713B9">
            <w:pPr>
              <w:overflowPunct w:val="0"/>
              <w:autoSpaceDE w:val="0"/>
              <w:autoSpaceDN w:val="0"/>
              <w:adjustRightInd w:val="0"/>
              <w:spacing w:after="0" w:line="260" w:lineRule="exact"/>
              <w:textAlignment w:val="baseline"/>
              <w:rPr>
                <w:rFonts w:eastAsia="Times New Roman" w:cs="Arial"/>
                <w:szCs w:val="20"/>
                <w:lang w:eastAsia="sl-SI"/>
              </w:rPr>
            </w:pPr>
            <w:r w:rsidRPr="00861661">
              <w:rPr>
                <w:rFonts w:eastAsia="Times New Roman" w:cs="Arial"/>
                <w:szCs w:val="20"/>
                <w:lang w:eastAsia="sl-SI"/>
              </w:rPr>
              <w:t xml:space="preserve">Ljubljana, </w:t>
            </w:r>
            <w:r w:rsidR="00A67B33">
              <w:rPr>
                <w:rFonts w:eastAsia="Times New Roman" w:cs="Arial"/>
                <w:szCs w:val="20"/>
                <w:lang w:eastAsia="sl-SI"/>
              </w:rPr>
              <w:t>1</w:t>
            </w:r>
            <w:r w:rsidR="008C08BD">
              <w:rPr>
                <w:rFonts w:eastAsia="Times New Roman" w:cs="Arial"/>
                <w:szCs w:val="20"/>
                <w:lang w:eastAsia="sl-SI"/>
              </w:rPr>
              <w:t>8</w:t>
            </w:r>
            <w:r w:rsidR="00861661" w:rsidRPr="00A67B33">
              <w:rPr>
                <w:rFonts w:eastAsia="Times New Roman" w:cs="Arial"/>
                <w:szCs w:val="20"/>
                <w:lang w:eastAsia="sl-SI"/>
              </w:rPr>
              <w:t xml:space="preserve">. </w:t>
            </w:r>
            <w:r w:rsidR="00A67B33">
              <w:rPr>
                <w:rFonts w:eastAsia="Times New Roman" w:cs="Arial"/>
                <w:szCs w:val="20"/>
                <w:lang w:eastAsia="sl-SI"/>
              </w:rPr>
              <w:t>8</w:t>
            </w:r>
            <w:r w:rsidR="00861661" w:rsidRPr="00861661">
              <w:rPr>
                <w:rFonts w:eastAsia="Times New Roman" w:cs="Arial"/>
                <w:szCs w:val="20"/>
                <w:lang w:eastAsia="sl-SI"/>
              </w:rPr>
              <w:t>. 2025</w:t>
            </w:r>
          </w:p>
        </w:tc>
      </w:tr>
      <w:tr w:rsidR="00AE1F83" w:rsidRPr="00AE1F83" w14:paraId="12CB3DC5" w14:textId="77777777" w:rsidTr="00BD6A1D">
        <w:trPr>
          <w:gridAfter w:val="2"/>
          <w:wAfter w:w="3067" w:type="dxa"/>
        </w:trPr>
        <w:tc>
          <w:tcPr>
            <w:tcW w:w="6096" w:type="dxa"/>
            <w:gridSpan w:val="2"/>
          </w:tcPr>
          <w:p w14:paraId="0236FE6D" w14:textId="08C20FF2" w:rsidR="00AE1F83" w:rsidRPr="00AE1F83" w:rsidRDefault="00AE1F83" w:rsidP="00F713B9">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43CDEC75" w14:textId="77777777" w:rsidTr="00BD6A1D">
        <w:trPr>
          <w:gridAfter w:val="2"/>
          <w:wAfter w:w="3067" w:type="dxa"/>
        </w:trPr>
        <w:tc>
          <w:tcPr>
            <w:tcW w:w="6096" w:type="dxa"/>
            <w:gridSpan w:val="2"/>
          </w:tcPr>
          <w:p w14:paraId="0D7A340E" w14:textId="77777777" w:rsidR="00AE1F83" w:rsidRPr="00AE1F83" w:rsidRDefault="00AE1F83" w:rsidP="00F713B9">
            <w:pPr>
              <w:spacing w:after="0" w:line="260" w:lineRule="exact"/>
              <w:rPr>
                <w:rFonts w:eastAsia="Times New Roman" w:cs="Arial"/>
                <w:szCs w:val="20"/>
              </w:rPr>
            </w:pPr>
            <w:r w:rsidRPr="00AE1F83">
              <w:rPr>
                <w:rFonts w:eastAsia="Times New Roman" w:cs="Arial"/>
                <w:szCs w:val="20"/>
              </w:rPr>
              <w:t>GENERALNI SEKRETARIAT VLADE REPUBLIKE SLOVENIJE</w:t>
            </w:r>
          </w:p>
          <w:p w14:paraId="3C4F2868" w14:textId="32035832" w:rsidR="00AE1F83" w:rsidRPr="00AE1F83" w:rsidRDefault="008C08BD" w:rsidP="00F713B9">
            <w:pPr>
              <w:spacing w:after="0" w:line="260" w:lineRule="exact"/>
              <w:rPr>
                <w:rFonts w:eastAsia="Times New Roman" w:cs="Arial"/>
                <w:szCs w:val="20"/>
              </w:rPr>
            </w:pPr>
            <w:hyperlink r:id="rId9" w:history="1">
              <w:r w:rsidR="00AE1F83" w:rsidRPr="00AE1F83">
                <w:rPr>
                  <w:rFonts w:eastAsia="Times New Roman"/>
                  <w:color w:val="0000FF"/>
                  <w:szCs w:val="20"/>
                  <w:u w:val="single"/>
                </w:rPr>
                <w:t>Gp.gs@gov.si</w:t>
              </w:r>
            </w:hyperlink>
          </w:p>
        </w:tc>
      </w:tr>
      <w:tr w:rsidR="00AE1F83" w:rsidRPr="00AE1F83" w14:paraId="4E01BA01" w14:textId="77777777" w:rsidTr="007C6CA2">
        <w:trPr>
          <w:trHeight w:val="477"/>
        </w:trPr>
        <w:tc>
          <w:tcPr>
            <w:tcW w:w="9163" w:type="dxa"/>
            <w:gridSpan w:val="4"/>
          </w:tcPr>
          <w:p w14:paraId="4DF513B4" w14:textId="5FFFE287" w:rsidR="00AE1F83" w:rsidRPr="00AE1F83" w:rsidRDefault="00AE1F83" w:rsidP="00F713B9">
            <w:pPr>
              <w:autoSpaceDE w:val="0"/>
              <w:autoSpaceDN w:val="0"/>
              <w:adjustRightInd w:val="0"/>
              <w:spacing w:line="260" w:lineRule="exact"/>
              <w:jc w:val="both"/>
              <w:rPr>
                <w:rFonts w:eastAsia="Times New Roman" w:cs="Arial"/>
                <w:b/>
                <w:szCs w:val="20"/>
                <w:lang w:eastAsia="sl-SI"/>
              </w:rPr>
            </w:pPr>
            <w:r w:rsidRPr="00AE1F83">
              <w:rPr>
                <w:rFonts w:eastAsia="Times New Roman" w:cs="Arial"/>
                <w:b/>
                <w:szCs w:val="20"/>
                <w:lang w:eastAsia="sl-SI"/>
              </w:rPr>
              <w:t xml:space="preserve">ZADEVA: </w:t>
            </w:r>
            <w:r w:rsidR="004F1DD1" w:rsidRPr="004F1DD1">
              <w:rPr>
                <w:rFonts w:eastAsia="Times New Roman" w:cs="Arial"/>
                <w:b/>
                <w:szCs w:val="20"/>
                <w:lang w:eastAsia="sl-SI"/>
              </w:rPr>
              <w:t xml:space="preserve">Predlog Načrta izvajanja finančnih instrumentov </w:t>
            </w:r>
            <w:r w:rsidR="004F1DD1">
              <w:rPr>
                <w:rFonts w:eastAsia="Times New Roman" w:cs="Arial"/>
                <w:b/>
                <w:szCs w:val="20"/>
                <w:lang w:eastAsia="sl-SI"/>
              </w:rPr>
              <w:t xml:space="preserve">Ministrstva za delo, družino, socialne zadeve in enake možnosti </w:t>
            </w:r>
            <w:r w:rsidR="004F1DD1" w:rsidRPr="004F1DD1">
              <w:rPr>
                <w:rFonts w:eastAsia="Times New Roman" w:cs="Arial"/>
                <w:b/>
                <w:szCs w:val="20"/>
                <w:lang w:eastAsia="sl-SI"/>
              </w:rPr>
              <w:t>za leti 2026 in 2027 programskega obdobja 2021–2027 - predlog za obravnavo</w:t>
            </w:r>
          </w:p>
        </w:tc>
      </w:tr>
      <w:tr w:rsidR="00AE1F83" w:rsidRPr="00AE1F83" w14:paraId="29DF1687" w14:textId="77777777" w:rsidTr="00BD6A1D">
        <w:tc>
          <w:tcPr>
            <w:tcW w:w="9163" w:type="dxa"/>
            <w:gridSpan w:val="4"/>
          </w:tcPr>
          <w:p w14:paraId="33499B7F" w14:textId="77777777" w:rsidR="00AE1F83" w:rsidRPr="00AE1F83" w:rsidRDefault="00AE1F83" w:rsidP="00F713B9">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09A054D7" w14:textId="77777777" w:rsidTr="00BD6A1D">
        <w:tc>
          <w:tcPr>
            <w:tcW w:w="9163" w:type="dxa"/>
            <w:gridSpan w:val="4"/>
          </w:tcPr>
          <w:p w14:paraId="0462053F" w14:textId="6328418E" w:rsidR="004F1DD1" w:rsidRPr="006445D5" w:rsidRDefault="004F1DD1" w:rsidP="004F1DD1">
            <w:pPr>
              <w:jc w:val="both"/>
              <w:rPr>
                <w:rFonts w:cs="Arial"/>
                <w:szCs w:val="20"/>
              </w:rPr>
            </w:pPr>
            <w:r w:rsidRPr="006445D5">
              <w:rPr>
                <w:rFonts w:cs="Arial"/>
                <w:szCs w:val="20"/>
              </w:rPr>
              <w:t>Na podlagi šestega odstavka 21. člena Zakona o Vladi Republike Slovenije (Uradni list RS, št. </w:t>
            </w:r>
            <w:hyperlink r:id="rId10" w:tgtFrame="_blank" w:tooltip="Zakon o Vladi Republike Slovenije (uradno prečiščeno besedilo) (ZVRS-UPB1)" w:history="1">
              <w:r w:rsidRPr="006445D5">
                <w:rPr>
                  <w:rFonts w:cs="Arial"/>
                  <w:szCs w:val="20"/>
                </w:rPr>
                <w:t>24/05</w:t>
              </w:r>
            </w:hyperlink>
            <w:r w:rsidRPr="006445D5">
              <w:rPr>
                <w:rFonts w:cs="Arial"/>
                <w:szCs w:val="20"/>
              </w:rPr>
              <w:t> – uradno prečiščeno besedilo, </w:t>
            </w:r>
            <w:hyperlink r:id="rId11" w:tgtFrame="_blank" w:tooltip="Zakon o dopolnitvi Zakona o Vladi Republike Slovenije (ZVRS-E)" w:history="1">
              <w:r w:rsidRPr="006445D5">
                <w:rPr>
                  <w:rFonts w:cs="Arial"/>
                  <w:szCs w:val="20"/>
                </w:rPr>
                <w:t>109/08</w:t>
              </w:r>
            </w:hyperlink>
            <w:r w:rsidRPr="006445D5">
              <w:rPr>
                <w:rFonts w:cs="Arial"/>
                <w:szCs w:val="20"/>
              </w:rPr>
              <w:t>, </w:t>
            </w:r>
            <w:hyperlink r:id="rId12" w:tgtFrame="_blank" w:tooltip="Zakon o upravljanju kapitalskih naložb Republike Slovenije (ZUKN)" w:history="1">
              <w:r w:rsidRPr="006445D5">
                <w:rPr>
                  <w:rFonts w:cs="Arial"/>
                  <w:szCs w:val="20"/>
                </w:rPr>
                <w:t>38/10</w:t>
              </w:r>
            </w:hyperlink>
            <w:r w:rsidRPr="006445D5">
              <w:rPr>
                <w:rFonts w:cs="Arial"/>
                <w:szCs w:val="20"/>
              </w:rPr>
              <w:t> – ZUKN, </w:t>
            </w:r>
            <w:hyperlink r:id="rId13" w:tgtFrame="_blank" w:tooltip="Zakon o spremembah in dopolnitvah Zakona o Vladi Republike Slovenije (ZVRS-F)" w:history="1">
              <w:r w:rsidRPr="006445D5">
                <w:rPr>
                  <w:rFonts w:cs="Arial"/>
                  <w:szCs w:val="20"/>
                </w:rPr>
                <w:t>8/12</w:t>
              </w:r>
            </w:hyperlink>
            <w:r w:rsidRPr="006445D5">
              <w:rPr>
                <w:rFonts w:cs="Arial"/>
                <w:szCs w:val="20"/>
              </w:rPr>
              <w:t>, </w:t>
            </w:r>
            <w:hyperlink r:id="rId14" w:tgtFrame="_blank" w:tooltip="Zakon o spremembah in dopolnitvah Zakona o Vladi Republike Slovenije (ZVRS-G)" w:history="1">
              <w:r w:rsidRPr="006445D5">
                <w:rPr>
                  <w:rFonts w:cs="Arial"/>
                  <w:szCs w:val="20"/>
                </w:rPr>
                <w:t>21/13</w:t>
              </w:r>
            </w:hyperlink>
            <w:r w:rsidRPr="006445D5">
              <w:rPr>
                <w:rFonts w:cs="Arial"/>
                <w:szCs w:val="20"/>
              </w:rPr>
              <w:t>, </w:t>
            </w:r>
            <w:hyperlink r:id="rId15" w:tgtFrame="_blank" w:tooltip="Zakon o spremembah in dopolnitvah Zakona o državni upravi (ZDU-1G)" w:history="1">
              <w:r w:rsidRPr="006445D5">
                <w:rPr>
                  <w:rFonts w:cs="Arial"/>
                  <w:szCs w:val="20"/>
                </w:rPr>
                <w:t>47/13</w:t>
              </w:r>
            </w:hyperlink>
            <w:r w:rsidRPr="006445D5">
              <w:rPr>
                <w:rFonts w:cs="Arial"/>
                <w:szCs w:val="20"/>
              </w:rPr>
              <w:t> – ZDU-1G, </w:t>
            </w:r>
            <w:hyperlink r:id="rId16" w:tgtFrame="_blank" w:tooltip="Zakon o spremembah in dopolnitvah Zakona o Vladi Republike Slovenije (ZVRS-H)" w:history="1">
              <w:r w:rsidRPr="006445D5">
                <w:rPr>
                  <w:rFonts w:cs="Arial"/>
                  <w:szCs w:val="20"/>
                </w:rPr>
                <w:t>65/14</w:t>
              </w:r>
            </w:hyperlink>
            <w:r w:rsidRPr="006445D5">
              <w:rPr>
                <w:rFonts w:cs="Arial"/>
                <w:szCs w:val="20"/>
              </w:rPr>
              <w:t>, </w:t>
            </w:r>
            <w:hyperlink r:id="rId17" w:tgtFrame="_blank" w:tooltip="Zakon o spremembi Zakona o Vladi Republike Slovenije (ZVRS-I)" w:history="1">
              <w:r w:rsidRPr="006445D5">
                <w:rPr>
                  <w:rFonts w:cs="Arial"/>
                  <w:szCs w:val="20"/>
                </w:rPr>
                <w:t>55/17</w:t>
              </w:r>
            </w:hyperlink>
            <w:r w:rsidRPr="006445D5">
              <w:rPr>
                <w:rFonts w:cs="Arial"/>
                <w:szCs w:val="20"/>
              </w:rPr>
              <w:t> in </w:t>
            </w:r>
            <w:hyperlink r:id="rId18" w:tgtFrame="_blank" w:tooltip="Zakon o spremembah Zakona o Vladi Republike Slovenije (ZVRS-J)" w:history="1">
              <w:r w:rsidRPr="006445D5">
                <w:rPr>
                  <w:rFonts w:cs="Arial"/>
                  <w:szCs w:val="20"/>
                </w:rPr>
                <w:t>163/22</w:t>
              </w:r>
            </w:hyperlink>
            <w:r w:rsidRPr="006445D5">
              <w:rPr>
                <w:rFonts w:cs="Arial"/>
                <w:szCs w:val="20"/>
              </w:rPr>
              <w:t>)</w:t>
            </w:r>
            <w:r w:rsidR="00321B97">
              <w:rPr>
                <w:rFonts w:cs="Arial"/>
                <w:szCs w:val="20"/>
              </w:rPr>
              <w:t>,</w:t>
            </w:r>
            <w:r w:rsidR="00616F33">
              <w:rPr>
                <w:rFonts w:cs="Arial"/>
                <w:szCs w:val="20"/>
              </w:rPr>
              <w:t xml:space="preserve"> </w:t>
            </w:r>
            <w:r w:rsidR="00321B97" w:rsidRPr="006445D5">
              <w:rPr>
                <w:rFonts w:cs="Arial"/>
                <w:szCs w:val="20"/>
              </w:rPr>
              <w:t>četrt</w:t>
            </w:r>
            <w:r w:rsidR="00321B97">
              <w:rPr>
                <w:rFonts w:cs="Arial"/>
                <w:szCs w:val="20"/>
              </w:rPr>
              <w:t>ega</w:t>
            </w:r>
            <w:r w:rsidR="00321B97" w:rsidRPr="006445D5">
              <w:rPr>
                <w:rFonts w:cs="Arial"/>
                <w:szCs w:val="20"/>
              </w:rPr>
              <w:t xml:space="preserve"> odstavk</w:t>
            </w:r>
            <w:r w:rsidR="00321B97">
              <w:rPr>
                <w:rFonts w:cs="Arial"/>
                <w:szCs w:val="20"/>
              </w:rPr>
              <w:t>a</w:t>
            </w:r>
            <w:r w:rsidR="00321B97" w:rsidRPr="006445D5">
              <w:rPr>
                <w:rFonts w:cs="Arial"/>
                <w:szCs w:val="20"/>
              </w:rPr>
              <w:t xml:space="preserve"> </w:t>
            </w:r>
            <w:r w:rsidRPr="006445D5">
              <w:rPr>
                <w:rFonts w:cs="Arial"/>
                <w:szCs w:val="20"/>
              </w:rPr>
              <w:t>13. člena Zakona o javnih financah (</w:t>
            </w:r>
            <w:r w:rsidRPr="00B53CBE">
              <w:rPr>
                <w:rFonts w:cs="Arial"/>
                <w:szCs w:val="20"/>
              </w:rPr>
              <w:t>Uradni list RS, št. 11/11 – uradno prečiščeno besedilo, 14/13 – popr., 101/13, 55/15 – ZFisP, 96/15 – ZIPRS1617, 13/18, 195/20 – odl. US, 18/23 – ZDU-1O</w:t>
            </w:r>
            <w:r>
              <w:rPr>
                <w:rFonts w:cs="Arial"/>
                <w:szCs w:val="20"/>
              </w:rPr>
              <w:t>,</w:t>
            </w:r>
            <w:r w:rsidRPr="00B53CBE">
              <w:rPr>
                <w:rFonts w:cs="Arial"/>
                <w:szCs w:val="20"/>
              </w:rPr>
              <w:t xml:space="preserve"> 76/23</w:t>
            </w:r>
            <w:r>
              <w:rPr>
                <w:rFonts w:cs="Arial"/>
                <w:szCs w:val="20"/>
              </w:rPr>
              <w:t xml:space="preserve">, </w:t>
            </w:r>
            <w:r w:rsidRPr="001E7546">
              <w:rPr>
                <w:rFonts w:cs="Arial"/>
                <w:szCs w:val="20"/>
              </w:rPr>
              <w:t>24/25 – ZFisP-1 in 39/25</w:t>
            </w:r>
            <w:r w:rsidRPr="006445D5">
              <w:rPr>
                <w:rFonts w:cs="Arial"/>
                <w:szCs w:val="20"/>
              </w:rPr>
              <w:t>) in</w:t>
            </w:r>
            <w:r>
              <w:rPr>
                <w:rFonts w:cs="Arial"/>
                <w:szCs w:val="20"/>
              </w:rPr>
              <w:t xml:space="preserve"> </w:t>
            </w:r>
            <w:r w:rsidR="00321B97">
              <w:rPr>
                <w:rFonts w:cs="Arial"/>
                <w:szCs w:val="20"/>
              </w:rPr>
              <w:t xml:space="preserve">v zvezi s </w:t>
            </w:r>
            <w:r>
              <w:rPr>
                <w:rFonts w:cs="Arial"/>
                <w:szCs w:val="20"/>
              </w:rPr>
              <w:t>4.</w:t>
            </w:r>
            <w:r w:rsidRPr="006445D5">
              <w:rPr>
                <w:rFonts w:cs="Arial"/>
                <w:szCs w:val="20"/>
              </w:rPr>
              <w:t xml:space="preserve"> točk</w:t>
            </w:r>
            <w:r>
              <w:rPr>
                <w:rFonts w:cs="Arial"/>
                <w:szCs w:val="20"/>
              </w:rPr>
              <w:t>o</w:t>
            </w:r>
            <w:r w:rsidRPr="006445D5">
              <w:rPr>
                <w:rFonts w:cs="Arial"/>
                <w:szCs w:val="20"/>
              </w:rPr>
              <w:t xml:space="preserve"> sklepa </w:t>
            </w:r>
            <w:r>
              <w:rPr>
                <w:rFonts w:cs="Arial"/>
                <w:szCs w:val="20"/>
              </w:rPr>
              <w:t xml:space="preserve">Vlade Republike Slovenije, </w:t>
            </w:r>
            <w:r w:rsidRPr="006445D5">
              <w:rPr>
                <w:rFonts w:cs="Arial"/>
                <w:szCs w:val="20"/>
              </w:rPr>
              <w:t xml:space="preserve">št. </w:t>
            </w:r>
            <w:r w:rsidRPr="008A3FD6">
              <w:rPr>
                <w:rFonts w:cs="Arial"/>
                <w:szCs w:val="20"/>
              </w:rPr>
              <w:t>41003-6/2025/3 z dne 17. 6. 2025</w:t>
            </w:r>
            <w:r w:rsidR="009C3EAE">
              <w:rPr>
                <w:rFonts w:cs="Arial"/>
                <w:szCs w:val="20"/>
              </w:rPr>
              <w:t>,</w:t>
            </w:r>
            <w:r>
              <w:rPr>
                <w:rFonts w:cs="Arial"/>
                <w:szCs w:val="20"/>
              </w:rPr>
              <w:t xml:space="preserve"> </w:t>
            </w:r>
            <w:r w:rsidRPr="006445D5">
              <w:rPr>
                <w:rFonts w:cs="Arial"/>
                <w:szCs w:val="20"/>
              </w:rPr>
              <w:t>je Vlada Republike Slovenije na……redni seji dne …… sprejela naslednji</w:t>
            </w:r>
          </w:p>
          <w:p w14:paraId="3F6FEF5E" w14:textId="77777777" w:rsidR="004F1DD1" w:rsidRPr="006445D5" w:rsidRDefault="004F1DD1" w:rsidP="004F1DD1">
            <w:pPr>
              <w:jc w:val="both"/>
              <w:rPr>
                <w:rFonts w:cs="Arial"/>
                <w:szCs w:val="20"/>
              </w:rPr>
            </w:pPr>
          </w:p>
          <w:p w14:paraId="443ECCCE" w14:textId="77777777" w:rsidR="004F1DD1" w:rsidRPr="006445D5" w:rsidRDefault="004F1DD1" w:rsidP="004F1DD1">
            <w:pPr>
              <w:jc w:val="center"/>
              <w:rPr>
                <w:rFonts w:cs="Arial"/>
                <w:szCs w:val="20"/>
              </w:rPr>
            </w:pPr>
            <w:r w:rsidRPr="006445D5">
              <w:rPr>
                <w:rFonts w:cs="Arial"/>
                <w:szCs w:val="20"/>
              </w:rPr>
              <w:t>SKLEP</w:t>
            </w:r>
          </w:p>
          <w:p w14:paraId="3843C4A4" w14:textId="77777777" w:rsidR="004F1DD1" w:rsidRPr="006445D5" w:rsidRDefault="004F1DD1" w:rsidP="004F1DD1">
            <w:pPr>
              <w:tabs>
                <w:tab w:val="left" w:pos="426"/>
              </w:tabs>
              <w:rPr>
                <w:rFonts w:cs="Arial"/>
                <w:szCs w:val="20"/>
              </w:rPr>
            </w:pPr>
          </w:p>
          <w:p w14:paraId="1ADB9E33" w14:textId="2F65780E" w:rsidR="004F1DD1" w:rsidRPr="006445D5" w:rsidRDefault="004F1DD1" w:rsidP="004F1DD1">
            <w:pPr>
              <w:tabs>
                <w:tab w:val="left" w:pos="426"/>
              </w:tabs>
              <w:jc w:val="both"/>
              <w:rPr>
                <w:rFonts w:cs="Arial"/>
                <w:szCs w:val="20"/>
              </w:rPr>
            </w:pPr>
            <w:r w:rsidRPr="006445D5">
              <w:rPr>
                <w:rFonts w:cs="Arial"/>
                <w:szCs w:val="20"/>
              </w:rPr>
              <w:t xml:space="preserve">Vlada Republike Slovenije </w:t>
            </w:r>
            <w:r w:rsidRPr="00517D31">
              <w:rPr>
                <w:rFonts w:cs="Arial"/>
                <w:szCs w:val="20"/>
              </w:rPr>
              <w:t>je s</w:t>
            </w:r>
            <w:r w:rsidR="00517D31" w:rsidRPr="00517D31">
              <w:rPr>
                <w:rFonts w:cs="Arial"/>
                <w:szCs w:val="20"/>
              </w:rPr>
              <w:t>prejela</w:t>
            </w:r>
            <w:r w:rsidRPr="006445D5">
              <w:rPr>
                <w:rFonts w:cs="Arial"/>
                <w:szCs w:val="20"/>
              </w:rPr>
              <w:t xml:space="preserve"> </w:t>
            </w:r>
            <w:r>
              <w:rPr>
                <w:rFonts w:cs="Arial"/>
                <w:szCs w:val="20"/>
              </w:rPr>
              <w:t xml:space="preserve">predlog </w:t>
            </w:r>
            <w:r w:rsidRPr="006445D5">
              <w:rPr>
                <w:rFonts w:cs="Arial"/>
                <w:szCs w:val="20"/>
              </w:rPr>
              <w:t>Načrt</w:t>
            </w:r>
            <w:r>
              <w:rPr>
                <w:rFonts w:cs="Arial"/>
                <w:szCs w:val="20"/>
              </w:rPr>
              <w:t>a</w:t>
            </w:r>
            <w:r w:rsidRPr="006445D5">
              <w:rPr>
                <w:rFonts w:cs="Arial"/>
                <w:szCs w:val="20"/>
              </w:rPr>
              <w:t xml:space="preserve"> </w:t>
            </w:r>
            <w:r>
              <w:rPr>
                <w:rFonts w:cs="Arial"/>
                <w:szCs w:val="20"/>
              </w:rPr>
              <w:t xml:space="preserve">izvajanja </w:t>
            </w:r>
            <w:r w:rsidRPr="006445D5">
              <w:rPr>
                <w:rFonts w:cs="Arial"/>
                <w:szCs w:val="20"/>
              </w:rPr>
              <w:t xml:space="preserve">finančnih instrumentov </w:t>
            </w:r>
            <w:r>
              <w:rPr>
                <w:rFonts w:cs="Arial"/>
                <w:szCs w:val="20"/>
              </w:rPr>
              <w:t>Ministrstva za delo, družino, socialne zadeve in enake možnosti za leti</w:t>
            </w:r>
            <w:r w:rsidRPr="006445D5">
              <w:rPr>
                <w:rFonts w:cs="Arial"/>
                <w:szCs w:val="20"/>
              </w:rPr>
              <w:t xml:space="preserve"> 202</w:t>
            </w:r>
            <w:r>
              <w:rPr>
                <w:rFonts w:cs="Arial"/>
                <w:szCs w:val="20"/>
              </w:rPr>
              <w:t>6 in</w:t>
            </w:r>
            <w:r w:rsidRPr="006445D5">
              <w:rPr>
                <w:rFonts w:cs="Arial"/>
                <w:szCs w:val="20"/>
              </w:rPr>
              <w:t xml:space="preserve"> 202</w:t>
            </w:r>
            <w:r>
              <w:rPr>
                <w:rFonts w:cs="Arial"/>
                <w:szCs w:val="20"/>
              </w:rPr>
              <w:t>7</w:t>
            </w:r>
            <w:r w:rsidRPr="006445D5">
              <w:rPr>
                <w:rFonts w:cs="Arial"/>
                <w:szCs w:val="20"/>
              </w:rPr>
              <w:t xml:space="preserve"> programskega obdobja 2021–2027.</w:t>
            </w:r>
          </w:p>
          <w:p w14:paraId="04B6E78C" w14:textId="77777777" w:rsidR="007C6CA2" w:rsidRPr="0073438F" w:rsidRDefault="007C6CA2" w:rsidP="00F713B9">
            <w:pPr>
              <w:pStyle w:val="Neotevilenodstavek"/>
              <w:spacing w:line="260" w:lineRule="exact"/>
              <w:rPr>
                <w:iCs/>
                <w:sz w:val="20"/>
                <w:szCs w:val="20"/>
              </w:rPr>
            </w:pPr>
          </w:p>
          <w:p w14:paraId="77DDA279" w14:textId="77777777" w:rsidR="007C6CA2" w:rsidRPr="00F337DD" w:rsidRDefault="007C6CA2" w:rsidP="00F713B9">
            <w:pPr>
              <w:pStyle w:val="Neotevilenodstavek"/>
              <w:spacing w:line="260" w:lineRule="exact"/>
              <w:rPr>
                <w:iCs/>
                <w:sz w:val="20"/>
                <w:szCs w:val="20"/>
              </w:rPr>
            </w:pPr>
            <w:r>
              <w:rPr>
                <w:iCs/>
                <w:sz w:val="20"/>
                <w:szCs w:val="20"/>
              </w:rPr>
              <w:t xml:space="preserve">                                                                                          </w:t>
            </w:r>
            <w:r w:rsidRPr="00F337DD">
              <w:rPr>
                <w:iCs/>
                <w:sz w:val="20"/>
                <w:szCs w:val="20"/>
              </w:rPr>
              <w:t>Barbara Kolenko Helbl</w:t>
            </w:r>
          </w:p>
          <w:p w14:paraId="0CAEFA24" w14:textId="5A72EBFD" w:rsidR="007C6CA2" w:rsidRDefault="007C6CA2" w:rsidP="00F713B9">
            <w:pPr>
              <w:pStyle w:val="Neotevilenodstavek"/>
              <w:spacing w:line="260" w:lineRule="exact"/>
              <w:rPr>
                <w:iCs/>
                <w:sz w:val="20"/>
                <w:szCs w:val="20"/>
              </w:rPr>
            </w:pPr>
            <w:r w:rsidRPr="00F337DD">
              <w:rPr>
                <w:iCs/>
                <w:sz w:val="20"/>
                <w:szCs w:val="20"/>
              </w:rPr>
              <w:t xml:space="preserve">                         </w:t>
            </w:r>
            <w:r>
              <w:rPr>
                <w:iCs/>
                <w:sz w:val="20"/>
                <w:szCs w:val="20"/>
              </w:rPr>
              <w:t xml:space="preserve">                                                 </w:t>
            </w:r>
            <w:r w:rsidR="009A411D">
              <w:rPr>
                <w:iCs/>
                <w:sz w:val="20"/>
                <w:szCs w:val="20"/>
              </w:rPr>
              <w:t xml:space="preserve">                </w:t>
            </w:r>
            <w:r w:rsidRPr="00F337DD">
              <w:rPr>
                <w:iCs/>
                <w:sz w:val="20"/>
                <w:szCs w:val="20"/>
              </w:rPr>
              <w:t xml:space="preserve"> generalna sekretarka </w:t>
            </w:r>
          </w:p>
          <w:p w14:paraId="2FBEE60F" w14:textId="77777777" w:rsidR="007C6CA2" w:rsidRDefault="007C6CA2" w:rsidP="00F713B9">
            <w:pPr>
              <w:pStyle w:val="Neotevilenodstavek"/>
              <w:spacing w:line="260" w:lineRule="exact"/>
              <w:rPr>
                <w:iCs/>
                <w:sz w:val="20"/>
                <w:szCs w:val="20"/>
              </w:rPr>
            </w:pPr>
          </w:p>
          <w:p w14:paraId="498CA304" w14:textId="77777777" w:rsidR="007C6CA2" w:rsidRPr="00F337DD" w:rsidRDefault="007C6CA2" w:rsidP="00F713B9">
            <w:pPr>
              <w:pStyle w:val="Neotevilenodstavek"/>
              <w:spacing w:line="260" w:lineRule="exact"/>
              <w:rPr>
                <w:iCs/>
                <w:sz w:val="20"/>
                <w:szCs w:val="20"/>
              </w:rPr>
            </w:pPr>
            <w:r>
              <w:rPr>
                <w:iCs/>
                <w:sz w:val="20"/>
                <w:szCs w:val="20"/>
              </w:rPr>
              <w:t>Priloga:</w:t>
            </w:r>
          </w:p>
          <w:p w14:paraId="221FF1E7" w14:textId="293CBB58" w:rsidR="004F1DD1" w:rsidRPr="002873C5" w:rsidRDefault="004F1DD1" w:rsidP="00861661">
            <w:pPr>
              <w:pStyle w:val="Odstavekseznama"/>
              <w:spacing w:after="0" w:line="240" w:lineRule="auto"/>
              <w:contextualSpacing w:val="0"/>
              <w:rPr>
                <w:rFonts w:cs="Arial"/>
                <w:szCs w:val="20"/>
              </w:rPr>
            </w:pPr>
          </w:p>
          <w:p w14:paraId="3E8FFF4A" w14:textId="3080064A" w:rsidR="004F1DD1" w:rsidRPr="006445D5" w:rsidRDefault="004F1DD1" w:rsidP="004F1DD1">
            <w:pPr>
              <w:pStyle w:val="Odstavekseznama"/>
              <w:numPr>
                <w:ilvl w:val="0"/>
                <w:numId w:val="22"/>
              </w:numPr>
              <w:spacing w:after="0" w:line="240" w:lineRule="auto"/>
              <w:contextualSpacing w:val="0"/>
              <w:rPr>
                <w:rFonts w:cs="Arial"/>
                <w:szCs w:val="20"/>
              </w:rPr>
            </w:pPr>
            <w:r>
              <w:rPr>
                <w:rFonts w:eastAsia="Times New Roman" w:cs="Arial"/>
                <w:szCs w:val="20"/>
                <w:lang w:eastAsia="sl-SI"/>
              </w:rPr>
              <w:t xml:space="preserve">Predlog </w:t>
            </w:r>
            <w:r w:rsidRPr="006445D5">
              <w:rPr>
                <w:rFonts w:eastAsia="Times New Roman" w:cs="Arial"/>
                <w:szCs w:val="20"/>
                <w:lang w:eastAsia="sl-SI"/>
              </w:rPr>
              <w:t>Načrt</w:t>
            </w:r>
            <w:r>
              <w:rPr>
                <w:rFonts w:eastAsia="Times New Roman" w:cs="Arial"/>
                <w:szCs w:val="20"/>
                <w:lang w:eastAsia="sl-SI"/>
              </w:rPr>
              <w:t>a</w:t>
            </w:r>
            <w:r w:rsidRPr="006445D5">
              <w:rPr>
                <w:rFonts w:eastAsia="Times New Roman" w:cs="Arial"/>
                <w:szCs w:val="20"/>
                <w:lang w:eastAsia="sl-SI"/>
              </w:rPr>
              <w:t xml:space="preserve"> izvajanja finančnih instrumentov </w:t>
            </w:r>
            <w:r>
              <w:rPr>
                <w:rFonts w:eastAsia="Times New Roman" w:cs="Arial"/>
                <w:szCs w:val="20"/>
                <w:lang w:eastAsia="sl-SI"/>
              </w:rPr>
              <w:t xml:space="preserve">Ministrstva za delo, družino, socialne zadeve in enake možnosti za leti </w:t>
            </w:r>
            <w:r w:rsidRPr="006445D5">
              <w:rPr>
                <w:rFonts w:cs="Arial"/>
                <w:szCs w:val="20"/>
              </w:rPr>
              <w:t>202</w:t>
            </w:r>
            <w:r>
              <w:rPr>
                <w:rFonts w:cs="Arial"/>
                <w:szCs w:val="20"/>
              </w:rPr>
              <w:t>6 in</w:t>
            </w:r>
            <w:r w:rsidRPr="006445D5">
              <w:rPr>
                <w:rFonts w:cs="Arial"/>
                <w:szCs w:val="20"/>
              </w:rPr>
              <w:t xml:space="preserve"> 202</w:t>
            </w:r>
            <w:r>
              <w:rPr>
                <w:rFonts w:cs="Arial"/>
                <w:szCs w:val="20"/>
              </w:rPr>
              <w:t>7</w:t>
            </w:r>
            <w:r>
              <w:rPr>
                <w:rFonts w:eastAsia="Times New Roman" w:cs="Arial"/>
                <w:szCs w:val="20"/>
                <w:lang w:eastAsia="sl-SI"/>
              </w:rPr>
              <w:t xml:space="preserve"> </w:t>
            </w:r>
            <w:r w:rsidRPr="006445D5">
              <w:rPr>
                <w:rFonts w:eastAsia="Times New Roman" w:cs="Arial"/>
                <w:szCs w:val="20"/>
                <w:lang w:eastAsia="sl-SI"/>
              </w:rPr>
              <w:t>programskega obdobja 2021–2027</w:t>
            </w:r>
            <w:r>
              <w:rPr>
                <w:rFonts w:eastAsia="Times New Roman" w:cs="Arial"/>
                <w:szCs w:val="20"/>
                <w:lang w:eastAsia="sl-SI"/>
              </w:rPr>
              <w:t>.</w:t>
            </w:r>
          </w:p>
          <w:p w14:paraId="35418197" w14:textId="77777777" w:rsidR="004F1DD1" w:rsidRPr="006445D5" w:rsidRDefault="004F1DD1" w:rsidP="004F1DD1">
            <w:pPr>
              <w:pStyle w:val="Odstavekseznama"/>
              <w:rPr>
                <w:rFonts w:cs="Arial"/>
                <w:szCs w:val="20"/>
              </w:rPr>
            </w:pPr>
          </w:p>
          <w:p w14:paraId="2D15512D" w14:textId="77777777" w:rsidR="004F1DD1" w:rsidRPr="006445D5" w:rsidRDefault="004F1DD1" w:rsidP="004F1DD1">
            <w:pPr>
              <w:rPr>
                <w:rFonts w:cs="Arial"/>
                <w:szCs w:val="20"/>
              </w:rPr>
            </w:pPr>
            <w:r w:rsidRPr="006445D5">
              <w:rPr>
                <w:rFonts w:cs="Arial"/>
                <w:szCs w:val="20"/>
              </w:rPr>
              <w:t>Sklep prejmejo:</w:t>
            </w:r>
          </w:p>
          <w:p w14:paraId="4B8C6FBE" w14:textId="77777777" w:rsidR="004F1DD1" w:rsidRDefault="004F1DD1" w:rsidP="004F1DD1">
            <w:pPr>
              <w:pStyle w:val="Odstavekseznama"/>
              <w:numPr>
                <w:ilvl w:val="0"/>
                <w:numId w:val="2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Ministrstvo za delo, družino, socialne zadeve in enake možnosti,</w:t>
            </w:r>
          </w:p>
          <w:p w14:paraId="2D6B6ECD" w14:textId="47B22A88" w:rsidR="00D96A0B" w:rsidRDefault="00D96A0B" w:rsidP="004F1DD1">
            <w:pPr>
              <w:pStyle w:val="Odstavekseznama"/>
              <w:numPr>
                <w:ilvl w:val="0"/>
                <w:numId w:val="2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Ministrstvo za solidarno prihodnost,</w:t>
            </w:r>
          </w:p>
          <w:p w14:paraId="6B34D524" w14:textId="77777777" w:rsidR="004F1DD1" w:rsidRPr="006445D5" w:rsidRDefault="004F1DD1" w:rsidP="004F1DD1">
            <w:pPr>
              <w:pStyle w:val="Odstavekseznama"/>
              <w:numPr>
                <w:ilvl w:val="0"/>
                <w:numId w:val="22"/>
              </w:numPr>
              <w:spacing w:after="0" w:line="240" w:lineRule="auto"/>
              <w:contextualSpacing w:val="0"/>
              <w:rPr>
                <w:rFonts w:cs="Arial"/>
                <w:szCs w:val="20"/>
              </w:rPr>
            </w:pPr>
            <w:r w:rsidRPr="006445D5">
              <w:rPr>
                <w:rFonts w:cs="Arial"/>
                <w:szCs w:val="20"/>
              </w:rPr>
              <w:t>Ministrstvo za kohezijo in regionalni razvoj,</w:t>
            </w:r>
          </w:p>
          <w:p w14:paraId="78C2FFCD" w14:textId="77777777" w:rsidR="004F1DD1" w:rsidRPr="006445D5" w:rsidRDefault="004F1DD1" w:rsidP="004F1DD1">
            <w:pPr>
              <w:pStyle w:val="Odstavekseznama"/>
              <w:numPr>
                <w:ilvl w:val="0"/>
                <w:numId w:val="22"/>
              </w:numPr>
              <w:spacing w:after="0" w:line="240" w:lineRule="auto"/>
              <w:contextualSpacing w:val="0"/>
              <w:rPr>
                <w:rFonts w:cs="Arial"/>
                <w:szCs w:val="20"/>
              </w:rPr>
            </w:pPr>
            <w:r w:rsidRPr="006445D5">
              <w:rPr>
                <w:rFonts w:cs="Arial"/>
                <w:szCs w:val="20"/>
              </w:rPr>
              <w:t xml:space="preserve">Ministrstvo za finance, </w:t>
            </w:r>
          </w:p>
          <w:p w14:paraId="6BDC5514" w14:textId="77777777" w:rsidR="004F1DD1" w:rsidRDefault="004F1DD1" w:rsidP="004F1DD1">
            <w:pPr>
              <w:pStyle w:val="Odstavekseznama"/>
              <w:numPr>
                <w:ilvl w:val="0"/>
                <w:numId w:val="22"/>
              </w:numPr>
              <w:spacing w:after="0" w:line="240" w:lineRule="auto"/>
              <w:contextualSpacing w:val="0"/>
              <w:rPr>
                <w:rFonts w:cs="Arial"/>
                <w:szCs w:val="20"/>
              </w:rPr>
            </w:pPr>
            <w:r w:rsidRPr="006445D5">
              <w:rPr>
                <w:rFonts w:cs="Arial"/>
                <w:szCs w:val="20"/>
              </w:rPr>
              <w:t>Služba Vlade RS za zakonodajo,</w:t>
            </w:r>
          </w:p>
          <w:p w14:paraId="0EB13F7E" w14:textId="76D0409F" w:rsidR="007C6CA2" w:rsidRPr="004F1DD1" w:rsidRDefault="004F1DD1" w:rsidP="004F1DD1">
            <w:pPr>
              <w:pStyle w:val="Odstavekseznama"/>
              <w:numPr>
                <w:ilvl w:val="0"/>
                <w:numId w:val="22"/>
              </w:numPr>
              <w:spacing w:after="0" w:line="240" w:lineRule="auto"/>
              <w:contextualSpacing w:val="0"/>
              <w:rPr>
                <w:rFonts w:cs="Arial"/>
                <w:szCs w:val="20"/>
              </w:rPr>
            </w:pPr>
            <w:r w:rsidRPr="004F1DD1">
              <w:rPr>
                <w:rFonts w:cs="Arial"/>
                <w:szCs w:val="20"/>
              </w:rPr>
              <w:t>Urad Vlade RS za komuniciranje.</w:t>
            </w:r>
          </w:p>
          <w:p w14:paraId="40DD6CB6" w14:textId="77777777" w:rsidR="007C6CA2" w:rsidRPr="00AE1F83" w:rsidRDefault="007C6CA2" w:rsidP="00F713B9">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14A55A0" w14:textId="77777777" w:rsidTr="00BD6A1D">
        <w:tc>
          <w:tcPr>
            <w:tcW w:w="9163" w:type="dxa"/>
            <w:gridSpan w:val="4"/>
          </w:tcPr>
          <w:p w14:paraId="66E383F6"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7CAF08A9" w14:textId="77777777" w:rsidTr="00BD6A1D">
        <w:tc>
          <w:tcPr>
            <w:tcW w:w="9163" w:type="dxa"/>
            <w:gridSpan w:val="4"/>
          </w:tcPr>
          <w:p w14:paraId="5BC3AC1F" w14:textId="77777777" w:rsidR="00AE1F83" w:rsidRPr="00AE1F83" w:rsidRDefault="00BA08A2" w:rsidP="00F713B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3CC8C493" w14:textId="77777777" w:rsidTr="00BD6A1D">
        <w:tc>
          <w:tcPr>
            <w:tcW w:w="9163" w:type="dxa"/>
            <w:gridSpan w:val="4"/>
          </w:tcPr>
          <w:p w14:paraId="61EC2EB5"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lastRenderedPageBreak/>
              <w:t>3.a Osebe, odgovorne za strokovno pripravo in usklajenost gradiva:</w:t>
            </w:r>
          </w:p>
        </w:tc>
      </w:tr>
      <w:tr w:rsidR="00AE1F83" w:rsidRPr="00AE1F83" w14:paraId="3DC040FB" w14:textId="77777777" w:rsidTr="00BD6A1D">
        <w:tc>
          <w:tcPr>
            <w:tcW w:w="9163" w:type="dxa"/>
            <w:gridSpan w:val="4"/>
          </w:tcPr>
          <w:p w14:paraId="7D2A07AD" w14:textId="68B9D72F" w:rsidR="00AE1F83" w:rsidRDefault="00D96A0B" w:rsidP="00F713B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Igor Feketija</w:t>
            </w:r>
            <w:r w:rsidR="00BA08A2">
              <w:rPr>
                <w:rFonts w:eastAsia="Times New Roman" w:cs="Arial"/>
                <w:iCs/>
                <w:szCs w:val="20"/>
                <w:lang w:eastAsia="sl-SI"/>
              </w:rPr>
              <w:t>, državni sekretar,</w:t>
            </w:r>
          </w:p>
          <w:p w14:paraId="4507226B" w14:textId="5AC10F7E" w:rsidR="00BA08A2" w:rsidRPr="00AE1F83" w:rsidRDefault="000A5E2D" w:rsidP="00F713B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Nika Juvan</w:t>
            </w:r>
            <w:r w:rsidR="00BA08A2">
              <w:rPr>
                <w:rFonts w:eastAsia="Times New Roman" w:cs="Arial"/>
                <w:iCs/>
                <w:szCs w:val="20"/>
                <w:lang w:eastAsia="sl-SI"/>
              </w:rPr>
              <w:t>, direktorica Urada za izvajanje kohezijske politike.</w:t>
            </w:r>
          </w:p>
        </w:tc>
      </w:tr>
      <w:tr w:rsidR="00AE1F83" w:rsidRPr="00AE1F83" w14:paraId="260E298B" w14:textId="77777777" w:rsidTr="00BD6A1D">
        <w:tc>
          <w:tcPr>
            <w:tcW w:w="9163" w:type="dxa"/>
            <w:gridSpan w:val="4"/>
          </w:tcPr>
          <w:p w14:paraId="1389BC6C"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AE1F83" w:rsidRPr="00AE1F83" w14:paraId="5E430D51" w14:textId="77777777" w:rsidTr="00BD6A1D">
        <w:tc>
          <w:tcPr>
            <w:tcW w:w="9163" w:type="dxa"/>
            <w:gridSpan w:val="4"/>
          </w:tcPr>
          <w:p w14:paraId="085C76B7" w14:textId="77777777" w:rsidR="00AE1F83" w:rsidRPr="00AE1F83" w:rsidRDefault="00BA08A2" w:rsidP="00F713B9">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5F199ED2" w14:textId="77777777" w:rsidTr="00BD6A1D">
        <w:tc>
          <w:tcPr>
            <w:tcW w:w="9163" w:type="dxa"/>
            <w:gridSpan w:val="4"/>
          </w:tcPr>
          <w:p w14:paraId="4D62B72A"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091FAD5D" w14:textId="77777777" w:rsidTr="00BD6A1D">
        <w:tc>
          <w:tcPr>
            <w:tcW w:w="9163" w:type="dxa"/>
            <w:gridSpan w:val="4"/>
          </w:tcPr>
          <w:p w14:paraId="74EED2F3" w14:textId="77777777" w:rsidR="00AE1F83" w:rsidRPr="00AE1F83" w:rsidRDefault="00BA08A2" w:rsidP="00F713B9">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AE1F83" w:rsidRPr="00AE1F83" w14:paraId="0A9BC4D7" w14:textId="77777777" w:rsidTr="00BD6A1D">
        <w:tc>
          <w:tcPr>
            <w:tcW w:w="9163" w:type="dxa"/>
            <w:gridSpan w:val="4"/>
          </w:tcPr>
          <w:p w14:paraId="1F4A90A5" w14:textId="77777777" w:rsidR="00AE1F83" w:rsidRPr="00AE1F83" w:rsidRDefault="00AE1F83" w:rsidP="00F713B9">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20E78AC4" w14:textId="77777777" w:rsidTr="00BD6A1D">
        <w:tc>
          <w:tcPr>
            <w:tcW w:w="9163" w:type="dxa"/>
            <w:gridSpan w:val="4"/>
          </w:tcPr>
          <w:p w14:paraId="3DE0E04E" w14:textId="2B2C98AC" w:rsidR="00D96A0B" w:rsidRPr="00402271" w:rsidRDefault="00D96A0B" w:rsidP="00D96A0B">
            <w:pPr>
              <w:jc w:val="both"/>
              <w:rPr>
                <w:rFonts w:cs="Arial"/>
                <w:szCs w:val="20"/>
              </w:rPr>
            </w:pPr>
            <w:r w:rsidRPr="00402271">
              <w:rPr>
                <w:rFonts w:cs="Arial"/>
                <w:szCs w:val="20"/>
              </w:rPr>
              <w:t xml:space="preserve">Načrt izvajanja finančnih instrumentov </w:t>
            </w:r>
            <w:r>
              <w:rPr>
                <w:rFonts w:cs="Arial"/>
                <w:szCs w:val="20"/>
              </w:rPr>
              <w:t xml:space="preserve">na Ministrstvu za delo, družino, socialne zadeve in enake možnosti za leti </w:t>
            </w:r>
            <w:r w:rsidRPr="006445D5">
              <w:rPr>
                <w:rFonts w:cs="Arial"/>
                <w:szCs w:val="20"/>
              </w:rPr>
              <w:t>202</w:t>
            </w:r>
            <w:r>
              <w:rPr>
                <w:rFonts w:cs="Arial"/>
                <w:szCs w:val="20"/>
              </w:rPr>
              <w:t>6 in</w:t>
            </w:r>
            <w:r w:rsidRPr="006445D5">
              <w:rPr>
                <w:rFonts w:cs="Arial"/>
                <w:szCs w:val="20"/>
              </w:rPr>
              <w:t xml:space="preserve"> 202</w:t>
            </w:r>
            <w:r>
              <w:rPr>
                <w:rFonts w:cs="Arial"/>
                <w:szCs w:val="20"/>
              </w:rPr>
              <w:t>7</w:t>
            </w:r>
            <w:r w:rsidRPr="00402271">
              <w:rPr>
                <w:rFonts w:cs="Arial"/>
                <w:szCs w:val="20"/>
              </w:rPr>
              <w:t xml:space="preserve"> programskega obdobja 2021–2027</w:t>
            </w:r>
            <w:r>
              <w:rPr>
                <w:rFonts w:cs="Arial"/>
                <w:szCs w:val="20"/>
              </w:rPr>
              <w:t xml:space="preserve"> (v nadaljevanju: N</w:t>
            </w:r>
            <w:r w:rsidR="00C954B6">
              <w:rPr>
                <w:rFonts w:cs="Arial"/>
                <w:szCs w:val="20"/>
              </w:rPr>
              <w:t>I</w:t>
            </w:r>
            <w:r w:rsidR="00C954B6">
              <w:t>FI MDDSZ</w:t>
            </w:r>
            <w:r>
              <w:rPr>
                <w:rFonts w:cs="Arial"/>
                <w:szCs w:val="20"/>
              </w:rPr>
              <w:t>)</w:t>
            </w:r>
            <w:r w:rsidRPr="00402271">
              <w:rPr>
                <w:rFonts w:cs="Arial"/>
                <w:szCs w:val="20"/>
              </w:rPr>
              <w:t xml:space="preserve"> je pripravljen skladno s četrtim odstavkom 13. člena</w:t>
            </w:r>
            <w:r w:rsidR="009C3EAE">
              <w:rPr>
                <w:rFonts w:cs="Arial"/>
                <w:szCs w:val="20"/>
              </w:rPr>
              <w:t xml:space="preserve"> </w:t>
            </w:r>
            <w:r w:rsidR="009C3EAE" w:rsidRPr="006445D5">
              <w:rPr>
                <w:rFonts w:cs="Arial"/>
                <w:szCs w:val="20"/>
              </w:rPr>
              <w:t>Zakona o javnih financah (</w:t>
            </w:r>
            <w:r w:rsidR="009C3EAE" w:rsidRPr="00B53CBE">
              <w:rPr>
                <w:rFonts w:cs="Arial"/>
                <w:szCs w:val="20"/>
              </w:rPr>
              <w:t>Uradni list RS, št. 11/11 – uradno prečiščeno besedilo, 14/13 – popr., 101/13, 55/15 – ZFisP, 96/15 – ZIPRS1617, 13/18, 195/20 – odl. US, 18/23 – ZDU-1O</w:t>
            </w:r>
            <w:r w:rsidR="009C3EAE">
              <w:rPr>
                <w:rFonts w:cs="Arial"/>
                <w:szCs w:val="20"/>
              </w:rPr>
              <w:t>,</w:t>
            </w:r>
            <w:r w:rsidR="009C3EAE" w:rsidRPr="00B53CBE">
              <w:rPr>
                <w:rFonts w:cs="Arial"/>
                <w:szCs w:val="20"/>
              </w:rPr>
              <w:t xml:space="preserve"> 76/23</w:t>
            </w:r>
            <w:r w:rsidR="009C3EAE">
              <w:rPr>
                <w:rFonts w:cs="Arial"/>
                <w:szCs w:val="20"/>
              </w:rPr>
              <w:t xml:space="preserve">, </w:t>
            </w:r>
            <w:r w:rsidR="009C3EAE" w:rsidRPr="001E7546">
              <w:rPr>
                <w:rFonts w:cs="Arial"/>
                <w:szCs w:val="20"/>
              </w:rPr>
              <w:t>24/25 – ZFisP-1 in 39/25</w:t>
            </w:r>
            <w:r w:rsidR="009C3EAE">
              <w:rPr>
                <w:rFonts w:cs="Arial"/>
                <w:szCs w:val="20"/>
              </w:rPr>
              <w:t>; v nadaljevanju:</w:t>
            </w:r>
            <w:r w:rsidRPr="00402271">
              <w:rPr>
                <w:rFonts w:cs="Arial"/>
                <w:szCs w:val="20"/>
              </w:rPr>
              <w:t xml:space="preserve"> ZJF</w:t>
            </w:r>
            <w:r w:rsidR="009C3EAE">
              <w:rPr>
                <w:rFonts w:cs="Arial"/>
                <w:szCs w:val="20"/>
              </w:rPr>
              <w:t>)</w:t>
            </w:r>
            <w:r w:rsidRPr="00402271">
              <w:rPr>
                <w:rFonts w:cs="Arial"/>
                <w:szCs w:val="20"/>
              </w:rPr>
              <w:t>, ki določa, da je načrt izvajanja finančnih instrumentov sestavni del obrazložitve predloga proračuna države</w:t>
            </w:r>
            <w:r>
              <w:rPr>
                <w:rFonts w:cs="Arial"/>
                <w:szCs w:val="20"/>
              </w:rPr>
              <w:t>, ter</w:t>
            </w:r>
            <w:r w:rsidRPr="00402271">
              <w:rPr>
                <w:rFonts w:cs="Arial"/>
                <w:szCs w:val="20"/>
              </w:rPr>
              <w:t xml:space="preserve"> </w:t>
            </w:r>
            <w:r w:rsidRPr="00634660">
              <w:rPr>
                <w:rFonts w:cs="Arial"/>
                <w:szCs w:val="20"/>
              </w:rPr>
              <w:t>s 4. točko sklepa Vlade Republike Slovenije, št. 41003-6/2025/3 z dne 17. 6. 2025, ki določa, da ministrstva, ki bodo v letih 2026 in 2027 izvajala finančne instrumente, do 31. 8. 202</w:t>
            </w:r>
            <w:r>
              <w:rPr>
                <w:rFonts w:cs="Arial"/>
                <w:szCs w:val="20"/>
              </w:rPr>
              <w:t>5</w:t>
            </w:r>
            <w:r w:rsidRPr="00634660">
              <w:rPr>
                <w:rFonts w:cs="Arial"/>
                <w:szCs w:val="20"/>
              </w:rPr>
              <w:t xml:space="preserve"> predložijo Vladi Republike Slovenije </w:t>
            </w:r>
            <w:r w:rsidR="00C954B6">
              <w:rPr>
                <w:rFonts w:cs="Arial"/>
                <w:szCs w:val="20"/>
              </w:rPr>
              <w:t>p</w:t>
            </w:r>
            <w:r w:rsidRPr="00634660">
              <w:rPr>
                <w:rFonts w:cs="Arial"/>
                <w:szCs w:val="20"/>
              </w:rPr>
              <w:t>redloge načrtov izvajanja finančnih instrumentov, ki vsebujejo določene ukrepe, oblike, obseg sredstev ter terminski načrt izplačil sredstev.</w:t>
            </w:r>
          </w:p>
          <w:p w14:paraId="362A4CB0" w14:textId="30F6CD3F" w:rsidR="00D96A0B" w:rsidRPr="008A3FD6" w:rsidRDefault="00D96A0B" w:rsidP="00D96A0B">
            <w:pPr>
              <w:jc w:val="both"/>
              <w:rPr>
                <w:rFonts w:cs="Arial"/>
                <w:bCs/>
                <w:iCs/>
                <w:szCs w:val="20"/>
              </w:rPr>
            </w:pPr>
            <w:bookmarkStart w:id="0" w:name="_Hlk204327479"/>
            <w:r w:rsidRPr="008A3FD6">
              <w:rPr>
                <w:rFonts w:cs="Arial"/>
                <w:bCs/>
                <w:iCs/>
                <w:szCs w:val="20"/>
              </w:rPr>
              <w:t xml:space="preserve">Vsebinsko podlago za pripravo NIFI predstavlja Program za izvajanje evropske kohezijske politike v programskem obdobju 2021-2027 (v nadaljevanju: PEKP). V spremembi PEKP, verzija 3.1., je Ministrstvo za kohezijo in regionalni razvoj v vlogi Organa upravljanja (v nadaljevanju: MKRR-OU) na predlog posredniškega telesa, Ministrstva za delo, družino, socialne zadeve in enake možnosti (v nadaljevanju: MDDSZ), vpeljalo </w:t>
            </w:r>
            <w:r>
              <w:rPr>
                <w:rFonts w:cs="Arial"/>
                <w:bCs/>
                <w:iCs/>
                <w:szCs w:val="20"/>
              </w:rPr>
              <w:t>f</w:t>
            </w:r>
            <w:r w:rsidRPr="008A3FD6">
              <w:rPr>
                <w:rFonts w:cs="Arial"/>
                <w:bCs/>
                <w:iCs/>
                <w:szCs w:val="20"/>
              </w:rPr>
              <w:t xml:space="preserve">inančne instrumente </w:t>
            </w:r>
            <w:r w:rsidR="00C954B6">
              <w:rPr>
                <w:rFonts w:cs="Arial"/>
                <w:bCs/>
                <w:iCs/>
                <w:szCs w:val="20"/>
              </w:rPr>
              <w:t xml:space="preserve">(v nadaljevanju: FI) </w:t>
            </w:r>
            <w:r w:rsidRPr="008A3FD6">
              <w:rPr>
                <w:rFonts w:cs="Arial"/>
                <w:bCs/>
                <w:iCs/>
                <w:szCs w:val="20"/>
              </w:rPr>
              <w:t>za spodbujanje udeležbe zaposlenih v lastništvu podjetij iz Evropskega socialnega sklada plus (v nad</w:t>
            </w:r>
            <w:r>
              <w:rPr>
                <w:rFonts w:cs="Arial"/>
                <w:bCs/>
                <w:iCs/>
                <w:szCs w:val="20"/>
              </w:rPr>
              <w:t>a</w:t>
            </w:r>
            <w:r w:rsidRPr="008A3FD6">
              <w:rPr>
                <w:rFonts w:cs="Arial"/>
                <w:bCs/>
                <w:iCs/>
                <w:szCs w:val="20"/>
              </w:rPr>
              <w:t>ljevanju: ESS+) na cilj politike 4 »Bolj socialna in vključujoča Evropa za izvajanje evropskega stebra socialnih pravic«, na prednostno nalogo 6 »Znanja in spretnosti ter odzivni trg dela« in na specifični cilj ESO 4.4. »Spodbujanje prilagajanja delavcev, podjetij in podjetnikov na spremembe, aktivnega in zdravega staranja ter zdravega in dobro prilagojenega delovnega okolja, ki obravnava tveganja za zdravje (ESS+).</w:t>
            </w:r>
          </w:p>
          <w:bookmarkEnd w:id="0"/>
          <w:p w14:paraId="3D778464" w14:textId="7BFAE615" w:rsidR="00D96A0B" w:rsidRPr="008A3FD6" w:rsidRDefault="00D96A0B" w:rsidP="00D96A0B">
            <w:pPr>
              <w:jc w:val="both"/>
              <w:rPr>
                <w:rFonts w:cs="Arial"/>
                <w:bCs/>
                <w:iCs/>
                <w:szCs w:val="20"/>
              </w:rPr>
            </w:pPr>
            <w:r w:rsidRPr="008A3FD6">
              <w:rPr>
                <w:rFonts w:cs="Arial"/>
                <w:bCs/>
                <w:iCs/>
                <w:szCs w:val="20"/>
              </w:rPr>
              <w:t xml:space="preserve">V skladu z 58. členom </w:t>
            </w:r>
            <w:r w:rsidRPr="00AA573F">
              <w:rPr>
                <w:rFonts w:cs="Arial"/>
                <w:bCs/>
                <w:iCs/>
                <w:szCs w:val="20"/>
              </w:rPr>
              <w:t>Uredb</w:t>
            </w:r>
            <w:r>
              <w:rPr>
                <w:rFonts w:cs="Arial"/>
                <w:bCs/>
                <w:iCs/>
                <w:szCs w:val="20"/>
              </w:rPr>
              <w:t>e</w:t>
            </w:r>
            <w:r w:rsidRPr="00AA573F">
              <w:rPr>
                <w:rFonts w:cs="Arial"/>
                <w:bCs/>
                <w:iCs/>
                <w:szCs w:val="20"/>
              </w:rPr>
              <w:t xml:space="preserve"> 2021/1060/EU</w:t>
            </w:r>
            <w:r w:rsidRPr="008A3FD6">
              <w:rPr>
                <w:rFonts w:cs="Arial"/>
                <w:bCs/>
                <w:iCs/>
                <w:szCs w:val="20"/>
              </w:rPr>
              <w:t xml:space="preserve"> se ustrezna podpora v </w:t>
            </w:r>
            <w:r w:rsidR="00C954B6">
              <w:rPr>
                <w:rFonts w:cs="Arial"/>
                <w:bCs/>
                <w:iCs/>
                <w:szCs w:val="20"/>
              </w:rPr>
              <w:t>FI</w:t>
            </w:r>
            <w:r w:rsidRPr="008A3FD6">
              <w:rPr>
                <w:rFonts w:cs="Arial"/>
                <w:bCs/>
                <w:iCs/>
                <w:szCs w:val="20"/>
              </w:rPr>
              <w:t xml:space="preserve"> utemelji na podlagi predhodne ocene, za pripravo katere je odgovoren organ upravljanja (MKRR-OU). MKRR-OU je že pristopil k revidiranju obstoječe Predhodne ocene potreb trga in vrzeli financiranja na trgu za izvajanje finančni</w:t>
            </w:r>
            <w:r w:rsidR="00C954B6">
              <w:rPr>
                <w:rFonts w:cs="Arial"/>
                <w:bCs/>
                <w:iCs/>
                <w:szCs w:val="20"/>
              </w:rPr>
              <w:t>h</w:t>
            </w:r>
            <w:r w:rsidRPr="008A3FD6">
              <w:rPr>
                <w:rFonts w:cs="Arial"/>
                <w:bCs/>
                <w:iCs/>
                <w:szCs w:val="20"/>
              </w:rPr>
              <w:t xml:space="preserve"> instrumentov v programskem obdobju 2021-2027 iz leta 2022 (v nadaljevanju: Predhodna ocena), s katero bo zaključil, preden se bo dodelil programski prispevek v navedene </w:t>
            </w:r>
            <w:r w:rsidR="00C954B6">
              <w:rPr>
                <w:rFonts w:cs="Arial"/>
                <w:bCs/>
                <w:iCs/>
                <w:szCs w:val="20"/>
              </w:rPr>
              <w:t>FI</w:t>
            </w:r>
            <w:r w:rsidRPr="008A3FD6">
              <w:rPr>
                <w:rFonts w:cs="Arial"/>
                <w:bCs/>
                <w:iCs/>
                <w:szCs w:val="20"/>
              </w:rPr>
              <w:t xml:space="preserve"> iz področja specifičnega cilja ESO 4.4. </w:t>
            </w:r>
          </w:p>
          <w:p w14:paraId="11C5BF38" w14:textId="77777777" w:rsidR="00D96A0B" w:rsidRPr="008A3FD6" w:rsidRDefault="00D96A0B" w:rsidP="00D96A0B">
            <w:pPr>
              <w:jc w:val="both"/>
              <w:rPr>
                <w:rFonts w:cs="Arial"/>
                <w:bCs/>
                <w:iCs/>
                <w:szCs w:val="20"/>
              </w:rPr>
            </w:pPr>
            <w:r w:rsidRPr="008A3FD6">
              <w:rPr>
                <w:rFonts w:cs="Arial"/>
                <w:bCs/>
                <w:iCs/>
                <w:szCs w:val="20"/>
              </w:rPr>
              <w:t>Za pristop k revidiranju Predhodne ocene je MKRR-OU pristopil na podlagi spodnjih aktivnosti/informacij:</w:t>
            </w:r>
          </w:p>
          <w:p w14:paraId="6A45787F" w14:textId="5DE8062A" w:rsidR="00D96A0B" w:rsidRPr="008A3FD6" w:rsidRDefault="00D96A0B" w:rsidP="00D96A0B">
            <w:pPr>
              <w:pStyle w:val="Odstavekseznama"/>
              <w:numPr>
                <w:ilvl w:val="0"/>
                <w:numId w:val="24"/>
              </w:numPr>
              <w:spacing w:after="0" w:line="240" w:lineRule="auto"/>
              <w:jc w:val="both"/>
              <w:rPr>
                <w:rFonts w:cs="Arial"/>
                <w:bCs/>
                <w:iCs/>
                <w:szCs w:val="20"/>
              </w:rPr>
            </w:pPr>
            <w:r w:rsidRPr="008A3FD6">
              <w:rPr>
                <w:rFonts w:cs="Arial"/>
                <w:bCs/>
                <w:iCs/>
                <w:szCs w:val="20"/>
              </w:rPr>
              <w:t xml:space="preserve">izvedene študije o delavskih odkupih (WBO) za Slovenijo v okviru platforme FI compass, v kateri je EK podala pobudo, da naj OU v Sloveniji razmisli o uporabi obstoječih ali načrtovanih FI za podporo delavskih odkupov; </w:t>
            </w:r>
          </w:p>
          <w:p w14:paraId="062C7FF9" w14:textId="62BB8ED2" w:rsidR="00D96A0B" w:rsidRPr="008A3FD6" w:rsidRDefault="00D96A0B" w:rsidP="00D96A0B">
            <w:pPr>
              <w:pStyle w:val="Odstavekseznama"/>
              <w:numPr>
                <w:ilvl w:val="0"/>
                <w:numId w:val="24"/>
              </w:numPr>
              <w:spacing w:after="0" w:line="240" w:lineRule="auto"/>
              <w:jc w:val="both"/>
              <w:rPr>
                <w:rFonts w:cs="Arial"/>
                <w:bCs/>
                <w:iCs/>
                <w:szCs w:val="20"/>
              </w:rPr>
            </w:pPr>
            <w:r w:rsidRPr="008A3FD6">
              <w:rPr>
                <w:rFonts w:cs="Arial"/>
                <w:bCs/>
                <w:iCs/>
                <w:szCs w:val="20"/>
              </w:rPr>
              <w:t xml:space="preserve">postopka javne razprave o </w:t>
            </w:r>
            <w:r w:rsidR="00D61ADC">
              <w:rPr>
                <w:rFonts w:cs="Arial"/>
                <w:bCs/>
                <w:iCs/>
                <w:szCs w:val="20"/>
              </w:rPr>
              <w:t xml:space="preserve">predlogu </w:t>
            </w:r>
            <w:r w:rsidRPr="008A3FD6">
              <w:rPr>
                <w:rFonts w:cs="Arial"/>
                <w:bCs/>
                <w:iCs/>
                <w:szCs w:val="20"/>
              </w:rPr>
              <w:t>Zakon</w:t>
            </w:r>
            <w:r w:rsidR="00D61ADC">
              <w:rPr>
                <w:rFonts w:cs="Arial"/>
                <w:bCs/>
                <w:iCs/>
                <w:szCs w:val="20"/>
              </w:rPr>
              <w:t>a</w:t>
            </w:r>
            <w:r w:rsidRPr="008A3FD6">
              <w:rPr>
                <w:rFonts w:cs="Arial"/>
                <w:bCs/>
                <w:iCs/>
                <w:szCs w:val="20"/>
              </w:rPr>
              <w:t xml:space="preserve"> o lastniški zadrugi delavcev, ki v slovenski prostor uvaja model delavskega solastništva po zgledu ameriškega ESOP (Employee Stock Ownership Plan);</w:t>
            </w:r>
          </w:p>
          <w:p w14:paraId="74363325" w14:textId="3F93BA44" w:rsidR="00D96A0B" w:rsidRPr="008A3FD6" w:rsidRDefault="00D96A0B" w:rsidP="00D96A0B">
            <w:pPr>
              <w:pStyle w:val="Odstavekseznama"/>
              <w:numPr>
                <w:ilvl w:val="0"/>
                <w:numId w:val="24"/>
              </w:numPr>
              <w:spacing w:after="0" w:line="240" w:lineRule="auto"/>
              <w:jc w:val="both"/>
              <w:rPr>
                <w:rFonts w:cs="Arial"/>
                <w:bCs/>
                <w:iCs/>
                <w:szCs w:val="20"/>
              </w:rPr>
            </w:pPr>
            <w:r w:rsidRPr="008A3FD6">
              <w:rPr>
                <w:rFonts w:cs="Arial"/>
                <w:bCs/>
                <w:iCs/>
                <w:szCs w:val="20"/>
              </w:rPr>
              <w:t>izvedene študije CRP Analiza lastniških struktur v slovenskem gospodarstvu in potenciala za spodbujanja družbeno-odgovornega lastništva Univerze v Ljubljani, ki nakazuje na veliko tržno vrzel v delu financiranja delavskih odkupov zaradi problema politike nasledstva, kjer lastniki</w:t>
            </w:r>
            <w:r w:rsidR="00C954B6">
              <w:rPr>
                <w:rFonts w:cs="Arial"/>
                <w:bCs/>
                <w:iCs/>
                <w:szCs w:val="20"/>
              </w:rPr>
              <w:t>,</w:t>
            </w:r>
            <w:r w:rsidRPr="008A3FD6">
              <w:rPr>
                <w:rFonts w:cs="Arial"/>
                <w:bCs/>
                <w:iCs/>
                <w:szCs w:val="20"/>
              </w:rPr>
              <w:t xml:space="preserve"> ki se bodo upokojili</w:t>
            </w:r>
            <w:r w:rsidR="00C954B6">
              <w:rPr>
                <w:rFonts w:cs="Arial"/>
                <w:bCs/>
                <w:iCs/>
                <w:szCs w:val="20"/>
              </w:rPr>
              <w:t>,</w:t>
            </w:r>
            <w:r w:rsidRPr="008A3FD6">
              <w:rPr>
                <w:rFonts w:cs="Arial"/>
                <w:bCs/>
                <w:iCs/>
                <w:szCs w:val="20"/>
              </w:rPr>
              <w:t xml:space="preserve"> nimajo zagotovljenih naslednikov. </w:t>
            </w:r>
          </w:p>
          <w:p w14:paraId="1DDE5999" w14:textId="77777777" w:rsidR="00C954B6" w:rsidRDefault="00C954B6" w:rsidP="00D96A0B">
            <w:pPr>
              <w:jc w:val="both"/>
              <w:rPr>
                <w:rFonts w:cs="Arial"/>
                <w:bCs/>
                <w:iCs/>
                <w:szCs w:val="20"/>
              </w:rPr>
            </w:pPr>
          </w:p>
          <w:p w14:paraId="7D3DFDC7" w14:textId="5B51827A" w:rsidR="00D96A0B" w:rsidRPr="008A3FD6" w:rsidRDefault="00D96A0B" w:rsidP="00D96A0B">
            <w:pPr>
              <w:jc w:val="both"/>
              <w:rPr>
                <w:rFonts w:cs="Arial"/>
                <w:bCs/>
                <w:iCs/>
                <w:szCs w:val="20"/>
              </w:rPr>
            </w:pPr>
            <w:r w:rsidRPr="008A3FD6">
              <w:rPr>
                <w:rFonts w:cs="Arial"/>
                <w:bCs/>
                <w:iCs/>
                <w:szCs w:val="20"/>
              </w:rPr>
              <w:t xml:space="preserve">Pred sklenitvijo sporazuma o financiranju z izvajalcem </w:t>
            </w:r>
            <w:r w:rsidR="00C954B6">
              <w:rPr>
                <w:rFonts w:cs="Arial"/>
                <w:bCs/>
                <w:iCs/>
                <w:szCs w:val="20"/>
              </w:rPr>
              <w:t>FI</w:t>
            </w:r>
            <w:r w:rsidRPr="008A3FD6">
              <w:rPr>
                <w:rFonts w:cs="Arial"/>
                <w:bCs/>
                <w:iCs/>
                <w:szCs w:val="20"/>
              </w:rPr>
              <w:t xml:space="preserve"> bodo skladno s tretjim odstavkom 27. člena </w:t>
            </w:r>
            <w:r w:rsidRPr="00AA573F">
              <w:rPr>
                <w:rFonts w:cs="Arial"/>
                <w:bCs/>
                <w:iCs/>
                <w:szCs w:val="20"/>
              </w:rPr>
              <w:t>Uredb</w:t>
            </w:r>
            <w:r>
              <w:rPr>
                <w:rFonts w:cs="Arial"/>
                <w:bCs/>
                <w:iCs/>
                <w:szCs w:val="20"/>
              </w:rPr>
              <w:t>e</w:t>
            </w:r>
            <w:r w:rsidRPr="00AA573F">
              <w:rPr>
                <w:rFonts w:cs="Arial"/>
                <w:bCs/>
                <w:iCs/>
                <w:szCs w:val="20"/>
              </w:rPr>
              <w:t xml:space="preserve"> 2021/1060/EU</w:t>
            </w:r>
            <w:r w:rsidRPr="00AA573F">
              <w:rPr>
                <w:rStyle w:val="Sprotnaopomba-sklic"/>
                <w:rFonts w:cs="Arial"/>
                <w:bCs/>
                <w:iCs/>
                <w:szCs w:val="20"/>
              </w:rPr>
              <w:t xml:space="preserve"> </w:t>
            </w:r>
            <w:r w:rsidRPr="008A3FD6">
              <w:rPr>
                <w:rFonts w:cs="Arial"/>
                <w:bCs/>
                <w:iCs/>
                <w:szCs w:val="20"/>
              </w:rPr>
              <w:t xml:space="preserve">in drugim odstavkom 17. člena Uredbe o postopku, merilih in načinih dodeljevanja sredstev za spodbujanje razvojnih programov in prednostnih nalog (Uradni list RS, št. </w:t>
            </w:r>
            <w:r w:rsidRPr="008A3FD6">
              <w:rPr>
                <w:rFonts w:cs="Arial"/>
                <w:bCs/>
                <w:iCs/>
                <w:szCs w:val="20"/>
              </w:rPr>
              <w:lastRenderedPageBreak/>
              <w:t>56/11) pripravljeni Ključni elementi finančnih instrumentov v obdobju 2021–2027 (v nadaljevanju: KEFI).</w:t>
            </w:r>
          </w:p>
          <w:p w14:paraId="7EFDD17B" w14:textId="407BDE17" w:rsidR="00D96A0B" w:rsidRPr="00402271" w:rsidRDefault="00D96A0B" w:rsidP="00C954B6">
            <w:pPr>
              <w:jc w:val="both"/>
              <w:rPr>
                <w:rFonts w:cs="Arial"/>
                <w:szCs w:val="20"/>
              </w:rPr>
            </w:pPr>
            <w:r w:rsidRPr="00402271">
              <w:rPr>
                <w:rFonts w:cs="Arial"/>
                <w:szCs w:val="20"/>
              </w:rPr>
              <w:t xml:space="preserve">V okviru </w:t>
            </w:r>
            <w:r w:rsidR="00C954B6">
              <w:rPr>
                <w:rFonts w:cs="Arial"/>
                <w:szCs w:val="20"/>
              </w:rPr>
              <w:t>FI MDDSZ</w:t>
            </w:r>
            <w:r w:rsidRPr="00402271">
              <w:rPr>
                <w:rFonts w:cs="Arial"/>
                <w:szCs w:val="20"/>
              </w:rPr>
              <w:t xml:space="preserve"> </w:t>
            </w:r>
            <w:r w:rsidR="00C954B6">
              <w:rPr>
                <w:rFonts w:cs="Arial"/>
                <w:szCs w:val="20"/>
              </w:rPr>
              <w:t>b</w:t>
            </w:r>
            <w:r>
              <w:rPr>
                <w:rFonts w:cs="Arial"/>
                <w:szCs w:val="20"/>
              </w:rPr>
              <w:t>o</w:t>
            </w:r>
            <w:r w:rsidRPr="00402271">
              <w:rPr>
                <w:rFonts w:cs="Arial"/>
                <w:szCs w:val="20"/>
              </w:rPr>
              <w:t xml:space="preserve"> v obdobju 2021–2027 podprt</w:t>
            </w:r>
            <w:r w:rsidR="00C954B6">
              <w:rPr>
                <w:rFonts w:cs="Arial"/>
                <w:szCs w:val="20"/>
              </w:rPr>
              <w:t>o</w:t>
            </w:r>
            <w:r w:rsidRPr="00402271">
              <w:rPr>
                <w:rFonts w:cs="Arial"/>
                <w:szCs w:val="20"/>
              </w:rPr>
              <w:t xml:space="preserve"> področj</w:t>
            </w:r>
            <w:r w:rsidR="00C954B6">
              <w:rPr>
                <w:rFonts w:cs="Arial"/>
                <w:szCs w:val="20"/>
              </w:rPr>
              <w:t>e spodbujanja udeležbe zaposlenih v lastništvu podjetij.</w:t>
            </w:r>
          </w:p>
          <w:p w14:paraId="6A5A4C00" w14:textId="27920A31" w:rsidR="00D96A0B" w:rsidRPr="00402271" w:rsidRDefault="00D96A0B" w:rsidP="00D96A0B">
            <w:pPr>
              <w:jc w:val="both"/>
              <w:rPr>
                <w:rFonts w:cs="Arial"/>
                <w:szCs w:val="20"/>
              </w:rPr>
            </w:pPr>
            <w:r w:rsidRPr="00402271">
              <w:rPr>
                <w:rFonts w:cs="Arial"/>
                <w:szCs w:val="20"/>
              </w:rPr>
              <w:t xml:space="preserve">Skupni znesek za </w:t>
            </w:r>
            <w:r w:rsidR="00C954B6">
              <w:rPr>
                <w:rFonts w:cs="Arial"/>
                <w:szCs w:val="20"/>
              </w:rPr>
              <w:t xml:space="preserve">FI </w:t>
            </w:r>
            <w:r w:rsidRPr="00402271">
              <w:rPr>
                <w:rFonts w:cs="Arial"/>
                <w:szCs w:val="20"/>
              </w:rPr>
              <w:t>za obdobje upravičenosti do</w:t>
            </w:r>
            <w:r>
              <w:rPr>
                <w:rFonts w:cs="Arial"/>
                <w:szCs w:val="20"/>
              </w:rPr>
              <w:t xml:space="preserve"> konca</w:t>
            </w:r>
            <w:r w:rsidRPr="00402271">
              <w:rPr>
                <w:rFonts w:cs="Arial"/>
                <w:szCs w:val="20"/>
              </w:rPr>
              <w:t xml:space="preserve"> leta 2029 znaša </w:t>
            </w:r>
            <w:r w:rsidR="00C954B6">
              <w:rPr>
                <w:rFonts w:cs="Arial"/>
                <w:szCs w:val="20"/>
              </w:rPr>
              <w:t>6,25</w:t>
            </w:r>
            <w:r w:rsidRPr="00402271">
              <w:rPr>
                <w:rFonts w:cs="Arial"/>
                <w:szCs w:val="20"/>
              </w:rPr>
              <w:t xml:space="preserve"> mio EUR (sredstva </w:t>
            </w:r>
            <w:r w:rsidR="00C954B6">
              <w:rPr>
                <w:rFonts w:cs="Arial"/>
                <w:szCs w:val="20"/>
              </w:rPr>
              <w:t>ESS+</w:t>
            </w:r>
            <w:r w:rsidRPr="00402271">
              <w:rPr>
                <w:rFonts w:cs="Arial"/>
                <w:szCs w:val="20"/>
              </w:rPr>
              <w:t xml:space="preserve">). </w:t>
            </w:r>
          </w:p>
          <w:p w14:paraId="37AD7828" w14:textId="74F8ECA7" w:rsidR="00D96A0B" w:rsidRPr="00402271" w:rsidRDefault="00D96A0B" w:rsidP="00D96A0B">
            <w:pPr>
              <w:jc w:val="both"/>
              <w:rPr>
                <w:rFonts w:cs="Arial"/>
                <w:szCs w:val="20"/>
              </w:rPr>
            </w:pPr>
            <w:r w:rsidRPr="00402271">
              <w:rPr>
                <w:rFonts w:cs="Arial"/>
                <w:szCs w:val="20"/>
              </w:rPr>
              <w:t xml:space="preserve">Na področju </w:t>
            </w:r>
            <w:r w:rsidR="00C954B6">
              <w:rPr>
                <w:rFonts w:cs="Arial"/>
                <w:szCs w:val="20"/>
              </w:rPr>
              <w:t>spodbujanja udeležbe zaposlenih v lastništvu podjetij</w:t>
            </w:r>
            <w:r w:rsidR="00C954B6" w:rsidRPr="00402271">
              <w:rPr>
                <w:rFonts w:cs="Arial"/>
                <w:szCs w:val="20"/>
              </w:rPr>
              <w:t xml:space="preserve"> </w:t>
            </w:r>
            <w:r w:rsidRPr="00402271">
              <w:rPr>
                <w:rFonts w:cs="Arial"/>
                <w:szCs w:val="20"/>
              </w:rPr>
              <w:t>bodo ciljnim skupinam na voljo posojila</w:t>
            </w:r>
            <w:r w:rsidR="00C954B6">
              <w:rPr>
                <w:rFonts w:cs="Arial"/>
                <w:szCs w:val="20"/>
              </w:rPr>
              <w:t xml:space="preserve"> in</w:t>
            </w:r>
            <w:r w:rsidRPr="00402271">
              <w:rPr>
                <w:rFonts w:cs="Arial"/>
                <w:szCs w:val="20"/>
              </w:rPr>
              <w:t xml:space="preserve"> garancije.</w:t>
            </w:r>
          </w:p>
          <w:p w14:paraId="34043810" w14:textId="38F95D7A" w:rsidR="00AE1F83" w:rsidRPr="00AE1F83" w:rsidRDefault="00D96A0B" w:rsidP="00D96A0B">
            <w:pPr>
              <w:suppressAutoHyphens/>
              <w:spacing w:line="260" w:lineRule="exact"/>
              <w:jc w:val="both"/>
              <w:rPr>
                <w:rFonts w:eastAsia="Times New Roman" w:cs="Arial"/>
                <w:iCs/>
                <w:szCs w:val="20"/>
                <w:lang w:eastAsia="sl-SI"/>
              </w:rPr>
            </w:pPr>
            <w:r w:rsidRPr="00402271">
              <w:rPr>
                <w:rFonts w:cs="Arial"/>
                <w:szCs w:val="20"/>
              </w:rPr>
              <w:t>F</w:t>
            </w:r>
            <w:r w:rsidR="00C954B6">
              <w:rPr>
                <w:rFonts w:cs="Arial"/>
                <w:szCs w:val="20"/>
              </w:rPr>
              <w:t>I</w:t>
            </w:r>
            <w:r w:rsidRPr="00402271">
              <w:rPr>
                <w:rFonts w:cs="Arial"/>
                <w:szCs w:val="20"/>
              </w:rPr>
              <w:t xml:space="preserve"> se izvaja</w:t>
            </w:r>
            <w:r>
              <w:rPr>
                <w:rFonts w:cs="Arial"/>
                <w:szCs w:val="20"/>
              </w:rPr>
              <w:t>jo</w:t>
            </w:r>
            <w:r w:rsidRPr="00402271">
              <w:rPr>
                <w:rFonts w:cs="Arial"/>
                <w:szCs w:val="20"/>
              </w:rPr>
              <w:t xml:space="preserve"> prek </w:t>
            </w:r>
            <w:r w:rsidR="00263576">
              <w:rPr>
                <w:rFonts w:cs="Arial"/>
                <w:szCs w:val="20"/>
              </w:rPr>
              <w:t>izvajalca FI</w:t>
            </w:r>
            <w:r w:rsidRPr="00402271">
              <w:rPr>
                <w:rFonts w:cs="Arial"/>
                <w:szCs w:val="20"/>
              </w:rPr>
              <w:t xml:space="preserve">, ki </w:t>
            </w:r>
            <w:r w:rsidR="00263576">
              <w:rPr>
                <w:rFonts w:cs="Arial"/>
                <w:szCs w:val="20"/>
              </w:rPr>
              <w:t xml:space="preserve">bo </w:t>
            </w:r>
            <w:r w:rsidRPr="00402271">
              <w:rPr>
                <w:rFonts w:cs="Arial"/>
                <w:szCs w:val="20"/>
              </w:rPr>
              <w:t>upravlja</w:t>
            </w:r>
            <w:r w:rsidR="00263576">
              <w:rPr>
                <w:rFonts w:cs="Arial"/>
                <w:szCs w:val="20"/>
              </w:rPr>
              <w:t>l</w:t>
            </w:r>
            <w:r w:rsidRPr="00402271">
              <w:rPr>
                <w:rFonts w:cs="Arial"/>
                <w:szCs w:val="20"/>
              </w:rPr>
              <w:t xml:space="preserve"> in izvaja</w:t>
            </w:r>
            <w:r w:rsidR="00263576">
              <w:rPr>
                <w:rFonts w:cs="Arial"/>
                <w:szCs w:val="20"/>
              </w:rPr>
              <w:t>l</w:t>
            </w:r>
            <w:r w:rsidRPr="00402271">
              <w:rPr>
                <w:rFonts w:cs="Arial"/>
                <w:szCs w:val="20"/>
              </w:rPr>
              <w:t xml:space="preserve"> finančne instrumente (posojila</w:t>
            </w:r>
            <w:r>
              <w:rPr>
                <w:rFonts w:cs="Arial"/>
                <w:szCs w:val="20"/>
              </w:rPr>
              <w:t xml:space="preserve"> in</w:t>
            </w:r>
            <w:r w:rsidRPr="00402271">
              <w:rPr>
                <w:rFonts w:cs="Arial"/>
                <w:szCs w:val="20"/>
              </w:rPr>
              <w:t xml:space="preserve"> garancije). Ključni deležniki pri izvajanju </w:t>
            </w:r>
            <w:r w:rsidR="00263576">
              <w:rPr>
                <w:rFonts w:cs="Arial"/>
                <w:szCs w:val="20"/>
              </w:rPr>
              <w:t>FI</w:t>
            </w:r>
            <w:r w:rsidRPr="00402271">
              <w:rPr>
                <w:rFonts w:cs="Arial"/>
                <w:szCs w:val="20"/>
              </w:rPr>
              <w:t xml:space="preserve"> so poleg </w:t>
            </w:r>
            <w:r w:rsidR="00263576">
              <w:rPr>
                <w:rFonts w:cs="Arial"/>
                <w:szCs w:val="20"/>
              </w:rPr>
              <w:t>izvajalca FI</w:t>
            </w:r>
            <w:r w:rsidRPr="00402271">
              <w:rPr>
                <w:rFonts w:cs="Arial"/>
                <w:szCs w:val="20"/>
              </w:rPr>
              <w:t xml:space="preserve"> še </w:t>
            </w:r>
            <w:r w:rsidR="00263576">
              <w:rPr>
                <w:rFonts w:cs="Arial"/>
                <w:szCs w:val="20"/>
              </w:rPr>
              <w:t>MDDSZ</w:t>
            </w:r>
            <w:r w:rsidRPr="00402271">
              <w:rPr>
                <w:rFonts w:cs="Arial"/>
                <w:szCs w:val="20"/>
              </w:rPr>
              <w:t xml:space="preserve"> (v vlogi posredniškega telesa za</w:t>
            </w:r>
            <w:r w:rsidR="00263576">
              <w:rPr>
                <w:rFonts w:cs="Arial"/>
                <w:szCs w:val="20"/>
              </w:rPr>
              <w:t xml:space="preserve"> FI</w:t>
            </w:r>
            <w:r w:rsidRPr="00402271">
              <w:rPr>
                <w:rFonts w:cs="Arial"/>
                <w:szCs w:val="20"/>
              </w:rPr>
              <w:t>), Ministrstvo za kohezijo in regionalni razvoj (kot organ upravljanja)</w:t>
            </w:r>
            <w:r w:rsidR="00263576">
              <w:rPr>
                <w:rFonts w:cs="Arial"/>
                <w:szCs w:val="20"/>
              </w:rPr>
              <w:t xml:space="preserve"> in</w:t>
            </w:r>
            <w:r w:rsidRPr="00402271">
              <w:rPr>
                <w:rFonts w:cs="Arial"/>
                <w:szCs w:val="20"/>
              </w:rPr>
              <w:t xml:space="preserve"> Ministrstvo za finance (kot plačilni organ in organ za računovodenje).</w:t>
            </w:r>
          </w:p>
        </w:tc>
      </w:tr>
      <w:tr w:rsidR="00AE1F83" w:rsidRPr="00AE1F83" w14:paraId="77EAC4CC" w14:textId="77777777" w:rsidTr="00BD6A1D">
        <w:tc>
          <w:tcPr>
            <w:tcW w:w="9163" w:type="dxa"/>
            <w:gridSpan w:val="4"/>
          </w:tcPr>
          <w:p w14:paraId="6DC34995" w14:textId="77777777" w:rsidR="00AE1F83" w:rsidRPr="00AE1F83" w:rsidRDefault="00AE1F83" w:rsidP="00F713B9">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6. Presoja posledic za:</w:t>
            </w:r>
          </w:p>
        </w:tc>
      </w:tr>
      <w:tr w:rsidR="00AE1F83" w:rsidRPr="00AE1F83" w14:paraId="2B0D2715" w14:textId="77777777" w:rsidTr="00BD6A1D">
        <w:tc>
          <w:tcPr>
            <w:tcW w:w="1448" w:type="dxa"/>
          </w:tcPr>
          <w:p w14:paraId="048CC711" w14:textId="77777777" w:rsidR="00AE1F83" w:rsidRPr="00AE1F83" w:rsidRDefault="00AE1F83" w:rsidP="00F713B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27BD7B85"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2B385477" w14:textId="008B8528" w:rsidR="00AE1F83" w:rsidRPr="0073268D" w:rsidRDefault="00263576" w:rsidP="00F713B9">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NE</w:t>
            </w:r>
          </w:p>
        </w:tc>
      </w:tr>
      <w:tr w:rsidR="00AE1F83" w:rsidRPr="00AE1F83" w14:paraId="0C60A35B" w14:textId="77777777" w:rsidTr="00BD6A1D">
        <w:tc>
          <w:tcPr>
            <w:tcW w:w="1448" w:type="dxa"/>
          </w:tcPr>
          <w:p w14:paraId="32A11FE7" w14:textId="77777777" w:rsidR="00AE1F83" w:rsidRPr="00AE1F83" w:rsidRDefault="00AE1F83" w:rsidP="00F713B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6A51C180"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792A82" w14:textId="77777777" w:rsidR="00AE1F83" w:rsidRPr="0073268D" w:rsidRDefault="00AE1F83" w:rsidP="00F713B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3268D">
              <w:rPr>
                <w:rFonts w:eastAsia="Times New Roman" w:cs="Arial"/>
                <w:szCs w:val="20"/>
                <w:lang w:eastAsia="sl-SI"/>
              </w:rPr>
              <w:t>NE</w:t>
            </w:r>
          </w:p>
        </w:tc>
      </w:tr>
      <w:tr w:rsidR="00AE1F83" w:rsidRPr="00AE1F83" w14:paraId="59A452F6" w14:textId="77777777" w:rsidTr="00BD6A1D">
        <w:tc>
          <w:tcPr>
            <w:tcW w:w="1448" w:type="dxa"/>
          </w:tcPr>
          <w:p w14:paraId="7267A3A3" w14:textId="77777777" w:rsidR="00AE1F83" w:rsidRPr="00AE1F83" w:rsidRDefault="00AE1F83" w:rsidP="00F713B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0CFD8C4B"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75FBD842" w14:textId="77777777" w:rsidR="00AE1F83" w:rsidRPr="0073268D" w:rsidRDefault="00AE1F83" w:rsidP="00F713B9">
            <w:pPr>
              <w:overflowPunct w:val="0"/>
              <w:autoSpaceDE w:val="0"/>
              <w:autoSpaceDN w:val="0"/>
              <w:adjustRightInd w:val="0"/>
              <w:spacing w:after="0" w:line="260" w:lineRule="exact"/>
              <w:jc w:val="center"/>
              <w:textAlignment w:val="baseline"/>
              <w:rPr>
                <w:rFonts w:eastAsia="Times New Roman" w:cs="Arial"/>
                <w:szCs w:val="20"/>
                <w:lang w:eastAsia="sl-SI"/>
              </w:rPr>
            </w:pPr>
            <w:r w:rsidRPr="0073268D">
              <w:rPr>
                <w:rFonts w:eastAsia="Times New Roman" w:cs="Arial"/>
                <w:szCs w:val="20"/>
                <w:lang w:eastAsia="sl-SI"/>
              </w:rPr>
              <w:t>NE</w:t>
            </w:r>
          </w:p>
        </w:tc>
      </w:tr>
      <w:tr w:rsidR="00AE1F83" w:rsidRPr="00AE1F83" w14:paraId="2E1297DE" w14:textId="77777777" w:rsidTr="00BD6A1D">
        <w:tc>
          <w:tcPr>
            <w:tcW w:w="1448" w:type="dxa"/>
          </w:tcPr>
          <w:p w14:paraId="100F924B" w14:textId="77777777" w:rsidR="00AE1F83" w:rsidRPr="00AE1F83" w:rsidRDefault="00AE1F83" w:rsidP="00F713B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406C0271"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0AA66F90" w14:textId="77777777" w:rsidR="00AE1F83" w:rsidRPr="0073268D" w:rsidRDefault="00AE1F83" w:rsidP="00F713B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3268D">
              <w:rPr>
                <w:rFonts w:eastAsia="Times New Roman" w:cs="Arial"/>
                <w:szCs w:val="20"/>
                <w:lang w:eastAsia="sl-SI"/>
              </w:rPr>
              <w:t>NE</w:t>
            </w:r>
          </w:p>
        </w:tc>
      </w:tr>
      <w:tr w:rsidR="00AE1F83" w:rsidRPr="00AE1F83" w14:paraId="658B2438" w14:textId="77777777" w:rsidTr="00BD6A1D">
        <w:tc>
          <w:tcPr>
            <w:tcW w:w="1448" w:type="dxa"/>
          </w:tcPr>
          <w:p w14:paraId="1A58EE1A" w14:textId="77777777" w:rsidR="00AE1F83" w:rsidRPr="00AE1F83" w:rsidRDefault="00AE1F83" w:rsidP="00F713B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60B315BD"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5155D9A3" w14:textId="77777777" w:rsidR="00AE1F83" w:rsidRPr="0073268D" w:rsidRDefault="00AE1F83" w:rsidP="00F713B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3268D">
              <w:rPr>
                <w:rFonts w:eastAsia="Times New Roman" w:cs="Arial"/>
                <w:szCs w:val="20"/>
                <w:lang w:eastAsia="sl-SI"/>
              </w:rPr>
              <w:t>NE</w:t>
            </w:r>
          </w:p>
        </w:tc>
      </w:tr>
      <w:tr w:rsidR="00AE1F83" w:rsidRPr="00AE1F83" w14:paraId="2A6B8B6D" w14:textId="77777777" w:rsidTr="00BD6A1D">
        <w:tc>
          <w:tcPr>
            <w:tcW w:w="1448" w:type="dxa"/>
          </w:tcPr>
          <w:p w14:paraId="25F968AA" w14:textId="77777777" w:rsidR="00AE1F83" w:rsidRPr="00AE1F83" w:rsidRDefault="00AE1F83" w:rsidP="00F713B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6C30FFF2"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2ED7DDFA" w14:textId="77777777" w:rsidR="00AE1F83" w:rsidRPr="0073268D" w:rsidRDefault="00AE1F83" w:rsidP="00F713B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3268D">
              <w:rPr>
                <w:rFonts w:eastAsia="Times New Roman" w:cs="Arial"/>
                <w:szCs w:val="20"/>
                <w:lang w:eastAsia="sl-SI"/>
              </w:rPr>
              <w:t>NE</w:t>
            </w:r>
          </w:p>
        </w:tc>
      </w:tr>
      <w:tr w:rsidR="00AE1F83" w:rsidRPr="00AE1F83" w14:paraId="3FAD8640" w14:textId="77777777" w:rsidTr="00BD6A1D">
        <w:tc>
          <w:tcPr>
            <w:tcW w:w="1448" w:type="dxa"/>
            <w:tcBorders>
              <w:bottom w:val="single" w:sz="4" w:space="0" w:color="auto"/>
            </w:tcBorders>
          </w:tcPr>
          <w:p w14:paraId="7AD092A3" w14:textId="77777777" w:rsidR="00AE1F83" w:rsidRPr="00AE1F83" w:rsidRDefault="00AE1F83" w:rsidP="00F713B9">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2E966057" w14:textId="77777777" w:rsidR="00AE1F83" w:rsidRPr="00AE1F83" w:rsidRDefault="00AE1F83" w:rsidP="00F713B9">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59FABD73" w14:textId="77777777" w:rsidR="00AE1F83" w:rsidRPr="00AE1F83" w:rsidRDefault="00AE1F83" w:rsidP="00F713B9">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0342C870" w14:textId="77777777" w:rsidR="00AE1F83" w:rsidRPr="00AE1F83" w:rsidRDefault="00AE1F83" w:rsidP="00F713B9">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101421" w14:textId="77777777" w:rsidR="00AE1F83" w:rsidRPr="00AE1F83" w:rsidRDefault="00AE1F83" w:rsidP="00F713B9">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7E10C9B" w14:textId="77777777" w:rsidR="00AE1F83" w:rsidRPr="0073268D" w:rsidRDefault="00AE1F83" w:rsidP="00F713B9">
            <w:pPr>
              <w:overflowPunct w:val="0"/>
              <w:autoSpaceDE w:val="0"/>
              <w:autoSpaceDN w:val="0"/>
              <w:adjustRightInd w:val="0"/>
              <w:spacing w:after="0" w:line="260" w:lineRule="exact"/>
              <w:jc w:val="center"/>
              <w:textAlignment w:val="baseline"/>
              <w:rPr>
                <w:rFonts w:eastAsia="Times New Roman" w:cs="Arial"/>
                <w:iCs/>
                <w:szCs w:val="20"/>
                <w:lang w:eastAsia="sl-SI"/>
              </w:rPr>
            </w:pPr>
            <w:r w:rsidRPr="0073268D">
              <w:rPr>
                <w:rFonts w:eastAsia="Times New Roman" w:cs="Arial"/>
                <w:szCs w:val="20"/>
                <w:lang w:eastAsia="sl-SI"/>
              </w:rPr>
              <w:t>NE</w:t>
            </w:r>
          </w:p>
        </w:tc>
      </w:tr>
      <w:tr w:rsidR="00AE1F83" w:rsidRPr="00AE1F83" w14:paraId="30245594"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F042D52" w14:textId="77777777" w:rsidR="00AE1F83" w:rsidRPr="0073268D" w:rsidRDefault="00AE1F83" w:rsidP="00F713B9">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73268D">
              <w:rPr>
                <w:rFonts w:eastAsia="Times New Roman" w:cs="Arial"/>
                <w:b/>
                <w:szCs w:val="20"/>
                <w:lang w:eastAsia="sl-SI"/>
              </w:rPr>
              <w:t>7.a Predstavitev ocene finančnih posledic nad 40.000 EUR:</w:t>
            </w:r>
          </w:p>
          <w:p w14:paraId="18708829" w14:textId="77777777" w:rsidR="00AE1F83" w:rsidRPr="0073268D" w:rsidRDefault="00AE1F83" w:rsidP="00263576">
            <w:pPr>
              <w:widowControl w:val="0"/>
              <w:suppressAutoHyphens/>
              <w:overflowPunct w:val="0"/>
              <w:autoSpaceDE w:val="0"/>
              <w:autoSpaceDN w:val="0"/>
              <w:adjustRightInd w:val="0"/>
              <w:spacing w:after="0" w:line="260" w:lineRule="exact"/>
              <w:jc w:val="both"/>
              <w:textAlignment w:val="baseline"/>
              <w:outlineLvl w:val="3"/>
              <w:rPr>
                <w:rFonts w:eastAsia="Times New Roman" w:cs="Arial"/>
                <w:szCs w:val="20"/>
                <w:lang w:eastAsia="sl-SI"/>
              </w:rPr>
            </w:pPr>
          </w:p>
        </w:tc>
      </w:tr>
    </w:tbl>
    <w:p w14:paraId="7CF3C995" w14:textId="77777777" w:rsidR="00AE1F83" w:rsidRPr="00AE1F83" w:rsidRDefault="00AE1F83" w:rsidP="00F713B9">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879"/>
        <w:gridCol w:w="1408"/>
        <w:gridCol w:w="440"/>
        <w:gridCol w:w="955"/>
        <w:gridCol w:w="680"/>
        <w:gridCol w:w="381"/>
        <w:gridCol w:w="300"/>
        <w:gridCol w:w="2102"/>
      </w:tblGrid>
      <w:tr w:rsidR="00AE1F83" w:rsidRPr="00AE1F83" w14:paraId="40D65ED7"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894986" w14:textId="77777777" w:rsidR="00AE1F83" w:rsidRPr="00AE1F83" w:rsidRDefault="00AE1F83" w:rsidP="00F713B9">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7DECEFB2" w14:textId="77777777" w:rsidTr="00092AE6">
        <w:trPr>
          <w:cantSplit/>
          <w:trHeight w:val="276"/>
        </w:trPr>
        <w:tc>
          <w:tcPr>
            <w:tcW w:w="2934" w:type="dxa"/>
            <w:gridSpan w:val="2"/>
            <w:tcBorders>
              <w:top w:val="single" w:sz="4" w:space="0" w:color="auto"/>
              <w:left w:val="single" w:sz="4" w:space="0" w:color="auto"/>
              <w:bottom w:val="single" w:sz="4" w:space="0" w:color="auto"/>
              <w:right w:val="single" w:sz="4" w:space="0" w:color="auto"/>
            </w:tcBorders>
            <w:vAlign w:val="center"/>
          </w:tcPr>
          <w:p w14:paraId="7B012AAE" w14:textId="77777777" w:rsidR="00AE1F83" w:rsidRPr="00AE1F83" w:rsidRDefault="00AE1F83" w:rsidP="00F713B9">
            <w:pPr>
              <w:widowControl w:val="0"/>
              <w:spacing w:after="0" w:line="260" w:lineRule="exact"/>
              <w:ind w:left="-122" w:right="-112"/>
              <w:jc w:val="center"/>
              <w:rPr>
                <w:rFonts w:eastAsia="Times New Roman" w:cs="Arial"/>
                <w:szCs w:val="20"/>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76CF4779" w14:textId="77777777" w:rsidR="00AE1F83" w:rsidRPr="00AE1F83" w:rsidRDefault="00AE1F83" w:rsidP="00F713B9">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55" w:type="dxa"/>
            <w:tcBorders>
              <w:top w:val="single" w:sz="4" w:space="0" w:color="auto"/>
              <w:left w:val="single" w:sz="4" w:space="0" w:color="auto"/>
              <w:bottom w:val="single" w:sz="4" w:space="0" w:color="auto"/>
              <w:right w:val="single" w:sz="4" w:space="0" w:color="auto"/>
            </w:tcBorders>
            <w:vAlign w:val="center"/>
          </w:tcPr>
          <w:p w14:paraId="08F5ED50" w14:textId="77777777" w:rsidR="00AE1F83" w:rsidRPr="00AE1F83" w:rsidRDefault="00AE1F83" w:rsidP="00F713B9">
            <w:pPr>
              <w:widowControl w:val="0"/>
              <w:spacing w:after="0" w:line="260" w:lineRule="exact"/>
              <w:jc w:val="center"/>
              <w:rPr>
                <w:rFonts w:eastAsia="Times New Roman" w:cs="Arial"/>
                <w:szCs w:val="20"/>
              </w:rPr>
            </w:pPr>
            <w:r w:rsidRPr="00AE1F83">
              <w:rPr>
                <w:rFonts w:eastAsia="Times New Roman" w:cs="Arial"/>
                <w:szCs w:val="20"/>
              </w:rPr>
              <w:t>t + 1</w:t>
            </w: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5D9DCF62" w14:textId="77777777" w:rsidR="00AE1F83" w:rsidRPr="00AE1F83" w:rsidRDefault="00AE1F83" w:rsidP="00F713B9">
            <w:pPr>
              <w:widowControl w:val="0"/>
              <w:spacing w:after="0" w:line="260" w:lineRule="exact"/>
              <w:jc w:val="center"/>
              <w:rPr>
                <w:rFonts w:eastAsia="Times New Roman" w:cs="Arial"/>
                <w:szCs w:val="20"/>
              </w:rPr>
            </w:pPr>
            <w:r w:rsidRPr="00AE1F83">
              <w:rPr>
                <w:rFonts w:eastAsia="Times New Roman" w:cs="Arial"/>
                <w:szCs w:val="20"/>
              </w:rPr>
              <w:t>t + 2</w:t>
            </w:r>
          </w:p>
        </w:tc>
        <w:tc>
          <w:tcPr>
            <w:tcW w:w="2102" w:type="dxa"/>
            <w:tcBorders>
              <w:top w:val="single" w:sz="4" w:space="0" w:color="auto"/>
              <w:left w:val="single" w:sz="4" w:space="0" w:color="auto"/>
              <w:bottom w:val="single" w:sz="4" w:space="0" w:color="auto"/>
              <w:right w:val="single" w:sz="4" w:space="0" w:color="auto"/>
            </w:tcBorders>
            <w:vAlign w:val="center"/>
          </w:tcPr>
          <w:p w14:paraId="0A29BAB9" w14:textId="77777777" w:rsidR="00AE1F83" w:rsidRPr="00AE1F83" w:rsidRDefault="00AE1F83" w:rsidP="00F713B9">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0D6C5AD6" w14:textId="77777777" w:rsidTr="00092AE6">
        <w:trPr>
          <w:cantSplit/>
          <w:trHeight w:val="423"/>
        </w:trPr>
        <w:tc>
          <w:tcPr>
            <w:tcW w:w="2934" w:type="dxa"/>
            <w:gridSpan w:val="2"/>
            <w:tcBorders>
              <w:top w:val="single" w:sz="4" w:space="0" w:color="auto"/>
              <w:left w:val="single" w:sz="4" w:space="0" w:color="auto"/>
              <w:bottom w:val="single" w:sz="4" w:space="0" w:color="auto"/>
              <w:right w:val="single" w:sz="4" w:space="0" w:color="auto"/>
            </w:tcBorders>
            <w:vAlign w:val="center"/>
          </w:tcPr>
          <w:p w14:paraId="05B46B1D" w14:textId="77777777" w:rsidR="00AE1F83" w:rsidRPr="00AE1F83" w:rsidRDefault="00AE1F83" w:rsidP="00F713B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757DFD4A" w14:textId="77777777" w:rsidR="00AE1F83" w:rsidRPr="00AE1F83" w:rsidRDefault="00AE1F83" w:rsidP="00F713B9">
            <w:pPr>
              <w:widowControl w:val="0"/>
              <w:tabs>
                <w:tab w:val="left" w:pos="360"/>
              </w:tabs>
              <w:spacing w:after="0" w:line="260" w:lineRule="exact"/>
              <w:jc w:val="center"/>
              <w:outlineLvl w:val="0"/>
              <w:rPr>
                <w:rFonts w:eastAsia="Times New Roman" w:cs="Arial"/>
                <w:bCs/>
                <w:kern w:val="32"/>
                <w:szCs w:val="20"/>
                <w:lang w:eastAsia="sl-SI"/>
              </w:rPr>
            </w:pPr>
          </w:p>
        </w:tc>
        <w:tc>
          <w:tcPr>
            <w:tcW w:w="955" w:type="dxa"/>
            <w:tcBorders>
              <w:top w:val="single" w:sz="4" w:space="0" w:color="auto"/>
              <w:left w:val="single" w:sz="4" w:space="0" w:color="auto"/>
              <w:bottom w:val="single" w:sz="4" w:space="0" w:color="auto"/>
              <w:right w:val="single" w:sz="4" w:space="0" w:color="auto"/>
            </w:tcBorders>
            <w:vAlign w:val="center"/>
          </w:tcPr>
          <w:p w14:paraId="7D6B0434" w14:textId="77777777" w:rsidR="00AE1F83" w:rsidRPr="00AE1F83" w:rsidRDefault="00AE1F83" w:rsidP="00F713B9">
            <w:pPr>
              <w:widowControl w:val="0"/>
              <w:tabs>
                <w:tab w:val="left" w:pos="360"/>
              </w:tabs>
              <w:spacing w:after="0" w:line="260" w:lineRule="exact"/>
              <w:jc w:val="center"/>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0D8D36B4" w14:textId="77777777" w:rsidR="00AE1F83" w:rsidRPr="00AE1F83" w:rsidRDefault="00AE1F83" w:rsidP="00F713B9">
            <w:pPr>
              <w:widowControl w:val="0"/>
              <w:tabs>
                <w:tab w:val="left" w:pos="360"/>
              </w:tabs>
              <w:spacing w:after="0" w:line="260" w:lineRule="exact"/>
              <w:jc w:val="center"/>
              <w:outlineLvl w:val="0"/>
              <w:rPr>
                <w:rFonts w:eastAsia="Times New Roman" w:cs="Arial"/>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7D785BF2" w14:textId="77777777" w:rsidR="00AE1F83" w:rsidRPr="00AE1F83" w:rsidRDefault="00AE1F83" w:rsidP="00F713B9">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2BAB5BE6" w14:textId="77777777" w:rsidTr="00092AE6">
        <w:trPr>
          <w:cantSplit/>
          <w:trHeight w:val="423"/>
        </w:trPr>
        <w:tc>
          <w:tcPr>
            <w:tcW w:w="2934" w:type="dxa"/>
            <w:gridSpan w:val="2"/>
            <w:tcBorders>
              <w:top w:val="single" w:sz="4" w:space="0" w:color="auto"/>
              <w:left w:val="single" w:sz="4" w:space="0" w:color="auto"/>
              <w:bottom w:val="single" w:sz="4" w:space="0" w:color="auto"/>
              <w:right w:val="single" w:sz="4" w:space="0" w:color="auto"/>
            </w:tcBorders>
            <w:vAlign w:val="center"/>
          </w:tcPr>
          <w:p w14:paraId="10E58A67" w14:textId="77777777" w:rsidR="00AE1F83" w:rsidRPr="00AE1F83" w:rsidRDefault="00AE1F83" w:rsidP="00F713B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50FB4FE8" w14:textId="77777777" w:rsidR="00AE1F83" w:rsidRPr="00AE1F83" w:rsidRDefault="00AE1F83" w:rsidP="00F713B9">
            <w:pPr>
              <w:widowControl w:val="0"/>
              <w:tabs>
                <w:tab w:val="left" w:pos="360"/>
              </w:tabs>
              <w:spacing w:after="0" w:line="260" w:lineRule="exact"/>
              <w:jc w:val="center"/>
              <w:outlineLvl w:val="0"/>
              <w:rPr>
                <w:rFonts w:eastAsia="Times New Roman" w:cs="Arial"/>
                <w:bCs/>
                <w:kern w:val="32"/>
                <w:szCs w:val="20"/>
                <w:lang w:eastAsia="sl-SI"/>
              </w:rPr>
            </w:pPr>
          </w:p>
        </w:tc>
        <w:tc>
          <w:tcPr>
            <w:tcW w:w="955" w:type="dxa"/>
            <w:tcBorders>
              <w:top w:val="single" w:sz="4" w:space="0" w:color="auto"/>
              <w:left w:val="single" w:sz="4" w:space="0" w:color="auto"/>
              <w:bottom w:val="single" w:sz="4" w:space="0" w:color="auto"/>
              <w:right w:val="single" w:sz="4" w:space="0" w:color="auto"/>
            </w:tcBorders>
            <w:vAlign w:val="center"/>
          </w:tcPr>
          <w:p w14:paraId="543563DA" w14:textId="77777777" w:rsidR="00AE1F83" w:rsidRPr="00AE1F83" w:rsidRDefault="00AE1F83" w:rsidP="00F713B9">
            <w:pPr>
              <w:widowControl w:val="0"/>
              <w:tabs>
                <w:tab w:val="left" w:pos="360"/>
              </w:tabs>
              <w:spacing w:after="0" w:line="260" w:lineRule="exact"/>
              <w:jc w:val="center"/>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1F44839B" w14:textId="77777777" w:rsidR="00AE1F83" w:rsidRPr="00AE1F83" w:rsidRDefault="00AE1F83" w:rsidP="00F713B9">
            <w:pPr>
              <w:widowControl w:val="0"/>
              <w:tabs>
                <w:tab w:val="left" w:pos="360"/>
              </w:tabs>
              <w:spacing w:after="0" w:line="260" w:lineRule="exact"/>
              <w:jc w:val="center"/>
              <w:outlineLvl w:val="0"/>
              <w:rPr>
                <w:rFonts w:eastAsia="Times New Roman" w:cs="Arial"/>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227989E2" w14:textId="77777777" w:rsidR="00AE1F83" w:rsidRPr="00AE1F83" w:rsidRDefault="00AE1F83" w:rsidP="00F713B9">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338C07AB" w14:textId="77777777" w:rsidTr="00092AE6">
        <w:trPr>
          <w:cantSplit/>
          <w:trHeight w:val="423"/>
        </w:trPr>
        <w:tc>
          <w:tcPr>
            <w:tcW w:w="2934" w:type="dxa"/>
            <w:gridSpan w:val="2"/>
            <w:tcBorders>
              <w:top w:val="single" w:sz="4" w:space="0" w:color="auto"/>
              <w:left w:val="single" w:sz="4" w:space="0" w:color="auto"/>
              <w:bottom w:val="single" w:sz="4" w:space="0" w:color="auto"/>
              <w:right w:val="single" w:sz="4" w:space="0" w:color="auto"/>
            </w:tcBorders>
            <w:vAlign w:val="center"/>
          </w:tcPr>
          <w:p w14:paraId="67F15441" w14:textId="77777777" w:rsidR="00AE1F83" w:rsidRPr="00AE1F83" w:rsidRDefault="00AE1F83" w:rsidP="00F713B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303A2951" w14:textId="77777777" w:rsidR="00AE1F83" w:rsidRPr="00AE1F83" w:rsidRDefault="00AE1F83" w:rsidP="00F713B9">
            <w:pPr>
              <w:widowControl w:val="0"/>
              <w:spacing w:after="0" w:line="260" w:lineRule="exact"/>
              <w:jc w:val="center"/>
              <w:rPr>
                <w:rFonts w:eastAsia="Times New Roman" w:cs="Arial"/>
                <w:szCs w:val="20"/>
              </w:rPr>
            </w:pPr>
          </w:p>
        </w:tc>
        <w:tc>
          <w:tcPr>
            <w:tcW w:w="955" w:type="dxa"/>
            <w:tcBorders>
              <w:top w:val="single" w:sz="4" w:space="0" w:color="auto"/>
              <w:left w:val="single" w:sz="4" w:space="0" w:color="auto"/>
              <w:bottom w:val="single" w:sz="4" w:space="0" w:color="auto"/>
              <w:right w:val="single" w:sz="4" w:space="0" w:color="auto"/>
            </w:tcBorders>
            <w:vAlign w:val="center"/>
          </w:tcPr>
          <w:p w14:paraId="424FCAE3" w14:textId="77777777" w:rsidR="00AE1F83" w:rsidRPr="00AE1F83" w:rsidRDefault="00AE1F83" w:rsidP="00F713B9">
            <w:pPr>
              <w:widowControl w:val="0"/>
              <w:spacing w:after="0" w:line="260" w:lineRule="exact"/>
              <w:jc w:val="center"/>
              <w:rPr>
                <w:rFonts w:eastAsia="Times New Roman" w:cs="Arial"/>
                <w:szCs w:val="20"/>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0A2744BA" w14:textId="77777777" w:rsidR="00AE1F83" w:rsidRPr="00AE1F83" w:rsidRDefault="00AE1F83" w:rsidP="00F713B9">
            <w:pPr>
              <w:widowControl w:val="0"/>
              <w:spacing w:after="0" w:line="260" w:lineRule="exact"/>
              <w:jc w:val="center"/>
              <w:rPr>
                <w:rFonts w:eastAsia="Times New Roman" w:cs="Arial"/>
                <w:szCs w:val="20"/>
              </w:rPr>
            </w:pPr>
          </w:p>
        </w:tc>
        <w:tc>
          <w:tcPr>
            <w:tcW w:w="2102" w:type="dxa"/>
            <w:tcBorders>
              <w:top w:val="single" w:sz="4" w:space="0" w:color="auto"/>
              <w:left w:val="single" w:sz="4" w:space="0" w:color="auto"/>
              <w:bottom w:val="single" w:sz="4" w:space="0" w:color="auto"/>
              <w:right w:val="single" w:sz="4" w:space="0" w:color="auto"/>
            </w:tcBorders>
            <w:vAlign w:val="center"/>
          </w:tcPr>
          <w:p w14:paraId="1F845A61" w14:textId="77777777" w:rsidR="00AE1F83" w:rsidRPr="00AE1F83" w:rsidRDefault="00AE1F83" w:rsidP="00F713B9">
            <w:pPr>
              <w:widowControl w:val="0"/>
              <w:spacing w:after="0" w:line="260" w:lineRule="exact"/>
              <w:jc w:val="center"/>
              <w:rPr>
                <w:rFonts w:eastAsia="Times New Roman" w:cs="Arial"/>
                <w:szCs w:val="20"/>
              </w:rPr>
            </w:pPr>
          </w:p>
        </w:tc>
      </w:tr>
      <w:tr w:rsidR="00AE1F83" w:rsidRPr="00AE1F83" w14:paraId="5982FBA0" w14:textId="77777777" w:rsidTr="00092AE6">
        <w:trPr>
          <w:cantSplit/>
          <w:trHeight w:val="623"/>
        </w:trPr>
        <w:tc>
          <w:tcPr>
            <w:tcW w:w="2934" w:type="dxa"/>
            <w:gridSpan w:val="2"/>
            <w:tcBorders>
              <w:top w:val="single" w:sz="4" w:space="0" w:color="auto"/>
              <w:left w:val="single" w:sz="4" w:space="0" w:color="auto"/>
              <w:bottom w:val="single" w:sz="4" w:space="0" w:color="auto"/>
              <w:right w:val="single" w:sz="4" w:space="0" w:color="auto"/>
            </w:tcBorders>
            <w:vAlign w:val="center"/>
          </w:tcPr>
          <w:p w14:paraId="1E0EE917" w14:textId="77777777" w:rsidR="00AE1F83" w:rsidRPr="00AE1F83" w:rsidRDefault="00AE1F83" w:rsidP="00F713B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3D10D326" w14:textId="77777777" w:rsidR="00AE1F83" w:rsidRPr="00AE1F83" w:rsidRDefault="00AE1F83" w:rsidP="00F713B9">
            <w:pPr>
              <w:widowControl w:val="0"/>
              <w:spacing w:after="0" w:line="260" w:lineRule="exact"/>
              <w:jc w:val="center"/>
              <w:rPr>
                <w:rFonts w:eastAsia="Times New Roman" w:cs="Arial"/>
                <w:szCs w:val="20"/>
              </w:rPr>
            </w:pPr>
          </w:p>
        </w:tc>
        <w:tc>
          <w:tcPr>
            <w:tcW w:w="955" w:type="dxa"/>
            <w:tcBorders>
              <w:top w:val="single" w:sz="4" w:space="0" w:color="auto"/>
              <w:left w:val="single" w:sz="4" w:space="0" w:color="auto"/>
              <w:bottom w:val="single" w:sz="4" w:space="0" w:color="auto"/>
              <w:right w:val="single" w:sz="4" w:space="0" w:color="auto"/>
            </w:tcBorders>
            <w:vAlign w:val="center"/>
          </w:tcPr>
          <w:p w14:paraId="498130B2" w14:textId="77777777" w:rsidR="00AE1F83" w:rsidRPr="00AE1F83" w:rsidRDefault="00AE1F83" w:rsidP="00F713B9">
            <w:pPr>
              <w:widowControl w:val="0"/>
              <w:spacing w:after="0" w:line="260" w:lineRule="exact"/>
              <w:jc w:val="center"/>
              <w:rPr>
                <w:rFonts w:eastAsia="Times New Roman" w:cs="Arial"/>
                <w:szCs w:val="20"/>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7C35F8F9" w14:textId="77777777" w:rsidR="00AE1F83" w:rsidRPr="00AE1F83" w:rsidRDefault="00AE1F83" w:rsidP="00F713B9">
            <w:pPr>
              <w:widowControl w:val="0"/>
              <w:spacing w:after="0" w:line="260" w:lineRule="exact"/>
              <w:jc w:val="center"/>
              <w:rPr>
                <w:rFonts w:eastAsia="Times New Roman" w:cs="Arial"/>
                <w:szCs w:val="20"/>
              </w:rPr>
            </w:pPr>
          </w:p>
        </w:tc>
        <w:tc>
          <w:tcPr>
            <w:tcW w:w="2102" w:type="dxa"/>
            <w:tcBorders>
              <w:top w:val="single" w:sz="4" w:space="0" w:color="auto"/>
              <w:left w:val="single" w:sz="4" w:space="0" w:color="auto"/>
              <w:bottom w:val="single" w:sz="4" w:space="0" w:color="auto"/>
              <w:right w:val="single" w:sz="4" w:space="0" w:color="auto"/>
            </w:tcBorders>
            <w:vAlign w:val="center"/>
          </w:tcPr>
          <w:p w14:paraId="3D9D6045" w14:textId="77777777" w:rsidR="00AE1F83" w:rsidRPr="00AE1F83" w:rsidRDefault="00AE1F83" w:rsidP="00F713B9">
            <w:pPr>
              <w:widowControl w:val="0"/>
              <w:spacing w:after="0" w:line="260" w:lineRule="exact"/>
              <w:jc w:val="center"/>
              <w:rPr>
                <w:rFonts w:eastAsia="Times New Roman" w:cs="Arial"/>
                <w:szCs w:val="20"/>
              </w:rPr>
            </w:pPr>
          </w:p>
        </w:tc>
      </w:tr>
      <w:tr w:rsidR="00AE1F83" w:rsidRPr="00AE1F83" w14:paraId="04DF030A" w14:textId="77777777" w:rsidTr="00092AE6">
        <w:trPr>
          <w:cantSplit/>
          <w:trHeight w:val="423"/>
        </w:trPr>
        <w:tc>
          <w:tcPr>
            <w:tcW w:w="2934" w:type="dxa"/>
            <w:gridSpan w:val="2"/>
            <w:tcBorders>
              <w:top w:val="single" w:sz="4" w:space="0" w:color="auto"/>
              <w:left w:val="single" w:sz="4" w:space="0" w:color="auto"/>
              <w:bottom w:val="single" w:sz="4" w:space="0" w:color="auto"/>
              <w:right w:val="single" w:sz="4" w:space="0" w:color="auto"/>
            </w:tcBorders>
            <w:vAlign w:val="center"/>
          </w:tcPr>
          <w:p w14:paraId="10FC0AAF" w14:textId="77777777" w:rsidR="00AE1F83" w:rsidRPr="00AE1F83" w:rsidRDefault="00AE1F83" w:rsidP="00F713B9">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3032A215" w14:textId="77777777" w:rsidR="00AE1F83" w:rsidRPr="00AE1F83" w:rsidRDefault="00AE1F83" w:rsidP="00F713B9">
            <w:pPr>
              <w:widowControl w:val="0"/>
              <w:tabs>
                <w:tab w:val="left" w:pos="360"/>
              </w:tabs>
              <w:spacing w:after="0" w:line="260" w:lineRule="exact"/>
              <w:jc w:val="center"/>
              <w:outlineLvl w:val="0"/>
              <w:rPr>
                <w:rFonts w:eastAsia="Times New Roman" w:cs="Arial"/>
                <w:bCs/>
                <w:kern w:val="32"/>
                <w:szCs w:val="20"/>
                <w:lang w:eastAsia="sl-SI"/>
              </w:rPr>
            </w:pPr>
          </w:p>
        </w:tc>
        <w:tc>
          <w:tcPr>
            <w:tcW w:w="955" w:type="dxa"/>
            <w:tcBorders>
              <w:top w:val="single" w:sz="4" w:space="0" w:color="auto"/>
              <w:left w:val="single" w:sz="4" w:space="0" w:color="auto"/>
              <w:bottom w:val="single" w:sz="4" w:space="0" w:color="auto"/>
              <w:right w:val="single" w:sz="4" w:space="0" w:color="auto"/>
            </w:tcBorders>
            <w:vAlign w:val="center"/>
          </w:tcPr>
          <w:p w14:paraId="2180D68C" w14:textId="77777777" w:rsidR="00AE1F83" w:rsidRPr="00AE1F83" w:rsidRDefault="00AE1F83" w:rsidP="00F713B9">
            <w:pPr>
              <w:widowControl w:val="0"/>
              <w:tabs>
                <w:tab w:val="left" w:pos="360"/>
              </w:tabs>
              <w:spacing w:after="0" w:line="260" w:lineRule="exact"/>
              <w:jc w:val="center"/>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66B3874F" w14:textId="77777777" w:rsidR="00AE1F83" w:rsidRPr="00AE1F83" w:rsidRDefault="00AE1F83" w:rsidP="00F713B9">
            <w:pPr>
              <w:widowControl w:val="0"/>
              <w:tabs>
                <w:tab w:val="left" w:pos="360"/>
              </w:tabs>
              <w:spacing w:after="0" w:line="260" w:lineRule="exact"/>
              <w:jc w:val="center"/>
              <w:outlineLvl w:val="0"/>
              <w:rPr>
                <w:rFonts w:eastAsia="Times New Roman" w:cs="Arial"/>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105AC25C" w14:textId="77777777" w:rsidR="00AE1F83" w:rsidRPr="00AE1F83" w:rsidRDefault="00AE1F83" w:rsidP="00F713B9">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15537BF"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845246" w14:textId="77777777" w:rsidR="00AE1F83" w:rsidRPr="00AE1F83" w:rsidRDefault="00AE1F83" w:rsidP="00F713B9">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73268D" w14:paraId="613D941E"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487F03" w14:textId="77777777" w:rsidR="00AE1F83" w:rsidRPr="0073268D" w:rsidRDefault="00AE1F83" w:rsidP="00F713B9">
            <w:pPr>
              <w:widowControl w:val="0"/>
              <w:tabs>
                <w:tab w:val="left" w:pos="2340"/>
              </w:tabs>
              <w:spacing w:after="0" w:line="260" w:lineRule="exact"/>
              <w:ind w:left="142" w:hanging="142"/>
              <w:outlineLvl w:val="0"/>
              <w:rPr>
                <w:rFonts w:eastAsia="Times New Roman" w:cs="Arial"/>
                <w:b/>
                <w:kern w:val="32"/>
                <w:szCs w:val="20"/>
                <w:lang w:eastAsia="sl-SI"/>
              </w:rPr>
            </w:pPr>
            <w:r w:rsidRPr="0073268D">
              <w:rPr>
                <w:rFonts w:eastAsia="Times New Roman" w:cs="Arial"/>
                <w:b/>
                <w:kern w:val="32"/>
                <w:szCs w:val="20"/>
                <w:lang w:eastAsia="sl-SI"/>
              </w:rPr>
              <w:t>II.a Pravice porabe za izvedbo predlaganih rešitev so zagotovljene:</w:t>
            </w:r>
          </w:p>
        </w:tc>
      </w:tr>
      <w:tr w:rsidR="00AE1F83" w:rsidRPr="0073268D" w14:paraId="2D5D66E8" w14:textId="77777777" w:rsidTr="00092AE6">
        <w:trPr>
          <w:cantSplit/>
          <w:trHeight w:val="100"/>
        </w:trPr>
        <w:tc>
          <w:tcPr>
            <w:tcW w:w="2055" w:type="dxa"/>
            <w:tcBorders>
              <w:top w:val="single" w:sz="4" w:space="0" w:color="auto"/>
              <w:left w:val="single" w:sz="4" w:space="0" w:color="auto"/>
              <w:bottom w:val="single" w:sz="4" w:space="0" w:color="auto"/>
              <w:right w:val="single" w:sz="4" w:space="0" w:color="auto"/>
            </w:tcBorders>
            <w:vAlign w:val="center"/>
          </w:tcPr>
          <w:p w14:paraId="126830D2" w14:textId="77777777" w:rsidR="00AE1F83" w:rsidRPr="0073268D" w:rsidRDefault="00AE1F83" w:rsidP="00F713B9">
            <w:pPr>
              <w:widowControl w:val="0"/>
              <w:spacing w:after="0" w:line="260" w:lineRule="exact"/>
              <w:jc w:val="center"/>
              <w:rPr>
                <w:rFonts w:eastAsia="Times New Roman" w:cs="Arial"/>
                <w:szCs w:val="20"/>
              </w:rPr>
            </w:pPr>
            <w:r w:rsidRPr="0073268D">
              <w:rPr>
                <w:rFonts w:eastAsia="Times New Roman" w:cs="Arial"/>
                <w:szCs w:val="20"/>
              </w:rPr>
              <w:t xml:space="preserve">Ime proračunskega uporabnika </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225ADAC" w14:textId="77777777" w:rsidR="00AE1F83" w:rsidRPr="0073268D" w:rsidRDefault="00AE1F83" w:rsidP="00F713B9">
            <w:pPr>
              <w:widowControl w:val="0"/>
              <w:spacing w:after="0" w:line="260" w:lineRule="exact"/>
              <w:jc w:val="center"/>
              <w:rPr>
                <w:rFonts w:eastAsia="Times New Roman" w:cs="Arial"/>
                <w:szCs w:val="20"/>
              </w:rPr>
            </w:pPr>
            <w:r w:rsidRPr="0073268D">
              <w:rPr>
                <w:rFonts w:eastAsia="Times New Roman" w:cs="Arial"/>
                <w:szCs w:val="20"/>
              </w:rPr>
              <w:t>Šifra in naziv ukrepa, projekta</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A8480F7" w14:textId="77777777" w:rsidR="00AE1F83" w:rsidRPr="0073268D" w:rsidRDefault="00AE1F83" w:rsidP="00F713B9">
            <w:pPr>
              <w:widowControl w:val="0"/>
              <w:spacing w:after="0" w:line="260" w:lineRule="exact"/>
              <w:jc w:val="center"/>
              <w:rPr>
                <w:rFonts w:eastAsia="Times New Roman" w:cs="Arial"/>
                <w:szCs w:val="20"/>
              </w:rPr>
            </w:pPr>
            <w:r w:rsidRPr="0073268D">
              <w:rPr>
                <w:rFonts w:eastAsia="Times New Roman" w:cs="Arial"/>
                <w:szCs w:val="20"/>
              </w:rPr>
              <w:t>Šifra in naziv proračunske postavke</w:t>
            </w: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085469A3" w14:textId="77777777" w:rsidR="00AE1F83" w:rsidRPr="0073268D" w:rsidRDefault="00AE1F83" w:rsidP="00F713B9">
            <w:pPr>
              <w:widowControl w:val="0"/>
              <w:spacing w:after="0" w:line="260" w:lineRule="exact"/>
              <w:jc w:val="center"/>
              <w:rPr>
                <w:rFonts w:eastAsia="Times New Roman" w:cs="Arial"/>
                <w:szCs w:val="20"/>
              </w:rPr>
            </w:pPr>
            <w:r w:rsidRPr="0073268D">
              <w:rPr>
                <w:rFonts w:eastAsia="Times New Roman" w:cs="Arial"/>
                <w:szCs w:val="20"/>
              </w:rPr>
              <w:t>Znesek za tekoče leto (t)</w:t>
            </w:r>
          </w:p>
        </w:tc>
        <w:tc>
          <w:tcPr>
            <w:tcW w:w="2102" w:type="dxa"/>
            <w:tcBorders>
              <w:top w:val="single" w:sz="4" w:space="0" w:color="auto"/>
              <w:left w:val="single" w:sz="4" w:space="0" w:color="auto"/>
              <w:bottom w:val="single" w:sz="4" w:space="0" w:color="auto"/>
              <w:right w:val="single" w:sz="4" w:space="0" w:color="auto"/>
            </w:tcBorders>
            <w:vAlign w:val="center"/>
          </w:tcPr>
          <w:p w14:paraId="296546E4" w14:textId="77777777" w:rsidR="00AE1F83" w:rsidRPr="0073268D" w:rsidRDefault="00AE1F83" w:rsidP="00F713B9">
            <w:pPr>
              <w:widowControl w:val="0"/>
              <w:spacing w:after="0" w:line="260" w:lineRule="exact"/>
              <w:jc w:val="center"/>
              <w:rPr>
                <w:rFonts w:eastAsia="Times New Roman" w:cs="Arial"/>
                <w:szCs w:val="20"/>
              </w:rPr>
            </w:pPr>
            <w:r w:rsidRPr="0073268D">
              <w:rPr>
                <w:rFonts w:eastAsia="Times New Roman" w:cs="Arial"/>
                <w:szCs w:val="20"/>
              </w:rPr>
              <w:t>Znesek za t + 1</w:t>
            </w:r>
          </w:p>
        </w:tc>
      </w:tr>
      <w:tr w:rsidR="00AE1F83" w:rsidRPr="0073268D" w14:paraId="18E04D82" w14:textId="77777777" w:rsidTr="00092AE6">
        <w:trPr>
          <w:cantSplit/>
          <w:trHeight w:val="328"/>
        </w:trPr>
        <w:tc>
          <w:tcPr>
            <w:tcW w:w="2055" w:type="dxa"/>
            <w:tcBorders>
              <w:top w:val="single" w:sz="4" w:space="0" w:color="auto"/>
              <w:left w:val="single" w:sz="4" w:space="0" w:color="auto"/>
              <w:bottom w:val="single" w:sz="4" w:space="0" w:color="auto"/>
              <w:right w:val="single" w:sz="4" w:space="0" w:color="auto"/>
            </w:tcBorders>
            <w:vAlign w:val="center"/>
          </w:tcPr>
          <w:p w14:paraId="73419018" w14:textId="77777777" w:rsidR="00AE1F83" w:rsidRPr="0073268D" w:rsidRDefault="0092391D" w:rsidP="00F713B9">
            <w:pPr>
              <w:widowControl w:val="0"/>
              <w:tabs>
                <w:tab w:val="left" w:pos="360"/>
              </w:tabs>
              <w:spacing w:after="0" w:line="260" w:lineRule="exact"/>
              <w:outlineLvl w:val="0"/>
              <w:rPr>
                <w:rFonts w:eastAsia="Times New Roman" w:cs="Arial"/>
                <w:bCs/>
                <w:kern w:val="32"/>
                <w:szCs w:val="20"/>
                <w:lang w:eastAsia="sl-SI"/>
              </w:rPr>
            </w:pPr>
            <w:r w:rsidRPr="0073268D">
              <w:rPr>
                <w:rFonts w:eastAsia="Times New Roman" w:cs="Arial"/>
                <w:bCs/>
                <w:kern w:val="32"/>
                <w:szCs w:val="20"/>
                <w:lang w:eastAsia="sl-SI"/>
              </w:rPr>
              <w:t>Ministrstvo za delo, družino, socialne zadeve in enake možnosti</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3541E34D" w14:textId="5DFEAFE7" w:rsidR="00AE1F83" w:rsidRPr="0073268D" w:rsidRDefault="00AE1F83" w:rsidP="00F713B9">
            <w:pPr>
              <w:widowControl w:val="0"/>
              <w:tabs>
                <w:tab w:val="left" w:pos="360"/>
              </w:tabs>
              <w:spacing w:after="0" w:line="260" w:lineRule="exact"/>
              <w:outlineLvl w:val="0"/>
              <w:rPr>
                <w:rFonts w:eastAsia="Times New Roman" w:cs="Arial"/>
                <w:bCs/>
                <w:kern w:val="32"/>
                <w:szCs w:val="20"/>
                <w:lang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4FDA45E" w14:textId="72FC8EC9" w:rsidR="00AE1F83" w:rsidRPr="0073268D" w:rsidRDefault="00AE1F83" w:rsidP="00F713B9">
            <w:pPr>
              <w:widowControl w:val="0"/>
              <w:tabs>
                <w:tab w:val="left" w:pos="360"/>
              </w:tabs>
              <w:spacing w:after="0" w:line="260" w:lineRule="exact"/>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7197A900" w14:textId="226AB709" w:rsidR="00AE1F83" w:rsidRPr="0073268D" w:rsidRDefault="00AE1F83" w:rsidP="00F713B9">
            <w:pPr>
              <w:widowControl w:val="0"/>
              <w:tabs>
                <w:tab w:val="left" w:pos="360"/>
              </w:tabs>
              <w:spacing w:after="0" w:line="260" w:lineRule="exact"/>
              <w:outlineLvl w:val="0"/>
              <w:rPr>
                <w:rFonts w:eastAsia="Times New Roman" w:cs="Arial"/>
                <w:bCs/>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623B52B1" w14:textId="421B0A66" w:rsidR="00AE1F83" w:rsidRPr="0073268D" w:rsidRDefault="00AE1F83"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AE1F83" w14:paraId="52DC696F" w14:textId="77777777" w:rsidTr="00092AE6">
        <w:trPr>
          <w:cantSplit/>
          <w:trHeight w:val="95"/>
        </w:trPr>
        <w:tc>
          <w:tcPr>
            <w:tcW w:w="2055" w:type="dxa"/>
            <w:tcBorders>
              <w:top w:val="single" w:sz="4" w:space="0" w:color="auto"/>
              <w:left w:val="single" w:sz="4" w:space="0" w:color="auto"/>
              <w:bottom w:val="single" w:sz="4" w:space="0" w:color="auto"/>
              <w:right w:val="single" w:sz="4" w:space="0" w:color="auto"/>
            </w:tcBorders>
            <w:vAlign w:val="center"/>
          </w:tcPr>
          <w:p w14:paraId="700A3BB5" w14:textId="7777777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r w:rsidRPr="0073268D">
              <w:rPr>
                <w:rFonts w:eastAsia="Times New Roman" w:cs="Arial"/>
                <w:bCs/>
                <w:kern w:val="32"/>
                <w:szCs w:val="20"/>
                <w:lang w:eastAsia="sl-SI"/>
              </w:rPr>
              <w:t>Ministrstvo za delo, družino, socialne zadeve in enake možnosti</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53A17388" w14:textId="1D34761D"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0F5B2821" w14:textId="498C0F51"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371F2E10" w14:textId="6B9B8D63"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4236FEDE" w14:textId="0EAF0690"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AE1F83" w14:paraId="507EBB28" w14:textId="77777777" w:rsidTr="00092AE6">
        <w:trPr>
          <w:cantSplit/>
          <w:trHeight w:val="95"/>
        </w:trPr>
        <w:tc>
          <w:tcPr>
            <w:tcW w:w="2055" w:type="dxa"/>
            <w:tcBorders>
              <w:top w:val="single" w:sz="4" w:space="0" w:color="auto"/>
              <w:left w:val="single" w:sz="4" w:space="0" w:color="auto"/>
              <w:bottom w:val="single" w:sz="4" w:space="0" w:color="auto"/>
              <w:right w:val="single" w:sz="4" w:space="0" w:color="auto"/>
            </w:tcBorders>
            <w:vAlign w:val="center"/>
          </w:tcPr>
          <w:p w14:paraId="6CC5988B" w14:textId="7777777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r w:rsidRPr="0073268D">
              <w:rPr>
                <w:rFonts w:eastAsia="Times New Roman" w:cs="Arial"/>
                <w:bCs/>
                <w:kern w:val="32"/>
                <w:szCs w:val="20"/>
                <w:lang w:eastAsia="sl-SI"/>
              </w:rPr>
              <w:t>Ministrstvo za delo, družino, socialne zadeve in enake možnosti</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737A08CD" w14:textId="20D0FC80"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2E4B0A0D" w14:textId="1934FCBF"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0FCD5251" w14:textId="2B1329BD"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52DBACBD" w14:textId="00A3E84B"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73268D" w14:paraId="4C92B1C2" w14:textId="77777777" w:rsidTr="00092AE6">
        <w:trPr>
          <w:cantSplit/>
          <w:trHeight w:val="95"/>
        </w:trPr>
        <w:tc>
          <w:tcPr>
            <w:tcW w:w="2055" w:type="dxa"/>
            <w:tcBorders>
              <w:top w:val="single" w:sz="4" w:space="0" w:color="auto"/>
              <w:left w:val="single" w:sz="4" w:space="0" w:color="auto"/>
              <w:bottom w:val="single" w:sz="4" w:space="0" w:color="auto"/>
              <w:right w:val="single" w:sz="4" w:space="0" w:color="auto"/>
            </w:tcBorders>
            <w:vAlign w:val="center"/>
          </w:tcPr>
          <w:p w14:paraId="28DEC7F9" w14:textId="7777777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r w:rsidRPr="0073268D">
              <w:rPr>
                <w:rFonts w:eastAsia="Times New Roman" w:cs="Arial"/>
                <w:bCs/>
                <w:kern w:val="32"/>
                <w:szCs w:val="20"/>
                <w:lang w:eastAsia="sl-SI"/>
              </w:rPr>
              <w:t>Ministrstvo za delo, družino, socialne zadeve in enake možnosti</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05AA5827" w14:textId="3421E686"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0FF8DA15" w14:textId="0CEB261D"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58D30735" w14:textId="4408492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32C86335" w14:textId="0C7372D0" w:rsidR="00970F8A" w:rsidRPr="0073268D" w:rsidRDefault="00970F8A"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73268D" w14:paraId="0AA7DAEC" w14:textId="77777777" w:rsidTr="00092AE6">
        <w:trPr>
          <w:cantSplit/>
          <w:trHeight w:val="95"/>
        </w:trPr>
        <w:tc>
          <w:tcPr>
            <w:tcW w:w="2055" w:type="dxa"/>
            <w:tcBorders>
              <w:top w:val="single" w:sz="4" w:space="0" w:color="auto"/>
              <w:left w:val="single" w:sz="4" w:space="0" w:color="auto"/>
              <w:bottom w:val="single" w:sz="4" w:space="0" w:color="auto"/>
              <w:right w:val="single" w:sz="4" w:space="0" w:color="auto"/>
            </w:tcBorders>
            <w:vAlign w:val="center"/>
          </w:tcPr>
          <w:p w14:paraId="32BA4096" w14:textId="7777777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r w:rsidRPr="0073268D">
              <w:rPr>
                <w:rFonts w:eastAsia="Times New Roman" w:cs="Arial"/>
                <w:bCs/>
                <w:kern w:val="32"/>
                <w:szCs w:val="20"/>
                <w:lang w:eastAsia="sl-SI"/>
              </w:rPr>
              <w:t>Ministrstvo za delo, družino, socialne zadeve in enake možnosti</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2E4C7D8E" w14:textId="06B7CAD0"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77979DE" w14:textId="365C1C55"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1A4505DA" w14:textId="288CA329"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64FE4B9E" w14:textId="2B7AFEC5"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73268D" w14:paraId="5359FEB4" w14:textId="77777777" w:rsidTr="00092AE6">
        <w:trPr>
          <w:cantSplit/>
          <w:trHeight w:val="95"/>
        </w:trPr>
        <w:tc>
          <w:tcPr>
            <w:tcW w:w="2055" w:type="dxa"/>
            <w:tcBorders>
              <w:top w:val="single" w:sz="4" w:space="0" w:color="auto"/>
              <w:left w:val="single" w:sz="4" w:space="0" w:color="auto"/>
              <w:bottom w:val="single" w:sz="4" w:space="0" w:color="auto"/>
              <w:right w:val="single" w:sz="4" w:space="0" w:color="auto"/>
            </w:tcBorders>
            <w:vAlign w:val="center"/>
          </w:tcPr>
          <w:p w14:paraId="64864023" w14:textId="7777777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0D576598" w14:textId="7777777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CE13AC1" w14:textId="7777777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1797E358" w14:textId="7777777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38F969BB" w14:textId="77777777" w:rsidR="00092AE6" w:rsidRPr="0073268D" w:rsidRDefault="00092AE6"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AE1F83" w14:paraId="5799B975" w14:textId="77777777" w:rsidTr="00092AE6">
        <w:trPr>
          <w:cantSplit/>
          <w:trHeight w:val="95"/>
        </w:trPr>
        <w:tc>
          <w:tcPr>
            <w:tcW w:w="5737" w:type="dxa"/>
            <w:gridSpan w:val="5"/>
            <w:tcBorders>
              <w:top w:val="single" w:sz="4" w:space="0" w:color="auto"/>
              <w:left w:val="single" w:sz="4" w:space="0" w:color="auto"/>
              <w:bottom w:val="single" w:sz="4" w:space="0" w:color="auto"/>
              <w:right w:val="single" w:sz="4" w:space="0" w:color="auto"/>
            </w:tcBorders>
            <w:vAlign w:val="center"/>
          </w:tcPr>
          <w:p w14:paraId="3E8D1C14" w14:textId="77777777" w:rsidR="00092AE6" w:rsidRPr="0073268D" w:rsidRDefault="00092AE6" w:rsidP="00F713B9">
            <w:pPr>
              <w:widowControl w:val="0"/>
              <w:tabs>
                <w:tab w:val="left" w:pos="360"/>
              </w:tabs>
              <w:spacing w:after="0" w:line="260" w:lineRule="exact"/>
              <w:outlineLvl w:val="0"/>
              <w:rPr>
                <w:rFonts w:eastAsia="Times New Roman" w:cs="Arial"/>
                <w:b/>
                <w:kern w:val="32"/>
                <w:szCs w:val="20"/>
                <w:lang w:eastAsia="sl-SI"/>
              </w:rPr>
            </w:pPr>
            <w:r w:rsidRPr="0073268D">
              <w:rPr>
                <w:rFonts w:eastAsia="Times New Roman" w:cs="Arial"/>
                <w:b/>
                <w:kern w:val="32"/>
                <w:szCs w:val="20"/>
                <w:lang w:eastAsia="sl-SI"/>
              </w:rPr>
              <w:t>SKUPAJ</w:t>
            </w: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467AF931" w14:textId="2BDAF389" w:rsidR="00092AE6" w:rsidRPr="0073268D" w:rsidRDefault="00092AE6" w:rsidP="00F713B9">
            <w:pPr>
              <w:widowControl w:val="0"/>
              <w:spacing w:after="0" w:line="260" w:lineRule="exact"/>
              <w:jc w:val="center"/>
              <w:rPr>
                <w:rFonts w:eastAsia="Times New Roman" w:cs="Arial"/>
                <w:b/>
                <w:szCs w:val="20"/>
              </w:rPr>
            </w:pPr>
          </w:p>
        </w:tc>
        <w:tc>
          <w:tcPr>
            <w:tcW w:w="2102" w:type="dxa"/>
            <w:tcBorders>
              <w:top w:val="single" w:sz="4" w:space="0" w:color="auto"/>
              <w:left w:val="single" w:sz="4" w:space="0" w:color="auto"/>
              <w:bottom w:val="single" w:sz="4" w:space="0" w:color="auto"/>
              <w:right w:val="single" w:sz="4" w:space="0" w:color="auto"/>
            </w:tcBorders>
            <w:vAlign w:val="center"/>
          </w:tcPr>
          <w:p w14:paraId="76B6A30A" w14:textId="53EC508C" w:rsidR="00092AE6" w:rsidRPr="0073268D" w:rsidRDefault="00092AE6" w:rsidP="00F713B9">
            <w:pPr>
              <w:widowControl w:val="0"/>
              <w:tabs>
                <w:tab w:val="left" w:pos="360"/>
              </w:tabs>
              <w:spacing w:after="0" w:line="260" w:lineRule="exact"/>
              <w:outlineLvl w:val="0"/>
              <w:rPr>
                <w:rFonts w:eastAsia="Times New Roman" w:cs="Arial"/>
                <w:b/>
                <w:kern w:val="32"/>
                <w:szCs w:val="20"/>
                <w:lang w:eastAsia="sl-SI"/>
              </w:rPr>
            </w:pPr>
          </w:p>
        </w:tc>
      </w:tr>
      <w:tr w:rsidR="00092AE6" w:rsidRPr="00AE1F83" w14:paraId="44D152D0"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F6C9D0A" w14:textId="77777777" w:rsidR="00092AE6" w:rsidRPr="00AE1F83" w:rsidRDefault="00092AE6" w:rsidP="00F713B9">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092AE6" w:rsidRPr="00AE1F83" w14:paraId="1D3415C8" w14:textId="77777777" w:rsidTr="00092AE6">
        <w:trPr>
          <w:cantSplit/>
          <w:trHeight w:val="100"/>
        </w:trPr>
        <w:tc>
          <w:tcPr>
            <w:tcW w:w="2055" w:type="dxa"/>
            <w:tcBorders>
              <w:top w:val="single" w:sz="4" w:space="0" w:color="auto"/>
              <w:left w:val="single" w:sz="4" w:space="0" w:color="auto"/>
              <w:bottom w:val="single" w:sz="4" w:space="0" w:color="auto"/>
              <w:right w:val="single" w:sz="4" w:space="0" w:color="auto"/>
            </w:tcBorders>
            <w:vAlign w:val="center"/>
          </w:tcPr>
          <w:p w14:paraId="2D62C8A9" w14:textId="77777777" w:rsidR="00092AE6" w:rsidRPr="00AE1F83" w:rsidRDefault="00092AE6" w:rsidP="00F713B9">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1B8BFBB" w14:textId="77777777" w:rsidR="00092AE6" w:rsidRPr="00AE1F83" w:rsidRDefault="00092AE6" w:rsidP="00F713B9">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7A03595" w14:textId="77777777" w:rsidR="00092AE6" w:rsidRPr="00AE1F83" w:rsidRDefault="00092AE6" w:rsidP="00F713B9">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08348E5E" w14:textId="77777777" w:rsidR="00092AE6" w:rsidRPr="00AE1F83" w:rsidRDefault="00092AE6" w:rsidP="00F713B9">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02" w:type="dxa"/>
            <w:tcBorders>
              <w:top w:val="single" w:sz="4" w:space="0" w:color="auto"/>
              <w:left w:val="single" w:sz="4" w:space="0" w:color="auto"/>
              <w:bottom w:val="single" w:sz="4" w:space="0" w:color="auto"/>
              <w:right w:val="single" w:sz="4" w:space="0" w:color="auto"/>
            </w:tcBorders>
            <w:vAlign w:val="center"/>
          </w:tcPr>
          <w:p w14:paraId="63465B94" w14:textId="77777777" w:rsidR="00092AE6" w:rsidRPr="00AE1F83" w:rsidRDefault="00092AE6" w:rsidP="00F713B9">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092AE6" w:rsidRPr="00AE1F83" w14:paraId="57828C16" w14:textId="77777777" w:rsidTr="00092AE6">
        <w:trPr>
          <w:cantSplit/>
          <w:trHeight w:val="95"/>
        </w:trPr>
        <w:tc>
          <w:tcPr>
            <w:tcW w:w="2055" w:type="dxa"/>
            <w:tcBorders>
              <w:top w:val="single" w:sz="4" w:space="0" w:color="auto"/>
              <w:left w:val="single" w:sz="4" w:space="0" w:color="auto"/>
              <w:bottom w:val="single" w:sz="4" w:space="0" w:color="auto"/>
              <w:right w:val="single" w:sz="4" w:space="0" w:color="auto"/>
            </w:tcBorders>
            <w:vAlign w:val="center"/>
          </w:tcPr>
          <w:p w14:paraId="72346B66"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60092EC6"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5B54528C"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4CEF9EEC"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1FB0AA50"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AE1F83" w14:paraId="20F64C65" w14:textId="77777777" w:rsidTr="00092AE6">
        <w:trPr>
          <w:cantSplit/>
          <w:trHeight w:val="95"/>
        </w:trPr>
        <w:tc>
          <w:tcPr>
            <w:tcW w:w="2055" w:type="dxa"/>
            <w:tcBorders>
              <w:top w:val="single" w:sz="4" w:space="0" w:color="auto"/>
              <w:left w:val="single" w:sz="4" w:space="0" w:color="auto"/>
              <w:bottom w:val="single" w:sz="4" w:space="0" w:color="auto"/>
              <w:right w:val="single" w:sz="4" w:space="0" w:color="auto"/>
            </w:tcBorders>
            <w:vAlign w:val="center"/>
          </w:tcPr>
          <w:p w14:paraId="46451DB4"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649169F1"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99A1D71"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68683830"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014075DD"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AE1F83" w14:paraId="126B50C1" w14:textId="77777777" w:rsidTr="00092AE6">
        <w:trPr>
          <w:cantSplit/>
          <w:trHeight w:val="95"/>
        </w:trPr>
        <w:tc>
          <w:tcPr>
            <w:tcW w:w="5737" w:type="dxa"/>
            <w:gridSpan w:val="5"/>
            <w:tcBorders>
              <w:top w:val="single" w:sz="4" w:space="0" w:color="auto"/>
              <w:left w:val="single" w:sz="4" w:space="0" w:color="auto"/>
              <w:bottom w:val="single" w:sz="4" w:space="0" w:color="auto"/>
              <w:right w:val="single" w:sz="4" w:space="0" w:color="auto"/>
            </w:tcBorders>
            <w:vAlign w:val="center"/>
          </w:tcPr>
          <w:p w14:paraId="23DD7F82" w14:textId="77777777" w:rsidR="00092AE6" w:rsidRPr="00AE1F83" w:rsidRDefault="00092AE6" w:rsidP="00F713B9">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037161C7" w14:textId="77777777" w:rsidR="00092AE6" w:rsidRPr="00AE1F83" w:rsidRDefault="00092AE6" w:rsidP="00F713B9">
            <w:pPr>
              <w:widowControl w:val="0"/>
              <w:tabs>
                <w:tab w:val="left" w:pos="360"/>
              </w:tabs>
              <w:spacing w:after="0" w:line="260" w:lineRule="exact"/>
              <w:outlineLvl w:val="0"/>
              <w:rPr>
                <w:rFonts w:eastAsia="Times New Roman" w:cs="Arial"/>
                <w:b/>
                <w:kern w:val="32"/>
                <w:szCs w:val="20"/>
                <w:lang w:eastAsia="sl-SI"/>
              </w:rPr>
            </w:pPr>
          </w:p>
        </w:tc>
        <w:tc>
          <w:tcPr>
            <w:tcW w:w="2102" w:type="dxa"/>
            <w:tcBorders>
              <w:top w:val="single" w:sz="4" w:space="0" w:color="auto"/>
              <w:left w:val="single" w:sz="4" w:space="0" w:color="auto"/>
              <w:bottom w:val="single" w:sz="4" w:space="0" w:color="auto"/>
              <w:right w:val="single" w:sz="4" w:space="0" w:color="auto"/>
            </w:tcBorders>
            <w:vAlign w:val="center"/>
          </w:tcPr>
          <w:p w14:paraId="2FC0CC53" w14:textId="77777777" w:rsidR="00092AE6" w:rsidRPr="00AE1F83" w:rsidRDefault="00092AE6" w:rsidP="00F713B9">
            <w:pPr>
              <w:widowControl w:val="0"/>
              <w:tabs>
                <w:tab w:val="left" w:pos="360"/>
              </w:tabs>
              <w:spacing w:after="0" w:line="260" w:lineRule="exact"/>
              <w:outlineLvl w:val="0"/>
              <w:rPr>
                <w:rFonts w:eastAsia="Times New Roman" w:cs="Arial"/>
                <w:b/>
                <w:kern w:val="32"/>
                <w:szCs w:val="20"/>
                <w:lang w:eastAsia="sl-SI"/>
              </w:rPr>
            </w:pPr>
          </w:p>
        </w:tc>
      </w:tr>
      <w:tr w:rsidR="00092AE6" w:rsidRPr="00AE1F83" w14:paraId="05FBE34E"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A05A79C" w14:textId="77777777" w:rsidR="00092AE6" w:rsidRPr="00AE1F83" w:rsidRDefault="00092AE6" w:rsidP="00F713B9">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092AE6" w:rsidRPr="00AE1F83" w14:paraId="11036A2A" w14:textId="77777777" w:rsidTr="00092AE6">
        <w:trPr>
          <w:cantSplit/>
          <w:trHeight w:val="100"/>
        </w:trPr>
        <w:tc>
          <w:tcPr>
            <w:tcW w:w="4342" w:type="dxa"/>
            <w:gridSpan w:val="3"/>
            <w:tcBorders>
              <w:top w:val="single" w:sz="4" w:space="0" w:color="auto"/>
              <w:left w:val="single" w:sz="4" w:space="0" w:color="auto"/>
              <w:bottom w:val="single" w:sz="4" w:space="0" w:color="auto"/>
              <w:right w:val="single" w:sz="4" w:space="0" w:color="auto"/>
            </w:tcBorders>
            <w:vAlign w:val="center"/>
          </w:tcPr>
          <w:p w14:paraId="2B4BD80A" w14:textId="77777777" w:rsidR="00092AE6" w:rsidRPr="00AE1F83" w:rsidRDefault="00092AE6" w:rsidP="00F713B9">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75" w:type="dxa"/>
            <w:gridSpan w:val="3"/>
            <w:tcBorders>
              <w:top w:val="single" w:sz="4" w:space="0" w:color="auto"/>
              <w:left w:val="single" w:sz="4" w:space="0" w:color="auto"/>
              <w:bottom w:val="single" w:sz="4" w:space="0" w:color="auto"/>
              <w:right w:val="single" w:sz="4" w:space="0" w:color="auto"/>
            </w:tcBorders>
            <w:vAlign w:val="center"/>
          </w:tcPr>
          <w:p w14:paraId="17ABD406" w14:textId="77777777" w:rsidR="00092AE6" w:rsidRPr="00AE1F83" w:rsidRDefault="00092AE6" w:rsidP="00F713B9">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783" w:type="dxa"/>
            <w:gridSpan w:val="3"/>
            <w:tcBorders>
              <w:top w:val="single" w:sz="4" w:space="0" w:color="auto"/>
              <w:left w:val="single" w:sz="4" w:space="0" w:color="auto"/>
              <w:bottom w:val="single" w:sz="4" w:space="0" w:color="auto"/>
              <w:right w:val="single" w:sz="4" w:space="0" w:color="auto"/>
            </w:tcBorders>
            <w:vAlign w:val="center"/>
          </w:tcPr>
          <w:p w14:paraId="35F19C3C" w14:textId="77777777" w:rsidR="00092AE6" w:rsidRPr="00AE1F83" w:rsidRDefault="00092AE6" w:rsidP="00F713B9">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092AE6" w:rsidRPr="00AE1F83" w14:paraId="2E6B5251" w14:textId="77777777" w:rsidTr="00092AE6">
        <w:trPr>
          <w:cantSplit/>
          <w:trHeight w:val="95"/>
        </w:trPr>
        <w:tc>
          <w:tcPr>
            <w:tcW w:w="4342" w:type="dxa"/>
            <w:gridSpan w:val="3"/>
            <w:tcBorders>
              <w:top w:val="single" w:sz="4" w:space="0" w:color="auto"/>
              <w:left w:val="single" w:sz="4" w:space="0" w:color="auto"/>
              <w:bottom w:val="single" w:sz="4" w:space="0" w:color="auto"/>
              <w:right w:val="single" w:sz="4" w:space="0" w:color="auto"/>
            </w:tcBorders>
            <w:vAlign w:val="center"/>
          </w:tcPr>
          <w:p w14:paraId="4B0C81DB"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075" w:type="dxa"/>
            <w:gridSpan w:val="3"/>
            <w:tcBorders>
              <w:top w:val="single" w:sz="4" w:space="0" w:color="auto"/>
              <w:left w:val="single" w:sz="4" w:space="0" w:color="auto"/>
              <w:bottom w:val="single" w:sz="4" w:space="0" w:color="auto"/>
              <w:right w:val="single" w:sz="4" w:space="0" w:color="auto"/>
            </w:tcBorders>
            <w:vAlign w:val="center"/>
          </w:tcPr>
          <w:p w14:paraId="39DE9C08"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783" w:type="dxa"/>
            <w:gridSpan w:val="3"/>
            <w:tcBorders>
              <w:top w:val="single" w:sz="4" w:space="0" w:color="auto"/>
              <w:left w:val="single" w:sz="4" w:space="0" w:color="auto"/>
              <w:bottom w:val="single" w:sz="4" w:space="0" w:color="auto"/>
              <w:right w:val="single" w:sz="4" w:space="0" w:color="auto"/>
            </w:tcBorders>
            <w:vAlign w:val="center"/>
          </w:tcPr>
          <w:p w14:paraId="2C14A0D8"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AE1F83" w14:paraId="3D9BE2AD" w14:textId="77777777" w:rsidTr="00092AE6">
        <w:trPr>
          <w:cantSplit/>
          <w:trHeight w:val="95"/>
        </w:trPr>
        <w:tc>
          <w:tcPr>
            <w:tcW w:w="4342" w:type="dxa"/>
            <w:gridSpan w:val="3"/>
            <w:tcBorders>
              <w:top w:val="single" w:sz="4" w:space="0" w:color="auto"/>
              <w:left w:val="single" w:sz="4" w:space="0" w:color="auto"/>
              <w:bottom w:val="single" w:sz="4" w:space="0" w:color="auto"/>
              <w:right w:val="single" w:sz="4" w:space="0" w:color="auto"/>
            </w:tcBorders>
            <w:vAlign w:val="center"/>
          </w:tcPr>
          <w:p w14:paraId="6641AAB7"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075" w:type="dxa"/>
            <w:gridSpan w:val="3"/>
            <w:tcBorders>
              <w:top w:val="single" w:sz="4" w:space="0" w:color="auto"/>
              <w:left w:val="single" w:sz="4" w:space="0" w:color="auto"/>
              <w:bottom w:val="single" w:sz="4" w:space="0" w:color="auto"/>
              <w:right w:val="single" w:sz="4" w:space="0" w:color="auto"/>
            </w:tcBorders>
            <w:vAlign w:val="center"/>
          </w:tcPr>
          <w:p w14:paraId="003F1EA7"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783" w:type="dxa"/>
            <w:gridSpan w:val="3"/>
            <w:tcBorders>
              <w:top w:val="single" w:sz="4" w:space="0" w:color="auto"/>
              <w:left w:val="single" w:sz="4" w:space="0" w:color="auto"/>
              <w:bottom w:val="single" w:sz="4" w:space="0" w:color="auto"/>
              <w:right w:val="single" w:sz="4" w:space="0" w:color="auto"/>
            </w:tcBorders>
            <w:vAlign w:val="center"/>
          </w:tcPr>
          <w:p w14:paraId="10879CED"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AE1F83" w14:paraId="4D79D3A2" w14:textId="77777777" w:rsidTr="00092AE6">
        <w:trPr>
          <w:cantSplit/>
          <w:trHeight w:val="95"/>
        </w:trPr>
        <w:tc>
          <w:tcPr>
            <w:tcW w:w="4342" w:type="dxa"/>
            <w:gridSpan w:val="3"/>
            <w:tcBorders>
              <w:top w:val="single" w:sz="4" w:space="0" w:color="auto"/>
              <w:left w:val="single" w:sz="4" w:space="0" w:color="auto"/>
              <w:bottom w:val="single" w:sz="4" w:space="0" w:color="auto"/>
              <w:right w:val="single" w:sz="4" w:space="0" w:color="auto"/>
            </w:tcBorders>
            <w:vAlign w:val="center"/>
          </w:tcPr>
          <w:p w14:paraId="2053DFFF"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075" w:type="dxa"/>
            <w:gridSpan w:val="3"/>
            <w:tcBorders>
              <w:top w:val="single" w:sz="4" w:space="0" w:color="auto"/>
              <w:left w:val="single" w:sz="4" w:space="0" w:color="auto"/>
              <w:bottom w:val="single" w:sz="4" w:space="0" w:color="auto"/>
              <w:right w:val="single" w:sz="4" w:space="0" w:color="auto"/>
            </w:tcBorders>
            <w:vAlign w:val="center"/>
          </w:tcPr>
          <w:p w14:paraId="4CC4FAD3"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c>
          <w:tcPr>
            <w:tcW w:w="2783" w:type="dxa"/>
            <w:gridSpan w:val="3"/>
            <w:tcBorders>
              <w:top w:val="single" w:sz="4" w:space="0" w:color="auto"/>
              <w:left w:val="single" w:sz="4" w:space="0" w:color="auto"/>
              <w:bottom w:val="single" w:sz="4" w:space="0" w:color="auto"/>
              <w:right w:val="single" w:sz="4" w:space="0" w:color="auto"/>
            </w:tcBorders>
            <w:vAlign w:val="center"/>
          </w:tcPr>
          <w:p w14:paraId="3BD74B8A" w14:textId="77777777" w:rsidR="00092AE6" w:rsidRPr="00AE1F83" w:rsidRDefault="00092AE6" w:rsidP="00F713B9">
            <w:pPr>
              <w:widowControl w:val="0"/>
              <w:tabs>
                <w:tab w:val="left" w:pos="360"/>
              </w:tabs>
              <w:spacing w:after="0" w:line="260" w:lineRule="exact"/>
              <w:outlineLvl w:val="0"/>
              <w:rPr>
                <w:rFonts w:eastAsia="Times New Roman" w:cs="Arial"/>
                <w:bCs/>
                <w:kern w:val="32"/>
                <w:szCs w:val="20"/>
                <w:lang w:eastAsia="sl-SI"/>
              </w:rPr>
            </w:pPr>
          </w:p>
        </w:tc>
      </w:tr>
      <w:tr w:rsidR="00092AE6" w:rsidRPr="00AE1F83" w14:paraId="739C1C57" w14:textId="77777777" w:rsidTr="00092AE6">
        <w:trPr>
          <w:cantSplit/>
          <w:trHeight w:val="95"/>
        </w:trPr>
        <w:tc>
          <w:tcPr>
            <w:tcW w:w="4342" w:type="dxa"/>
            <w:gridSpan w:val="3"/>
            <w:tcBorders>
              <w:top w:val="single" w:sz="4" w:space="0" w:color="auto"/>
              <w:left w:val="single" w:sz="4" w:space="0" w:color="auto"/>
              <w:bottom w:val="single" w:sz="4" w:space="0" w:color="auto"/>
              <w:right w:val="single" w:sz="4" w:space="0" w:color="auto"/>
            </w:tcBorders>
            <w:vAlign w:val="center"/>
          </w:tcPr>
          <w:p w14:paraId="55B8DA46" w14:textId="77777777" w:rsidR="00092AE6" w:rsidRPr="00AE1F83" w:rsidRDefault="00092AE6" w:rsidP="00F713B9">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75" w:type="dxa"/>
            <w:gridSpan w:val="3"/>
            <w:tcBorders>
              <w:top w:val="single" w:sz="4" w:space="0" w:color="auto"/>
              <w:left w:val="single" w:sz="4" w:space="0" w:color="auto"/>
              <w:bottom w:val="single" w:sz="4" w:space="0" w:color="auto"/>
              <w:right w:val="single" w:sz="4" w:space="0" w:color="auto"/>
            </w:tcBorders>
            <w:vAlign w:val="center"/>
          </w:tcPr>
          <w:p w14:paraId="2F9A82E7" w14:textId="77777777" w:rsidR="00092AE6" w:rsidRPr="00AE1F83" w:rsidRDefault="00092AE6" w:rsidP="00F713B9">
            <w:pPr>
              <w:widowControl w:val="0"/>
              <w:tabs>
                <w:tab w:val="left" w:pos="360"/>
              </w:tabs>
              <w:spacing w:after="0" w:line="260" w:lineRule="exact"/>
              <w:outlineLvl w:val="0"/>
              <w:rPr>
                <w:rFonts w:eastAsia="Times New Roman" w:cs="Arial"/>
                <w:b/>
                <w:kern w:val="32"/>
                <w:szCs w:val="20"/>
                <w:lang w:eastAsia="sl-SI"/>
              </w:rPr>
            </w:pPr>
          </w:p>
        </w:tc>
        <w:tc>
          <w:tcPr>
            <w:tcW w:w="2783" w:type="dxa"/>
            <w:gridSpan w:val="3"/>
            <w:tcBorders>
              <w:top w:val="single" w:sz="4" w:space="0" w:color="auto"/>
              <w:left w:val="single" w:sz="4" w:space="0" w:color="auto"/>
              <w:bottom w:val="single" w:sz="4" w:space="0" w:color="auto"/>
              <w:right w:val="single" w:sz="4" w:space="0" w:color="auto"/>
            </w:tcBorders>
            <w:vAlign w:val="center"/>
          </w:tcPr>
          <w:p w14:paraId="559C98BB" w14:textId="77777777" w:rsidR="00092AE6" w:rsidRPr="00AE1F83" w:rsidRDefault="00092AE6" w:rsidP="00F713B9">
            <w:pPr>
              <w:widowControl w:val="0"/>
              <w:tabs>
                <w:tab w:val="left" w:pos="360"/>
              </w:tabs>
              <w:spacing w:after="0" w:line="260" w:lineRule="exact"/>
              <w:outlineLvl w:val="0"/>
              <w:rPr>
                <w:rFonts w:eastAsia="Times New Roman" w:cs="Arial"/>
                <w:b/>
                <w:kern w:val="32"/>
                <w:szCs w:val="20"/>
                <w:lang w:eastAsia="sl-SI"/>
              </w:rPr>
            </w:pPr>
          </w:p>
        </w:tc>
      </w:tr>
      <w:tr w:rsidR="00092AE6" w:rsidRPr="00AE1F83" w14:paraId="677800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6F830B6" w14:textId="77777777" w:rsidR="00092AE6" w:rsidRPr="00AE1F83" w:rsidRDefault="00092AE6" w:rsidP="00F713B9">
            <w:pPr>
              <w:widowControl w:val="0"/>
              <w:spacing w:after="0" w:line="260" w:lineRule="exact"/>
              <w:rPr>
                <w:rFonts w:eastAsia="Times New Roman" w:cs="Arial"/>
                <w:b/>
                <w:szCs w:val="20"/>
              </w:rPr>
            </w:pPr>
          </w:p>
          <w:p w14:paraId="3A71A0BE" w14:textId="77777777" w:rsidR="00092AE6" w:rsidRPr="00AE1F83" w:rsidRDefault="00092AE6" w:rsidP="00F713B9">
            <w:pPr>
              <w:widowControl w:val="0"/>
              <w:spacing w:after="0" w:line="260" w:lineRule="exact"/>
              <w:rPr>
                <w:rFonts w:eastAsia="Times New Roman" w:cs="Arial"/>
                <w:b/>
                <w:szCs w:val="20"/>
              </w:rPr>
            </w:pPr>
            <w:r w:rsidRPr="00AE1F83">
              <w:rPr>
                <w:rFonts w:eastAsia="Times New Roman" w:cs="Arial"/>
                <w:b/>
                <w:szCs w:val="20"/>
              </w:rPr>
              <w:t>OBRAZLOŽITEV:</w:t>
            </w:r>
          </w:p>
          <w:p w14:paraId="34305EB5" w14:textId="77777777" w:rsidR="00092AE6" w:rsidRPr="00AE1F83" w:rsidRDefault="00092AE6" w:rsidP="00F713B9">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EAE1CBF" w14:textId="77777777" w:rsidR="00092AE6" w:rsidRPr="00AE1F83" w:rsidRDefault="00092AE6" w:rsidP="00F713B9">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3891A0CE" w14:textId="77777777" w:rsidR="00092AE6" w:rsidRPr="00AE1F83" w:rsidRDefault="00092AE6" w:rsidP="00F713B9">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45D2DB5F" w14:textId="77777777" w:rsidR="00092AE6" w:rsidRPr="00AE1F83" w:rsidRDefault="00092AE6" w:rsidP="00F713B9">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4536B1DD" w14:textId="77777777" w:rsidR="00092AE6" w:rsidRPr="00AE1F83" w:rsidRDefault="00092AE6" w:rsidP="00F713B9">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5E5249C5" w14:textId="77777777" w:rsidR="00092AE6" w:rsidRPr="00AE1F83" w:rsidRDefault="00092AE6" w:rsidP="00F713B9">
            <w:pPr>
              <w:widowControl w:val="0"/>
              <w:spacing w:after="0" w:line="260" w:lineRule="exact"/>
              <w:ind w:left="284"/>
              <w:rPr>
                <w:rFonts w:eastAsia="Times New Roman" w:cs="Arial"/>
                <w:szCs w:val="20"/>
                <w:lang w:eastAsia="sl-SI"/>
              </w:rPr>
            </w:pPr>
          </w:p>
          <w:p w14:paraId="15E4E648" w14:textId="77777777" w:rsidR="00092AE6" w:rsidRPr="00AE1F83" w:rsidRDefault="00092AE6" w:rsidP="00F713B9">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09631839" w14:textId="77777777" w:rsidR="00092AE6" w:rsidRPr="00AE1F83" w:rsidRDefault="00092AE6" w:rsidP="00F713B9">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39A501CC" w14:textId="77777777" w:rsidR="00092AE6" w:rsidRPr="00AE1F83" w:rsidRDefault="00092AE6" w:rsidP="00F713B9">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0A42C6B4" w14:textId="77777777" w:rsidR="00092AE6" w:rsidRPr="00AE1F83" w:rsidRDefault="00092AE6" w:rsidP="00F713B9">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ECDA7D4" w14:textId="77777777" w:rsidR="00092AE6" w:rsidRPr="00AE1F83" w:rsidRDefault="00092AE6" w:rsidP="00F713B9">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2AC51F2" w14:textId="77777777" w:rsidR="00092AE6" w:rsidRPr="00AE1F83" w:rsidRDefault="00092AE6" w:rsidP="00F713B9">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57D09A43" w14:textId="77777777" w:rsidR="00092AE6" w:rsidRPr="00AE1F83" w:rsidRDefault="00092AE6" w:rsidP="00F713B9">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8BAE529" w14:textId="77777777" w:rsidR="00092AE6" w:rsidRPr="00AE1F83" w:rsidRDefault="00092AE6" w:rsidP="00F713B9">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4F65A85" w14:textId="77777777" w:rsidR="00092AE6" w:rsidRPr="00AE1F83" w:rsidRDefault="00092AE6" w:rsidP="00F713B9">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69FB6745" w14:textId="77777777" w:rsidR="00092AE6" w:rsidRPr="00AE1F83" w:rsidRDefault="00092AE6" w:rsidP="00F713B9">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CB5C2CA" w14:textId="77777777" w:rsidR="00092AE6" w:rsidRPr="00AE1F83" w:rsidRDefault="00092AE6" w:rsidP="00F713B9">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13FEC1D6" w14:textId="77777777" w:rsidR="00092AE6" w:rsidRPr="00AE1F83" w:rsidRDefault="00092AE6" w:rsidP="00F713B9">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5EEB5C" w14:textId="77777777" w:rsidR="00092AE6" w:rsidRPr="00AE1F83" w:rsidRDefault="00092AE6" w:rsidP="00F713B9">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092AE6" w:rsidRPr="00AE1F83" w14:paraId="61207C6D"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1ADF982" w14:textId="77777777" w:rsidR="00092AE6" w:rsidRPr="00AE1F83" w:rsidRDefault="00092AE6" w:rsidP="00F713B9">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0A499F6F" w14:textId="77777777" w:rsidR="00092AE6" w:rsidRPr="00AE1F83" w:rsidRDefault="00092AE6" w:rsidP="00F713B9">
            <w:pPr>
              <w:spacing w:after="0" w:line="260" w:lineRule="exact"/>
              <w:rPr>
                <w:rFonts w:eastAsia="Times New Roman" w:cs="Arial"/>
                <w:szCs w:val="20"/>
              </w:rPr>
            </w:pPr>
            <w:r w:rsidRPr="00AE1F83">
              <w:rPr>
                <w:rFonts w:eastAsia="Times New Roman" w:cs="Arial"/>
                <w:szCs w:val="20"/>
              </w:rPr>
              <w:t>(Samo če izberete NE pod točko 6.a.)</w:t>
            </w:r>
          </w:p>
          <w:p w14:paraId="45762970" w14:textId="77777777" w:rsidR="00092AE6" w:rsidRPr="00AE1F83" w:rsidRDefault="00092AE6" w:rsidP="00F713B9">
            <w:pPr>
              <w:spacing w:after="0" w:line="260" w:lineRule="exact"/>
              <w:rPr>
                <w:rFonts w:eastAsia="Times New Roman" w:cs="Arial"/>
                <w:b/>
                <w:szCs w:val="20"/>
              </w:rPr>
            </w:pPr>
            <w:r>
              <w:rPr>
                <w:rFonts w:eastAsia="Times New Roman" w:cs="Arial"/>
                <w:b/>
                <w:szCs w:val="20"/>
              </w:rPr>
              <w:t>/</w:t>
            </w:r>
          </w:p>
        </w:tc>
      </w:tr>
      <w:tr w:rsidR="00092AE6" w:rsidRPr="00AE1F83" w14:paraId="0EA787D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6524ED8" w14:textId="77777777" w:rsidR="00092AE6" w:rsidRPr="00AE1F83" w:rsidRDefault="00092AE6" w:rsidP="00F713B9">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092AE6" w:rsidRPr="00AE1F83" w14:paraId="59D52393" w14:textId="77777777" w:rsidTr="00092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8" w:type="dxa"/>
            <w:gridSpan w:val="7"/>
          </w:tcPr>
          <w:p w14:paraId="4C14097E" w14:textId="77777777" w:rsidR="00092AE6" w:rsidRPr="00AE1F83" w:rsidRDefault="00092AE6" w:rsidP="00F713B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7BD094E" w14:textId="77777777" w:rsidR="00092AE6" w:rsidRPr="00AE1F83" w:rsidRDefault="00092AE6" w:rsidP="00F713B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A1AC9B4" w14:textId="77777777" w:rsidR="00092AE6" w:rsidRPr="00AE1F83" w:rsidRDefault="00092AE6" w:rsidP="00F713B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20B8EC76" w14:textId="77777777" w:rsidR="00092AE6" w:rsidRPr="00AE1F83" w:rsidRDefault="00092AE6" w:rsidP="00F713B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71543E2F" w14:textId="77777777" w:rsidR="00092AE6" w:rsidRPr="00AE1F83" w:rsidRDefault="00092AE6" w:rsidP="00F713B9">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02" w:type="dxa"/>
            <w:gridSpan w:val="2"/>
          </w:tcPr>
          <w:p w14:paraId="47E290AD" w14:textId="77777777" w:rsidR="00092AE6" w:rsidRPr="00AE1F83" w:rsidRDefault="00092AE6" w:rsidP="00F713B9">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092AE6" w:rsidRPr="00AE1F83" w14:paraId="4D56364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0C2995D" w14:textId="77777777" w:rsidR="00092AE6" w:rsidRPr="00AE1F83" w:rsidRDefault="00092AE6" w:rsidP="00F713B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24827242" w14:textId="77777777" w:rsidR="00092AE6" w:rsidRPr="00AE1F83" w:rsidRDefault="00092AE6" w:rsidP="00F713B9">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/NE</w:t>
            </w:r>
          </w:p>
          <w:p w14:paraId="3B660FEA" w14:textId="77777777" w:rsidR="00092AE6" w:rsidRPr="00AE1F83" w:rsidRDefault="00092AE6" w:rsidP="00F713B9">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NE</w:t>
            </w:r>
          </w:p>
          <w:p w14:paraId="557D57DA" w14:textId="77777777" w:rsidR="00092AE6" w:rsidRPr="00AE1F83" w:rsidRDefault="00092AE6" w:rsidP="00F713B9">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NE</w:t>
            </w:r>
          </w:p>
          <w:p w14:paraId="44A029DA" w14:textId="77777777" w:rsidR="00092AE6" w:rsidRPr="00AE1F83" w:rsidRDefault="00092AE6" w:rsidP="00F713B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A11F0F7" w14:textId="77777777" w:rsidR="00092AE6" w:rsidRPr="00AE1F83" w:rsidRDefault="00092AE6" w:rsidP="00F713B9">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092AE6" w:rsidRPr="00AE1F83" w14:paraId="77B29922" w14:textId="77777777" w:rsidTr="006B70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4"/>
        </w:trPr>
        <w:tc>
          <w:tcPr>
            <w:tcW w:w="9200" w:type="dxa"/>
            <w:gridSpan w:val="9"/>
            <w:vAlign w:val="center"/>
          </w:tcPr>
          <w:p w14:paraId="7F6C457C" w14:textId="77777777" w:rsidR="00092AE6" w:rsidRPr="00AE1F83" w:rsidRDefault="00092AE6" w:rsidP="00F713B9">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092AE6" w:rsidRPr="00AE1F83" w14:paraId="0424873E" w14:textId="77777777" w:rsidTr="00092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8" w:type="dxa"/>
            <w:gridSpan w:val="7"/>
          </w:tcPr>
          <w:p w14:paraId="19A9AD8E" w14:textId="77777777" w:rsidR="00092AE6" w:rsidRPr="00AE1F83" w:rsidRDefault="00092AE6" w:rsidP="00F713B9">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02" w:type="dxa"/>
            <w:gridSpan w:val="2"/>
          </w:tcPr>
          <w:p w14:paraId="1D73F256" w14:textId="24AE933F" w:rsidR="00092AE6" w:rsidRPr="00AE1F83" w:rsidRDefault="00A53ABA" w:rsidP="00F713B9">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iCs/>
                <w:szCs w:val="20"/>
                <w:lang w:eastAsia="sl-SI"/>
              </w:rPr>
              <w:t>NE</w:t>
            </w:r>
          </w:p>
        </w:tc>
      </w:tr>
      <w:tr w:rsidR="00BF596D" w:rsidRPr="00AE1F83" w14:paraId="460AC0D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4BB71D5" w14:textId="12B35A8E" w:rsidR="00517D31" w:rsidRPr="00AE1F83" w:rsidRDefault="00517D31" w:rsidP="00A53ABA">
            <w:pPr>
              <w:autoSpaceDE w:val="0"/>
              <w:autoSpaceDN w:val="0"/>
              <w:adjustRightInd w:val="0"/>
              <w:spacing w:after="0" w:line="260" w:lineRule="exact"/>
              <w:jc w:val="both"/>
              <w:rPr>
                <w:rFonts w:eastAsia="Times New Roman" w:cs="Arial"/>
                <w:iCs/>
                <w:szCs w:val="20"/>
                <w:lang w:eastAsia="sl-SI"/>
              </w:rPr>
            </w:pPr>
          </w:p>
        </w:tc>
      </w:tr>
      <w:tr w:rsidR="00BF596D" w:rsidRPr="00AE1F83" w14:paraId="76371B89" w14:textId="77777777" w:rsidTr="00092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8" w:type="dxa"/>
            <w:gridSpan w:val="7"/>
            <w:vAlign w:val="center"/>
          </w:tcPr>
          <w:p w14:paraId="6C5100EA" w14:textId="77777777" w:rsidR="00BF596D" w:rsidRPr="00AE1F83" w:rsidRDefault="00BF596D" w:rsidP="00BF596D">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02" w:type="dxa"/>
            <w:gridSpan w:val="2"/>
            <w:vAlign w:val="center"/>
          </w:tcPr>
          <w:p w14:paraId="7A9D0E36" w14:textId="77777777" w:rsidR="00BF596D" w:rsidRPr="00AE1F83" w:rsidRDefault="00BF596D" w:rsidP="00BF596D">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BF596D" w:rsidRPr="00AE1F83" w14:paraId="26B008FD" w14:textId="77777777" w:rsidTr="00092A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8" w:type="dxa"/>
            <w:gridSpan w:val="7"/>
            <w:vAlign w:val="center"/>
          </w:tcPr>
          <w:p w14:paraId="3B284298" w14:textId="77777777" w:rsidR="00BF596D" w:rsidRPr="00AE1F83" w:rsidRDefault="00BF596D" w:rsidP="00BF596D">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02" w:type="dxa"/>
            <w:gridSpan w:val="2"/>
            <w:vAlign w:val="center"/>
          </w:tcPr>
          <w:p w14:paraId="128F8362" w14:textId="77777777" w:rsidR="00BF596D" w:rsidRPr="00AE1F83" w:rsidRDefault="00BF596D" w:rsidP="00BF596D">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BF596D" w:rsidRPr="00AE1F83" w14:paraId="3F032BE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A55A934" w14:textId="77777777" w:rsidR="00BF596D" w:rsidRPr="00AE1F83" w:rsidRDefault="00BF596D" w:rsidP="00BF596D">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5348FAD1" w14:textId="77777777" w:rsidR="00BF596D" w:rsidRDefault="00BF596D" w:rsidP="00BF596D">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Luka MESEC</w:t>
            </w:r>
          </w:p>
          <w:p w14:paraId="31CB1658" w14:textId="77777777" w:rsidR="00BF596D" w:rsidRPr="00AE1F83" w:rsidRDefault="00BF596D" w:rsidP="00BF596D">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MINISTER</w:t>
            </w:r>
          </w:p>
          <w:p w14:paraId="5724EF74" w14:textId="77777777" w:rsidR="00BF596D" w:rsidRPr="00AE1F83" w:rsidRDefault="00BF596D" w:rsidP="00BF596D">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204822D8" w14:textId="77777777" w:rsidR="00A53ABA" w:rsidRDefault="00A53ABA" w:rsidP="00A53ABA">
      <w:pPr>
        <w:pStyle w:val="Telobesedila"/>
        <w:jc w:val="both"/>
        <w:rPr>
          <w:rFonts w:ascii="Arial" w:hAnsi="Arial" w:cs="Arial"/>
          <w:color w:val="auto"/>
          <w:sz w:val="20"/>
          <w:szCs w:val="20"/>
          <w:lang w:val="sl-SI"/>
        </w:rPr>
      </w:pPr>
    </w:p>
    <w:p w14:paraId="2767BFD3" w14:textId="19EBEF72" w:rsidR="00A53ABA" w:rsidRDefault="00A53ABA" w:rsidP="00A53ABA">
      <w:pPr>
        <w:pStyle w:val="Telobesedila"/>
        <w:jc w:val="both"/>
        <w:rPr>
          <w:rFonts w:ascii="Arial" w:hAnsi="Arial" w:cs="Arial"/>
          <w:color w:val="auto"/>
          <w:sz w:val="20"/>
          <w:szCs w:val="20"/>
          <w:lang w:val="sl-SI"/>
        </w:rPr>
      </w:pPr>
      <w:r>
        <w:rPr>
          <w:rFonts w:ascii="Arial" w:hAnsi="Arial" w:cs="Arial"/>
          <w:color w:val="auto"/>
          <w:sz w:val="20"/>
          <w:szCs w:val="20"/>
          <w:lang w:val="sl-SI"/>
        </w:rPr>
        <w:t>Prilog</w:t>
      </w:r>
      <w:r w:rsidR="009C3EAE">
        <w:rPr>
          <w:rFonts w:ascii="Arial" w:hAnsi="Arial" w:cs="Arial"/>
          <w:color w:val="auto"/>
          <w:sz w:val="20"/>
          <w:szCs w:val="20"/>
          <w:lang w:val="sl-SI"/>
        </w:rPr>
        <w:t>i:</w:t>
      </w:r>
    </w:p>
    <w:p w14:paraId="6C873133" w14:textId="5788E149" w:rsidR="009C3EAE" w:rsidRDefault="00861661" w:rsidP="00A53ABA">
      <w:pPr>
        <w:pStyle w:val="Telobesedila"/>
        <w:numPr>
          <w:ilvl w:val="0"/>
          <w:numId w:val="25"/>
        </w:numPr>
        <w:jc w:val="both"/>
        <w:rPr>
          <w:rFonts w:ascii="Arial" w:hAnsi="Arial" w:cs="Arial"/>
          <w:color w:val="auto"/>
          <w:sz w:val="20"/>
          <w:szCs w:val="20"/>
          <w:lang w:val="sl-SI"/>
        </w:rPr>
      </w:pPr>
      <w:r>
        <w:rPr>
          <w:rFonts w:ascii="Arial" w:hAnsi="Arial" w:cs="Arial"/>
          <w:color w:val="auto"/>
          <w:sz w:val="20"/>
          <w:szCs w:val="20"/>
          <w:lang w:val="sl-SI"/>
        </w:rPr>
        <w:t>O</w:t>
      </w:r>
      <w:r w:rsidR="009C3EAE">
        <w:rPr>
          <w:rFonts w:ascii="Arial" w:hAnsi="Arial" w:cs="Arial"/>
          <w:color w:val="auto"/>
          <w:sz w:val="20"/>
          <w:szCs w:val="20"/>
          <w:lang w:val="sl-SI"/>
        </w:rPr>
        <w:t>brazložitev</w:t>
      </w:r>
    </w:p>
    <w:p w14:paraId="1217EBDE" w14:textId="3BDA6468" w:rsidR="00A53ABA" w:rsidRPr="00606A04" w:rsidRDefault="00A53ABA" w:rsidP="00A53ABA">
      <w:pPr>
        <w:pStyle w:val="Telobesedila"/>
        <w:numPr>
          <w:ilvl w:val="0"/>
          <w:numId w:val="25"/>
        </w:numPr>
        <w:jc w:val="both"/>
        <w:rPr>
          <w:rFonts w:ascii="Arial" w:hAnsi="Arial" w:cs="Arial"/>
          <w:color w:val="auto"/>
          <w:sz w:val="20"/>
          <w:szCs w:val="20"/>
          <w:lang w:val="sl-SI"/>
        </w:rPr>
      </w:pPr>
      <w:r w:rsidRPr="00606A04">
        <w:rPr>
          <w:rFonts w:ascii="Arial" w:hAnsi="Arial" w:cs="Arial"/>
          <w:color w:val="auto"/>
          <w:sz w:val="20"/>
          <w:szCs w:val="20"/>
          <w:lang w:val="sl-SI" w:eastAsia="sl-SI"/>
        </w:rPr>
        <w:t xml:space="preserve">Predlog Načrta izvajanja finančnih instrumentov </w:t>
      </w:r>
      <w:r>
        <w:rPr>
          <w:rFonts w:ascii="Arial" w:hAnsi="Arial" w:cs="Arial"/>
          <w:color w:val="auto"/>
          <w:sz w:val="20"/>
          <w:szCs w:val="20"/>
          <w:lang w:val="sl-SI" w:eastAsia="sl-SI"/>
        </w:rPr>
        <w:t xml:space="preserve">na Ministrstvu za delo, družino, socialne zadeve in enake možnosti </w:t>
      </w:r>
      <w:r w:rsidRPr="00606A04">
        <w:rPr>
          <w:rFonts w:ascii="Arial" w:hAnsi="Arial" w:cs="Arial"/>
          <w:color w:val="auto"/>
          <w:sz w:val="20"/>
          <w:szCs w:val="20"/>
          <w:lang w:val="sl-SI" w:eastAsia="sl-SI"/>
        </w:rPr>
        <w:t xml:space="preserve">za leti </w:t>
      </w:r>
      <w:r w:rsidRPr="00606A04">
        <w:rPr>
          <w:rFonts w:ascii="Arial" w:hAnsi="Arial" w:cs="Arial"/>
          <w:color w:val="auto"/>
          <w:sz w:val="20"/>
          <w:szCs w:val="20"/>
          <w:lang w:val="sl-SI"/>
        </w:rPr>
        <w:t>202</w:t>
      </w:r>
      <w:r w:rsidRPr="00634660">
        <w:rPr>
          <w:rFonts w:ascii="Arial" w:hAnsi="Arial" w:cs="Arial"/>
          <w:color w:val="auto"/>
          <w:sz w:val="20"/>
          <w:szCs w:val="20"/>
          <w:lang w:val="sl-SI"/>
        </w:rPr>
        <w:t>6</w:t>
      </w:r>
      <w:r w:rsidRPr="00606A04">
        <w:rPr>
          <w:rFonts w:ascii="Arial" w:hAnsi="Arial" w:cs="Arial"/>
          <w:color w:val="auto"/>
          <w:sz w:val="20"/>
          <w:szCs w:val="20"/>
          <w:lang w:val="sl-SI"/>
        </w:rPr>
        <w:t xml:space="preserve"> in 202</w:t>
      </w:r>
      <w:r w:rsidRPr="00634660">
        <w:rPr>
          <w:rFonts w:ascii="Arial" w:hAnsi="Arial" w:cs="Arial"/>
          <w:color w:val="auto"/>
          <w:sz w:val="20"/>
          <w:szCs w:val="20"/>
          <w:lang w:val="sl-SI"/>
        </w:rPr>
        <w:t>7</w:t>
      </w:r>
      <w:r w:rsidRPr="00606A04">
        <w:rPr>
          <w:rFonts w:ascii="Arial" w:hAnsi="Arial" w:cs="Arial"/>
          <w:color w:val="auto"/>
          <w:sz w:val="20"/>
          <w:szCs w:val="20"/>
          <w:lang w:val="sl-SI" w:eastAsia="sl-SI"/>
        </w:rPr>
        <w:t xml:space="preserve"> programskega obdobja 2021–2027</w:t>
      </w:r>
      <w:r w:rsidR="009C3EAE">
        <w:rPr>
          <w:rFonts w:ascii="Arial" w:hAnsi="Arial" w:cs="Arial"/>
          <w:color w:val="auto"/>
          <w:sz w:val="20"/>
          <w:szCs w:val="20"/>
          <w:lang w:val="sl-SI" w:eastAsia="sl-SI"/>
        </w:rPr>
        <w:t>.</w:t>
      </w:r>
    </w:p>
    <w:p w14:paraId="7FFF2DF3" w14:textId="435B4D57" w:rsidR="009409A9" w:rsidRDefault="009409A9"/>
    <w:p w14:paraId="1298B85A" w14:textId="57C21E23" w:rsidR="00686EF4" w:rsidRDefault="00686EF4"/>
    <w:p w14:paraId="5D0D03C7" w14:textId="51ADBD33" w:rsidR="009409A9" w:rsidRDefault="009409A9"/>
    <w:p w14:paraId="67F50002" w14:textId="77777777" w:rsidR="00B543DA" w:rsidRDefault="00B543DA" w:rsidP="00A53ABA">
      <w:pPr>
        <w:pStyle w:val="Naslovpredpisa"/>
        <w:spacing w:before="0" w:after="0" w:line="260" w:lineRule="exact"/>
      </w:pPr>
      <w:r>
        <w:br w:type="page"/>
      </w:r>
    </w:p>
    <w:p w14:paraId="5CBB726E" w14:textId="20B2D747" w:rsidR="001C6518" w:rsidRDefault="001C6518">
      <w:pPr>
        <w:rPr>
          <w:rFonts w:eastAsia="Times New Roman" w:cs="Arial"/>
          <w:b/>
          <w:sz w:val="22"/>
          <w:lang w:eastAsia="sl-SI"/>
        </w:rPr>
      </w:pPr>
    </w:p>
    <w:p w14:paraId="698601E3" w14:textId="17061168" w:rsidR="00A53ABA" w:rsidRPr="00F57764" w:rsidRDefault="00A53ABA" w:rsidP="00A53ABA">
      <w:pPr>
        <w:pStyle w:val="Naslovpredpisa"/>
        <w:spacing w:before="0" w:after="0" w:line="260" w:lineRule="exact"/>
      </w:pPr>
      <w:r w:rsidRPr="00F57764">
        <w:t>OBRAZLOŽITEV</w:t>
      </w:r>
    </w:p>
    <w:p w14:paraId="55034BF0" w14:textId="77777777" w:rsidR="00A53ABA" w:rsidRPr="00F57764" w:rsidRDefault="00A53ABA" w:rsidP="00A53ABA">
      <w:pPr>
        <w:pStyle w:val="Naslovpredpisa"/>
        <w:spacing w:before="0" w:after="0" w:line="260" w:lineRule="exact"/>
        <w:jc w:val="both"/>
      </w:pPr>
    </w:p>
    <w:p w14:paraId="7A85144B" w14:textId="353F621B" w:rsidR="00A53ABA" w:rsidRPr="00634660" w:rsidRDefault="00A53ABA" w:rsidP="00A53ABA">
      <w:pPr>
        <w:jc w:val="both"/>
        <w:rPr>
          <w:rFonts w:cs="Arial"/>
          <w:sz w:val="22"/>
        </w:rPr>
      </w:pPr>
      <w:r w:rsidRPr="00634660">
        <w:rPr>
          <w:rFonts w:cs="Arial"/>
          <w:sz w:val="22"/>
        </w:rPr>
        <w:t xml:space="preserve">Načrt izvajanja finančnih instrumentov </w:t>
      </w:r>
      <w:r>
        <w:rPr>
          <w:rFonts w:cs="Arial"/>
          <w:sz w:val="22"/>
        </w:rPr>
        <w:t xml:space="preserve">na Ministrstvu za delo, družino, socialne zadeve in enake možnosti </w:t>
      </w:r>
      <w:r w:rsidRPr="00634660">
        <w:rPr>
          <w:rFonts w:cs="Arial"/>
          <w:sz w:val="22"/>
        </w:rPr>
        <w:t>za leti 2026 in 2027 je skladno s četrtim odstavkom 13. člena ZJF sestavni del obrazložitve predloga proračuna države in skladno s sklepom Vlade Republike Slovenije, št. 41003-6/2025/4 z dne 17. 6. 202</w:t>
      </w:r>
      <w:r>
        <w:rPr>
          <w:rFonts w:cs="Arial"/>
          <w:sz w:val="22"/>
        </w:rPr>
        <w:t>5</w:t>
      </w:r>
      <w:r w:rsidRPr="00634660">
        <w:rPr>
          <w:rFonts w:cs="Arial"/>
          <w:sz w:val="22"/>
        </w:rPr>
        <w:t xml:space="preserve"> vključuje ukrepe, oblike, obseg sredstev in terminski načrt izplačil sredstev. </w:t>
      </w:r>
    </w:p>
    <w:p w14:paraId="266334E8" w14:textId="77777777" w:rsidR="00755E79" w:rsidRDefault="00A53ABA" w:rsidP="00A53ABA">
      <w:pPr>
        <w:jc w:val="both"/>
        <w:rPr>
          <w:rFonts w:cs="Arial"/>
          <w:sz w:val="22"/>
        </w:rPr>
      </w:pPr>
      <w:r w:rsidRPr="00A53ABA">
        <w:rPr>
          <w:rFonts w:cs="Arial"/>
          <w:sz w:val="22"/>
        </w:rPr>
        <w:t>Vsebinsko podlago za pripravo NIFI predstavlja Program za izvajanje evropske kohezijske politike v programskem obdobju 2021-2027 (v nadaljevanju: PEKP). V spremembi PEKP, verzija 3.1., je Ministrstvo za kohezijo in regionalni razvoj v vlogi Organa upravljanja (v nadaljevanju: MKRR-OU) na predlog posredniškega telesa, Ministrstva za delo, družino, socialne zadeve in enake možnosti (v nadaljevanju: MDDSZ), vpeljalo finančne instrumente (v nadaljevanju: FI) za spodbujanje udeležbe zaposlenih v lastništvu podjetij iz Evropskega socialnega sklada plus (v nadaljevanju: ESS+) na cilj politike 4 »Bolj socialna in vključujoča Evropa za izvajanje evropskega stebra socialnih pravic«, na prednostno nalogo 6 »Znanja in spretnosti ter odzivni trg dela« in na specifični cilj ESO 4.4. »Spodbujanje prilagajanja delavcev, podjetij in podjetnikov na spremembe, aktivnega in zdravega staranja ter zdravega in dobro prilagojenega delovnega okolja, ki obravnava tveganja za zdravje (ESS+).</w:t>
      </w:r>
    </w:p>
    <w:p w14:paraId="307F25DF" w14:textId="77777777" w:rsidR="00755E79" w:rsidRPr="00755E79" w:rsidRDefault="00755E79" w:rsidP="00755E79">
      <w:pPr>
        <w:jc w:val="both"/>
        <w:rPr>
          <w:rFonts w:cs="Arial"/>
          <w:sz w:val="22"/>
        </w:rPr>
      </w:pPr>
      <w:r w:rsidRPr="00755E79">
        <w:rPr>
          <w:rFonts w:cs="Arial"/>
          <w:sz w:val="22"/>
        </w:rPr>
        <w:t xml:space="preserve">V skladu z 58. členom Uredbe 2021/1060/EU se ustrezna podpora v FI utemelji na podlagi predhodne ocene, za pripravo katere je odgovoren organ upravljanja (MKRR-OU). MKRR-OU je že pristopil k revidiranju obstoječe Predhodne ocene potreb trga in vrzeli financiranja na trgu za izvajanje finančnih instrumentov v programskem obdobju 2021-2027 iz leta 2022 (v nadaljevanju: Predhodna ocena), s katero bo zaključil, preden se bo dodelil programski prispevek v navedene FI iz področja specifičnega cilja ESO 4.4. </w:t>
      </w:r>
    </w:p>
    <w:p w14:paraId="18DCAF2F" w14:textId="77777777" w:rsidR="00755E79" w:rsidRPr="00755E79" w:rsidRDefault="00755E79" w:rsidP="00755E79">
      <w:pPr>
        <w:jc w:val="both"/>
        <w:rPr>
          <w:rFonts w:cs="Arial"/>
          <w:sz w:val="22"/>
        </w:rPr>
      </w:pPr>
      <w:r w:rsidRPr="00755E79">
        <w:rPr>
          <w:rFonts w:cs="Arial"/>
          <w:sz w:val="22"/>
        </w:rPr>
        <w:t>Za pristop k revidiranju Predhodne ocene je MKRR-OU pristopil na podlagi spodnjih aktivnosti/informacij:</w:t>
      </w:r>
    </w:p>
    <w:p w14:paraId="65396960" w14:textId="3E5DDDC8" w:rsidR="00755E79" w:rsidRDefault="00755E79" w:rsidP="00755E79">
      <w:pPr>
        <w:pStyle w:val="Odstavekseznama"/>
        <w:numPr>
          <w:ilvl w:val="0"/>
          <w:numId w:val="25"/>
        </w:numPr>
        <w:jc w:val="both"/>
        <w:rPr>
          <w:rFonts w:cs="Arial"/>
          <w:sz w:val="22"/>
        </w:rPr>
      </w:pPr>
      <w:r w:rsidRPr="00755E79">
        <w:rPr>
          <w:rFonts w:cs="Arial"/>
          <w:sz w:val="22"/>
        </w:rPr>
        <w:t xml:space="preserve">izvedene študije o delavskih odkupih (WBO) za Slovenijo v okviru platforme FI compass, v kateri je EK podala pobudo, da naj OU v Sloveniji razmisli o uporabi obstoječih ali načrtovanih FI za podporo delavskih odkupov; </w:t>
      </w:r>
    </w:p>
    <w:p w14:paraId="668C76C4" w14:textId="49489D25" w:rsidR="00755E79" w:rsidRDefault="00755E79" w:rsidP="00755E79">
      <w:pPr>
        <w:pStyle w:val="Odstavekseznama"/>
        <w:numPr>
          <w:ilvl w:val="0"/>
          <w:numId w:val="25"/>
        </w:numPr>
        <w:jc w:val="both"/>
        <w:rPr>
          <w:rFonts w:cs="Arial"/>
          <w:sz w:val="22"/>
        </w:rPr>
      </w:pPr>
      <w:r w:rsidRPr="00755E79">
        <w:rPr>
          <w:rFonts w:cs="Arial"/>
          <w:sz w:val="22"/>
        </w:rPr>
        <w:t xml:space="preserve">postopka javne razprave o </w:t>
      </w:r>
      <w:r w:rsidR="00D61ADC">
        <w:rPr>
          <w:rFonts w:cs="Arial"/>
          <w:sz w:val="22"/>
        </w:rPr>
        <w:t xml:space="preserve">predlogu </w:t>
      </w:r>
      <w:r w:rsidR="00DD0B19">
        <w:rPr>
          <w:rFonts w:cs="Arial"/>
          <w:sz w:val="22"/>
        </w:rPr>
        <w:t>z</w:t>
      </w:r>
      <w:r w:rsidRPr="00755E79">
        <w:rPr>
          <w:rFonts w:cs="Arial"/>
          <w:sz w:val="22"/>
        </w:rPr>
        <w:t>akon</w:t>
      </w:r>
      <w:r w:rsidR="00D61ADC">
        <w:rPr>
          <w:rFonts w:cs="Arial"/>
          <w:sz w:val="22"/>
        </w:rPr>
        <w:t>a</w:t>
      </w:r>
      <w:r w:rsidRPr="00755E79">
        <w:rPr>
          <w:rFonts w:cs="Arial"/>
          <w:sz w:val="22"/>
        </w:rPr>
        <w:t xml:space="preserve"> o lastniški zadrugi delavcev, ki v slovenski prostor uvaja model delavskega solastništva po zgledu ameriškega ESOP (Employee Stock Ownership Plan);</w:t>
      </w:r>
    </w:p>
    <w:p w14:paraId="35B536D0" w14:textId="2E7BA8DB" w:rsidR="00755E79" w:rsidRPr="00755E79" w:rsidRDefault="00755E79" w:rsidP="00755E79">
      <w:pPr>
        <w:pStyle w:val="Odstavekseznama"/>
        <w:numPr>
          <w:ilvl w:val="0"/>
          <w:numId w:val="25"/>
        </w:numPr>
        <w:jc w:val="both"/>
        <w:rPr>
          <w:rFonts w:cs="Arial"/>
          <w:sz w:val="22"/>
        </w:rPr>
      </w:pPr>
      <w:r w:rsidRPr="00755E79">
        <w:rPr>
          <w:rFonts w:cs="Arial"/>
          <w:sz w:val="22"/>
        </w:rPr>
        <w:t xml:space="preserve">izvedene študije CRP Analiza lastniških struktur v slovenskem gospodarstvu in potenciala za spodbujanja družbeno-odgovornega lastništva Univerze v Ljubljani, ki nakazuje na veliko tržno vrzel v delu financiranja delavskih odkupov zaradi problema politike nasledstva, kjer lastniki, ki se bodo upokojili, nimajo zagotovljenih naslednikov. </w:t>
      </w:r>
    </w:p>
    <w:p w14:paraId="376AAFD8" w14:textId="3FDB2527" w:rsidR="00755E79" w:rsidRDefault="00755E79" w:rsidP="00755E79">
      <w:pPr>
        <w:jc w:val="both"/>
        <w:rPr>
          <w:rFonts w:cs="Arial"/>
          <w:sz w:val="22"/>
        </w:rPr>
      </w:pPr>
      <w:r w:rsidRPr="00755E79">
        <w:rPr>
          <w:rFonts w:cs="Arial"/>
          <w:sz w:val="22"/>
        </w:rPr>
        <w:t>Pred sklenitvijo sporazuma o financiranju z izvajalcem FI bodo skladno s tretjim odstavkom 27. člena Uredbe 2021/1060/EU in drugim odstavkom 17. člena Uredbe o postopku, merilih in načinih dodeljevanja sredstev za spodbujanje razvojnih programov in prednostnih nalog (Uradni list RS, št. 56/11) pripravljeni Ključni elementi finančnih instrumentov v obdobju 2021–2027 (v nadaljevanju: KEFI).</w:t>
      </w:r>
    </w:p>
    <w:p w14:paraId="23089DD2" w14:textId="77777777" w:rsidR="00861661" w:rsidRDefault="00861661">
      <w:pPr>
        <w:rPr>
          <w:rFonts w:cs="Arial"/>
          <w:sz w:val="22"/>
        </w:rPr>
      </w:pPr>
      <w:r>
        <w:rPr>
          <w:rFonts w:cs="Arial"/>
          <w:sz w:val="22"/>
        </w:rPr>
        <w:br w:type="page"/>
      </w:r>
    </w:p>
    <w:p w14:paraId="2500AA7A" w14:textId="39378C28" w:rsidR="00A53ABA" w:rsidRDefault="00A53ABA" w:rsidP="00A53ABA">
      <w:pPr>
        <w:jc w:val="both"/>
        <w:rPr>
          <w:rFonts w:cs="Arial"/>
          <w:sz w:val="22"/>
        </w:rPr>
      </w:pPr>
      <w:r>
        <w:rPr>
          <w:rFonts w:cs="Arial"/>
          <w:sz w:val="22"/>
        </w:rPr>
        <w:lastRenderedPageBreak/>
        <w:t>Tabela 1: Razdelitev sredstev po specifičnih ciljih (področjih) in med regijama</w:t>
      </w:r>
    </w:p>
    <w:tbl>
      <w:tblPr>
        <w:tblStyle w:val="Tabelamrea"/>
        <w:tblW w:w="9776" w:type="dxa"/>
        <w:tblLook w:val="04A0" w:firstRow="1" w:lastRow="0" w:firstColumn="1" w:lastColumn="0" w:noHBand="0" w:noVBand="1"/>
      </w:tblPr>
      <w:tblGrid>
        <w:gridCol w:w="1268"/>
        <w:gridCol w:w="1733"/>
        <w:gridCol w:w="1272"/>
        <w:gridCol w:w="1996"/>
        <w:gridCol w:w="2107"/>
        <w:gridCol w:w="1400"/>
      </w:tblGrid>
      <w:tr w:rsidR="00755E79" w:rsidRPr="008A3FD6" w14:paraId="3AFB9A17" w14:textId="77777777" w:rsidTr="0068662F">
        <w:tc>
          <w:tcPr>
            <w:tcW w:w="1268" w:type="dxa"/>
            <w:shd w:val="clear" w:color="auto" w:fill="BDD6EE" w:themeFill="accent1" w:themeFillTint="66"/>
            <w:vAlign w:val="center"/>
          </w:tcPr>
          <w:p w14:paraId="6FF78E73" w14:textId="77777777" w:rsidR="00755E79" w:rsidRPr="008A3FD6" w:rsidRDefault="00755E79" w:rsidP="0068662F">
            <w:pPr>
              <w:rPr>
                <w:rFonts w:cs="Arial"/>
                <w:szCs w:val="20"/>
              </w:rPr>
            </w:pPr>
            <w:r w:rsidRPr="008A3FD6">
              <w:rPr>
                <w:rFonts w:cs="Arial"/>
                <w:b/>
                <w:bCs/>
                <w:szCs w:val="20"/>
              </w:rPr>
              <w:t>Specifični cilj</w:t>
            </w:r>
          </w:p>
        </w:tc>
        <w:tc>
          <w:tcPr>
            <w:tcW w:w="1733" w:type="dxa"/>
            <w:shd w:val="clear" w:color="auto" w:fill="BDD6EE" w:themeFill="accent1" w:themeFillTint="66"/>
            <w:vAlign w:val="center"/>
          </w:tcPr>
          <w:p w14:paraId="0720D535" w14:textId="77777777" w:rsidR="00755E79" w:rsidRPr="008A3FD6" w:rsidRDefault="00755E79" w:rsidP="0068662F">
            <w:pPr>
              <w:rPr>
                <w:rFonts w:cs="Arial"/>
                <w:szCs w:val="20"/>
              </w:rPr>
            </w:pPr>
            <w:r w:rsidRPr="008A3FD6">
              <w:rPr>
                <w:rFonts w:cs="Arial"/>
                <w:b/>
                <w:bCs/>
                <w:szCs w:val="20"/>
              </w:rPr>
              <w:t>FI (oblika financiranja)</w:t>
            </w:r>
            <w:r>
              <w:rPr>
                <w:rStyle w:val="Sprotnaopomba-sklic"/>
                <w:rFonts w:cs="Arial"/>
                <w:b/>
                <w:bCs/>
                <w:szCs w:val="20"/>
              </w:rPr>
              <w:footnoteReference w:id="1"/>
            </w:r>
          </w:p>
        </w:tc>
        <w:tc>
          <w:tcPr>
            <w:tcW w:w="1272" w:type="dxa"/>
            <w:shd w:val="clear" w:color="auto" w:fill="BDD6EE" w:themeFill="accent1" w:themeFillTint="66"/>
            <w:vAlign w:val="center"/>
          </w:tcPr>
          <w:p w14:paraId="119FF673" w14:textId="77777777" w:rsidR="00755E79" w:rsidRPr="008A3FD6" w:rsidRDefault="00755E79" w:rsidP="0068662F">
            <w:pPr>
              <w:jc w:val="center"/>
              <w:rPr>
                <w:rFonts w:cs="Arial"/>
                <w:szCs w:val="20"/>
              </w:rPr>
            </w:pPr>
            <w:r w:rsidRPr="008A3FD6">
              <w:rPr>
                <w:rFonts w:cs="Arial"/>
                <w:b/>
                <w:bCs/>
                <w:szCs w:val="20"/>
              </w:rPr>
              <w:t>Področje ukrepanja</w:t>
            </w:r>
          </w:p>
        </w:tc>
        <w:tc>
          <w:tcPr>
            <w:tcW w:w="1996" w:type="dxa"/>
            <w:shd w:val="clear" w:color="auto" w:fill="BDD6EE" w:themeFill="accent1" w:themeFillTint="66"/>
            <w:vAlign w:val="center"/>
          </w:tcPr>
          <w:p w14:paraId="40BE42FD" w14:textId="77777777" w:rsidR="00755E79" w:rsidRPr="008A3FD6" w:rsidRDefault="00755E79" w:rsidP="0068662F">
            <w:pPr>
              <w:jc w:val="center"/>
              <w:rPr>
                <w:rFonts w:cs="Arial"/>
                <w:szCs w:val="20"/>
              </w:rPr>
            </w:pPr>
            <w:r w:rsidRPr="008A3FD6">
              <w:rPr>
                <w:rFonts w:cs="Arial"/>
                <w:b/>
                <w:bCs/>
                <w:szCs w:val="20"/>
              </w:rPr>
              <w:t>FI (EU del) - VZHOD</w:t>
            </w:r>
          </w:p>
        </w:tc>
        <w:tc>
          <w:tcPr>
            <w:tcW w:w="2107" w:type="dxa"/>
            <w:shd w:val="clear" w:color="auto" w:fill="BDD6EE" w:themeFill="accent1" w:themeFillTint="66"/>
            <w:vAlign w:val="center"/>
          </w:tcPr>
          <w:p w14:paraId="5E1CBA00" w14:textId="77777777" w:rsidR="00755E79" w:rsidRPr="008A3FD6" w:rsidRDefault="00755E79" w:rsidP="0068662F">
            <w:pPr>
              <w:jc w:val="center"/>
              <w:rPr>
                <w:rFonts w:cs="Arial"/>
                <w:szCs w:val="20"/>
              </w:rPr>
            </w:pPr>
            <w:r w:rsidRPr="008A3FD6">
              <w:rPr>
                <w:rFonts w:cs="Arial"/>
                <w:b/>
                <w:bCs/>
                <w:szCs w:val="20"/>
              </w:rPr>
              <w:t>FI (EU del) - ZAHOD</w:t>
            </w:r>
          </w:p>
        </w:tc>
        <w:tc>
          <w:tcPr>
            <w:tcW w:w="1400" w:type="dxa"/>
            <w:shd w:val="clear" w:color="auto" w:fill="BDD6EE" w:themeFill="accent1" w:themeFillTint="66"/>
            <w:vAlign w:val="center"/>
          </w:tcPr>
          <w:p w14:paraId="0F1886E4" w14:textId="77777777" w:rsidR="00755E79" w:rsidRPr="008A3FD6" w:rsidRDefault="00755E79" w:rsidP="0068662F">
            <w:pPr>
              <w:jc w:val="center"/>
              <w:rPr>
                <w:rFonts w:cs="Arial"/>
                <w:b/>
                <w:bCs/>
                <w:szCs w:val="20"/>
              </w:rPr>
            </w:pPr>
            <w:r w:rsidRPr="008A3FD6">
              <w:rPr>
                <w:rFonts w:cs="Arial"/>
                <w:b/>
                <w:bCs/>
                <w:szCs w:val="20"/>
              </w:rPr>
              <w:t>Skupaj</w:t>
            </w:r>
          </w:p>
        </w:tc>
      </w:tr>
      <w:tr w:rsidR="00755E79" w:rsidRPr="008A3FD6" w14:paraId="0082FC49" w14:textId="77777777" w:rsidTr="0068662F">
        <w:tc>
          <w:tcPr>
            <w:tcW w:w="1268" w:type="dxa"/>
            <w:vAlign w:val="center"/>
          </w:tcPr>
          <w:p w14:paraId="61534636" w14:textId="77777777" w:rsidR="00755E79" w:rsidRPr="008A3FD6" w:rsidRDefault="00755E79" w:rsidP="0068662F">
            <w:pPr>
              <w:rPr>
                <w:rFonts w:cs="Arial"/>
                <w:szCs w:val="20"/>
              </w:rPr>
            </w:pPr>
            <w:r w:rsidRPr="008A3FD6">
              <w:rPr>
                <w:rFonts w:cs="Arial"/>
                <w:szCs w:val="20"/>
              </w:rPr>
              <w:t>4.4</w:t>
            </w:r>
          </w:p>
        </w:tc>
        <w:tc>
          <w:tcPr>
            <w:tcW w:w="1733" w:type="dxa"/>
          </w:tcPr>
          <w:p w14:paraId="52B967FF" w14:textId="77777777" w:rsidR="00755E79" w:rsidRPr="008A3FD6" w:rsidRDefault="00755E79" w:rsidP="0068662F">
            <w:pPr>
              <w:jc w:val="both"/>
              <w:rPr>
                <w:rFonts w:cs="Arial"/>
                <w:szCs w:val="20"/>
              </w:rPr>
            </w:pPr>
            <w:r w:rsidRPr="008A3FD6">
              <w:rPr>
                <w:rFonts w:cs="Arial"/>
                <w:szCs w:val="20"/>
              </w:rPr>
              <w:t>0</w:t>
            </w:r>
            <w:r>
              <w:rPr>
                <w:rFonts w:cs="Arial"/>
                <w:szCs w:val="20"/>
              </w:rPr>
              <w:t>3</w:t>
            </w:r>
            <w:r w:rsidRPr="008A3FD6">
              <w:rPr>
                <w:rFonts w:cs="Arial"/>
                <w:szCs w:val="20"/>
              </w:rPr>
              <w:t xml:space="preserve"> Podpora prek finančnih instrumentov: </w:t>
            </w:r>
            <w:r>
              <w:rPr>
                <w:rFonts w:cs="Arial"/>
                <w:szCs w:val="20"/>
              </w:rPr>
              <w:t>posojila</w:t>
            </w:r>
          </w:p>
        </w:tc>
        <w:tc>
          <w:tcPr>
            <w:tcW w:w="1272" w:type="dxa"/>
            <w:vAlign w:val="center"/>
          </w:tcPr>
          <w:p w14:paraId="2DD78E6F" w14:textId="77777777" w:rsidR="00755E79" w:rsidRPr="008A3FD6" w:rsidRDefault="00755E79" w:rsidP="0068662F">
            <w:pPr>
              <w:jc w:val="center"/>
              <w:rPr>
                <w:rFonts w:cs="Arial"/>
                <w:szCs w:val="20"/>
              </w:rPr>
            </w:pPr>
            <w:r w:rsidRPr="008A3FD6">
              <w:rPr>
                <w:rFonts w:cs="Arial"/>
                <w:color w:val="000000"/>
                <w:szCs w:val="20"/>
              </w:rPr>
              <w:t>146. Podpora za prilagajanje delavcev, podjetij in podjetnikov na spremembe</w:t>
            </w:r>
          </w:p>
        </w:tc>
        <w:tc>
          <w:tcPr>
            <w:tcW w:w="1996" w:type="dxa"/>
            <w:vAlign w:val="center"/>
          </w:tcPr>
          <w:p w14:paraId="41800846" w14:textId="77777777" w:rsidR="00755E79" w:rsidRPr="008A3FD6" w:rsidRDefault="00755E79" w:rsidP="0068662F">
            <w:pPr>
              <w:jc w:val="center"/>
              <w:rPr>
                <w:rFonts w:cs="Arial"/>
                <w:szCs w:val="20"/>
              </w:rPr>
            </w:pPr>
            <w:r>
              <w:rPr>
                <w:rFonts w:cs="Arial"/>
                <w:szCs w:val="20"/>
              </w:rPr>
              <w:t>2.656.250</w:t>
            </w:r>
          </w:p>
        </w:tc>
        <w:tc>
          <w:tcPr>
            <w:tcW w:w="2107" w:type="dxa"/>
            <w:vAlign w:val="center"/>
          </w:tcPr>
          <w:p w14:paraId="67CA3800" w14:textId="77777777" w:rsidR="00755E79" w:rsidRPr="008A3FD6" w:rsidRDefault="00755E79" w:rsidP="0068662F">
            <w:pPr>
              <w:rPr>
                <w:rFonts w:cs="Arial"/>
                <w:szCs w:val="20"/>
              </w:rPr>
            </w:pPr>
            <w:r>
              <w:rPr>
                <w:rFonts w:cs="Arial"/>
                <w:szCs w:val="20"/>
              </w:rPr>
              <w:t>1.250.000</w:t>
            </w:r>
          </w:p>
        </w:tc>
        <w:tc>
          <w:tcPr>
            <w:tcW w:w="1400" w:type="dxa"/>
            <w:vAlign w:val="center"/>
          </w:tcPr>
          <w:p w14:paraId="53D33848" w14:textId="77777777" w:rsidR="00755E79" w:rsidRDefault="00755E79" w:rsidP="0068662F">
            <w:pPr>
              <w:jc w:val="center"/>
              <w:rPr>
                <w:rFonts w:ascii="Aptos Narrow" w:hAnsi="Aptos Narrow"/>
                <w:color w:val="000000"/>
              </w:rPr>
            </w:pPr>
            <w:r>
              <w:rPr>
                <w:rFonts w:ascii="Aptos Narrow" w:hAnsi="Aptos Narrow"/>
                <w:color w:val="000000"/>
              </w:rPr>
              <w:t>3.906.250</w:t>
            </w:r>
          </w:p>
          <w:p w14:paraId="69230BA7" w14:textId="77777777" w:rsidR="00755E79" w:rsidRPr="008A3FD6" w:rsidRDefault="00755E79" w:rsidP="0068662F">
            <w:pPr>
              <w:jc w:val="center"/>
              <w:rPr>
                <w:rFonts w:cs="Arial"/>
                <w:szCs w:val="20"/>
              </w:rPr>
            </w:pPr>
          </w:p>
        </w:tc>
      </w:tr>
      <w:tr w:rsidR="00755E79" w:rsidRPr="008A3FD6" w14:paraId="6F97B43B" w14:textId="77777777" w:rsidTr="0068662F">
        <w:tc>
          <w:tcPr>
            <w:tcW w:w="1268" w:type="dxa"/>
            <w:vAlign w:val="center"/>
          </w:tcPr>
          <w:p w14:paraId="3C151E3D" w14:textId="77777777" w:rsidR="00755E79" w:rsidRPr="008A3FD6" w:rsidRDefault="00755E79" w:rsidP="0068662F">
            <w:pPr>
              <w:rPr>
                <w:rFonts w:cs="Arial"/>
                <w:szCs w:val="20"/>
              </w:rPr>
            </w:pPr>
            <w:r w:rsidRPr="008A3FD6">
              <w:rPr>
                <w:rFonts w:cs="Arial"/>
                <w:szCs w:val="20"/>
              </w:rPr>
              <w:t>4.4</w:t>
            </w:r>
          </w:p>
        </w:tc>
        <w:tc>
          <w:tcPr>
            <w:tcW w:w="1733" w:type="dxa"/>
          </w:tcPr>
          <w:p w14:paraId="1135D9F7" w14:textId="77777777" w:rsidR="00755E79" w:rsidRPr="008A3FD6" w:rsidRDefault="00755E79" w:rsidP="0068662F">
            <w:pPr>
              <w:jc w:val="both"/>
              <w:rPr>
                <w:rFonts w:cs="Arial"/>
                <w:szCs w:val="20"/>
              </w:rPr>
            </w:pPr>
            <w:r w:rsidRPr="008A3FD6">
              <w:rPr>
                <w:rFonts w:cs="Arial"/>
                <w:szCs w:val="20"/>
              </w:rPr>
              <w:t>0</w:t>
            </w:r>
            <w:r>
              <w:rPr>
                <w:rFonts w:cs="Arial"/>
                <w:szCs w:val="20"/>
              </w:rPr>
              <w:t>4</w:t>
            </w:r>
            <w:r w:rsidRPr="008A3FD6">
              <w:rPr>
                <w:rFonts w:cs="Arial"/>
                <w:szCs w:val="20"/>
              </w:rPr>
              <w:t xml:space="preserve"> Podpora prek finančnih instrumentov: jamstva</w:t>
            </w:r>
          </w:p>
        </w:tc>
        <w:tc>
          <w:tcPr>
            <w:tcW w:w="1272" w:type="dxa"/>
            <w:vAlign w:val="center"/>
          </w:tcPr>
          <w:p w14:paraId="59F78277" w14:textId="77777777" w:rsidR="00755E79" w:rsidRPr="008A3FD6" w:rsidRDefault="00755E79" w:rsidP="0068662F">
            <w:pPr>
              <w:jc w:val="center"/>
              <w:rPr>
                <w:rFonts w:cs="Arial"/>
                <w:szCs w:val="20"/>
              </w:rPr>
            </w:pPr>
            <w:r w:rsidRPr="008A3FD6">
              <w:rPr>
                <w:rFonts w:cs="Arial"/>
                <w:color w:val="000000"/>
                <w:szCs w:val="20"/>
              </w:rPr>
              <w:t>146. Podpora za prilagajanje delavcev, podjetij in podjetnikov na spremembe</w:t>
            </w:r>
          </w:p>
        </w:tc>
        <w:tc>
          <w:tcPr>
            <w:tcW w:w="1996" w:type="dxa"/>
            <w:vAlign w:val="center"/>
          </w:tcPr>
          <w:p w14:paraId="0754EFBE" w14:textId="77777777" w:rsidR="00755E79" w:rsidRPr="008A3FD6" w:rsidRDefault="00755E79" w:rsidP="0068662F">
            <w:pPr>
              <w:jc w:val="center"/>
              <w:rPr>
                <w:rFonts w:cs="Arial"/>
                <w:szCs w:val="20"/>
              </w:rPr>
            </w:pPr>
            <w:r>
              <w:rPr>
                <w:rFonts w:cs="Arial"/>
                <w:szCs w:val="20"/>
              </w:rPr>
              <w:t>1.593.750</w:t>
            </w:r>
          </w:p>
        </w:tc>
        <w:tc>
          <w:tcPr>
            <w:tcW w:w="2107" w:type="dxa"/>
            <w:vAlign w:val="center"/>
          </w:tcPr>
          <w:p w14:paraId="607DFDB3" w14:textId="77777777" w:rsidR="00755E79" w:rsidRPr="008A3FD6" w:rsidRDefault="00755E79" w:rsidP="0068662F">
            <w:pPr>
              <w:rPr>
                <w:rFonts w:cs="Arial"/>
                <w:szCs w:val="20"/>
              </w:rPr>
            </w:pPr>
            <w:r>
              <w:rPr>
                <w:rFonts w:cs="Arial"/>
                <w:szCs w:val="20"/>
              </w:rPr>
              <w:t>750</w:t>
            </w:r>
            <w:r w:rsidRPr="008A3FD6">
              <w:rPr>
                <w:rFonts w:cs="Arial"/>
                <w:szCs w:val="20"/>
              </w:rPr>
              <w:t>.000</w:t>
            </w:r>
          </w:p>
        </w:tc>
        <w:tc>
          <w:tcPr>
            <w:tcW w:w="1400" w:type="dxa"/>
            <w:vAlign w:val="center"/>
          </w:tcPr>
          <w:p w14:paraId="5C7AA646" w14:textId="77777777" w:rsidR="00755E79" w:rsidRDefault="00755E79" w:rsidP="0068662F">
            <w:pPr>
              <w:jc w:val="center"/>
              <w:rPr>
                <w:rFonts w:ascii="Aptos Narrow" w:hAnsi="Aptos Narrow"/>
                <w:color w:val="000000"/>
              </w:rPr>
            </w:pPr>
            <w:r>
              <w:rPr>
                <w:rFonts w:ascii="Aptos Narrow" w:hAnsi="Aptos Narrow"/>
                <w:color w:val="000000"/>
              </w:rPr>
              <w:t>2.343.750</w:t>
            </w:r>
          </w:p>
          <w:p w14:paraId="6849BAFF" w14:textId="77777777" w:rsidR="00755E79" w:rsidRPr="008A3FD6" w:rsidRDefault="00755E79" w:rsidP="0068662F">
            <w:pPr>
              <w:jc w:val="center"/>
              <w:rPr>
                <w:rFonts w:cs="Arial"/>
                <w:szCs w:val="20"/>
              </w:rPr>
            </w:pPr>
          </w:p>
        </w:tc>
      </w:tr>
      <w:tr w:rsidR="00755E79" w:rsidRPr="008A3FD6" w14:paraId="7AF338FA" w14:textId="77777777" w:rsidTr="0068662F">
        <w:tc>
          <w:tcPr>
            <w:tcW w:w="4273" w:type="dxa"/>
            <w:gridSpan w:val="3"/>
            <w:shd w:val="clear" w:color="auto" w:fill="BDD6EE" w:themeFill="accent1" w:themeFillTint="66"/>
          </w:tcPr>
          <w:p w14:paraId="29EA3558" w14:textId="77777777" w:rsidR="00755E79" w:rsidRPr="008A3FD6" w:rsidRDefault="00755E79" w:rsidP="0068662F">
            <w:pPr>
              <w:jc w:val="center"/>
              <w:rPr>
                <w:rFonts w:cs="Arial"/>
                <w:szCs w:val="20"/>
              </w:rPr>
            </w:pPr>
            <w:r w:rsidRPr="008A3FD6">
              <w:rPr>
                <w:rFonts w:cs="Arial"/>
                <w:b/>
                <w:bCs/>
                <w:szCs w:val="20"/>
              </w:rPr>
              <w:t>Skupna vsota</w:t>
            </w:r>
          </w:p>
        </w:tc>
        <w:tc>
          <w:tcPr>
            <w:tcW w:w="1996" w:type="dxa"/>
            <w:shd w:val="clear" w:color="auto" w:fill="BDD6EE" w:themeFill="accent1" w:themeFillTint="66"/>
            <w:vAlign w:val="center"/>
          </w:tcPr>
          <w:p w14:paraId="190D38D4" w14:textId="77777777" w:rsidR="00755E79" w:rsidRPr="008A3FD6" w:rsidRDefault="00755E79" w:rsidP="0068662F">
            <w:pPr>
              <w:jc w:val="center"/>
              <w:rPr>
                <w:rFonts w:cs="Arial"/>
                <w:b/>
                <w:bCs/>
                <w:color w:val="000000"/>
                <w:szCs w:val="20"/>
              </w:rPr>
            </w:pPr>
            <w:r w:rsidRPr="008A3FD6">
              <w:rPr>
                <w:rFonts w:cs="Arial"/>
                <w:b/>
                <w:bCs/>
                <w:szCs w:val="20"/>
              </w:rPr>
              <w:t>4.250.000</w:t>
            </w:r>
          </w:p>
        </w:tc>
        <w:tc>
          <w:tcPr>
            <w:tcW w:w="2107" w:type="dxa"/>
            <w:shd w:val="clear" w:color="auto" w:fill="BDD6EE" w:themeFill="accent1" w:themeFillTint="66"/>
            <w:vAlign w:val="center"/>
          </w:tcPr>
          <w:p w14:paraId="2B49D7E9" w14:textId="77777777" w:rsidR="00755E79" w:rsidRPr="008A3FD6" w:rsidRDefault="00755E79" w:rsidP="0068662F">
            <w:pPr>
              <w:jc w:val="center"/>
              <w:rPr>
                <w:rFonts w:cs="Arial"/>
                <w:b/>
                <w:bCs/>
                <w:color w:val="000000"/>
                <w:szCs w:val="20"/>
              </w:rPr>
            </w:pPr>
            <w:r w:rsidRPr="008A3FD6">
              <w:rPr>
                <w:rFonts w:cs="Arial"/>
                <w:b/>
                <w:bCs/>
                <w:szCs w:val="20"/>
              </w:rPr>
              <w:t>2.000.000</w:t>
            </w:r>
          </w:p>
        </w:tc>
        <w:tc>
          <w:tcPr>
            <w:tcW w:w="1400" w:type="dxa"/>
            <w:shd w:val="clear" w:color="auto" w:fill="BDD6EE" w:themeFill="accent1" w:themeFillTint="66"/>
            <w:vAlign w:val="center"/>
          </w:tcPr>
          <w:p w14:paraId="4AECD6A4" w14:textId="77777777" w:rsidR="00755E79" w:rsidRPr="008A3FD6" w:rsidRDefault="00755E79" w:rsidP="0068662F">
            <w:pPr>
              <w:jc w:val="center"/>
              <w:rPr>
                <w:rFonts w:cs="Arial"/>
                <w:b/>
                <w:bCs/>
                <w:szCs w:val="20"/>
              </w:rPr>
            </w:pPr>
            <w:r w:rsidRPr="008A3FD6">
              <w:rPr>
                <w:rFonts w:cs="Arial"/>
                <w:b/>
                <w:bCs/>
                <w:szCs w:val="20"/>
              </w:rPr>
              <w:t>6.250.000</w:t>
            </w:r>
          </w:p>
        </w:tc>
      </w:tr>
    </w:tbl>
    <w:p w14:paraId="4852C0FC" w14:textId="77777777" w:rsidR="00755E79" w:rsidRDefault="00755E79" w:rsidP="00A53ABA">
      <w:pPr>
        <w:jc w:val="both"/>
        <w:rPr>
          <w:rFonts w:cs="Arial"/>
          <w:sz w:val="22"/>
        </w:rPr>
      </w:pPr>
    </w:p>
    <w:p w14:paraId="24CBB042" w14:textId="4352534E" w:rsidR="00A53ABA" w:rsidRPr="00896126" w:rsidRDefault="00A53ABA" w:rsidP="00A53ABA">
      <w:pPr>
        <w:jc w:val="both"/>
        <w:rPr>
          <w:rFonts w:cs="Arial"/>
          <w:sz w:val="22"/>
        </w:rPr>
      </w:pPr>
      <w:r w:rsidRPr="00634660">
        <w:rPr>
          <w:rFonts w:cs="Arial"/>
          <w:sz w:val="22"/>
        </w:rPr>
        <w:t xml:space="preserve">Skladno z drugim odstavkom 92. člena Uredbe EU 2021/1060 </w:t>
      </w:r>
      <w:r w:rsidR="00755E79">
        <w:rPr>
          <w:rFonts w:cs="Arial"/>
          <w:sz w:val="22"/>
        </w:rPr>
        <w:t xml:space="preserve">bo </w:t>
      </w:r>
      <w:r w:rsidRPr="00634660">
        <w:rPr>
          <w:rFonts w:cs="Arial"/>
          <w:sz w:val="22"/>
        </w:rPr>
        <w:t xml:space="preserve">predhodno vplačilo </w:t>
      </w:r>
      <w:r w:rsidR="00755E79">
        <w:rPr>
          <w:rFonts w:cs="Arial"/>
          <w:sz w:val="22"/>
        </w:rPr>
        <w:t xml:space="preserve">izvajalcu FI </w:t>
      </w:r>
      <w:r w:rsidRPr="00634660">
        <w:rPr>
          <w:rFonts w:cs="Arial"/>
          <w:sz w:val="22"/>
        </w:rPr>
        <w:t>v letu 202</w:t>
      </w:r>
      <w:r w:rsidR="00755E79">
        <w:rPr>
          <w:rFonts w:cs="Arial"/>
          <w:sz w:val="22"/>
        </w:rPr>
        <w:t>6</w:t>
      </w:r>
      <w:r w:rsidRPr="00634660">
        <w:rPr>
          <w:rFonts w:cs="Arial"/>
          <w:sz w:val="22"/>
        </w:rPr>
        <w:t xml:space="preserve"> znašalo 30 % (tj. </w:t>
      </w:r>
      <w:r w:rsidR="00755E79">
        <w:rPr>
          <w:rFonts w:cs="Arial"/>
          <w:sz w:val="22"/>
        </w:rPr>
        <w:t>1,875</w:t>
      </w:r>
      <w:r w:rsidRPr="00634660">
        <w:rPr>
          <w:rFonts w:cs="Arial"/>
          <w:sz w:val="22"/>
        </w:rPr>
        <w:t xml:space="preserve"> mio EUR) dodeljenih sredstev evropske kohezijske politike. </w:t>
      </w:r>
      <w:r>
        <w:rPr>
          <w:rFonts w:cs="Arial"/>
          <w:sz w:val="22"/>
        </w:rPr>
        <w:t xml:space="preserve">Vsi nadaljnji zahtevki za izplačilo pa morajo vključevati upravičene izdatke, torej se izplačujejo skladno z dinamiko izplačil končnim prejemnikom in posledično pripravo zahtevkov za izplačilo s strani upravičenca, tj. </w:t>
      </w:r>
      <w:r w:rsidR="00755E79">
        <w:rPr>
          <w:rFonts w:cs="Arial"/>
          <w:sz w:val="22"/>
        </w:rPr>
        <w:t>izvajalca FI</w:t>
      </w:r>
      <w:r>
        <w:rPr>
          <w:rFonts w:cs="Arial"/>
          <w:sz w:val="22"/>
        </w:rPr>
        <w:t>.</w:t>
      </w:r>
    </w:p>
    <w:p w14:paraId="665D07FA" w14:textId="26A255C5" w:rsidR="00A53ABA" w:rsidRPr="00402271" w:rsidRDefault="00A53ABA" w:rsidP="00A53ABA">
      <w:pPr>
        <w:jc w:val="both"/>
        <w:rPr>
          <w:rFonts w:cs="Arial"/>
          <w:sz w:val="22"/>
          <w:highlight w:val="yellow"/>
        </w:rPr>
      </w:pPr>
      <w:r w:rsidRPr="0008417D">
        <w:rPr>
          <w:rFonts w:cs="Arial"/>
          <w:sz w:val="22"/>
        </w:rPr>
        <w:t xml:space="preserve">Izvajanje finančnih instrumentov je usmerjeno v doseganje ciljev </w:t>
      </w:r>
      <w:r>
        <w:rPr>
          <w:rFonts w:cs="Arial"/>
          <w:sz w:val="22"/>
        </w:rPr>
        <w:t>P</w:t>
      </w:r>
      <w:r w:rsidRPr="0008417D">
        <w:rPr>
          <w:rFonts w:cs="Arial"/>
          <w:sz w:val="22"/>
        </w:rPr>
        <w:t>rograma evropske kohezijske politike v obdobju 20</w:t>
      </w:r>
      <w:r>
        <w:rPr>
          <w:rFonts w:cs="Arial"/>
          <w:sz w:val="22"/>
        </w:rPr>
        <w:t>21–</w:t>
      </w:r>
      <w:r w:rsidRPr="0008417D">
        <w:rPr>
          <w:rFonts w:cs="Arial"/>
          <w:sz w:val="22"/>
        </w:rPr>
        <w:t>202</w:t>
      </w:r>
      <w:r>
        <w:rPr>
          <w:rFonts w:cs="Arial"/>
          <w:sz w:val="22"/>
        </w:rPr>
        <w:t>7</w:t>
      </w:r>
      <w:r w:rsidRPr="0008417D">
        <w:rPr>
          <w:rFonts w:cs="Arial"/>
          <w:sz w:val="22"/>
        </w:rPr>
        <w:t>.</w:t>
      </w:r>
    </w:p>
    <w:p w14:paraId="3D0C56D7" w14:textId="77777777" w:rsidR="00A53ABA" w:rsidRDefault="00A53ABA" w:rsidP="00A53ABA">
      <w:pPr>
        <w:pStyle w:val="pf0"/>
        <w:spacing w:before="0" w:beforeAutospacing="0" w:after="0" w:afterAutospacing="0"/>
        <w:rPr>
          <w:rFonts w:ascii="Arial" w:hAnsi="Arial" w:cs="Arial"/>
          <w:sz w:val="22"/>
          <w:szCs w:val="22"/>
        </w:rPr>
      </w:pPr>
    </w:p>
    <w:p w14:paraId="1D6C44DC" w14:textId="77777777" w:rsidR="00A53ABA" w:rsidRPr="00622E23" w:rsidRDefault="00A53ABA" w:rsidP="00A53ABA">
      <w:pPr>
        <w:jc w:val="both"/>
        <w:rPr>
          <w:rFonts w:cs="Arial"/>
          <w:sz w:val="22"/>
        </w:rPr>
      </w:pPr>
      <w:r w:rsidRPr="00622E23">
        <w:rPr>
          <w:rFonts w:cs="Arial"/>
          <w:sz w:val="22"/>
        </w:rPr>
        <w:t>Tabela 2: Predvidena dinamika izplačil FI 202</w:t>
      </w:r>
      <w:r>
        <w:rPr>
          <w:rFonts w:cs="Arial"/>
          <w:sz w:val="22"/>
        </w:rPr>
        <w:t>5–</w:t>
      </w:r>
      <w:r w:rsidRPr="00622E23">
        <w:rPr>
          <w:rFonts w:cs="Arial"/>
          <w:sz w:val="22"/>
        </w:rPr>
        <w:t>2029 iz vira EU sredstev</w:t>
      </w:r>
    </w:p>
    <w:tbl>
      <w:tblPr>
        <w:tblStyle w:val="Tabelamrea"/>
        <w:tblW w:w="0" w:type="auto"/>
        <w:tblLook w:val="04A0" w:firstRow="1" w:lastRow="0" w:firstColumn="1" w:lastColumn="0" w:noHBand="0" w:noVBand="1"/>
      </w:tblPr>
      <w:tblGrid>
        <w:gridCol w:w="1117"/>
        <w:gridCol w:w="1428"/>
        <w:gridCol w:w="961"/>
        <w:gridCol w:w="1156"/>
        <w:gridCol w:w="1106"/>
        <w:gridCol w:w="1106"/>
        <w:gridCol w:w="1032"/>
        <w:gridCol w:w="1156"/>
      </w:tblGrid>
      <w:tr w:rsidR="00755E79" w:rsidRPr="008A3FD6" w14:paraId="62EB5BC0" w14:textId="77777777" w:rsidTr="0068662F">
        <w:trPr>
          <w:trHeight w:val="333"/>
        </w:trPr>
        <w:tc>
          <w:tcPr>
            <w:tcW w:w="1243" w:type="dxa"/>
            <w:shd w:val="clear" w:color="auto" w:fill="9CC2E5" w:themeFill="accent1" w:themeFillTint="99"/>
            <w:vAlign w:val="center"/>
          </w:tcPr>
          <w:p w14:paraId="09C89E63" w14:textId="77777777" w:rsidR="00755E79" w:rsidRPr="008A3FD6" w:rsidRDefault="00755E79" w:rsidP="0068662F">
            <w:pPr>
              <w:rPr>
                <w:rFonts w:cs="Arial"/>
                <w:b/>
                <w:bCs/>
                <w:szCs w:val="20"/>
              </w:rPr>
            </w:pPr>
            <w:r w:rsidRPr="008A3FD6">
              <w:rPr>
                <w:rFonts w:cs="Arial"/>
                <w:b/>
                <w:bCs/>
                <w:szCs w:val="20"/>
              </w:rPr>
              <w:t>Področje</w:t>
            </w:r>
          </w:p>
        </w:tc>
        <w:tc>
          <w:tcPr>
            <w:tcW w:w="1715" w:type="dxa"/>
            <w:shd w:val="clear" w:color="auto" w:fill="9CC2E5" w:themeFill="accent1" w:themeFillTint="99"/>
            <w:vAlign w:val="center"/>
          </w:tcPr>
          <w:p w14:paraId="7070F249" w14:textId="77777777" w:rsidR="00755E79" w:rsidRPr="008A3FD6" w:rsidRDefault="00755E79" w:rsidP="0068662F">
            <w:pPr>
              <w:rPr>
                <w:rFonts w:cs="Arial"/>
                <w:b/>
                <w:bCs/>
                <w:szCs w:val="20"/>
              </w:rPr>
            </w:pPr>
            <w:r w:rsidRPr="008A3FD6">
              <w:rPr>
                <w:rFonts w:cs="Arial"/>
                <w:b/>
                <w:bCs/>
                <w:szCs w:val="20"/>
              </w:rPr>
              <w:t>Finančni instrumenti</w:t>
            </w:r>
          </w:p>
        </w:tc>
        <w:tc>
          <w:tcPr>
            <w:tcW w:w="893" w:type="dxa"/>
            <w:shd w:val="clear" w:color="auto" w:fill="9CC2E5" w:themeFill="accent1" w:themeFillTint="99"/>
            <w:vAlign w:val="center"/>
          </w:tcPr>
          <w:p w14:paraId="380BCECF" w14:textId="77777777" w:rsidR="00755E79" w:rsidRPr="008A3FD6" w:rsidRDefault="00755E79" w:rsidP="0068662F">
            <w:pPr>
              <w:rPr>
                <w:rFonts w:cs="Arial"/>
                <w:b/>
                <w:bCs/>
                <w:szCs w:val="20"/>
              </w:rPr>
            </w:pPr>
            <w:r w:rsidRPr="008A3FD6">
              <w:rPr>
                <w:rFonts w:cs="Arial"/>
                <w:b/>
                <w:bCs/>
                <w:szCs w:val="20"/>
              </w:rPr>
              <w:t>REGIJA</w:t>
            </w:r>
          </w:p>
        </w:tc>
        <w:tc>
          <w:tcPr>
            <w:tcW w:w="1303" w:type="dxa"/>
            <w:shd w:val="clear" w:color="auto" w:fill="9CC2E5" w:themeFill="accent1" w:themeFillTint="99"/>
            <w:vAlign w:val="center"/>
          </w:tcPr>
          <w:p w14:paraId="3809B171" w14:textId="77777777" w:rsidR="00755E79" w:rsidRPr="008A3FD6" w:rsidRDefault="00755E79" w:rsidP="0068662F">
            <w:pPr>
              <w:rPr>
                <w:rFonts w:cs="Arial"/>
                <w:b/>
                <w:bCs/>
                <w:szCs w:val="20"/>
              </w:rPr>
            </w:pPr>
            <w:r w:rsidRPr="008A3FD6">
              <w:rPr>
                <w:rFonts w:cs="Arial"/>
                <w:b/>
                <w:bCs/>
                <w:szCs w:val="20"/>
              </w:rPr>
              <w:t>2026</w:t>
            </w:r>
          </w:p>
        </w:tc>
        <w:tc>
          <w:tcPr>
            <w:tcW w:w="998" w:type="dxa"/>
            <w:shd w:val="clear" w:color="auto" w:fill="9CC2E5" w:themeFill="accent1" w:themeFillTint="99"/>
            <w:vAlign w:val="center"/>
          </w:tcPr>
          <w:p w14:paraId="66E91883" w14:textId="77777777" w:rsidR="00755E79" w:rsidRPr="008A3FD6" w:rsidRDefault="00755E79" w:rsidP="0068662F">
            <w:pPr>
              <w:rPr>
                <w:rFonts w:cs="Arial"/>
                <w:b/>
                <w:bCs/>
                <w:szCs w:val="20"/>
              </w:rPr>
            </w:pPr>
            <w:r w:rsidRPr="008A3FD6">
              <w:rPr>
                <w:rFonts w:cs="Arial"/>
                <w:b/>
                <w:bCs/>
                <w:szCs w:val="20"/>
              </w:rPr>
              <w:t>2027</w:t>
            </w:r>
          </w:p>
        </w:tc>
        <w:tc>
          <w:tcPr>
            <w:tcW w:w="972" w:type="dxa"/>
            <w:shd w:val="clear" w:color="auto" w:fill="9CC2E5" w:themeFill="accent1" w:themeFillTint="99"/>
            <w:vAlign w:val="center"/>
          </w:tcPr>
          <w:p w14:paraId="175E38FA" w14:textId="77777777" w:rsidR="00755E79" w:rsidRPr="008A3FD6" w:rsidRDefault="00755E79" w:rsidP="0068662F">
            <w:pPr>
              <w:rPr>
                <w:rFonts w:cs="Arial"/>
                <w:b/>
                <w:bCs/>
                <w:szCs w:val="20"/>
              </w:rPr>
            </w:pPr>
            <w:r w:rsidRPr="008A3FD6">
              <w:rPr>
                <w:rFonts w:cs="Arial"/>
                <w:b/>
                <w:bCs/>
                <w:szCs w:val="20"/>
              </w:rPr>
              <w:t>2028</w:t>
            </w:r>
          </w:p>
        </w:tc>
        <w:tc>
          <w:tcPr>
            <w:tcW w:w="1303" w:type="dxa"/>
            <w:shd w:val="clear" w:color="auto" w:fill="9CC2E5" w:themeFill="accent1" w:themeFillTint="99"/>
            <w:vAlign w:val="center"/>
          </w:tcPr>
          <w:p w14:paraId="14BC8B11" w14:textId="77777777" w:rsidR="00755E79" w:rsidRPr="008A3FD6" w:rsidRDefault="00755E79" w:rsidP="0068662F">
            <w:pPr>
              <w:rPr>
                <w:rFonts w:cs="Arial"/>
                <w:b/>
                <w:bCs/>
                <w:szCs w:val="20"/>
              </w:rPr>
            </w:pPr>
            <w:r w:rsidRPr="008A3FD6">
              <w:rPr>
                <w:rFonts w:cs="Arial"/>
                <w:b/>
                <w:bCs/>
                <w:szCs w:val="20"/>
              </w:rPr>
              <w:t>2029</w:t>
            </w:r>
          </w:p>
        </w:tc>
        <w:tc>
          <w:tcPr>
            <w:tcW w:w="1303" w:type="dxa"/>
            <w:shd w:val="clear" w:color="auto" w:fill="9CC2E5" w:themeFill="accent1" w:themeFillTint="99"/>
            <w:vAlign w:val="center"/>
          </w:tcPr>
          <w:p w14:paraId="202FC027" w14:textId="77777777" w:rsidR="00755E79" w:rsidRPr="008A3FD6" w:rsidRDefault="00755E79" w:rsidP="0068662F">
            <w:pPr>
              <w:rPr>
                <w:rFonts w:cs="Arial"/>
                <w:b/>
                <w:bCs/>
                <w:szCs w:val="20"/>
              </w:rPr>
            </w:pPr>
            <w:r w:rsidRPr="008A3FD6">
              <w:rPr>
                <w:rFonts w:cs="Arial"/>
                <w:b/>
                <w:bCs/>
                <w:szCs w:val="20"/>
              </w:rPr>
              <w:t>SKUPAJ</w:t>
            </w:r>
          </w:p>
        </w:tc>
      </w:tr>
      <w:tr w:rsidR="00755E79" w:rsidRPr="008A3FD6" w14:paraId="556310BB" w14:textId="77777777" w:rsidTr="0068662F">
        <w:trPr>
          <w:trHeight w:val="407"/>
        </w:trPr>
        <w:tc>
          <w:tcPr>
            <w:tcW w:w="1243" w:type="dxa"/>
            <w:vMerge w:val="restart"/>
            <w:vAlign w:val="center"/>
          </w:tcPr>
          <w:p w14:paraId="7A2BCECE" w14:textId="77777777" w:rsidR="00755E79" w:rsidRPr="008A3FD6" w:rsidRDefault="00755E79" w:rsidP="0068662F">
            <w:pPr>
              <w:rPr>
                <w:rFonts w:cs="Arial"/>
                <w:szCs w:val="20"/>
              </w:rPr>
            </w:pPr>
            <w:r w:rsidRPr="008A3FD6">
              <w:rPr>
                <w:rFonts w:cs="Arial"/>
                <w:szCs w:val="20"/>
              </w:rPr>
              <w:t>SC 4.4</w:t>
            </w:r>
          </w:p>
        </w:tc>
        <w:tc>
          <w:tcPr>
            <w:tcW w:w="1715" w:type="dxa"/>
            <w:vMerge w:val="restart"/>
            <w:vAlign w:val="center"/>
          </w:tcPr>
          <w:p w14:paraId="7DA9B0EA" w14:textId="77777777" w:rsidR="00755E79" w:rsidRPr="008A3FD6" w:rsidRDefault="00755E79" w:rsidP="0068662F">
            <w:pPr>
              <w:rPr>
                <w:rFonts w:cs="Arial"/>
                <w:szCs w:val="20"/>
              </w:rPr>
            </w:pPr>
            <w:r w:rsidRPr="008A3FD6">
              <w:rPr>
                <w:rFonts w:cs="Arial"/>
                <w:szCs w:val="20"/>
              </w:rPr>
              <w:t>Spodbujanje udeležbe zaposlenih v lastništvu podjetij</w:t>
            </w:r>
          </w:p>
        </w:tc>
        <w:tc>
          <w:tcPr>
            <w:tcW w:w="893" w:type="dxa"/>
            <w:vAlign w:val="center"/>
          </w:tcPr>
          <w:p w14:paraId="71F4F96A" w14:textId="77777777" w:rsidR="00755E79" w:rsidRPr="008A3FD6" w:rsidRDefault="00755E79" w:rsidP="0068662F">
            <w:pPr>
              <w:rPr>
                <w:rFonts w:cs="Arial"/>
                <w:szCs w:val="20"/>
              </w:rPr>
            </w:pPr>
            <w:r w:rsidRPr="008A3FD6">
              <w:rPr>
                <w:rFonts w:cs="Arial"/>
                <w:szCs w:val="20"/>
              </w:rPr>
              <w:t>Vzhod</w:t>
            </w:r>
          </w:p>
        </w:tc>
        <w:tc>
          <w:tcPr>
            <w:tcW w:w="1303" w:type="dxa"/>
            <w:vAlign w:val="center"/>
          </w:tcPr>
          <w:p w14:paraId="5E1153D0" w14:textId="77777777" w:rsidR="00755E79" w:rsidRPr="008A3FD6" w:rsidRDefault="00755E79" w:rsidP="0068662F">
            <w:pPr>
              <w:jc w:val="center"/>
              <w:rPr>
                <w:rFonts w:cs="Arial"/>
                <w:szCs w:val="20"/>
              </w:rPr>
            </w:pPr>
            <w:r w:rsidRPr="008A3FD6">
              <w:rPr>
                <w:rFonts w:cs="Arial"/>
                <w:szCs w:val="20"/>
              </w:rPr>
              <w:t>1.275.000</w:t>
            </w:r>
          </w:p>
        </w:tc>
        <w:tc>
          <w:tcPr>
            <w:tcW w:w="998" w:type="dxa"/>
            <w:vAlign w:val="center"/>
          </w:tcPr>
          <w:p w14:paraId="59C93996" w14:textId="77777777" w:rsidR="00755E79" w:rsidRPr="008A3FD6" w:rsidRDefault="00755E79" w:rsidP="0068662F">
            <w:pPr>
              <w:jc w:val="center"/>
              <w:rPr>
                <w:rFonts w:cs="Arial"/>
                <w:szCs w:val="20"/>
              </w:rPr>
            </w:pPr>
            <w:r w:rsidRPr="008A3FD6">
              <w:rPr>
                <w:rFonts w:cs="Arial"/>
                <w:szCs w:val="20"/>
              </w:rPr>
              <w:t>1.275.000</w:t>
            </w:r>
          </w:p>
        </w:tc>
        <w:tc>
          <w:tcPr>
            <w:tcW w:w="972" w:type="dxa"/>
            <w:vAlign w:val="center"/>
          </w:tcPr>
          <w:p w14:paraId="17B32655" w14:textId="77777777" w:rsidR="00755E79" w:rsidRPr="008A3FD6" w:rsidRDefault="00755E79" w:rsidP="0068662F">
            <w:pPr>
              <w:jc w:val="center"/>
              <w:rPr>
                <w:rFonts w:cs="Arial"/>
                <w:szCs w:val="20"/>
              </w:rPr>
            </w:pPr>
            <w:r w:rsidRPr="008A3FD6">
              <w:rPr>
                <w:rFonts w:cs="Arial"/>
                <w:szCs w:val="20"/>
              </w:rPr>
              <w:t>1.275.000</w:t>
            </w:r>
          </w:p>
        </w:tc>
        <w:tc>
          <w:tcPr>
            <w:tcW w:w="1303" w:type="dxa"/>
            <w:vAlign w:val="center"/>
          </w:tcPr>
          <w:p w14:paraId="4ED24180" w14:textId="77777777" w:rsidR="00755E79" w:rsidRPr="008A3FD6" w:rsidRDefault="00755E79" w:rsidP="0068662F">
            <w:pPr>
              <w:jc w:val="center"/>
              <w:rPr>
                <w:rFonts w:cs="Arial"/>
                <w:szCs w:val="20"/>
              </w:rPr>
            </w:pPr>
            <w:r w:rsidRPr="008A3FD6">
              <w:rPr>
                <w:rFonts w:cs="Arial"/>
                <w:szCs w:val="20"/>
              </w:rPr>
              <w:t>425.000</w:t>
            </w:r>
          </w:p>
        </w:tc>
        <w:tc>
          <w:tcPr>
            <w:tcW w:w="1303" w:type="dxa"/>
            <w:vAlign w:val="center"/>
          </w:tcPr>
          <w:p w14:paraId="7327B54C" w14:textId="77777777" w:rsidR="00755E79" w:rsidRPr="008A3FD6" w:rsidRDefault="00755E79" w:rsidP="0068662F">
            <w:pPr>
              <w:jc w:val="center"/>
              <w:rPr>
                <w:rFonts w:cs="Arial"/>
                <w:szCs w:val="20"/>
              </w:rPr>
            </w:pPr>
            <w:r w:rsidRPr="008A3FD6">
              <w:rPr>
                <w:rFonts w:cs="Arial"/>
                <w:szCs w:val="20"/>
              </w:rPr>
              <w:t>4.250.000</w:t>
            </w:r>
          </w:p>
        </w:tc>
      </w:tr>
      <w:tr w:rsidR="00755E79" w:rsidRPr="008A3FD6" w14:paraId="4C95A4A0" w14:textId="77777777" w:rsidTr="0068662F">
        <w:trPr>
          <w:trHeight w:val="411"/>
        </w:trPr>
        <w:tc>
          <w:tcPr>
            <w:tcW w:w="1243" w:type="dxa"/>
            <w:vMerge/>
            <w:vAlign w:val="center"/>
          </w:tcPr>
          <w:p w14:paraId="5485B3F8" w14:textId="77777777" w:rsidR="00755E79" w:rsidRPr="008A3FD6" w:rsidRDefault="00755E79" w:rsidP="0068662F">
            <w:pPr>
              <w:rPr>
                <w:rFonts w:cs="Arial"/>
                <w:szCs w:val="20"/>
              </w:rPr>
            </w:pPr>
          </w:p>
        </w:tc>
        <w:tc>
          <w:tcPr>
            <w:tcW w:w="1715" w:type="dxa"/>
            <w:vMerge/>
            <w:vAlign w:val="center"/>
          </w:tcPr>
          <w:p w14:paraId="2856095C" w14:textId="77777777" w:rsidR="00755E79" w:rsidRPr="008A3FD6" w:rsidRDefault="00755E79" w:rsidP="0068662F">
            <w:pPr>
              <w:rPr>
                <w:rFonts w:cs="Arial"/>
                <w:szCs w:val="20"/>
              </w:rPr>
            </w:pPr>
          </w:p>
        </w:tc>
        <w:tc>
          <w:tcPr>
            <w:tcW w:w="893" w:type="dxa"/>
            <w:vAlign w:val="center"/>
          </w:tcPr>
          <w:p w14:paraId="07B1E737" w14:textId="77777777" w:rsidR="00755E79" w:rsidRPr="008A3FD6" w:rsidRDefault="00755E79" w:rsidP="0068662F">
            <w:pPr>
              <w:rPr>
                <w:rFonts w:cs="Arial"/>
                <w:szCs w:val="20"/>
              </w:rPr>
            </w:pPr>
            <w:r w:rsidRPr="008A3FD6">
              <w:rPr>
                <w:rFonts w:cs="Arial"/>
                <w:szCs w:val="20"/>
              </w:rPr>
              <w:t>Zahod</w:t>
            </w:r>
          </w:p>
        </w:tc>
        <w:tc>
          <w:tcPr>
            <w:tcW w:w="1303" w:type="dxa"/>
            <w:vAlign w:val="center"/>
          </w:tcPr>
          <w:p w14:paraId="4EFFE5D2" w14:textId="77777777" w:rsidR="00755E79" w:rsidRPr="008A3FD6" w:rsidRDefault="00755E79" w:rsidP="0068662F">
            <w:pPr>
              <w:jc w:val="center"/>
              <w:rPr>
                <w:rFonts w:cs="Arial"/>
                <w:szCs w:val="20"/>
              </w:rPr>
            </w:pPr>
            <w:r w:rsidRPr="008A3FD6">
              <w:rPr>
                <w:rFonts w:cs="Arial"/>
                <w:szCs w:val="20"/>
              </w:rPr>
              <w:t>600.000</w:t>
            </w:r>
          </w:p>
        </w:tc>
        <w:tc>
          <w:tcPr>
            <w:tcW w:w="998" w:type="dxa"/>
            <w:vAlign w:val="center"/>
          </w:tcPr>
          <w:p w14:paraId="4A209602" w14:textId="77777777" w:rsidR="00755E79" w:rsidRPr="008A3FD6" w:rsidRDefault="00755E79" w:rsidP="0068662F">
            <w:pPr>
              <w:jc w:val="center"/>
              <w:rPr>
                <w:rFonts w:cs="Arial"/>
                <w:szCs w:val="20"/>
              </w:rPr>
            </w:pPr>
            <w:r w:rsidRPr="008A3FD6">
              <w:rPr>
                <w:rFonts w:cs="Arial"/>
                <w:szCs w:val="20"/>
              </w:rPr>
              <w:t>600.000</w:t>
            </w:r>
          </w:p>
        </w:tc>
        <w:tc>
          <w:tcPr>
            <w:tcW w:w="972" w:type="dxa"/>
            <w:vAlign w:val="center"/>
          </w:tcPr>
          <w:p w14:paraId="5F27BA12" w14:textId="77777777" w:rsidR="00755E79" w:rsidRPr="008A3FD6" w:rsidRDefault="00755E79" w:rsidP="0068662F">
            <w:pPr>
              <w:jc w:val="center"/>
              <w:rPr>
                <w:rFonts w:cs="Arial"/>
                <w:szCs w:val="20"/>
              </w:rPr>
            </w:pPr>
            <w:r w:rsidRPr="008A3FD6">
              <w:rPr>
                <w:rFonts w:cs="Arial"/>
                <w:szCs w:val="20"/>
              </w:rPr>
              <w:t>600.000</w:t>
            </w:r>
          </w:p>
        </w:tc>
        <w:tc>
          <w:tcPr>
            <w:tcW w:w="1303" w:type="dxa"/>
            <w:vAlign w:val="center"/>
          </w:tcPr>
          <w:p w14:paraId="121A1B3C" w14:textId="77777777" w:rsidR="00755E79" w:rsidRPr="008A3FD6" w:rsidRDefault="00755E79" w:rsidP="0068662F">
            <w:pPr>
              <w:jc w:val="center"/>
              <w:rPr>
                <w:rFonts w:cs="Arial"/>
                <w:szCs w:val="20"/>
              </w:rPr>
            </w:pPr>
            <w:r w:rsidRPr="008A3FD6">
              <w:rPr>
                <w:rFonts w:cs="Arial"/>
                <w:szCs w:val="20"/>
              </w:rPr>
              <w:t>200.000</w:t>
            </w:r>
          </w:p>
        </w:tc>
        <w:tc>
          <w:tcPr>
            <w:tcW w:w="1303" w:type="dxa"/>
            <w:vAlign w:val="center"/>
          </w:tcPr>
          <w:p w14:paraId="0E938658" w14:textId="77777777" w:rsidR="00755E79" w:rsidRPr="008A3FD6" w:rsidRDefault="00755E79" w:rsidP="0068662F">
            <w:pPr>
              <w:jc w:val="center"/>
              <w:rPr>
                <w:rFonts w:cs="Arial"/>
                <w:szCs w:val="20"/>
              </w:rPr>
            </w:pPr>
            <w:r w:rsidRPr="008A3FD6">
              <w:rPr>
                <w:rFonts w:cs="Arial"/>
                <w:szCs w:val="20"/>
              </w:rPr>
              <w:t>2.000.000</w:t>
            </w:r>
          </w:p>
        </w:tc>
      </w:tr>
      <w:tr w:rsidR="00755E79" w:rsidRPr="008A3FD6" w14:paraId="74B4830B" w14:textId="77777777" w:rsidTr="0068662F">
        <w:tc>
          <w:tcPr>
            <w:tcW w:w="1243" w:type="dxa"/>
            <w:shd w:val="clear" w:color="auto" w:fill="9CC2E5" w:themeFill="accent1" w:themeFillTint="99"/>
            <w:vAlign w:val="center"/>
          </w:tcPr>
          <w:p w14:paraId="23D972FB" w14:textId="77777777" w:rsidR="00755E79" w:rsidRPr="008A3FD6" w:rsidRDefault="00755E79" w:rsidP="0068662F">
            <w:pPr>
              <w:jc w:val="both"/>
              <w:rPr>
                <w:rFonts w:eastAsia="CIDFont+F2" w:cs="Arial"/>
                <w:b/>
                <w:bCs/>
                <w:szCs w:val="20"/>
                <w:lang w:eastAsia="sl-SI"/>
              </w:rPr>
            </w:pPr>
            <w:r w:rsidRPr="008A3FD6">
              <w:rPr>
                <w:rFonts w:eastAsia="CIDFont+F2" w:cs="Arial"/>
                <w:b/>
                <w:bCs/>
                <w:szCs w:val="20"/>
                <w:lang w:eastAsia="sl-SI"/>
              </w:rPr>
              <w:t>Skupna vsota</w:t>
            </w:r>
          </w:p>
        </w:tc>
        <w:tc>
          <w:tcPr>
            <w:tcW w:w="1715" w:type="dxa"/>
            <w:shd w:val="clear" w:color="auto" w:fill="9CC2E5" w:themeFill="accent1" w:themeFillTint="99"/>
            <w:vAlign w:val="center"/>
          </w:tcPr>
          <w:p w14:paraId="681CCD64" w14:textId="77777777" w:rsidR="00755E79" w:rsidRPr="008A3FD6" w:rsidRDefault="00755E79" w:rsidP="0068662F">
            <w:pPr>
              <w:jc w:val="both"/>
              <w:rPr>
                <w:rFonts w:eastAsia="CIDFont+F2" w:cs="Arial"/>
                <w:b/>
                <w:bCs/>
                <w:szCs w:val="20"/>
                <w:lang w:eastAsia="sl-SI"/>
              </w:rPr>
            </w:pPr>
          </w:p>
        </w:tc>
        <w:tc>
          <w:tcPr>
            <w:tcW w:w="893" w:type="dxa"/>
            <w:shd w:val="clear" w:color="auto" w:fill="9CC2E5" w:themeFill="accent1" w:themeFillTint="99"/>
            <w:vAlign w:val="center"/>
          </w:tcPr>
          <w:p w14:paraId="340056BC" w14:textId="77777777" w:rsidR="00755E79" w:rsidRPr="008A3FD6" w:rsidRDefault="00755E79" w:rsidP="0068662F">
            <w:pPr>
              <w:jc w:val="both"/>
              <w:rPr>
                <w:rFonts w:eastAsia="CIDFont+F2" w:cs="Arial"/>
                <w:b/>
                <w:bCs/>
                <w:szCs w:val="20"/>
                <w:lang w:eastAsia="sl-SI"/>
              </w:rPr>
            </w:pPr>
          </w:p>
        </w:tc>
        <w:tc>
          <w:tcPr>
            <w:tcW w:w="1303" w:type="dxa"/>
            <w:shd w:val="clear" w:color="auto" w:fill="9CC2E5" w:themeFill="accent1" w:themeFillTint="99"/>
            <w:vAlign w:val="center"/>
          </w:tcPr>
          <w:p w14:paraId="0C0C493C" w14:textId="77777777" w:rsidR="00755E79" w:rsidRPr="008A3FD6" w:rsidRDefault="00755E79" w:rsidP="0068662F">
            <w:pPr>
              <w:jc w:val="center"/>
              <w:rPr>
                <w:rFonts w:eastAsia="CIDFont+F2" w:cs="Arial"/>
                <w:b/>
                <w:bCs/>
                <w:szCs w:val="20"/>
                <w:lang w:eastAsia="sl-SI"/>
              </w:rPr>
            </w:pPr>
            <w:r w:rsidRPr="008A3FD6">
              <w:rPr>
                <w:rFonts w:eastAsia="CIDFont+F2" w:cs="Arial"/>
                <w:b/>
                <w:bCs/>
                <w:szCs w:val="20"/>
                <w:lang w:eastAsia="sl-SI"/>
              </w:rPr>
              <w:t>1.875.000</w:t>
            </w:r>
          </w:p>
        </w:tc>
        <w:tc>
          <w:tcPr>
            <w:tcW w:w="998" w:type="dxa"/>
            <w:shd w:val="clear" w:color="auto" w:fill="9CC2E5" w:themeFill="accent1" w:themeFillTint="99"/>
            <w:vAlign w:val="center"/>
          </w:tcPr>
          <w:p w14:paraId="4E623B98" w14:textId="77777777" w:rsidR="00755E79" w:rsidRPr="008A3FD6" w:rsidRDefault="00755E79" w:rsidP="0068662F">
            <w:pPr>
              <w:jc w:val="center"/>
              <w:rPr>
                <w:rFonts w:eastAsia="CIDFont+F2" w:cs="Arial"/>
                <w:b/>
                <w:bCs/>
                <w:szCs w:val="20"/>
                <w:lang w:eastAsia="sl-SI"/>
              </w:rPr>
            </w:pPr>
            <w:r w:rsidRPr="008A3FD6">
              <w:rPr>
                <w:rFonts w:eastAsia="CIDFont+F2" w:cs="Arial"/>
                <w:b/>
                <w:bCs/>
                <w:szCs w:val="20"/>
                <w:lang w:eastAsia="sl-SI"/>
              </w:rPr>
              <w:t>1.875.000</w:t>
            </w:r>
          </w:p>
        </w:tc>
        <w:tc>
          <w:tcPr>
            <w:tcW w:w="972" w:type="dxa"/>
            <w:shd w:val="clear" w:color="auto" w:fill="9CC2E5" w:themeFill="accent1" w:themeFillTint="99"/>
            <w:vAlign w:val="center"/>
          </w:tcPr>
          <w:p w14:paraId="299503EC" w14:textId="77777777" w:rsidR="00755E79" w:rsidRPr="008A3FD6" w:rsidRDefault="00755E79" w:rsidP="0068662F">
            <w:pPr>
              <w:jc w:val="center"/>
              <w:rPr>
                <w:rFonts w:eastAsia="CIDFont+F2" w:cs="Arial"/>
                <w:b/>
                <w:bCs/>
                <w:szCs w:val="20"/>
                <w:lang w:eastAsia="sl-SI"/>
              </w:rPr>
            </w:pPr>
            <w:r w:rsidRPr="008A3FD6">
              <w:rPr>
                <w:rFonts w:eastAsia="CIDFont+F2" w:cs="Arial"/>
                <w:b/>
                <w:bCs/>
                <w:szCs w:val="20"/>
                <w:lang w:eastAsia="sl-SI"/>
              </w:rPr>
              <w:t>1.875.000</w:t>
            </w:r>
          </w:p>
        </w:tc>
        <w:tc>
          <w:tcPr>
            <w:tcW w:w="1303" w:type="dxa"/>
            <w:shd w:val="clear" w:color="auto" w:fill="9CC2E5" w:themeFill="accent1" w:themeFillTint="99"/>
            <w:vAlign w:val="center"/>
          </w:tcPr>
          <w:p w14:paraId="54C43612" w14:textId="77777777" w:rsidR="00755E79" w:rsidRPr="008A3FD6" w:rsidRDefault="00755E79" w:rsidP="0068662F">
            <w:pPr>
              <w:jc w:val="center"/>
              <w:rPr>
                <w:rFonts w:eastAsia="CIDFont+F2" w:cs="Arial"/>
                <w:b/>
                <w:bCs/>
                <w:szCs w:val="20"/>
                <w:lang w:eastAsia="sl-SI"/>
              </w:rPr>
            </w:pPr>
            <w:r w:rsidRPr="008A3FD6">
              <w:rPr>
                <w:rFonts w:eastAsia="CIDFont+F2" w:cs="Arial"/>
                <w:b/>
                <w:bCs/>
                <w:szCs w:val="20"/>
                <w:lang w:eastAsia="sl-SI"/>
              </w:rPr>
              <w:t>625.000</w:t>
            </w:r>
          </w:p>
        </w:tc>
        <w:tc>
          <w:tcPr>
            <w:tcW w:w="1303" w:type="dxa"/>
            <w:shd w:val="clear" w:color="auto" w:fill="9CC2E5" w:themeFill="accent1" w:themeFillTint="99"/>
            <w:vAlign w:val="center"/>
          </w:tcPr>
          <w:p w14:paraId="065B395E" w14:textId="77777777" w:rsidR="00755E79" w:rsidRPr="008A3FD6" w:rsidRDefault="00755E79" w:rsidP="0068662F">
            <w:pPr>
              <w:jc w:val="center"/>
              <w:rPr>
                <w:rFonts w:eastAsia="CIDFont+F2" w:cs="Arial"/>
                <w:b/>
                <w:bCs/>
                <w:szCs w:val="20"/>
                <w:lang w:eastAsia="sl-SI"/>
              </w:rPr>
            </w:pPr>
            <w:r w:rsidRPr="008A3FD6">
              <w:rPr>
                <w:rFonts w:eastAsia="CIDFont+F2" w:cs="Arial"/>
                <w:b/>
                <w:bCs/>
                <w:szCs w:val="20"/>
                <w:lang w:eastAsia="sl-SI"/>
              </w:rPr>
              <w:t>6.250.000</w:t>
            </w:r>
          </w:p>
        </w:tc>
      </w:tr>
    </w:tbl>
    <w:p w14:paraId="4949ABE7" w14:textId="3F4C347A" w:rsidR="00FB397B" w:rsidRDefault="00FB397B" w:rsidP="00A53ABA">
      <w:pPr>
        <w:spacing w:line="260" w:lineRule="exact"/>
      </w:pPr>
    </w:p>
    <w:sectPr w:rsidR="00FB397B" w:rsidSect="00BD6A1D">
      <w:headerReference w:type="first" r:id="rId19"/>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70A7" w14:textId="77777777" w:rsidR="006E510D" w:rsidRDefault="006E510D" w:rsidP="00BD6A1D">
      <w:pPr>
        <w:spacing w:after="0" w:line="240" w:lineRule="auto"/>
      </w:pPr>
      <w:r>
        <w:separator/>
      </w:r>
    </w:p>
  </w:endnote>
  <w:endnote w:type="continuationSeparator" w:id="0">
    <w:p w14:paraId="7AD563E1" w14:textId="77777777" w:rsidR="006E510D" w:rsidRDefault="006E510D"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IDFont+F2">
    <w:altName w:val="Yu Gothic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0CFA" w14:textId="77777777" w:rsidR="006E510D" w:rsidRDefault="006E510D" w:rsidP="00BD6A1D">
      <w:pPr>
        <w:spacing w:after="0" w:line="240" w:lineRule="auto"/>
      </w:pPr>
      <w:r>
        <w:separator/>
      </w:r>
    </w:p>
  </w:footnote>
  <w:footnote w:type="continuationSeparator" w:id="0">
    <w:p w14:paraId="3B9CECB5" w14:textId="77777777" w:rsidR="006E510D" w:rsidRDefault="006E510D" w:rsidP="00BD6A1D">
      <w:pPr>
        <w:spacing w:after="0" w:line="240" w:lineRule="auto"/>
      </w:pPr>
      <w:r>
        <w:continuationSeparator/>
      </w:r>
    </w:p>
  </w:footnote>
  <w:footnote w:id="1">
    <w:p w14:paraId="596D812B" w14:textId="1C9B391D" w:rsidR="00755E79" w:rsidRPr="00861661" w:rsidRDefault="00755E79" w:rsidP="00861661">
      <w:pPr>
        <w:jc w:val="both"/>
        <w:rPr>
          <w:rFonts w:cs="Arial"/>
          <w:szCs w:val="20"/>
        </w:rPr>
      </w:pPr>
      <w:r>
        <w:rPr>
          <w:rStyle w:val="Sprotnaopomba-sklic"/>
        </w:rPr>
        <w:footnoteRef/>
      </w:r>
      <w:r>
        <w:t xml:space="preserve"> </w:t>
      </w:r>
      <w:r w:rsidRPr="00551A91">
        <w:rPr>
          <w:rFonts w:cs="Arial"/>
          <w:sz w:val="16"/>
          <w:szCs w:val="16"/>
        </w:rPr>
        <w:t>Finančni produkt se bo oblikoval po izdelani študiji, ki bo naslovila tržno vrzel na področju delavskih odkupov</w:t>
      </w:r>
      <w:r>
        <w:rPr>
          <w:rFonts w:cs="Arial"/>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C581" w14:textId="77777777" w:rsidR="004B2B35" w:rsidRPr="00BD6A1D" w:rsidRDefault="004B2B35"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1D251953" wp14:editId="33495554">
          <wp:simplePos x="0" y="0"/>
          <wp:positionH relativeFrom="page">
            <wp:posOffset>0</wp:posOffset>
          </wp:positionH>
          <wp:positionV relativeFrom="page">
            <wp:posOffset>9525</wp:posOffset>
          </wp:positionV>
          <wp:extent cx="3343275" cy="1457325"/>
          <wp:effectExtent l="0" t="0" r="0" b="0"/>
          <wp:wrapNone/>
          <wp:docPr id="1380231826" name="Slika 1380231826"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6818C552" w14:textId="77777777" w:rsidR="004B2B35" w:rsidRDefault="004B2B3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B7A"/>
    <w:multiLevelType w:val="hybridMultilevel"/>
    <w:tmpl w:val="E2F6B34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122C31"/>
    <w:multiLevelType w:val="hybridMultilevel"/>
    <w:tmpl w:val="303276D2"/>
    <w:lvl w:ilvl="0" w:tplc="6FDA69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B42967"/>
    <w:multiLevelType w:val="hybridMultilevel"/>
    <w:tmpl w:val="CA00F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946CEB"/>
    <w:multiLevelType w:val="hybridMultilevel"/>
    <w:tmpl w:val="7B4C8A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F86FF5"/>
    <w:multiLevelType w:val="hybridMultilevel"/>
    <w:tmpl w:val="C6369C4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0475106"/>
    <w:multiLevelType w:val="hybridMultilevel"/>
    <w:tmpl w:val="3DC0787C"/>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9A7E8F"/>
    <w:multiLevelType w:val="hybridMultilevel"/>
    <w:tmpl w:val="0E4A9F12"/>
    <w:lvl w:ilvl="0" w:tplc="6FDA69F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562AF6"/>
    <w:multiLevelType w:val="hybridMultilevel"/>
    <w:tmpl w:val="2D16F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F5710D"/>
    <w:multiLevelType w:val="hybridMultilevel"/>
    <w:tmpl w:val="921831B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4E7691"/>
    <w:multiLevelType w:val="hybridMultilevel"/>
    <w:tmpl w:val="1DDE35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8D6BFA"/>
    <w:multiLevelType w:val="hybridMultilevel"/>
    <w:tmpl w:val="2DEAE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8E0E19"/>
    <w:multiLevelType w:val="hybridMultilevel"/>
    <w:tmpl w:val="92205134"/>
    <w:lvl w:ilvl="0" w:tplc="DF3EE972">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FB06CE"/>
    <w:multiLevelType w:val="hybridMultilevel"/>
    <w:tmpl w:val="1F7A1426"/>
    <w:lvl w:ilvl="0" w:tplc="0424000B">
      <w:start w:val="1"/>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FB5D11"/>
    <w:multiLevelType w:val="hybridMultilevel"/>
    <w:tmpl w:val="20A4B808"/>
    <w:lvl w:ilvl="0" w:tplc="DF3EE972">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643E10"/>
    <w:multiLevelType w:val="hybridMultilevel"/>
    <w:tmpl w:val="A6CC82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D6C0BB9"/>
    <w:multiLevelType w:val="hybridMultilevel"/>
    <w:tmpl w:val="514671EA"/>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D8546AB"/>
    <w:multiLevelType w:val="hybridMultilevel"/>
    <w:tmpl w:val="3D7E8D14"/>
    <w:lvl w:ilvl="0" w:tplc="11D8F3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95454AA"/>
    <w:multiLevelType w:val="hybridMultilevel"/>
    <w:tmpl w:val="AA62EEB6"/>
    <w:lvl w:ilvl="0" w:tplc="ABB26912">
      <w:start w:val="1"/>
      <w:numFmt w:val="bullet"/>
      <w:lvlText w:val="-"/>
      <w:lvlJc w:val="left"/>
      <w:pPr>
        <w:tabs>
          <w:tab w:val="num" w:pos="360"/>
        </w:tabs>
        <w:ind w:left="360" w:hanging="360"/>
      </w:pPr>
      <w:rPr>
        <w:rFonts w:ascii="Courier New" w:hAnsi="Courier New" w:cs="Times New Roman" w:hint="default"/>
        <w:color w:val="000000"/>
      </w:rPr>
    </w:lvl>
    <w:lvl w:ilvl="1" w:tplc="67AC881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7DD9431A"/>
    <w:multiLevelType w:val="hybridMultilevel"/>
    <w:tmpl w:val="4D422C08"/>
    <w:lvl w:ilvl="0" w:tplc="813AF166">
      <w:start w:val="2"/>
      <w:numFmt w:val="bullet"/>
      <w:lvlText w:val="-"/>
      <w:lvlJc w:val="left"/>
      <w:pPr>
        <w:ind w:left="737" w:hanging="453"/>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4682673">
    <w:abstractNumId w:val="3"/>
  </w:num>
  <w:num w:numId="2" w16cid:durableId="1623031795">
    <w:abstractNumId w:val="21"/>
  </w:num>
  <w:num w:numId="3" w16cid:durableId="471487386">
    <w:abstractNumId w:val="20"/>
  </w:num>
  <w:num w:numId="4" w16cid:durableId="1930846690">
    <w:abstractNumId w:val="22"/>
  </w:num>
  <w:num w:numId="5" w16cid:durableId="48456137">
    <w:abstractNumId w:val="28"/>
  </w:num>
  <w:num w:numId="6" w16cid:durableId="825050512">
    <w:abstractNumId w:val="12"/>
  </w:num>
  <w:num w:numId="7" w16cid:durableId="1392998132">
    <w:abstractNumId w:val="6"/>
  </w:num>
  <w:num w:numId="8" w16cid:durableId="1795056563">
    <w:abstractNumId w:val="14"/>
  </w:num>
  <w:num w:numId="9" w16cid:durableId="1467818852">
    <w:abstractNumId w:val="25"/>
  </w:num>
  <w:num w:numId="10" w16cid:durableId="42854753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0403982">
    <w:abstractNumId w:val="27"/>
  </w:num>
  <w:num w:numId="12" w16cid:durableId="1112088886">
    <w:abstractNumId w:val="19"/>
  </w:num>
  <w:num w:numId="13" w16cid:durableId="587234560">
    <w:abstractNumId w:val="17"/>
  </w:num>
  <w:num w:numId="14" w16cid:durableId="201601142">
    <w:abstractNumId w:val="9"/>
  </w:num>
  <w:num w:numId="15" w16cid:durableId="2143184038">
    <w:abstractNumId w:val="1"/>
  </w:num>
  <w:num w:numId="16" w16cid:durableId="1925454315">
    <w:abstractNumId w:val="18"/>
  </w:num>
  <w:num w:numId="17" w16cid:durableId="1268350543">
    <w:abstractNumId w:val="4"/>
  </w:num>
  <w:num w:numId="18" w16cid:durableId="654605643">
    <w:abstractNumId w:val="11"/>
  </w:num>
  <w:num w:numId="19" w16cid:durableId="1084491047">
    <w:abstractNumId w:val="24"/>
  </w:num>
  <w:num w:numId="20" w16cid:durableId="992873493">
    <w:abstractNumId w:val="13"/>
  </w:num>
  <w:num w:numId="21" w16cid:durableId="1006052894">
    <w:abstractNumId w:val="7"/>
  </w:num>
  <w:num w:numId="22" w16cid:durableId="1992518773">
    <w:abstractNumId w:val="0"/>
  </w:num>
  <w:num w:numId="23" w16cid:durableId="1812667927">
    <w:abstractNumId w:val="5"/>
  </w:num>
  <w:num w:numId="24" w16cid:durableId="1514875644">
    <w:abstractNumId w:val="16"/>
  </w:num>
  <w:num w:numId="25" w16cid:durableId="1752703209">
    <w:abstractNumId w:val="8"/>
  </w:num>
  <w:num w:numId="26" w16cid:durableId="659965633">
    <w:abstractNumId w:val="10"/>
  </w:num>
  <w:num w:numId="27" w16cid:durableId="182480175">
    <w:abstractNumId w:val="2"/>
  </w:num>
  <w:num w:numId="28" w16cid:durableId="644512631">
    <w:abstractNumId w:val="23"/>
  </w:num>
  <w:num w:numId="29" w16cid:durableId="1834372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A2"/>
    <w:rsid w:val="0000274E"/>
    <w:rsid w:val="00005D4B"/>
    <w:rsid w:val="00006A51"/>
    <w:rsid w:val="00014061"/>
    <w:rsid w:val="00016653"/>
    <w:rsid w:val="00023EFD"/>
    <w:rsid w:val="000260D8"/>
    <w:rsid w:val="00031D62"/>
    <w:rsid w:val="00033B69"/>
    <w:rsid w:val="000370A4"/>
    <w:rsid w:val="00037137"/>
    <w:rsid w:val="00037530"/>
    <w:rsid w:val="00041646"/>
    <w:rsid w:val="00043EE2"/>
    <w:rsid w:val="000469EA"/>
    <w:rsid w:val="00047057"/>
    <w:rsid w:val="00047F8B"/>
    <w:rsid w:val="00053AD0"/>
    <w:rsid w:val="00063047"/>
    <w:rsid w:val="00064C6A"/>
    <w:rsid w:val="00070A79"/>
    <w:rsid w:val="00070EF5"/>
    <w:rsid w:val="00072E58"/>
    <w:rsid w:val="00083BD5"/>
    <w:rsid w:val="0008543D"/>
    <w:rsid w:val="00086470"/>
    <w:rsid w:val="00092441"/>
    <w:rsid w:val="00092AE6"/>
    <w:rsid w:val="00094804"/>
    <w:rsid w:val="000A200B"/>
    <w:rsid w:val="000A355D"/>
    <w:rsid w:val="000A5E2D"/>
    <w:rsid w:val="000A6D92"/>
    <w:rsid w:val="000A784D"/>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12FB"/>
    <w:rsid w:val="00103C03"/>
    <w:rsid w:val="00105499"/>
    <w:rsid w:val="00106995"/>
    <w:rsid w:val="001106BB"/>
    <w:rsid w:val="00111994"/>
    <w:rsid w:val="00112197"/>
    <w:rsid w:val="001134A3"/>
    <w:rsid w:val="00113D22"/>
    <w:rsid w:val="00123A17"/>
    <w:rsid w:val="001275B5"/>
    <w:rsid w:val="00133E4A"/>
    <w:rsid w:val="00134190"/>
    <w:rsid w:val="001362D8"/>
    <w:rsid w:val="00144C7E"/>
    <w:rsid w:val="00146A3D"/>
    <w:rsid w:val="001516A5"/>
    <w:rsid w:val="00152D3A"/>
    <w:rsid w:val="001536A5"/>
    <w:rsid w:val="00164C09"/>
    <w:rsid w:val="001708CC"/>
    <w:rsid w:val="00171198"/>
    <w:rsid w:val="00171378"/>
    <w:rsid w:val="00173A3F"/>
    <w:rsid w:val="00177722"/>
    <w:rsid w:val="001872B1"/>
    <w:rsid w:val="00191468"/>
    <w:rsid w:val="001930E5"/>
    <w:rsid w:val="00194B66"/>
    <w:rsid w:val="00195F0E"/>
    <w:rsid w:val="001973E4"/>
    <w:rsid w:val="001A161B"/>
    <w:rsid w:val="001A18FF"/>
    <w:rsid w:val="001A1F7D"/>
    <w:rsid w:val="001A6DBA"/>
    <w:rsid w:val="001B5D01"/>
    <w:rsid w:val="001C6518"/>
    <w:rsid w:val="001C6E7D"/>
    <w:rsid w:val="001C7787"/>
    <w:rsid w:val="001C7F58"/>
    <w:rsid w:val="001D1C96"/>
    <w:rsid w:val="001D1E49"/>
    <w:rsid w:val="001D3B84"/>
    <w:rsid w:val="001D4243"/>
    <w:rsid w:val="001D589E"/>
    <w:rsid w:val="001E0716"/>
    <w:rsid w:val="001E5463"/>
    <w:rsid w:val="001E772B"/>
    <w:rsid w:val="001F3A9B"/>
    <w:rsid w:val="001F3E1E"/>
    <w:rsid w:val="001F4C61"/>
    <w:rsid w:val="001F5801"/>
    <w:rsid w:val="00201360"/>
    <w:rsid w:val="00203834"/>
    <w:rsid w:val="00205037"/>
    <w:rsid w:val="002050C4"/>
    <w:rsid w:val="0021132C"/>
    <w:rsid w:val="002139CD"/>
    <w:rsid w:val="00227B29"/>
    <w:rsid w:val="00231AE9"/>
    <w:rsid w:val="0023299A"/>
    <w:rsid w:val="00243BA1"/>
    <w:rsid w:val="00252CBD"/>
    <w:rsid w:val="00255710"/>
    <w:rsid w:val="00261125"/>
    <w:rsid w:val="00263576"/>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4B7D"/>
    <w:rsid w:val="002C0ECF"/>
    <w:rsid w:val="002C32B9"/>
    <w:rsid w:val="002C4185"/>
    <w:rsid w:val="002C4311"/>
    <w:rsid w:val="002C4776"/>
    <w:rsid w:val="002C7E2C"/>
    <w:rsid w:val="002D0E49"/>
    <w:rsid w:val="002D3897"/>
    <w:rsid w:val="002E32ED"/>
    <w:rsid w:val="002E3A7B"/>
    <w:rsid w:val="002E579F"/>
    <w:rsid w:val="002F4BDE"/>
    <w:rsid w:val="002F7626"/>
    <w:rsid w:val="003000D7"/>
    <w:rsid w:val="003006B7"/>
    <w:rsid w:val="0030223A"/>
    <w:rsid w:val="003045F4"/>
    <w:rsid w:val="0030553A"/>
    <w:rsid w:val="00306464"/>
    <w:rsid w:val="00306956"/>
    <w:rsid w:val="003113EF"/>
    <w:rsid w:val="00313172"/>
    <w:rsid w:val="00313DD0"/>
    <w:rsid w:val="00317B62"/>
    <w:rsid w:val="00321A64"/>
    <w:rsid w:val="00321B97"/>
    <w:rsid w:val="0032406F"/>
    <w:rsid w:val="00334783"/>
    <w:rsid w:val="00335B51"/>
    <w:rsid w:val="00341ED5"/>
    <w:rsid w:val="0034328E"/>
    <w:rsid w:val="00343E82"/>
    <w:rsid w:val="00344D41"/>
    <w:rsid w:val="00352B66"/>
    <w:rsid w:val="00353A01"/>
    <w:rsid w:val="003553D3"/>
    <w:rsid w:val="00363341"/>
    <w:rsid w:val="003642EA"/>
    <w:rsid w:val="003666A5"/>
    <w:rsid w:val="00374331"/>
    <w:rsid w:val="00377E70"/>
    <w:rsid w:val="003812A7"/>
    <w:rsid w:val="00385CF3"/>
    <w:rsid w:val="00387CA1"/>
    <w:rsid w:val="00390489"/>
    <w:rsid w:val="00392F8A"/>
    <w:rsid w:val="00394038"/>
    <w:rsid w:val="003B2DA8"/>
    <w:rsid w:val="003B47ED"/>
    <w:rsid w:val="003C03A2"/>
    <w:rsid w:val="003C0EB9"/>
    <w:rsid w:val="003C3FE5"/>
    <w:rsid w:val="003C474A"/>
    <w:rsid w:val="003C5297"/>
    <w:rsid w:val="003C55F1"/>
    <w:rsid w:val="003C6754"/>
    <w:rsid w:val="003D14F8"/>
    <w:rsid w:val="003D69DD"/>
    <w:rsid w:val="003E39CB"/>
    <w:rsid w:val="004001ED"/>
    <w:rsid w:val="00400A84"/>
    <w:rsid w:val="004010F5"/>
    <w:rsid w:val="004039AD"/>
    <w:rsid w:val="00404136"/>
    <w:rsid w:val="00405D58"/>
    <w:rsid w:val="0040775D"/>
    <w:rsid w:val="004106B9"/>
    <w:rsid w:val="00424243"/>
    <w:rsid w:val="00430892"/>
    <w:rsid w:val="0043352E"/>
    <w:rsid w:val="00436151"/>
    <w:rsid w:val="00437B22"/>
    <w:rsid w:val="00441CE5"/>
    <w:rsid w:val="00441E82"/>
    <w:rsid w:val="00441FAF"/>
    <w:rsid w:val="00442482"/>
    <w:rsid w:val="00443FAC"/>
    <w:rsid w:val="00450BA6"/>
    <w:rsid w:val="004526CF"/>
    <w:rsid w:val="00455560"/>
    <w:rsid w:val="00457F52"/>
    <w:rsid w:val="00464FD0"/>
    <w:rsid w:val="00465007"/>
    <w:rsid w:val="00465339"/>
    <w:rsid w:val="0046655C"/>
    <w:rsid w:val="00471985"/>
    <w:rsid w:val="004818F7"/>
    <w:rsid w:val="00487446"/>
    <w:rsid w:val="004875BD"/>
    <w:rsid w:val="0049580C"/>
    <w:rsid w:val="00495E33"/>
    <w:rsid w:val="004A508F"/>
    <w:rsid w:val="004A642E"/>
    <w:rsid w:val="004B2B35"/>
    <w:rsid w:val="004B34EA"/>
    <w:rsid w:val="004B4898"/>
    <w:rsid w:val="004B734A"/>
    <w:rsid w:val="004D2EE1"/>
    <w:rsid w:val="004D5B5F"/>
    <w:rsid w:val="004E1309"/>
    <w:rsid w:val="004E1F41"/>
    <w:rsid w:val="004E419B"/>
    <w:rsid w:val="004E5809"/>
    <w:rsid w:val="004F1894"/>
    <w:rsid w:val="004F1DD1"/>
    <w:rsid w:val="004F3EAF"/>
    <w:rsid w:val="00501B78"/>
    <w:rsid w:val="00502070"/>
    <w:rsid w:val="00503E36"/>
    <w:rsid w:val="005047DD"/>
    <w:rsid w:val="0050606B"/>
    <w:rsid w:val="005103E9"/>
    <w:rsid w:val="005113DC"/>
    <w:rsid w:val="00516080"/>
    <w:rsid w:val="00517027"/>
    <w:rsid w:val="00517D31"/>
    <w:rsid w:val="00517F7D"/>
    <w:rsid w:val="005304D1"/>
    <w:rsid w:val="00530740"/>
    <w:rsid w:val="00530D9D"/>
    <w:rsid w:val="00533760"/>
    <w:rsid w:val="0053551E"/>
    <w:rsid w:val="005404B4"/>
    <w:rsid w:val="00541200"/>
    <w:rsid w:val="00542A26"/>
    <w:rsid w:val="00542F8F"/>
    <w:rsid w:val="00546279"/>
    <w:rsid w:val="00550775"/>
    <w:rsid w:val="005543A1"/>
    <w:rsid w:val="00554E6F"/>
    <w:rsid w:val="0055795E"/>
    <w:rsid w:val="0056065B"/>
    <w:rsid w:val="0056092E"/>
    <w:rsid w:val="0056145D"/>
    <w:rsid w:val="005626B4"/>
    <w:rsid w:val="005628CE"/>
    <w:rsid w:val="005631BF"/>
    <w:rsid w:val="00566CBA"/>
    <w:rsid w:val="00566E0B"/>
    <w:rsid w:val="00577616"/>
    <w:rsid w:val="005806CA"/>
    <w:rsid w:val="00581A79"/>
    <w:rsid w:val="00583C7E"/>
    <w:rsid w:val="00594BAB"/>
    <w:rsid w:val="005950D8"/>
    <w:rsid w:val="0059582E"/>
    <w:rsid w:val="005968F2"/>
    <w:rsid w:val="00596C43"/>
    <w:rsid w:val="00597972"/>
    <w:rsid w:val="00597BDE"/>
    <w:rsid w:val="005A0491"/>
    <w:rsid w:val="005B0728"/>
    <w:rsid w:val="005C0301"/>
    <w:rsid w:val="005C1056"/>
    <w:rsid w:val="005C3D84"/>
    <w:rsid w:val="005C5929"/>
    <w:rsid w:val="005D0B8D"/>
    <w:rsid w:val="005D41BB"/>
    <w:rsid w:val="005D6299"/>
    <w:rsid w:val="005E050F"/>
    <w:rsid w:val="005E20D6"/>
    <w:rsid w:val="005E481A"/>
    <w:rsid w:val="005E566F"/>
    <w:rsid w:val="005F0AB5"/>
    <w:rsid w:val="005F2D29"/>
    <w:rsid w:val="005F6B31"/>
    <w:rsid w:val="006006CD"/>
    <w:rsid w:val="00606D42"/>
    <w:rsid w:val="00611C9F"/>
    <w:rsid w:val="00616F33"/>
    <w:rsid w:val="006472A3"/>
    <w:rsid w:val="00650B1D"/>
    <w:rsid w:val="00652C9D"/>
    <w:rsid w:val="00660293"/>
    <w:rsid w:val="006644BE"/>
    <w:rsid w:val="00666542"/>
    <w:rsid w:val="00671523"/>
    <w:rsid w:val="00672DE9"/>
    <w:rsid w:val="00680A10"/>
    <w:rsid w:val="00681489"/>
    <w:rsid w:val="00683295"/>
    <w:rsid w:val="006834B0"/>
    <w:rsid w:val="006869E1"/>
    <w:rsid w:val="00686EF4"/>
    <w:rsid w:val="006901A0"/>
    <w:rsid w:val="00692BA6"/>
    <w:rsid w:val="00694D20"/>
    <w:rsid w:val="00695EC3"/>
    <w:rsid w:val="00697AC1"/>
    <w:rsid w:val="006A0B81"/>
    <w:rsid w:val="006A369E"/>
    <w:rsid w:val="006A3A96"/>
    <w:rsid w:val="006A7EA4"/>
    <w:rsid w:val="006B026B"/>
    <w:rsid w:val="006B70D8"/>
    <w:rsid w:val="006C04F0"/>
    <w:rsid w:val="006C2E8B"/>
    <w:rsid w:val="006C4DDD"/>
    <w:rsid w:val="006C6F92"/>
    <w:rsid w:val="006D2817"/>
    <w:rsid w:val="006E1AAF"/>
    <w:rsid w:val="006E510D"/>
    <w:rsid w:val="006F1DE8"/>
    <w:rsid w:val="006F2E32"/>
    <w:rsid w:val="006F4B5D"/>
    <w:rsid w:val="006F6E40"/>
    <w:rsid w:val="00700B6E"/>
    <w:rsid w:val="0070516C"/>
    <w:rsid w:val="007102F1"/>
    <w:rsid w:val="00710FD5"/>
    <w:rsid w:val="007114B2"/>
    <w:rsid w:val="00712EE1"/>
    <w:rsid w:val="007208EE"/>
    <w:rsid w:val="00722283"/>
    <w:rsid w:val="0072392C"/>
    <w:rsid w:val="00724171"/>
    <w:rsid w:val="0073268D"/>
    <w:rsid w:val="00736FA9"/>
    <w:rsid w:val="007472FB"/>
    <w:rsid w:val="00747D51"/>
    <w:rsid w:val="007517FA"/>
    <w:rsid w:val="00752A4E"/>
    <w:rsid w:val="00753B13"/>
    <w:rsid w:val="00753C89"/>
    <w:rsid w:val="00755E79"/>
    <w:rsid w:val="00765F81"/>
    <w:rsid w:val="00766FC4"/>
    <w:rsid w:val="00772B96"/>
    <w:rsid w:val="007825EA"/>
    <w:rsid w:val="00783B26"/>
    <w:rsid w:val="00791772"/>
    <w:rsid w:val="007917F7"/>
    <w:rsid w:val="0079182D"/>
    <w:rsid w:val="00791E76"/>
    <w:rsid w:val="00792F9D"/>
    <w:rsid w:val="00796FA8"/>
    <w:rsid w:val="0079798C"/>
    <w:rsid w:val="007A1D86"/>
    <w:rsid w:val="007A2D87"/>
    <w:rsid w:val="007A3E6F"/>
    <w:rsid w:val="007A7E9D"/>
    <w:rsid w:val="007B3CE7"/>
    <w:rsid w:val="007B5944"/>
    <w:rsid w:val="007B6498"/>
    <w:rsid w:val="007C2FFC"/>
    <w:rsid w:val="007C6CA2"/>
    <w:rsid w:val="007C7E12"/>
    <w:rsid w:val="007D1FFC"/>
    <w:rsid w:val="007D2FDE"/>
    <w:rsid w:val="007D329E"/>
    <w:rsid w:val="007D4C46"/>
    <w:rsid w:val="007D628C"/>
    <w:rsid w:val="007D6E2D"/>
    <w:rsid w:val="007E7A89"/>
    <w:rsid w:val="007F1424"/>
    <w:rsid w:val="007F2270"/>
    <w:rsid w:val="007F3D31"/>
    <w:rsid w:val="007F50D0"/>
    <w:rsid w:val="007F5210"/>
    <w:rsid w:val="008059E5"/>
    <w:rsid w:val="00811F7A"/>
    <w:rsid w:val="00815794"/>
    <w:rsid w:val="0082208C"/>
    <w:rsid w:val="00823A09"/>
    <w:rsid w:val="00824152"/>
    <w:rsid w:val="008257EB"/>
    <w:rsid w:val="008320E6"/>
    <w:rsid w:val="008359B5"/>
    <w:rsid w:val="008404F5"/>
    <w:rsid w:val="00840F12"/>
    <w:rsid w:val="00847B42"/>
    <w:rsid w:val="00850D20"/>
    <w:rsid w:val="00853F6F"/>
    <w:rsid w:val="00855965"/>
    <w:rsid w:val="00857188"/>
    <w:rsid w:val="00861661"/>
    <w:rsid w:val="008674BE"/>
    <w:rsid w:val="00871A9E"/>
    <w:rsid w:val="00872EE3"/>
    <w:rsid w:val="00873DEB"/>
    <w:rsid w:val="00874372"/>
    <w:rsid w:val="008758B5"/>
    <w:rsid w:val="008771F3"/>
    <w:rsid w:val="00881F5D"/>
    <w:rsid w:val="00882C3C"/>
    <w:rsid w:val="0089600B"/>
    <w:rsid w:val="008A01D8"/>
    <w:rsid w:val="008A0A69"/>
    <w:rsid w:val="008A25A5"/>
    <w:rsid w:val="008A73B1"/>
    <w:rsid w:val="008B0C91"/>
    <w:rsid w:val="008B1171"/>
    <w:rsid w:val="008C08BD"/>
    <w:rsid w:val="008C78D1"/>
    <w:rsid w:val="008D2923"/>
    <w:rsid w:val="008E13F6"/>
    <w:rsid w:val="008E2F44"/>
    <w:rsid w:val="008E3607"/>
    <w:rsid w:val="008E3F2C"/>
    <w:rsid w:val="008E66DE"/>
    <w:rsid w:val="008E74A7"/>
    <w:rsid w:val="008E7D5F"/>
    <w:rsid w:val="008F210F"/>
    <w:rsid w:val="008F7206"/>
    <w:rsid w:val="009002EC"/>
    <w:rsid w:val="00900E14"/>
    <w:rsid w:val="0090196F"/>
    <w:rsid w:val="00914B6B"/>
    <w:rsid w:val="009152F5"/>
    <w:rsid w:val="009208B4"/>
    <w:rsid w:val="0092391D"/>
    <w:rsid w:val="0092732F"/>
    <w:rsid w:val="00927A46"/>
    <w:rsid w:val="00930048"/>
    <w:rsid w:val="00932ECD"/>
    <w:rsid w:val="00933C2B"/>
    <w:rsid w:val="00935C84"/>
    <w:rsid w:val="009409A9"/>
    <w:rsid w:val="00941EFD"/>
    <w:rsid w:val="009466E1"/>
    <w:rsid w:val="00950CEF"/>
    <w:rsid w:val="00955EF1"/>
    <w:rsid w:val="00957BF2"/>
    <w:rsid w:val="0096042B"/>
    <w:rsid w:val="00960D7B"/>
    <w:rsid w:val="00962ED5"/>
    <w:rsid w:val="00963186"/>
    <w:rsid w:val="009671B4"/>
    <w:rsid w:val="009679D0"/>
    <w:rsid w:val="00970F8A"/>
    <w:rsid w:val="0097102B"/>
    <w:rsid w:val="0097108F"/>
    <w:rsid w:val="009750C9"/>
    <w:rsid w:val="0098067D"/>
    <w:rsid w:val="009806BD"/>
    <w:rsid w:val="00982FF7"/>
    <w:rsid w:val="0098604B"/>
    <w:rsid w:val="00990888"/>
    <w:rsid w:val="00994792"/>
    <w:rsid w:val="00996CD5"/>
    <w:rsid w:val="009A0932"/>
    <w:rsid w:val="009A1574"/>
    <w:rsid w:val="009A2836"/>
    <w:rsid w:val="009A307B"/>
    <w:rsid w:val="009A411D"/>
    <w:rsid w:val="009B0E0E"/>
    <w:rsid w:val="009B2063"/>
    <w:rsid w:val="009B36F6"/>
    <w:rsid w:val="009B56DC"/>
    <w:rsid w:val="009C0E87"/>
    <w:rsid w:val="009C3EAE"/>
    <w:rsid w:val="009C7D22"/>
    <w:rsid w:val="009D06C9"/>
    <w:rsid w:val="009D1CD9"/>
    <w:rsid w:val="009D63BF"/>
    <w:rsid w:val="009E2E85"/>
    <w:rsid w:val="009E306F"/>
    <w:rsid w:val="009E35E9"/>
    <w:rsid w:val="009E3CA8"/>
    <w:rsid w:val="009E5A53"/>
    <w:rsid w:val="009F4030"/>
    <w:rsid w:val="009F4B7A"/>
    <w:rsid w:val="009F5FFF"/>
    <w:rsid w:val="00A06F18"/>
    <w:rsid w:val="00A11D54"/>
    <w:rsid w:val="00A13746"/>
    <w:rsid w:val="00A1687A"/>
    <w:rsid w:val="00A17AD1"/>
    <w:rsid w:val="00A17F54"/>
    <w:rsid w:val="00A241FA"/>
    <w:rsid w:val="00A26FE2"/>
    <w:rsid w:val="00A27F1A"/>
    <w:rsid w:val="00A330BC"/>
    <w:rsid w:val="00A36BD5"/>
    <w:rsid w:val="00A5059B"/>
    <w:rsid w:val="00A51134"/>
    <w:rsid w:val="00A5215A"/>
    <w:rsid w:val="00A53ABA"/>
    <w:rsid w:val="00A65A46"/>
    <w:rsid w:val="00A67B33"/>
    <w:rsid w:val="00A711FA"/>
    <w:rsid w:val="00A75EB1"/>
    <w:rsid w:val="00A76C72"/>
    <w:rsid w:val="00A83104"/>
    <w:rsid w:val="00A9050A"/>
    <w:rsid w:val="00A97302"/>
    <w:rsid w:val="00AA0C3C"/>
    <w:rsid w:val="00AA3C2B"/>
    <w:rsid w:val="00AA4B42"/>
    <w:rsid w:val="00AA7734"/>
    <w:rsid w:val="00AA7CFE"/>
    <w:rsid w:val="00AB23BA"/>
    <w:rsid w:val="00AB2A4F"/>
    <w:rsid w:val="00AC383A"/>
    <w:rsid w:val="00AC3FF4"/>
    <w:rsid w:val="00AC4C8A"/>
    <w:rsid w:val="00AC594C"/>
    <w:rsid w:val="00AD0810"/>
    <w:rsid w:val="00AD2F63"/>
    <w:rsid w:val="00AD4BAA"/>
    <w:rsid w:val="00AD7FC0"/>
    <w:rsid w:val="00AE0F38"/>
    <w:rsid w:val="00AE1656"/>
    <w:rsid w:val="00AE1F83"/>
    <w:rsid w:val="00AF7BA5"/>
    <w:rsid w:val="00B012E0"/>
    <w:rsid w:val="00B05775"/>
    <w:rsid w:val="00B0740C"/>
    <w:rsid w:val="00B1099B"/>
    <w:rsid w:val="00B133E5"/>
    <w:rsid w:val="00B14611"/>
    <w:rsid w:val="00B17F52"/>
    <w:rsid w:val="00B24F3B"/>
    <w:rsid w:val="00B30846"/>
    <w:rsid w:val="00B33D20"/>
    <w:rsid w:val="00B35482"/>
    <w:rsid w:val="00B379A0"/>
    <w:rsid w:val="00B45E38"/>
    <w:rsid w:val="00B47848"/>
    <w:rsid w:val="00B47C21"/>
    <w:rsid w:val="00B51A08"/>
    <w:rsid w:val="00B543DA"/>
    <w:rsid w:val="00B653D9"/>
    <w:rsid w:val="00B74247"/>
    <w:rsid w:val="00B75324"/>
    <w:rsid w:val="00B80348"/>
    <w:rsid w:val="00B80402"/>
    <w:rsid w:val="00B835A6"/>
    <w:rsid w:val="00B83CDA"/>
    <w:rsid w:val="00B84B5A"/>
    <w:rsid w:val="00B84E65"/>
    <w:rsid w:val="00B91BE0"/>
    <w:rsid w:val="00B93CC2"/>
    <w:rsid w:val="00B97869"/>
    <w:rsid w:val="00BA08A2"/>
    <w:rsid w:val="00BA22EC"/>
    <w:rsid w:val="00BA2BF5"/>
    <w:rsid w:val="00BA4D38"/>
    <w:rsid w:val="00BC1355"/>
    <w:rsid w:val="00BD0AE7"/>
    <w:rsid w:val="00BD5D3B"/>
    <w:rsid w:val="00BD6A1D"/>
    <w:rsid w:val="00BE5870"/>
    <w:rsid w:val="00BF596D"/>
    <w:rsid w:val="00C06CE2"/>
    <w:rsid w:val="00C102A5"/>
    <w:rsid w:val="00C11C33"/>
    <w:rsid w:val="00C12103"/>
    <w:rsid w:val="00C12AA2"/>
    <w:rsid w:val="00C17284"/>
    <w:rsid w:val="00C17D1A"/>
    <w:rsid w:val="00C24825"/>
    <w:rsid w:val="00C24B2C"/>
    <w:rsid w:val="00C25AEE"/>
    <w:rsid w:val="00C320B2"/>
    <w:rsid w:val="00C34CA0"/>
    <w:rsid w:val="00C35846"/>
    <w:rsid w:val="00C35CED"/>
    <w:rsid w:val="00C37180"/>
    <w:rsid w:val="00C44C5F"/>
    <w:rsid w:val="00C463C7"/>
    <w:rsid w:val="00C4759F"/>
    <w:rsid w:val="00C50065"/>
    <w:rsid w:val="00C5458A"/>
    <w:rsid w:val="00C56723"/>
    <w:rsid w:val="00C60E73"/>
    <w:rsid w:val="00C63503"/>
    <w:rsid w:val="00C65144"/>
    <w:rsid w:val="00C65B75"/>
    <w:rsid w:val="00C67AD0"/>
    <w:rsid w:val="00C70C2C"/>
    <w:rsid w:val="00C76A7E"/>
    <w:rsid w:val="00C81CA6"/>
    <w:rsid w:val="00C90ABB"/>
    <w:rsid w:val="00C947AB"/>
    <w:rsid w:val="00C954B6"/>
    <w:rsid w:val="00C9741B"/>
    <w:rsid w:val="00CB1F91"/>
    <w:rsid w:val="00CB49B6"/>
    <w:rsid w:val="00CC1DF2"/>
    <w:rsid w:val="00CC5598"/>
    <w:rsid w:val="00CD02DE"/>
    <w:rsid w:val="00CD13A9"/>
    <w:rsid w:val="00CD612F"/>
    <w:rsid w:val="00CE675B"/>
    <w:rsid w:val="00CF19E5"/>
    <w:rsid w:val="00CF3A21"/>
    <w:rsid w:val="00CF6512"/>
    <w:rsid w:val="00CF6CE1"/>
    <w:rsid w:val="00D02DA9"/>
    <w:rsid w:val="00D04881"/>
    <w:rsid w:val="00D05E13"/>
    <w:rsid w:val="00D05F7C"/>
    <w:rsid w:val="00D06888"/>
    <w:rsid w:val="00D124E7"/>
    <w:rsid w:val="00D1358D"/>
    <w:rsid w:val="00D25CE5"/>
    <w:rsid w:val="00D25FC9"/>
    <w:rsid w:val="00D26142"/>
    <w:rsid w:val="00D3221C"/>
    <w:rsid w:val="00D343DA"/>
    <w:rsid w:val="00D41D6F"/>
    <w:rsid w:val="00D42B9C"/>
    <w:rsid w:val="00D508D8"/>
    <w:rsid w:val="00D51502"/>
    <w:rsid w:val="00D575A9"/>
    <w:rsid w:val="00D61ADC"/>
    <w:rsid w:val="00D7180C"/>
    <w:rsid w:val="00D73D11"/>
    <w:rsid w:val="00D74241"/>
    <w:rsid w:val="00D74917"/>
    <w:rsid w:val="00D91990"/>
    <w:rsid w:val="00D9487B"/>
    <w:rsid w:val="00D96A0B"/>
    <w:rsid w:val="00DA2CE0"/>
    <w:rsid w:val="00DA3DFA"/>
    <w:rsid w:val="00DA69F2"/>
    <w:rsid w:val="00DA7DF3"/>
    <w:rsid w:val="00DB092C"/>
    <w:rsid w:val="00DB1DD4"/>
    <w:rsid w:val="00DB2A2B"/>
    <w:rsid w:val="00DB5094"/>
    <w:rsid w:val="00DC1FEB"/>
    <w:rsid w:val="00DC36AB"/>
    <w:rsid w:val="00DC6D4A"/>
    <w:rsid w:val="00DD0B19"/>
    <w:rsid w:val="00DD71C5"/>
    <w:rsid w:val="00DE392A"/>
    <w:rsid w:val="00DE3DBC"/>
    <w:rsid w:val="00DE4687"/>
    <w:rsid w:val="00DE6225"/>
    <w:rsid w:val="00DF162E"/>
    <w:rsid w:val="00DF4290"/>
    <w:rsid w:val="00E00063"/>
    <w:rsid w:val="00E04DF6"/>
    <w:rsid w:val="00E06B44"/>
    <w:rsid w:val="00E1620A"/>
    <w:rsid w:val="00E1756F"/>
    <w:rsid w:val="00E23726"/>
    <w:rsid w:val="00E24658"/>
    <w:rsid w:val="00E261E6"/>
    <w:rsid w:val="00E31D86"/>
    <w:rsid w:val="00E34570"/>
    <w:rsid w:val="00E35143"/>
    <w:rsid w:val="00E3754A"/>
    <w:rsid w:val="00E51D56"/>
    <w:rsid w:val="00E54664"/>
    <w:rsid w:val="00E55816"/>
    <w:rsid w:val="00E646BD"/>
    <w:rsid w:val="00E67311"/>
    <w:rsid w:val="00E73D20"/>
    <w:rsid w:val="00E8007B"/>
    <w:rsid w:val="00E917FD"/>
    <w:rsid w:val="00E9240F"/>
    <w:rsid w:val="00E95A2A"/>
    <w:rsid w:val="00E97665"/>
    <w:rsid w:val="00EA12FD"/>
    <w:rsid w:val="00EB32A5"/>
    <w:rsid w:val="00EB5D24"/>
    <w:rsid w:val="00EC0ADC"/>
    <w:rsid w:val="00EC1D01"/>
    <w:rsid w:val="00ED001F"/>
    <w:rsid w:val="00ED1A2A"/>
    <w:rsid w:val="00ED371F"/>
    <w:rsid w:val="00ED45D1"/>
    <w:rsid w:val="00ED6299"/>
    <w:rsid w:val="00ED7841"/>
    <w:rsid w:val="00EE3928"/>
    <w:rsid w:val="00EE49A6"/>
    <w:rsid w:val="00EE6F0D"/>
    <w:rsid w:val="00EE70CA"/>
    <w:rsid w:val="00EF168C"/>
    <w:rsid w:val="00EF4A9E"/>
    <w:rsid w:val="00EF4E1D"/>
    <w:rsid w:val="00EF6986"/>
    <w:rsid w:val="00F02EA5"/>
    <w:rsid w:val="00F06280"/>
    <w:rsid w:val="00F11DAC"/>
    <w:rsid w:val="00F1555E"/>
    <w:rsid w:val="00F16961"/>
    <w:rsid w:val="00F21295"/>
    <w:rsid w:val="00F270F8"/>
    <w:rsid w:val="00F37EE6"/>
    <w:rsid w:val="00F42075"/>
    <w:rsid w:val="00F420EF"/>
    <w:rsid w:val="00F50E07"/>
    <w:rsid w:val="00F51CC2"/>
    <w:rsid w:val="00F56006"/>
    <w:rsid w:val="00F560D6"/>
    <w:rsid w:val="00F569A3"/>
    <w:rsid w:val="00F60F0E"/>
    <w:rsid w:val="00F62328"/>
    <w:rsid w:val="00F62994"/>
    <w:rsid w:val="00F66C62"/>
    <w:rsid w:val="00F713B9"/>
    <w:rsid w:val="00F8007F"/>
    <w:rsid w:val="00F82DE5"/>
    <w:rsid w:val="00F920BB"/>
    <w:rsid w:val="00F97901"/>
    <w:rsid w:val="00FA46CA"/>
    <w:rsid w:val="00FB397B"/>
    <w:rsid w:val="00FB3E3E"/>
    <w:rsid w:val="00FB439C"/>
    <w:rsid w:val="00FB43B0"/>
    <w:rsid w:val="00FB4D1B"/>
    <w:rsid w:val="00FB6FF0"/>
    <w:rsid w:val="00FC1E14"/>
    <w:rsid w:val="00FC7849"/>
    <w:rsid w:val="00FD283D"/>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FE34"/>
  <w15:docId w15:val="{2B82B09C-02DA-4AC6-8958-2A86DA2A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customStyle="1" w:styleId="Nerazreenaomemba1">
    <w:name w:val="Nerazrešena omemba1"/>
    <w:basedOn w:val="Privzetapisavaodstavka"/>
    <w:uiPriority w:val="99"/>
    <w:semiHidden/>
    <w:unhideWhenUsed/>
    <w:rsid w:val="007C6CA2"/>
    <w:rPr>
      <w:color w:val="605E5C"/>
      <w:shd w:val="clear" w:color="auto" w:fill="E1DFDD"/>
    </w:rPr>
  </w:style>
  <w:style w:type="paragraph" w:customStyle="1" w:styleId="Neotevilenodstavek">
    <w:name w:val="Neoštevilčen odstavek"/>
    <w:basedOn w:val="Navaden"/>
    <w:link w:val="NeotevilenodstavekZnak"/>
    <w:qFormat/>
    <w:rsid w:val="007C6CA2"/>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rsid w:val="007C6CA2"/>
    <w:rPr>
      <w:rFonts w:ascii="Arial" w:eastAsia="Times New Roman" w:hAnsi="Arial" w:cs="Arial"/>
      <w:lang w:eastAsia="sl-SI"/>
    </w:rPr>
  </w:style>
  <w:style w:type="paragraph" w:styleId="Odstavekseznama">
    <w:name w:val="List Paragraph"/>
    <w:aliases w:val="K1,Table of contents numbered,Elenco num ARGEA,body,Odsek zoznamu2"/>
    <w:basedOn w:val="Navaden"/>
    <w:link w:val="OdstavekseznamaZnak"/>
    <w:uiPriority w:val="34"/>
    <w:qFormat/>
    <w:rsid w:val="007C6CA2"/>
    <w:pPr>
      <w:ind w:left="720"/>
      <w:contextualSpacing/>
    </w:pPr>
  </w:style>
  <w:style w:type="character" w:customStyle="1" w:styleId="OdstavekseznamaZnak">
    <w:name w:val="Odstavek seznama Znak"/>
    <w:aliases w:val="K1 Znak,Table of contents numbered Znak,Elenco num ARGEA Znak,body Znak,Odsek zoznamu2 Znak"/>
    <w:link w:val="Odstavekseznama"/>
    <w:uiPriority w:val="34"/>
    <w:qFormat/>
    <w:locked/>
    <w:rsid w:val="006B70D8"/>
    <w:rPr>
      <w:rFonts w:ascii="Arial" w:eastAsia="Calibri" w:hAnsi="Arial" w:cs="Times New Roman"/>
      <w:sz w:val="20"/>
    </w:rPr>
  </w:style>
  <w:style w:type="paragraph" w:styleId="Revizija">
    <w:name w:val="Revision"/>
    <w:hidden/>
    <w:uiPriority w:val="99"/>
    <w:semiHidden/>
    <w:rsid w:val="0092391D"/>
    <w:pPr>
      <w:spacing w:after="0" w:line="240" w:lineRule="auto"/>
    </w:pPr>
    <w:rPr>
      <w:rFonts w:ascii="Arial" w:eastAsia="Calibri" w:hAnsi="Arial" w:cs="Times New Roman"/>
      <w:sz w:val="20"/>
    </w:rPr>
  </w:style>
  <w:style w:type="character" w:styleId="Pripombasklic">
    <w:name w:val="annotation reference"/>
    <w:basedOn w:val="Privzetapisavaodstavka"/>
    <w:uiPriority w:val="99"/>
    <w:semiHidden/>
    <w:unhideWhenUsed/>
    <w:rsid w:val="00970F8A"/>
    <w:rPr>
      <w:sz w:val="16"/>
      <w:szCs w:val="16"/>
    </w:rPr>
  </w:style>
  <w:style w:type="paragraph" w:styleId="Pripombabesedilo">
    <w:name w:val="annotation text"/>
    <w:basedOn w:val="Navaden"/>
    <w:link w:val="PripombabesediloZnak"/>
    <w:uiPriority w:val="99"/>
    <w:unhideWhenUsed/>
    <w:rsid w:val="00970F8A"/>
    <w:pPr>
      <w:spacing w:line="240" w:lineRule="auto"/>
    </w:pPr>
    <w:rPr>
      <w:szCs w:val="20"/>
    </w:rPr>
  </w:style>
  <w:style w:type="character" w:customStyle="1" w:styleId="PripombabesediloZnak">
    <w:name w:val="Pripomba – besedilo Znak"/>
    <w:basedOn w:val="Privzetapisavaodstavka"/>
    <w:link w:val="Pripombabesedilo"/>
    <w:uiPriority w:val="99"/>
    <w:rsid w:val="00970F8A"/>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70F8A"/>
    <w:rPr>
      <w:b/>
      <w:bCs/>
    </w:rPr>
  </w:style>
  <w:style w:type="character" w:customStyle="1" w:styleId="ZadevapripombeZnak">
    <w:name w:val="Zadeva pripombe Znak"/>
    <w:basedOn w:val="PripombabesediloZnak"/>
    <w:link w:val="Zadevapripombe"/>
    <w:uiPriority w:val="99"/>
    <w:semiHidden/>
    <w:rsid w:val="00970F8A"/>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C76A7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6A7E"/>
    <w:rPr>
      <w:rFonts w:ascii="Tahoma" w:eastAsia="Calibri" w:hAnsi="Tahoma" w:cs="Tahoma"/>
      <w:sz w:val="16"/>
      <w:szCs w:val="16"/>
    </w:rPr>
  </w:style>
  <w:style w:type="character" w:styleId="SledenaHiperpovezava">
    <w:name w:val="FollowedHyperlink"/>
    <w:basedOn w:val="Privzetapisavaodstavka"/>
    <w:uiPriority w:val="99"/>
    <w:semiHidden/>
    <w:unhideWhenUsed/>
    <w:rsid w:val="00F713B9"/>
    <w:rPr>
      <w:color w:val="954F72" w:themeColor="followedHyperlink"/>
      <w:u w:val="single"/>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D96A0B"/>
    <w:pPr>
      <w:spacing w:after="0" w:line="240" w:lineRule="auto"/>
    </w:pPr>
    <w:rPr>
      <w:rFonts w:eastAsia="Times New Roman"/>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D96A0B"/>
    <w:rPr>
      <w:rFonts w:ascii="Arial" w:eastAsia="Times New Roman" w:hAnsi="Arial" w:cs="Times New Roman"/>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basedOn w:val="Privzetapisavaodstavka"/>
    <w:uiPriority w:val="99"/>
    <w:unhideWhenUsed/>
    <w:qFormat/>
    <w:rsid w:val="00D96A0B"/>
    <w:rPr>
      <w:vertAlign w:val="superscript"/>
    </w:rPr>
  </w:style>
  <w:style w:type="paragraph" w:styleId="Telobesedila">
    <w:name w:val="Body Text"/>
    <w:basedOn w:val="Navaden"/>
    <w:link w:val="TelobesedilaZnak"/>
    <w:uiPriority w:val="99"/>
    <w:qFormat/>
    <w:rsid w:val="00A53ABA"/>
    <w:pPr>
      <w:suppressAutoHyphens/>
      <w:spacing w:after="0" w:line="240" w:lineRule="auto"/>
    </w:pPr>
    <w:rPr>
      <w:rFonts w:ascii="Tahoma" w:eastAsia="Times New Roman" w:hAnsi="Tahoma"/>
      <w:color w:val="008000"/>
      <w:sz w:val="22"/>
      <w:lang w:val="en-US" w:eastAsia="ar-SA"/>
    </w:rPr>
  </w:style>
  <w:style w:type="character" w:customStyle="1" w:styleId="TelobesedilaZnak">
    <w:name w:val="Telo besedila Znak"/>
    <w:basedOn w:val="Privzetapisavaodstavka"/>
    <w:link w:val="Telobesedila"/>
    <w:uiPriority w:val="99"/>
    <w:rsid w:val="00A53ABA"/>
    <w:rPr>
      <w:rFonts w:ascii="Tahoma" w:eastAsia="Times New Roman" w:hAnsi="Tahoma" w:cs="Times New Roman"/>
      <w:color w:val="008000"/>
      <w:lang w:val="en-US" w:eastAsia="ar-SA"/>
    </w:rPr>
  </w:style>
  <w:style w:type="paragraph" w:customStyle="1" w:styleId="Naslovpredpisa">
    <w:name w:val="Naslov_predpisa"/>
    <w:basedOn w:val="Navaden"/>
    <w:link w:val="NaslovpredpisaZnak"/>
    <w:qFormat/>
    <w:rsid w:val="00A53ABA"/>
    <w:pPr>
      <w:suppressAutoHyphens/>
      <w:overflowPunct w:val="0"/>
      <w:autoSpaceDE w:val="0"/>
      <w:autoSpaceDN w:val="0"/>
      <w:adjustRightInd w:val="0"/>
      <w:spacing w:before="120" w:line="200" w:lineRule="exact"/>
      <w:jc w:val="center"/>
      <w:textAlignment w:val="baseline"/>
    </w:pPr>
    <w:rPr>
      <w:rFonts w:eastAsia="Times New Roman" w:cs="Arial"/>
      <w:b/>
      <w:sz w:val="22"/>
      <w:lang w:eastAsia="sl-SI"/>
    </w:rPr>
  </w:style>
  <w:style w:type="character" w:customStyle="1" w:styleId="NaslovpredpisaZnak">
    <w:name w:val="Naslov_predpisa Znak"/>
    <w:link w:val="Naslovpredpisa"/>
    <w:rsid w:val="00A53ABA"/>
    <w:rPr>
      <w:rFonts w:ascii="Arial" w:eastAsia="Times New Roman" w:hAnsi="Arial" w:cs="Arial"/>
      <w:b/>
      <w:lang w:eastAsia="sl-SI"/>
    </w:rPr>
  </w:style>
  <w:style w:type="paragraph" w:customStyle="1" w:styleId="pf0">
    <w:name w:val="pf0"/>
    <w:basedOn w:val="Navaden"/>
    <w:rsid w:val="00A53ABA"/>
    <w:pPr>
      <w:spacing w:before="100" w:beforeAutospacing="1" w:after="100" w:afterAutospacing="1" w:line="240" w:lineRule="auto"/>
    </w:pPr>
    <w:rPr>
      <w:rFonts w:ascii="Times New Roman" w:eastAsia="Times New Roman" w:hAnsi="Times New Roman"/>
      <w:sz w:val="24"/>
      <w:szCs w:val="24"/>
      <w:lang w:eastAsia="sl-SI"/>
    </w:rPr>
  </w:style>
  <w:style w:type="table" w:styleId="Tabelamrea">
    <w:name w:val="Table Grid"/>
    <w:basedOn w:val="Navadnatabela"/>
    <w:uiPriority w:val="39"/>
    <w:rsid w:val="0075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 TargetMode="External"/><Relationship Id="rId13" Type="http://schemas.openxmlformats.org/officeDocument/2006/relationships/hyperlink" Target="https://www.uradni-list.si/glasilo-uradni-list-rs/vsebina/2012-01-0268" TargetMode="External"/><Relationship Id="rId18" Type="http://schemas.openxmlformats.org/officeDocument/2006/relationships/hyperlink" Target="https://www.uradni-list.si/glasilo-uradni-list-rs/vsebina/2022-01-41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10-01-1847" TargetMode="External"/><Relationship Id="rId17" Type="http://schemas.openxmlformats.org/officeDocument/2006/relationships/hyperlink" Target="https://www.uradni-list.si/glasilo-uradni-list-rs/vsebina/2017-01-2521" TargetMode="External"/><Relationship Id="rId2" Type="http://schemas.openxmlformats.org/officeDocument/2006/relationships/numbering" Target="numbering.xml"/><Relationship Id="rId16" Type="http://schemas.openxmlformats.org/officeDocument/2006/relationships/hyperlink" Target="https://www.uradni-list.si/glasilo-uradni-list-rs/vsebina/2014-01-27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4694"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3-01-1783" TargetMode="External"/><Relationship Id="rId10" Type="http://schemas.openxmlformats.org/officeDocument/2006/relationships/hyperlink" Target="https://www.uradni-list.si/glasilo-uradni-list-rs/vsebina/2005-01-08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s://www.uradni-list.si/glasilo-uradni-list-rs/vsebina/2013-01-07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FE7D4A-BAFE-4CBA-913D-09073DF7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2795</Words>
  <Characters>15932</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Krpan</dc:creator>
  <cp:keywords/>
  <dc:description/>
  <cp:lastModifiedBy>Nina Klemenc</cp:lastModifiedBy>
  <cp:revision>4</cp:revision>
  <dcterms:created xsi:type="dcterms:W3CDTF">2025-08-14T05:20:00Z</dcterms:created>
  <dcterms:modified xsi:type="dcterms:W3CDTF">2025-08-18T09:58:00Z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