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DBE7" w14:textId="306DBE94" w:rsidR="00BD6A1D" w:rsidRPr="00E9128C" w:rsidRDefault="00117A9D" w:rsidP="00BD6A1D">
      <w:pPr>
        <w:pStyle w:val="Glava"/>
        <w:tabs>
          <w:tab w:val="left" w:pos="5103"/>
        </w:tabs>
        <w:spacing w:line="240" w:lineRule="exact"/>
        <w:ind w:left="5103" w:hanging="4819"/>
        <w:rPr>
          <w:rFonts w:cs="Arial"/>
          <w:sz w:val="16"/>
          <w:szCs w:val="16"/>
        </w:rPr>
      </w:pPr>
      <w:r w:rsidRPr="00117A9D">
        <w:rPr>
          <w:rFonts w:cs="Arial"/>
          <w:sz w:val="16"/>
          <w:szCs w:val="16"/>
        </w:rPr>
        <w:t>Župančičeva ulica 3, p. p. 644a, 1001 Ljubljana</w:t>
      </w:r>
      <w:r w:rsidR="00BD6A1D" w:rsidRPr="00E9128C">
        <w:rPr>
          <w:rFonts w:cs="Arial"/>
          <w:sz w:val="16"/>
          <w:szCs w:val="16"/>
        </w:rPr>
        <w:tab/>
      </w:r>
      <w:r w:rsidR="00BD6A1D" w:rsidRPr="00E9128C">
        <w:rPr>
          <w:rFonts w:cs="Arial"/>
          <w:sz w:val="16"/>
          <w:szCs w:val="16"/>
        </w:rPr>
        <w:tab/>
        <w:t xml:space="preserve">T: 01 369 </w:t>
      </w:r>
      <w:r>
        <w:rPr>
          <w:rFonts w:cs="Arial"/>
          <w:sz w:val="16"/>
          <w:szCs w:val="16"/>
        </w:rPr>
        <w:t>66</w:t>
      </w:r>
      <w:r w:rsidR="00BD6A1D" w:rsidRPr="00E9128C">
        <w:rPr>
          <w:rFonts w:cs="Arial"/>
          <w:sz w:val="16"/>
          <w:szCs w:val="16"/>
        </w:rPr>
        <w:t xml:space="preserve"> 00</w:t>
      </w:r>
    </w:p>
    <w:p w14:paraId="7495099A" w14:textId="05A206A8" w:rsidR="00BD6A1D" w:rsidRPr="00E9128C" w:rsidRDefault="00BD6A1D" w:rsidP="00BD6A1D">
      <w:pPr>
        <w:pStyle w:val="Glava"/>
        <w:tabs>
          <w:tab w:val="left" w:pos="5112"/>
        </w:tabs>
        <w:spacing w:line="240" w:lineRule="exact"/>
        <w:ind w:left="5103"/>
        <w:rPr>
          <w:rFonts w:cs="Arial"/>
          <w:sz w:val="16"/>
          <w:szCs w:val="16"/>
        </w:rPr>
      </w:pPr>
      <w:r w:rsidRPr="00E9128C">
        <w:rPr>
          <w:rFonts w:cs="Arial"/>
          <w:sz w:val="16"/>
          <w:szCs w:val="16"/>
        </w:rPr>
        <w:t xml:space="preserve">F: 01 369 </w:t>
      </w:r>
      <w:r w:rsidR="00117A9D">
        <w:rPr>
          <w:rFonts w:cs="Arial"/>
          <w:sz w:val="16"/>
          <w:szCs w:val="16"/>
        </w:rPr>
        <w:t>66</w:t>
      </w:r>
      <w:r w:rsidRPr="00E9128C">
        <w:rPr>
          <w:rFonts w:cs="Arial"/>
          <w:sz w:val="16"/>
          <w:szCs w:val="16"/>
        </w:rPr>
        <w:t xml:space="preserve"> </w:t>
      </w:r>
      <w:r w:rsidR="00117A9D">
        <w:rPr>
          <w:rFonts w:cs="Arial"/>
          <w:sz w:val="16"/>
          <w:szCs w:val="16"/>
        </w:rPr>
        <w:t>09</w:t>
      </w:r>
      <w:r w:rsidRPr="00E9128C">
        <w:rPr>
          <w:rFonts w:cs="Arial"/>
          <w:sz w:val="16"/>
          <w:szCs w:val="16"/>
        </w:rPr>
        <w:t xml:space="preserve"> </w:t>
      </w:r>
    </w:p>
    <w:p w14:paraId="149E4D3D" w14:textId="1AE16D3F" w:rsidR="00BD6A1D" w:rsidRPr="00E9128C" w:rsidRDefault="00BD6A1D" w:rsidP="00BD6A1D">
      <w:pPr>
        <w:pStyle w:val="Glava"/>
        <w:tabs>
          <w:tab w:val="left" w:pos="5112"/>
        </w:tabs>
        <w:spacing w:line="240" w:lineRule="exact"/>
        <w:ind w:left="5103"/>
        <w:rPr>
          <w:rFonts w:cs="Arial"/>
          <w:sz w:val="16"/>
          <w:szCs w:val="16"/>
        </w:rPr>
      </w:pPr>
      <w:r w:rsidRPr="00E9128C">
        <w:rPr>
          <w:rFonts w:cs="Arial"/>
          <w:sz w:val="16"/>
          <w:szCs w:val="16"/>
        </w:rPr>
        <w:tab/>
        <w:t>E: gp.</w:t>
      </w:r>
      <w:r w:rsidR="00117A9D">
        <w:rPr>
          <w:rFonts w:cs="Arial"/>
          <w:sz w:val="16"/>
          <w:szCs w:val="16"/>
        </w:rPr>
        <w:t>mf</w:t>
      </w:r>
      <w:r w:rsidRPr="00E9128C">
        <w:rPr>
          <w:rFonts w:cs="Arial"/>
          <w:sz w:val="16"/>
          <w:szCs w:val="16"/>
        </w:rPr>
        <w:t xml:space="preserve">@gov.si </w:t>
      </w:r>
      <w:hyperlink r:id="rId12" w:history="1">
        <w:r w:rsidR="00117A9D" w:rsidRPr="008A4972">
          <w:rPr>
            <w:rStyle w:val="Hiperpovezava"/>
            <w:rFonts w:cs="Arial"/>
            <w:sz w:val="16"/>
            <w:szCs w:val="16"/>
          </w:rPr>
          <w:t>www.mf.gov.si</w:t>
        </w:r>
      </w:hyperlink>
    </w:p>
    <w:p w14:paraId="1805CD0B" w14:textId="77777777" w:rsidR="00BD6A1D" w:rsidRPr="00E9128C"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9128C" w:rsidRPr="00E9128C" w14:paraId="28D6D91B" w14:textId="77777777" w:rsidTr="4C5FDD34">
        <w:trPr>
          <w:gridAfter w:val="2"/>
          <w:wAfter w:w="3067" w:type="dxa"/>
        </w:trPr>
        <w:tc>
          <w:tcPr>
            <w:tcW w:w="6096" w:type="dxa"/>
            <w:gridSpan w:val="2"/>
          </w:tcPr>
          <w:p w14:paraId="3197D518" w14:textId="3E740D9C" w:rsidR="00AE1F83" w:rsidRPr="00E9128C"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bookmarkStart w:id="0" w:name="_Hlk212702995"/>
            <w:r w:rsidRPr="00E9128C">
              <w:rPr>
                <w:rFonts w:eastAsia="Times New Roman" w:cs="Arial"/>
                <w:szCs w:val="20"/>
                <w:lang w:eastAsia="sl-SI"/>
              </w:rPr>
              <w:t xml:space="preserve">Številka: </w:t>
            </w:r>
            <w:r w:rsidR="008A4972" w:rsidRPr="008A4972">
              <w:rPr>
                <w:rFonts w:eastAsia="Times New Roman" w:cs="Arial"/>
                <w:szCs w:val="20"/>
                <w:lang w:eastAsia="sl-SI"/>
              </w:rPr>
              <w:t>007-703/2025</w:t>
            </w:r>
            <w:r w:rsidR="00FB738F">
              <w:rPr>
                <w:rFonts w:eastAsia="Times New Roman" w:cs="Arial"/>
                <w:szCs w:val="20"/>
                <w:lang w:eastAsia="sl-SI"/>
              </w:rPr>
              <w:t>/3</w:t>
            </w:r>
          </w:p>
        </w:tc>
      </w:tr>
      <w:tr w:rsidR="00E9128C" w:rsidRPr="00E9128C" w14:paraId="03BCD710" w14:textId="77777777" w:rsidTr="4C5FDD34">
        <w:trPr>
          <w:gridAfter w:val="2"/>
          <w:wAfter w:w="3067" w:type="dxa"/>
        </w:trPr>
        <w:tc>
          <w:tcPr>
            <w:tcW w:w="6096" w:type="dxa"/>
            <w:gridSpan w:val="2"/>
          </w:tcPr>
          <w:p w14:paraId="55539D0D" w14:textId="4D75A1C6" w:rsidR="00AE1F83" w:rsidRPr="00E9128C"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E9128C">
              <w:rPr>
                <w:rFonts w:eastAsia="Times New Roman" w:cs="Arial"/>
                <w:szCs w:val="20"/>
                <w:lang w:eastAsia="sl-SI"/>
              </w:rPr>
              <w:t xml:space="preserve">Ljubljana, </w:t>
            </w:r>
            <w:r w:rsidR="00B66F0D">
              <w:rPr>
                <w:rFonts w:eastAsia="Times New Roman" w:cs="Arial"/>
                <w:szCs w:val="20"/>
                <w:lang w:eastAsia="sl-SI"/>
              </w:rPr>
              <w:t>30</w:t>
            </w:r>
            <w:r w:rsidR="0046158A" w:rsidRPr="00E9128C">
              <w:rPr>
                <w:rFonts w:eastAsia="Times New Roman" w:cs="Arial"/>
                <w:szCs w:val="20"/>
                <w:lang w:eastAsia="sl-SI"/>
              </w:rPr>
              <w:t>. 1</w:t>
            </w:r>
            <w:r w:rsidR="00664213" w:rsidRPr="00E9128C">
              <w:rPr>
                <w:rFonts w:eastAsia="Times New Roman" w:cs="Arial"/>
                <w:szCs w:val="20"/>
                <w:lang w:eastAsia="sl-SI"/>
              </w:rPr>
              <w:t>0</w:t>
            </w:r>
            <w:r w:rsidR="0046158A" w:rsidRPr="00E9128C">
              <w:rPr>
                <w:rFonts w:eastAsia="Times New Roman" w:cs="Arial"/>
                <w:szCs w:val="20"/>
                <w:lang w:eastAsia="sl-SI"/>
              </w:rPr>
              <w:t>. 202</w:t>
            </w:r>
            <w:r w:rsidR="00664213" w:rsidRPr="00E9128C">
              <w:rPr>
                <w:rFonts w:eastAsia="Times New Roman" w:cs="Arial"/>
                <w:szCs w:val="20"/>
                <w:lang w:eastAsia="sl-SI"/>
              </w:rPr>
              <w:t>5</w:t>
            </w:r>
          </w:p>
        </w:tc>
      </w:tr>
      <w:tr w:rsidR="00E9128C" w:rsidRPr="00E9128C" w14:paraId="72B3D0BF" w14:textId="77777777" w:rsidTr="4C5FDD34">
        <w:trPr>
          <w:gridAfter w:val="2"/>
          <w:wAfter w:w="3067" w:type="dxa"/>
        </w:trPr>
        <w:tc>
          <w:tcPr>
            <w:tcW w:w="6096" w:type="dxa"/>
            <w:gridSpan w:val="2"/>
          </w:tcPr>
          <w:p w14:paraId="7E934465" w14:textId="344D5CC3" w:rsidR="00AE1F83" w:rsidRPr="00E9128C" w:rsidRDefault="00AE1F83" w:rsidP="00685162">
            <w:pPr>
              <w:pStyle w:val="datumtevilka"/>
              <w:spacing w:line="240" w:lineRule="auto"/>
              <w:rPr>
                <w:rFonts w:cs="Arial"/>
              </w:rPr>
            </w:pPr>
            <w:r w:rsidRPr="00E9128C">
              <w:rPr>
                <w:rFonts w:cs="Arial"/>
                <w:iCs/>
              </w:rPr>
              <w:t>EVA</w:t>
            </w:r>
            <w:r w:rsidR="00285FEA" w:rsidRPr="00E9128C">
              <w:rPr>
                <w:rFonts w:cs="Arial"/>
                <w:iCs/>
              </w:rPr>
              <w:t>:</w:t>
            </w:r>
            <w:r w:rsidRPr="00E9128C">
              <w:rPr>
                <w:rFonts w:cs="Arial"/>
                <w:iCs/>
              </w:rPr>
              <w:t xml:space="preserve"> </w:t>
            </w:r>
            <w:r w:rsidR="005B7174" w:rsidRPr="00E9128C">
              <w:rPr>
                <w:rFonts w:cs="Arial"/>
                <w:iCs/>
              </w:rPr>
              <w:t>2</w:t>
            </w:r>
            <w:r w:rsidR="005B7174" w:rsidRPr="00E9128C">
              <w:rPr>
                <w:rFonts w:eastAsiaTheme="minorHAnsi" w:cs="Arial"/>
              </w:rPr>
              <w:t>025</w:t>
            </w:r>
            <w:r w:rsidR="008B1BEE">
              <w:rPr>
                <w:rFonts w:eastAsiaTheme="minorHAnsi" w:cs="Arial"/>
              </w:rPr>
              <w:t>-1611-0083</w:t>
            </w:r>
          </w:p>
        </w:tc>
      </w:tr>
      <w:tr w:rsidR="00E9128C" w:rsidRPr="00E9128C" w14:paraId="1BC23625" w14:textId="77777777" w:rsidTr="4C5FDD34">
        <w:trPr>
          <w:gridAfter w:val="2"/>
          <w:wAfter w:w="3067" w:type="dxa"/>
        </w:trPr>
        <w:tc>
          <w:tcPr>
            <w:tcW w:w="6096" w:type="dxa"/>
            <w:gridSpan w:val="2"/>
          </w:tcPr>
          <w:p w14:paraId="775C2B8A" w14:textId="77777777" w:rsidR="00AE1F83" w:rsidRPr="00E9128C" w:rsidRDefault="00AE1F83" w:rsidP="00AE1F83">
            <w:pPr>
              <w:spacing w:after="0" w:line="260" w:lineRule="exact"/>
              <w:rPr>
                <w:rFonts w:eastAsia="Times New Roman" w:cs="Arial"/>
                <w:szCs w:val="20"/>
              </w:rPr>
            </w:pPr>
          </w:p>
          <w:p w14:paraId="25FF4C96" w14:textId="77777777" w:rsidR="00AE1F83" w:rsidRPr="00E9128C" w:rsidRDefault="00AE1F83" w:rsidP="00AE1F83">
            <w:pPr>
              <w:spacing w:after="0" w:line="260" w:lineRule="exact"/>
              <w:rPr>
                <w:rFonts w:eastAsia="Times New Roman" w:cs="Arial"/>
                <w:szCs w:val="20"/>
              </w:rPr>
            </w:pPr>
            <w:r w:rsidRPr="00E9128C">
              <w:rPr>
                <w:rFonts w:eastAsia="Times New Roman" w:cs="Arial"/>
                <w:szCs w:val="20"/>
              </w:rPr>
              <w:t>GENERALNI SEKRETARIAT VLADE REPUBLIKE SLOVENIJE</w:t>
            </w:r>
          </w:p>
          <w:p w14:paraId="4E29EF48" w14:textId="77777777" w:rsidR="00AE1F83" w:rsidRPr="00E9128C" w:rsidRDefault="00AE1F83" w:rsidP="00AE1F83">
            <w:pPr>
              <w:spacing w:after="0" w:line="260" w:lineRule="exact"/>
              <w:rPr>
                <w:rFonts w:eastAsia="Times New Roman" w:cs="Arial"/>
                <w:szCs w:val="20"/>
              </w:rPr>
            </w:pPr>
            <w:hyperlink r:id="rId13" w:history="1">
              <w:r w:rsidRPr="00E9128C">
                <w:rPr>
                  <w:rFonts w:eastAsia="Times New Roman"/>
                  <w:szCs w:val="20"/>
                  <w:u w:val="single"/>
                </w:rPr>
                <w:t>Gp.gs@gov.si</w:t>
              </w:r>
            </w:hyperlink>
          </w:p>
          <w:p w14:paraId="39CD805D" w14:textId="77777777" w:rsidR="00AE1F83" w:rsidRPr="00E9128C" w:rsidRDefault="00AE1F83" w:rsidP="00AE1F83">
            <w:pPr>
              <w:spacing w:after="0" w:line="260" w:lineRule="exact"/>
              <w:rPr>
                <w:rFonts w:eastAsia="Times New Roman" w:cs="Arial"/>
                <w:szCs w:val="20"/>
              </w:rPr>
            </w:pPr>
          </w:p>
        </w:tc>
      </w:tr>
      <w:tr w:rsidR="00E9128C" w:rsidRPr="00E9128C" w14:paraId="2097EFEE" w14:textId="77777777" w:rsidTr="4C5FDD34">
        <w:tc>
          <w:tcPr>
            <w:tcW w:w="9163" w:type="dxa"/>
            <w:gridSpan w:val="4"/>
          </w:tcPr>
          <w:p w14:paraId="04A3F26D" w14:textId="6FDEA87C" w:rsidR="00AE1F83" w:rsidRPr="00E9128C"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E9128C">
              <w:rPr>
                <w:rFonts w:eastAsia="Times New Roman" w:cs="Arial"/>
                <w:b/>
                <w:szCs w:val="20"/>
                <w:lang w:eastAsia="sl-SI"/>
              </w:rPr>
              <w:t xml:space="preserve">ZADEVA: </w:t>
            </w:r>
            <w:r w:rsidR="00EA1E8A" w:rsidRPr="00E9128C">
              <w:rPr>
                <w:rFonts w:cs="Arial"/>
                <w:b/>
                <w:szCs w:val="20"/>
                <w:lang w:eastAsia="sl-SI"/>
              </w:rPr>
              <w:t xml:space="preserve">Predlog Zakona </w:t>
            </w:r>
            <w:r w:rsidR="0080114A" w:rsidRPr="00E9128C">
              <w:rPr>
                <w:rFonts w:eastAsia="Times New Roman" w:cs="Arial"/>
                <w:b/>
                <w:szCs w:val="20"/>
                <w:lang w:eastAsia="sl-SI"/>
              </w:rPr>
              <w:t xml:space="preserve">o izplačilu zimskega </w:t>
            </w:r>
            <w:r w:rsidR="00AB32FD" w:rsidRPr="00E9128C">
              <w:rPr>
                <w:rFonts w:eastAsia="Times New Roman" w:cs="Arial"/>
                <w:b/>
                <w:szCs w:val="20"/>
                <w:lang w:eastAsia="sl-SI"/>
              </w:rPr>
              <w:t>regresa</w:t>
            </w:r>
            <w:r w:rsidR="0029566A" w:rsidRPr="00E9128C">
              <w:t xml:space="preserve"> </w:t>
            </w:r>
            <w:r w:rsidR="0029566A" w:rsidRPr="00E9128C">
              <w:rPr>
                <w:rFonts w:eastAsia="Times New Roman" w:cs="Arial"/>
                <w:b/>
                <w:szCs w:val="20"/>
                <w:lang w:eastAsia="sl-SI"/>
              </w:rPr>
              <w:t>ter prenovi ugotavljanja davčne osnove z upoštevanjem normiranih odhodkov</w:t>
            </w:r>
            <w:r w:rsidR="00AB32FD" w:rsidRPr="00E9128C">
              <w:rPr>
                <w:rFonts w:eastAsia="Times New Roman" w:cs="Arial"/>
                <w:b/>
                <w:szCs w:val="20"/>
                <w:lang w:eastAsia="sl-SI"/>
              </w:rPr>
              <w:t xml:space="preserve"> </w:t>
            </w:r>
            <w:r w:rsidRPr="00E9128C">
              <w:rPr>
                <w:rFonts w:eastAsia="Times New Roman" w:cs="Arial"/>
                <w:b/>
                <w:szCs w:val="20"/>
                <w:lang w:eastAsia="sl-SI"/>
              </w:rPr>
              <w:t xml:space="preserve">– predlog za obravnavo </w:t>
            </w:r>
          </w:p>
        </w:tc>
      </w:tr>
      <w:tr w:rsidR="00E9128C" w:rsidRPr="00E9128C" w14:paraId="3E370E62" w14:textId="77777777" w:rsidTr="4C5FDD34">
        <w:tc>
          <w:tcPr>
            <w:tcW w:w="9163" w:type="dxa"/>
            <w:gridSpan w:val="4"/>
          </w:tcPr>
          <w:p w14:paraId="7FDC3701" w14:textId="77777777" w:rsidR="00AE1F83" w:rsidRPr="00E9128C"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E9128C">
              <w:rPr>
                <w:rFonts w:eastAsia="Times New Roman" w:cs="Arial"/>
                <w:b/>
                <w:szCs w:val="20"/>
                <w:lang w:eastAsia="sl-SI"/>
              </w:rPr>
              <w:t>1. Predlog sklepov vlade:</w:t>
            </w:r>
          </w:p>
        </w:tc>
      </w:tr>
      <w:tr w:rsidR="00E9128C" w:rsidRPr="00E9128C" w14:paraId="28BCA4AA" w14:textId="77777777" w:rsidTr="4C5FDD34">
        <w:tc>
          <w:tcPr>
            <w:tcW w:w="9163" w:type="dxa"/>
            <w:gridSpan w:val="4"/>
          </w:tcPr>
          <w:p w14:paraId="17E57AD6" w14:textId="2EAC4B84" w:rsidR="00DE5714" w:rsidRPr="00E9128C" w:rsidRDefault="00685162" w:rsidP="008670B8">
            <w:pPr>
              <w:pBdr>
                <w:top w:val="nil"/>
                <w:left w:val="nil"/>
                <w:bottom w:val="nil"/>
                <w:right w:val="nil"/>
                <w:between w:val="nil"/>
              </w:pBdr>
              <w:spacing w:after="0" w:line="240" w:lineRule="auto"/>
              <w:ind w:hanging="2"/>
              <w:jc w:val="both"/>
              <w:rPr>
                <w:rFonts w:eastAsia="Arial" w:cs="Arial"/>
                <w:szCs w:val="20"/>
              </w:rPr>
            </w:pPr>
            <w:r w:rsidRPr="00E9128C">
              <w:rPr>
                <w:rFonts w:eastAsia="Arial" w:cs="Arial"/>
                <w:szCs w:val="20"/>
              </w:rPr>
              <w:t>Na podlagi drugega odstavka 2. člena Zakona o Vladi Republike Slovenije (</w:t>
            </w:r>
            <w:r w:rsidR="00664213" w:rsidRPr="00E9128C">
              <w:rPr>
                <w:rFonts w:eastAsia="Arial" w:cs="Arial"/>
                <w:szCs w:val="20"/>
              </w:rPr>
              <w:t>Uradni list RS, št. 24/05 – uradno prečiščeno besedilo, 109/08, 38/10 – ZUKN, 8/12, 21/13, 47/13 – ZDU-1G, 65/14, 55/17, 163/22 in 57/25 – ZF</w:t>
            </w:r>
            <w:r w:rsidRPr="00E9128C">
              <w:rPr>
                <w:rFonts w:eastAsia="Arial" w:cs="Arial"/>
                <w:szCs w:val="20"/>
              </w:rPr>
              <w:t xml:space="preserve">) je Vlada Republike Slovenije na ... seji  dne ... sprejela naslednji </w:t>
            </w:r>
          </w:p>
          <w:p w14:paraId="6CAC0461" w14:textId="77777777" w:rsidR="00DE5714" w:rsidRPr="00E9128C" w:rsidRDefault="00DE5714" w:rsidP="008670B8">
            <w:pPr>
              <w:pBdr>
                <w:top w:val="nil"/>
                <w:left w:val="nil"/>
                <w:bottom w:val="nil"/>
                <w:right w:val="nil"/>
                <w:between w:val="nil"/>
              </w:pBdr>
              <w:spacing w:after="0" w:line="240" w:lineRule="auto"/>
              <w:ind w:hanging="2"/>
              <w:jc w:val="both"/>
              <w:rPr>
                <w:rFonts w:eastAsia="Arial" w:cs="Arial"/>
                <w:szCs w:val="20"/>
              </w:rPr>
            </w:pPr>
          </w:p>
          <w:p w14:paraId="5FB5C98C" w14:textId="2FA51F3C" w:rsidR="00685162" w:rsidRPr="00E9128C" w:rsidRDefault="00EB04B3" w:rsidP="00977BE6">
            <w:pPr>
              <w:pBdr>
                <w:top w:val="nil"/>
                <w:left w:val="nil"/>
                <w:bottom w:val="nil"/>
                <w:right w:val="nil"/>
                <w:between w:val="nil"/>
              </w:pBdr>
              <w:spacing w:after="0" w:line="240" w:lineRule="auto"/>
              <w:ind w:hanging="2"/>
              <w:jc w:val="center"/>
              <w:rPr>
                <w:rFonts w:eastAsia="Arial" w:cs="Arial"/>
                <w:szCs w:val="20"/>
              </w:rPr>
            </w:pPr>
            <w:r w:rsidRPr="00E9128C">
              <w:rPr>
                <w:rFonts w:eastAsia="Arial" w:cs="Arial"/>
                <w:szCs w:val="20"/>
              </w:rPr>
              <w:t>SKLEP:</w:t>
            </w:r>
          </w:p>
          <w:p w14:paraId="636F7D37" w14:textId="77777777" w:rsidR="0036009B" w:rsidRPr="00E9128C" w:rsidRDefault="0036009B" w:rsidP="0036009B">
            <w:pPr>
              <w:pBdr>
                <w:top w:val="nil"/>
                <w:left w:val="nil"/>
                <w:bottom w:val="nil"/>
                <w:right w:val="nil"/>
                <w:between w:val="nil"/>
              </w:pBdr>
              <w:spacing w:after="0"/>
              <w:ind w:hanging="2"/>
              <w:jc w:val="both"/>
              <w:rPr>
                <w:rFonts w:eastAsia="Arial" w:cs="Arial"/>
                <w:szCs w:val="20"/>
              </w:rPr>
            </w:pPr>
          </w:p>
          <w:p w14:paraId="60E48563" w14:textId="5920A2A0" w:rsidR="0036009B" w:rsidRPr="00E9128C" w:rsidRDefault="0036009B" w:rsidP="0036009B">
            <w:pPr>
              <w:pBdr>
                <w:top w:val="nil"/>
                <w:left w:val="nil"/>
                <w:bottom w:val="nil"/>
                <w:right w:val="nil"/>
                <w:between w:val="nil"/>
              </w:pBdr>
              <w:spacing w:after="0"/>
              <w:ind w:hanging="2"/>
              <w:jc w:val="both"/>
              <w:rPr>
                <w:rFonts w:eastAsia="Arial" w:cs="Arial"/>
                <w:szCs w:val="20"/>
              </w:rPr>
            </w:pPr>
            <w:r w:rsidRPr="00E9128C">
              <w:rPr>
                <w:rFonts w:eastAsia="Arial" w:cs="Arial"/>
                <w:szCs w:val="20"/>
              </w:rPr>
              <w:t xml:space="preserve">Vlada Republike Slovenije je določila besedilo Predloga </w:t>
            </w:r>
            <w:r w:rsidRPr="00E9128C">
              <w:rPr>
                <w:rFonts w:cs="Arial"/>
                <w:szCs w:val="20"/>
                <w:lang w:eastAsia="sl-SI"/>
              </w:rPr>
              <w:t xml:space="preserve">Zakona </w:t>
            </w:r>
            <w:r w:rsidRPr="00E9128C">
              <w:rPr>
                <w:rFonts w:eastAsia="Times New Roman" w:cs="Arial"/>
                <w:szCs w:val="20"/>
                <w:lang w:eastAsia="sl-SI"/>
              </w:rPr>
              <w:t xml:space="preserve">o izplačilu zimskega </w:t>
            </w:r>
            <w:r w:rsidR="00246600" w:rsidRPr="00E9128C">
              <w:t>regresa</w:t>
            </w:r>
            <w:r w:rsidR="00246600" w:rsidRPr="00E9128C" w:rsidDel="00246600">
              <w:rPr>
                <w:rFonts w:eastAsia="Times New Roman" w:cs="Arial"/>
                <w:szCs w:val="20"/>
                <w:lang w:eastAsia="sl-SI"/>
              </w:rPr>
              <w:t xml:space="preserve"> </w:t>
            </w:r>
            <w:r w:rsidR="0029566A" w:rsidRPr="00E9128C">
              <w:rPr>
                <w:rFonts w:eastAsia="Times New Roman" w:cs="Arial"/>
                <w:szCs w:val="20"/>
                <w:lang w:eastAsia="sl-SI"/>
              </w:rPr>
              <w:t>ter prenovi ugotavljanja davčne osnove z upoštevanjem normiranih odhodkov</w:t>
            </w:r>
            <w:r w:rsidR="0029566A" w:rsidRPr="00E9128C" w:rsidDel="00246600">
              <w:rPr>
                <w:rFonts w:eastAsia="Times New Roman" w:cs="Arial"/>
                <w:szCs w:val="20"/>
                <w:lang w:eastAsia="sl-SI"/>
              </w:rPr>
              <w:t xml:space="preserve"> </w:t>
            </w:r>
            <w:r w:rsidRPr="00E9128C">
              <w:rPr>
                <w:rFonts w:cs="Arial"/>
                <w:szCs w:val="20"/>
                <w:lang w:eastAsia="sl-SI"/>
              </w:rPr>
              <w:t xml:space="preserve">(EVA </w:t>
            </w:r>
            <w:r w:rsidRPr="00E9128C">
              <w:rPr>
                <w:rFonts w:eastAsiaTheme="minorHAnsi" w:cs="Arial"/>
                <w:szCs w:val="20"/>
              </w:rPr>
              <w:t>2025-</w:t>
            </w:r>
            <w:r w:rsidR="00103084">
              <w:rPr>
                <w:rFonts w:eastAsiaTheme="minorHAnsi" w:cs="Arial"/>
                <w:szCs w:val="20"/>
              </w:rPr>
              <w:t>1</w:t>
            </w:r>
            <w:r w:rsidRPr="00E9128C">
              <w:rPr>
                <w:rFonts w:eastAsiaTheme="minorHAnsi" w:cs="Arial"/>
                <w:szCs w:val="20"/>
              </w:rPr>
              <w:t>611-00</w:t>
            </w:r>
            <w:r w:rsidR="00103084">
              <w:rPr>
                <w:rFonts w:eastAsiaTheme="minorHAnsi" w:cs="Arial"/>
                <w:szCs w:val="20"/>
              </w:rPr>
              <w:t>83</w:t>
            </w:r>
            <w:r w:rsidRPr="00E9128C">
              <w:rPr>
                <w:rFonts w:eastAsia="Arial" w:cs="Arial"/>
                <w:szCs w:val="20"/>
              </w:rPr>
              <w:t>) in ga pošlje v obravnavo Državnemu zboru po nujnem postopku.</w:t>
            </w:r>
          </w:p>
          <w:p w14:paraId="5C01F412" w14:textId="77777777" w:rsidR="00685162" w:rsidRPr="00E9128C" w:rsidRDefault="00685162" w:rsidP="00685162">
            <w:pPr>
              <w:pBdr>
                <w:top w:val="nil"/>
                <w:left w:val="nil"/>
                <w:bottom w:val="nil"/>
                <w:right w:val="nil"/>
                <w:between w:val="nil"/>
              </w:pBdr>
              <w:spacing w:after="0"/>
              <w:ind w:hanging="2"/>
              <w:jc w:val="both"/>
              <w:rPr>
                <w:rFonts w:eastAsia="Arial" w:cs="Arial"/>
                <w:szCs w:val="20"/>
              </w:rPr>
            </w:pPr>
          </w:p>
          <w:p w14:paraId="337F8A62" w14:textId="77777777" w:rsidR="004D0D12" w:rsidRPr="00E9128C" w:rsidRDefault="004D0D12" w:rsidP="004D0D12">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EEC9CFB" w14:textId="77777777" w:rsidR="004D0D12" w:rsidRPr="00E9128C" w:rsidRDefault="004D0D12" w:rsidP="004D0D12">
            <w:pPr>
              <w:spacing w:after="0" w:line="240" w:lineRule="auto"/>
              <w:ind w:left="4177"/>
              <w:textAlignment w:val="baseline"/>
              <w:outlineLvl w:val="2"/>
              <w:rPr>
                <w:rFonts w:eastAsia="Times New Roman" w:cs="Arial"/>
                <w:iCs/>
                <w:szCs w:val="20"/>
                <w:lang w:eastAsia="sl-SI"/>
              </w:rPr>
            </w:pPr>
            <w:r w:rsidRPr="00E9128C">
              <w:rPr>
                <w:rFonts w:eastAsia="Times New Roman" w:cs="Arial"/>
                <w:iCs/>
                <w:szCs w:val="20"/>
                <w:lang w:eastAsia="sl-SI"/>
              </w:rPr>
              <w:t>Barbara Kolenko Helbl</w:t>
            </w:r>
          </w:p>
          <w:p w14:paraId="164F18AF" w14:textId="77777777" w:rsidR="004D0D12" w:rsidRPr="00E9128C" w:rsidRDefault="004D0D12" w:rsidP="004D0D12">
            <w:pPr>
              <w:spacing w:after="0" w:line="240" w:lineRule="auto"/>
              <w:ind w:left="4177"/>
              <w:textAlignment w:val="baseline"/>
              <w:rPr>
                <w:rFonts w:eastAsia="Times New Roman" w:cs="Arial"/>
                <w:iCs/>
                <w:szCs w:val="20"/>
                <w:lang w:eastAsia="sl-SI"/>
              </w:rPr>
            </w:pPr>
            <w:r w:rsidRPr="00E9128C">
              <w:rPr>
                <w:rFonts w:eastAsia="Times New Roman" w:cs="Arial"/>
                <w:iCs/>
                <w:szCs w:val="20"/>
                <w:lang w:eastAsia="sl-SI"/>
              </w:rPr>
              <w:t xml:space="preserve">generalna sekretarka </w:t>
            </w:r>
          </w:p>
          <w:p w14:paraId="1992E59D" w14:textId="77777777" w:rsidR="004D0D12" w:rsidRPr="00E9128C" w:rsidRDefault="004D0D12" w:rsidP="00685162">
            <w:pPr>
              <w:pBdr>
                <w:top w:val="nil"/>
                <w:left w:val="nil"/>
                <w:bottom w:val="nil"/>
                <w:right w:val="nil"/>
                <w:between w:val="nil"/>
              </w:pBdr>
              <w:spacing w:after="0"/>
              <w:ind w:hanging="2"/>
              <w:jc w:val="both"/>
              <w:rPr>
                <w:rFonts w:eastAsia="Arial" w:cs="Arial"/>
                <w:szCs w:val="20"/>
              </w:rPr>
            </w:pPr>
          </w:p>
          <w:p w14:paraId="5E80D531" w14:textId="77777777" w:rsidR="004D0D12" w:rsidRPr="00E9128C" w:rsidRDefault="004D0D12" w:rsidP="004D0D12">
            <w:pPr>
              <w:pBdr>
                <w:top w:val="nil"/>
                <w:left w:val="nil"/>
                <w:bottom w:val="nil"/>
                <w:right w:val="nil"/>
                <w:between w:val="nil"/>
              </w:pBdr>
              <w:spacing w:after="0"/>
              <w:ind w:hanging="2"/>
              <w:jc w:val="both"/>
              <w:rPr>
                <w:rFonts w:eastAsia="Arial" w:cs="Arial"/>
                <w:szCs w:val="20"/>
              </w:rPr>
            </w:pPr>
          </w:p>
          <w:p w14:paraId="0F7F9963" w14:textId="77777777" w:rsidR="004D0D12" w:rsidRPr="00E9128C" w:rsidRDefault="004D0D12" w:rsidP="004D0D12">
            <w:pPr>
              <w:pBdr>
                <w:top w:val="nil"/>
                <w:left w:val="nil"/>
                <w:bottom w:val="nil"/>
                <w:right w:val="nil"/>
                <w:between w:val="nil"/>
              </w:pBdr>
              <w:spacing w:after="0"/>
              <w:ind w:hanging="2"/>
              <w:jc w:val="both"/>
              <w:rPr>
                <w:rFonts w:eastAsia="Arial" w:cs="Arial"/>
                <w:szCs w:val="20"/>
              </w:rPr>
            </w:pPr>
            <w:r w:rsidRPr="00E9128C">
              <w:rPr>
                <w:rFonts w:eastAsia="Arial" w:cs="Arial"/>
                <w:szCs w:val="20"/>
              </w:rPr>
              <w:t>Priloga:</w:t>
            </w:r>
          </w:p>
          <w:p w14:paraId="0EC13253" w14:textId="1EAAAFAD" w:rsidR="00AE18E8" w:rsidRPr="00E9128C" w:rsidRDefault="004D0D12" w:rsidP="00BB37FE">
            <w:pPr>
              <w:numPr>
                <w:ilvl w:val="0"/>
                <w:numId w:val="8"/>
              </w:numPr>
              <w:pBdr>
                <w:top w:val="nil"/>
                <w:left w:val="nil"/>
                <w:bottom w:val="nil"/>
                <w:right w:val="nil"/>
                <w:between w:val="nil"/>
              </w:pBdr>
              <w:spacing w:after="0"/>
              <w:jc w:val="both"/>
              <w:rPr>
                <w:rFonts w:eastAsia="Arial" w:cs="Arial"/>
                <w:szCs w:val="20"/>
              </w:rPr>
            </w:pPr>
            <w:r w:rsidRPr="00E9128C">
              <w:rPr>
                <w:rFonts w:eastAsia="Arial" w:cs="Arial"/>
                <w:szCs w:val="20"/>
              </w:rPr>
              <w:t xml:space="preserve">Predlog </w:t>
            </w:r>
            <w:r w:rsidR="00664213" w:rsidRPr="00E9128C">
              <w:rPr>
                <w:rFonts w:eastAsia="Arial" w:cs="Arial"/>
                <w:szCs w:val="20"/>
              </w:rPr>
              <w:t xml:space="preserve">Zakona </w:t>
            </w:r>
            <w:r w:rsidR="0080114A" w:rsidRPr="00E9128C">
              <w:rPr>
                <w:rFonts w:eastAsia="Arial" w:cs="Arial"/>
                <w:szCs w:val="20"/>
              </w:rPr>
              <w:t xml:space="preserve">o izplačilu zimskega </w:t>
            </w:r>
            <w:r w:rsidR="00151F71" w:rsidRPr="00E9128C">
              <w:rPr>
                <w:rFonts w:eastAsia="Arial" w:cs="Arial"/>
                <w:szCs w:val="20"/>
              </w:rPr>
              <w:t>regresa</w:t>
            </w:r>
            <w:r w:rsidR="0029566A" w:rsidRPr="00E9128C">
              <w:t xml:space="preserve"> </w:t>
            </w:r>
            <w:r w:rsidR="0029566A" w:rsidRPr="00E9128C">
              <w:rPr>
                <w:rFonts w:eastAsia="Arial" w:cs="Arial"/>
                <w:szCs w:val="20"/>
              </w:rPr>
              <w:t>ter prenovi ugotavljanja davčne osnove z upoštevanjem normiranih odhodkov</w:t>
            </w:r>
            <w:r w:rsidR="00EA1E8A" w:rsidRPr="00E9128C">
              <w:rPr>
                <w:rFonts w:cs="Arial"/>
              </w:rPr>
              <w:t>.</w:t>
            </w:r>
          </w:p>
          <w:p w14:paraId="115EFDCD" w14:textId="062A7577" w:rsidR="004D0D12" w:rsidRPr="00E9128C" w:rsidRDefault="004D0D12" w:rsidP="00237CA8">
            <w:pPr>
              <w:pBdr>
                <w:top w:val="nil"/>
                <w:left w:val="nil"/>
                <w:bottom w:val="nil"/>
                <w:right w:val="nil"/>
                <w:between w:val="nil"/>
              </w:pBdr>
              <w:spacing w:after="0"/>
              <w:ind w:left="360"/>
              <w:jc w:val="both"/>
              <w:rPr>
                <w:rFonts w:eastAsia="Arial" w:cs="Arial"/>
                <w:szCs w:val="20"/>
              </w:rPr>
            </w:pPr>
            <w:r w:rsidRPr="00E9128C">
              <w:rPr>
                <w:rFonts w:eastAsia="Arial" w:cs="Arial"/>
                <w:szCs w:val="20"/>
              </w:rPr>
              <w:t xml:space="preserve"> </w:t>
            </w:r>
          </w:p>
          <w:p w14:paraId="043B6B0E" w14:textId="77777777" w:rsidR="004D0D12" w:rsidRPr="00E9128C" w:rsidRDefault="004D0D12" w:rsidP="004D0D12">
            <w:pPr>
              <w:pBdr>
                <w:top w:val="nil"/>
                <w:left w:val="nil"/>
                <w:bottom w:val="nil"/>
                <w:right w:val="nil"/>
                <w:between w:val="nil"/>
              </w:pBdr>
              <w:spacing w:after="0"/>
              <w:ind w:hanging="2"/>
              <w:jc w:val="both"/>
              <w:rPr>
                <w:rFonts w:eastAsia="Arial" w:cs="Arial"/>
                <w:szCs w:val="20"/>
              </w:rPr>
            </w:pPr>
            <w:r w:rsidRPr="00E9128C">
              <w:rPr>
                <w:rFonts w:eastAsia="Arial" w:cs="Arial"/>
                <w:szCs w:val="20"/>
              </w:rPr>
              <w:t>Sklep prejmejo:</w:t>
            </w:r>
          </w:p>
          <w:p w14:paraId="6B95EFF2" w14:textId="77777777" w:rsidR="00E742E6" w:rsidRPr="00E9128C" w:rsidRDefault="00E742E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Državni zbor Republike Slovenije,</w:t>
            </w:r>
          </w:p>
          <w:p w14:paraId="7222F672" w14:textId="10677226" w:rsidR="00E742E6" w:rsidRPr="00E9128C" w:rsidRDefault="00E742E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delo, družino, socialne zadeve in enake možnosti</w:t>
            </w:r>
            <w:r w:rsidR="001B3B5C" w:rsidRPr="00E9128C">
              <w:rPr>
                <w:rFonts w:eastAsia="Arial" w:cs="Arial"/>
                <w:szCs w:val="20"/>
              </w:rPr>
              <w:t>,</w:t>
            </w:r>
          </w:p>
          <w:p w14:paraId="4BC6C0AF" w14:textId="01A841A5" w:rsidR="00651036" w:rsidRPr="00E9128C" w:rsidRDefault="0065103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javno upravo,</w:t>
            </w:r>
          </w:p>
          <w:p w14:paraId="22DAD643" w14:textId="503A304F" w:rsidR="00651036" w:rsidRPr="00E9128C" w:rsidRDefault="0065103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gospodarstvo, turizem in šport,</w:t>
            </w:r>
          </w:p>
          <w:p w14:paraId="405A9644" w14:textId="1683F9B6" w:rsidR="00651036" w:rsidRPr="00E9128C" w:rsidRDefault="0065103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finance,</w:t>
            </w:r>
          </w:p>
          <w:p w14:paraId="3BDE85F7" w14:textId="1F6F7130" w:rsidR="00AE1F83" w:rsidRPr="00E9128C" w:rsidRDefault="00E742E6" w:rsidP="00BB37FE">
            <w:pPr>
              <w:numPr>
                <w:ilvl w:val="0"/>
                <w:numId w:val="14"/>
              </w:numPr>
              <w:pBdr>
                <w:top w:val="nil"/>
                <w:left w:val="nil"/>
                <w:bottom w:val="nil"/>
                <w:right w:val="nil"/>
                <w:between w:val="nil"/>
              </w:pBdr>
              <w:spacing w:after="0"/>
              <w:jc w:val="both"/>
              <w:rPr>
                <w:rFonts w:eastAsia="Times New Roman" w:cs="Arial"/>
                <w:iCs/>
                <w:szCs w:val="20"/>
                <w:lang w:eastAsia="sl-SI"/>
              </w:rPr>
            </w:pPr>
            <w:r w:rsidRPr="00E9128C">
              <w:rPr>
                <w:rFonts w:eastAsia="Arial" w:cs="Arial"/>
                <w:szCs w:val="20"/>
              </w:rPr>
              <w:t>Služba Vlade Republike Slovenije za zakonodajo.</w:t>
            </w:r>
          </w:p>
          <w:p w14:paraId="34FB536F" w14:textId="4AC9D433" w:rsidR="00E742E6" w:rsidRPr="00E9128C" w:rsidRDefault="00E742E6" w:rsidP="00E742E6">
            <w:pPr>
              <w:pBdr>
                <w:top w:val="nil"/>
                <w:left w:val="nil"/>
                <w:bottom w:val="nil"/>
                <w:right w:val="nil"/>
                <w:between w:val="nil"/>
              </w:pBdr>
              <w:spacing w:after="0"/>
              <w:ind w:left="360"/>
              <w:jc w:val="both"/>
              <w:rPr>
                <w:rFonts w:eastAsia="Times New Roman" w:cs="Arial"/>
                <w:iCs/>
                <w:szCs w:val="20"/>
                <w:lang w:eastAsia="sl-SI"/>
              </w:rPr>
            </w:pPr>
          </w:p>
        </w:tc>
      </w:tr>
      <w:tr w:rsidR="00E9128C" w:rsidRPr="00E9128C" w14:paraId="423CF0AA" w14:textId="77777777" w:rsidTr="4C5FDD34">
        <w:tc>
          <w:tcPr>
            <w:tcW w:w="9163" w:type="dxa"/>
            <w:gridSpan w:val="4"/>
          </w:tcPr>
          <w:p w14:paraId="6805D157" w14:textId="77777777" w:rsidR="00AE1F83" w:rsidRPr="00E9128C"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E9128C">
              <w:rPr>
                <w:rFonts w:eastAsia="Times New Roman" w:cs="Arial"/>
                <w:b/>
                <w:szCs w:val="20"/>
                <w:lang w:eastAsia="sl-SI"/>
              </w:rPr>
              <w:t>2. Predlog za obravnavo predloga zakona po nujnem ali skrajšanem postopku v državnem zboru z obrazložitvijo razlogov:</w:t>
            </w:r>
          </w:p>
        </w:tc>
      </w:tr>
      <w:tr w:rsidR="00E9128C" w:rsidRPr="00E9128C" w14:paraId="36CC3D5E" w14:textId="77777777" w:rsidTr="4C5FDD34">
        <w:tc>
          <w:tcPr>
            <w:tcW w:w="9163" w:type="dxa"/>
            <w:gridSpan w:val="4"/>
          </w:tcPr>
          <w:p w14:paraId="38B239B1" w14:textId="6BE05718" w:rsidR="005B7174" w:rsidRPr="00E9128C" w:rsidRDefault="005B7174" w:rsidP="005B7174">
            <w:p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 xml:space="preserve">Vlada Republike Slovenije predlaga, da se </w:t>
            </w:r>
            <w:bookmarkStart w:id="1" w:name="_Hlk210652217"/>
            <w:r w:rsidRPr="00E9128C">
              <w:rPr>
                <w:rFonts w:eastAsia="Times New Roman" w:cs="Arial"/>
                <w:iCs/>
                <w:szCs w:val="20"/>
                <w:lang w:eastAsia="sl-SI"/>
              </w:rPr>
              <w:t xml:space="preserve">Predlog Zakona o izplačilu zimskega </w:t>
            </w:r>
            <w:bookmarkEnd w:id="1"/>
            <w:r w:rsidR="00AB32FD" w:rsidRPr="00E9128C">
              <w:rPr>
                <w:rFonts w:eastAsia="Times New Roman" w:cs="Arial"/>
                <w:iCs/>
                <w:szCs w:val="20"/>
                <w:lang w:eastAsia="sl-SI"/>
              </w:rPr>
              <w:t xml:space="preserve">regresa </w:t>
            </w:r>
            <w:r w:rsidR="0029566A" w:rsidRPr="00E9128C">
              <w:rPr>
                <w:rFonts w:eastAsia="Times New Roman" w:cs="Arial"/>
                <w:iCs/>
                <w:szCs w:val="20"/>
                <w:lang w:eastAsia="sl-SI"/>
              </w:rPr>
              <w:t xml:space="preserve">ter prenovi ugotavljanja davčne osnove z upoštevanjem normiranih odhodkov </w:t>
            </w:r>
            <w:r w:rsidRPr="00E9128C">
              <w:rPr>
                <w:rFonts w:eastAsia="Times New Roman" w:cs="Arial"/>
                <w:iCs/>
                <w:szCs w:val="20"/>
                <w:lang w:eastAsia="sl-SI"/>
              </w:rPr>
              <w:t xml:space="preserve">v Državnem zboru Republike Slovenije na podlagi prvega odstavka 143. člena Poslovnika državnega zbora (Uradni list RS, št. 92/07 – uradno prečiščeno besedilo, 105/10, 80/13, 38/17, 46/20, 105/21 – odl. US, 111/21, 58/23 in 35/24) obravnava po nujnem postopku, ker se le na ta način lahko zagotovi, da bo </w:t>
            </w:r>
            <w:r w:rsidR="00151F71" w:rsidRPr="00E9128C">
              <w:rPr>
                <w:rFonts w:eastAsia="Times New Roman" w:cs="Arial"/>
                <w:iCs/>
                <w:szCs w:val="20"/>
                <w:lang w:eastAsia="sl-SI"/>
              </w:rPr>
              <w:t>zimski</w:t>
            </w:r>
            <w:r w:rsidR="000A6845">
              <w:rPr>
                <w:rFonts w:eastAsia="Times New Roman" w:cs="Arial"/>
                <w:iCs/>
                <w:szCs w:val="20"/>
                <w:lang w:eastAsia="sl-SI"/>
              </w:rPr>
              <w:t xml:space="preserve"> </w:t>
            </w:r>
            <w:r w:rsidR="00151F71" w:rsidRPr="00E9128C">
              <w:rPr>
                <w:rFonts w:eastAsia="Times New Roman" w:cs="Arial"/>
                <w:iCs/>
                <w:szCs w:val="20"/>
                <w:lang w:eastAsia="sl-SI"/>
              </w:rPr>
              <w:t xml:space="preserve">regres </w:t>
            </w:r>
            <w:r w:rsidRPr="00E9128C">
              <w:rPr>
                <w:rFonts w:eastAsia="Times New Roman" w:cs="Arial"/>
                <w:iCs/>
                <w:szCs w:val="20"/>
                <w:lang w:eastAsia="sl-SI"/>
              </w:rPr>
              <w:t>delavcem izplačan še v tekočem koledarskem letu.</w:t>
            </w:r>
            <w:r w:rsidR="00A409B4" w:rsidRPr="00E9128C">
              <w:t xml:space="preserve"> </w:t>
            </w:r>
            <w:r w:rsidR="00A409B4" w:rsidRPr="00E9128C">
              <w:rPr>
                <w:rFonts w:eastAsia="Times New Roman" w:cs="Arial"/>
                <w:iCs/>
                <w:szCs w:val="20"/>
                <w:lang w:eastAsia="sl-SI"/>
              </w:rPr>
              <w:t>Prav tako se v tekočem koledarskem letu zagotavlja izplačilo zimskega dodatka upokojencem in uživalcem nadomestil iz invalidskega zavarovanja. Prav tako je treba zagotoviti, da se prenova ter prenova sistema ugotavljanja davčne osnove z upoštevanjem normiranih odhodkov uveljavi pred začetkom davčnega leta 2026.</w:t>
            </w:r>
          </w:p>
          <w:p w14:paraId="36E97F7A" w14:textId="4DB876CB" w:rsidR="00636CE6" w:rsidRPr="00E9128C" w:rsidRDefault="00636CE6" w:rsidP="00615B8B">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E9128C" w:rsidRPr="00E9128C" w14:paraId="45421A70" w14:textId="77777777" w:rsidTr="4C5FDD34">
        <w:tc>
          <w:tcPr>
            <w:tcW w:w="9163" w:type="dxa"/>
            <w:gridSpan w:val="4"/>
          </w:tcPr>
          <w:p w14:paraId="545B1504" w14:textId="77777777" w:rsidR="00AE1F83" w:rsidRPr="00E9128C"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E9128C">
              <w:rPr>
                <w:rFonts w:eastAsia="Times New Roman" w:cs="Arial"/>
                <w:b/>
                <w:szCs w:val="20"/>
                <w:lang w:eastAsia="sl-SI"/>
              </w:rPr>
              <w:t>3.a Osebe, odgovorne za strokovno pripravo in usklajenost gradiva:</w:t>
            </w:r>
          </w:p>
        </w:tc>
      </w:tr>
      <w:tr w:rsidR="00E9128C" w:rsidRPr="00E9128C" w14:paraId="6D34C5CB" w14:textId="77777777" w:rsidTr="4C5FDD34">
        <w:tc>
          <w:tcPr>
            <w:tcW w:w="9163" w:type="dxa"/>
            <w:gridSpan w:val="4"/>
          </w:tcPr>
          <w:p w14:paraId="0647D148" w14:textId="178F2CC8" w:rsidR="00480E62" w:rsidRPr="00E9128C" w:rsidRDefault="00480E62" w:rsidP="00236DF6">
            <w:pPr>
              <w:numPr>
                <w:ilvl w:val="0"/>
                <w:numId w:val="14"/>
              </w:numPr>
              <w:spacing w:after="0"/>
              <w:jc w:val="both"/>
              <w:rPr>
                <w:rFonts w:eastAsia="Arial" w:cs="Arial"/>
                <w:szCs w:val="20"/>
              </w:rPr>
            </w:pPr>
            <w:r w:rsidRPr="00E9128C">
              <w:rPr>
                <w:rFonts w:eastAsia="Arial" w:cs="Arial"/>
                <w:szCs w:val="20"/>
              </w:rPr>
              <w:lastRenderedPageBreak/>
              <w:t>mag. Tina Humar, generalna direktorica Direktorata za sistem davčnih, carinskih in drugih javnih prihodkov, Ministrstvo za finance,</w:t>
            </w:r>
          </w:p>
          <w:p w14:paraId="7C0F61C8" w14:textId="6AB5C55A" w:rsidR="00480E62" w:rsidRDefault="00480E62" w:rsidP="00236DF6">
            <w:pPr>
              <w:numPr>
                <w:ilvl w:val="0"/>
                <w:numId w:val="14"/>
              </w:numPr>
              <w:spacing w:after="0"/>
              <w:jc w:val="both"/>
              <w:rPr>
                <w:rFonts w:eastAsia="Arial" w:cs="Arial"/>
                <w:szCs w:val="20"/>
              </w:rPr>
            </w:pPr>
            <w:r w:rsidRPr="00E9128C">
              <w:rPr>
                <w:rFonts w:eastAsia="Arial" w:cs="Arial"/>
                <w:szCs w:val="20"/>
              </w:rPr>
              <w:t>mag. Petra Istenič, vodja Sektorja za sistem obdavčitve dohodkov in premoženja, Ministrstvo za finance</w:t>
            </w:r>
          </w:p>
          <w:p w14:paraId="10E7C94B" w14:textId="5A60FF96" w:rsidR="00C65090" w:rsidRPr="00236DF6" w:rsidRDefault="00C65090" w:rsidP="00236DF6">
            <w:pPr>
              <w:numPr>
                <w:ilvl w:val="0"/>
                <w:numId w:val="14"/>
              </w:numPr>
              <w:spacing w:after="0"/>
              <w:jc w:val="both"/>
              <w:rPr>
                <w:rFonts w:eastAsia="Arial" w:cs="Arial"/>
                <w:szCs w:val="20"/>
              </w:rPr>
            </w:pPr>
            <w:r w:rsidRPr="00236DF6">
              <w:rPr>
                <w:rFonts w:eastAsia="Arial" w:cs="Arial"/>
                <w:szCs w:val="20"/>
              </w:rPr>
              <w:t>Lidija Šubelj, generalna direktorica Direktorata za delovna razmerja in pravice iz dela, Ministrstvo za delo, družino, socialne zadeve in enake možnosti,</w:t>
            </w:r>
          </w:p>
          <w:p w14:paraId="5DF91F13" w14:textId="5639FAED" w:rsidR="00C65090" w:rsidRPr="00236DF6" w:rsidRDefault="00C65090" w:rsidP="00236DF6">
            <w:pPr>
              <w:numPr>
                <w:ilvl w:val="0"/>
                <w:numId w:val="14"/>
              </w:numPr>
              <w:spacing w:after="0"/>
              <w:jc w:val="both"/>
              <w:rPr>
                <w:rFonts w:eastAsia="Arial" w:cs="Arial"/>
                <w:szCs w:val="20"/>
              </w:rPr>
            </w:pPr>
            <w:r w:rsidRPr="00236DF6">
              <w:rPr>
                <w:rFonts w:eastAsia="Arial" w:cs="Arial"/>
                <w:szCs w:val="20"/>
              </w:rPr>
              <w:t>Tanja Podlipnik, vodja Sektorja za delovna razmerja in druge oblike dela, Ministrstvo za delo, družino, socialne zadeve in enake možnosti,</w:t>
            </w:r>
          </w:p>
          <w:p w14:paraId="13FD0851" w14:textId="2C2C06EB" w:rsidR="00615B8B" w:rsidRPr="00236DF6" w:rsidRDefault="0015509A" w:rsidP="00236DF6">
            <w:pPr>
              <w:numPr>
                <w:ilvl w:val="0"/>
                <w:numId w:val="14"/>
              </w:numPr>
              <w:spacing w:after="0"/>
              <w:jc w:val="both"/>
              <w:rPr>
                <w:rFonts w:eastAsia="Arial" w:cs="Arial"/>
                <w:szCs w:val="20"/>
              </w:rPr>
            </w:pPr>
            <w:r w:rsidRPr="00236DF6">
              <w:rPr>
                <w:rFonts w:eastAsia="Arial" w:cs="Arial"/>
                <w:szCs w:val="20"/>
              </w:rPr>
              <w:t>Nina Piškur, vodja Sektorja za pokojnine in pravice iz dela, Ministrstvo za delo, družino, socialne zadeve in enake možnosti</w:t>
            </w:r>
            <w:r w:rsidR="00236DF6">
              <w:rPr>
                <w:rFonts w:eastAsia="Arial" w:cs="Arial"/>
                <w:szCs w:val="20"/>
              </w:rPr>
              <w:t>.</w:t>
            </w:r>
          </w:p>
        </w:tc>
      </w:tr>
      <w:tr w:rsidR="00E9128C" w:rsidRPr="00E9128C" w14:paraId="17D60957" w14:textId="77777777" w:rsidTr="4C5FDD34">
        <w:tc>
          <w:tcPr>
            <w:tcW w:w="9163" w:type="dxa"/>
            <w:gridSpan w:val="4"/>
          </w:tcPr>
          <w:p w14:paraId="1C94E9B2" w14:textId="77777777" w:rsidR="00AE1F83" w:rsidRPr="00E9128C"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E9128C">
              <w:rPr>
                <w:rFonts w:eastAsia="Times New Roman" w:cs="Arial"/>
                <w:b/>
                <w:iCs/>
                <w:szCs w:val="20"/>
                <w:lang w:eastAsia="sl-SI"/>
              </w:rPr>
              <w:t xml:space="preserve">3.b Zunanji strokovnjaki, ki so </w:t>
            </w:r>
            <w:r w:rsidRPr="00E9128C">
              <w:rPr>
                <w:rFonts w:eastAsia="Times New Roman" w:cs="Arial"/>
                <w:b/>
                <w:szCs w:val="20"/>
                <w:lang w:eastAsia="sl-SI"/>
              </w:rPr>
              <w:t>sodelovali pri pripravi dela ali celotnega gradiva:</w:t>
            </w:r>
          </w:p>
        </w:tc>
      </w:tr>
      <w:tr w:rsidR="00E9128C" w:rsidRPr="00E9128C" w14:paraId="26BD00A9" w14:textId="77777777" w:rsidTr="4C5FDD34">
        <w:tc>
          <w:tcPr>
            <w:tcW w:w="9163" w:type="dxa"/>
            <w:gridSpan w:val="4"/>
          </w:tcPr>
          <w:p w14:paraId="37ED5404" w14:textId="6D742F85" w:rsidR="00C6377C" w:rsidRPr="00E9128C" w:rsidRDefault="00C65090" w:rsidP="00C6377C">
            <w:p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cs="Arial"/>
                <w:szCs w:val="20"/>
              </w:rPr>
              <w:t>Pri pripravi predloga zakona zunanji strokovnjaki niso sodelovali.</w:t>
            </w:r>
          </w:p>
        </w:tc>
      </w:tr>
      <w:tr w:rsidR="00E9128C" w:rsidRPr="00E9128C" w14:paraId="131BCA19" w14:textId="77777777" w:rsidTr="4C5FDD34">
        <w:tc>
          <w:tcPr>
            <w:tcW w:w="9163" w:type="dxa"/>
            <w:gridSpan w:val="4"/>
          </w:tcPr>
          <w:p w14:paraId="3BCF19C1"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E9128C">
              <w:rPr>
                <w:rFonts w:eastAsia="Times New Roman" w:cs="Arial"/>
                <w:b/>
                <w:szCs w:val="20"/>
                <w:lang w:eastAsia="sl-SI"/>
              </w:rPr>
              <w:t>4. Predstavniki vlade, ki bodo sodelovali pri delu državnega zbora:</w:t>
            </w:r>
          </w:p>
        </w:tc>
      </w:tr>
      <w:tr w:rsidR="00E9128C" w:rsidRPr="00E9128C" w14:paraId="1B82890E" w14:textId="77777777" w:rsidTr="4C5FDD34">
        <w:tc>
          <w:tcPr>
            <w:tcW w:w="9163" w:type="dxa"/>
            <w:gridSpan w:val="4"/>
          </w:tcPr>
          <w:p w14:paraId="6C03A334" w14:textId="7C811332" w:rsidR="00480E62" w:rsidRPr="00236DF6" w:rsidRDefault="00480E62" w:rsidP="00236DF6">
            <w:pPr>
              <w:numPr>
                <w:ilvl w:val="0"/>
                <w:numId w:val="14"/>
              </w:numPr>
              <w:spacing w:after="0"/>
              <w:jc w:val="both"/>
              <w:rPr>
                <w:rFonts w:eastAsia="Arial" w:cs="Arial"/>
                <w:szCs w:val="20"/>
              </w:rPr>
            </w:pPr>
            <w:bookmarkStart w:id="2" w:name="_Hlk210652543"/>
            <w:r w:rsidRPr="00236DF6">
              <w:rPr>
                <w:rFonts w:eastAsia="Arial" w:cs="Arial"/>
                <w:szCs w:val="20"/>
              </w:rPr>
              <w:t>Klemen Boštjančič, minister, Ministrstvo za finance,</w:t>
            </w:r>
          </w:p>
          <w:p w14:paraId="7694AAB2" w14:textId="67E16C82" w:rsidR="00480E62" w:rsidRPr="00236DF6" w:rsidRDefault="00480E62" w:rsidP="00236DF6">
            <w:pPr>
              <w:numPr>
                <w:ilvl w:val="0"/>
                <w:numId w:val="14"/>
              </w:numPr>
              <w:spacing w:after="0"/>
              <w:jc w:val="both"/>
              <w:rPr>
                <w:rFonts w:eastAsia="Arial" w:cs="Arial"/>
                <w:szCs w:val="20"/>
              </w:rPr>
            </w:pPr>
            <w:r w:rsidRPr="00236DF6">
              <w:rPr>
                <w:rFonts w:eastAsia="Arial" w:cs="Arial"/>
                <w:szCs w:val="20"/>
              </w:rPr>
              <w:t>mag. Katja Božič, državna sekretarka, Ministrstvo za finance,</w:t>
            </w:r>
          </w:p>
          <w:p w14:paraId="1E431163" w14:textId="55061540" w:rsidR="00480E62" w:rsidRPr="00236DF6" w:rsidRDefault="00480E62" w:rsidP="00236DF6">
            <w:pPr>
              <w:numPr>
                <w:ilvl w:val="0"/>
                <w:numId w:val="14"/>
              </w:numPr>
              <w:spacing w:after="0"/>
              <w:jc w:val="both"/>
              <w:rPr>
                <w:rFonts w:eastAsia="Arial" w:cs="Arial"/>
                <w:szCs w:val="20"/>
              </w:rPr>
            </w:pPr>
            <w:r w:rsidRPr="00236DF6">
              <w:rPr>
                <w:rFonts w:eastAsia="Arial" w:cs="Arial"/>
                <w:szCs w:val="20"/>
              </w:rPr>
              <w:t>mag. Tina Humar, generalna direktorica Direktorata za sistem davčnih, carinskih in drugih javnih prihodkov, Ministrstvo za finance</w:t>
            </w:r>
          </w:p>
          <w:p w14:paraId="10708FCE" w14:textId="318CAACC" w:rsidR="00C65090" w:rsidRPr="00236DF6" w:rsidRDefault="00C65090" w:rsidP="00236DF6">
            <w:pPr>
              <w:numPr>
                <w:ilvl w:val="0"/>
                <w:numId w:val="14"/>
              </w:numPr>
              <w:spacing w:after="0"/>
              <w:jc w:val="both"/>
              <w:rPr>
                <w:rFonts w:eastAsia="Arial" w:cs="Arial"/>
                <w:szCs w:val="20"/>
              </w:rPr>
            </w:pPr>
            <w:r w:rsidRPr="00236DF6">
              <w:rPr>
                <w:rFonts w:eastAsia="Arial" w:cs="Arial"/>
                <w:szCs w:val="20"/>
              </w:rPr>
              <w:t>Luka Mesec, minister, Ministrstvo za delo, družino, socialne zadeve in enake možnosti,</w:t>
            </w:r>
          </w:p>
          <w:p w14:paraId="22B1D513" w14:textId="35495CC7" w:rsidR="00C65090" w:rsidRPr="00236DF6" w:rsidRDefault="00C65090" w:rsidP="00236DF6">
            <w:pPr>
              <w:numPr>
                <w:ilvl w:val="0"/>
                <w:numId w:val="14"/>
              </w:numPr>
              <w:spacing w:after="0"/>
              <w:jc w:val="both"/>
              <w:rPr>
                <w:rFonts w:eastAsia="Arial" w:cs="Arial"/>
                <w:szCs w:val="20"/>
              </w:rPr>
            </w:pPr>
            <w:bookmarkStart w:id="3" w:name="_Hlk107307557"/>
            <w:r w:rsidRPr="00236DF6">
              <w:rPr>
                <w:rFonts w:eastAsia="Arial" w:cs="Arial"/>
                <w:szCs w:val="20"/>
              </w:rPr>
              <w:t>Igor Feketija, državni sekretar, Ministrstvo za delo, družino, socialne zadeve in enake možnosti,</w:t>
            </w:r>
          </w:p>
          <w:p w14:paraId="1B4808BB" w14:textId="6F248A1D" w:rsidR="00C65090" w:rsidRPr="00236DF6" w:rsidRDefault="00C65090" w:rsidP="00236DF6">
            <w:pPr>
              <w:numPr>
                <w:ilvl w:val="0"/>
                <w:numId w:val="14"/>
              </w:numPr>
              <w:spacing w:after="0"/>
              <w:jc w:val="both"/>
              <w:rPr>
                <w:rFonts w:eastAsia="Arial" w:cs="Arial"/>
                <w:szCs w:val="20"/>
              </w:rPr>
            </w:pPr>
            <w:r w:rsidRPr="00236DF6">
              <w:rPr>
                <w:rFonts w:eastAsia="Arial" w:cs="Arial"/>
                <w:szCs w:val="20"/>
              </w:rPr>
              <w:t>Dan Juvan, državni sekretar, Ministrstvo za delo, družino, socialne zadeve in enake možnosti,</w:t>
            </w:r>
          </w:p>
          <w:bookmarkEnd w:id="3"/>
          <w:p w14:paraId="16528521" w14:textId="3302257C" w:rsidR="00C65090" w:rsidRPr="00236DF6" w:rsidRDefault="00C65090" w:rsidP="00236DF6">
            <w:pPr>
              <w:numPr>
                <w:ilvl w:val="0"/>
                <w:numId w:val="14"/>
              </w:numPr>
              <w:spacing w:after="0"/>
              <w:jc w:val="both"/>
              <w:rPr>
                <w:rFonts w:eastAsia="Arial" w:cs="Arial"/>
                <w:szCs w:val="20"/>
              </w:rPr>
            </w:pPr>
            <w:r w:rsidRPr="00236DF6">
              <w:rPr>
                <w:rFonts w:eastAsia="Arial" w:cs="Arial"/>
                <w:szCs w:val="20"/>
              </w:rPr>
              <w:t>Lidija Šubelj, generalna direktorica Direktorata za delovna razmerja in pravice iz dela, Ministrstvo za delo, družino, socialne zadeve in enake možnosti,</w:t>
            </w:r>
          </w:p>
          <w:p w14:paraId="240158A9" w14:textId="58BDA960" w:rsidR="00C65090" w:rsidRPr="00236DF6" w:rsidRDefault="00C65090" w:rsidP="00236DF6">
            <w:pPr>
              <w:numPr>
                <w:ilvl w:val="0"/>
                <w:numId w:val="14"/>
              </w:numPr>
              <w:spacing w:after="0"/>
              <w:jc w:val="both"/>
              <w:rPr>
                <w:rFonts w:eastAsia="Arial" w:cs="Arial"/>
                <w:szCs w:val="20"/>
              </w:rPr>
            </w:pPr>
            <w:r w:rsidRPr="00236DF6">
              <w:rPr>
                <w:rFonts w:eastAsia="Arial" w:cs="Arial"/>
                <w:szCs w:val="20"/>
              </w:rPr>
              <w:t>Tanja Podlipnik, vodja Sektorja za delovna razmerja in druge oblike dela, Ministrstvo za delo, družino, socialne zadeve in enake možnosti</w:t>
            </w:r>
            <w:r w:rsidR="0015509A" w:rsidRPr="00236DF6">
              <w:rPr>
                <w:rFonts w:eastAsia="Arial" w:cs="Arial"/>
                <w:szCs w:val="20"/>
              </w:rPr>
              <w:t>,</w:t>
            </w:r>
          </w:p>
          <w:p w14:paraId="2C24D16A" w14:textId="61FF5F64" w:rsidR="00200A7B" w:rsidRPr="00236DF6" w:rsidRDefault="0015509A" w:rsidP="00236DF6">
            <w:pPr>
              <w:numPr>
                <w:ilvl w:val="0"/>
                <w:numId w:val="14"/>
              </w:numPr>
              <w:spacing w:after="0"/>
              <w:jc w:val="both"/>
              <w:rPr>
                <w:rFonts w:eastAsia="Arial" w:cs="Arial"/>
                <w:szCs w:val="20"/>
              </w:rPr>
            </w:pPr>
            <w:r w:rsidRPr="00236DF6">
              <w:rPr>
                <w:rFonts w:eastAsia="Arial" w:cs="Arial"/>
                <w:szCs w:val="20"/>
              </w:rPr>
              <w:t>Nina Piškur, vodja Sektorja za pokojnine in pravice iz dela, Ministrstvo za delo, družino, socialne zadeve in enake možnosti.</w:t>
            </w:r>
            <w:bookmarkEnd w:id="2"/>
          </w:p>
        </w:tc>
      </w:tr>
      <w:tr w:rsidR="00E9128C" w:rsidRPr="00E9128C" w14:paraId="544CF1E0" w14:textId="77777777" w:rsidTr="4C5FDD34">
        <w:tc>
          <w:tcPr>
            <w:tcW w:w="9163" w:type="dxa"/>
            <w:gridSpan w:val="4"/>
          </w:tcPr>
          <w:p w14:paraId="79D0A4BD" w14:textId="77777777" w:rsidR="00C6377C" w:rsidRPr="00E9128C" w:rsidRDefault="00C6377C" w:rsidP="00C6377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E9128C">
              <w:rPr>
                <w:rFonts w:eastAsia="Times New Roman" w:cs="Arial"/>
                <w:b/>
                <w:szCs w:val="20"/>
                <w:lang w:eastAsia="sl-SI"/>
              </w:rPr>
              <w:t>5. Kratek povzetek gradiva:</w:t>
            </w:r>
          </w:p>
        </w:tc>
      </w:tr>
      <w:tr w:rsidR="00E9128C" w:rsidRPr="00E9128C" w14:paraId="2EFE8710" w14:textId="77777777" w:rsidTr="4C5FDD34">
        <w:tc>
          <w:tcPr>
            <w:tcW w:w="9163" w:type="dxa"/>
            <w:gridSpan w:val="4"/>
          </w:tcPr>
          <w:p w14:paraId="53544F25" w14:textId="034F5960" w:rsidR="00C6377C" w:rsidRPr="00E9128C" w:rsidRDefault="00615B8B" w:rsidP="00254B8A">
            <w:pPr>
              <w:suppressAutoHyphens/>
              <w:autoSpaceDN w:val="0"/>
              <w:spacing w:line="276" w:lineRule="auto"/>
              <w:jc w:val="both"/>
              <w:textAlignment w:val="baseline"/>
              <w:rPr>
                <w:rFonts w:cs="Arial"/>
                <w:szCs w:val="20"/>
              </w:rPr>
            </w:pPr>
            <w:r w:rsidRPr="00E9128C">
              <w:rPr>
                <w:rFonts w:cs="Arial"/>
              </w:rPr>
              <w:t xml:space="preserve">Gradivo predstavlja </w:t>
            </w:r>
            <w:r w:rsidR="00200A7B" w:rsidRPr="00E9128C">
              <w:rPr>
                <w:rFonts w:cs="Arial"/>
              </w:rPr>
              <w:t xml:space="preserve">Predlog Zakona </w:t>
            </w:r>
            <w:r w:rsidR="0080114A" w:rsidRPr="00E9128C">
              <w:rPr>
                <w:rFonts w:cs="Arial"/>
              </w:rPr>
              <w:t xml:space="preserve">o izplačilu zimskega </w:t>
            </w:r>
            <w:r w:rsidR="00151F71" w:rsidRPr="00E9128C">
              <w:rPr>
                <w:rFonts w:cs="Arial"/>
              </w:rPr>
              <w:t>regresa</w:t>
            </w:r>
            <w:r w:rsidR="00321161" w:rsidRPr="00E9128C">
              <w:t xml:space="preserve"> </w:t>
            </w:r>
            <w:r w:rsidR="00321161" w:rsidRPr="00E9128C">
              <w:rPr>
                <w:rFonts w:cs="Arial"/>
              </w:rPr>
              <w:t>ter prenovi ugotavljanja davčne osnove z upoštevanjem normiranih odhodkov</w:t>
            </w:r>
            <w:r w:rsidR="00254B8A" w:rsidRPr="00E9128C">
              <w:rPr>
                <w:rFonts w:cs="Arial"/>
              </w:rPr>
              <w:t xml:space="preserve">, ki določa novi </w:t>
            </w:r>
            <w:r w:rsidR="009C1F0A" w:rsidRPr="00E9128C">
              <w:rPr>
                <w:rFonts w:cs="Arial"/>
                <w:szCs w:val="20"/>
              </w:rPr>
              <w:t>zakonski prejemek delavca</w:t>
            </w:r>
            <w:r w:rsidR="001058C5" w:rsidRPr="00E9128C">
              <w:rPr>
                <w:rFonts w:cs="Arial"/>
                <w:szCs w:val="20"/>
              </w:rPr>
              <w:t xml:space="preserve"> (t.i. zimski </w:t>
            </w:r>
            <w:r w:rsidR="00151F71" w:rsidRPr="00E9128C">
              <w:rPr>
                <w:rFonts w:cs="Arial"/>
                <w:szCs w:val="20"/>
              </w:rPr>
              <w:t>regres</w:t>
            </w:r>
            <w:r w:rsidR="001058C5" w:rsidRPr="00E9128C">
              <w:rPr>
                <w:rFonts w:cs="Arial"/>
                <w:szCs w:val="20"/>
              </w:rPr>
              <w:t>)</w:t>
            </w:r>
            <w:r w:rsidR="00E64055" w:rsidRPr="00E9128C">
              <w:rPr>
                <w:rFonts w:cs="Arial"/>
                <w:szCs w:val="20"/>
              </w:rPr>
              <w:t>.</w:t>
            </w:r>
            <w:r w:rsidR="00F16E5A" w:rsidRPr="00E9128C">
              <w:rPr>
                <w:rFonts w:cs="Arial"/>
                <w:szCs w:val="20"/>
              </w:rPr>
              <w:t xml:space="preserve"> S predlogom </w:t>
            </w:r>
            <w:r w:rsidRPr="00E9128C">
              <w:rPr>
                <w:rFonts w:cs="Arial"/>
                <w:szCs w:val="20"/>
              </w:rPr>
              <w:t xml:space="preserve">tega </w:t>
            </w:r>
            <w:r w:rsidR="00F16E5A" w:rsidRPr="00E9128C">
              <w:rPr>
                <w:rFonts w:cs="Arial"/>
                <w:szCs w:val="20"/>
              </w:rPr>
              <w:t xml:space="preserve">zakona se ureja </w:t>
            </w:r>
            <w:r w:rsidR="00254B8A" w:rsidRPr="00E9128C">
              <w:rPr>
                <w:rFonts w:cs="Arial"/>
                <w:szCs w:val="20"/>
              </w:rPr>
              <w:t>tudi njegova obravnava glede prispevkov za socialno varnost in dohodnine</w:t>
            </w:r>
            <w:r w:rsidR="00636CE6" w:rsidRPr="00E9128C">
              <w:rPr>
                <w:rFonts w:cs="Arial"/>
                <w:szCs w:val="20"/>
              </w:rPr>
              <w:t>.</w:t>
            </w:r>
            <w:r w:rsidR="00AE6567" w:rsidRPr="00E9128C">
              <w:rPr>
                <w:rFonts w:cs="Arial"/>
                <w:szCs w:val="20"/>
              </w:rPr>
              <w:t xml:space="preserve"> </w:t>
            </w:r>
          </w:p>
          <w:p w14:paraId="0F60491D" w14:textId="6FCBDEF8" w:rsidR="004264A6" w:rsidRPr="00E9128C" w:rsidRDefault="004264A6" w:rsidP="004264A6">
            <w:pPr>
              <w:suppressAutoHyphens/>
              <w:autoSpaceDN w:val="0"/>
              <w:spacing w:line="276" w:lineRule="auto"/>
              <w:jc w:val="both"/>
              <w:textAlignment w:val="baseline"/>
              <w:rPr>
                <w:rFonts w:cs="Arial"/>
              </w:rPr>
            </w:pPr>
            <w:r w:rsidRPr="00E9128C">
              <w:rPr>
                <w:rFonts w:cs="Arial"/>
              </w:rPr>
              <w:t>Predlog zakona ureja tudi prenovo sistema obdavčitve fizičnih oseb z dohodnino v delu, ki se nanaša na zavezance za dohodnino, ki ugotavljajo davčno osnovo od dohodka iz dejavnosti z upoštevanjem normiranih odhodkov.</w:t>
            </w:r>
          </w:p>
          <w:p w14:paraId="26E80B19" w14:textId="7BE1A144" w:rsidR="004264A6" w:rsidRPr="00E9128C" w:rsidRDefault="004264A6" w:rsidP="004264A6">
            <w:pPr>
              <w:suppressAutoHyphens/>
              <w:autoSpaceDN w:val="0"/>
              <w:spacing w:line="276" w:lineRule="auto"/>
              <w:jc w:val="both"/>
              <w:textAlignment w:val="baseline"/>
              <w:rPr>
                <w:rFonts w:cs="Arial"/>
              </w:rPr>
            </w:pPr>
            <w:r w:rsidRPr="00E9128C">
              <w:rPr>
                <w:rFonts w:cs="Arial"/>
              </w:rPr>
              <w:t>Predlog zakona v prehodnih določbah ureja izplačilo zimskega dodatka upokojencem in uživalcem nadomestil iz invalidskega zavarovanja v letu 2025.</w:t>
            </w:r>
          </w:p>
        </w:tc>
      </w:tr>
      <w:tr w:rsidR="00E9128C" w:rsidRPr="00E9128C" w14:paraId="3B13FFC6" w14:textId="77777777" w:rsidTr="4C5FDD34">
        <w:tc>
          <w:tcPr>
            <w:tcW w:w="9163" w:type="dxa"/>
            <w:gridSpan w:val="4"/>
          </w:tcPr>
          <w:p w14:paraId="75904780" w14:textId="77777777" w:rsidR="00C6377C" w:rsidRPr="00E9128C" w:rsidRDefault="00C6377C" w:rsidP="00C6377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bookmarkStart w:id="4" w:name="_Hlk212703133"/>
            <w:r w:rsidRPr="00E9128C">
              <w:rPr>
                <w:rFonts w:eastAsia="Times New Roman" w:cs="Arial"/>
                <w:b/>
                <w:szCs w:val="20"/>
                <w:lang w:eastAsia="sl-SI"/>
              </w:rPr>
              <w:t>6. Presoja posledic za:</w:t>
            </w:r>
          </w:p>
        </w:tc>
      </w:tr>
      <w:tr w:rsidR="00E9128C" w:rsidRPr="00E9128C" w14:paraId="6E7EBB89" w14:textId="77777777" w:rsidTr="4C5FDD34">
        <w:tc>
          <w:tcPr>
            <w:tcW w:w="1448" w:type="dxa"/>
          </w:tcPr>
          <w:p w14:paraId="09481597" w14:textId="77777777" w:rsidR="00C6377C" w:rsidRPr="00E9128C"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E9128C">
              <w:rPr>
                <w:rFonts w:eastAsia="Times New Roman" w:cs="Arial"/>
                <w:iCs/>
                <w:szCs w:val="20"/>
                <w:lang w:eastAsia="sl-SI"/>
              </w:rPr>
              <w:t>a)</w:t>
            </w:r>
          </w:p>
        </w:tc>
        <w:tc>
          <w:tcPr>
            <w:tcW w:w="5444" w:type="dxa"/>
            <w:gridSpan w:val="2"/>
          </w:tcPr>
          <w:p w14:paraId="2D710059"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szCs w:val="20"/>
                <w:lang w:eastAsia="sl-SI"/>
              </w:rPr>
            </w:pPr>
            <w:r w:rsidRPr="00E9128C">
              <w:rPr>
                <w:rFonts w:eastAsia="Times New Roman" w:cs="Arial"/>
                <w:szCs w:val="20"/>
                <w:lang w:eastAsia="sl-SI"/>
              </w:rPr>
              <w:t>javnofinančna sredstva nad 40.000 EUR v tekočem in naslednjih treh letih</w:t>
            </w:r>
          </w:p>
        </w:tc>
        <w:tc>
          <w:tcPr>
            <w:tcW w:w="2271" w:type="dxa"/>
            <w:vAlign w:val="center"/>
          </w:tcPr>
          <w:p w14:paraId="63271C8A" w14:textId="0AA5B144" w:rsidR="00C6377C" w:rsidRPr="00E9128C" w:rsidRDefault="003B2E98"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iCs/>
                <w:szCs w:val="20"/>
                <w:lang w:eastAsia="sl-SI"/>
              </w:rPr>
              <w:t>DA</w:t>
            </w:r>
          </w:p>
        </w:tc>
      </w:tr>
      <w:tr w:rsidR="00E9128C" w:rsidRPr="00E9128C" w14:paraId="2F89CE25" w14:textId="77777777" w:rsidTr="4C5FDD34">
        <w:tc>
          <w:tcPr>
            <w:tcW w:w="1448" w:type="dxa"/>
          </w:tcPr>
          <w:p w14:paraId="0EED7C12" w14:textId="77777777" w:rsidR="00C6377C" w:rsidRPr="00E9128C"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E9128C">
              <w:rPr>
                <w:rFonts w:eastAsia="Times New Roman" w:cs="Arial"/>
                <w:iCs/>
                <w:szCs w:val="20"/>
                <w:lang w:eastAsia="sl-SI"/>
              </w:rPr>
              <w:t>b)</w:t>
            </w:r>
          </w:p>
        </w:tc>
        <w:tc>
          <w:tcPr>
            <w:tcW w:w="5444" w:type="dxa"/>
            <w:gridSpan w:val="2"/>
          </w:tcPr>
          <w:p w14:paraId="47BD7769"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bCs/>
                <w:szCs w:val="20"/>
                <w:lang w:eastAsia="sl-SI"/>
              </w:rPr>
              <w:t>usklajenost slovenskega pravnega reda s pravnim redom Evropske unije</w:t>
            </w:r>
          </w:p>
        </w:tc>
        <w:tc>
          <w:tcPr>
            <w:tcW w:w="2271" w:type="dxa"/>
            <w:vAlign w:val="center"/>
          </w:tcPr>
          <w:p w14:paraId="4A9ACBD0" w14:textId="4CDA1A82" w:rsidR="00C6377C" w:rsidRPr="00E9128C" w:rsidRDefault="00C6377C"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szCs w:val="20"/>
                <w:lang w:eastAsia="sl-SI"/>
              </w:rPr>
              <w:t>NE</w:t>
            </w:r>
          </w:p>
        </w:tc>
      </w:tr>
      <w:tr w:rsidR="00E9128C" w:rsidRPr="00E9128C" w14:paraId="23E075C2" w14:textId="77777777" w:rsidTr="4C5FDD34">
        <w:tc>
          <w:tcPr>
            <w:tcW w:w="1448" w:type="dxa"/>
          </w:tcPr>
          <w:p w14:paraId="54B62447" w14:textId="77777777" w:rsidR="00C6377C" w:rsidRPr="00E9128C"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E9128C">
              <w:rPr>
                <w:rFonts w:eastAsia="Times New Roman" w:cs="Arial"/>
                <w:iCs/>
                <w:szCs w:val="20"/>
                <w:lang w:eastAsia="sl-SI"/>
              </w:rPr>
              <w:t>c)</w:t>
            </w:r>
          </w:p>
        </w:tc>
        <w:tc>
          <w:tcPr>
            <w:tcW w:w="5444" w:type="dxa"/>
            <w:gridSpan w:val="2"/>
          </w:tcPr>
          <w:p w14:paraId="6A9A9287"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szCs w:val="20"/>
                <w:lang w:eastAsia="sl-SI"/>
              </w:rPr>
              <w:t>administrativne posledice</w:t>
            </w:r>
          </w:p>
        </w:tc>
        <w:tc>
          <w:tcPr>
            <w:tcW w:w="2271" w:type="dxa"/>
            <w:vAlign w:val="center"/>
          </w:tcPr>
          <w:p w14:paraId="46F443F9" w14:textId="07335AFF" w:rsidR="00C6377C" w:rsidRPr="00E9128C" w:rsidRDefault="003B2E98" w:rsidP="00C6377C">
            <w:pPr>
              <w:overflowPunct w:val="0"/>
              <w:autoSpaceDE w:val="0"/>
              <w:autoSpaceDN w:val="0"/>
              <w:adjustRightInd w:val="0"/>
              <w:spacing w:after="0" w:line="260" w:lineRule="exact"/>
              <w:jc w:val="center"/>
              <w:textAlignment w:val="baseline"/>
              <w:rPr>
                <w:rFonts w:eastAsia="Times New Roman" w:cs="Arial"/>
                <w:szCs w:val="20"/>
                <w:lang w:eastAsia="sl-SI"/>
              </w:rPr>
            </w:pPr>
            <w:r w:rsidRPr="00E9128C">
              <w:rPr>
                <w:rFonts w:eastAsia="Times New Roman" w:cs="Arial"/>
                <w:szCs w:val="20"/>
                <w:lang w:eastAsia="sl-SI"/>
              </w:rPr>
              <w:t>DA</w:t>
            </w:r>
          </w:p>
        </w:tc>
      </w:tr>
      <w:tr w:rsidR="00E9128C" w:rsidRPr="00E9128C" w14:paraId="3164C2CB" w14:textId="77777777" w:rsidTr="4C5FDD34">
        <w:tc>
          <w:tcPr>
            <w:tcW w:w="1448" w:type="dxa"/>
          </w:tcPr>
          <w:p w14:paraId="75126632" w14:textId="77777777" w:rsidR="00C6377C" w:rsidRPr="00E9128C"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E9128C">
              <w:rPr>
                <w:rFonts w:eastAsia="Times New Roman" w:cs="Arial"/>
                <w:iCs/>
                <w:szCs w:val="20"/>
                <w:lang w:eastAsia="sl-SI"/>
              </w:rPr>
              <w:t>č)</w:t>
            </w:r>
          </w:p>
        </w:tc>
        <w:tc>
          <w:tcPr>
            <w:tcW w:w="5444" w:type="dxa"/>
            <w:gridSpan w:val="2"/>
          </w:tcPr>
          <w:p w14:paraId="5DE77A62"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E9128C">
              <w:rPr>
                <w:rFonts w:eastAsia="Times New Roman" w:cs="Arial"/>
                <w:szCs w:val="20"/>
                <w:lang w:eastAsia="sl-SI"/>
              </w:rPr>
              <w:t>gospodarstvo, zlasti</w:t>
            </w:r>
            <w:r w:rsidRPr="00E9128C">
              <w:rPr>
                <w:rFonts w:eastAsia="Times New Roman" w:cs="Arial"/>
                <w:bCs/>
                <w:szCs w:val="20"/>
                <w:lang w:eastAsia="sl-SI"/>
              </w:rPr>
              <w:t xml:space="preserve"> mala in srednja podjetja ter konkurenčnost podjetij</w:t>
            </w:r>
          </w:p>
        </w:tc>
        <w:tc>
          <w:tcPr>
            <w:tcW w:w="2271" w:type="dxa"/>
            <w:vAlign w:val="center"/>
          </w:tcPr>
          <w:p w14:paraId="144EE2F0" w14:textId="14FB6DB8" w:rsidR="00C6377C" w:rsidRPr="00E9128C" w:rsidRDefault="003B2E98"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iCs/>
                <w:szCs w:val="20"/>
                <w:lang w:eastAsia="sl-SI"/>
              </w:rPr>
              <w:t>DA</w:t>
            </w:r>
          </w:p>
        </w:tc>
      </w:tr>
      <w:tr w:rsidR="00E9128C" w:rsidRPr="00E9128C" w14:paraId="334446BA" w14:textId="77777777" w:rsidTr="4C5FDD34">
        <w:tc>
          <w:tcPr>
            <w:tcW w:w="1448" w:type="dxa"/>
          </w:tcPr>
          <w:p w14:paraId="0191A2AB" w14:textId="77777777" w:rsidR="00C6377C" w:rsidRPr="00E9128C"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E9128C">
              <w:rPr>
                <w:rFonts w:eastAsia="Times New Roman" w:cs="Arial"/>
                <w:iCs/>
                <w:szCs w:val="20"/>
                <w:lang w:eastAsia="sl-SI"/>
              </w:rPr>
              <w:t>d)</w:t>
            </w:r>
          </w:p>
        </w:tc>
        <w:tc>
          <w:tcPr>
            <w:tcW w:w="5444" w:type="dxa"/>
            <w:gridSpan w:val="2"/>
          </w:tcPr>
          <w:p w14:paraId="4B1A2115"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E9128C">
              <w:rPr>
                <w:rFonts w:eastAsia="Times New Roman" w:cs="Arial"/>
                <w:bCs/>
                <w:szCs w:val="20"/>
                <w:lang w:eastAsia="sl-SI"/>
              </w:rPr>
              <w:t>okolje, vključno s prostorskimi in varstvenimi vidiki</w:t>
            </w:r>
          </w:p>
        </w:tc>
        <w:tc>
          <w:tcPr>
            <w:tcW w:w="2271" w:type="dxa"/>
            <w:vAlign w:val="center"/>
          </w:tcPr>
          <w:p w14:paraId="44740DDA" w14:textId="588B2C1E" w:rsidR="00C6377C" w:rsidRPr="00E9128C" w:rsidRDefault="009C1F0A"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szCs w:val="20"/>
                <w:lang w:eastAsia="sl-SI"/>
              </w:rPr>
              <w:t>NE</w:t>
            </w:r>
          </w:p>
        </w:tc>
      </w:tr>
      <w:tr w:rsidR="00E9128C" w:rsidRPr="00E9128C" w14:paraId="0E8229DA" w14:textId="77777777" w:rsidTr="4C5FDD34">
        <w:tc>
          <w:tcPr>
            <w:tcW w:w="1448" w:type="dxa"/>
          </w:tcPr>
          <w:p w14:paraId="5D5A21F0" w14:textId="77777777" w:rsidR="00C6377C" w:rsidRPr="00E9128C"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E9128C">
              <w:rPr>
                <w:rFonts w:eastAsia="Times New Roman" w:cs="Arial"/>
                <w:iCs/>
                <w:szCs w:val="20"/>
                <w:lang w:eastAsia="sl-SI"/>
              </w:rPr>
              <w:t>e)</w:t>
            </w:r>
          </w:p>
        </w:tc>
        <w:tc>
          <w:tcPr>
            <w:tcW w:w="5444" w:type="dxa"/>
            <w:gridSpan w:val="2"/>
          </w:tcPr>
          <w:p w14:paraId="65D4E241"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E9128C">
              <w:rPr>
                <w:rFonts w:eastAsia="Times New Roman" w:cs="Arial"/>
                <w:bCs/>
                <w:szCs w:val="20"/>
                <w:lang w:eastAsia="sl-SI"/>
              </w:rPr>
              <w:t>socialno področje</w:t>
            </w:r>
          </w:p>
        </w:tc>
        <w:tc>
          <w:tcPr>
            <w:tcW w:w="2271" w:type="dxa"/>
            <w:vAlign w:val="center"/>
          </w:tcPr>
          <w:p w14:paraId="32F8D14C" w14:textId="1624589F" w:rsidR="00C6377C" w:rsidRPr="00E9128C" w:rsidRDefault="00E26F4E"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szCs w:val="20"/>
                <w:lang w:eastAsia="sl-SI"/>
              </w:rPr>
              <w:t>DA</w:t>
            </w:r>
          </w:p>
        </w:tc>
      </w:tr>
      <w:tr w:rsidR="00E9128C" w:rsidRPr="00E9128C" w14:paraId="01BF7E33" w14:textId="77777777" w:rsidTr="4C5FDD34">
        <w:tc>
          <w:tcPr>
            <w:tcW w:w="1448" w:type="dxa"/>
            <w:tcBorders>
              <w:bottom w:val="single" w:sz="4" w:space="0" w:color="auto"/>
            </w:tcBorders>
          </w:tcPr>
          <w:p w14:paraId="328C507C" w14:textId="77777777" w:rsidR="00C6377C" w:rsidRPr="00E9128C" w:rsidRDefault="00C6377C" w:rsidP="00C6377C">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E9128C">
              <w:rPr>
                <w:rFonts w:eastAsia="Times New Roman" w:cs="Arial"/>
                <w:iCs/>
                <w:szCs w:val="20"/>
                <w:lang w:eastAsia="sl-SI"/>
              </w:rPr>
              <w:t>f)</w:t>
            </w:r>
          </w:p>
        </w:tc>
        <w:tc>
          <w:tcPr>
            <w:tcW w:w="5444" w:type="dxa"/>
            <w:gridSpan w:val="2"/>
            <w:tcBorders>
              <w:bottom w:val="single" w:sz="4" w:space="0" w:color="auto"/>
            </w:tcBorders>
          </w:tcPr>
          <w:p w14:paraId="4BF8790B" w14:textId="77777777" w:rsidR="00C6377C" w:rsidRPr="00E9128C" w:rsidRDefault="00C6377C" w:rsidP="00C6377C">
            <w:pPr>
              <w:overflowPunct w:val="0"/>
              <w:autoSpaceDE w:val="0"/>
              <w:autoSpaceDN w:val="0"/>
              <w:adjustRightInd w:val="0"/>
              <w:spacing w:after="0" w:line="260" w:lineRule="exact"/>
              <w:jc w:val="both"/>
              <w:textAlignment w:val="baseline"/>
              <w:rPr>
                <w:rFonts w:eastAsia="Times New Roman" w:cs="Arial"/>
                <w:bCs/>
                <w:szCs w:val="20"/>
                <w:lang w:eastAsia="sl-SI"/>
              </w:rPr>
            </w:pPr>
            <w:r w:rsidRPr="00E9128C">
              <w:rPr>
                <w:rFonts w:eastAsia="Times New Roman" w:cs="Arial"/>
                <w:bCs/>
                <w:szCs w:val="20"/>
                <w:lang w:eastAsia="sl-SI"/>
              </w:rPr>
              <w:t>dokumente razvojnega načrtovanja:</w:t>
            </w:r>
          </w:p>
          <w:p w14:paraId="1648663A" w14:textId="77777777" w:rsidR="00C6377C" w:rsidRPr="00E9128C" w:rsidRDefault="00C6377C" w:rsidP="00BB37FE">
            <w:pPr>
              <w:numPr>
                <w:ilvl w:val="0"/>
                <w:numId w:val="2"/>
              </w:numPr>
              <w:overflowPunct w:val="0"/>
              <w:autoSpaceDE w:val="0"/>
              <w:autoSpaceDN w:val="0"/>
              <w:adjustRightInd w:val="0"/>
              <w:spacing w:after="0" w:line="260" w:lineRule="exact"/>
              <w:jc w:val="both"/>
              <w:textAlignment w:val="baseline"/>
              <w:rPr>
                <w:rFonts w:eastAsia="Times New Roman" w:cs="Arial"/>
                <w:bCs/>
                <w:szCs w:val="20"/>
                <w:lang w:eastAsia="sl-SI"/>
              </w:rPr>
            </w:pPr>
            <w:r w:rsidRPr="00E9128C">
              <w:rPr>
                <w:rFonts w:eastAsia="Times New Roman" w:cs="Arial"/>
                <w:bCs/>
                <w:szCs w:val="20"/>
                <w:lang w:eastAsia="sl-SI"/>
              </w:rPr>
              <w:t>nacionalne dokumente razvojnega načrtovanja</w:t>
            </w:r>
          </w:p>
          <w:p w14:paraId="728680A1" w14:textId="77777777" w:rsidR="00C6377C" w:rsidRPr="00E9128C" w:rsidRDefault="00C6377C" w:rsidP="00BB37FE">
            <w:pPr>
              <w:numPr>
                <w:ilvl w:val="0"/>
                <w:numId w:val="2"/>
              </w:numPr>
              <w:overflowPunct w:val="0"/>
              <w:autoSpaceDE w:val="0"/>
              <w:autoSpaceDN w:val="0"/>
              <w:adjustRightInd w:val="0"/>
              <w:spacing w:after="0" w:line="260" w:lineRule="exact"/>
              <w:jc w:val="both"/>
              <w:textAlignment w:val="baseline"/>
              <w:rPr>
                <w:rFonts w:eastAsia="Times New Roman" w:cs="Arial"/>
                <w:bCs/>
                <w:szCs w:val="20"/>
                <w:lang w:eastAsia="sl-SI"/>
              </w:rPr>
            </w:pPr>
            <w:r w:rsidRPr="00E9128C">
              <w:rPr>
                <w:rFonts w:eastAsia="Times New Roman" w:cs="Arial"/>
                <w:bCs/>
                <w:szCs w:val="20"/>
                <w:lang w:eastAsia="sl-SI"/>
              </w:rPr>
              <w:t>razvojne politike na ravni programov po strukturi razvojne klasifikacije programskega proračuna</w:t>
            </w:r>
          </w:p>
          <w:p w14:paraId="2D019E38" w14:textId="77777777" w:rsidR="00C6377C" w:rsidRPr="00E9128C" w:rsidRDefault="00C6377C" w:rsidP="00BB37FE">
            <w:pPr>
              <w:numPr>
                <w:ilvl w:val="0"/>
                <w:numId w:val="2"/>
              </w:numPr>
              <w:overflowPunct w:val="0"/>
              <w:autoSpaceDE w:val="0"/>
              <w:autoSpaceDN w:val="0"/>
              <w:adjustRightInd w:val="0"/>
              <w:spacing w:after="0" w:line="260" w:lineRule="exact"/>
              <w:jc w:val="both"/>
              <w:textAlignment w:val="baseline"/>
              <w:rPr>
                <w:rFonts w:eastAsia="Times New Roman" w:cs="Arial"/>
                <w:bCs/>
                <w:szCs w:val="20"/>
                <w:lang w:eastAsia="sl-SI"/>
              </w:rPr>
            </w:pPr>
            <w:r w:rsidRPr="00E9128C">
              <w:rPr>
                <w:rFonts w:eastAsia="Times New Roman" w:cs="Arial"/>
                <w:bCs/>
                <w:szCs w:val="20"/>
                <w:lang w:eastAsia="sl-SI"/>
              </w:rPr>
              <w:lastRenderedPageBreak/>
              <w:t>razvojne dokumente Evropske unije in mednarodnih organizacij</w:t>
            </w:r>
          </w:p>
        </w:tc>
        <w:tc>
          <w:tcPr>
            <w:tcW w:w="2271" w:type="dxa"/>
            <w:tcBorders>
              <w:bottom w:val="single" w:sz="4" w:space="0" w:color="auto"/>
            </w:tcBorders>
            <w:vAlign w:val="center"/>
          </w:tcPr>
          <w:p w14:paraId="321F9C64" w14:textId="2BBB92DA" w:rsidR="00C6377C" w:rsidRPr="00E9128C" w:rsidRDefault="000F461B" w:rsidP="00C6377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szCs w:val="20"/>
                <w:lang w:eastAsia="sl-SI"/>
              </w:rPr>
              <w:lastRenderedPageBreak/>
              <w:t>NE</w:t>
            </w:r>
          </w:p>
        </w:tc>
      </w:tr>
      <w:bookmarkEnd w:id="4"/>
      <w:tr w:rsidR="00C6377C" w:rsidRPr="00E9128C" w14:paraId="1B40DAB3" w14:textId="77777777" w:rsidTr="4C5FDD34">
        <w:tc>
          <w:tcPr>
            <w:tcW w:w="9163" w:type="dxa"/>
            <w:gridSpan w:val="4"/>
            <w:tcBorders>
              <w:top w:val="single" w:sz="4" w:space="0" w:color="auto"/>
              <w:left w:val="single" w:sz="4" w:space="0" w:color="auto"/>
              <w:bottom w:val="single" w:sz="4" w:space="0" w:color="auto"/>
              <w:right w:val="single" w:sz="4" w:space="0" w:color="auto"/>
            </w:tcBorders>
          </w:tcPr>
          <w:p w14:paraId="2A592426" w14:textId="77777777" w:rsidR="00C6377C" w:rsidRPr="00E9128C" w:rsidRDefault="00C6377C" w:rsidP="008A4972">
            <w:pPr>
              <w:widowControl w:val="0"/>
              <w:suppressAutoHyphens/>
              <w:overflowPunct w:val="0"/>
              <w:autoSpaceDE w:val="0"/>
              <w:autoSpaceDN w:val="0"/>
              <w:adjustRightInd w:val="0"/>
              <w:spacing w:after="0" w:line="260" w:lineRule="exact"/>
              <w:jc w:val="both"/>
              <w:textAlignment w:val="baseline"/>
              <w:outlineLvl w:val="3"/>
              <w:rPr>
                <w:rFonts w:eastAsia="Times New Roman" w:cs="Arial"/>
                <w:b/>
                <w:szCs w:val="20"/>
                <w:lang w:eastAsia="sl-SI"/>
              </w:rPr>
            </w:pPr>
            <w:r w:rsidRPr="00E9128C">
              <w:rPr>
                <w:rFonts w:eastAsia="Times New Roman" w:cs="Arial"/>
                <w:b/>
                <w:bCs/>
                <w:lang w:eastAsia="sl-SI"/>
              </w:rPr>
              <w:t>7.a Predstavitev ocene finančnih posledic nad 40.000 EUR:</w:t>
            </w:r>
          </w:p>
          <w:p w14:paraId="06E88904" w14:textId="77777777" w:rsidR="00DC2915" w:rsidRDefault="00DC2915" w:rsidP="00DC2915">
            <w:pPr>
              <w:widowControl w:val="0"/>
              <w:suppressAutoHyphens/>
              <w:overflowPunct w:val="0"/>
              <w:autoSpaceDE w:val="0"/>
              <w:autoSpaceDN w:val="0"/>
              <w:adjustRightInd w:val="0"/>
              <w:spacing w:after="0" w:line="260" w:lineRule="exact"/>
              <w:jc w:val="both"/>
              <w:textAlignment w:val="baseline"/>
              <w:rPr>
                <w:rFonts w:eastAsia="Arial" w:cs="Arial"/>
                <w:szCs w:val="20"/>
              </w:rPr>
            </w:pPr>
            <w:r>
              <w:rPr>
                <w:rFonts w:eastAsia="Arial" w:cs="Arial"/>
                <w:szCs w:val="20"/>
              </w:rPr>
              <w:t xml:space="preserve">Vse rešitve v predlogu zakona bodo v prvem letu uveljavitve vplivale na povečanje javnofinančnih odhodkov, in sicer se bodo odhodki povečali za okoli 210 mio EUR (slednje zaradi uvedbe zimskega regresa in zagotavljanja sredstev </w:t>
            </w:r>
            <w:r w:rsidRPr="00195756">
              <w:rPr>
                <w:rFonts w:eastAsia="Arial" w:cs="Arial"/>
                <w:szCs w:val="20"/>
              </w:rPr>
              <w:t>Zavodu za pokojninsko in invalidsko zavarovanje Slovenije</w:t>
            </w:r>
            <w:r>
              <w:rPr>
                <w:rFonts w:eastAsia="Arial" w:cs="Arial"/>
                <w:szCs w:val="20"/>
              </w:rPr>
              <w:t xml:space="preserve"> zaradi izplačila zimskega dodatka upokojencem). Pričakovati pa je tudi vpliv na javnofinančne prihodke, saj se bodo v prvem letu uveljavitve zimskega regresa prihodki iz naslova prispevkov za socialno varnost znižali za 75 mio EUR, obenem pa se bodo v letu 2026 znižali prihodki iz naslova davka od dohodkov pravnih oseb – po oceni za okoli 10 mio EUR. V letu 2027 pa je pričakovati višje prihodke za okoli 10 mio EUR zaradi uvedbe sprememb na področju ugotavljanja davčne osnove od dohodkov iz dejavnosti z upoštevanjem normiranih odhodkov. </w:t>
            </w:r>
          </w:p>
          <w:p w14:paraId="646D4EA8" w14:textId="1C3702A8" w:rsidR="00DC2915" w:rsidRPr="008A4972" w:rsidRDefault="00DC2915" w:rsidP="008A4972">
            <w:pPr>
              <w:pStyle w:val="Odstavekseznama"/>
              <w:widowControl w:val="0"/>
              <w:numPr>
                <w:ilvl w:val="0"/>
                <w:numId w:val="34"/>
              </w:numPr>
              <w:suppressAutoHyphens/>
              <w:overflowPunct w:val="0"/>
              <w:autoSpaceDE w:val="0"/>
              <w:autoSpaceDN w:val="0"/>
              <w:adjustRightInd w:val="0"/>
              <w:spacing w:after="0" w:line="260" w:lineRule="exact"/>
              <w:jc w:val="both"/>
              <w:textAlignment w:val="baseline"/>
              <w:rPr>
                <w:rFonts w:eastAsia="Arial" w:cs="Arial"/>
                <w:szCs w:val="20"/>
              </w:rPr>
            </w:pPr>
            <w:r w:rsidRPr="008A4972">
              <w:rPr>
                <w:rFonts w:eastAsia="Arial" w:cs="Arial"/>
                <w:i/>
                <w:iCs/>
                <w:szCs w:val="20"/>
              </w:rPr>
              <w:t>Zimski regres</w:t>
            </w:r>
          </w:p>
          <w:p w14:paraId="71017093" w14:textId="0FA5BDC1" w:rsidR="00C6377C" w:rsidRPr="00E9128C" w:rsidRDefault="5D6D1184" w:rsidP="00DC2915">
            <w:pPr>
              <w:widowControl w:val="0"/>
              <w:suppressAutoHyphens/>
              <w:overflowPunct w:val="0"/>
              <w:autoSpaceDE w:val="0"/>
              <w:autoSpaceDN w:val="0"/>
              <w:adjustRightInd w:val="0"/>
              <w:spacing w:after="0" w:line="260" w:lineRule="exact"/>
              <w:jc w:val="both"/>
              <w:textAlignment w:val="baseline"/>
              <w:rPr>
                <w:rFonts w:eastAsia="Arial" w:cs="Arial"/>
                <w:szCs w:val="20"/>
              </w:rPr>
            </w:pPr>
            <w:r w:rsidRPr="00E9128C">
              <w:rPr>
                <w:rFonts w:eastAsia="Arial" w:cs="Arial"/>
                <w:szCs w:val="20"/>
              </w:rPr>
              <w:t xml:space="preserve">Predlog zakona vpliva na zvišanje javnofinančnih odhodkov v prvem letu, in sicer po oceni za okoli 120 mio EUR, ob upoštevanju, da bo približno 190.000 javnih uslužbencev prejelo zimski </w:t>
            </w:r>
            <w:r w:rsidR="00151F71" w:rsidRPr="00E9128C">
              <w:rPr>
                <w:rFonts w:eastAsia="Arial" w:cs="Arial"/>
                <w:szCs w:val="20"/>
              </w:rPr>
              <w:t xml:space="preserve">regres </w:t>
            </w:r>
            <w:r w:rsidRPr="00E9128C">
              <w:rPr>
                <w:rFonts w:eastAsia="Arial" w:cs="Arial"/>
                <w:szCs w:val="20"/>
              </w:rPr>
              <w:t xml:space="preserve">v višini </w:t>
            </w:r>
            <w:r w:rsidR="002A697A" w:rsidRPr="00E9128C">
              <w:rPr>
                <w:rFonts w:eastAsia="Arial" w:cs="Arial"/>
                <w:szCs w:val="20"/>
              </w:rPr>
              <w:t xml:space="preserve">polovice </w:t>
            </w:r>
            <w:r w:rsidRPr="00E9128C">
              <w:rPr>
                <w:rFonts w:eastAsia="Arial" w:cs="Arial"/>
                <w:szCs w:val="20"/>
              </w:rPr>
              <w:t>minimalne plače.</w:t>
            </w:r>
          </w:p>
          <w:p w14:paraId="4B435AF6" w14:textId="16FAD552" w:rsidR="00C6377C" w:rsidRPr="00E9128C" w:rsidRDefault="5D6D1184" w:rsidP="008A4972">
            <w:pPr>
              <w:widowControl w:val="0"/>
              <w:suppressAutoHyphens/>
              <w:overflowPunct w:val="0"/>
              <w:autoSpaceDE w:val="0"/>
              <w:autoSpaceDN w:val="0"/>
              <w:adjustRightInd w:val="0"/>
              <w:spacing w:after="0" w:line="260" w:lineRule="exact"/>
              <w:jc w:val="both"/>
              <w:textAlignment w:val="baseline"/>
              <w:rPr>
                <w:rFonts w:eastAsia="Times New Roman" w:cs="Arial"/>
                <w:lang w:eastAsia="sl-SI"/>
              </w:rPr>
            </w:pPr>
            <w:r w:rsidRPr="00E9128C">
              <w:rPr>
                <w:rFonts w:eastAsia="Arial" w:cs="Arial"/>
              </w:rPr>
              <w:t>Obenem pa je pričakovati v prvem letu uveljavitve tudi znižanje prihodkov iz naslova prispevkov za socialno varnost v višini okoli 75 mio EUR.</w:t>
            </w:r>
            <w:r w:rsidR="1D07128A" w:rsidRPr="00E9128C">
              <w:rPr>
                <w:rFonts w:eastAsia="Arial" w:cs="Arial"/>
              </w:rPr>
              <w:t xml:space="preserve"> </w:t>
            </w:r>
          </w:p>
          <w:p w14:paraId="0A89484E" w14:textId="6EA0DCC2" w:rsidR="00C6377C" w:rsidRDefault="1D07128A" w:rsidP="00DC2915">
            <w:pPr>
              <w:widowControl w:val="0"/>
              <w:suppressAutoHyphens/>
              <w:overflowPunct w:val="0"/>
              <w:autoSpaceDE w:val="0"/>
              <w:autoSpaceDN w:val="0"/>
              <w:adjustRightInd w:val="0"/>
              <w:spacing w:after="0" w:line="260" w:lineRule="exact"/>
              <w:jc w:val="both"/>
              <w:textAlignment w:val="baseline"/>
              <w:rPr>
                <w:rFonts w:eastAsia="Arial" w:cs="Arial"/>
              </w:rPr>
            </w:pPr>
            <w:r w:rsidRPr="00E9128C">
              <w:rPr>
                <w:rFonts w:eastAsia="Arial" w:cs="Arial"/>
              </w:rPr>
              <w:t xml:space="preserve">Predlog uvedbe zimskega </w:t>
            </w:r>
            <w:r w:rsidR="00151F71" w:rsidRPr="00E9128C">
              <w:rPr>
                <w:rFonts w:eastAsia="Arial" w:cs="Arial"/>
              </w:rPr>
              <w:t>regresa</w:t>
            </w:r>
            <w:r w:rsidRPr="00E9128C">
              <w:rPr>
                <w:rFonts w:eastAsia="Arial" w:cs="Arial"/>
              </w:rPr>
              <w:t xml:space="preserve"> bo vplival tudi na nižje prihodke iz naslova davka od dohodkov pravnih oseb. Ocenjujemo, da se bodo prihodki iz naslova tega davka znižali največ za 10 mio EUR v prvem letu uveljavitve.</w:t>
            </w:r>
            <w:r w:rsidR="00DC2915">
              <w:t xml:space="preserve"> </w:t>
            </w:r>
            <w:r w:rsidR="00DC2915" w:rsidRPr="00DC2915">
              <w:rPr>
                <w:rFonts w:eastAsia="Arial" w:cs="Arial"/>
              </w:rPr>
              <w:t>Na denarni tok bodo ti učinki vidni šele v letu 2026.</w:t>
            </w:r>
          </w:p>
          <w:p w14:paraId="56E377CA" w14:textId="77777777" w:rsidR="00DC2915" w:rsidRPr="006B06E4" w:rsidRDefault="00DC2915" w:rsidP="008A4972">
            <w:pPr>
              <w:pStyle w:val="Odstavekseznama"/>
              <w:widowControl w:val="0"/>
              <w:numPr>
                <w:ilvl w:val="0"/>
                <w:numId w:val="34"/>
              </w:numPr>
              <w:suppressAutoHyphens/>
              <w:overflowPunct w:val="0"/>
              <w:autoSpaceDE w:val="0"/>
              <w:autoSpaceDN w:val="0"/>
              <w:adjustRightInd w:val="0"/>
              <w:spacing w:after="0" w:line="260" w:lineRule="exact"/>
              <w:jc w:val="both"/>
              <w:textAlignment w:val="baseline"/>
              <w:rPr>
                <w:rFonts w:eastAsia="Times New Roman" w:cs="Arial"/>
                <w:i/>
                <w:iCs/>
                <w:lang w:eastAsia="sl-SI"/>
              </w:rPr>
            </w:pPr>
            <w:r w:rsidRPr="006B06E4">
              <w:rPr>
                <w:rFonts w:eastAsia="Times New Roman" w:cs="Arial"/>
                <w:i/>
                <w:iCs/>
                <w:lang w:eastAsia="sl-SI"/>
              </w:rPr>
              <w:t>Zimski dodatek</w:t>
            </w:r>
          </w:p>
          <w:p w14:paraId="04A3FE15" w14:textId="40E7A4F6" w:rsidR="000523A3" w:rsidRDefault="000523A3" w:rsidP="00DC2915">
            <w:pPr>
              <w:widowControl w:val="0"/>
              <w:suppressAutoHyphens/>
              <w:overflowPunct w:val="0"/>
              <w:autoSpaceDE w:val="0"/>
              <w:autoSpaceDN w:val="0"/>
              <w:adjustRightInd w:val="0"/>
              <w:spacing w:after="0" w:line="260" w:lineRule="exact"/>
              <w:jc w:val="both"/>
              <w:textAlignment w:val="baseline"/>
              <w:rPr>
                <w:rFonts w:eastAsia="Times New Roman" w:cs="Arial"/>
                <w:lang w:eastAsia="sl-SI"/>
              </w:rPr>
            </w:pPr>
            <w:r w:rsidRPr="00E9128C">
              <w:rPr>
                <w:rFonts w:eastAsia="Times New Roman" w:cs="Arial"/>
                <w:lang w:eastAsia="sl-SI"/>
              </w:rPr>
              <w:t>Predlog ukrepa izplačila zimskega dodatka za uživalce pokojnin in prejemnike nadomestil iz invalidskega zavarovanja bo po oceni povečal odhodke državnega proračuna za približno 87,5 mio EUR, ki se bodo zagotovila Zavodu za pokojninsko in invalidsko zavarovanje Slovenije.</w:t>
            </w:r>
          </w:p>
          <w:p w14:paraId="05EF48AC" w14:textId="77777777" w:rsidR="00DC2915" w:rsidRPr="006B06E4" w:rsidRDefault="00DC2915" w:rsidP="008A4972">
            <w:pPr>
              <w:pStyle w:val="Odstavekseznama"/>
              <w:widowControl w:val="0"/>
              <w:numPr>
                <w:ilvl w:val="0"/>
                <w:numId w:val="34"/>
              </w:numPr>
              <w:suppressAutoHyphens/>
              <w:overflowPunct w:val="0"/>
              <w:autoSpaceDE w:val="0"/>
              <w:autoSpaceDN w:val="0"/>
              <w:adjustRightInd w:val="0"/>
              <w:spacing w:after="0" w:line="260" w:lineRule="exact"/>
              <w:jc w:val="both"/>
              <w:textAlignment w:val="baseline"/>
              <w:rPr>
                <w:rFonts w:eastAsia="Times New Roman" w:cs="Arial"/>
                <w:i/>
                <w:iCs/>
                <w:lang w:eastAsia="sl-SI"/>
              </w:rPr>
            </w:pPr>
            <w:r w:rsidRPr="006B06E4">
              <w:rPr>
                <w:rFonts w:eastAsia="Times New Roman" w:cs="Arial"/>
                <w:i/>
                <w:iCs/>
                <w:lang w:eastAsia="sl-SI"/>
              </w:rPr>
              <w:t>Ugotavljanje davčne osnove od dohodkov iz dejavnosti z upoštevanjem normiranih odhodkov</w:t>
            </w:r>
          </w:p>
          <w:p w14:paraId="4BC8CE31" w14:textId="3F5C7129" w:rsidR="00DC2915" w:rsidRPr="00E9128C" w:rsidRDefault="00DC2915" w:rsidP="00E9128C">
            <w:pPr>
              <w:widowControl w:val="0"/>
              <w:suppressAutoHyphens/>
              <w:overflowPunct w:val="0"/>
              <w:autoSpaceDE w:val="0"/>
              <w:autoSpaceDN w:val="0"/>
              <w:adjustRightInd w:val="0"/>
              <w:spacing w:after="0" w:line="260" w:lineRule="exact"/>
              <w:jc w:val="both"/>
              <w:textAlignment w:val="baseline"/>
              <w:rPr>
                <w:rFonts w:eastAsia="Times New Roman" w:cs="Arial"/>
                <w:lang w:eastAsia="sl-SI"/>
              </w:rPr>
            </w:pPr>
            <w:r>
              <w:rPr>
                <w:rFonts w:eastAsia="Times New Roman" w:cs="Arial"/>
                <w:lang w:eastAsia="sl-SI"/>
              </w:rPr>
              <w:t xml:space="preserve">Rešitev na področju ugotavljanja davčne osnove od dohodkov iz dejavnosti z upoštevanjem normiranih odhodkov bo imela pozitivne učinke </w:t>
            </w:r>
            <w:r w:rsidRPr="00195756">
              <w:rPr>
                <w:rFonts w:eastAsia="Times New Roman" w:cs="Arial"/>
                <w:lang w:eastAsia="sl-SI"/>
              </w:rPr>
              <w:t>na prihodke državnega proračuna</w:t>
            </w:r>
            <w:r>
              <w:rPr>
                <w:rFonts w:eastAsia="Times New Roman" w:cs="Arial"/>
                <w:lang w:eastAsia="sl-SI"/>
              </w:rPr>
              <w:t xml:space="preserve">, in sicer v višini okoli 10 mio EUR. Prvi učinki v državnem proračunu bodo vidni šele v letu 2027 (merjeno </w:t>
            </w:r>
            <w:r w:rsidRPr="00195756">
              <w:rPr>
                <w:rFonts w:eastAsia="Times New Roman" w:cs="Arial"/>
                <w:lang w:eastAsia="sl-SI"/>
              </w:rPr>
              <w:t>v denarnem toku</w:t>
            </w:r>
            <w:r>
              <w:rPr>
                <w:rFonts w:eastAsia="Times New Roman" w:cs="Arial"/>
                <w:lang w:eastAsia="sl-SI"/>
              </w:rPr>
              <w:t>)</w:t>
            </w:r>
            <w:r w:rsidRPr="00195756">
              <w:rPr>
                <w:rFonts w:eastAsia="Times New Roman" w:cs="Arial"/>
                <w:lang w:eastAsia="sl-SI"/>
              </w:rPr>
              <w:t>.</w:t>
            </w:r>
          </w:p>
          <w:p w14:paraId="38CC936F" w14:textId="40386858" w:rsidR="00C6377C" w:rsidRPr="00E9128C" w:rsidRDefault="00C6377C" w:rsidP="4C5FDD34">
            <w:pPr>
              <w:widowControl w:val="0"/>
              <w:suppressAutoHyphens/>
              <w:overflowPunct w:val="0"/>
              <w:autoSpaceDE w:val="0"/>
              <w:autoSpaceDN w:val="0"/>
              <w:adjustRightInd w:val="0"/>
              <w:spacing w:after="0" w:line="260" w:lineRule="exact"/>
              <w:textAlignment w:val="baseline"/>
              <w:rPr>
                <w:rFonts w:eastAsia="Arial" w:cs="Arial"/>
                <w:lang w:eastAsia="sl-SI"/>
              </w:rPr>
            </w:pPr>
          </w:p>
        </w:tc>
      </w:tr>
      <w:bookmarkEnd w:id="0"/>
    </w:tbl>
    <w:p w14:paraId="2212C28C" w14:textId="77777777" w:rsidR="00AE1F83" w:rsidRPr="00E9128C"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9128C" w:rsidRPr="00E9128C" w14:paraId="4ED91482" w14:textId="77777777" w:rsidTr="00B3307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4BE2D35" w14:textId="77777777" w:rsidR="00AE1F83" w:rsidRPr="00E9128C"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E9128C">
              <w:rPr>
                <w:rFonts w:eastAsia="Times New Roman" w:cs="Arial"/>
                <w:b/>
                <w:kern w:val="32"/>
                <w:szCs w:val="20"/>
                <w:lang w:eastAsia="sl-SI"/>
              </w:rPr>
              <w:lastRenderedPageBreak/>
              <w:t>I. Ocena finančnih posledic, ki niso načrtovane v sprejetem proračunu</w:t>
            </w:r>
          </w:p>
        </w:tc>
      </w:tr>
      <w:tr w:rsidR="00E9128C" w:rsidRPr="00E9128C" w14:paraId="2F433EAB" w14:textId="77777777" w:rsidTr="00B3307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F4994A" w14:textId="77777777" w:rsidR="00AE1F83" w:rsidRPr="00E9128C"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A99275"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66485F8"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745169"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E640C94"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t + 3</w:t>
            </w:r>
          </w:p>
        </w:tc>
      </w:tr>
      <w:tr w:rsidR="00E9128C" w:rsidRPr="00E9128C" w14:paraId="46EC65FA" w14:textId="77777777" w:rsidTr="00B3307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C7E2BD" w14:textId="77777777" w:rsidR="00AE1F83" w:rsidRPr="00E9128C" w:rsidRDefault="00AE1F83" w:rsidP="00AE1F83">
            <w:pPr>
              <w:widowControl w:val="0"/>
              <w:spacing w:after="0" w:line="260" w:lineRule="exact"/>
              <w:rPr>
                <w:rFonts w:eastAsia="Times New Roman" w:cs="Arial"/>
                <w:bCs/>
                <w:szCs w:val="20"/>
              </w:rPr>
            </w:pPr>
            <w:r w:rsidRPr="00E9128C">
              <w:rPr>
                <w:rFonts w:eastAsia="Times New Roman" w:cs="Arial"/>
                <w:bCs/>
                <w:szCs w:val="20"/>
              </w:rPr>
              <w:t>Predvideno povečanje (+) ali zmanjšanje (</w:t>
            </w:r>
            <w:r w:rsidRPr="00E9128C">
              <w:rPr>
                <w:rFonts w:eastAsia="Times New Roman" w:cs="Arial"/>
                <w:b/>
                <w:szCs w:val="20"/>
              </w:rPr>
              <w:t>–</w:t>
            </w:r>
            <w:r w:rsidRPr="00E9128C">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52447A" w14:textId="77777777" w:rsidR="00AE1F83" w:rsidRPr="00E9128C"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B19D1A9" w14:textId="0B64EEF7" w:rsidR="00AE1F83" w:rsidRPr="00E9128C" w:rsidRDefault="00DC2915" w:rsidP="00AE1F83">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-10 mio EUR</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8D3C53" w14:textId="2ECC640F" w:rsidR="00AE1F83" w:rsidRPr="00E9128C" w:rsidRDefault="00117E5E" w:rsidP="00AE1F83">
            <w:pPr>
              <w:widowControl w:val="0"/>
              <w:tabs>
                <w:tab w:val="left" w:pos="360"/>
              </w:tabs>
              <w:spacing w:after="0" w:line="260" w:lineRule="exact"/>
              <w:jc w:val="center"/>
              <w:outlineLvl w:val="0"/>
              <w:rPr>
                <w:rFonts w:eastAsia="Times New Roman" w:cs="Arial"/>
                <w:kern w:val="32"/>
                <w:szCs w:val="20"/>
                <w:lang w:eastAsia="sl-SI"/>
              </w:rPr>
            </w:pPr>
            <w:r w:rsidRPr="00E9128C">
              <w:rPr>
                <w:rFonts w:eastAsia="Times New Roman" w:cs="Arial"/>
                <w:kern w:val="32"/>
                <w:szCs w:val="20"/>
                <w:lang w:eastAsia="sl-SI"/>
              </w:rPr>
              <w:t>10 mio EUR</w:t>
            </w:r>
          </w:p>
        </w:tc>
        <w:tc>
          <w:tcPr>
            <w:tcW w:w="2128" w:type="dxa"/>
            <w:tcBorders>
              <w:top w:val="single" w:sz="4" w:space="0" w:color="auto"/>
              <w:left w:val="single" w:sz="4" w:space="0" w:color="auto"/>
              <w:bottom w:val="single" w:sz="4" w:space="0" w:color="auto"/>
              <w:right w:val="single" w:sz="4" w:space="0" w:color="auto"/>
            </w:tcBorders>
            <w:vAlign w:val="center"/>
          </w:tcPr>
          <w:p w14:paraId="3D5026C7" w14:textId="77777777" w:rsidR="00AE1F83" w:rsidRPr="00E9128C"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E9128C" w:rsidRPr="00E9128C" w14:paraId="7302AC04" w14:textId="77777777" w:rsidTr="00B3307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10FECF" w14:textId="77777777" w:rsidR="00AE1F83" w:rsidRPr="00E9128C" w:rsidRDefault="00AE1F83" w:rsidP="00AE1F83">
            <w:pPr>
              <w:widowControl w:val="0"/>
              <w:spacing w:after="0" w:line="260" w:lineRule="exact"/>
              <w:rPr>
                <w:rFonts w:eastAsia="Times New Roman" w:cs="Arial"/>
                <w:bCs/>
                <w:szCs w:val="20"/>
              </w:rPr>
            </w:pPr>
            <w:r w:rsidRPr="00E9128C">
              <w:rPr>
                <w:rFonts w:eastAsia="Times New Roman" w:cs="Arial"/>
                <w:bCs/>
                <w:szCs w:val="20"/>
              </w:rPr>
              <w:t>Predvideno povečanje (+) ali zmanjšanje (</w:t>
            </w:r>
            <w:r w:rsidRPr="00E9128C">
              <w:rPr>
                <w:rFonts w:eastAsia="Times New Roman" w:cs="Arial"/>
                <w:b/>
                <w:szCs w:val="20"/>
              </w:rPr>
              <w:t>–</w:t>
            </w:r>
            <w:r w:rsidRPr="00E9128C">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0C46FC" w14:textId="77777777" w:rsidR="00AE1F83" w:rsidRPr="00E9128C"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30BE7B8" w14:textId="77777777" w:rsidR="00AE1F83" w:rsidRPr="00E9128C"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C56432" w14:textId="77777777" w:rsidR="00AE1F83" w:rsidRPr="00E9128C"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A1B0A6" w14:textId="77777777" w:rsidR="00AE1F83" w:rsidRPr="00E9128C"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E9128C" w:rsidRPr="00E9128C" w14:paraId="7E373108" w14:textId="77777777" w:rsidTr="00B3307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8DFBE1" w14:textId="77777777" w:rsidR="00AE1F83" w:rsidRPr="00E9128C" w:rsidRDefault="00AE1F83" w:rsidP="00AE1F83">
            <w:pPr>
              <w:widowControl w:val="0"/>
              <w:spacing w:after="0" w:line="260" w:lineRule="exact"/>
              <w:rPr>
                <w:rFonts w:eastAsia="Times New Roman" w:cs="Arial"/>
                <w:bCs/>
                <w:szCs w:val="20"/>
              </w:rPr>
            </w:pPr>
            <w:r w:rsidRPr="00E9128C">
              <w:rPr>
                <w:rFonts w:eastAsia="Times New Roman" w:cs="Arial"/>
                <w:bCs/>
                <w:szCs w:val="20"/>
              </w:rPr>
              <w:t>Predvideno povečanje (+) ali zmanjšanje (</w:t>
            </w:r>
            <w:r w:rsidRPr="00E9128C">
              <w:rPr>
                <w:rFonts w:eastAsia="Times New Roman" w:cs="Arial"/>
                <w:b/>
                <w:szCs w:val="20"/>
              </w:rPr>
              <w:t>–</w:t>
            </w:r>
            <w:r w:rsidRPr="00E9128C">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A04CC45" w14:textId="77777777" w:rsidR="00AE1F83" w:rsidRPr="00E9128C"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51D2B42" w14:textId="77777777" w:rsidR="00AE1F83" w:rsidRPr="00E9128C"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118C04" w14:textId="77777777" w:rsidR="00AE1F83" w:rsidRPr="00E9128C"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B357E32" w14:textId="77777777" w:rsidR="00AE1F83" w:rsidRPr="00E9128C" w:rsidRDefault="00AE1F83" w:rsidP="00AE1F83">
            <w:pPr>
              <w:widowControl w:val="0"/>
              <w:spacing w:after="0" w:line="260" w:lineRule="exact"/>
              <w:jc w:val="center"/>
              <w:rPr>
                <w:rFonts w:eastAsia="Times New Roman" w:cs="Arial"/>
                <w:szCs w:val="20"/>
              </w:rPr>
            </w:pPr>
          </w:p>
        </w:tc>
      </w:tr>
      <w:tr w:rsidR="00E9128C" w:rsidRPr="00E9128C" w14:paraId="17B887DB" w14:textId="77777777" w:rsidTr="00B3307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60FD43" w14:textId="77777777" w:rsidR="00AE1F83" w:rsidRPr="00E9128C" w:rsidRDefault="00AE1F83" w:rsidP="00AE1F83">
            <w:pPr>
              <w:widowControl w:val="0"/>
              <w:spacing w:after="0" w:line="260" w:lineRule="exact"/>
              <w:rPr>
                <w:rFonts w:eastAsia="Times New Roman" w:cs="Arial"/>
                <w:bCs/>
                <w:szCs w:val="20"/>
              </w:rPr>
            </w:pPr>
            <w:r w:rsidRPr="00E9128C">
              <w:rPr>
                <w:rFonts w:eastAsia="Times New Roman" w:cs="Arial"/>
                <w:bCs/>
                <w:szCs w:val="20"/>
              </w:rPr>
              <w:t>Predvideno povečanje (+) ali zmanjšanje (</w:t>
            </w:r>
            <w:r w:rsidRPr="00E9128C">
              <w:rPr>
                <w:rFonts w:eastAsia="Times New Roman" w:cs="Arial"/>
                <w:b/>
                <w:szCs w:val="20"/>
              </w:rPr>
              <w:t>–</w:t>
            </w:r>
            <w:r w:rsidRPr="00E9128C">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E0C8D5" w14:textId="77777777" w:rsidR="00AE1F83" w:rsidRPr="00E9128C"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78576E2" w14:textId="77777777" w:rsidR="00AE1F83" w:rsidRPr="00E9128C"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2E9E55" w14:textId="77777777" w:rsidR="00AE1F83" w:rsidRPr="00E9128C"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7D01BD" w14:textId="77777777" w:rsidR="00AE1F83" w:rsidRPr="00E9128C" w:rsidRDefault="00AE1F83" w:rsidP="00AE1F83">
            <w:pPr>
              <w:widowControl w:val="0"/>
              <w:spacing w:after="0" w:line="260" w:lineRule="exact"/>
              <w:jc w:val="center"/>
              <w:rPr>
                <w:rFonts w:eastAsia="Times New Roman" w:cs="Arial"/>
                <w:szCs w:val="20"/>
              </w:rPr>
            </w:pPr>
          </w:p>
        </w:tc>
      </w:tr>
      <w:tr w:rsidR="00E9128C" w:rsidRPr="00E9128C" w14:paraId="4847F259" w14:textId="77777777" w:rsidTr="00B3307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408805" w14:textId="77777777" w:rsidR="00AE1F83" w:rsidRPr="00E9128C" w:rsidRDefault="00AE1F83" w:rsidP="00AE1F83">
            <w:pPr>
              <w:widowControl w:val="0"/>
              <w:spacing w:after="0" w:line="260" w:lineRule="exact"/>
              <w:rPr>
                <w:rFonts w:eastAsia="Times New Roman" w:cs="Arial"/>
                <w:bCs/>
                <w:szCs w:val="20"/>
              </w:rPr>
            </w:pPr>
            <w:r w:rsidRPr="00E9128C">
              <w:rPr>
                <w:rFonts w:eastAsia="Times New Roman" w:cs="Arial"/>
                <w:bCs/>
                <w:szCs w:val="20"/>
              </w:rPr>
              <w:t>Predvideno povečanje (+) ali zmanjšanje (</w:t>
            </w:r>
            <w:r w:rsidRPr="00E9128C">
              <w:rPr>
                <w:rFonts w:eastAsia="Times New Roman" w:cs="Arial"/>
                <w:b/>
                <w:szCs w:val="20"/>
              </w:rPr>
              <w:t>–</w:t>
            </w:r>
            <w:r w:rsidRPr="00E9128C">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AEE8C7" w14:textId="77777777" w:rsidR="00AE1F83" w:rsidRPr="00E9128C"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42506A5" w14:textId="77777777" w:rsidR="00AE1F83" w:rsidRPr="00E9128C"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7C8E15" w14:textId="77777777" w:rsidR="00AE1F83" w:rsidRPr="00E9128C"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638091" w14:textId="77777777" w:rsidR="00AE1F83" w:rsidRPr="00E9128C"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E9128C" w:rsidRPr="00E9128C" w14:paraId="42A17E5F" w14:textId="77777777" w:rsidTr="00B3307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29189A" w14:textId="77777777" w:rsidR="00AE1F83" w:rsidRPr="00E9128C"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E9128C">
              <w:rPr>
                <w:rFonts w:eastAsia="Times New Roman" w:cs="Arial"/>
                <w:b/>
                <w:kern w:val="32"/>
                <w:szCs w:val="20"/>
                <w:lang w:eastAsia="sl-SI"/>
              </w:rPr>
              <w:t>II. Finančne posledice za državni proračun</w:t>
            </w:r>
          </w:p>
        </w:tc>
      </w:tr>
      <w:tr w:rsidR="00E9128C" w:rsidRPr="00E9128C" w14:paraId="076E8A35" w14:textId="77777777" w:rsidTr="00B3307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79E5B7" w14:textId="77777777" w:rsidR="00AE1F83" w:rsidRPr="00E9128C"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E9128C">
              <w:rPr>
                <w:rFonts w:eastAsia="Times New Roman" w:cs="Arial"/>
                <w:b/>
                <w:kern w:val="32"/>
                <w:szCs w:val="20"/>
                <w:lang w:eastAsia="sl-SI"/>
              </w:rPr>
              <w:t>II.a Pravice porabe za izvedbo predlaganih rešitev so zagotovljene:</w:t>
            </w:r>
          </w:p>
        </w:tc>
      </w:tr>
      <w:tr w:rsidR="00E9128C" w:rsidRPr="00E9128C" w14:paraId="24967654" w14:textId="77777777" w:rsidTr="00B3307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6B8B5DF"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2602B4"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42934D"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19B7A1"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EA68058"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Znesek za t + 1</w:t>
            </w:r>
          </w:p>
        </w:tc>
      </w:tr>
      <w:tr w:rsidR="00E9128C" w:rsidRPr="00E9128C" w14:paraId="19F6854E" w14:textId="77777777" w:rsidTr="00B3307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B463D7F"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B207D5"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E32FED"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B25DC1"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C399F7"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E9128C" w:rsidRPr="00E9128C" w14:paraId="4A7EC206" w14:textId="77777777" w:rsidTr="00B3307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64BC75"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9E940B"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A24509"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3F3858"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616C27"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E9128C" w:rsidRPr="00E9128C" w14:paraId="422F5679" w14:textId="77777777" w:rsidTr="00B3307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BE6404F"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r w:rsidRPr="00E9128C">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3E18A0" w14:textId="77777777" w:rsidR="00AE1F83" w:rsidRPr="00E9128C"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8438AC4"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E9128C" w:rsidRPr="00E9128C" w14:paraId="20A7EC2F" w14:textId="77777777" w:rsidTr="00B3307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152E8F" w14:textId="77777777" w:rsidR="00AE1F83" w:rsidRPr="00E9128C" w:rsidRDefault="00AE1F83" w:rsidP="00AE1F83">
            <w:pPr>
              <w:widowControl w:val="0"/>
              <w:tabs>
                <w:tab w:val="left" w:pos="2340"/>
              </w:tabs>
              <w:spacing w:after="0" w:line="260" w:lineRule="exact"/>
              <w:outlineLvl w:val="0"/>
              <w:rPr>
                <w:rFonts w:eastAsia="Times New Roman" w:cs="Arial"/>
                <w:b/>
                <w:kern w:val="32"/>
                <w:szCs w:val="20"/>
                <w:lang w:eastAsia="sl-SI"/>
              </w:rPr>
            </w:pPr>
            <w:r w:rsidRPr="00E9128C">
              <w:rPr>
                <w:rFonts w:eastAsia="Times New Roman" w:cs="Arial"/>
                <w:b/>
                <w:kern w:val="32"/>
                <w:szCs w:val="20"/>
                <w:lang w:eastAsia="sl-SI"/>
              </w:rPr>
              <w:t>II.b Manjkajoče pravice porabe bodo zagotovljene s prerazporeditvijo:</w:t>
            </w:r>
          </w:p>
        </w:tc>
      </w:tr>
      <w:tr w:rsidR="00E9128C" w:rsidRPr="00E9128C" w14:paraId="30548CAD" w14:textId="77777777" w:rsidTr="00B3307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1C7E72"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2BBE2C"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2B60E5"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3112E6"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AAED600" w14:textId="77777777" w:rsidR="00AE1F83" w:rsidRPr="00E9128C" w:rsidRDefault="00AE1F83" w:rsidP="00AE1F83">
            <w:pPr>
              <w:widowControl w:val="0"/>
              <w:spacing w:after="0" w:line="260" w:lineRule="exact"/>
              <w:jc w:val="center"/>
              <w:rPr>
                <w:rFonts w:eastAsia="Times New Roman" w:cs="Arial"/>
                <w:szCs w:val="20"/>
              </w:rPr>
            </w:pPr>
            <w:r w:rsidRPr="00E9128C">
              <w:rPr>
                <w:rFonts w:eastAsia="Times New Roman" w:cs="Arial"/>
                <w:szCs w:val="20"/>
              </w:rPr>
              <w:t xml:space="preserve">Znesek za t + 1 </w:t>
            </w:r>
          </w:p>
        </w:tc>
      </w:tr>
      <w:tr w:rsidR="00E9128C" w:rsidRPr="00E9128C" w14:paraId="3313B53B" w14:textId="77777777" w:rsidTr="00B3307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6A5980C"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C6DDFA"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3E7C97"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3E6C3E"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CB79FC"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E9128C" w:rsidRPr="00E9128C" w14:paraId="11CCCBBE" w14:textId="77777777" w:rsidTr="00B3307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1C5581"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08EAC3"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231DD1"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3BD91C"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04B627"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E9128C" w:rsidRPr="00E9128C" w14:paraId="3C32086B" w14:textId="77777777" w:rsidTr="00B3307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B0ECC5"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r w:rsidRPr="00E9128C">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783CF9"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C7FC97"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E9128C" w:rsidRPr="00E9128C" w14:paraId="692EBC1D" w14:textId="77777777" w:rsidTr="00B3307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679C95C" w14:textId="77777777" w:rsidR="00AE1F83" w:rsidRPr="00E9128C" w:rsidRDefault="00AE1F83" w:rsidP="00AE1F83">
            <w:pPr>
              <w:widowControl w:val="0"/>
              <w:tabs>
                <w:tab w:val="left" w:pos="2340"/>
              </w:tabs>
              <w:spacing w:after="0" w:line="260" w:lineRule="exact"/>
              <w:outlineLvl w:val="0"/>
              <w:rPr>
                <w:rFonts w:eastAsia="Times New Roman" w:cs="Arial"/>
                <w:b/>
                <w:kern w:val="32"/>
                <w:szCs w:val="20"/>
                <w:lang w:eastAsia="sl-SI"/>
              </w:rPr>
            </w:pPr>
            <w:r w:rsidRPr="00E9128C">
              <w:rPr>
                <w:rFonts w:eastAsia="Times New Roman" w:cs="Arial"/>
                <w:b/>
                <w:kern w:val="32"/>
                <w:szCs w:val="20"/>
                <w:lang w:eastAsia="sl-SI"/>
              </w:rPr>
              <w:t>II.c Načrtovana nadomestitev zmanjšanih prihodkov in povečanih odhodkov proračuna:</w:t>
            </w:r>
          </w:p>
        </w:tc>
      </w:tr>
      <w:tr w:rsidR="00E9128C" w:rsidRPr="00E9128C" w14:paraId="137D932F" w14:textId="77777777" w:rsidTr="00B3307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0F3A1BE" w14:textId="77777777" w:rsidR="00AE1F83" w:rsidRPr="00E9128C" w:rsidRDefault="00AE1F83" w:rsidP="00AE1F83">
            <w:pPr>
              <w:widowControl w:val="0"/>
              <w:spacing w:after="0" w:line="260" w:lineRule="exact"/>
              <w:ind w:left="-122" w:right="-112"/>
              <w:jc w:val="center"/>
              <w:rPr>
                <w:rFonts w:eastAsia="Times New Roman" w:cs="Arial"/>
                <w:szCs w:val="20"/>
              </w:rPr>
            </w:pPr>
            <w:r w:rsidRPr="00E9128C">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90BD81" w14:textId="77777777" w:rsidR="00AE1F83" w:rsidRPr="00E9128C" w:rsidRDefault="00AE1F83" w:rsidP="00AE1F83">
            <w:pPr>
              <w:widowControl w:val="0"/>
              <w:spacing w:after="0" w:line="260" w:lineRule="exact"/>
              <w:ind w:left="-122" w:right="-112"/>
              <w:jc w:val="center"/>
              <w:rPr>
                <w:rFonts w:eastAsia="Times New Roman" w:cs="Arial"/>
                <w:szCs w:val="20"/>
              </w:rPr>
            </w:pPr>
            <w:r w:rsidRPr="00E9128C">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C2E2A5" w14:textId="77777777" w:rsidR="00AE1F83" w:rsidRPr="00E9128C" w:rsidRDefault="00AE1F83" w:rsidP="00AE1F83">
            <w:pPr>
              <w:widowControl w:val="0"/>
              <w:spacing w:after="0" w:line="260" w:lineRule="exact"/>
              <w:ind w:left="-122" w:right="-112"/>
              <w:jc w:val="center"/>
              <w:rPr>
                <w:rFonts w:eastAsia="Times New Roman" w:cs="Arial"/>
                <w:szCs w:val="20"/>
              </w:rPr>
            </w:pPr>
            <w:r w:rsidRPr="00E9128C">
              <w:rPr>
                <w:rFonts w:eastAsia="Times New Roman" w:cs="Arial"/>
                <w:szCs w:val="20"/>
              </w:rPr>
              <w:t>Znesek za t + 1</w:t>
            </w:r>
          </w:p>
        </w:tc>
      </w:tr>
      <w:tr w:rsidR="00E9128C" w:rsidRPr="00E9128C" w14:paraId="46CFFEFC" w14:textId="77777777" w:rsidTr="00B3307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384313D"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61CFB9"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6AA886"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E9128C" w:rsidRPr="00E9128C" w14:paraId="146B24FB" w14:textId="77777777" w:rsidTr="00B3307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75EF60"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B6D09F2"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235B1D"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E9128C" w:rsidRPr="00E9128C" w14:paraId="7F193509" w14:textId="77777777" w:rsidTr="00B3307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76628F"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AFFCAF"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7DC5C8" w14:textId="77777777" w:rsidR="00AE1F83" w:rsidRPr="00E9128C"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E9128C" w:rsidRPr="00E9128C" w14:paraId="0179DD64" w14:textId="77777777" w:rsidTr="00B3307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514A0FF"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r w:rsidRPr="00E9128C">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70FA88"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047E71C" w14:textId="77777777" w:rsidR="00AE1F83" w:rsidRPr="00E9128C"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E9128C" w:rsidRPr="00E9128C" w14:paraId="19508599"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B2EEBFE" w14:textId="77777777" w:rsidR="00AE1F83" w:rsidRPr="00E9128C" w:rsidRDefault="00AE1F83" w:rsidP="00AE1F83">
            <w:pPr>
              <w:widowControl w:val="0"/>
              <w:spacing w:after="0" w:line="260" w:lineRule="exact"/>
              <w:rPr>
                <w:rFonts w:eastAsia="Times New Roman" w:cs="Arial"/>
                <w:b/>
                <w:szCs w:val="20"/>
              </w:rPr>
            </w:pPr>
          </w:p>
          <w:p w14:paraId="12203EA0" w14:textId="77777777" w:rsidR="00AE1F83" w:rsidRPr="00E9128C" w:rsidRDefault="00AE1F83" w:rsidP="00AE1F83">
            <w:pPr>
              <w:widowControl w:val="0"/>
              <w:spacing w:after="0" w:line="260" w:lineRule="exact"/>
              <w:rPr>
                <w:rFonts w:eastAsia="Times New Roman" w:cs="Arial"/>
                <w:b/>
                <w:szCs w:val="20"/>
              </w:rPr>
            </w:pPr>
            <w:r w:rsidRPr="00E9128C">
              <w:rPr>
                <w:rFonts w:eastAsia="Times New Roman" w:cs="Arial"/>
                <w:b/>
                <w:szCs w:val="20"/>
              </w:rPr>
              <w:t>OBRAZLOŽITEV:</w:t>
            </w:r>
          </w:p>
          <w:p w14:paraId="7A0F4CC6" w14:textId="77777777" w:rsidR="00AE1F83" w:rsidRPr="00E9128C"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E9128C">
              <w:rPr>
                <w:rFonts w:eastAsia="Times New Roman" w:cs="Arial"/>
                <w:b/>
                <w:szCs w:val="20"/>
                <w:lang w:eastAsia="sl-SI"/>
              </w:rPr>
              <w:t>Ocena finančnih posledic, ki niso načrtovane v sprejetem proračunu</w:t>
            </w:r>
          </w:p>
          <w:p w14:paraId="3801412A" w14:textId="77777777" w:rsidR="00AE1F83" w:rsidRPr="00E9128C" w:rsidRDefault="00AE1F83" w:rsidP="00AE1F83">
            <w:pPr>
              <w:widowControl w:val="0"/>
              <w:spacing w:after="0" w:line="260" w:lineRule="exact"/>
              <w:ind w:left="360" w:hanging="76"/>
              <w:jc w:val="both"/>
              <w:rPr>
                <w:rFonts w:eastAsia="Times New Roman" w:cs="Arial"/>
                <w:szCs w:val="20"/>
                <w:lang w:eastAsia="sl-SI"/>
              </w:rPr>
            </w:pPr>
            <w:r w:rsidRPr="00E9128C">
              <w:rPr>
                <w:rFonts w:eastAsia="Times New Roman" w:cs="Arial"/>
                <w:szCs w:val="20"/>
                <w:lang w:eastAsia="sl-SI"/>
              </w:rPr>
              <w:t>V zvezi s predlaganim vladnim gradivom se navedejo predvidene spremembe (povečanje, zmanjšanje):</w:t>
            </w:r>
          </w:p>
          <w:p w14:paraId="232DBE34" w14:textId="77777777" w:rsidR="00AE1F83" w:rsidRPr="00E9128C" w:rsidRDefault="00AE1F83" w:rsidP="00BB37FE">
            <w:pPr>
              <w:widowControl w:val="0"/>
              <w:numPr>
                <w:ilvl w:val="0"/>
                <w:numId w:val="3"/>
              </w:numPr>
              <w:suppressAutoHyphens/>
              <w:spacing w:after="0" w:line="260" w:lineRule="exact"/>
              <w:jc w:val="both"/>
              <w:rPr>
                <w:rFonts w:eastAsia="Times New Roman" w:cs="Arial"/>
                <w:szCs w:val="20"/>
              </w:rPr>
            </w:pPr>
            <w:r w:rsidRPr="00E9128C">
              <w:rPr>
                <w:rFonts w:eastAsia="Times New Roman" w:cs="Arial"/>
                <w:szCs w:val="20"/>
                <w:lang w:eastAsia="sl-SI"/>
              </w:rPr>
              <w:t>prihodkov državnega proračuna in občinskih proračunov,</w:t>
            </w:r>
          </w:p>
          <w:p w14:paraId="2CE6917B" w14:textId="77777777" w:rsidR="00AE1F83" w:rsidRPr="00E9128C" w:rsidRDefault="00AE1F83" w:rsidP="00BB37FE">
            <w:pPr>
              <w:widowControl w:val="0"/>
              <w:numPr>
                <w:ilvl w:val="0"/>
                <w:numId w:val="3"/>
              </w:numPr>
              <w:suppressAutoHyphens/>
              <w:spacing w:after="0" w:line="260" w:lineRule="exact"/>
              <w:jc w:val="both"/>
              <w:rPr>
                <w:rFonts w:eastAsia="Times New Roman" w:cs="Arial"/>
                <w:szCs w:val="20"/>
              </w:rPr>
            </w:pPr>
            <w:r w:rsidRPr="00E9128C">
              <w:rPr>
                <w:rFonts w:eastAsia="Times New Roman" w:cs="Arial"/>
                <w:szCs w:val="20"/>
                <w:lang w:eastAsia="sl-SI"/>
              </w:rPr>
              <w:t>odhodkov državnega proračuna, ki niso načrtovani na ukrepih oziroma projektih sprejetih proračunov,</w:t>
            </w:r>
          </w:p>
          <w:p w14:paraId="2467E531" w14:textId="77777777" w:rsidR="00AE1F83" w:rsidRPr="00E9128C" w:rsidRDefault="00AE1F83" w:rsidP="00BB37FE">
            <w:pPr>
              <w:widowControl w:val="0"/>
              <w:numPr>
                <w:ilvl w:val="0"/>
                <w:numId w:val="3"/>
              </w:numPr>
              <w:suppressAutoHyphens/>
              <w:spacing w:after="0" w:line="260" w:lineRule="exact"/>
              <w:jc w:val="both"/>
              <w:rPr>
                <w:rFonts w:eastAsia="Times New Roman" w:cs="Arial"/>
                <w:szCs w:val="20"/>
              </w:rPr>
            </w:pPr>
            <w:r w:rsidRPr="00E9128C">
              <w:rPr>
                <w:rFonts w:eastAsia="Times New Roman" w:cs="Arial"/>
                <w:szCs w:val="20"/>
                <w:lang w:eastAsia="sl-SI"/>
              </w:rPr>
              <w:lastRenderedPageBreak/>
              <w:t>obveznosti za druga javnofinančna sredstva (drugi viri), ki niso načrtovana na ukrepih oziroma projektih sprejetih proračunov.</w:t>
            </w:r>
          </w:p>
          <w:p w14:paraId="40D0438B" w14:textId="77777777" w:rsidR="00AE1F83" w:rsidRPr="00E9128C" w:rsidRDefault="00AE1F83" w:rsidP="00AE1F83">
            <w:pPr>
              <w:widowControl w:val="0"/>
              <w:spacing w:after="0" w:line="260" w:lineRule="exact"/>
              <w:ind w:left="284"/>
              <w:rPr>
                <w:rFonts w:eastAsia="Times New Roman" w:cs="Arial"/>
                <w:szCs w:val="20"/>
                <w:lang w:eastAsia="sl-SI"/>
              </w:rPr>
            </w:pPr>
          </w:p>
          <w:p w14:paraId="10BC14EC" w14:textId="77777777" w:rsidR="00AE1F83" w:rsidRPr="00E9128C"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E9128C">
              <w:rPr>
                <w:rFonts w:eastAsia="Times New Roman" w:cs="Arial"/>
                <w:b/>
                <w:szCs w:val="20"/>
                <w:lang w:eastAsia="sl-SI"/>
              </w:rPr>
              <w:t>Finančne posledice za državni proračun</w:t>
            </w:r>
          </w:p>
          <w:p w14:paraId="1A7B6B04" w14:textId="77777777" w:rsidR="00AE1F83" w:rsidRPr="00E9128C" w:rsidRDefault="00AE1F83" w:rsidP="00AE1F83">
            <w:pPr>
              <w:widowControl w:val="0"/>
              <w:spacing w:after="0" w:line="260" w:lineRule="exact"/>
              <w:ind w:left="284"/>
              <w:jc w:val="both"/>
              <w:rPr>
                <w:rFonts w:eastAsia="Times New Roman" w:cs="Arial"/>
                <w:szCs w:val="20"/>
                <w:lang w:eastAsia="sl-SI"/>
              </w:rPr>
            </w:pPr>
            <w:r w:rsidRPr="00E9128C">
              <w:rPr>
                <w:rFonts w:eastAsia="Times New Roman" w:cs="Arial"/>
                <w:szCs w:val="20"/>
                <w:lang w:eastAsia="sl-SI"/>
              </w:rPr>
              <w:t>Prikazane morajo biti finančne posledice za državni proračun, ki so na proračunskih postavkah načrtovane v dinamiki projektov oziroma ukrepov:</w:t>
            </w:r>
          </w:p>
          <w:p w14:paraId="0BC544A9" w14:textId="77777777" w:rsidR="00AE1F83" w:rsidRPr="00E9128C" w:rsidRDefault="00AE1F83" w:rsidP="00AE1F83">
            <w:pPr>
              <w:widowControl w:val="0"/>
              <w:suppressAutoHyphens/>
              <w:spacing w:after="0" w:line="260" w:lineRule="exact"/>
              <w:ind w:left="720"/>
              <w:jc w:val="both"/>
              <w:rPr>
                <w:rFonts w:eastAsia="Times New Roman" w:cs="Arial"/>
                <w:b/>
                <w:szCs w:val="20"/>
                <w:lang w:eastAsia="sl-SI"/>
              </w:rPr>
            </w:pPr>
            <w:r w:rsidRPr="00E9128C">
              <w:rPr>
                <w:rFonts w:eastAsia="Times New Roman" w:cs="Arial"/>
                <w:b/>
                <w:szCs w:val="20"/>
                <w:lang w:eastAsia="sl-SI"/>
              </w:rPr>
              <w:t>II.a Pravice porabe za izvedbo predlaganih rešitev so zagotovljene:</w:t>
            </w:r>
          </w:p>
          <w:p w14:paraId="29E7B075" w14:textId="77777777" w:rsidR="00AE1F83" w:rsidRPr="00E9128C" w:rsidRDefault="00AE1F83" w:rsidP="00AE1F83">
            <w:pPr>
              <w:widowControl w:val="0"/>
              <w:spacing w:after="0" w:line="260" w:lineRule="exact"/>
              <w:ind w:left="284"/>
              <w:jc w:val="both"/>
              <w:rPr>
                <w:rFonts w:eastAsia="Times New Roman" w:cs="Arial"/>
                <w:szCs w:val="20"/>
                <w:lang w:eastAsia="sl-SI"/>
              </w:rPr>
            </w:pPr>
            <w:r w:rsidRPr="00E9128C">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86940A9" w14:textId="77777777" w:rsidR="00AE1F83" w:rsidRPr="00E9128C" w:rsidRDefault="00AE1F83" w:rsidP="00BB37FE">
            <w:pPr>
              <w:widowControl w:val="0"/>
              <w:numPr>
                <w:ilvl w:val="0"/>
                <w:numId w:val="4"/>
              </w:numPr>
              <w:suppressAutoHyphens/>
              <w:spacing w:after="0" w:line="260" w:lineRule="exact"/>
              <w:jc w:val="both"/>
              <w:rPr>
                <w:rFonts w:eastAsia="Times New Roman" w:cs="Arial"/>
                <w:szCs w:val="20"/>
                <w:lang w:eastAsia="sl-SI"/>
              </w:rPr>
            </w:pPr>
            <w:r w:rsidRPr="00E9128C">
              <w:rPr>
                <w:rFonts w:eastAsia="Times New Roman" w:cs="Arial"/>
                <w:szCs w:val="20"/>
                <w:lang w:eastAsia="sl-SI"/>
              </w:rPr>
              <w:t>proračunski uporabnik, ki bo financiral novi projekt oziroma ukrep,</w:t>
            </w:r>
          </w:p>
          <w:p w14:paraId="38E26A2A" w14:textId="77777777" w:rsidR="00AE1F83" w:rsidRPr="00E9128C" w:rsidRDefault="00AE1F83" w:rsidP="00BB37FE">
            <w:pPr>
              <w:widowControl w:val="0"/>
              <w:numPr>
                <w:ilvl w:val="0"/>
                <w:numId w:val="4"/>
              </w:numPr>
              <w:suppressAutoHyphens/>
              <w:spacing w:after="0" w:line="260" w:lineRule="exact"/>
              <w:jc w:val="both"/>
              <w:rPr>
                <w:rFonts w:eastAsia="Times New Roman" w:cs="Arial"/>
                <w:szCs w:val="20"/>
                <w:lang w:eastAsia="sl-SI"/>
              </w:rPr>
            </w:pPr>
            <w:r w:rsidRPr="00E9128C">
              <w:rPr>
                <w:rFonts w:eastAsia="Times New Roman" w:cs="Arial"/>
                <w:szCs w:val="20"/>
                <w:lang w:eastAsia="sl-SI"/>
              </w:rPr>
              <w:t xml:space="preserve">projekt oziroma ukrep, s katerim se bodo dosegli cilji vladnega gradiva, in </w:t>
            </w:r>
          </w:p>
          <w:p w14:paraId="610F8DC5" w14:textId="77777777" w:rsidR="00AE1F83" w:rsidRPr="00E9128C" w:rsidRDefault="00AE1F83" w:rsidP="00BB37FE">
            <w:pPr>
              <w:widowControl w:val="0"/>
              <w:numPr>
                <w:ilvl w:val="0"/>
                <w:numId w:val="4"/>
              </w:numPr>
              <w:suppressAutoHyphens/>
              <w:spacing w:after="0" w:line="260" w:lineRule="exact"/>
              <w:jc w:val="both"/>
              <w:rPr>
                <w:rFonts w:eastAsia="Times New Roman" w:cs="Arial"/>
                <w:szCs w:val="20"/>
                <w:lang w:eastAsia="sl-SI"/>
              </w:rPr>
            </w:pPr>
            <w:r w:rsidRPr="00E9128C">
              <w:rPr>
                <w:rFonts w:eastAsia="Times New Roman" w:cs="Arial"/>
                <w:szCs w:val="20"/>
                <w:lang w:eastAsia="sl-SI"/>
              </w:rPr>
              <w:t>proračunske postavke.</w:t>
            </w:r>
          </w:p>
          <w:p w14:paraId="2CBEA778" w14:textId="77777777" w:rsidR="00AE1F83" w:rsidRPr="00E9128C" w:rsidRDefault="00AE1F83" w:rsidP="00AE1F83">
            <w:pPr>
              <w:widowControl w:val="0"/>
              <w:spacing w:after="0" w:line="260" w:lineRule="exact"/>
              <w:ind w:left="284"/>
              <w:jc w:val="both"/>
              <w:rPr>
                <w:rFonts w:eastAsia="Times New Roman" w:cs="Arial"/>
                <w:szCs w:val="20"/>
                <w:lang w:eastAsia="sl-SI"/>
              </w:rPr>
            </w:pPr>
            <w:r w:rsidRPr="00E9128C">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92B6576" w14:textId="77777777" w:rsidR="00AE1F83" w:rsidRPr="00E9128C" w:rsidRDefault="00AE1F83" w:rsidP="00AE1F83">
            <w:pPr>
              <w:widowControl w:val="0"/>
              <w:suppressAutoHyphens/>
              <w:spacing w:after="0" w:line="260" w:lineRule="exact"/>
              <w:ind w:left="714"/>
              <w:jc w:val="both"/>
              <w:rPr>
                <w:rFonts w:eastAsia="Times New Roman" w:cs="Arial"/>
                <w:b/>
                <w:szCs w:val="20"/>
                <w:lang w:eastAsia="sl-SI"/>
              </w:rPr>
            </w:pPr>
            <w:r w:rsidRPr="00E9128C">
              <w:rPr>
                <w:rFonts w:eastAsia="Times New Roman" w:cs="Arial"/>
                <w:b/>
                <w:szCs w:val="20"/>
                <w:lang w:eastAsia="sl-SI"/>
              </w:rPr>
              <w:t>II.b Manjkajoče pravice porabe bodo zagotovljene s prerazporeditvijo:</w:t>
            </w:r>
          </w:p>
          <w:p w14:paraId="00E0228F" w14:textId="77777777" w:rsidR="00AE1F83" w:rsidRPr="00E9128C" w:rsidRDefault="00AE1F83" w:rsidP="00AE1F83">
            <w:pPr>
              <w:widowControl w:val="0"/>
              <w:spacing w:after="0" w:line="260" w:lineRule="exact"/>
              <w:ind w:left="284"/>
              <w:jc w:val="both"/>
              <w:rPr>
                <w:rFonts w:eastAsia="Times New Roman" w:cs="Arial"/>
                <w:szCs w:val="20"/>
                <w:lang w:eastAsia="sl-SI"/>
              </w:rPr>
            </w:pPr>
            <w:r w:rsidRPr="00E9128C">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19A6E63" w14:textId="77777777" w:rsidR="00AE1F83" w:rsidRPr="00E9128C" w:rsidRDefault="00AE1F83" w:rsidP="00AE1F83">
            <w:pPr>
              <w:widowControl w:val="0"/>
              <w:suppressAutoHyphens/>
              <w:spacing w:after="0" w:line="260" w:lineRule="exact"/>
              <w:ind w:left="714"/>
              <w:jc w:val="both"/>
              <w:rPr>
                <w:rFonts w:eastAsia="Times New Roman" w:cs="Arial"/>
                <w:b/>
                <w:szCs w:val="20"/>
                <w:lang w:eastAsia="sl-SI"/>
              </w:rPr>
            </w:pPr>
            <w:r w:rsidRPr="00E9128C">
              <w:rPr>
                <w:rFonts w:eastAsia="Times New Roman" w:cs="Arial"/>
                <w:b/>
                <w:szCs w:val="20"/>
                <w:lang w:eastAsia="sl-SI"/>
              </w:rPr>
              <w:t>II.c Načrtovana nadomestitev zmanjšanih prihodkov in povečanih odhodkov proračuna:</w:t>
            </w:r>
          </w:p>
          <w:p w14:paraId="0C89ACC7" w14:textId="77777777" w:rsidR="00AE1F83" w:rsidRPr="00E9128C" w:rsidRDefault="00AE1F83" w:rsidP="00AE1F83">
            <w:pPr>
              <w:widowControl w:val="0"/>
              <w:spacing w:after="0" w:line="260" w:lineRule="exact"/>
              <w:ind w:left="284"/>
              <w:jc w:val="both"/>
              <w:rPr>
                <w:rFonts w:eastAsia="Times New Roman" w:cs="Arial"/>
                <w:szCs w:val="20"/>
                <w:lang w:eastAsia="sl-SI"/>
              </w:rPr>
            </w:pPr>
            <w:r w:rsidRPr="00E9128C">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8B600FC" w14:textId="77777777" w:rsidR="00AE1F83" w:rsidRPr="00E9128C"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E9128C" w:rsidRPr="00E9128C" w14:paraId="1AE52DEB"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12209B3" w14:textId="77777777" w:rsidR="00AE1F83" w:rsidRPr="00E9128C" w:rsidRDefault="00AE1F83" w:rsidP="00AE1F83">
            <w:pPr>
              <w:spacing w:after="0" w:line="260" w:lineRule="exact"/>
              <w:rPr>
                <w:rFonts w:eastAsia="Times New Roman" w:cs="Arial"/>
                <w:b/>
                <w:szCs w:val="20"/>
              </w:rPr>
            </w:pPr>
            <w:r w:rsidRPr="00E9128C">
              <w:rPr>
                <w:rFonts w:eastAsia="Times New Roman" w:cs="Arial"/>
                <w:b/>
                <w:szCs w:val="20"/>
              </w:rPr>
              <w:lastRenderedPageBreak/>
              <w:t>7.b Predstavitev ocene finančnih posledic pod 40.000 EUR:</w:t>
            </w:r>
          </w:p>
          <w:p w14:paraId="27DB15EF" w14:textId="5ADA4E1D" w:rsidR="00AE1F83" w:rsidRPr="00E9128C" w:rsidRDefault="002E60C5" w:rsidP="002E60C5">
            <w:pPr>
              <w:spacing w:after="0" w:line="260" w:lineRule="exact"/>
              <w:rPr>
                <w:rFonts w:eastAsia="Times New Roman" w:cs="Arial"/>
                <w:b/>
                <w:szCs w:val="20"/>
              </w:rPr>
            </w:pPr>
            <w:r w:rsidRPr="00E9128C">
              <w:rPr>
                <w:rFonts w:eastAsia="Times New Roman" w:cs="Arial"/>
                <w:b/>
                <w:szCs w:val="20"/>
              </w:rPr>
              <w:t>/</w:t>
            </w:r>
          </w:p>
        </w:tc>
      </w:tr>
      <w:tr w:rsidR="00E9128C" w:rsidRPr="00E9128C" w14:paraId="7F5D40C1"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1F5DC5" w14:textId="77777777" w:rsidR="00AE1F83" w:rsidRPr="00E9128C" w:rsidRDefault="00AE1F83" w:rsidP="00AE1F83">
            <w:pPr>
              <w:spacing w:after="0" w:line="260" w:lineRule="exact"/>
              <w:rPr>
                <w:rFonts w:eastAsia="Times New Roman" w:cs="Arial"/>
                <w:b/>
                <w:szCs w:val="20"/>
              </w:rPr>
            </w:pPr>
            <w:r w:rsidRPr="00E9128C">
              <w:rPr>
                <w:rFonts w:eastAsia="Times New Roman" w:cs="Arial"/>
                <w:b/>
                <w:szCs w:val="20"/>
              </w:rPr>
              <w:t>8. Predstavitev sodelovanja z združenji občin:</w:t>
            </w:r>
          </w:p>
        </w:tc>
      </w:tr>
      <w:tr w:rsidR="00E9128C" w:rsidRPr="00E9128C" w14:paraId="69A2AAB0"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78A256C"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Vsebina predloženega gradiva (predpisa) vpliva na:</w:t>
            </w:r>
          </w:p>
          <w:p w14:paraId="49CA7D12" w14:textId="77777777" w:rsidR="00AE1F83" w:rsidRPr="00E9128C" w:rsidRDefault="00AE1F83" w:rsidP="00BB37FE">
            <w:pPr>
              <w:widowControl w:val="0"/>
              <w:numPr>
                <w:ilvl w:val="1"/>
                <w:numId w:val="7"/>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E9128C">
              <w:rPr>
                <w:rFonts w:eastAsia="Times New Roman" w:cs="Arial"/>
                <w:iCs/>
                <w:szCs w:val="20"/>
                <w:lang w:eastAsia="sl-SI"/>
              </w:rPr>
              <w:t>pristojnosti občin,</w:t>
            </w:r>
          </w:p>
          <w:p w14:paraId="782CF766" w14:textId="77777777" w:rsidR="00AE1F83" w:rsidRPr="00E9128C" w:rsidRDefault="00AE1F83" w:rsidP="00BB37FE">
            <w:pPr>
              <w:widowControl w:val="0"/>
              <w:numPr>
                <w:ilvl w:val="1"/>
                <w:numId w:val="7"/>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E9128C">
              <w:rPr>
                <w:rFonts w:eastAsia="Times New Roman" w:cs="Arial"/>
                <w:iCs/>
                <w:szCs w:val="20"/>
                <w:lang w:eastAsia="sl-SI"/>
              </w:rPr>
              <w:t>delovanje občin,</w:t>
            </w:r>
          </w:p>
          <w:p w14:paraId="701BF86A" w14:textId="77777777" w:rsidR="00AE1F83" w:rsidRPr="00E9128C" w:rsidRDefault="00AE1F83" w:rsidP="00BB37FE">
            <w:pPr>
              <w:widowControl w:val="0"/>
              <w:numPr>
                <w:ilvl w:val="1"/>
                <w:numId w:val="3"/>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E9128C">
              <w:rPr>
                <w:rFonts w:eastAsia="Times New Roman" w:cs="Arial"/>
                <w:iCs/>
                <w:szCs w:val="20"/>
                <w:lang w:eastAsia="sl-SI"/>
              </w:rPr>
              <w:t>financiranje občin.</w:t>
            </w:r>
          </w:p>
          <w:p w14:paraId="7C15FE27" w14:textId="77777777" w:rsidR="00AE1F83" w:rsidRPr="00E9128C"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72C423EA" w14:textId="758576C8" w:rsidR="00AE1F83" w:rsidRPr="00E9128C" w:rsidRDefault="003B2E98"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E9128C">
              <w:rPr>
                <w:rFonts w:eastAsia="Times New Roman" w:cs="Arial"/>
                <w:szCs w:val="20"/>
                <w:lang w:eastAsia="sl-SI"/>
              </w:rPr>
              <w:t>DA</w:t>
            </w:r>
          </w:p>
        </w:tc>
      </w:tr>
      <w:tr w:rsidR="00E9128C" w:rsidRPr="00E9128C" w14:paraId="3323EEBC"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07B0452"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 xml:space="preserve">Gradivo (predpis) je bilo poslano v mnenje: </w:t>
            </w:r>
          </w:p>
          <w:p w14:paraId="2A618439" w14:textId="5E30362C" w:rsidR="00AE1F83" w:rsidRPr="00E9128C" w:rsidRDefault="00AE1F83" w:rsidP="00BB37FE">
            <w:pPr>
              <w:widowControl w:val="0"/>
              <w:numPr>
                <w:ilvl w:val="0"/>
                <w:numId w:val="5"/>
              </w:num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Skupnosti občin Slovenije SOS: NE</w:t>
            </w:r>
          </w:p>
          <w:p w14:paraId="7A1A4EA7" w14:textId="60237863" w:rsidR="00AE1F83" w:rsidRPr="00E9128C" w:rsidRDefault="00AE1F83" w:rsidP="00BB37FE">
            <w:pPr>
              <w:widowControl w:val="0"/>
              <w:numPr>
                <w:ilvl w:val="0"/>
                <w:numId w:val="5"/>
              </w:num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Združenju občin Slovenije ZOS: NE</w:t>
            </w:r>
          </w:p>
          <w:p w14:paraId="5E48559A" w14:textId="52207DCA" w:rsidR="00AE1F83" w:rsidRPr="00E9128C" w:rsidRDefault="00AE1F83" w:rsidP="00BB37FE">
            <w:pPr>
              <w:widowControl w:val="0"/>
              <w:numPr>
                <w:ilvl w:val="0"/>
                <w:numId w:val="5"/>
              </w:num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Združenju mestnih občin Slovenije ZMOS: NE</w:t>
            </w:r>
          </w:p>
          <w:p w14:paraId="1808D561"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5EEBB50"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Predlogi in pripombe združenj so bili upoštevani:</w:t>
            </w:r>
          </w:p>
          <w:p w14:paraId="5294B411" w14:textId="77777777" w:rsidR="00AE1F83" w:rsidRPr="00E9128C" w:rsidRDefault="00AE1F83" w:rsidP="00BB37FE">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v celoti,</w:t>
            </w:r>
          </w:p>
          <w:p w14:paraId="2DCCDF5F" w14:textId="77777777" w:rsidR="00AE1F83" w:rsidRPr="00E9128C" w:rsidRDefault="00AE1F83" w:rsidP="00BB37FE">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večinoma,</w:t>
            </w:r>
          </w:p>
          <w:p w14:paraId="27A20845" w14:textId="77777777" w:rsidR="00AE1F83" w:rsidRPr="00E9128C" w:rsidRDefault="00AE1F83" w:rsidP="00BB37FE">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delno,</w:t>
            </w:r>
          </w:p>
          <w:p w14:paraId="0E2400DB" w14:textId="77777777" w:rsidR="00AE1F83" w:rsidRPr="00E9128C" w:rsidRDefault="00AE1F83" w:rsidP="00BB37FE">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lastRenderedPageBreak/>
              <w:t>niso bili upoštevani.</w:t>
            </w:r>
          </w:p>
          <w:p w14:paraId="16419778" w14:textId="77777777" w:rsidR="00AE1F83" w:rsidRPr="00E9128C"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6D5C9C20"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Bistveni predlogi in pripombe, ki niso bili upoštevani.</w:t>
            </w:r>
          </w:p>
          <w:p w14:paraId="14DE670C"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E9128C" w:rsidRPr="00E9128C" w14:paraId="4B5F6F36"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48A5EB1" w14:textId="77777777" w:rsidR="00AE1F83" w:rsidRPr="00E9128C"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E9128C">
              <w:rPr>
                <w:rFonts w:eastAsia="Times New Roman" w:cs="Arial"/>
                <w:b/>
                <w:szCs w:val="20"/>
                <w:lang w:eastAsia="sl-SI"/>
              </w:rPr>
              <w:lastRenderedPageBreak/>
              <w:t>9. Predstavitev sodelovanja javnosti:</w:t>
            </w:r>
          </w:p>
        </w:tc>
      </w:tr>
      <w:tr w:rsidR="00E9128C" w:rsidRPr="00E9128C" w14:paraId="3E4B1C42"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73A4C53"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E9128C">
              <w:rPr>
                <w:rFonts w:eastAsia="Times New Roman" w:cs="Arial"/>
                <w:iCs/>
                <w:szCs w:val="20"/>
                <w:lang w:eastAsia="sl-SI"/>
              </w:rPr>
              <w:t>Gradivo je bilo predhodno objavljeno na spletni strani predlagatelja:</w:t>
            </w:r>
          </w:p>
        </w:tc>
        <w:tc>
          <w:tcPr>
            <w:tcW w:w="2431" w:type="dxa"/>
            <w:gridSpan w:val="2"/>
          </w:tcPr>
          <w:p w14:paraId="028EE09A" w14:textId="1E94E836" w:rsidR="00AE1F83" w:rsidRPr="00E9128C" w:rsidRDefault="00977BE6"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szCs w:val="20"/>
                <w:lang w:eastAsia="sl-SI"/>
              </w:rPr>
              <w:t>NE</w:t>
            </w:r>
          </w:p>
        </w:tc>
      </w:tr>
      <w:tr w:rsidR="00E9128C" w:rsidRPr="00E9128C" w14:paraId="1189B1F8"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87DF2D" w14:textId="77777777" w:rsidR="00AE1F83" w:rsidRPr="00E9128C"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(Če je odgovor NE, navedite, zakaj ni bilo objavljeno.)</w:t>
            </w:r>
          </w:p>
        </w:tc>
      </w:tr>
      <w:tr w:rsidR="00E9128C" w:rsidRPr="00E9128C" w14:paraId="5BC55248"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BF7B8E6" w14:textId="7076F114" w:rsidR="00AE6567" w:rsidRPr="00E9128C" w:rsidRDefault="00AE6567" w:rsidP="00C225EE">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 xml:space="preserve">Izhodišča za razpravo o uvedbi obvezne pravice delavcev do izplačila 14. plače (božičnice), je obravnaval </w:t>
            </w:r>
            <w:r w:rsidR="007831A7" w:rsidRPr="00E9128C">
              <w:rPr>
                <w:rFonts w:eastAsia="Times New Roman" w:cs="Arial"/>
                <w:iCs/>
                <w:szCs w:val="20"/>
                <w:lang w:eastAsia="sl-SI"/>
              </w:rPr>
              <w:t>Ekonomsko-socialn</w:t>
            </w:r>
            <w:r w:rsidRPr="00E9128C">
              <w:rPr>
                <w:rFonts w:eastAsia="Times New Roman" w:cs="Arial"/>
                <w:iCs/>
                <w:szCs w:val="20"/>
                <w:lang w:eastAsia="sl-SI"/>
              </w:rPr>
              <w:t>i</w:t>
            </w:r>
            <w:r w:rsidR="007831A7" w:rsidRPr="00E9128C">
              <w:rPr>
                <w:rFonts w:eastAsia="Times New Roman" w:cs="Arial"/>
                <w:iCs/>
                <w:szCs w:val="20"/>
                <w:lang w:eastAsia="sl-SI"/>
              </w:rPr>
              <w:t xml:space="preserve"> svet</w:t>
            </w:r>
            <w:r w:rsidRPr="00E9128C">
              <w:rPr>
                <w:rFonts w:eastAsia="Times New Roman" w:cs="Arial"/>
                <w:iCs/>
                <w:szCs w:val="20"/>
                <w:lang w:eastAsia="sl-SI"/>
              </w:rPr>
              <w:t xml:space="preserve"> </w:t>
            </w:r>
            <w:r w:rsidR="007831A7" w:rsidRPr="00E9128C">
              <w:rPr>
                <w:rFonts w:eastAsia="Times New Roman" w:cs="Arial"/>
                <w:iCs/>
                <w:szCs w:val="20"/>
                <w:lang w:eastAsia="sl-SI"/>
              </w:rPr>
              <w:t>na seji dne</w:t>
            </w:r>
            <w:r w:rsidR="0075171D" w:rsidRPr="00E9128C">
              <w:rPr>
                <w:rFonts w:eastAsia="Times New Roman" w:cs="Arial"/>
                <w:iCs/>
                <w:szCs w:val="20"/>
                <w:lang w:eastAsia="sl-SI"/>
              </w:rPr>
              <w:t xml:space="preserve"> </w:t>
            </w:r>
            <w:r w:rsidRPr="00E9128C">
              <w:rPr>
                <w:rFonts w:eastAsia="Times New Roman" w:cs="Arial"/>
                <w:iCs/>
                <w:szCs w:val="20"/>
                <w:lang w:eastAsia="sl-SI"/>
              </w:rPr>
              <w:t>10</w:t>
            </w:r>
            <w:r w:rsidR="007831A7" w:rsidRPr="00E9128C">
              <w:rPr>
                <w:rFonts w:eastAsia="Times New Roman" w:cs="Arial"/>
                <w:iCs/>
                <w:szCs w:val="20"/>
                <w:lang w:eastAsia="sl-SI"/>
              </w:rPr>
              <w:t xml:space="preserve">. </w:t>
            </w:r>
            <w:r w:rsidRPr="00E9128C">
              <w:rPr>
                <w:rFonts w:eastAsia="Times New Roman" w:cs="Arial"/>
                <w:iCs/>
                <w:szCs w:val="20"/>
                <w:lang w:eastAsia="sl-SI"/>
              </w:rPr>
              <w:t>oktobra 2025.</w:t>
            </w:r>
          </w:p>
          <w:p w14:paraId="7153F90D" w14:textId="29CED113" w:rsidR="00C0673B" w:rsidRPr="00E9128C" w:rsidRDefault="001705F7" w:rsidP="001705F7">
            <w:pPr>
              <w:pBdr>
                <w:top w:val="nil"/>
                <w:left w:val="nil"/>
                <w:bottom w:val="nil"/>
                <w:right w:val="nil"/>
                <w:between w:val="nil"/>
              </w:pBdr>
              <w:spacing w:after="0"/>
              <w:ind w:hanging="2"/>
              <w:jc w:val="both"/>
              <w:rPr>
                <w:rFonts w:eastAsia="Arial" w:cs="Arial"/>
                <w:szCs w:val="20"/>
              </w:rPr>
            </w:pPr>
            <w:bookmarkStart w:id="5" w:name="_Hlk212183988"/>
            <w:r w:rsidRPr="00E9128C">
              <w:rPr>
                <w:rFonts w:eastAsia="Arial" w:cs="Arial"/>
                <w:szCs w:val="20"/>
              </w:rPr>
              <w:t>Vlada Republike Slovenije se je n</w:t>
            </w:r>
            <w:r w:rsidR="00DE0454" w:rsidRPr="00E9128C">
              <w:rPr>
                <w:rFonts w:eastAsia="Arial" w:cs="Arial"/>
                <w:szCs w:val="20"/>
              </w:rPr>
              <w:t>a</w:t>
            </w:r>
            <w:r w:rsidRPr="00E9128C">
              <w:rPr>
                <w:rFonts w:eastAsia="Arial" w:cs="Arial"/>
                <w:szCs w:val="20"/>
              </w:rPr>
              <w:t xml:space="preserve"> seji</w:t>
            </w:r>
            <w:r w:rsidR="00BB049E" w:rsidRPr="00E9128C">
              <w:rPr>
                <w:rFonts w:eastAsia="Arial" w:cs="Arial"/>
                <w:szCs w:val="20"/>
              </w:rPr>
              <w:t xml:space="preserve"> dne 16. </w:t>
            </w:r>
            <w:r w:rsidR="004167F0" w:rsidRPr="00E9128C">
              <w:rPr>
                <w:rFonts w:eastAsia="Arial" w:cs="Arial"/>
                <w:szCs w:val="20"/>
              </w:rPr>
              <w:t>oktobra</w:t>
            </w:r>
            <w:r w:rsidR="00BB049E" w:rsidRPr="00E9128C">
              <w:rPr>
                <w:rFonts w:eastAsia="Arial" w:cs="Arial"/>
                <w:szCs w:val="20"/>
              </w:rPr>
              <w:t xml:space="preserve"> 2025</w:t>
            </w:r>
            <w:r w:rsidRPr="00E9128C">
              <w:rPr>
                <w:rFonts w:eastAsia="Arial" w:cs="Arial"/>
                <w:szCs w:val="20"/>
              </w:rPr>
              <w:t xml:space="preserve"> seznanila z besedilom Predloga Zakona o izplačilu zimskega </w:t>
            </w:r>
            <w:r w:rsidR="00151F71" w:rsidRPr="00E9128C">
              <w:rPr>
                <w:rFonts w:eastAsia="Arial" w:cs="Arial"/>
                <w:szCs w:val="20"/>
              </w:rPr>
              <w:t xml:space="preserve">regresa </w:t>
            </w:r>
            <w:r w:rsidRPr="00E9128C">
              <w:rPr>
                <w:rFonts w:eastAsia="Arial" w:cs="Arial"/>
                <w:szCs w:val="20"/>
              </w:rPr>
              <w:t>in ga posredovala v obravnavo na Ekonomsko-socialni svet</w:t>
            </w:r>
            <w:r w:rsidR="00BB049E" w:rsidRPr="00E9128C">
              <w:rPr>
                <w:rFonts w:eastAsia="Arial" w:cs="Arial"/>
                <w:szCs w:val="20"/>
              </w:rPr>
              <w:t xml:space="preserve"> in </w:t>
            </w:r>
            <w:r w:rsidR="00E74AEB" w:rsidRPr="00E9128C">
              <w:rPr>
                <w:rFonts w:eastAsia="Arial" w:cs="Arial"/>
                <w:szCs w:val="20"/>
              </w:rPr>
              <w:t xml:space="preserve">predlagala </w:t>
            </w:r>
            <w:r w:rsidRPr="00E9128C">
              <w:rPr>
                <w:rFonts w:eastAsia="Arial" w:cs="Arial"/>
                <w:szCs w:val="20"/>
              </w:rPr>
              <w:t xml:space="preserve">sklic izredne seje Ekonomsko-socialnega sveta, na kateri se bo obravnaval Predlog Zakona o izplačilu zimskega </w:t>
            </w:r>
            <w:r w:rsidR="000C1ED9" w:rsidRPr="00E9128C">
              <w:t>regresa</w:t>
            </w:r>
            <w:r w:rsidRPr="00E9128C">
              <w:rPr>
                <w:rFonts w:eastAsia="Arial" w:cs="Arial"/>
                <w:szCs w:val="20"/>
              </w:rPr>
              <w:t xml:space="preserve">, </w:t>
            </w:r>
            <w:r w:rsidR="007D06F1">
              <w:rPr>
                <w:rFonts w:eastAsia="Arial" w:cs="Arial"/>
                <w:szCs w:val="20"/>
              </w:rPr>
              <w:t>najpozneje</w:t>
            </w:r>
            <w:r w:rsidRPr="00E9128C">
              <w:rPr>
                <w:rFonts w:eastAsia="Arial" w:cs="Arial"/>
                <w:szCs w:val="20"/>
              </w:rPr>
              <w:t xml:space="preserve"> do 2</w:t>
            </w:r>
            <w:r w:rsidR="00E74AEB" w:rsidRPr="00E9128C">
              <w:rPr>
                <w:rFonts w:eastAsia="Arial" w:cs="Arial"/>
                <w:szCs w:val="20"/>
              </w:rPr>
              <w:t>7</w:t>
            </w:r>
            <w:r w:rsidRPr="00E9128C">
              <w:rPr>
                <w:rFonts w:eastAsia="Arial" w:cs="Arial"/>
                <w:szCs w:val="20"/>
              </w:rPr>
              <w:t>. oktobra 2025.</w:t>
            </w:r>
            <w:r w:rsidR="008A2809" w:rsidRPr="00E9128C">
              <w:rPr>
                <w:rFonts w:eastAsia="Arial" w:cs="Arial"/>
                <w:szCs w:val="20"/>
              </w:rPr>
              <w:t xml:space="preserve"> </w:t>
            </w:r>
          </w:p>
          <w:p w14:paraId="2BFB6D47" w14:textId="1971B0F1" w:rsidR="001705F7" w:rsidRPr="00E9128C" w:rsidRDefault="008A2809" w:rsidP="00E9128C">
            <w:pPr>
              <w:pBdr>
                <w:top w:val="nil"/>
                <w:left w:val="nil"/>
                <w:bottom w:val="nil"/>
                <w:right w:val="nil"/>
                <w:between w:val="nil"/>
              </w:pBdr>
              <w:spacing w:after="0"/>
              <w:jc w:val="both"/>
              <w:rPr>
                <w:rFonts w:eastAsia="Arial" w:cs="Arial"/>
                <w:szCs w:val="20"/>
              </w:rPr>
            </w:pPr>
            <w:r w:rsidRPr="00E9128C">
              <w:rPr>
                <w:rFonts w:eastAsia="Arial" w:cs="Arial"/>
                <w:szCs w:val="20"/>
              </w:rPr>
              <w:t>Predsednik Ekonomsko-socialnega sveta je sklical izredno sejo ESS za ponedeljek, 27. oktobra 2025.</w:t>
            </w:r>
          </w:p>
          <w:bookmarkEnd w:id="5"/>
          <w:p w14:paraId="6B093864" w14:textId="6D3C5FA5" w:rsidR="006D333A" w:rsidRPr="00E9128C" w:rsidRDefault="00C6563C" w:rsidP="00D225AF">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Institut zimskega dodatka za upokojence je bil v predlagani obliki že usklajen na nivoju pogajalske skupine ESS za pripravo sprememb pokojninske zakonodaje. Zaradi negotovosti glede uveljavitve  ZPIZ-2O EPA 2117-IX (v nadaljnjem besedilu: ZPIZ-2O), saj poteka postopek za zbiranje podpisov za razpis naknadnega zakonodajnega referenduma, se s tem zakonom zagotavlja izplačilo zimskega dodatka v letu 2025 za uživalce pokojnin in nadomestil v višini, kot je bila predvidena v ZPIZ-2O.</w:t>
            </w:r>
          </w:p>
        </w:tc>
      </w:tr>
      <w:tr w:rsidR="00E9128C" w:rsidRPr="00E9128C" w14:paraId="627F2610"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BF27B09" w14:textId="77777777" w:rsidR="00AE1F83" w:rsidRPr="00E9128C"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E9128C">
              <w:rPr>
                <w:rFonts w:eastAsia="Times New Roman" w:cs="Arial"/>
                <w:b/>
                <w:szCs w:val="20"/>
                <w:lang w:eastAsia="sl-SI"/>
              </w:rPr>
              <w:t>10. Pri pripravi gradiva so bile upoštevane zahteve iz Resolucije o normativni dejavnosti:</w:t>
            </w:r>
          </w:p>
        </w:tc>
        <w:tc>
          <w:tcPr>
            <w:tcW w:w="2431" w:type="dxa"/>
            <w:gridSpan w:val="2"/>
            <w:vAlign w:val="center"/>
          </w:tcPr>
          <w:p w14:paraId="6066CACE" w14:textId="0EFFD76D" w:rsidR="00AE1F83" w:rsidRPr="00E9128C"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E9128C">
              <w:rPr>
                <w:rFonts w:eastAsia="Times New Roman" w:cs="Arial"/>
                <w:szCs w:val="20"/>
                <w:lang w:eastAsia="sl-SI"/>
              </w:rPr>
              <w:t>DA</w:t>
            </w:r>
          </w:p>
        </w:tc>
      </w:tr>
      <w:tr w:rsidR="00E9128C" w:rsidRPr="00E9128C" w14:paraId="1D6687CD"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2E41CDD" w14:textId="77777777" w:rsidR="00AE1F83" w:rsidRPr="00E9128C"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E9128C">
              <w:rPr>
                <w:rFonts w:eastAsia="Times New Roman" w:cs="Arial"/>
                <w:b/>
                <w:szCs w:val="20"/>
                <w:lang w:eastAsia="sl-SI"/>
              </w:rPr>
              <w:t>11. Gradivo je uvrščeno v delovni program vlade:</w:t>
            </w:r>
          </w:p>
        </w:tc>
        <w:tc>
          <w:tcPr>
            <w:tcW w:w="2431" w:type="dxa"/>
            <w:gridSpan w:val="2"/>
            <w:vAlign w:val="center"/>
          </w:tcPr>
          <w:p w14:paraId="44341716" w14:textId="4890D554" w:rsidR="00AE1F83" w:rsidRPr="00E9128C" w:rsidRDefault="00D210EF"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E9128C">
              <w:rPr>
                <w:rFonts w:eastAsia="Times New Roman" w:cs="Arial"/>
                <w:szCs w:val="20"/>
                <w:lang w:eastAsia="sl-SI"/>
              </w:rPr>
              <w:t>NE</w:t>
            </w:r>
          </w:p>
        </w:tc>
      </w:tr>
      <w:tr w:rsidR="00AE1F83" w:rsidRPr="00E9128C" w14:paraId="44677886" w14:textId="77777777" w:rsidTr="00B33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1749107" w14:textId="77777777" w:rsidR="00AE1F83" w:rsidRPr="00E9128C"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6A798364" w14:textId="27DA5075" w:rsidR="00EA1E8A" w:rsidRPr="00E9128C" w:rsidRDefault="00B66F0D"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bCs/>
                <w:szCs w:val="20"/>
                <w:lang w:eastAsia="sl-SI"/>
              </w:rPr>
            </w:pPr>
            <w:r>
              <w:rPr>
                <w:rFonts w:eastAsia="Times New Roman" w:cs="Arial"/>
                <w:b/>
                <w:bCs/>
                <w:szCs w:val="20"/>
                <w:lang w:eastAsia="sl-SI"/>
              </w:rPr>
              <w:t>Klemen Boštjančič</w:t>
            </w:r>
          </w:p>
          <w:p w14:paraId="6FEC6CF1" w14:textId="0520F966" w:rsidR="00AE1F83" w:rsidRPr="00E9128C" w:rsidRDefault="00801098"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bCs/>
                <w:szCs w:val="20"/>
                <w:lang w:eastAsia="sl-SI"/>
              </w:rPr>
            </w:pPr>
            <w:r w:rsidRPr="00E9128C">
              <w:rPr>
                <w:rFonts w:eastAsia="Times New Roman" w:cs="Arial"/>
                <w:b/>
                <w:bCs/>
                <w:szCs w:val="20"/>
                <w:lang w:eastAsia="sl-SI"/>
              </w:rPr>
              <w:t>MINISTER</w:t>
            </w:r>
          </w:p>
          <w:p w14:paraId="5C1C4A9E" w14:textId="77777777" w:rsidR="00AE1F83" w:rsidRPr="00E9128C"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50878073" w14:textId="12D6607E" w:rsidR="00FB397B" w:rsidRPr="00E9128C" w:rsidRDefault="00FB397B"/>
    <w:p w14:paraId="568856C8" w14:textId="77777777" w:rsidR="00EA1E8A" w:rsidRPr="00E9128C" w:rsidRDefault="00EA1E8A" w:rsidP="00EA1E8A">
      <w:pPr>
        <w:pStyle w:val="Naslovpredpisa"/>
        <w:spacing w:before="0" w:after="0" w:line="288" w:lineRule="auto"/>
        <w:jc w:val="both"/>
        <w:rPr>
          <w:rFonts w:cs="Arial"/>
          <w:b w:val="0"/>
          <w:sz w:val="20"/>
          <w:szCs w:val="20"/>
        </w:rPr>
      </w:pPr>
      <w:r w:rsidRPr="00E9128C">
        <w:rPr>
          <w:rFonts w:cs="Arial"/>
          <w:b w:val="0"/>
          <w:sz w:val="20"/>
          <w:szCs w:val="20"/>
        </w:rPr>
        <w:t xml:space="preserve">Priloga: </w:t>
      </w:r>
    </w:p>
    <w:p w14:paraId="477613F1" w14:textId="027E7860" w:rsidR="00EA1E8A" w:rsidRPr="00E9128C" w:rsidRDefault="00EA1E8A" w:rsidP="00EA1E8A">
      <w:pPr>
        <w:pStyle w:val="Naslovpredpisa"/>
        <w:spacing w:before="0" w:after="0" w:line="288" w:lineRule="auto"/>
        <w:jc w:val="both"/>
        <w:rPr>
          <w:rFonts w:cs="Arial"/>
          <w:b w:val="0"/>
          <w:sz w:val="20"/>
          <w:szCs w:val="20"/>
        </w:rPr>
      </w:pPr>
      <w:r w:rsidRPr="00E9128C">
        <w:rPr>
          <w:rFonts w:cs="Arial"/>
          <w:b w:val="0"/>
          <w:sz w:val="20"/>
          <w:szCs w:val="20"/>
        </w:rPr>
        <w:t>- predlog sklepa</w:t>
      </w:r>
    </w:p>
    <w:p w14:paraId="45408057" w14:textId="32051104" w:rsidR="00EA1E8A" w:rsidRPr="00E9128C" w:rsidRDefault="00EA1E8A"/>
    <w:p w14:paraId="076A8BB1" w14:textId="1D7DB27C" w:rsidR="00EA1E8A" w:rsidRPr="00E9128C" w:rsidRDefault="00EA1E8A"/>
    <w:p w14:paraId="2CF7FE88" w14:textId="40EC6F0A" w:rsidR="00EA1E8A" w:rsidRPr="00E9128C" w:rsidRDefault="00EA1E8A"/>
    <w:p w14:paraId="496C9EFC" w14:textId="671C06E8" w:rsidR="00EA1E8A" w:rsidRPr="00E9128C" w:rsidRDefault="00EA1E8A"/>
    <w:p w14:paraId="3C6220C2" w14:textId="77777777" w:rsidR="008516CF" w:rsidRPr="00E9128C" w:rsidRDefault="008516CF">
      <w:pPr>
        <w:rPr>
          <w:rFonts w:eastAsia="Arial" w:cs="Arial"/>
          <w:szCs w:val="20"/>
        </w:rPr>
      </w:pPr>
      <w:r w:rsidRPr="00E9128C">
        <w:rPr>
          <w:rFonts w:eastAsia="Arial" w:cs="Arial"/>
          <w:szCs w:val="20"/>
        </w:rPr>
        <w:br w:type="page"/>
      </w:r>
    </w:p>
    <w:p w14:paraId="01608CFB" w14:textId="75A6211F" w:rsidR="00EB04B3" w:rsidRPr="00E9128C" w:rsidRDefault="00415FDB" w:rsidP="00415FDB">
      <w:pPr>
        <w:pBdr>
          <w:top w:val="nil"/>
          <w:left w:val="nil"/>
          <w:bottom w:val="nil"/>
          <w:right w:val="nil"/>
          <w:between w:val="nil"/>
        </w:pBdr>
        <w:spacing w:after="0" w:line="240" w:lineRule="auto"/>
        <w:ind w:hanging="2"/>
        <w:jc w:val="both"/>
        <w:rPr>
          <w:rFonts w:eastAsia="Arial" w:cs="Arial"/>
          <w:szCs w:val="20"/>
        </w:rPr>
      </w:pPr>
      <w:r w:rsidRPr="00E9128C">
        <w:rPr>
          <w:rFonts w:eastAsia="Arial" w:cs="Arial"/>
          <w:szCs w:val="20"/>
        </w:rPr>
        <w:lastRenderedPageBreak/>
        <w:t>Na podlagi drugega odstavka 2. člena Zakona o Vladi Republike Slovenije (Uradni list RS, št. 24/05 – uradno prečiščeno besedilo, 109/08, 38/10 – ZUKN, 8/12, 21/13, 47/13 – ZDU-1G, 65/14</w:t>
      </w:r>
      <w:r w:rsidR="00AB62A5" w:rsidRPr="00E9128C">
        <w:rPr>
          <w:rFonts w:eastAsia="Arial" w:cs="Arial"/>
          <w:szCs w:val="20"/>
        </w:rPr>
        <w:t>,</w:t>
      </w:r>
      <w:r w:rsidRPr="00E9128C">
        <w:rPr>
          <w:rFonts w:eastAsia="Arial" w:cs="Arial"/>
          <w:szCs w:val="20"/>
        </w:rPr>
        <w:t xml:space="preserve"> 55/17</w:t>
      </w:r>
      <w:r w:rsidR="00200A7B" w:rsidRPr="00E9128C">
        <w:rPr>
          <w:rFonts w:eastAsia="Arial" w:cs="Arial"/>
          <w:szCs w:val="20"/>
        </w:rPr>
        <w:t>,</w:t>
      </w:r>
      <w:r w:rsidR="00AB62A5" w:rsidRPr="00E9128C">
        <w:rPr>
          <w:rFonts w:eastAsia="Arial" w:cs="Arial"/>
          <w:szCs w:val="20"/>
        </w:rPr>
        <w:t xml:space="preserve"> </w:t>
      </w:r>
      <w:r w:rsidR="00200A7B" w:rsidRPr="00E9128C">
        <w:rPr>
          <w:rFonts w:eastAsia="Arial" w:cs="Arial"/>
          <w:szCs w:val="20"/>
        </w:rPr>
        <w:t>163/22 in 57/25 – ZF</w:t>
      </w:r>
      <w:r w:rsidRPr="00E9128C">
        <w:rPr>
          <w:rFonts w:eastAsia="Arial" w:cs="Arial"/>
          <w:szCs w:val="20"/>
        </w:rPr>
        <w:t xml:space="preserve">) je Vlada Republike Slovenije na ... seji dne ... sprejela naslednji </w:t>
      </w:r>
    </w:p>
    <w:p w14:paraId="42F31287" w14:textId="77777777" w:rsidR="00EB04B3" w:rsidRPr="00E9128C" w:rsidRDefault="00EB04B3" w:rsidP="00415FDB">
      <w:pPr>
        <w:pBdr>
          <w:top w:val="nil"/>
          <w:left w:val="nil"/>
          <w:bottom w:val="nil"/>
          <w:right w:val="nil"/>
          <w:between w:val="nil"/>
        </w:pBdr>
        <w:spacing w:after="0" w:line="240" w:lineRule="auto"/>
        <w:ind w:hanging="2"/>
        <w:jc w:val="both"/>
        <w:rPr>
          <w:rFonts w:eastAsia="Arial" w:cs="Arial"/>
          <w:szCs w:val="20"/>
        </w:rPr>
      </w:pPr>
    </w:p>
    <w:p w14:paraId="511D637B" w14:textId="77777777" w:rsidR="00EB04B3" w:rsidRPr="00E9128C" w:rsidRDefault="00EB04B3" w:rsidP="00415FDB">
      <w:pPr>
        <w:pBdr>
          <w:top w:val="nil"/>
          <w:left w:val="nil"/>
          <w:bottom w:val="nil"/>
          <w:right w:val="nil"/>
          <w:between w:val="nil"/>
        </w:pBdr>
        <w:spacing w:after="0" w:line="240" w:lineRule="auto"/>
        <w:ind w:hanging="2"/>
        <w:jc w:val="both"/>
        <w:rPr>
          <w:rFonts w:eastAsia="Arial" w:cs="Arial"/>
          <w:szCs w:val="20"/>
        </w:rPr>
      </w:pPr>
    </w:p>
    <w:p w14:paraId="785B2C19" w14:textId="5B7FC786" w:rsidR="00415FDB" w:rsidRPr="00E9128C" w:rsidRDefault="00EB04B3" w:rsidP="008670B8">
      <w:pPr>
        <w:pBdr>
          <w:top w:val="nil"/>
          <w:left w:val="nil"/>
          <w:bottom w:val="nil"/>
          <w:right w:val="nil"/>
          <w:between w:val="nil"/>
        </w:pBdr>
        <w:spacing w:after="0" w:line="240" w:lineRule="auto"/>
        <w:ind w:firstLine="3969"/>
        <w:jc w:val="both"/>
        <w:rPr>
          <w:rFonts w:eastAsia="Arial" w:cs="Arial"/>
          <w:szCs w:val="20"/>
        </w:rPr>
      </w:pPr>
      <w:r w:rsidRPr="00E9128C">
        <w:rPr>
          <w:rFonts w:eastAsia="Arial" w:cs="Arial"/>
          <w:szCs w:val="20"/>
        </w:rPr>
        <w:t>SKLEP:</w:t>
      </w:r>
    </w:p>
    <w:p w14:paraId="5CB7B537" w14:textId="77777777" w:rsidR="00415FDB" w:rsidRPr="00E9128C" w:rsidRDefault="00415FDB" w:rsidP="00415FDB">
      <w:pPr>
        <w:pBdr>
          <w:top w:val="nil"/>
          <w:left w:val="nil"/>
          <w:bottom w:val="nil"/>
          <w:right w:val="nil"/>
          <w:between w:val="nil"/>
        </w:pBdr>
        <w:spacing w:after="0"/>
        <w:ind w:hanging="2"/>
        <w:jc w:val="both"/>
        <w:rPr>
          <w:rFonts w:eastAsia="Arial" w:cs="Arial"/>
          <w:szCs w:val="20"/>
        </w:rPr>
      </w:pPr>
    </w:p>
    <w:p w14:paraId="0B90BCCB" w14:textId="77777777" w:rsidR="00415FDB" w:rsidRPr="00E9128C" w:rsidRDefault="00415FDB" w:rsidP="00415FDB">
      <w:pPr>
        <w:pBdr>
          <w:top w:val="nil"/>
          <w:left w:val="nil"/>
          <w:bottom w:val="nil"/>
          <w:right w:val="nil"/>
          <w:between w:val="nil"/>
        </w:pBdr>
        <w:spacing w:after="0"/>
        <w:ind w:hanging="2"/>
        <w:jc w:val="both"/>
        <w:rPr>
          <w:rFonts w:eastAsia="Arial" w:cs="Arial"/>
          <w:szCs w:val="20"/>
        </w:rPr>
      </w:pPr>
    </w:p>
    <w:p w14:paraId="51352234" w14:textId="74C46C1F" w:rsidR="0036009B" w:rsidRPr="00E9128C" w:rsidRDefault="0036009B" w:rsidP="0036009B">
      <w:pPr>
        <w:pBdr>
          <w:top w:val="nil"/>
          <w:left w:val="nil"/>
          <w:bottom w:val="nil"/>
          <w:right w:val="nil"/>
          <w:between w:val="nil"/>
        </w:pBdr>
        <w:spacing w:after="0"/>
        <w:ind w:hanging="2"/>
        <w:jc w:val="both"/>
        <w:rPr>
          <w:rFonts w:eastAsia="Arial" w:cs="Arial"/>
          <w:szCs w:val="20"/>
        </w:rPr>
      </w:pPr>
      <w:r w:rsidRPr="00E9128C">
        <w:rPr>
          <w:rFonts w:eastAsia="Arial" w:cs="Arial"/>
          <w:szCs w:val="20"/>
        </w:rPr>
        <w:t xml:space="preserve">Vlada Republike Slovenije je določila besedilo Predloga </w:t>
      </w:r>
      <w:r w:rsidRPr="00E9128C">
        <w:rPr>
          <w:rFonts w:cs="Arial"/>
          <w:szCs w:val="20"/>
          <w:lang w:eastAsia="sl-SI"/>
        </w:rPr>
        <w:t xml:space="preserve">Zakona </w:t>
      </w:r>
      <w:r w:rsidRPr="00E9128C">
        <w:rPr>
          <w:rFonts w:eastAsia="Times New Roman" w:cs="Arial"/>
          <w:szCs w:val="20"/>
          <w:lang w:eastAsia="sl-SI"/>
        </w:rPr>
        <w:t xml:space="preserve">o izplačilu zimskega </w:t>
      </w:r>
      <w:r w:rsidR="000A4D87" w:rsidRPr="00E9128C">
        <w:rPr>
          <w:rFonts w:eastAsia="Times New Roman" w:cs="Arial"/>
          <w:szCs w:val="20"/>
          <w:lang w:eastAsia="sl-SI"/>
        </w:rPr>
        <w:t>regresa</w:t>
      </w:r>
      <w:r w:rsidR="00A76108" w:rsidRPr="00E9128C">
        <w:t xml:space="preserve"> </w:t>
      </w:r>
      <w:r w:rsidR="00A76108" w:rsidRPr="00E9128C">
        <w:rPr>
          <w:rFonts w:eastAsia="Times New Roman" w:cs="Arial"/>
          <w:szCs w:val="20"/>
          <w:lang w:eastAsia="sl-SI"/>
        </w:rPr>
        <w:t>ter prenovi ugotavljanja davčne osnove z upoštevanjem normiranih odhodkov</w:t>
      </w:r>
      <w:r w:rsidR="000A4D87" w:rsidRPr="00E9128C">
        <w:rPr>
          <w:rFonts w:cs="Arial"/>
        </w:rPr>
        <w:t xml:space="preserve"> </w:t>
      </w:r>
      <w:r w:rsidRPr="00E9128C">
        <w:rPr>
          <w:rFonts w:cs="Arial"/>
          <w:szCs w:val="20"/>
          <w:lang w:eastAsia="sl-SI"/>
        </w:rPr>
        <w:t xml:space="preserve">(EVA </w:t>
      </w:r>
      <w:r w:rsidRPr="00E9128C">
        <w:rPr>
          <w:rFonts w:eastAsiaTheme="minorHAnsi" w:cs="Arial"/>
          <w:szCs w:val="20"/>
        </w:rPr>
        <w:t>2025-</w:t>
      </w:r>
      <w:r w:rsidR="00103084">
        <w:rPr>
          <w:rFonts w:eastAsiaTheme="minorHAnsi" w:cs="Arial"/>
          <w:szCs w:val="20"/>
        </w:rPr>
        <w:t>1</w:t>
      </w:r>
      <w:r w:rsidRPr="00E9128C">
        <w:rPr>
          <w:rFonts w:eastAsiaTheme="minorHAnsi" w:cs="Arial"/>
          <w:szCs w:val="20"/>
        </w:rPr>
        <w:t>611-00</w:t>
      </w:r>
      <w:r w:rsidR="00103084">
        <w:rPr>
          <w:rFonts w:eastAsiaTheme="minorHAnsi" w:cs="Arial"/>
          <w:szCs w:val="20"/>
        </w:rPr>
        <w:t>83</w:t>
      </w:r>
      <w:r w:rsidRPr="00E9128C">
        <w:rPr>
          <w:rFonts w:eastAsia="Arial" w:cs="Arial"/>
          <w:szCs w:val="20"/>
        </w:rPr>
        <w:t>) in ga pošlje v obravnavo Državnemu zboru po nujnem postopku.</w:t>
      </w:r>
    </w:p>
    <w:p w14:paraId="7E6DF7D5" w14:textId="77777777" w:rsidR="0036009B" w:rsidRPr="00E9128C" w:rsidRDefault="0036009B" w:rsidP="0036009B">
      <w:pPr>
        <w:pBdr>
          <w:top w:val="nil"/>
          <w:left w:val="nil"/>
          <w:bottom w:val="nil"/>
          <w:right w:val="nil"/>
          <w:between w:val="nil"/>
        </w:pBdr>
        <w:spacing w:after="0"/>
        <w:ind w:hanging="2"/>
        <w:jc w:val="both"/>
        <w:rPr>
          <w:rFonts w:eastAsia="Arial" w:cs="Arial"/>
          <w:szCs w:val="20"/>
        </w:rPr>
      </w:pPr>
    </w:p>
    <w:p w14:paraId="4AA75F62" w14:textId="77777777" w:rsidR="00415FDB" w:rsidRPr="00E9128C" w:rsidRDefault="00415FDB" w:rsidP="00415FDB">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2030FD1" w14:textId="77777777" w:rsidR="00415FDB" w:rsidRPr="00E9128C" w:rsidRDefault="00415FDB" w:rsidP="00415FDB">
      <w:pPr>
        <w:spacing w:after="0" w:line="240" w:lineRule="auto"/>
        <w:ind w:left="4177"/>
        <w:textAlignment w:val="baseline"/>
        <w:outlineLvl w:val="2"/>
        <w:rPr>
          <w:rFonts w:eastAsia="Times New Roman" w:cs="Arial"/>
          <w:iCs/>
          <w:szCs w:val="20"/>
          <w:lang w:eastAsia="sl-SI"/>
        </w:rPr>
      </w:pPr>
      <w:r w:rsidRPr="00E9128C">
        <w:rPr>
          <w:rFonts w:eastAsia="Times New Roman" w:cs="Arial"/>
          <w:iCs/>
          <w:szCs w:val="20"/>
          <w:lang w:eastAsia="sl-SI"/>
        </w:rPr>
        <w:t>Barbara Kolenko Helbl</w:t>
      </w:r>
    </w:p>
    <w:p w14:paraId="1A8276E8" w14:textId="77777777" w:rsidR="00415FDB" w:rsidRPr="00E9128C" w:rsidRDefault="00415FDB" w:rsidP="00415FDB">
      <w:pPr>
        <w:spacing w:after="0" w:line="240" w:lineRule="auto"/>
        <w:ind w:left="4177"/>
        <w:textAlignment w:val="baseline"/>
        <w:rPr>
          <w:rFonts w:eastAsia="Times New Roman" w:cs="Arial"/>
          <w:iCs/>
          <w:szCs w:val="20"/>
          <w:lang w:eastAsia="sl-SI"/>
        </w:rPr>
      </w:pPr>
      <w:r w:rsidRPr="00E9128C">
        <w:rPr>
          <w:rFonts w:eastAsia="Times New Roman" w:cs="Arial"/>
          <w:iCs/>
          <w:szCs w:val="20"/>
          <w:lang w:eastAsia="sl-SI"/>
        </w:rPr>
        <w:t xml:space="preserve">generalna sekretarka </w:t>
      </w:r>
    </w:p>
    <w:p w14:paraId="1A185BAE" w14:textId="77777777" w:rsidR="00415FDB" w:rsidRPr="00E9128C" w:rsidRDefault="00415FDB" w:rsidP="00415FDB">
      <w:pPr>
        <w:pBdr>
          <w:top w:val="nil"/>
          <w:left w:val="nil"/>
          <w:bottom w:val="nil"/>
          <w:right w:val="nil"/>
          <w:between w:val="nil"/>
        </w:pBdr>
        <w:spacing w:after="0"/>
        <w:ind w:hanging="2"/>
        <w:jc w:val="both"/>
        <w:rPr>
          <w:rFonts w:eastAsia="Arial" w:cs="Arial"/>
          <w:szCs w:val="20"/>
        </w:rPr>
      </w:pPr>
    </w:p>
    <w:p w14:paraId="3381DAEF" w14:textId="77777777" w:rsidR="00415FDB" w:rsidRPr="00E9128C" w:rsidRDefault="00415FDB" w:rsidP="00415FDB">
      <w:pPr>
        <w:pBdr>
          <w:top w:val="nil"/>
          <w:left w:val="nil"/>
          <w:bottom w:val="nil"/>
          <w:right w:val="nil"/>
          <w:between w:val="nil"/>
        </w:pBdr>
        <w:spacing w:after="0"/>
        <w:ind w:hanging="2"/>
        <w:jc w:val="both"/>
        <w:rPr>
          <w:rFonts w:eastAsia="Arial" w:cs="Arial"/>
          <w:szCs w:val="20"/>
        </w:rPr>
      </w:pPr>
    </w:p>
    <w:p w14:paraId="17B8C98F" w14:textId="77777777" w:rsidR="00415FDB" w:rsidRPr="00E9128C" w:rsidRDefault="00415FDB" w:rsidP="00415FDB">
      <w:pPr>
        <w:pBdr>
          <w:top w:val="nil"/>
          <w:left w:val="nil"/>
          <w:bottom w:val="nil"/>
          <w:right w:val="nil"/>
          <w:between w:val="nil"/>
        </w:pBdr>
        <w:spacing w:after="0"/>
        <w:ind w:hanging="2"/>
        <w:jc w:val="both"/>
        <w:rPr>
          <w:rFonts w:eastAsia="Arial" w:cs="Arial"/>
          <w:szCs w:val="20"/>
        </w:rPr>
      </w:pPr>
      <w:r w:rsidRPr="00E9128C">
        <w:rPr>
          <w:rFonts w:eastAsia="Arial" w:cs="Arial"/>
          <w:szCs w:val="20"/>
        </w:rPr>
        <w:t>Priloga:</w:t>
      </w:r>
    </w:p>
    <w:p w14:paraId="0D95D63C" w14:textId="22F784E5" w:rsidR="00415FDB" w:rsidRPr="00E9128C" w:rsidRDefault="00EB04B3" w:rsidP="00BB37FE">
      <w:pPr>
        <w:numPr>
          <w:ilvl w:val="0"/>
          <w:numId w:val="8"/>
        </w:numPr>
        <w:pBdr>
          <w:top w:val="nil"/>
          <w:left w:val="nil"/>
          <w:bottom w:val="nil"/>
          <w:right w:val="nil"/>
          <w:between w:val="nil"/>
        </w:pBdr>
        <w:spacing w:after="0"/>
        <w:jc w:val="both"/>
        <w:rPr>
          <w:rFonts w:eastAsia="Arial" w:cs="Arial"/>
          <w:szCs w:val="20"/>
        </w:rPr>
      </w:pPr>
      <w:r w:rsidRPr="00E9128C">
        <w:rPr>
          <w:rFonts w:eastAsia="Arial" w:cs="Arial"/>
          <w:szCs w:val="20"/>
        </w:rPr>
        <w:t>P</w:t>
      </w:r>
      <w:r w:rsidR="00415FDB" w:rsidRPr="00E9128C">
        <w:rPr>
          <w:rFonts w:eastAsia="Arial" w:cs="Arial"/>
          <w:szCs w:val="20"/>
        </w:rPr>
        <w:t xml:space="preserve">redlog </w:t>
      </w:r>
      <w:r w:rsidR="00200A7B" w:rsidRPr="00E9128C">
        <w:rPr>
          <w:rFonts w:eastAsia="Arial" w:cs="Arial"/>
          <w:szCs w:val="20"/>
        </w:rPr>
        <w:t xml:space="preserve">Zakona </w:t>
      </w:r>
      <w:r w:rsidR="0080114A" w:rsidRPr="00E9128C">
        <w:rPr>
          <w:rFonts w:eastAsia="Arial" w:cs="Arial"/>
          <w:szCs w:val="20"/>
        </w:rPr>
        <w:t xml:space="preserve">o izplačilu zimskega </w:t>
      </w:r>
      <w:r w:rsidR="000A4D87" w:rsidRPr="00E9128C">
        <w:rPr>
          <w:rFonts w:eastAsia="Arial" w:cs="Arial"/>
          <w:szCs w:val="20"/>
        </w:rPr>
        <w:t>regresa</w:t>
      </w:r>
      <w:r w:rsidR="0080485D" w:rsidRPr="00E9128C">
        <w:t xml:space="preserve"> </w:t>
      </w:r>
      <w:r w:rsidR="0080485D" w:rsidRPr="00E9128C">
        <w:rPr>
          <w:rFonts w:eastAsia="Arial" w:cs="Arial"/>
          <w:szCs w:val="20"/>
        </w:rPr>
        <w:t>ter prenovi ugotavljanja davčne osnove z upoštevanjem normiranih odhodkov</w:t>
      </w:r>
      <w:r w:rsidR="000A4D87" w:rsidRPr="00E9128C">
        <w:rPr>
          <w:rFonts w:eastAsia="Arial" w:cs="Arial"/>
          <w:szCs w:val="20"/>
        </w:rPr>
        <w:t xml:space="preserve"> </w:t>
      </w:r>
    </w:p>
    <w:p w14:paraId="48487737" w14:textId="77777777" w:rsidR="00415FDB" w:rsidRPr="00E9128C" w:rsidRDefault="00415FDB" w:rsidP="00415FDB">
      <w:pPr>
        <w:pBdr>
          <w:top w:val="nil"/>
          <w:left w:val="nil"/>
          <w:bottom w:val="nil"/>
          <w:right w:val="nil"/>
          <w:between w:val="nil"/>
        </w:pBdr>
        <w:spacing w:after="0"/>
        <w:ind w:hanging="2"/>
        <w:jc w:val="both"/>
        <w:rPr>
          <w:rFonts w:eastAsia="Arial" w:cs="Arial"/>
          <w:szCs w:val="20"/>
        </w:rPr>
      </w:pPr>
    </w:p>
    <w:p w14:paraId="1F125465" w14:textId="77777777" w:rsidR="00415FDB" w:rsidRPr="00E9128C" w:rsidRDefault="00415FDB" w:rsidP="00415FDB">
      <w:pPr>
        <w:pBdr>
          <w:top w:val="nil"/>
          <w:left w:val="nil"/>
          <w:bottom w:val="nil"/>
          <w:right w:val="nil"/>
          <w:between w:val="nil"/>
        </w:pBdr>
        <w:spacing w:after="0"/>
        <w:ind w:hanging="2"/>
        <w:jc w:val="both"/>
        <w:rPr>
          <w:rFonts w:eastAsia="Arial" w:cs="Arial"/>
          <w:szCs w:val="20"/>
        </w:rPr>
      </w:pPr>
      <w:r w:rsidRPr="00E9128C">
        <w:rPr>
          <w:rFonts w:eastAsia="Arial" w:cs="Arial"/>
          <w:szCs w:val="20"/>
        </w:rPr>
        <w:t>Sklep prejmejo:</w:t>
      </w:r>
    </w:p>
    <w:p w14:paraId="33585236" w14:textId="77777777" w:rsidR="00636CE6" w:rsidRPr="00E9128C" w:rsidRDefault="00636CE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Državni zbor Republike Slovenije,</w:t>
      </w:r>
    </w:p>
    <w:p w14:paraId="5E56B05E" w14:textId="77777777" w:rsidR="00636CE6" w:rsidRPr="00E9128C" w:rsidRDefault="00636CE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delo, družino, socialne zadeve in enake možnosti,</w:t>
      </w:r>
    </w:p>
    <w:p w14:paraId="3EB8DC51" w14:textId="77777777" w:rsidR="00636CE6" w:rsidRPr="00E9128C" w:rsidRDefault="00636CE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javno upravo,</w:t>
      </w:r>
    </w:p>
    <w:p w14:paraId="54E8E4EB" w14:textId="77777777" w:rsidR="00636CE6" w:rsidRPr="00E9128C" w:rsidRDefault="00636CE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gospodarstvo, turizem in šport,</w:t>
      </w:r>
    </w:p>
    <w:p w14:paraId="05A2EEE1" w14:textId="77777777" w:rsidR="00636CE6" w:rsidRPr="00E9128C" w:rsidRDefault="00636CE6" w:rsidP="00BB37FE">
      <w:pPr>
        <w:numPr>
          <w:ilvl w:val="0"/>
          <w:numId w:val="14"/>
        </w:numPr>
        <w:pBdr>
          <w:top w:val="nil"/>
          <w:left w:val="nil"/>
          <w:bottom w:val="nil"/>
          <w:right w:val="nil"/>
          <w:between w:val="nil"/>
        </w:pBdr>
        <w:spacing w:after="0"/>
        <w:jc w:val="both"/>
        <w:rPr>
          <w:rFonts w:eastAsia="Arial" w:cs="Arial"/>
          <w:szCs w:val="20"/>
        </w:rPr>
      </w:pPr>
      <w:r w:rsidRPr="00E9128C">
        <w:rPr>
          <w:rFonts w:eastAsia="Arial" w:cs="Arial"/>
          <w:szCs w:val="20"/>
        </w:rPr>
        <w:t>Ministrstvo za finance,</w:t>
      </w:r>
    </w:p>
    <w:p w14:paraId="56B2E99B" w14:textId="77777777" w:rsidR="00636CE6" w:rsidRPr="00E9128C" w:rsidRDefault="00636CE6" w:rsidP="00BB37FE">
      <w:pPr>
        <w:numPr>
          <w:ilvl w:val="0"/>
          <w:numId w:val="14"/>
        </w:numPr>
        <w:pBdr>
          <w:top w:val="nil"/>
          <w:left w:val="nil"/>
          <w:bottom w:val="nil"/>
          <w:right w:val="nil"/>
          <w:between w:val="nil"/>
        </w:pBdr>
        <w:spacing w:after="0"/>
        <w:jc w:val="both"/>
        <w:rPr>
          <w:rFonts w:eastAsia="Times New Roman" w:cs="Arial"/>
          <w:iCs/>
          <w:szCs w:val="20"/>
          <w:lang w:eastAsia="sl-SI"/>
        </w:rPr>
      </w:pPr>
      <w:r w:rsidRPr="00E9128C">
        <w:rPr>
          <w:rFonts w:eastAsia="Arial" w:cs="Arial"/>
          <w:szCs w:val="20"/>
        </w:rPr>
        <w:t>Služba Vlade Republike Slovenije za zakonodajo.</w:t>
      </w:r>
    </w:p>
    <w:p w14:paraId="197C2606" w14:textId="77777777" w:rsidR="00E742E6" w:rsidRPr="00E9128C" w:rsidRDefault="00E742E6">
      <w:pPr>
        <w:pBdr>
          <w:top w:val="nil"/>
          <w:left w:val="nil"/>
          <w:bottom w:val="nil"/>
          <w:right w:val="nil"/>
          <w:between w:val="nil"/>
        </w:pBdr>
        <w:spacing w:after="0"/>
        <w:ind w:left="360"/>
        <w:jc w:val="both"/>
        <w:rPr>
          <w:rFonts w:eastAsia="Arial" w:cs="Arial"/>
          <w:szCs w:val="20"/>
        </w:rPr>
      </w:pPr>
    </w:p>
    <w:p w14:paraId="7536BC28" w14:textId="77777777" w:rsidR="00415FDB" w:rsidRPr="00E9128C" w:rsidRDefault="00415FDB" w:rsidP="00EA1E8A">
      <w:pPr>
        <w:tabs>
          <w:tab w:val="left" w:pos="-1080"/>
          <w:tab w:val="left" w:pos="-720"/>
          <w:tab w:val="left" w:pos="0"/>
          <w:tab w:val="left" w:pos="990"/>
          <w:tab w:val="left" w:pos="1260"/>
        </w:tabs>
        <w:spacing w:after="0" w:line="288" w:lineRule="auto"/>
        <w:jc w:val="right"/>
        <w:outlineLvl w:val="0"/>
        <w:rPr>
          <w:rFonts w:cs="Arial"/>
          <w:bCs/>
          <w:szCs w:val="20"/>
        </w:rPr>
      </w:pPr>
    </w:p>
    <w:p w14:paraId="1F42F03E" w14:textId="77777777" w:rsidR="00BB049E" w:rsidRPr="00E9128C" w:rsidRDefault="00FA492B" w:rsidP="00BB049E">
      <w:pPr>
        <w:tabs>
          <w:tab w:val="left" w:pos="-1080"/>
          <w:tab w:val="left" w:pos="-720"/>
          <w:tab w:val="left" w:pos="0"/>
          <w:tab w:val="left" w:pos="990"/>
          <w:tab w:val="left" w:pos="1260"/>
        </w:tabs>
        <w:spacing w:after="0" w:line="288" w:lineRule="auto"/>
        <w:outlineLvl w:val="0"/>
        <w:rPr>
          <w:rFonts w:cs="Arial"/>
          <w:bCs/>
          <w:szCs w:val="20"/>
        </w:rPr>
      </w:pPr>
      <w:r w:rsidRPr="00E9128C">
        <w:rPr>
          <w:rFonts w:cs="Arial"/>
          <w:bCs/>
          <w:szCs w:val="20"/>
        </w:rPr>
        <w:br w:type="page"/>
      </w:r>
      <w:r w:rsidR="00BB049E" w:rsidRPr="00E9128C">
        <w:rPr>
          <w:rFonts w:cs="Arial"/>
          <w:bCs/>
          <w:szCs w:val="20"/>
        </w:rPr>
        <w:lastRenderedPageBreak/>
        <w:t>PREDLOG</w:t>
      </w:r>
    </w:p>
    <w:p w14:paraId="66074021" w14:textId="77777777" w:rsidR="00BB049E" w:rsidRPr="00E9128C" w:rsidRDefault="00BB049E" w:rsidP="00BB049E">
      <w:pPr>
        <w:tabs>
          <w:tab w:val="left" w:pos="-1080"/>
          <w:tab w:val="left" w:pos="-720"/>
          <w:tab w:val="left" w:pos="0"/>
          <w:tab w:val="left" w:pos="990"/>
          <w:tab w:val="left" w:pos="1260"/>
        </w:tabs>
        <w:spacing w:after="0" w:line="288" w:lineRule="auto"/>
        <w:outlineLvl w:val="0"/>
        <w:rPr>
          <w:rFonts w:cs="Arial"/>
          <w:b/>
          <w:szCs w:val="20"/>
        </w:rPr>
      </w:pPr>
    </w:p>
    <w:p w14:paraId="3F342860" w14:textId="6A092C79" w:rsidR="00BB049E" w:rsidRPr="00E9128C" w:rsidRDefault="00BB049E" w:rsidP="00BB049E">
      <w:pPr>
        <w:spacing w:after="0" w:line="288" w:lineRule="auto"/>
        <w:ind w:left="6382" w:right="-8"/>
      </w:pPr>
      <w:r w:rsidRPr="00E9128C">
        <w:rPr>
          <w:rFonts w:cs="Arial"/>
          <w:szCs w:val="20"/>
        </w:rPr>
        <w:t xml:space="preserve">EVA </w:t>
      </w:r>
      <w:r w:rsidR="008A4972">
        <w:rPr>
          <w:rFonts w:cs="Arial"/>
          <w:szCs w:val="20"/>
        </w:rPr>
        <w:t>2025-1611-0083</w:t>
      </w:r>
    </w:p>
    <w:p w14:paraId="4EFDC46A" w14:textId="77777777" w:rsidR="00BB049E" w:rsidRPr="00E9128C" w:rsidRDefault="00BB049E" w:rsidP="00BB049E">
      <w:pPr>
        <w:spacing w:after="0" w:line="288" w:lineRule="auto"/>
        <w:ind w:left="10" w:right="-8" w:hanging="10"/>
        <w:jc w:val="right"/>
      </w:pPr>
    </w:p>
    <w:p w14:paraId="7864F2AB" w14:textId="77777777" w:rsidR="00BB049E" w:rsidRPr="00E9128C" w:rsidRDefault="00BB049E" w:rsidP="00BB049E">
      <w:pPr>
        <w:jc w:val="center"/>
        <w:rPr>
          <w:rFonts w:eastAsia="Times New Roman" w:cs="Arial"/>
          <w:b/>
          <w:szCs w:val="20"/>
          <w:lang w:eastAsia="sl-SI"/>
        </w:rPr>
      </w:pPr>
    </w:p>
    <w:p w14:paraId="53BE73FE" w14:textId="0CB1FB71" w:rsidR="00BB049E" w:rsidRPr="00E9128C" w:rsidRDefault="00BB049E" w:rsidP="00BB049E">
      <w:pPr>
        <w:jc w:val="center"/>
        <w:rPr>
          <w:rFonts w:eastAsia="Times New Roman" w:cs="Arial"/>
          <w:b/>
          <w:szCs w:val="20"/>
          <w:lang w:eastAsia="sl-SI"/>
        </w:rPr>
      </w:pPr>
      <w:r w:rsidRPr="00E9128C">
        <w:rPr>
          <w:rFonts w:eastAsia="Times New Roman" w:cs="Arial"/>
          <w:b/>
          <w:szCs w:val="20"/>
          <w:lang w:eastAsia="sl-SI"/>
        </w:rPr>
        <w:t xml:space="preserve">PREDLOG ZAKONA O IZPLAČILU ZIMSKEGA </w:t>
      </w:r>
      <w:r w:rsidR="000A4D87" w:rsidRPr="00E9128C">
        <w:rPr>
          <w:rFonts w:eastAsia="Times New Roman" w:cs="Arial"/>
          <w:b/>
          <w:szCs w:val="20"/>
          <w:lang w:eastAsia="sl-SI"/>
        </w:rPr>
        <w:t>REGRESA</w:t>
      </w:r>
      <w:r w:rsidR="00A82114" w:rsidRPr="00E9128C">
        <w:t xml:space="preserve"> </w:t>
      </w:r>
      <w:r w:rsidR="00A82114" w:rsidRPr="00E9128C">
        <w:rPr>
          <w:rFonts w:eastAsia="Times New Roman" w:cs="Arial"/>
          <w:b/>
          <w:szCs w:val="20"/>
          <w:lang w:eastAsia="sl-SI"/>
        </w:rPr>
        <w:t>TER PRENOVI UGOTAVLJANJA DAVČNE OSNOVE Z UPOŠTEVANJEM NORMIRANIH ODHODKOV</w:t>
      </w:r>
    </w:p>
    <w:p w14:paraId="4C74CA70" w14:textId="77777777" w:rsidR="00BB049E" w:rsidRPr="00E9128C" w:rsidRDefault="00BB049E" w:rsidP="00BB37FE">
      <w:pPr>
        <w:pStyle w:val="Odstavekseznama"/>
        <w:numPr>
          <w:ilvl w:val="0"/>
          <w:numId w:val="9"/>
        </w:numPr>
        <w:spacing w:line="260" w:lineRule="exact"/>
        <w:ind w:left="714" w:hanging="357"/>
        <w:rPr>
          <w:b/>
          <w:bCs/>
        </w:rPr>
      </w:pPr>
      <w:r w:rsidRPr="00E9128C">
        <w:rPr>
          <w:b/>
          <w:bCs/>
        </w:rPr>
        <w:t>UVOD</w:t>
      </w:r>
    </w:p>
    <w:p w14:paraId="37870B7F" w14:textId="77777777" w:rsidR="00BB049E" w:rsidRPr="00E9128C" w:rsidRDefault="00BB049E" w:rsidP="00BB049E">
      <w:pPr>
        <w:pStyle w:val="Odstavekseznama"/>
        <w:rPr>
          <w:b/>
          <w:bCs/>
        </w:rPr>
      </w:pPr>
    </w:p>
    <w:p w14:paraId="52D0D4B0" w14:textId="77777777" w:rsidR="00BB049E" w:rsidRPr="00E9128C" w:rsidRDefault="00BB049E" w:rsidP="00BB37FE">
      <w:pPr>
        <w:pStyle w:val="Odstavekseznama"/>
        <w:numPr>
          <w:ilvl w:val="0"/>
          <w:numId w:val="10"/>
        </w:numPr>
        <w:rPr>
          <w:b/>
          <w:bCs/>
        </w:rPr>
      </w:pPr>
      <w:r w:rsidRPr="00E9128C">
        <w:rPr>
          <w:b/>
          <w:bCs/>
        </w:rPr>
        <w:t>OCENA STANJA IN RAZLOGI ZA SPREJEM PREDLOGA ZAKONA</w:t>
      </w:r>
    </w:p>
    <w:p w14:paraId="3FCEE5BE" w14:textId="100B7140" w:rsidR="00DA37DA" w:rsidRPr="00E9128C" w:rsidRDefault="00DA37DA" w:rsidP="00E9128C">
      <w:pPr>
        <w:suppressAutoHyphens/>
        <w:autoSpaceDN w:val="0"/>
        <w:spacing w:after="0" w:line="260" w:lineRule="atLeast"/>
        <w:jc w:val="both"/>
        <w:textAlignment w:val="baseline"/>
        <w:rPr>
          <w:rFonts w:cs="Arial"/>
          <w:b/>
          <w:bCs/>
        </w:rPr>
      </w:pPr>
      <w:bookmarkStart w:id="6" w:name="_Hlk211258701"/>
      <w:r w:rsidRPr="00E9128C">
        <w:rPr>
          <w:rFonts w:cs="Arial"/>
          <w:b/>
          <w:bCs/>
        </w:rPr>
        <w:t>1.1 ZIMSKI REGRES</w:t>
      </w:r>
    </w:p>
    <w:bookmarkEnd w:id="6"/>
    <w:p w14:paraId="44FF97CF" w14:textId="77777777" w:rsidR="00BB049E" w:rsidRPr="00E9128C" w:rsidRDefault="00BB049E" w:rsidP="00CF2340">
      <w:pPr>
        <w:suppressAutoHyphens/>
        <w:autoSpaceDN w:val="0"/>
        <w:spacing w:after="0" w:line="260" w:lineRule="atLeast"/>
        <w:jc w:val="both"/>
        <w:textAlignment w:val="baseline"/>
        <w:rPr>
          <w:rFonts w:cs="Arial"/>
        </w:rPr>
      </w:pPr>
      <w:r w:rsidRPr="00E9128C">
        <w:rPr>
          <w:rFonts w:cs="Arial"/>
        </w:rPr>
        <w:t>Slovenija se, tako kot mnoge druge države, sooča z vse večjimi izzivi, povezanimi z demografskimi spremembami, globalno gospodarsko konkurenco in potrebami po izboljšanju pogojev za delo in zaposlovanje v Sloveniji. Naslavljanje pogojev za ustrezno nagrajevanje delavcev za njihovo opravljeno delo pozitivno vpliva tako na njihovo željo po čim prejšnjem vstopu na trg dela ter motivacijo za vlaganje truda in željo po doseganju uspehov pri tej aktivnosti. Posledično motivirani delavci bistveno bolj prispevajo k doseganju dodane vrednosti v podjetjih in pozitivnemu delu.</w:t>
      </w:r>
    </w:p>
    <w:p w14:paraId="7AEFB801" w14:textId="77777777" w:rsidR="00B3784F" w:rsidRPr="00E9128C" w:rsidRDefault="00B3784F" w:rsidP="00E9128C">
      <w:pPr>
        <w:suppressAutoHyphens/>
        <w:autoSpaceDN w:val="0"/>
        <w:spacing w:after="0" w:line="260" w:lineRule="atLeast"/>
        <w:jc w:val="both"/>
        <w:textAlignment w:val="baseline"/>
        <w:rPr>
          <w:rFonts w:cs="Arial"/>
        </w:rPr>
      </w:pPr>
    </w:p>
    <w:p w14:paraId="1C6FBEC3" w14:textId="77777777" w:rsidR="00BB049E" w:rsidRPr="00E9128C" w:rsidRDefault="00BB049E" w:rsidP="00CF2340">
      <w:pPr>
        <w:suppressAutoHyphens/>
        <w:autoSpaceDN w:val="0"/>
        <w:spacing w:after="0" w:line="260" w:lineRule="atLeast"/>
        <w:jc w:val="both"/>
        <w:textAlignment w:val="baseline"/>
        <w:rPr>
          <w:rFonts w:cs="Arial"/>
        </w:rPr>
      </w:pPr>
      <w:r w:rsidRPr="00E9128C">
        <w:rPr>
          <w:rFonts w:cs="Arial"/>
        </w:rPr>
        <w:t>Ukrepi na različnih področjih morajo biti zasnovani celovito. Treba je upoštevati tako širši vpliv na javne finance kot tudi to, da se v okviru različnih politik in sprememb spodbuja vključevanje prebivalstva na trg dela in ustvarja pogoje za bolj vzdržno gospodarsko rast. Pristop mora biti uravnotežen, dolgoročno naravnan in s ciljem spodbujanja večje socialne pravičnosti in bolj konkurenčnega gospodarskega okolja. Na področju davčne politike so v sistem vpeljane številne davčne spodbude, zlasti v obliki različnih olajšav, oprostitev, nižjih stopenj oziroma drugih odstopanj od širše opredeljene davčne osnove. To pomeni, da zaradi zasledovanja ciljev (večinoma) drugih politik, davčne spodbude posameznim zavezancem znižujejo njihove davčne obveznosti, hkrati pa so lahko med pomembnimi vzroki za zmanjšanje proračunskih prihodkov. V nekaterih primerih je mogoče z njihovo pravilno in predvsem previdno uporabo doseči posamezne cilje razmeroma učinkovito.</w:t>
      </w:r>
    </w:p>
    <w:p w14:paraId="31F321C3" w14:textId="77777777" w:rsidR="00B3784F" w:rsidRPr="00E9128C" w:rsidRDefault="00B3784F" w:rsidP="00E9128C">
      <w:pPr>
        <w:suppressAutoHyphens/>
        <w:autoSpaceDN w:val="0"/>
        <w:spacing w:after="0" w:line="260" w:lineRule="atLeast"/>
        <w:jc w:val="both"/>
        <w:textAlignment w:val="baseline"/>
        <w:rPr>
          <w:rFonts w:cs="Arial"/>
        </w:rPr>
      </w:pPr>
    </w:p>
    <w:p w14:paraId="05F5FB29" w14:textId="77777777" w:rsidR="00BB049E" w:rsidRPr="00E9128C" w:rsidRDefault="00BB049E" w:rsidP="00CF2340">
      <w:pPr>
        <w:suppressAutoHyphens/>
        <w:autoSpaceDN w:val="0"/>
        <w:spacing w:after="0" w:line="260" w:lineRule="atLeast"/>
        <w:jc w:val="both"/>
        <w:textAlignment w:val="baseline"/>
        <w:rPr>
          <w:rFonts w:cs="Arial"/>
        </w:rPr>
      </w:pPr>
      <w:r w:rsidRPr="00E9128C">
        <w:rPr>
          <w:rFonts w:cs="Arial"/>
        </w:rPr>
        <w:t>Zakon o delovnih razmerjih (Uradni list RS, št. 21/13, 78/13 – popr., 47/15 – ZZSDT, 33/16 – PZ-F, 52/16, 15/17 – odl. US, 22/19 – ZPosS, 81/19, 203/20 – ZIUPOPDVE, 119/21 – ZČmIS-A, 202/21 – odl. US, 15/22, 54/22 – ZUPŠ-1, 114/23, 136/23 – ZIUZDS in 70/25 – ZUTD-I; v nadaljnjem besedilu: ZDR-1) določa, da delavcu za njegovo delo poleg plače pripadajo povračila stroškov v zvezi z delom in regres za letni dopust. Za izplačilo regresa za letni dopust, katerega minimalna višina je zakonsko določena v višini minimalne plače, je bila v letu 2019 določena posebna davčna obravnava, in sicer je bilo določeno, da se od zneska regresa največ do višine povprečne plače zaposlenih v Republiki Sloveniji ne plačuje niti davkov niti prispevkov za socialno varnost.</w:t>
      </w:r>
    </w:p>
    <w:p w14:paraId="59FE1E6C" w14:textId="77777777" w:rsidR="00B3784F" w:rsidRPr="00E9128C" w:rsidRDefault="00B3784F" w:rsidP="00E9128C">
      <w:pPr>
        <w:suppressAutoHyphens/>
        <w:autoSpaceDN w:val="0"/>
        <w:spacing w:after="0" w:line="260" w:lineRule="atLeast"/>
        <w:jc w:val="both"/>
        <w:textAlignment w:val="baseline"/>
        <w:rPr>
          <w:rFonts w:cs="Arial"/>
        </w:rPr>
      </w:pPr>
    </w:p>
    <w:p w14:paraId="48B10FD6" w14:textId="36BE765B" w:rsidR="00BB049E" w:rsidRPr="00E9128C" w:rsidRDefault="00BB049E" w:rsidP="00E9128C">
      <w:pPr>
        <w:suppressAutoHyphens/>
        <w:autoSpaceDN w:val="0"/>
        <w:spacing w:after="0" w:line="260" w:lineRule="atLeast"/>
        <w:jc w:val="both"/>
        <w:textAlignment w:val="baseline"/>
        <w:rPr>
          <w:rFonts w:cs="Arial"/>
        </w:rPr>
      </w:pPr>
      <w:r w:rsidRPr="00E9128C">
        <w:rPr>
          <w:rFonts w:cs="Arial"/>
        </w:rPr>
        <w:t xml:space="preserve">Predlog zakona </w:t>
      </w:r>
      <w:r w:rsidRPr="00E9128C">
        <w:rPr>
          <w:rFonts w:cs="Arial"/>
          <w:szCs w:val="20"/>
        </w:rPr>
        <w:t xml:space="preserve">določa novo delovnopravno pravico, to je pravico delavcev do zimskega </w:t>
      </w:r>
      <w:r w:rsidR="000A4D87" w:rsidRPr="00E9128C">
        <w:rPr>
          <w:rFonts w:cs="Arial"/>
          <w:szCs w:val="20"/>
        </w:rPr>
        <w:t xml:space="preserve">regresa </w:t>
      </w:r>
      <w:r w:rsidRPr="00E9128C">
        <w:rPr>
          <w:rFonts w:cs="Arial"/>
          <w:szCs w:val="20"/>
        </w:rPr>
        <w:t xml:space="preserve">in ureja davčno obravnavo tega prejemka. Z uvedbo novega prejemka se želi vsem delavcem v enakem položaju zagotoviti dodatni prejemek v posameznem koledarskem letu, ki bi pripomogel </w:t>
      </w:r>
      <w:r w:rsidRPr="00E9128C">
        <w:rPr>
          <w:rFonts w:cs="Arial"/>
        </w:rPr>
        <w:t xml:space="preserve">k izboljšanju njihovega zadovoljstva in motivacije za opravljanje dela. Zaradi novega prejemka pa bo posledično standardna oblika zaposlitve bolj privlačna. Pravico do zimskega </w:t>
      </w:r>
      <w:r w:rsidR="000A4D87" w:rsidRPr="00E9128C">
        <w:rPr>
          <w:rFonts w:cs="Arial"/>
        </w:rPr>
        <w:t xml:space="preserve">regresa </w:t>
      </w:r>
      <w:r w:rsidRPr="00E9128C">
        <w:rPr>
          <w:rFonts w:cs="Arial"/>
        </w:rPr>
        <w:t xml:space="preserve">bodo imeli tudi funkcionarji, ki prejemajo plačo v skladu z določili zakona, ki ureja skupne temelje plačnega sistema v javnem sektorju, saj tudi njim v skladu z zakonom, ki ureja funkcionarje, pripadajo prejemki in povračila stroškov v enaki višini in pod enakimi pogoji, kot to velja za javne uslužbence v državni upravi. Gre za funkcionarje, ki poklicno opravljajo funkcijo, čas opravljanja funkcije pa se jim šteje v delovno in pokojninsko dobo. V času opravljanja funkcije so socialno zavarovani. </w:t>
      </w:r>
    </w:p>
    <w:p w14:paraId="4BB96A92" w14:textId="43CF42CF" w:rsidR="00BB049E" w:rsidRPr="00E9128C" w:rsidRDefault="00BB049E" w:rsidP="00CF2340">
      <w:pPr>
        <w:suppressAutoHyphens/>
        <w:autoSpaceDN w:val="0"/>
        <w:spacing w:after="0" w:line="260" w:lineRule="atLeast"/>
        <w:jc w:val="both"/>
        <w:textAlignment w:val="baseline"/>
        <w:rPr>
          <w:rFonts w:cs="Arial"/>
        </w:rPr>
      </w:pPr>
      <w:r w:rsidRPr="00E9128C">
        <w:rPr>
          <w:rFonts w:cs="Arial"/>
        </w:rPr>
        <w:lastRenderedPageBreak/>
        <w:t xml:space="preserve">Namen je, da se želi z uvedbo novega prejemka zagotoviti tudi enako davčno obravnavo vsem v tem segmentu. Po predlogu bi bil namreč </w:t>
      </w:r>
      <w:r w:rsidR="00AF28AC" w:rsidRPr="00E9128C">
        <w:rPr>
          <w:rFonts w:cs="Arial"/>
        </w:rPr>
        <w:t xml:space="preserve">zimski regres </w:t>
      </w:r>
      <w:r w:rsidRPr="00E9128C">
        <w:rPr>
          <w:rFonts w:cs="Arial"/>
        </w:rPr>
        <w:t>oproščen plačila davkov in prispevkov do višine polovice minimalne plače.</w:t>
      </w:r>
    </w:p>
    <w:p w14:paraId="63904863" w14:textId="77777777" w:rsidR="00B3784F" w:rsidRPr="00E9128C" w:rsidRDefault="00B3784F" w:rsidP="00E9128C">
      <w:pPr>
        <w:suppressAutoHyphens/>
        <w:autoSpaceDN w:val="0"/>
        <w:spacing w:after="0" w:line="260" w:lineRule="atLeast"/>
        <w:jc w:val="both"/>
        <w:textAlignment w:val="baseline"/>
        <w:rPr>
          <w:rFonts w:cs="Arial"/>
        </w:rPr>
      </w:pPr>
    </w:p>
    <w:p w14:paraId="233A371C" w14:textId="77777777" w:rsidR="00BB049E" w:rsidRPr="00E9128C" w:rsidRDefault="00BB049E" w:rsidP="00CF2340">
      <w:pPr>
        <w:suppressAutoHyphens/>
        <w:autoSpaceDN w:val="0"/>
        <w:spacing w:after="0" w:line="260" w:lineRule="atLeast"/>
        <w:jc w:val="both"/>
        <w:textAlignment w:val="baseline"/>
        <w:rPr>
          <w:rFonts w:cs="Arial"/>
          <w:szCs w:val="20"/>
        </w:rPr>
      </w:pPr>
      <w:r w:rsidRPr="00E9128C">
        <w:rPr>
          <w:rFonts w:cs="Arial"/>
          <w:szCs w:val="20"/>
        </w:rPr>
        <w:t>Ob tem se določa, da se pravico ureja s tem zakonom do ureditve v zakonu, ki ureja delovna razmerja.</w:t>
      </w:r>
    </w:p>
    <w:p w14:paraId="694BB591" w14:textId="77777777" w:rsidR="00B3784F" w:rsidRPr="00E9128C" w:rsidRDefault="00B3784F" w:rsidP="00E9128C">
      <w:pPr>
        <w:suppressAutoHyphens/>
        <w:autoSpaceDN w:val="0"/>
        <w:spacing w:after="0" w:line="260" w:lineRule="atLeast"/>
        <w:jc w:val="both"/>
        <w:textAlignment w:val="baseline"/>
        <w:rPr>
          <w:rFonts w:cs="Arial"/>
          <w:szCs w:val="20"/>
        </w:rPr>
      </w:pPr>
    </w:p>
    <w:p w14:paraId="0B75009A" w14:textId="480729BF" w:rsidR="00BB049E" w:rsidRPr="00E9128C" w:rsidRDefault="00D022A5" w:rsidP="00E9128C">
      <w:pPr>
        <w:suppressAutoHyphens/>
        <w:autoSpaceDN w:val="0"/>
        <w:spacing w:after="0" w:line="260" w:lineRule="atLeast"/>
        <w:jc w:val="both"/>
        <w:textAlignment w:val="baseline"/>
        <w:rPr>
          <w:rFonts w:cs="Arial"/>
          <w:b/>
        </w:rPr>
      </w:pPr>
      <w:r w:rsidRPr="00E9128C">
        <w:rPr>
          <w:rFonts w:cs="Arial"/>
          <w:b/>
        </w:rPr>
        <w:t>1.2 ZIMSKI DODATEK</w:t>
      </w:r>
    </w:p>
    <w:p w14:paraId="5BE16540" w14:textId="77777777" w:rsidR="00D022A5" w:rsidRPr="00E9128C" w:rsidRDefault="00D022A5" w:rsidP="00E9128C">
      <w:pPr>
        <w:suppressAutoHyphens/>
        <w:autoSpaceDN w:val="0"/>
        <w:spacing w:after="0" w:line="260" w:lineRule="atLeast"/>
        <w:jc w:val="both"/>
        <w:textAlignment w:val="baseline"/>
        <w:rPr>
          <w:rFonts w:cs="Arial"/>
        </w:rPr>
      </w:pPr>
    </w:p>
    <w:p w14:paraId="70F621B6" w14:textId="77777777" w:rsidR="00D022A5" w:rsidRPr="00E9128C" w:rsidRDefault="00D022A5" w:rsidP="00E9128C">
      <w:pPr>
        <w:suppressAutoHyphens/>
        <w:autoSpaceDN w:val="0"/>
        <w:spacing w:after="0" w:line="260" w:lineRule="atLeast"/>
        <w:jc w:val="both"/>
        <w:textAlignment w:val="baseline"/>
        <w:rPr>
          <w:rFonts w:cs="Arial"/>
        </w:rPr>
      </w:pPr>
      <w:r w:rsidRPr="00E9128C">
        <w:rPr>
          <w:rFonts w:cs="Arial"/>
        </w:rPr>
        <w:t xml:space="preserve">Vlada Republike Slovenije redno spremlja socialni položaj prebivalstva ter v skladu z ugotovitvami sprejema ustrezne ukrepe za blaženje socialno-ekonomske stiske posameznih ranljivih skupin. V preteklih letih je bilo z namenom naslavljanja stisk upokojencev in prejemnikov nadomestil iz invalidskega zavarovanja zaradi nedavne draginje s ciljem izboljšanja njihovega gmotnega položaja in s tem zmanjševanja tveganja socialne izključenosti sprejetih več interventnih ukrepov. </w:t>
      </w:r>
    </w:p>
    <w:p w14:paraId="2D783EAD" w14:textId="77777777" w:rsidR="00D022A5" w:rsidRPr="00E9128C" w:rsidRDefault="00D022A5" w:rsidP="00E9128C">
      <w:pPr>
        <w:suppressAutoHyphens/>
        <w:autoSpaceDN w:val="0"/>
        <w:spacing w:after="0" w:line="260" w:lineRule="atLeast"/>
        <w:jc w:val="both"/>
        <w:textAlignment w:val="baseline"/>
        <w:rPr>
          <w:rFonts w:cs="Arial"/>
        </w:rPr>
      </w:pPr>
    </w:p>
    <w:p w14:paraId="79093A8D" w14:textId="77777777" w:rsidR="00D022A5" w:rsidRPr="00E9128C" w:rsidRDefault="00D022A5" w:rsidP="00E9128C">
      <w:pPr>
        <w:suppressAutoHyphens/>
        <w:autoSpaceDN w:val="0"/>
        <w:spacing w:after="0" w:line="260" w:lineRule="atLeast"/>
        <w:jc w:val="both"/>
        <w:textAlignment w:val="baseline"/>
        <w:rPr>
          <w:rFonts w:cs="Arial"/>
        </w:rPr>
      </w:pPr>
      <w:r w:rsidRPr="00E9128C">
        <w:rPr>
          <w:rFonts w:cs="Arial"/>
        </w:rPr>
        <w:t>Zakon o začasnih ukrepih za odpravo posledic draginje za najbolj ranljive skupine prebivalstva (Uradni list RS, št. 117/22) je v letu 2022 omogočil izplačilo draginjskega oziroma energetskega dodatka za uživalce pokojnin, ki so prejemniki denarne socialne pomoči oziroma varstvenega dodatka ter za invalide I. kategorije po predpisih o pokojninskem in invalidskem zavarovanju, ki nimajo pravice do pokojnine.</w:t>
      </w:r>
    </w:p>
    <w:p w14:paraId="72182CE7" w14:textId="77777777" w:rsidR="00D022A5" w:rsidRPr="00E9128C" w:rsidRDefault="00D022A5" w:rsidP="00E9128C">
      <w:pPr>
        <w:suppressAutoHyphens/>
        <w:autoSpaceDN w:val="0"/>
        <w:spacing w:after="0" w:line="260" w:lineRule="atLeast"/>
        <w:jc w:val="both"/>
        <w:textAlignment w:val="baseline"/>
        <w:rPr>
          <w:rFonts w:cs="Arial"/>
        </w:rPr>
      </w:pPr>
    </w:p>
    <w:p w14:paraId="247F9986" w14:textId="77777777" w:rsidR="00D022A5" w:rsidRPr="00E9128C" w:rsidRDefault="00D022A5" w:rsidP="00E9128C">
      <w:pPr>
        <w:suppressAutoHyphens/>
        <w:autoSpaceDN w:val="0"/>
        <w:spacing w:after="0" w:line="260" w:lineRule="atLeast"/>
        <w:jc w:val="both"/>
        <w:textAlignment w:val="baseline"/>
        <w:rPr>
          <w:rFonts w:cs="Arial"/>
        </w:rPr>
      </w:pPr>
      <w:r w:rsidRPr="00E9128C">
        <w:rPr>
          <w:rFonts w:cs="Arial"/>
        </w:rPr>
        <w:t xml:space="preserve">Z Zakonom o nujnih ukrepih za povečanje prihodkov upokojencev in omejitev dviga oskrbnin na področju socialnega varstva (Uradni list RS št. 145/22) se je zagotovilo začasno izplačilo povečanega dela prejemkov upokojencev in uživalcev nadomestil iz invalidskega zavarovanja v višini 4,5 % v mesecu novembru in decembru 2022. Prav tako so s podobnim ukrepom v letu 2023 na podlagi Zakona o spremembah in dopolnitvah Zakona o izvrševanju proračunov Republike Slovenije za leti 2023 in 2024 (Uradni list RS, št. 65/23) vsi upokojenci in uživalci nadomestil novembra in decembra ponovno prejeli povečan del prejemkov za 1,8 %. Z istim zakonom je bilo v decembru 2023 zagotovljeno še izplačilo zimskega letnega dodatka v višini 40 % izplačanega letnega dodatka za leto 2023.  </w:t>
      </w:r>
    </w:p>
    <w:p w14:paraId="4E316A0B" w14:textId="77777777" w:rsidR="00D022A5" w:rsidRPr="00E9128C" w:rsidRDefault="00D022A5" w:rsidP="00E9128C">
      <w:pPr>
        <w:suppressAutoHyphens/>
        <w:autoSpaceDN w:val="0"/>
        <w:spacing w:after="0" w:line="260" w:lineRule="atLeast"/>
        <w:jc w:val="both"/>
        <w:textAlignment w:val="baseline"/>
        <w:rPr>
          <w:rFonts w:cs="Arial"/>
        </w:rPr>
      </w:pPr>
    </w:p>
    <w:p w14:paraId="34377AF9" w14:textId="58BE02F5" w:rsidR="00D022A5" w:rsidRPr="00E9128C" w:rsidRDefault="00D022A5" w:rsidP="00E9128C">
      <w:pPr>
        <w:suppressAutoHyphens/>
        <w:autoSpaceDN w:val="0"/>
        <w:spacing w:after="0" w:line="260" w:lineRule="atLeast"/>
        <w:jc w:val="both"/>
        <w:textAlignment w:val="baseline"/>
        <w:rPr>
          <w:rFonts w:cs="Arial"/>
        </w:rPr>
      </w:pPr>
      <w:r w:rsidRPr="00E9128C">
        <w:rPr>
          <w:rFonts w:cs="Arial"/>
        </w:rPr>
        <w:t>V Zakonu o spremembah in dopolnitvah Zakona o pokojninskem in invalidskem zavarovanju, EPA 2117-IX (v nadaljnjem besedilu: ZPIZ-2O), ki je bil v Državnem zboru Republike Slovenije sprejet 18. septembra 2025, vendar zaradi teka postopka za razpis naknadnega zakonodajnega referenduma še ni bil objavljen v Uradnem listu Republike Slovenije, zaradi česar še ne velja, je predvidena sistemska ureditev novega instituta zimskega dodatka za uživalce pokojnin in nadomestil iz invalidskega zavarovanja, pri čemer je bilo predvideno prvo izplačilo zimskega dodatka v višini 150 evrov že v letošnjem letu skupaj z izplačilom pokojnin in nadomestil za mesec november. S prehodno določbo tega predloga zakona se tako zaradi negotovosti uveljavitve ZPIZ-2O zagotavlja izplačilo zimskega dodatka za uživalce pokojnin in nadomestil v višini, kot je bila predvidena v ZPIZ-2O.</w:t>
      </w:r>
    </w:p>
    <w:p w14:paraId="3C5CA136" w14:textId="77777777" w:rsidR="00D022A5" w:rsidRPr="00E9128C" w:rsidRDefault="00D022A5" w:rsidP="00BB049E">
      <w:pPr>
        <w:suppressAutoHyphens/>
        <w:autoSpaceDN w:val="0"/>
        <w:spacing w:line="276" w:lineRule="auto"/>
        <w:jc w:val="both"/>
        <w:textAlignment w:val="baseline"/>
        <w:rPr>
          <w:rFonts w:cs="Arial"/>
          <w:b/>
        </w:rPr>
      </w:pPr>
    </w:p>
    <w:p w14:paraId="78D6BF12" w14:textId="77777777" w:rsidR="00B3784F" w:rsidRPr="00B3784F" w:rsidRDefault="00B3784F" w:rsidP="00B3784F">
      <w:pPr>
        <w:suppressAutoHyphens/>
        <w:autoSpaceDN w:val="0"/>
        <w:spacing w:line="260" w:lineRule="atLeast"/>
        <w:jc w:val="both"/>
        <w:textAlignment w:val="baseline"/>
        <w:rPr>
          <w:rFonts w:cs="Arial"/>
          <w:b/>
        </w:rPr>
      </w:pPr>
      <w:r w:rsidRPr="00B3784F">
        <w:rPr>
          <w:rFonts w:cs="Arial"/>
          <w:b/>
        </w:rPr>
        <w:t xml:space="preserve">1.3 </w:t>
      </w:r>
      <w:bookmarkStart w:id="7" w:name="_Hlk211611852"/>
      <w:r w:rsidRPr="00B3784F">
        <w:rPr>
          <w:rFonts w:cs="Arial"/>
          <w:b/>
        </w:rPr>
        <w:t>UGOTAVLJANJE DAVČNE OSNOVE OD DOHODKOV IZ DEJAVNOSTI Z UPOŠTEVANJEM NORMIRANIH ODHODKOV</w:t>
      </w:r>
      <w:bookmarkEnd w:id="7"/>
    </w:p>
    <w:p w14:paraId="616D0A20"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Uvodoma je treba izpostaviti, da sistem ugotavljanja davčne osnove z upoštevanjem normiranih odhodkov ni edini oziroma obvezen način določanja davčne osnove od dohodka iz dejavnosti, temveč je predmet izbire posameznega zavezanca. Primarni način določanja davčne osnove od dohodka iz dejavnosti je določanje na podlagi dejanskih prihodkov in dejanskih odhodkov, torej nobenega zavezanca se v sistem določanja davčne osnove z upoštevanjem normiranih odhodkov ne sili, če meni, da zanj ni ustrezen. </w:t>
      </w:r>
    </w:p>
    <w:p w14:paraId="2F2A5FBE" w14:textId="77777777" w:rsidR="00B3784F" w:rsidRPr="00B3784F" w:rsidRDefault="00B3784F" w:rsidP="00B3784F">
      <w:pPr>
        <w:spacing w:after="0" w:line="260" w:lineRule="atLeast"/>
        <w:contextualSpacing/>
        <w:jc w:val="both"/>
        <w:rPr>
          <w:rFonts w:cs="Arial"/>
          <w:szCs w:val="20"/>
        </w:rPr>
      </w:pPr>
    </w:p>
    <w:p w14:paraId="07A7C801"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Dolžnost države v okviru splošnega razvoja politik je, da se s sprejetjem ustreznih zakonskih sprememb odziva na potrebe na vseh področjih družbenega življenja, prav tako pa je njena dolžnost odpravljati anomalije, ki se pokažejo na določenih področjih. Eno takih področij, za katerega se je v letih spremljanja </w:t>
      </w:r>
      <w:r w:rsidRPr="00B3784F">
        <w:rPr>
          <w:rFonts w:cs="Arial"/>
          <w:szCs w:val="20"/>
        </w:rPr>
        <w:lastRenderedPageBreak/>
        <w:t>sistema izkazalo, da se je sistem prelevil v anomalijo, ki bistveno posega v davčna načela, je tudi področje obdavčitve dohodkov fizičnih oseb iz naslova dejavnosti, kadar se zavezanci odločijo za ugotavljanje davčne osnove na podlagi dejanskih prihodkov in normiranih odhodkov.</w:t>
      </w:r>
    </w:p>
    <w:p w14:paraId="4AB088E2" w14:textId="77777777" w:rsidR="00B3784F" w:rsidRPr="00B3784F" w:rsidRDefault="00B3784F" w:rsidP="00B3784F">
      <w:pPr>
        <w:spacing w:after="0" w:line="260" w:lineRule="atLeast"/>
        <w:contextualSpacing/>
        <w:jc w:val="both"/>
        <w:rPr>
          <w:rFonts w:cs="Arial"/>
          <w:szCs w:val="20"/>
        </w:rPr>
      </w:pPr>
    </w:p>
    <w:p w14:paraId="71801A9E" w14:textId="77777777" w:rsidR="00B3784F" w:rsidRPr="00B3784F" w:rsidRDefault="00B3784F" w:rsidP="00B3784F">
      <w:pPr>
        <w:spacing w:after="0" w:line="260" w:lineRule="atLeast"/>
        <w:contextualSpacing/>
        <w:jc w:val="both"/>
        <w:rPr>
          <w:rFonts w:cs="Arial"/>
          <w:szCs w:val="20"/>
        </w:rPr>
      </w:pPr>
      <w:r w:rsidRPr="00B3784F">
        <w:rPr>
          <w:rFonts w:cs="Arial"/>
          <w:szCs w:val="20"/>
        </w:rPr>
        <w:t>Sistem ugotavljanja davčne osnove na podlagi normiranih odhodkov je poenostavljen način določanja davčne osnove od dohodka iz dejavnosti. Namen sistema je administrativna poenostavitev predvsem za zavezance začetnike in zavezance z majhnim obsegom poslovanja, torej za zavezance, ki jim vodenje poslovnih knjig in sestavljanje letnih poročil lahko predstavlja sorazmerno velike stroške oziroma obremenitev. Navedena poenostavitev, torej davčno priznavanje normiranih odhodkov namesto dejanskih odhodkov posameznega zavezanca, predstavlja pavšalno določitev dohodka zavezanca, torej odmik od načela obdavčevanja po ekonomski sposobnosti zavezanca ter s tem tudi od enake davčne obravnave zavezancev z enakimi oziroma podobnimi dejanskimi dohodki v zameno za administrativno poenostavitev in posledično večjo gotovost oziroma pravno varnost. Takšen odmik je utemeljen in sprejemljiv, dokler v splošnem ne začne predstavljati znatnega odmika od upoštevanja dejanskega dohodka zavezanca, in se lahko utemelji z administrativno poenostavitvijo, dokler ne vnaša prevelike neenakosti med zavezance glede na dejanske odhodke oziroma dejanski dohodek zavezanca ter dokler takšen sistem ne predstavlja prevelike spodbude za spremembo obnašanja zavezancev in njihovih naročnikov, ki ni ekonomsko utemeljeno in povzroča distorzije na drugih družbenih sistemih (npr. trg dela, socialna zavarovanja in socialna varnost). Navedeni sistem nedvomno uvaja enako davčno obremenitev za zavezance, ki so lahko v bistveno različnem položaju glede na dejansko dosežen dohodek, ter za nekatere zavezance lahko prestavlja visoko davčno ugodnost, za katero ni stvarno utemeljenih razlogov. To je treba pri določanju elementov sistema, predvsem priznane višine normiranih odhodkov, tudi upoštevati. Z zvišanjem deleža priznanih normiranih odhodkov se namreč navedene neenakosti povečujejo, saj se s tem viša tudi delež zavezancev v sistemu, katerih dejanski odhodki so bistveno nižji od normiranih in katerim se pavšalno ugotovljen dohodek ugotovi bistveno nižje oziroma ugodneje od njihovega dejanskega dohodka. Višanje deleža priznanih normiranih odhodkov povečuje število tistih deležnikov v sistemu, katerih obnašanje je usmerjeno predvsem v cilj doseganja čim večje davčne ugodnosti.</w:t>
      </w:r>
    </w:p>
    <w:p w14:paraId="5A8A1B67" w14:textId="77777777" w:rsidR="00B3784F" w:rsidRPr="00B3784F" w:rsidRDefault="00B3784F" w:rsidP="00B3784F">
      <w:pPr>
        <w:spacing w:after="0" w:line="260" w:lineRule="atLeast"/>
        <w:contextualSpacing/>
        <w:jc w:val="both"/>
        <w:rPr>
          <w:rFonts w:cs="Arial"/>
          <w:szCs w:val="20"/>
        </w:rPr>
      </w:pPr>
    </w:p>
    <w:p w14:paraId="7F4A2FEE" w14:textId="77777777" w:rsidR="00B3784F" w:rsidRPr="00B3784F" w:rsidRDefault="00B3784F" w:rsidP="00B3784F">
      <w:pPr>
        <w:spacing w:after="0" w:line="260" w:lineRule="atLeast"/>
        <w:contextualSpacing/>
        <w:jc w:val="both"/>
        <w:rPr>
          <w:rFonts w:cs="Arial"/>
          <w:szCs w:val="20"/>
        </w:rPr>
      </w:pPr>
      <w:r w:rsidRPr="00B3784F">
        <w:rPr>
          <w:rFonts w:cs="Arial"/>
          <w:szCs w:val="20"/>
        </w:rPr>
        <w:t>Na podlagi analize sistema v letu 2016 je bilo ugotovljeno, da se sistem uporablja predvsem kot instrument zniževanja davčne obveznosti zlasti pri zavezancih v dejavnostih z nizkimi dejanskimi stroški ter tudi pri zavezancih z višjimi dohodki. Zato se je z Zakonom o spremembah in dopolnitvah Zakona o dohodnini (ZDoh-2S), ki se je začel uporabljati z davčnim letom 2018, in Zakonom o spremembah in dopolnitvah Zakona o dohodnini (ZDoh-2AA), ki se je začel uporabljati z davčnim letom 2023, pristopilo k spremembam nekaterih elementov sistema s ciljem, da se ob ohranitvi administrativne enostavnosti sistema bolj upoštevata ekonomska moč zavezanca in s tem pravičnost sistema ter zmanjša privlačnost sistema za uporabo kot instrumenta zniževanja davčnih obveznosti.</w:t>
      </w:r>
    </w:p>
    <w:p w14:paraId="5C1DC4C8" w14:textId="77777777" w:rsidR="00B3784F" w:rsidRPr="00B3784F" w:rsidRDefault="00B3784F" w:rsidP="00B3784F">
      <w:pPr>
        <w:spacing w:after="0" w:line="260" w:lineRule="atLeast"/>
        <w:contextualSpacing/>
        <w:jc w:val="both"/>
        <w:rPr>
          <w:rFonts w:cs="Arial"/>
          <w:szCs w:val="20"/>
        </w:rPr>
      </w:pPr>
    </w:p>
    <w:p w14:paraId="7D13084A" w14:textId="77777777" w:rsidR="00B3784F" w:rsidRPr="00B3784F" w:rsidRDefault="00B3784F" w:rsidP="00B3784F">
      <w:pPr>
        <w:spacing w:after="0" w:line="260" w:lineRule="atLeast"/>
        <w:contextualSpacing/>
        <w:jc w:val="both"/>
        <w:rPr>
          <w:rFonts w:cs="Arial"/>
          <w:szCs w:val="20"/>
        </w:rPr>
      </w:pPr>
      <w:r w:rsidRPr="00B3784F">
        <w:rPr>
          <w:rFonts w:cs="Arial"/>
          <w:szCs w:val="20"/>
        </w:rPr>
        <w:t>Vendar pa je sistem še vedno ostajal kot instrument zniževanja davčne obveznosti in je še vedno preveč odstopal od načela obdavčevanja po ekonomski moči in posledično enake obravnave zavezancev v podobnih dohodkovnih položajih. To je problematično na ravni primerjave z zavezanci z drugimi aktivnimi dohodki, ki se vključujejo v letno odmero dohodnine, ter na ravni primerjave z zavezanci v skupini zavezancev, ki so v sistemu normiranih odhodkov, saj je bil delež priznanih normiranih odhodkov določena visoko, brez upoštevanja vrste dejavnosti z vidika stroškovne intenzivnosti.</w:t>
      </w:r>
    </w:p>
    <w:p w14:paraId="5E3204B4" w14:textId="77777777" w:rsidR="00B3784F" w:rsidRPr="00B3784F" w:rsidRDefault="00B3784F" w:rsidP="00B3784F">
      <w:pPr>
        <w:spacing w:after="0" w:line="260" w:lineRule="atLeast"/>
        <w:contextualSpacing/>
        <w:jc w:val="both"/>
        <w:rPr>
          <w:rFonts w:cs="Arial"/>
          <w:szCs w:val="20"/>
        </w:rPr>
      </w:pPr>
    </w:p>
    <w:p w14:paraId="3FEB571D" w14:textId="77777777" w:rsidR="00B3784F" w:rsidRPr="00B3784F" w:rsidRDefault="00B3784F" w:rsidP="00B3784F">
      <w:pPr>
        <w:spacing w:after="0" w:line="260" w:lineRule="atLeast"/>
        <w:contextualSpacing/>
        <w:jc w:val="both"/>
        <w:rPr>
          <w:rFonts w:cs="Arial"/>
          <w:szCs w:val="20"/>
        </w:rPr>
      </w:pPr>
      <w:r w:rsidRPr="00B3784F">
        <w:rPr>
          <w:rFonts w:cs="Arial"/>
          <w:szCs w:val="20"/>
        </w:rPr>
        <w:t>Ugotovljeno je bilo, da je sistem kot tak predstavljal preveliko spodbudo za prirejanje obnašanja zavezancev in nekaterih drugih subjektov, in sicer:</w:t>
      </w:r>
    </w:p>
    <w:p w14:paraId="4279D8B0" w14:textId="77777777" w:rsidR="00B3784F" w:rsidRPr="00B3784F" w:rsidRDefault="00B3784F" w:rsidP="00B3784F">
      <w:pPr>
        <w:spacing w:after="0" w:line="260" w:lineRule="atLeast"/>
        <w:contextualSpacing/>
        <w:jc w:val="both"/>
        <w:rPr>
          <w:rFonts w:cs="Arial"/>
          <w:szCs w:val="20"/>
        </w:rPr>
      </w:pPr>
      <w:r w:rsidRPr="00B3784F">
        <w:rPr>
          <w:rFonts w:cs="Arial"/>
          <w:szCs w:val="20"/>
        </w:rPr>
        <w:t>- spodbujal je prirejanje prihodkov z namenom kvalifikacije za vstop v sistem normiranih odhodkov;</w:t>
      </w:r>
    </w:p>
    <w:p w14:paraId="577ABA04"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 vplival je na prakse na trgu dela (dualnost trga dela ali povečevanje obsega prekarnih zaposlitev) – dodatna spodbuda (predvsem za delodajalce in za delavce na kratek rok), da se formalno določeno razmerje prikazuje kot neodvisno razmerje (npr. s. p.), čeprav gre glede na ekonomsko in pravno vsebino razmerja za odvisno razmerje ali delovno razmerje. Z vidika varstva pravic delavcev, erozije </w:t>
      </w:r>
      <w:r w:rsidRPr="00B3784F">
        <w:rPr>
          <w:rFonts w:cs="Arial"/>
          <w:szCs w:val="20"/>
        </w:rPr>
        <w:lastRenderedPageBreak/>
        <w:t>davčne in prispevne osnove ter nelojalne konkurence med delodajalci na trgu dela so navedene prakse zelo problematične;</w:t>
      </w:r>
    </w:p>
    <w:p w14:paraId="1A3F22BE" w14:textId="77777777" w:rsidR="00B3784F" w:rsidRPr="00B3784F" w:rsidRDefault="00B3784F" w:rsidP="00B3784F">
      <w:pPr>
        <w:spacing w:after="0" w:line="260" w:lineRule="atLeast"/>
        <w:contextualSpacing/>
        <w:jc w:val="both"/>
        <w:rPr>
          <w:rFonts w:cs="Arial"/>
          <w:szCs w:val="20"/>
        </w:rPr>
      </w:pPr>
      <w:r w:rsidRPr="00B3784F">
        <w:rPr>
          <w:rFonts w:cs="Arial"/>
          <w:szCs w:val="20"/>
        </w:rPr>
        <w:t>- vplival je na področje sive ekonomije – zmanjšan interes zavezancev v sistemu normiranih odhodkov, da zahtevajo račun pri nabavi blaga ali storitev, ker ga ne potrebujejo za uveljavljanje dejanskih odhodkov;</w:t>
      </w:r>
    </w:p>
    <w:p w14:paraId="03248D19" w14:textId="77777777" w:rsidR="00B3784F" w:rsidRPr="00B3784F" w:rsidRDefault="00B3784F" w:rsidP="00B3784F">
      <w:pPr>
        <w:spacing w:after="0" w:line="260" w:lineRule="atLeast"/>
        <w:contextualSpacing/>
        <w:jc w:val="both"/>
        <w:rPr>
          <w:rFonts w:cs="Arial"/>
          <w:szCs w:val="20"/>
        </w:rPr>
      </w:pPr>
      <w:r w:rsidRPr="00B3784F">
        <w:rPr>
          <w:rFonts w:cs="Arial"/>
          <w:szCs w:val="20"/>
        </w:rPr>
        <w:t>- vplival je na obnašanje zavezancev v zvezi z drobljenjem opravljanja dejavnosti prek različnih statusnih oblik ali na prenehanje opravljanja dejavnosti s ponovnim začetkom v enaki in drugi statusni obliki z namenom izpolnjevanja pogojev za vstop v sistem normiranih odhodkov ali z namenom prikritih izplačil npr. iz družb prek statusa s. p., ki ugotavlja davčno osnovo z upoštevanjem normiranih odhodkov (uporaba sistema normiranih odhodkov pri povezanih osebah kot instrumenta zniževanja davčnih obveznosti);</w:t>
      </w:r>
    </w:p>
    <w:p w14:paraId="2C45A2CB" w14:textId="77777777" w:rsidR="00B3784F" w:rsidRPr="00B3784F" w:rsidRDefault="00B3784F" w:rsidP="00B3784F">
      <w:pPr>
        <w:spacing w:after="0" w:line="260" w:lineRule="atLeast"/>
        <w:contextualSpacing/>
        <w:jc w:val="both"/>
        <w:rPr>
          <w:rFonts w:cs="Arial"/>
          <w:szCs w:val="20"/>
        </w:rPr>
      </w:pPr>
      <w:r w:rsidRPr="00B3784F">
        <w:rPr>
          <w:rFonts w:cs="Arial"/>
          <w:szCs w:val="20"/>
        </w:rPr>
        <w:t>- vplival je na področje sistemov socialnih zavarovanj in socialnega varstva, saj se dohodek, ugotovljen za davčne namene, uporablja tudi pri določanju obveznosti iz naslova prispevkov za socialno varnost in določanju pravic iz naslova socialnovarstvenih ter družinskih prejemkov. Gre za vplive na vzdržnost teh sistemov, z vidika pravičnejše participacije v teh sistemih glede na ekonomsko moč ter z vidika socialne varnosti teh subjektov v primeru nastanka nezmožnosti za delo, npr. zaradi starosti, bolezni.</w:t>
      </w:r>
    </w:p>
    <w:p w14:paraId="06830DC2" w14:textId="77777777" w:rsidR="00B3784F" w:rsidRPr="00B3784F" w:rsidRDefault="00B3784F" w:rsidP="00B3784F">
      <w:pPr>
        <w:spacing w:after="0" w:line="260" w:lineRule="atLeast"/>
        <w:contextualSpacing/>
        <w:jc w:val="both"/>
        <w:rPr>
          <w:rFonts w:cs="Arial"/>
          <w:szCs w:val="20"/>
        </w:rPr>
      </w:pPr>
    </w:p>
    <w:p w14:paraId="6CB384F2" w14:textId="77777777" w:rsidR="00B3784F" w:rsidRPr="00B3784F" w:rsidRDefault="00B3784F" w:rsidP="00B3784F">
      <w:pPr>
        <w:spacing w:after="0" w:line="260" w:lineRule="atLeast"/>
        <w:contextualSpacing/>
        <w:jc w:val="both"/>
        <w:rPr>
          <w:rFonts w:cs="Arial"/>
          <w:szCs w:val="20"/>
        </w:rPr>
      </w:pPr>
      <w:r w:rsidRPr="00B3784F">
        <w:rPr>
          <w:rFonts w:cs="Arial"/>
          <w:szCs w:val="20"/>
        </w:rPr>
        <w:t>Nadalje je bilo ugotovljeno, da je obseg zlorab sistema normiranih odhodkov tako velik, da ga je samo s poostrenimi nadzori težko spraviti v sprejemljiv okvir. Posamezna podjetja so opozarjala, da naj bi podjetja zaradi ugodnejše davčne obravnave zaposlovala razvojni kader prek statusa samostojnega podjetnika, kar postavlja podjetja, ki z delavcem sklenejo delovno razmerje, v nekonkurenčen položaj. Sistem je bil tako ugoden, da je predstavljal pomembno spodbudo k tovrstnemu nezakonitemu ravnanju, torej prikazovanju razmerja, ki ni skladno s pravno in ekonomsko vsebino razmerja (fiktivna samozaposlitev). Tovrstno ravnanje je problematično tako z vidika delavca, ki nima ustrezne delovnopravne zaščite, ima slabšo socialno varnost za primere nezmožnosti za delo in za čas upokojitve, kot z vidika temeljnih načel socialnih zavarovanj (predvsem načela solidarnosti, ki naj bi se uresničevalo tudi glede obveznosti prek dohodkovne zmožnosti zavarovanca in načela primerljive davčne obravnave zavezancev v približno enakih položajih). Kot je navedeno zgoraj, je problematičen tudi z vidika pravične participacije ali razdelitve pravic iz javnih sredstev (na primer otroški dodatki, plačila vrtcev, štipendije, socialne pomoči).</w:t>
      </w:r>
    </w:p>
    <w:p w14:paraId="3E001DF8" w14:textId="77777777" w:rsidR="00B3784F" w:rsidRPr="00B3784F" w:rsidRDefault="00B3784F" w:rsidP="00B3784F">
      <w:pPr>
        <w:spacing w:after="0" w:line="260" w:lineRule="atLeast"/>
        <w:contextualSpacing/>
        <w:jc w:val="both"/>
        <w:rPr>
          <w:rFonts w:cs="Arial"/>
          <w:szCs w:val="20"/>
        </w:rPr>
      </w:pPr>
    </w:p>
    <w:p w14:paraId="258A75DB" w14:textId="77777777" w:rsidR="00B3784F" w:rsidRPr="00B3784F" w:rsidRDefault="00B3784F" w:rsidP="00B3784F">
      <w:pPr>
        <w:spacing w:after="0" w:line="260" w:lineRule="atLeast"/>
        <w:contextualSpacing/>
        <w:jc w:val="both"/>
        <w:rPr>
          <w:rFonts w:cs="Arial"/>
          <w:szCs w:val="20"/>
        </w:rPr>
      </w:pPr>
      <w:r w:rsidRPr="00B3784F">
        <w:rPr>
          <w:rFonts w:cs="Arial"/>
          <w:szCs w:val="20"/>
        </w:rPr>
        <w:t>Zaradi navedenih razlogov se je z Zakonom o spremembah in dopolnitvah Zakona o dohodnini (ZDoh-2AB) pristopilo k dodatni prenovi sistema normiranih odhodkov z davčnim letom 2025. Cilj prenove je bil, da se sistem ponovno približa enemu osnovnih načel obdavčenja fizičnih oseb z dohodnino, to je obdavčenje po ekonomski moči, na način, da se v čim večji meri približa zavezancem, katerim je bil dejansko namenjen, ter omili spodbudo za uporabo sistema kot instrumenta zniževanja davčne obveznosti in zmanjša negativne učinke na sisteme socialnih zavarovanj, socialne varnosti in na trg dela.</w:t>
      </w:r>
    </w:p>
    <w:p w14:paraId="4BD82654" w14:textId="77777777" w:rsidR="00B3784F" w:rsidRPr="00B3784F" w:rsidRDefault="00B3784F" w:rsidP="00B3784F">
      <w:pPr>
        <w:spacing w:after="0" w:line="260" w:lineRule="atLeast"/>
        <w:contextualSpacing/>
        <w:jc w:val="both"/>
        <w:rPr>
          <w:rFonts w:cs="Arial"/>
          <w:szCs w:val="20"/>
        </w:rPr>
      </w:pPr>
    </w:p>
    <w:p w14:paraId="3E434134" w14:textId="77777777" w:rsidR="00B3784F" w:rsidRPr="00B3784F" w:rsidRDefault="00B3784F" w:rsidP="00B3784F">
      <w:pPr>
        <w:spacing w:after="0" w:line="260" w:lineRule="atLeast"/>
        <w:contextualSpacing/>
        <w:jc w:val="both"/>
        <w:rPr>
          <w:rFonts w:cs="Arial"/>
          <w:szCs w:val="20"/>
        </w:rPr>
      </w:pPr>
      <w:r w:rsidRPr="00B3784F">
        <w:rPr>
          <w:rFonts w:cs="Arial"/>
          <w:szCs w:val="20"/>
        </w:rPr>
        <w:t>Za leto 2024 so zavezanci za davek od dohodka iz dejavnosti oddali 151.167 davčnih obračunov in izkazali za 258 mio EUR davčne obveznosti iz tega naslova. Od tega je bilo 90.340 davčnih obračunov (60 %), kjer je bila davčna osnova ugotovljena na osnovi dejanskih prihodkov in normiranih odhodkov. Ti zavezanci so izkazali davčno osnovo v višini 861 mio EUR in pripoznali 172 mio EUR davčne obveznosti.</w:t>
      </w:r>
    </w:p>
    <w:p w14:paraId="352935D1" w14:textId="77777777" w:rsidR="00B3784F" w:rsidRPr="00B3784F" w:rsidRDefault="00B3784F" w:rsidP="00B3784F">
      <w:pPr>
        <w:spacing w:after="0" w:line="260" w:lineRule="atLeast"/>
        <w:contextualSpacing/>
        <w:jc w:val="both"/>
        <w:rPr>
          <w:rFonts w:cs="Arial"/>
          <w:szCs w:val="20"/>
        </w:rPr>
      </w:pPr>
    </w:p>
    <w:p w14:paraId="0902692C" w14:textId="77777777" w:rsidR="00B3784F" w:rsidRPr="00B3784F" w:rsidRDefault="00B3784F" w:rsidP="00B3784F">
      <w:pPr>
        <w:spacing w:after="0" w:line="260" w:lineRule="atLeast"/>
        <w:contextualSpacing/>
        <w:jc w:val="both"/>
        <w:rPr>
          <w:rFonts w:cs="Arial"/>
          <w:szCs w:val="20"/>
        </w:rPr>
      </w:pPr>
      <w:r w:rsidRPr="00B3784F">
        <w:rPr>
          <w:rFonts w:cs="Arial"/>
          <w:szCs w:val="20"/>
        </w:rPr>
        <w:t>Število zavezancev, ki so v letu 2024 davčno osnovo ugotavljali na podlagi dejanskih prihodkov in  normiranih odhodkov, se je glede na leto 2017 skoraj podvojilo, medtem ko se je število zavezancev, ki ugotavljajo davčno osnovo na podlagi dejanskih prihodkov in dejanskih odhodkov, v tem obdobju zmanjšalo za 10 %.</w:t>
      </w:r>
    </w:p>
    <w:p w14:paraId="3C897315" w14:textId="77777777" w:rsidR="00B3784F" w:rsidRPr="00B3784F" w:rsidRDefault="00B3784F" w:rsidP="00B3784F">
      <w:pPr>
        <w:spacing w:after="0" w:line="260" w:lineRule="atLeast"/>
        <w:contextualSpacing/>
        <w:jc w:val="both"/>
        <w:rPr>
          <w:rFonts w:cs="Arial"/>
          <w:szCs w:val="20"/>
        </w:rPr>
      </w:pPr>
    </w:p>
    <w:p w14:paraId="0010CC04" w14:textId="77777777" w:rsidR="00B3784F" w:rsidRPr="00B3784F" w:rsidRDefault="00B3784F" w:rsidP="00B3784F">
      <w:pPr>
        <w:spacing w:after="0" w:line="260" w:lineRule="atLeast"/>
        <w:contextualSpacing/>
        <w:jc w:val="both"/>
        <w:rPr>
          <w:rFonts w:cs="Arial"/>
          <w:szCs w:val="20"/>
        </w:rPr>
      </w:pPr>
      <w:r w:rsidRPr="00B3784F">
        <w:rPr>
          <w:rFonts w:ascii="Calibri" w:hAnsi="Calibri"/>
          <w:noProof/>
          <w:sz w:val="22"/>
          <w:lang w:eastAsia="sl-SI"/>
        </w:rPr>
        <w:lastRenderedPageBreak/>
        <w:drawing>
          <wp:inline distT="0" distB="0" distL="0" distR="0" wp14:anchorId="7CF91CC6" wp14:editId="7BD1DF3F">
            <wp:extent cx="5810250" cy="2952750"/>
            <wp:effectExtent l="0" t="0" r="0" b="0"/>
            <wp:docPr id="1252658598" name="Chart 1">
              <a:extLst xmlns:a="http://schemas.openxmlformats.org/drawingml/2006/main">
                <a:ext uri="{FF2B5EF4-FFF2-40B4-BE49-F238E27FC236}">
                  <a16:creationId xmlns:a16="http://schemas.microsoft.com/office/drawing/2014/main" id="{56B5605B-B37C-B9BA-95AF-06A2E1037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6F71B3"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Finančna uprava RS</w:t>
      </w:r>
    </w:p>
    <w:p w14:paraId="11699502" w14:textId="77777777" w:rsidR="00B3784F" w:rsidRPr="00B3784F" w:rsidRDefault="00B3784F" w:rsidP="00B3784F">
      <w:pPr>
        <w:suppressAutoHyphens/>
        <w:autoSpaceDN w:val="0"/>
        <w:spacing w:line="260" w:lineRule="atLeast"/>
        <w:jc w:val="both"/>
        <w:textAlignment w:val="baseline"/>
        <w:rPr>
          <w:rFonts w:cs="Arial"/>
          <w:bCs/>
        </w:rPr>
      </w:pPr>
    </w:p>
    <w:p w14:paraId="1A861897" w14:textId="77777777" w:rsidR="00B3784F" w:rsidRPr="00B3784F" w:rsidRDefault="00B3784F" w:rsidP="00B3784F">
      <w:pPr>
        <w:spacing w:after="0" w:line="260" w:lineRule="atLeast"/>
        <w:contextualSpacing/>
        <w:jc w:val="both"/>
        <w:rPr>
          <w:rFonts w:cs="Arial"/>
          <w:szCs w:val="20"/>
        </w:rPr>
      </w:pPr>
      <w:r w:rsidRPr="00B3784F">
        <w:rPr>
          <w:rFonts w:cs="Arial"/>
          <w:szCs w:val="20"/>
        </w:rPr>
        <w:t>Še posebej se je število t. i. normirancev povečalo v SKD področjih gradbeništva (s 1.862 v letu 2017 na 4.885 v letu 2023), izobraževanja (s 2.525 v letu 2017 na 5.394 v letu 2023) ter strokovnih, znanstvenih in tehničnih dejavnostih (s 13.608 v letu 2017 na 23.733 v letu 2023). Med vsemi zavezanci za davek od dohodka iz dejavnosti t. i. normiranci predstavljajo največji delež v informacijskih in komunikacijskih dejavnosti (87 %), od leta 2017 pa je ta delež najbolj zrastel v dejavnosti javne uprave in obrambe, dejavnosti obvezne socialne varnosti (s 57 % v letu 2017 na 87 % v letu 2023) in dejavnosti poslovanja z nepremičninami (s 59 % v letu 2017 na 82 % v letu 2023).</w:t>
      </w:r>
    </w:p>
    <w:p w14:paraId="256A0870" w14:textId="77777777" w:rsidR="00B3784F" w:rsidRPr="00B3784F" w:rsidRDefault="00B3784F" w:rsidP="00B3784F">
      <w:pPr>
        <w:spacing w:after="0" w:line="260" w:lineRule="atLeast"/>
        <w:contextualSpacing/>
        <w:jc w:val="both"/>
        <w:rPr>
          <w:rFonts w:cs="Arial"/>
          <w:szCs w:val="20"/>
        </w:rPr>
      </w:pPr>
    </w:p>
    <w:p w14:paraId="6FD27146" w14:textId="77777777" w:rsidR="00B3784F" w:rsidRPr="00B3784F" w:rsidRDefault="00B3784F" w:rsidP="00B3784F">
      <w:pPr>
        <w:spacing w:after="0" w:line="260" w:lineRule="atLeast"/>
        <w:contextualSpacing/>
        <w:jc w:val="both"/>
        <w:rPr>
          <w:rFonts w:cs="Arial"/>
          <w:szCs w:val="20"/>
        </w:rPr>
      </w:pPr>
      <w:r w:rsidRPr="00B3784F">
        <w:rPr>
          <w:rFonts w:cs="Arial"/>
          <w:szCs w:val="20"/>
        </w:rPr>
        <w:t>Tabela 1: Rast števila t. i. normirancev po dejavnostih v letih 2017 do 2023</w:t>
      </w:r>
    </w:p>
    <w:p w14:paraId="77507A4B" w14:textId="77777777" w:rsidR="00B3784F" w:rsidRPr="00B3784F" w:rsidRDefault="00B3784F" w:rsidP="00B3784F">
      <w:pPr>
        <w:spacing w:after="0" w:line="260" w:lineRule="atLeast"/>
        <w:contextualSpacing/>
        <w:jc w:val="both"/>
        <w:rPr>
          <w:rFonts w:cs="Arial"/>
          <w:szCs w:val="20"/>
        </w:rPr>
      </w:pPr>
    </w:p>
    <w:tbl>
      <w:tblPr>
        <w:tblW w:w="9558" w:type="dxa"/>
        <w:tblCellMar>
          <w:left w:w="70" w:type="dxa"/>
          <w:right w:w="70" w:type="dxa"/>
        </w:tblCellMar>
        <w:tblLook w:val="04A0" w:firstRow="1" w:lastRow="0" w:firstColumn="1" w:lastColumn="0" w:noHBand="0" w:noVBand="1"/>
      </w:tblPr>
      <w:tblGrid>
        <w:gridCol w:w="2933"/>
        <w:gridCol w:w="752"/>
        <w:gridCol w:w="752"/>
        <w:gridCol w:w="752"/>
        <w:gridCol w:w="752"/>
        <w:gridCol w:w="752"/>
        <w:gridCol w:w="752"/>
        <w:gridCol w:w="752"/>
        <w:gridCol w:w="1361"/>
      </w:tblGrid>
      <w:tr w:rsidR="00E9128C" w:rsidRPr="00E9128C" w14:paraId="3FE67C7B" w14:textId="77777777" w:rsidTr="00E7465F">
        <w:trPr>
          <w:trHeight w:val="374"/>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657096CA"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Naziv SKD</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2B55B3DA"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2017</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11E17E53"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2018</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12B7FE9C"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2019</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37AF72F3"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2020</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60D9AAAB"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2021</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19754C86"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2022</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44056175"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2023</w:t>
            </w:r>
          </w:p>
        </w:tc>
        <w:tc>
          <w:tcPr>
            <w:tcW w:w="0" w:type="auto"/>
            <w:tcBorders>
              <w:top w:val="single" w:sz="4" w:space="0" w:color="auto"/>
              <w:left w:val="nil"/>
              <w:bottom w:val="single" w:sz="4" w:space="0" w:color="auto"/>
              <w:right w:val="single" w:sz="4" w:space="0" w:color="auto"/>
            </w:tcBorders>
            <w:shd w:val="clear" w:color="000000" w:fill="DCE6F1"/>
            <w:vAlign w:val="center"/>
            <w:hideMark/>
          </w:tcPr>
          <w:p w14:paraId="1D78A8DC" w14:textId="77777777" w:rsidR="00B3784F" w:rsidRPr="00B3784F" w:rsidRDefault="00B3784F" w:rsidP="00B3784F">
            <w:pPr>
              <w:spacing w:after="0" w:line="260" w:lineRule="atLeast"/>
              <w:jc w:val="center"/>
              <w:rPr>
                <w:rFonts w:cs="Arial"/>
                <w:b/>
                <w:bCs/>
                <w:i/>
                <w:iCs/>
                <w:szCs w:val="20"/>
                <w:lang w:eastAsia="sl-SI"/>
              </w:rPr>
            </w:pPr>
            <w:r w:rsidRPr="00B3784F">
              <w:rPr>
                <w:rFonts w:cs="Arial"/>
                <w:b/>
                <w:bCs/>
                <w:i/>
                <w:iCs/>
                <w:szCs w:val="20"/>
                <w:lang w:eastAsia="sl-SI"/>
              </w:rPr>
              <w:t>Indeks rasti 2023/2017</w:t>
            </w:r>
          </w:p>
        </w:tc>
      </w:tr>
      <w:tr w:rsidR="00E9128C" w:rsidRPr="00E9128C" w14:paraId="756FCE4A"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6C42915"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Kmetijstvo in lov, gozdarstvo, ribištvo</w:t>
            </w:r>
          </w:p>
        </w:tc>
        <w:tc>
          <w:tcPr>
            <w:tcW w:w="0" w:type="auto"/>
            <w:tcBorders>
              <w:top w:val="nil"/>
              <w:left w:val="nil"/>
              <w:bottom w:val="single" w:sz="4" w:space="0" w:color="auto"/>
              <w:right w:val="single" w:sz="4" w:space="0" w:color="auto"/>
            </w:tcBorders>
            <w:shd w:val="clear" w:color="auto" w:fill="auto"/>
            <w:noWrap/>
            <w:vAlign w:val="bottom"/>
            <w:hideMark/>
          </w:tcPr>
          <w:p w14:paraId="3E68E21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1.124</w:t>
            </w:r>
          </w:p>
        </w:tc>
        <w:tc>
          <w:tcPr>
            <w:tcW w:w="0" w:type="auto"/>
            <w:tcBorders>
              <w:top w:val="nil"/>
              <w:left w:val="nil"/>
              <w:bottom w:val="single" w:sz="4" w:space="0" w:color="auto"/>
              <w:right w:val="single" w:sz="4" w:space="0" w:color="auto"/>
            </w:tcBorders>
            <w:shd w:val="clear" w:color="auto" w:fill="auto"/>
            <w:noWrap/>
            <w:vAlign w:val="bottom"/>
            <w:hideMark/>
          </w:tcPr>
          <w:p w14:paraId="58B5A56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1.071</w:t>
            </w:r>
          </w:p>
        </w:tc>
        <w:tc>
          <w:tcPr>
            <w:tcW w:w="0" w:type="auto"/>
            <w:tcBorders>
              <w:top w:val="nil"/>
              <w:left w:val="nil"/>
              <w:bottom w:val="single" w:sz="4" w:space="0" w:color="auto"/>
              <w:right w:val="single" w:sz="4" w:space="0" w:color="auto"/>
            </w:tcBorders>
            <w:shd w:val="clear" w:color="auto" w:fill="auto"/>
            <w:noWrap/>
            <w:vAlign w:val="bottom"/>
            <w:hideMark/>
          </w:tcPr>
          <w:p w14:paraId="4B974A9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1.116</w:t>
            </w:r>
          </w:p>
        </w:tc>
        <w:tc>
          <w:tcPr>
            <w:tcW w:w="0" w:type="auto"/>
            <w:tcBorders>
              <w:top w:val="nil"/>
              <w:left w:val="nil"/>
              <w:bottom w:val="single" w:sz="4" w:space="0" w:color="auto"/>
              <w:right w:val="single" w:sz="4" w:space="0" w:color="auto"/>
            </w:tcBorders>
            <w:shd w:val="clear" w:color="auto" w:fill="auto"/>
            <w:noWrap/>
            <w:vAlign w:val="bottom"/>
            <w:hideMark/>
          </w:tcPr>
          <w:p w14:paraId="06156B7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1.176</w:t>
            </w:r>
          </w:p>
        </w:tc>
        <w:tc>
          <w:tcPr>
            <w:tcW w:w="0" w:type="auto"/>
            <w:tcBorders>
              <w:top w:val="nil"/>
              <w:left w:val="nil"/>
              <w:bottom w:val="single" w:sz="4" w:space="0" w:color="auto"/>
              <w:right w:val="single" w:sz="4" w:space="0" w:color="auto"/>
            </w:tcBorders>
            <w:shd w:val="clear" w:color="auto" w:fill="auto"/>
            <w:noWrap/>
            <w:vAlign w:val="bottom"/>
            <w:hideMark/>
          </w:tcPr>
          <w:p w14:paraId="7EC830D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1.269</w:t>
            </w:r>
          </w:p>
        </w:tc>
        <w:tc>
          <w:tcPr>
            <w:tcW w:w="0" w:type="auto"/>
            <w:tcBorders>
              <w:top w:val="nil"/>
              <w:left w:val="nil"/>
              <w:bottom w:val="single" w:sz="4" w:space="0" w:color="auto"/>
              <w:right w:val="single" w:sz="4" w:space="0" w:color="auto"/>
            </w:tcBorders>
            <w:shd w:val="clear" w:color="auto" w:fill="auto"/>
            <w:noWrap/>
            <w:vAlign w:val="bottom"/>
            <w:hideMark/>
          </w:tcPr>
          <w:p w14:paraId="61073B1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1.350</w:t>
            </w:r>
          </w:p>
        </w:tc>
        <w:tc>
          <w:tcPr>
            <w:tcW w:w="0" w:type="auto"/>
            <w:tcBorders>
              <w:top w:val="nil"/>
              <w:left w:val="nil"/>
              <w:bottom w:val="single" w:sz="4" w:space="0" w:color="auto"/>
              <w:right w:val="single" w:sz="4" w:space="0" w:color="auto"/>
            </w:tcBorders>
            <w:shd w:val="clear" w:color="auto" w:fill="auto"/>
            <w:noWrap/>
            <w:vAlign w:val="bottom"/>
            <w:hideMark/>
          </w:tcPr>
          <w:p w14:paraId="6D72D32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1.335</w:t>
            </w:r>
          </w:p>
        </w:tc>
        <w:tc>
          <w:tcPr>
            <w:tcW w:w="0" w:type="auto"/>
            <w:tcBorders>
              <w:top w:val="nil"/>
              <w:left w:val="nil"/>
              <w:bottom w:val="single" w:sz="4" w:space="0" w:color="auto"/>
              <w:right w:val="single" w:sz="4" w:space="0" w:color="auto"/>
            </w:tcBorders>
            <w:shd w:val="clear" w:color="auto" w:fill="auto"/>
            <w:noWrap/>
            <w:vAlign w:val="bottom"/>
            <w:hideMark/>
          </w:tcPr>
          <w:p w14:paraId="691C1573"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118,8</w:t>
            </w:r>
          </w:p>
        </w:tc>
      </w:tr>
      <w:tr w:rsidR="00E9128C" w:rsidRPr="00E9128C" w14:paraId="0924043A"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D49F434"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Rudarstvo</w:t>
            </w:r>
          </w:p>
        </w:tc>
        <w:tc>
          <w:tcPr>
            <w:tcW w:w="0" w:type="auto"/>
            <w:tcBorders>
              <w:top w:val="nil"/>
              <w:left w:val="nil"/>
              <w:bottom w:val="single" w:sz="4" w:space="0" w:color="auto"/>
              <w:right w:val="single" w:sz="4" w:space="0" w:color="auto"/>
            </w:tcBorders>
            <w:shd w:val="clear" w:color="auto" w:fill="auto"/>
            <w:noWrap/>
            <w:vAlign w:val="bottom"/>
            <w:hideMark/>
          </w:tcPr>
          <w:p w14:paraId="792A4A8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13</w:t>
            </w:r>
          </w:p>
        </w:tc>
        <w:tc>
          <w:tcPr>
            <w:tcW w:w="0" w:type="auto"/>
            <w:tcBorders>
              <w:top w:val="nil"/>
              <w:left w:val="nil"/>
              <w:bottom w:val="single" w:sz="4" w:space="0" w:color="auto"/>
              <w:right w:val="single" w:sz="4" w:space="0" w:color="auto"/>
            </w:tcBorders>
            <w:shd w:val="clear" w:color="auto" w:fill="auto"/>
            <w:noWrap/>
            <w:vAlign w:val="bottom"/>
            <w:hideMark/>
          </w:tcPr>
          <w:p w14:paraId="6679FC8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15</w:t>
            </w:r>
          </w:p>
        </w:tc>
        <w:tc>
          <w:tcPr>
            <w:tcW w:w="0" w:type="auto"/>
            <w:tcBorders>
              <w:top w:val="nil"/>
              <w:left w:val="nil"/>
              <w:bottom w:val="single" w:sz="4" w:space="0" w:color="auto"/>
              <w:right w:val="single" w:sz="4" w:space="0" w:color="auto"/>
            </w:tcBorders>
            <w:shd w:val="clear" w:color="auto" w:fill="auto"/>
            <w:noWrap/>
            <w:vAlign w:val="bottom"/>
            <w:hideMark/>
          </w:tcPr>
          <w:p w14:paraId="70D8A43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16</w:t>
            </w:r>
          </w:p>
        </w:tc>
        <w:tc>
          <w:tcPr>
            <w:tcW w:w="0" w:type="auto"/>
            <w:tcBorders>
              <w:top w:val="nil"/>
              <w:left w:val="nil"/>
              <w:bottom w:val="single" w:sz="4" w:space="0" w:color="auto"/>
              <w:right w:val="single" w:sz="4" w:space="0" w:color="auto"/>
            </w:tcBorders>
            <w:shd w:val="clear" w:color="auto" w:fill="auto"/>
            <w:noWrap/>
            <w:vAlign w:val="bottom"/>
            <w:hideMark/>
          </w:tcPr>
          <w:p w14:paraId="422103D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11</w:t>
            </w:r>
          </w:p>
        </w:tc>
        <w:tc>
          <w:tcPr>
            <w:tcW w:w="0" w:type="auto"/>
            <w:tcBorders>
              <w:top w:val="nil"/>
              <w:left w:val="nil"/>
              <w:bottom w:val="single" w:sz="4" w:space="0" w:color="auto"/>
              <w:right w:val="single" w:sz="4" w:space="0" w:color="auto"/>
            </w:tcBorders>
            <w:shd w:val="clear" w:color="auto" w:fill="auto"/>
            <w:noWrap/>
            <w:vAlign w:val="bottom"/>
            <w:hideMark/>
          </w:tcPr>
          <w:p w14:paraId="079DF12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10</w:t>
            </w:r>
          </w:p>
        </w:tc>
        <w:tc>
          <w:tcPr>
            <w:tcW w:w="0" w:type="auto"/>
            <w:tcBorders>
              <w:top w:val="nil"/>
              <w:left w:val="nil"/>
              <w:bottom w:val="single" w:sz="4" w:space="0" w:color="auto"/>
              <w:right w:val="single" w:sz="4" w:space="0" w:color="auto"/>
            </w:tcBorders>
            <w:shd w:val="clear" w:color="auto" w:fill="auto"/>
            <w:noWrap/>
            <w:vAlign w:val="bottom"/>
            <w:hideMark/>
          </w:tcPr>
          <w:p w14:paraId="5139440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12</w:t>
            </w:r>
          </w:p>
        </w:tc>
        <w:tc>
          <w:tcPr>
            <w:tcW w:w="0" w:type="auto"/>
            <w:tcBorders>
              <w:top w:val="nil"/>
              <w:left w:val="nil"/>
              <w:bottom w:val="single" w:sz="4" w:space="0" w:color="auto"/>
              <w:right w:val="single" w:sz="4" w:space="0" w:color="auto"/>
            </w:tcBorders>
            <w:shd w:val="clear" w:color="auto" w:fill="auto"/>
            <w:noWrap/>
            <w:vAlign w:val="bottom"/>
            <w:hideMark/>
          </w:tcPr>
          <w:p w14:paraId="1CF398B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11</w:t>
            </w:r>
          </w:p>
        </w:tc>
        <w:tc>
          <w:tcPr>
            <w:tcW w:w="0" w:type="auto"/>
            <w:tcBorders>
              <w:top w:val="nil"/>
              <w:left w:val="nil"/>
              <w:bottom w:val="single" w:sz="4" w:space="0" w:color="auto"/>
              <w:right w:val="single" w:sz="4" w:space="0" w:color="auto"/>
            </w:tcBorders>
            <w:shd w:val="clear" w:color="auto" w:fill="auto"/>
            <w:noWrap/>
            <w:vAlign w:val="bottom"/>
            <w:hideMark/>
          </w:tcPr>
          <w:p w14:paraId="4837361E"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84,6</w:t>
            </w:r>
          </w:p>
        </w:tc>
      </w:tr>
      <w:tr w:rsidR="00E9128C" w:rsidRPr="00E9128C" w14:paraId="6AEB7A76"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5C2EB0E"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Predelovalne dejavnosti</w:t>
            </w:r>
          </w:p>
        </w:tc>
        <w:tc>
          <w:tcPr>
            <w:tcW w:w="0" w:type="auto"/>
            <w:tcBorders>
              <w:top w:val="nil"/>
              <w:left w:val="nil"/>
              <w:bottom w:val="single" w:sz="4" w:space="0" w:color="auto"/>
              <w:right w:val="single" w:sz="4" w:space="0" w:color="auto"/>
            </w:tcBorders>
            <w:shd w:val="clear" w:color="auto" w:fill="auto"/>
            <w:noWrap/>
            <w:vAlign w:val="bottom"/>
            <w:hideMark/>
          </w:tcPr>
          <w:p w14:paraId="61C0449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3.375</w:t>
            </w:r>
          </w:p>
        </w:tc>
        <w:tc>
          <w:tcPr>
            <w:tcW w:w="0" w:type="auto"/>
            <w:tcBorders>
              <w:top w:val="nil"/>
              <w:left w:val="nil"/>
              <w:bottom w:val="single" w:sz="4" w:space="0" w:color="auto"/>
              <w:right w:val="single" w:sz="4" w:space="0" w:color="auto"/>
            </w:tcBorders>
            <w:shd w:val="clear" w:color="auto" w:fill="auto"/>
            <w:noWrap/>
            <w:vAlign w:val="bottom"/>
            <w:hideMark/>
          </w:tcPr>
          <w:p w14:paraId="281419C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3.804</w:t>
            </w:r>
          </w:p>
        </w:tc>
        <w:tc>
          <w:tcPr>
            <w:tcW w:w="0" w:type="auto"/>
            <w:tcBorders>
              <w:top w:val="nil"/>
              <w:left w:val="nil"/>
              <w:bottom w:val="single" w:sz="4" w:space="0" w:color="auto"/>
              <w:right w:val="single" w:sz="4" w:space="0" w:color="auto"/>
            </w:tcBorders>
            <w:shd w:val="clear" w:color="auto" w:fill="auto"/>
            <w:noWrap/>
            <w:vAlign w:val="bottom"/>
            <w:hideMark/>
          </w:tcPr>
          <w:p w14:paraId="262E386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4.231</w:t>
            </w:r>
          </w:p>
        </w:tc>
        <w:tc>
          <w:tcPr>
            <w:tcW w:w="0" w:type="auto"/>
            <w:tcBorders>
              <w:top w:val="nil"/>
              <w:left w:val="nil"/>
              <w:bottom w:val="single" w:sz="4" w:space="0" w:color="auto"/>
              <w:right w:val="single" w:sz="4" w:space="0" w:color="auto"/>
            </w:tcBorders>
            <w:shd w:val="clear" w:color="auto" w:fill="auto"/>
            <w:noWrap/>
            <w:vAlign w:val="bottom"/>
            <w:hideMark/>
          </w:tcPr>
          <w:p w14:paraId="5637392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4.621</w:t>
            </w:r>
          </w:p>
        </w:tc>
        <w:tc>
          <w:tcPr>
            <w:tcW w:w="0" w:type="auto"/>
            <w:tcBorders>
              <w:top w:val="nil"/>
              <w:left w:val="nil"/>
              <w:bottom w:val="single" w:sz="4" w:space="0" w:color="auto"/>
              <w:right w:val="single" w:sz="4" w:space="0" w:color="auto"/>
            </w:tcBorders>
            <w:shd w:val="clear" w:color="auto" w:fill="auto"/>
            <w:noWrap/>
            <w:vAlign w:val="bottom"/>
            <w:hideMark/>
          </w:tcPr>
          <w:p w14:paraId="1F97CC8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4.990</w:t>
            </w:r>
          </w:p>
        </w:tc>
        <w:tc>
          <w:tcPr>
            <w:tcW w:w="0" w:type="auto"/>
            <w:tcBorders>
              <w:top w:val="nil"/>
              <w:left w:val="nil"/>
              <w:bottom w:val="single" w:sz="4" w:space="0" w:color="auto"/>
              <w:right w:val="single" w:sz="4" w:space="0" w:color="auto"/>
            </w:tcBorders>
            <w:shd w:val="clear" w:color="auto" w:fill="auto"/>
            <w:noWrap/>
            <w:vAlign w:val="bottom"/>
            <w:hideMark/>
          </w:tcPr>
          <w:p w14:paraId="1D8D541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5.516</w:t>
            </w:r>
          </w:p>
        </w:tc>
        <w:tc>
          <w:tcPr>
            <w:tcW w:w="0" w:type="auto"/>
            <w:tcBorders>
              <w:top w:val="nil"/>
              <w:left w:val="nil"/>
              <w:bottom w:val="single" w:sz="4" w:space="0" w:color="auto"/>
              <w:right w:val="single" w:sz="4" w:space="0" w:color="auto"/>
            </w:tcBorders>
            <w:shd w:val="clear" w:color="auto" w:fill="auto"/>
            <w:noWrap/>
            <w:vAlign w:val="bottom"/>
            <w:hideMark/>
          </w:tcPr>
          <w:p w14:paraId="51DEFCE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5.576</w:t>
            </w:r>
          </w:p>
        </w:tc>
        <w:tc>
          <w:tcPr>
            <w:tcW w:w="0" w:type="auto"/>
            <w:tcBorders>
              <w:top w:val="nil"/>
              <w:left w:val="nil"/>
              <w:bottom w:val="single" w:sz="4" w:space="0" w:color="auto"/>
              <w:right w:val="single" w:sz="4" w:space="0" w:color="auto"/>
            </w:tcBorders>
            <w:shd w:val="clear" w:color="auto" w:fill="auto"/>
            <w:noWrap/>
            <w:vAlign w:val="bottom"/>
            <w:hideMark/>
          </w:tcPr>
          <w:p w14:paraId="7298CC88"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165,2</w:t>
            </w:r>
          </w:p>
        </w:tc>
      </w:tr>
      <w:tr w:rsidR="00E9128C" w:rsidRPr="00E9128C" w14:paraId="292D4C0A"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6C5E0D9"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 xml:space="preserve">Oskrba z električno energijo, plinom </w:t>
            </w:r>
          </w:p>
        </w:tc>
        <w:tc>
          <w:tcPr>
            <w:tcW w:w="0" w:type="auto"/>
            <w:tcBorders>
              <w:top w:val="nil"/>
              <w:left w:val="nil"/>
              <w:bottom w:val="single" w:sz="4" w:space="0" w:color="auto"/>
              <w:right w:val="single" w:sz="4" w:space="0" w:color="auto"/>
            </w:tcBorders>
            <w:shd w:val="clear" w:color="auto" w:fill="auto"/>
            <w:noWrap/>
            <w:vAlign w:val="bottom"/>
            <w:hideMark/>
          </w:tcPr>
          <w:p w14:paraId="504FD8E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336</w:t>
            </w:r>
          </w:p>
        </w:tc>
        <w:tc>
          <w:tcPr>
            <w:tcW w:w="0" w:type="auto"/>
            <w:tcBorders>
              <w:top w:val="nil"/>
              <w:left w:val="nil"/>
              <w:bottom w:val="single" w:sz="4" w:space="0" w:color="auto"/>
              <w:right w:val="single" w:sz="4" w:space="0" w:color="auto"/>
            </w:tcBorders>
            <w:shd w:val="clear" w:color="auto" w:fill="auto"/>
            <w:noWrap/>
            <w:vAlign w:val="bottom"/>
            <w:hideMark/>
          </w:tcPr>
          <w:p w14:paraId="2240B0E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F03A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361</w:t>
            </w:r>
          </w:p>
        </w:tc>
        <w:tc>
          <w:tcPr>
            <w:tcW w:w="0" w:type="auto"/>
            <w:tcBorders>
              <w:top w:val="nil"/>
              <w:left w:val="nil"/>
              <w:bottom w:val="single" w:sz="4" w:space="0" w:color="auto"/>
              <w:right w:val="single" w:sz="4" w:space="0" w:color="auto"/>
            </w:tcBorders>
            <w:shd w:val="clear" w:color="auto" w:fill="auto"/>
            <w:noWrap/>
            <w:vAlign w:val="bottom"/>
            <w:hideMark/>
          </w:tcPr>
          <w:p w14:paraId="6ECBFBE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368</w:t>
            </w:r>
          </w:p>
        </w:tc>
        <w:tc>
          <w:tcPr>
            <w:tcW w:w="0" w:type="auto"/>
            <w:tcBorders>
              <w:top w:val="nil"/>
              <w:left w:val="nil"/>
              <w:bottom w:val="single" w:sz="4" w:space="0" w:color="auto"/>
              <w:right w:val="single" w:sz="4" w:space="0" w:color="auto"/>
            </w:tcBorders>
            <w:shd w:val="clear" w:color="auto" w:fill="auto"/>
            <w:noWrap/>
            <w:vAlign w:val="bottom"/>
            <w:hideMark/>
          </w:tcPr>
          <w:p w14:paraId="228CA04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380</w:t>
            </w:r>
          </w:p>
        </w:tc>
        <w:tc>
          <w:tcPr>
            <w:tcW w:w="0" w:type="auto"/>
            <w:tcBorders>
              <w:top w:val="nil"/>
              <w:left w:val="nil"/>
              <w:bottom w:val="single" w:sz="4" w:space="0" w:color="auto"/>
              <w:right w:val="single" w:sz="4" w:space="0" w:color="auto"/>
            </w:tcBorders>
            <w:shd w:val="clear" w:color="auto" w:fill="auto"/>
            <w:noWrap/>
            <w:vAlign w:val="bottom"/>
            <w:hideMark/>
          </w:tcPr>
          <w:p w14:paraId="07ED439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409</w:t>
            </w:r>
          </w:p>
        </w:tc>
        <w:tc>
          <w:tcPr>
            <w:tcW w:w="0" w:type="auto"/>
            <w:tcBorders>
              <w:top w:val="nil"/>
              <w:left w:val="nil"/>
              <w:bottom w:val="single" w:sz="4" w:space="0" w:color="auto"/>
              <w:right w:val="single" w:sz="4" w:space="0" w:color="auto"/>
            </w:tcBorders>
            <w:shd w:val="clear" w:color="auto" w:fill="auto"/>
            <w:noWrap/>
            <w:vAlign w:val="bottom"/>
            <w:hideMark/>
          </w:tcPr>
          <w:p w14:paraId="3445FCF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434</w:t>
            </w:r>
          </w:p>
        </w:tc>
        <w:tc>
          <w:tcPr>
            <w:tcW w:w="0" w:type="auto"/>
            <w:tcBorders>
              <w:top w:val="nil"/>
              <w:left w:val="nil"/>
              <w:bottom w:val="single" w:sz="4" w:space="0" w:color="auto"/>
              <w:right w:val="single" w:sz="4" w:space="0" w:color="auto"/>
            </w:tcBorders>
            <w:shd w:val="clear" w:color="auto" w:fill="auto"/>
            <w:noWrap/>
            <w:vAlign w:val="bottom"/>
            <w:hideMark/>
          </w:tcPr>
          <w:p w14:paraId="7C06BA7D"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129,2</w:t>
            </w:r>
          </w:p>
        </w:tc>
      </w:tr>
      <w:tr w:rsidR="00E9128C" w:rsidRPr="00E9128C" w14:paraId="283BD334" w14:textId="77777777" w:rsidTr="00E7465F">
        <w:trPr>
          <w:trHeight w:val="46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9CAF493"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Oskrba z vodo; ravnanje z odplakami in odpadki</w:t>
            </w:r>
          </w:p>
        </w:tc>
        <w:tc>
          <w:tcPr>
            <w:tcW w:w="0" w:type="auto"/>
            <w:tcBorders>
              <w:top w:val="nil"/>
              <w:left w:val="nil"/>
              <w:bottom w:val="single" w:sz="4" w:space="0" w:color="auto"/>
              <w:right w:val="single" w:sz="4" w:space="0" w:color="auto"/>
            </w:tcBorders>
            <w:shd w:val="clear" w:color="auto" w:fill="auto"/>
            <w:noWrap/>
            <w:vAlign w:val="bottom"/>
            <w:hideMark/>
          </w:tcPr>
          <w:p w14:paraId="0A15762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25</w:t>
            </w:r>
          </w:p>
        </w:tc>
        <w:tc>
          <w:tcPr>
            <w:tcW w:w="0" w:type="auto"/>
            <w:tcBorders>
              <w:top w:val="nil"/>
              <w:left w:val="nil"/>
              <w:bottom w:val="single" w:sz="4" w:space="0" w:color="auto"/>
              <w:right w:val="single" w:sz="4" w:space="0" w:color="auto"/>
            </w:tcBorders>
            <w:shd w:val="clear" w:color="auto" w:fill="auto"/>
            <w:noWrap/>
            <w:vAlign w:val="bottom"/>
            <w:hideMark/>
          </w:tcPr>
          <w:p w14:paraId="7463A73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25</w:t>
            </w:r>
          </w:p>
        </w:tc>
        <w:tc>
          <w:tcPr>
            <w:tcW w:w="0" w:type="auto"/>
            <w:tcBorders>
              <w:top w:val="nil"/>
              <w:left w:val="nil"/>
              <w:bottom w:val="single" w:sz="4" w:space="0" w:color="auto"/>
              <w:right w:val="single" w:sz="4" w:space="0" w:color="auto"/>
            </w:tcBorders>
            <w:shd w:val="clear" w:color="auto" w:fill="auto"/>
            <w:noWrap/>
            <w:vAlign w:val="bottom"/>
            <w:hideMark/>
          </w:tcPr>
          <w:p w14:paraId="2E11CC8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24</w:t>
            </w:r>
          </w:p>
        </w:tc>
        <w:tc>
          <w:tcPr>
            <w:tcW w:w="0" w:type="auto"/>
            <w:tcBorders>
              <w:top w:val="nil"/>
              <w:left w:val="nil"/>
              <w:bottom w:val="single" w:sz="4" w:space="0" w:color="auto"/>
              <w:right w:val="single" w:sz="4" w:space="0" w:color="auto"/>
            </w:tcBorders>
            <w:shd w:val="clear" w:color="auto" w:fill="auto"/>
            <w:noWrap/>
            <w:vAlign w:val="bottom"/>
            <w:hideMark/>
          </w:tcPr>
          <w:p w14:paraId="7BE04D0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23</w:t>
            </w:r>
          </w:p>
        </w:tc>
        <w:tc>
          <w:tcPr>
            <w:tcW w:w="0" w:type="auto"/>
            <w:tcBorders>
              <w:top w:val="nil"/>
              <w:left w:val="nil"/>
              <w:bottom w:val="single" w:sz="4" w:space="0" w:color="auto"/>
              <w:right w:val="single" w:sz="4" w:space="0" w:color="auto"/>
            </w:tcBorders>
            <w:shd w:val="clear" w:color="auto" w:fill="auto"/>
            <w:noWrap/>
            <w:vAlign w:val="bottom"/>
            <w:hideMark/>
          </w:tcPr>
          <w:p w14:paraId="66F8EF2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34</w:t>
            </w:r>
          </w:p>
        </w:tc>
        <w:tc>
          <w:tcPr>
            <w:tcW w:w="0" w:type="auto"/>
            <w:tcBorders>
              <w:top w:val="nil"/>
              <w:left w:val="nil"/>
              <w:bottom w:val="single" w:sz="4" w:space="0" w:color="auto"/>
              <w:right w:val="single" w:sz="4" w:space="0" w:color="auto"/>
            </w:tcBorders>
            <w:shd w:val="clear" w:color="auto" w:fill="auto"/>
            <w:noWrap/>
            <w:vAlign w:val="bottom"/>
            <w:hideMark/>
          </w:tcPr>
          <w:p w14:paraId="76FB4F5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44</w:t>
            </w:r>
          </w:p>
        </w:tc>
        <w:tc>
          <w:tcPr>
            <w:tcW w:w="0" w:type="auto"/>
            <w:tcBorders>
              <w:top w:val="nil"/>
              <w:left w:val="nil"/>
              <w:bottom w:val="single" w:sz="4" w:space="0" w:color="auto"/>
              <w:right w:val="single" w:sz="4" w:space="0" w:color="auto"/>
            </w:tcBorders>
            <w:shd w:val="clear" w:color="auto" w:fill="auto"/>
            <w:noWrap/>
            <w:vAlign w:val="bottom"/>
            <w:hideMark/>
          </w:tcPr>
          <w:p w14:paraId="22204BF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32</w:t>
            </w:r>
          </w:p>
        </w:tc>
        <w:tc>
          <w:tcPr>
            <w:tcW w:w="0" w:type="auto"/>
            <w:tcBorders>
              <w:top w:val="nil"/>
              <w:left w:val="nil"/>
              <w:bottom w:val="single" w:sz="4" w:space="0" w:color="auto"/>
              <w:right w:val="single" w:sz="4" w:space="0" w:color="auto"/>
            </w:tcBorders>
            <w:shd w:val="clear" w:color="auto" w:fill="auto"/>
            <w:noWrap/>
            <w:vAlign w:val="bottom"/>
            <w:hideMark/>
          </w:tcPr>
          <w:p w14:paraId="4C104BE1"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128,0</w:t>
            </w:r>
          </w:p>
        </w:tc>
      </w:tr>
      <w:tr w:rsidR="00E9128C" w:rsidRPr="00E9128C" w14:paraId="240D7ED5"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A222AEA"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Gradbeništvo</w:t>
            </w:r>
          </w:p>
        </w:tc>
        <w:tc>
          <w:tcPr>
            <w:tcW w:w="0" w:type="auto"/>
            <w:tcBorders>
              <w:top w:val="nil"/>
              <w:left w:val="nil"/>
              <w:bottom w:val="single" w:sz="4" w:space="0" w:color="auto"/>
              <w:right w:val="single" w:sz="4" w:space="0" w:color="auto"/>
            </w:tcBorders>
            <w:shd w:val="clear" w:color="auto" w:fill="auto"/>
            <w:noWrap/>
            <w:vAlign w:val="bottom"/>
            <w:hideMark/>
          </w:tcPr>
          <w:p w14:paraId="2BD50F4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1.862</w:t>
            </w:r>
          </w:p>
        </w:tc>
        <w:tc>
          <w:tcPr>
            <w:tcW w:w="0" w:type="auto"/>
            <w:tcBorders>
              <w:top w:val="nil"/>
              <w:left w:val="nil"/>
              <w:bottom w:val="single" w:sz="4" w:space="0" w:color="auto"/>
              <w:right w:val="single" w:sz="4" w:space="0" w:color="auto"/>
            </w:tcBorders>
            <w:shd w:val="clear" w:color="auto" w:fill="auto"/>
            <w:noWrap/>
            <w:vAlign w:val="bottom"/>
            <w:hideMark/>
          </w:tcPr>
          <w:p w14:paraId="27B6E59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2.240</w:t>
            </w:r>
          </w:p>
        </w:tc>
        <w:tc>
          <w:tcPr>
            <w:tcW w:w="0" w:type="auto"/>
            <w:tcBorders>
              <w:top w:val="nil"/>
              <w:left w:val="nil"/>
              <w:bottom w:val="single" w:sz="4" w:space="0" w:color="auto"/>
              <w:right w:val="single" w:sz="4" w:space="0" w:color="auto"/>
            </w:tcBorders>
            <w:shd w:val="clear" w:color="auto" w:fill="auto"/>
            <w:noWrap/>
            <w:vAlign w:val="bottom"/>
            <w:hideMark/>
          </w:tcPr>
          <w:p w14:paraId="2E92957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2.734</w:t>
            </w:r>
          </w:p>
        </w:tc>
        <w:tc>
          <w:tcPr>
            <w:tcW w:w="0" w:type="auto"/>
            <w:tcBorders>
              <w:top w:val="nil"/>
              <w:left w:val="nil"/>
              <w:bottom w:val="single" w:sz="4" w:space="0" w:color="auto"/>
              <w:right w:val="single" w:sz="4" w:space="0" w:color="auto"/>
            </w:tcBorders>
            <w:shd w:val="clear" w:color="auto" w:fill="auto"/>
            <w:noWrap/>
            <w:vAlign w:val="bottom"/>
            <w:hideMark/>
          </w:tcPr>
          <w:p w14:paraId="487BE3B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3.240</w:t>
            </w:r>
          </w:p>
        </w:tc>
        <w:tc>
          <w:tcPr>
            <w:tcW w:w="0" w:type="auto"/>
            <w:tcBorders>
              <w:top w:val="nil"/>
              <w:left w:val="nil"/>
              <w:bottom w:val="single" w:sz="4" w:space="0" w:color="auto"/>
              <w:right w:val="single" w:sz="4" w:space="0" w:color="auto"/>
            </w:tcBorders>
            <w:shd w:val="clear" w:color="auto" w:fill="auto"/>
            <w:noWrap/>
            <w:vAlign w:val="bottom"/>
            <w:hideMark/>
          </w:tcPr>
          <w:p w14:paraId="53DCEC1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3.745</w:t>
            </w:r>
          </w:p>
        </w:tc>
        <w:tc>
          <w:tcPr>
            <w:tcW w:w="0" w:type="auto"/>
            <w:tcBorders>
              <w:top w:val="nil"/>
              <w:left w:val="nil"/>
              <w:bottom w:val="single" w:sz="4" w:space="0" w:color="auto"/>
              <w:right w:val="single" w:sz="4" w:space="0" w:color="auto"/>
            </w:tcBorders>
            <w:shd w:val="clear" w:color="auto" w:fill="auto"/>
            <w:noWrap/>
            <w:vAlign w:val="bottom"/>
            <w:hideMark/>
          </w:tcPr>
          <w:p w14:paraId="5D5A99D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4.456</w:t>
            </w:r>
          </w:p>
        </w:tc>
        <w:tc>
          <w:tcPr>
            <w:tcW w:w="0" w:type="auto"/>
            <w:tcBorders>
              <w:top w:val="nil"/>
              <w:left w:val="nil"/>
              <w:bottom w:val="single" w:sz="4" w:space="0" w:color="auto"/>
              <w:right w:val="single" w:sz="4" w:space="0" w:color="auto"/>
            </w:tcBorders>
            <w:shd w:val="clear" w:color="auto" w:fill="auto"/>
            <w:noWrap/>
            <w:vAlign w:val="bottom"/>
            <w:hideMark/>
          </w:tcPr>
          <w:p w14:paraId="77CD3C6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4.885</w:t>
            </w:r>
          </w:p>
        </w:tc>
        <w:tc>
          <w:tcPr>
            <w:tcW w:w="0" w:type="auto"/>
            <w:tcBorders>
              <w:top w:val="nil"/>
              <w:left w:val="nil"/>
              <w:bottom w:val="single" w:sz="4" w:space="0" w:color="auto"/>
              <w:right w:val="single" w:sz="4" w:space="0" w:color="auto"/>
            </w:tcBorders>
            <w:shd w:val="clear" w:color="auto" w:fill="auto"/>
            <w:noWrap/>
            <w:vAlign w:val="bottom"/>
            <w:hideMark/>
          </w:tcPr>
          <w:p w14:paraId="17940195"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262,4</w:t>
            </w:r>
          </w:p>
        </w:tc>
      </w:tr>
      <w:tr w:rsidR="00E9128C" w:rsidRPr="00E9128C" w14:paraId="7DDC5F8F" w14:textId="77777777" w:rsidTr="00E7465F">
        <w:trPr>
          <w:trHeight w:val="46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C772B8"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Trgovina; vzdrževanje in popravila motornih vozil</w:t>
            </w:r>
          </w:p>
        </w:tc>
        <w:tc>
          <w:tcPr>
            <w:tcW w:w="0" w:type="auto"/>
            <w:tcBorders>
              <w:top w:val="nil"/>
              <w:left w:val="nil"/>
              <w:bottom w:val="single" w:sz="4" w:space="0" w:color="auto"/>
              <w:right w:val="single" w:sz="4" w:space="0" w:color="auto"/>
            </w:tcBorders>
            <w:shd w:val="clear" w:color="auto" w:fill="auto"/>
            <w:noWrap/>
            <w:vAlign w:val="bottom"/>
            <w:hideMark/>
          </w:tcPr>
          <w:p w14:paraId="6288BF4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2.720</w:t>
            </w:r>
          </w:p>
        </w:tc>
        <w:tc>
          <w:tcPr>
            <w:tcW w:w="0" w:type="auto"/>
            <w:tcBorders>
              <w:top w:val="nil"/>
              <w:left w:val="nil"/>
              <w:bottom w:val="single" w:sz="4" w:space="0" w:color="auto"/>
              <w:right w:val="single" w:sz="4" w:space="0" w:color="auto"/>
            </w:tcBorders>
            <w:shd w:val="clear" w:color="auto" w:fill="auto"/>
            <w:noWrap/>
            <w:vAlign w:val="bottom"/>
            <w:hideMark/>
          </w:tcPr>
          <w:p w14:paraId="331FF19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3.011</w:t>
            </w:r>
          </w:p>
        </w:tc>
        <w:tc>
          <w:tcPr>
            <w:tcW w:w="0" w:type="auto"/>
            <w:tcBorders>
              <w:top w:val="nil"/>
              <w:left w:val="nil"/>
              <w:bottom w:val="single" w:sz="4" w:space="0" w:color="auto"/>
              <w:right w:val="single" w:sz="4" w:space="0" w:color="auto"/>
            </w:tcBorders>
            <w:shd w:val="clear" w:color="auto" w:fill="auto"/>
            <w:noWrap/>
            <w:vAlign w:val="bottom"/>
            <w:hideMark/>
          </w:tcPr>
          <w:p w14:paraId="6B84416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3.368</w:t>
            </w:r>
          </w:p>
        </w:tc>
        <w:tc>
          <w:tcPr>
            <w:tcW w:w="0" w:type="auto"/>
            <w:tcBorders>
              <w:top w:val="nil"/>
              <w:left w:val="nil"/>
              <w:bottom w:val="single" w:sz="4" w:space="0" w:color="auto"/>
              <w:right w:val="single" w:sz="4" w:space="0" w:color="auto"/>
            </w:tcBorders>
            <w:shd w:val="clear" w:color="auto" w:fill="auto"/>
            <w:noWrap/>
            <w:vAlign w:val="bottom"/>
            <w:hideMark/>
          </w:tcPr>
          <w:p w14:paraId="4BCD65C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3.725</w:t>
            </w:r>
          </w:p>
        </w:tc>
        <w:tc>
          <w:tcPr>
            <w:tcW w:w="0" w:type="auto"/>
            <w:tcBorders>
              <w:top w:val="nil"/>
              <w:left w:val="nil"/>
              <w:bottom w:val="single" w:sz="4" w:space="0" w:color="auto"/>
              <w:right w:val="single" w:sz="4" w:space="0" w:color="auto"/>
            </w:tcBorders>
            <w:shd w:val="clear" w:color="auto" w:fill="auto"/>
            <w:noWrap/>
            <w:vAlign w:val="bottom"/>
            <w:hideMark/>
          </w:tcPr>
          <w:p w14:paraId="21C5817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4.003</w:t>
            </w:r>
          </w:p>
        </w:tc>
        <w:tc>
          <w:tcPr>
            <w:tcW w:w="0" w:type="auto"/>
            <w:tcBorders>
              <w:top w:val="nil"/>
              <w:left w:val="nil"/>
              <w:bottom w:val="single" w:sz="4" w:space="0" w:color="auto"/>
              <w:right w:val="single" w:sz="4" w:space="0" w:color="auto"/>
            </w:tcBorders>
            <w:shd w:val="clear" w:color="auto" w:fill="auto"/>
            <w:noWrap/>
            <w:vAlign w:val="bottom"/>
            <w:hideMark/>
          </w:tcPr>
          <w:p w14:paraId="3103AE3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4.385</w:t>
            </w:r>
          </w:p>
        </w:tc>
        <w:tc>
          <w:tcPr>
            <w:tcW w:w="0" w:type="auto"/>
            <w:tcBorders>
              <w:top w:val="nil"/>
              <w:left w:val="nil"/>
              <w:bottom w:val="single" w:sz="4" w:space="0" w:color="auto"/>
              <w:right w:val="single" w:sz="4" w:space="0" w:color="auto"/>
            </w:tcBorders>
            <w:shd w:val="clear" w:color="auto" w:fill="auto"/>
            <w:noWrap/>
            <w:vAlign w:val="bottom"/>
            <w:hideMark/>
          </w:tcPr>
          <w:p w14:paraId="753EFF24"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4.409</w:t>
            </w:r>
          </w:p>
        </w:tc>
        <w:tc>
          <w:tcPr>
            <w:tcW w:w="0" w:type="auto"/>
            <w:tcBorders>
              <w:top w:val="nil"/>
              <w:left w:val="nil"/>
              <w:bottom w:val="single" w:sz="4" w:space="0" w:color="auto"/>
              <w:right w:val="single" w:sz="4" w:space="0" w:color="auto"/>
            </w:tcBorders>
            <w:shd w:val="clear" w:color="auto" w:fill="auto"/>
            <w:noWrap/>
            <w:vAlign w:val="bottom"/>
            <w:hideMark/>
          </w:tcPr>
          <w:p w14:paraId="0CCF0AC2"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162,1</w:t>
            </w:r>
          </w:p>
        </w:tc>
      </w:tr>
      <w:tr w:rsidR="00E9128C" w:rsidRPr="00E9128C" w14:paraId="5805C500"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A4ADBCD"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Promet in skladiščenje</w:t>
            </w:r>
          </w:p>
        </w:tc>
        <w:tc>
          <w:tcPr>
            <w:tcW w:w="0" w:type="auto"/>
            <w:tcBorders>
              <w:top w:val="nil"/>
              <w:left w:val="nil"/>
              <w:bottom w:val="single" w:sz="4" w:space="0" w:color="auto"/>
              <w:right w:val="single" w:sz="4" w:space="0" w:color="auto"/>
            </w:tcBorders>
            <w:shd w:val="clear" w:color="auto" w:fill="auto"/>
            <w:noWrap/>
            <w:vAlign w:val="bottom"/>
            <w:hideMark/>
          </w:tcPr>
          <w:p w14:paraId="74DEFBD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891</w:t>
            </w:r>
          </w:p>
        </w:tc>
        <w:tc>
          <w:tcPr>
            <w:tcW w:w="0" w:type="auto"/>
            <w:tcBorders>
              <w:top w:val="nil"/>
              <w:left w:val="nil"/>
              <w:bottom w:val="single" w:sz="4" w:space="0" w:color="auto"/>
              <w:right w:val="single" w:sz="4" w:space="0" w:color="auto"/>
            </w:tcBorders>
            <w:shd w:val="clear" w:color="auto" w:fill="auto"/>
            <w:noWrap/>
            <w:vAlign w:val="bottom"/>
            <w:hideMark/>
          </w:tcPr>
          <w:p w14:paraId="29708C6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1.011</w:t>
            </w:r>
          </w:p>
        </w:tc>
        <w:tc>
          <w:tcPr>
            <w:tcW w:w="0" w:type="auto"/>
            <w:tcBorders>
              <w:top w:val="nil"/>
              <w:left w:val="nil"/>
              <w:bottom w:val="single" w:sz="4" w:space="0" w:color="auto"/>
              <w:right w:val="single" w:sz="4" w:space="0" w:color="auto"/>
            </w:tcBorders>
            <w:shd w:val="clear" w:color="auto" w:fill="auto"/>
            <w:noWrap/>
            <w:vAlign w:val="bottom"/>
            <w:hideMark/>
          </w:tcPr>
          <w:p w14:paraId="5DC6F38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1.146</w:t>
            </w:r>
          </w:p>
        </w:tc>
        <w:tc>
          <w:tcPr>
            <w:tcW w:w="0" w:type="auto"/>
            <w:tcBorders>
              <w:top w:val="nil"/>
              <w:left w:val="nil"/>
              <w:bottom w:val="single" w:sz="4" w:space="0" w:color="auto"/>
              <w:right w:val="single" w:sz="4" w:space="0" w:color="auto"/>
            </w:tcBorders>
            <w:shd w:val="clear" w:color="auto" w:fill="auto"/>
            <w:noWrap/>
            <w:vAlign w:val="bottom"/>
            <w:hideMark/>
          </w:tcPr>
          <w:p w14:paraId="34787C8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1.244</w:t>
            </w:r>
          </w:p>
        </w:tc>
        <w:tc>
          <w:tcPr>
            <w:tcW w:w="0" w:type="auto"/>
            <w:tcBorders>
              <w:top w:val="nil"/>
              <w:left w:val="nil"/>
              <w:bottom w:val="single" w:sz="4" w:space="0" w:color="auto"/>
              <w:right w:val="single" w:sz="4" w:space="0" w:color="auto"/>
            </w:tcBorders>
            <w:shd w:val="clear" w:color="auto" w:fill="auto"/>
            <w:noWrap/>
            <w:vAlign w:val="bottom"/>
            <w:hideMark/>
          </w:tcPr>
          <w:p w14:paraId="0D4DE04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1.695</w:t>
            </w:r>
          </w:p>
        </w:tc>
        <w:tc>
          <w:tcPr>
            <w:tcW w:w="0" w:type="auto"/>
            <w:tcBorders>
              <w:top w:val="nil"/>
              <w:left w:val="nil"/>
              <w:bottom w:val="single" w:sz="4" w:space="0" w:color="auto"/>
              <w:right w:val="single" w:sz="4" w:space="0" w:color="auto"/>
            </w:tcBorders>
            <w:shd w:val="clear" w:color="auto" w:fill="auto"/>
            <w:noWrap/>
            <w:vAlign w:val="bottom"/>
            <w:hideMark/>
          </w:tcPr>
          <w:p w14:paraId="7FA27F4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2.117</w:t>
            </w:r>
          </w:p>
        </w:tc>
        <w:tc>
          <w:tcPr>
            <w:tcW w:w="0" w:type="auto"/>
            <w:tcBorders>
              <w:top w:val="nil"/>
              <w:left w:val="nil"/>
              <w:bottom w:val="single" w:sz="4" w:space="0" w:color="auto"/>
              <w:right w:val="single" w:sz="4" w:space="0" w:color="auto"/>
            </w:tcBorders>
            <w:shd w:val="clear" w:color="auto" w:fill="auto"/>
            <w:noWrap/>
            <w:vAlign w:val="bottom"/>
            <w:hideMark/>
          </w:tcPr>
          <w:p w14:paraId="17F8AA9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2.310</w:t>
            </w:r>
          </w:p>
        </w:tc>
        <w:tc>
          <w:tcPr>
            <w:tcW w:w="0" w:type="auto"/>
            <w:tcBorders>
              <w:top w:val="nil"/>
              <w:left w:val="nil"/>
              <w:bottom w:val="single" w:sz="4" w:space="0" w:color="auto"/>
              <w:right w:val="single" w:sz="4" w:space="0" w:color="auto"/>
            </w:tcBorders>
            <w:shd w:val="clear" w:color="auto" w:fill="auto"/>
            <w:noWrap/>
            <w:vAlign w:val="bottom"/>
            <w:hideMark/>
          </w:tcPr>
          <w:p w14:paraId="39B4614E"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259,3</w:t>
            </w:r>
          </w:p>
        </w:tc>
      </w:tr>
      <w:tr w:rsidR="00E9128C" w:rsidRPr="00E9128C" w14:paraId="00C53AEF"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0637EC4"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Gostinstvo</w:t>
            </w:r>
          </w:p>
        </w:tc>
        <w:tc>
          <w:tcPr>
            <w:tcW w:w="0" w:type="auto"/>
            <w:tcBorders>
              <w:top w:val="nil"/>
              <w:left w:val="nil"/>
              <w:bottom w:val="single" w:sz="4" w:space="0" w:color="auto"/>
              <w:right w:val="single" w:sz="4" w:space="0" w:color="auto"/>
            </w:tcBorders>
            <w:shd w:val="clear" w:color="auto" w:fill="auto"/>
            <w:noWrap/>
            <w:vAlign w:val="bottom"/>
            <w:hideMark/>
          </w:tcPr>
          <w:p w14:paraId="3403296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3.420</w:t>
            </w:r>
          </w:p>
        </w:tc>
        <w:tc>
          <w:tcPr>
            <w:tcW w:w="0" w:type="auto"/>
            <w:tcBorders>
              <w:top w:val="nil"/>
              <w:left w:val="nil"/>
              <w:bottom w:val="single" w:sz="4" w:space="0" w:color="auto"/>
              <w:right w:val="single" w:sz="4" w:space="0" w:color="auto"/>
            </w:tcBorders>
            <w:shd w:val="clear" w:color="auto" w:fill="auto"/>
            <w:noWrap/>
            <w:vAlign w:val="bottom"/>
            <w:hideMark/>
          </w:tcPr>
          <w:p w14:paraId="7857319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4.281</w:t>
            </w:r>
          </w:p>
        </w:tc>
        <w:tc>
          <w:tcPr>
            <w:tcW w:w="0" w:type="auto"/>
            <w:tcBorders>
              <w:top w:val="nil"/>
              <w:left w:val="nil"/>
              <w:bottom w:val="single" w:sz="4" w:space="0" w:color="auto"/>
              <w:right w:val="single" w:sz="4" w:space="0" w:color="auto"/>
            </w:tcBorders>
            <w:shd w:val="clear" w:color="auto" w:fill="auto"/>
            <w:noWrap/>
            <w:vAlign w:val="bottom"/>
            <w:hideMark/>
          </w:tcPr>
          <w:p w14:paraId="44169FB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5.079</w:t>
            </w:r>
          </w:p>
        </w:tc>
        <w:tc>
          <w:tcPr>
            <w:tcW w:w="0" w:type="auto"/>
            <w:tcBorders>
              <w:top w:val="nil"/>
              <w:left w:val="nil"/>
              <w:bottom w:val="single" w:sz="4" w:space="0" w:color="auto"/>
              <w:right w:val="single" w:sz="4" w:space="0" w:color="auto"/>
            </w:tcBorders>
            <w:shd w:val="clear" w:color="auto" w:fill="auto"/>
            <w:noWrap/>
            <w:vAlign w:val="bottom"/>
            <w:hideMark/>
          </w:tcPr>
          <w:p w14:paraId="32FAD18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5.126</w:t>
            </w:r>
          </w:p>
        </w:tc>
        <w:tc>
          <w:tcPr>
            <w:tcW w:w="0" w:type="auto"/>
            <w:tcBorders>
              <w:top w:val="nil"/>
              <w:left w:val="nil"/>
              <w:bottom w:val="single" w:sz="4" w:space="0" w:color="auto"/>
              <w:right w:val="single" w:sz="4" w:space="0" w:color="auto"/>
            </w:tcBorders>
            <w:shd w:val="clear" w:color="auto" w:fill="auto"/>
            <w:noWrap/>
            <w:vAlign w:val="bottom"/>
            <w:hideMark/>
          </w:tcPr>
          <w:p w14:paraId="5B4506E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5.187</w:t>
            </w:r>
          </w:p>
        </w:tc>
        <w:tc>
          <w:tcPr>
            <w:tcW w:w="0" w:type="auto"/>
            <w:tcBorders>
              <w:top w:val="nil"/>
              <w:left w:val="nil"/>
              <w:bottom w:val="single" w:sz="4" w:space="0" w:color="auto"/>
              <w:right w:val="single" w:sz="4" w:space="0" w:color="auto"/>
            </w:tcBorders>
            <w:shd w:val="clear" w:color="auto" w:fill="auto"/>
            <w:noWrap/>
            <w:vAlign w:val="bottom"/>
            <w:hideMark/>
          </w:tcPr>
          <w:p w14:paraId="0226A41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6.085</w:t>
            </w:r>
          </w:p>
        </w:tc>
        <w:tc>
          <w:tcPr>
            <w:tcW w:w="0" w:type="auto"/>
            <w:tcBorders>
              <w:top w:val="nil"/>
              <w:left w:val="nil"/>
              <w:bottom w:val="single" w:sz="4" w:space="0" w:color="auto"/>
              <w:right w:val="single" w:sz="4" w:space="0" w:color="auto"/>
            </w:tcBorders>
            <w:shd w:val="clear" w:color="auto" w:fill="auto"/>
            <w:noWrap/>
            <w:vAlign w:val="bottom"/>
            <w:hideMark/>
          </w:tcPr>
          <w:p w14:paraId="1F7297F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6.838</w:t>
            </w:r>
          </w:p>
        </w:tc>
        <w:tc>
          <w:tcPr>
            <w:tcW w:w="0" w:type="auto"/>
            <w:tcBorders>
              <w:top w:val="nil"/>
              <w:left w:val="nil"/>
              <w:bottom w:val="single" w:sz="4" w:space="0" w:color="auto"/>
              <w:right w:val="single" w:sz="4" w:space="0" w:color="auto"/>
            </w:tcBorders>
            <w:shd w:val="clear" w:color="auto" w:fill="auto"/>
            <w:noWrap/>
            <w:vAlign w:val="bottom"/>
            <w:hideMark/>
          </w:tcPr>
          <w:p w14:paraId="0A3DD29B"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199,9</w:t>
            </w:r>
          </w:p>
        </w:tc>
      </w:tr>
      <w:tr w:rsidR="00E9128C" w:rsidRPr="00E9128C" w14:paraId="0458E2B0" w14:textId="77777777" w:rsidTr="00E7465F">
        <w:trPr>
          <w:trHeight w:val="46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972A643"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Informacijske in komunikacijske dejavnosti</w:t>
            </w:r>
          </w:p>
        </w:tc>
        <w:tc>
          <w:tcPr>
            <w:tcW w:w="0" w:type="auto"/>
            <w:tcBorders>
              <w:top w:val="nil"/>
              <w:left w:val="nil"/>
              <w:bottom w:val="single" w:sz="4" w:space="0" w:color="auto"/>
              <w:right w:val="single" w:sz="4" w:space="0" w:color="auto"/>
            </w:tcBorders>
            <w:shd w:val="clear" w:color="auto" w:fill="auto"/>
            <w:noWrap/>
            <w:vAlign w:val="bottom"/>
            <w:hideMark/>
          </w:tcPr>
          <w:p w14:paraId="2E611E1A"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4.298</w:t>
            </w:r>
          </w:p>
        </w:tc>
        <w:tc>
          <w:tcPr>
            <w:tcW w:w="0" w:type="auto"/>
            <w:tcBorders>
              <w:top w:val="nil"/>
              <w:left w:val="nil"/>
              <w:bottom w:val="single" w:sz="4" w:space="0" w:color="auto"/>
              <w:right w:val="single" w:sz="4" w:space="0" w:color="auto"/>
            </w:tcBorders>
            <w:shd w:val="clear" w:color="auto" w:fill="auto"/>
            <w:noWrap/>
            <w:vAlign w:val="bottom"/>
            <w:hideMark/>
          </w:tcPr>
          <w:p w14:paraId="5ECC8E8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4.893</w:t>
            </w:r>
          </w:p>
        </w:tc>
        <w:tc>
          <w:tcPr>
            <w:tcW w:w="0" w:type="auto"/>
            <w:tcBorders>
              <w:top w:val="nil"/>
              <w:left w:val="nil"/>
              <w:bottom w:val="single" w:sz="4" w:space="0" w:color="auto"/>
              <w:right w:val="single" w:sz="4" w:space="0" w:color="auto"/>
            </w:tcBorders>
            <w:shd w:val="clear" w:color="auto" w:fill="auto"/>
            <w:noWrap/>
            <w:vAlign w:val="bottom"/>
            <w:hideMark/>
          </w:tcPr>
          <w:p w14:paraId="68854A7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5.263</w:t>
            </w:r>
          </w:p>
        </w:tc>
        <w:tc>
          <w:tcPr>
            <w:tcW w:w="0" w:type="auto"/>
            <w:tcBorders>
              <w:top w:val="nil"/>
              <w:left w:val="nil"/>
              <w:bottom w:val="single" w:sz="4" w:space="0" w:color="auto"/>
              <w:right w:val="single" w:sz="4" w:space="0" w:color="auto"/>
            </w:tcBorders>
            <w:shd w:val="clear" w:color="auto" w:fill="auto"/>
            <w:noWrap/>
            <w:vAlign w:val="bottom"/>
            <w:hideMark/>
          </w:tcPr>
          <w:p w14:paraId="5C85AE6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5.776</w:t>
            </w:r>
          </w:p>
        </w:tc>
        <w:tc>
          <w:tcPr>
            <w:tcW w:w="0" w:type="auto"/>
            <w:tcBorders>
              <w:top w:val="nil"/>
              <w:left w:val="nil"/>
              <w:bottom w:val="single" w:sz="4" w:space="0" w:color="auto"/>
              <w:right w:val="single" w:sz="4" w:space="0" w:color="auto"/>
            </w:tcBorders>
            <w:shd w:val="clear" w:color="auto" w:fill="auto"/>
            <w:noWrap/>
            <w:vAlign w:val="bottom"/>
            <w:hideMark/>
          </w:tcPr>
          <w:p w14:paraId="0F80D86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6.510</w:t>
            </w:r>
          </w:p>
        </w:tc>
        <w:tc>
          <w:tcPr>
            <w:tcW w:w="0" w:type="auto"/>
            <w:tcBorders>
              <w:top w:val="nil"/>
              <w:left w:val="nil"/>
              <w:bottom w:val="single" w:sz="4" w:space="0" w:color="auto"/>
              <w:right w:val="single" w:sz="4" w:space="0" w:color="auto"/>
            </w:tcBorders>
            <w:shd w:val="clear" w:color="auto" w:fill="auto"/>
            <w:noWrap/>
            <w:vAlign w:val="bottom"/>
            <w:hideMark/>
          </w:tcPr>
          <w:p w14:paraId="5CFB7EC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7.300</w:t>
            </w:r>
          </w:p>
        </w:tc>
        <w:tc>
          <w:tcPr>
            <w:tcW w:w="0" w:type="auto"/>
            <w:tcBorders>
              <w:top w:val="nil"/>
              <w:left w:val="nil"/>
              <w:bottom w:val="single" w:sz="4" w:space="0" w:color="auto"/>
              <w:right w:val="single" w:sz="4" w:space="0" w:color="auto"/>
            </w:tcBorders>
            <w:shd w:val="clear" w:color="auto" w:fill="auto"/>
            <w:noWrap/>
            <w:vAlign w:val="bottom"/>
            <w:hideMark/>
          </w:tcPr>
          <w:p w14:paraId="373A6B9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7.813</w:t>
            </w:r>
          </w:p>
        </w:tc>
        <w:tc>
          <w:tcPr>
            <w:tcW w:w="0" w:type="auto"/>
            <w:tcBorders>
              <w:top w:val="nil"/>
              <w:left w:val="nil"/>
              <w:bottom w:val="single" w:sz="4" w:space="0" w:color="auto"/>
              <w:right w:val="single" w:sz="4" w:space="0" w:color="auto"/>
            </w:tcBorders>
            <w:shd w:val="clear" w:color="auto" w:fill="auto"/>
            <w:noWrap/>
            <w:vAlign w:val="bottom"/>
            <w:hideMark/>
          </w:tcPr>
          <w:p w14:paraId="573E192E"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181,8</w:t>
            </w:r>
          </w:p>
        </w:tc>
      </w:tr>
      <w:tr w:rsidR="00E9128C" w:rsidRPr="00E9128C" w14:paraId="4146A238"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0FD3FC5"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Finančne in zavarovalniške dejavnosti</w:t>
            </w:r>
          </w:p>
        </w:tc>
        <w:tc>
          <w:tcPr>
            <w:tcW w:w="0" w:type="auto"/>
            <w:tcBorders>
              <w:top w:val="nil"/>
              <w:left w:val="nil"/>
              <w:bottom w:val="single" w:sz="4" w:space="0" w:color="auto"/>
              <w:right w:val="single" w:sz="4" w:space="0" w:color="auto"/>
            </w:tcBorders>
            <w:shd w:val="clear" w:color="auto" w:fill="auto"/>
            <w:noWrap/>
            <w:vAlign w:val="bottom"/>
            <w:hideMark/>
          </w:tcPr>
          <w:p w14:paraId="6E844D7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418</w:t>
            </w:r>
          </w:p>
        </w:tc>
        <w:tc>
          <w:tcPr>
            <w:tcW w:w="0" w:type="auto"/>
            <w:tcBorders>
              <w:top w:val="nil"/>
              <w:left w:val="nil"/>
              <w:bottom w:val="single" w:sz="4" w:space="0" w:color="auto"/>
              <w:right w:val="single" w:sz="4" w:space="0" w:color="auto"/>
            </w:tcBorders>
            <w:shd w:val="clear" w:color="auto" w:fill="auto"/>
            <w:noWrap/>
            <w:vAlign w:val="bottom"/>
            <w:hideMark/>
          </w:tcPr>
          <w:p w14:paraId="649DCE5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453</w:t>
            </w:r>
          </w:p>
        </w:tc>
        <w:tc>
          <w:tcPr>
            <w:tcW w:w="0" w:type="auto"/>
            <w:tcBorders>
              <w:top w:val="nil"/>
              <w:left w:val="nil"/>
              <w:bottom w:val="single" w:sz="4" w:space="0" w:color="auto"/>
              <w:right w:val="single" w:sz="4" w:space="0" w:color="auto"/>
            </w:tcBorders>
            <w:shd w:val="clear" w:color="auto" w:fill="auto"/>
            <w:noWrap/>
            <w:vAlign w:val="bottom"/>
            <w:hideMark/>
          </w:tcPr>
          <w:p w14:paraId="1500B08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508</w:t>
            </w:r>
          </w:p>
        </w:tc>
        <w:tc>
          <w:tcPr>
            <w:tcW w:w="0" w:type="auto"/>
            <w:tcBorders>
              <w:top w:val="nil"/>
              <w:left w:val="nil"/>
              <w:bottom w:val="single" w:sz="4" w:space="0" w:color="auto"/>
              <w:right w:val="single" w:sz="4" w:space="0" w:color="auto"/>
            </w:tcBorders>
            <w:shd w:val="clear" w:color="auto" w:fill="auto"/>
            <w:noWrap/>
            <w:vAlign w:val="bottom"/>
            <w:hideMark/>
          </w:tcPr>
          <w:p w14:paraId="567FE56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580</w:t>
            </w:r>
          </w:p>
        </w:tc>
        <w:tc>
          <w:tcPr>
            <w:tcW w:w="0" w:type="auto"/>
            <w:tcBorders>
              <w:top w:val="nil"/>
              <w:left w:val="nil"/>
              <w:bottom w:val="single" w:sz="4" w:space="0" w:color="auto"/>
              <w:right w:val="single" w:sz="4" w:space="0" w:color="auto"/>
            </w:tcBorders>
            <w:shd w:val="clear" w:color="auto" w:fill="auto"/>
            <w:noWrap/>
            <w:vAlign w:val="bottom"/>
            <w:hideMark/>
          </w:tcPr>
          <w:p w14:paraId="038FB40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623</w:t>
            </w:r>
          </w:p>
        </w:tc>
        <w:tc>
          <w:tcPr>
            <w:tcW w:w="0" w:type="auto"/>
            <w:tcBorders>
              <w:top w:val="nil"/>
              <w:left w:val="nil"/>
              <w:bottom w:val="single" w:sz="4" w:space="0" w:color="auto"/>
              <w:right w:val="single" w:sz="4" w:space="0" w:color="auto"/>
            </w:tcBorders>
            <w:shd w:val="clear" w:color="auto" w:fill="auto"/>
            <w:noWrap/>
            <w:vAlign w:val="bottom"/>
            <w:hideMark/>
          </w:tcPr>
          <w:p w14:paraId="3AF91DD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659</w:t>
            </w:r>
          </w:p>
        </w:tc>
        <w:tc>
          <w:tcPr>
            <w:tcW w:w="0" w:type="auto"/>
            <w:tcBorders>
              <w:top w:val="nil"/>
              <w:left w:val="nil"/>
              <w:bottom w:val="single" w:sz="4" w:space="0" w:color="auto"/>
              <w:right w:val="single" w:sz="4" w:space="0" w:color="auto"/>
            </w:tcBorders>
            <w:shd w:val="clear" w:color="auto" w:fill="auto"/>
            <w:noWrap/>
            <w:vAlign w:val="bottom"/>
            <w:hideMark/>
          </w:tcPr>
          <w:p w14:paraId="01FACA0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695</w:t>
            </w:r>
          </w:p>
        </w:tc>
        <w:tc>
          <w:tcPr>
            <w:tcW w:w="0" w:type="auto"/>
            <w:tcBorders>
              <w:top w:val="nil"/>
              <w:left w:val="nil"/>
              <w:bottom w:val="single" w:sz="4" w:space="0" w:color="auto"/>
              <w:right w:val="single" w:sz="4" w:space="0" w:color="auto"/>
            </w:tcBorders>
            <w:shd w:val="clear" w:color="auto" w:fill="auto"/>
            <w:noWrap/>
            <w:vAlign w:val="bottom"/>
            <w:hideMark/>
          </w:tcPr>
          <w:p w14:paraId="0D24365F"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166,3</w:t>
            </w:r>
          </w:p>
        </w:tc>
      </w:tr>
      <w:tr w:rsidR="00E9128C" w:rsidRPr="00E9128C" w14:paraId="3FB2747B"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DCA28A8"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Poslovanje z nepremičninami</w:t>
            </w:r>
          </w:p>
        </w:tc>
        <w:tc>
          <w:tcPr>
            <w:tcW w:w="0" w:type="auto"/>
            <w:tcBorders>
              <w:top w:val="nil"/>
              <w:left w:val="nil"/>
              <w:bottom w:val="single" w:sz="4" w:space="0" w:color="auto"/>
              <w:right w:val="single" w:sz="4" w:space="0" w:color="auto"/>
            </w:tcBorders>
            <w:shd w:val="clear" w:color="auto" w:fill="auto"/>
            <w:noWrap/>
            <w:vAlign w:val="bottom"/>
            <w:hideMark/>
          </w:tcPr>
          <w:p w14:paraId="5F869C4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639</w:t>
            </w:r>
          </w:p>
        </w:tc>
        <w:tc>
          <w:tcPr>
            <w:tcW w:w="0" w:type="auto"/>
            <w:tcBorders>
              <w:top w:val="nil"/>
              <w:left w:val="nil"/>
              <w:bottom w:val="single" w:sz="4" w:space="0" w:color="auto"/>
              <w:right w:val="single" w:sz="4" w:space="0" w:color="auto"/>
            </w:tcBorders>
            <w:shd w:val="clear" w:color="auto" w:fill="auto"/>
            <w:noWrap/>
            <w:vAlign w:val="bottom"/>
            <w:hideMark/>
          </w:tcPr>
          <w:p w14:paraId="4A265B8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852</w:t>
            </w:r>
          </w:p>
        </w:tc>
        <w:tc>
          <w:tcPr>
            <w:tcW w:w="0" w:type="auto"/>
            <w:tcBorders>
              <w:top w:val="nil"/>
              <w:left w:val="nil"/>
              <w:bottom w:val="single" w:sz="4" w:space="0" w:color="auto"/>
              <w:right w:val="single" w:sz="4" w:space="0" w:color="auto"/>
            </w:tcBorders>
            <w:shd w:val="clear" w:color="auto" w:fill="auto"/>
            <w:noWrap/>
            <w:vAlign w:val="bottom"/>
            <w:hideMark/>
          </w:tcPr>
          <w:p w14:paraId="3C92676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1.078</w:t>
            </w:r>
          </w:p>
        </w:tc>
        <w:tc>
          <w:tcPr>
            <w:tcW w:w="0" w:type="auto"/>
            <w:tcBorders>
              <w:top w:val="nil"/>
              <w:left w:val="nil"/>
              <w:bottom w:val="single" w:sz="4" w:space="0" w:color="auto"/>
              <w:right w:val="single" w:sz="4" w:space="0" w:color="auto"/>
            </w:tcBorders>
            <w:shd w:val="clear" w:color="auto" w:fill="auto"/>
            <w:noWrap/>
            <w:vAlign w:val="bottom"/>
            <w:hideMark/>
          </w:tcPr>
          <w:p w14:paraId="5795524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1.204</w:t>
            </w:r>
          </w:p>
        </w:tc>
        <w:tc>
          <w:tcPr>
            <w:tcW w:w="0" w:type="auto"/>
            <w:tcBorders>
              <w:top w:val="nil"/>
              <w:left w:val="nil"/>
              <w:bottom w:val="single" w:sz="4" w:space="0" w:color="auto"/>
              <w:right w:val="single" w:sz="4" w:space="0" w:color="auto"/>
            </w:tcBorders>
            <w:shd w:val="clear" w:color="auto" w:fill="auto"/>
            <w:noWrap/>
            <w:vAlign w:val="bottom"/>
            <w:hideMark/>
          </w:tcPr>
          <w:p w14:paraId="168142C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1.394</w:t>
            </w:r>
          </w:p>
        </w:tc>
        <w:tc>
          <w:tcPr>
            <w:tcW w:w="0" w:type="auto"/>
            <w:tcBorders>
              <w:top w:val="nil"/>
              <w:left w:val="nil"/>
              <w:bottom w:val="single" w:sz="4" w:space="0" w:color="auto"/>
              <w:right w:val="single" w:sz="4" w:space="0" w:color="auto"/>
            </w:tcBorders>
            <w:shd w:val="clear" w:color="auto" w:fill="auto"/>
            <w:noWrap/>
            <w:vAlign w:val="bottom"/>
            <w:hideMark/>
          </w:tcPr>
          <w:p w14:paraId="77ECC5B4"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1.647</w:t>
            </w:r>
          </w:p>
        </w:tc>
        <w:tc>
          <w:tcPr>
            <w:tcW w:w="0" w:type="auto"/>
            <w:tcBorders>
              <w:top w:val="nil"/>
              <w:left w:val="nil"/>
              <w:bottom w:val="single" w:sz="4" w:space="0" w:color="auto"/>
              <w:right w:val="single" w:sz="4" w:space="0" w:color="auto"/>
            </w:tcBorders>
            <w:shd w:val="clear" w:color="auto" w:fill="auto"/>
            <w:noWrap/>
            <w:vAlign w:val="bottom"/>
            <w:hideMark/>
          </w:tcPr>
          <w:p w14:paraId="516987A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1.819</w:t>
            </w:r>
          </w:p>
        </w:tc>
        <w:tc>
          <w:tcPr>
            <w:tcW w:w="0" w:type="auto"/>
            <w:tcBorders>
              <w:top w:val="nil"/>
              <w:left w:val="nil"/>
              <w:bottom w:val="single" w:sz="4" w:space="0" w:color="auto"/>
              <w:right w:val="single" w:sz="4" w:space="0" w:color="auto"/>
            </w:tcBorders>
            <w:shd w:val="clear" w:color="auto" w:fill="auto"/>
            <w:noWrap/>
            <w:vAlign w:val="bottom"/>
            <w:hideMark/>
          </w:tcPr>
          <w:p w14:paraId="58869FEF"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284,7</w:t>
            </w:r>
          </w:p>
        </w:tc>
      </w:tr>
      <w:tr w:rsidR="00E9128C" w:rsidRPr="00E9128C" w14:paraId="633BFE94" w14:textId="77777777" w:rsidTr="00E7465F">
        <w:trPr>
          <w:trHeight w:val="46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C2B78A9"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lastRenderedPageBreak/>
              <w:t>Strokovne, znanstvene in tehnične dejavnosti</w:t>
            </w:r>
          </w:p>
        </w:tc>
        <w:tc>
          <w:tcPr>
            <w:tcW w:w="0" w:type="auto"/>
            <w:tcBorders>
              <w:top w:val="nil"/>
              <w:left w:val="nil"/>
              <w:bottom w:val="single" w:sz="4" w:space="0" w:color="auto"/>
              <w:right w:val="single" w:sz="4" w:space="0" w:color="auto"/>
            </w:tcBorders>
            <w:shd w:val="clear" w:color="auto" w:fill="auto"/>
            <w:noWrap/>
            <w:vAlign w:val="bottom"/>
            <w:hideMark/>
          </w:tcPr>
          <w:p w14:paraId="6AC0CD6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13.608</w:t>
            </w:r>
          </w:p>
        </w:tc>
        <w:tc>
          <w:tcPr>
            <w:tcW w:w="0" w:type="auto"/>
            <w:tcBorders>
              <w:top w:val="nil"/>
              <w:left w:val="nil"/>
              <w:bottom w:val="single" w:sz="4" w:space="0" w:color="auto"/>
              <w:right w:val="single" w:sz="4" w:space="0" w:color="auto"/>
            </w:tcBorders>
            <w:shd w:val="clear" w:color="auto" w:fill="auto"/>
            <w:noWrap/>
            <w:vAlign w:val="bottom"/>
            <w:hideMark/>
          </w:tcPr>
          <w:p w14:paraId="0194B26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15.504</w:t>
            </w:r>
          </w:p>
        </w:tc>
        <w:tc>
          <w:tcPr>
            <w:tcW w:w="0" w:type="auto"/>
            <w:tcBorders>
              <w:top w:val="nil"/>
              <w:left w:val="nil"/>
              <w:bottom w:val="single" w:sz="4" w:space="0" w:color="auto"/>
              <w:right w:val="single" w:sz="4" w:space="0" w:color="auto"/>
            </w:tcBorders>
            <w:shd w:val="clear" w:color="auto" w:fill="auto"/>
            <w:noWrap/>
            <w:vAlign w:val="bottom"/>
            <w:hideMark/>
          </w:tcPr>
          <w:p w14:paraId="408BCB1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17.165</w:t>
            </w:r>
          </w:p>
        </w:tc>
        <w:tc>
          <w:tcPr>
            <w:tcW w:w="0" w:type="auto"/>
            <w:tcBorders>
              <w:top w:val="nil"/>
              <w:left w:val="nil"/>
              <w:bottom w:val="single" w:sz="4" w:space="0" w:color="auto"/>
              <w:right w:val="single" w:sz="4" w:space="0" w:color="auto"/>
            </w:tcBorders>
            <w:shd w:val="clear" w:color="auto" w:fill="auto"/>
            <w:noWrap/>
            <w:vAlign w:val="bottom"/>
            <w:hideMark/>
          </w:tcPr>
          <w:p w14:paraId="4DFA1BE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18.742</w:t>
            </w:r>
          </w:p>
        </w:tc>
        <w:tc>
          <w:tcPr>
            <w:tcW w:w="0" w:type="auto"/>
            <w:tcBorders>
              <w:top w:val="nil"/>
              <w:left w:val="nil"/>
              <w:bottom w:val="single" w:sz="4" w:space="0" w:color="auto"/>
              <w:right w:val="single" w:sz="4" w:space="0" w:color="auto"/>
            </w:tcBorders>
            <w:shd w:val="clear" w:color="auto" w:fill="auto"/>
            <w:noWrap/>
            <w:vAlign w:val="bottom"/>
            <w:hideMark/>
          </w:tcPr>
          <w:p w14:paraId="0F0C375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20.371</w:t>
            </w:r>
          </w:p>
        </w:tc>
        <w:tc>
          <w:tcPr>
            <w:tcW w:w="0" w:type="auto"/>
            <w:tcBorders>
              <w:top w:val="nil"/>
              <w:left w:val="nil"/>
              <w:bottom w:val="single" w:sz="4" w:space="0" w:color="auto"/>
              <w:right w:val="single" w:sz="4" w:space="0" w:color="auto"/>
            </w:tcBorders>
            <w:shd w:val="clear" w:color="auto" w:fill="auto"/>
            <w:noWrap/>
            <w:vAlign w:val="bottom"/>
            <w:hideMark/>
          </w:tcPr>
          <w:p w14:paraId="62B4E69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22.675</w:t>
            </w:r>
          </w:p>
        </w:tc>
        <w:tc>
          <w:tcPr>
            <w:tcW w:w="0" w:type="auto"/>
            <w:tcBorders>
              <w:top w:val="nil"/>
              <w:left w:val="nil"/>
              <w:bottom w:val="single" w:sz="4" w:space="0" w:color="auto"/>
              <w:right w:val="single" w:sz="4" w:space="0" w:color="auto"/>
            </w:tcBorders>
            <w:shd w:val="clear" w:color="auto" w:fill="auto"/>
            <w:noWrap/>
            <w:vAlign w:val="bottom"/>
            <w:hideMark/>
          </w:tcPr>
          <w:p w14:paraId="50FE253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23.733</w:t>
            </w:r>
          </w:p>
        </w:tc>
        <w:tc>
          <w:tcPr>
            <w:tcW w:w="0" w:type="auto"/>
            <w:tcBorders>
              <w:top w:val="nil"/>
              <w:left w:val="nil"/>
              <w:bottom w:val="single" w:sz="4" w:space="0" w:color="auto"/>
              <w:right w:val="single" w:sz="4" w:space="0" w:color="auto"/>
            </w:tcBorders>
            <w:shd w:val="clear" w:color="auto" w:fill="auto"/>
            <w:noWrap/>
            <w:vAlign w:val="bottom"/>
            <w:hideMark/>
          </w:tcPr>
          <w:p w14:paraId="40E66EF8"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174,4</w:t>
            </w:r>
          </w:p>
        </w:tc>
      </w:tr>
      <w:tr w:rsidR="00E9128C" w:rsidRPr="00E9128C" w14:paraId="3BD5191E"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FA24F7B"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Druge raznovrstne poslovne dejavnosti</w:t>
            </w:r>
          </w:p>
        </w:tc>
        <w:tc>
          <w:tcPr>
            <w:tcW w:w="0" w:type="auto"/>
            <w:tcBorders>
              <w:top w:val="nil"/>
              <w:left w:val="nil"/>
              <w:bottom w:val="single" w:sz="4" w:space="0" w:color="auto"/>
              <w:right w:val="single" w:sz="4" w:space="0" w:color="auto"/>
            </w:tcBorders>
            <w:shd w:val="clear" w:color="auto" w:fill="auto"/>
            <w:noWrap/>
            <w:vAlign w:val="bottom"/>
            <w:hideMark/>
          </w:tcPr>
          <w:p w14:paraId="60CFE1B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2.977</w:t>
            </w:r>
          </w:p>
        </w:tc>
        <w:tc>
          <w:tcPr>
            <w:tcW w:w="0" w:type="auto"/>
            <w:tcBorders>
              <w:top w:val="nil"/>
              <w:left w:val="nil"/>
              <w:bottom w:val="single" w:sz="4" w:space="0" w:color="auto"/>
              <w:right w:val="single" w:sz="4" w:space="0" w:color="auto"/>
            </w:tcBorders>
            <w:shd w:val="clear" w:color="auto" w:fill="auto"/>
            <w:noWrap/>
            <w:vAlign w:val="bottom"/>
            <w:hideMark/>
          </w:tcPr>
          <w:p w14:paraId="221441D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3.426</w:t>
            </w:r>
          </w:p>
        </w:tc>
        <w:tc>
          <w:tcPr>
            <w:tcW w:w="0" w:type="auto"/>
            <w:tcBorders>
              <w:top w:val="nil"/>
              <w:left w:val="nil"/>
              <w:bottom w:val="single" w:sz="4" w:space="0" w:color="auto"/>
              <w:right w:val="single" w:sz="4" w:space="0" w:color="auto"/>
            </w:tcBorders>
            <w:shd w:val="clear" w:color="auto" w:fill="auto"/>
            <w:noWrap/>
            <w:vAlign w:val="bottom"/>
            <w:hideMark/>
          </w:tcPr>
          <w:p w14:paraId="7E2EACB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3.910</w:t>
            </w:r>
          </w:p>
        </w:tc>
        <w:tc>
          <w:tcPr>
            <w:tcW w:w="0" w:type="auto"/>
            <w:tcBorders>
              <w:top w:val="nil"/>
              <w:left w:val="nil"/>
              <w:bottom w:val="single" w:sz="4" w:space="0" w:color="auto"/>
              <w:right w:val="single" w:sz="4" w:space="0" w:color="auto"/>
            </w:tcBorders>
            <w:shd w:val="clear" w:color="auto" w:fill="auto"/>
            <w:noWrap/>
            <w:vAlign w:val="bottom"/>
            <w:hideMark/>
          </w:tcPr>
          <w:p w14:paraId="5FA40F7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4.239</w:t>
            </w:r>
          </w:p>
        </w:tc>
        <w:tc>
          <w:tcPr>
            <w:tcW w:w="0" w:type="auto"/>
            <w:tcBorders>
              <w:top w:val="nil"/>
              <w:left w:val="nil"/>
              <w:bottom w:val="single" w:sz="4" w:space="0" w:color="auto"/>
              <w:right w:val="single" w:sz="4" w:space="0" w:color="auto"/>
            </w:tcBorders>
            <w:shd w:val="clear" w:color="auto" w:fill="auto"/>
            <w:noWrap/>
            <w:vAlign w:val="bottom"/>
            <w:hideMark/>
          </w:tcPr>
          <w:p w14:paraId="33F22A2A"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4.549</w:t>
            </w:r>
          </w:p>
        </w:tc>
        <w:tc>
          <w:tcPr>
            <w:tcW w:w="0" w:type="auto"/>
            <w:tcBorders>
              <w:top w:val="nil"/>
              <w:left w:val="nil"/>
              <w:bottom w:val="single" w:sz="4" w:space="0" w:color="auto"/>
              <w:right w:val="single" w:sz="4" w:space="0" w:color="auto"/>
            </w:tcBorders>
            <w:shd w:val="clear" w:color="auto" w:fill="auto"/>
            <w:noWrap/>
            <w:vAlign w:val="bottom"/>
            <w:hideMark/>
          </w:tcPr>
          <w:p w14:paraId="6C48503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5.321</w:t>
            </w:r>
          </w:p>
        </w:tc>
        <w:tc>
          <w:tcPr>
            <w:tcW w:w="0" w:type="auto"/>
            <w:tcBorders>
              <w:top w:val="nil"/>
              <w:left w:val="nil"/>
              <w:bottom w:val="single" w:sz="4" w:space="0" w:color="auto"/>
              <w:right w:val="single" w:sz="4" w:space="0" w:color="auto"/>
            </w:tcBorders>
            <w:shd w:val="clear" w:color="auto" w:fill="auto"/>
            <w:noWrap/>
            <w:vAlign w:val="bottom"/>
            <w:hideMark/>
          </w:tcPr>
          <w:p w14:paraId="2D3B433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5.840</w:t>
            </w:r>
          </w:p>
        </w:tc>
        <w:tc>
          <w:tcPr>
            <w:tcW w:w="0" w:type="auto"/>
            <w:tcBorders>
              <w:top w:val="nil"/>
              <w:left w:val="nil"/>
              <w:bottom w:val="single" w:sz="4" w:space="0" w:color="auto"/>
              <w:right w:val="single" w:sz="4" w:space="0" w:color="auto"/>
            </w:tcBorders>
            <w:shd w:val="clear" w:color="auto" w:fill="auto"/>
            <w:noWrap/>
            <w:vAlign w:val="bottom"/>
            <w:hideMark/>
          </w:tcPr>
          <w:p w14:paraId="558DCBED"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196,2</w:t>
            </w:r>
          </w:p>
        </w:tc>
      </w:tr>
      <w:tr w:rsidR="00E9128C" w:rsidRPr="00E9128C" w14:paraId="0107521D" w14:textId="77777777" w:rsidTr="00E7465F">
        <w:trPr>
          <w:trHeight w:val="66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9315B74"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Dejavnost javne uprave in obrambe; dejavnost obvezne socialne varnosti</w:t>
            </w:r>
          </w:p>
        </w:tc>
        <w:tc>
          <w:tcPr>
            <w:tcW w:w="0" w:type="auto"/>
            <w:tcBorders>
              <w:top w:val="nil"/>
              <w:left w:val="nil"/>
              <w:bottom w:val="single" w:sz="4" w:space="0" w:color="auto"/>
              <w:right w:val="single" w:sz="4" w:space="0" w:color="auto"/>
            </w:tcBorders>
            <w:shd w:val="clear" w:color="auto" w:fill="auto"/>
            <w:noWrap/>
            <w:vAlign w:val="bottom"/>
            <w:hideMark/>
          </w:tcPr>
          <w:p w14:paraId="758E5CE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28</w:t>
            </w:r>
          </w:p>
        </w:tc>
        <w:tc>
          <w:tcPr>
            <w:tcW w:w="0" w:type="auto"/>
            <w:tcBorders>
              <w:top w:val="nil"/>
              <w:left w:val="nil"/>
              <w:bottom w:val="single" w:sz="4" w:space="0" w:color="auto"/>
              <w:right w:val="single" w:sz="4" w:space="0" w:color="auto"/>
            </w:tcBorders>
            <w:shd w:val="clear" w:color="auto" w:fill="auto"/>
            <w:noWrap/>
            <w:vAlign w:val="bottom"/>
            <w:hideMark/>
          </w:tcPr>
          <w:p w14:paraId="718E521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27</w:t>
            </w:r>
          </w:p>
        </w:tc>
        <w:tc>
          <w:tcPr>
            <w:tcW w:w="0" w:type="auto"/>
            <w:tcBorders>
              <w:top w:val="nil"/>
              <w:left w:val="nil"/>
              <w:bottom w:val="single" w:sz="4" w:space="0" w:color="auto"/>
              <w:right w:val="single" w:sz="4" w:space="0" w:color="auto"/>
            </w:tcBorders>
            <w:shd w:val="clear" w:color="auto" w:fill="auto"/>
            <w:noWrap/>
            <w:vAlign w:val="bottom"/>
            <w:hideMark/>
          </w:tcPr>
          <w:p w14:paraId="7BF056A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32</w:t>
            </w:r>
          </w:p>
        </w:tc>
        <w:tc>
          <w:tcPr>
            <w:tcW w:w="0" w:type="auto"/>
            <w:tcBorders>
              <w:top w:val="nil"/>
              <w:left w:val="nil"/>
              <w:bottom w:val="single" w:sz="4" w:space="0" w:color="auto"/>
              <w:right w:val="single" w:sz="4" w:space="0" w:color="auto"/>
            </w:tcBorders>
            <w:shd w:val="clear" w:color="auto" w:fill="auto"/>
            <w:noWrap/>
            <w:vAlign w:val="bottom"/>
            <w:hideMark/>
          </w:tcPr>
          <w:p w14:paraId="4E385EB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44</w:t>
            </w:r>
          </w:p>
        </w:tc>
        <w:tc>
          <w:tcPr>
            <w:tcW w:w="0" w:type="auto"/>
            <w:tcBorders>
              <w:top w:val="nil"/>
              <w:left w:val="nil"/>
              <w:bottom w:val="single" w:sz="4" w:space="0" w:color="auto"/>
              <w:right w:val="single" w:sz="4" w:space="0" w:color="auto"/>
            </w:tcBorders>
            <w:shd w:val="clear" w:color="auto" w:fill="auto"/>
            <w:noWrap/>
            <w:vAlign w:val="bottom"/>
            <w:hideMark/>
          </w:tcPr>
          <w:p w14:paraId="63957E0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51</w:t>
            </w:r>
          </w:p>
        </w:tc>
        <w:tc>
          <w:tcPr>
            <w:tcW w:w="0" w:type="auto"/>
            <w:tcBorders>
              <w:top w:val="nil"/>
              <w:left w:val="nil"/>
              <w:bottom w:val="single" w:sz="4" w:space="0" w:color="auto"/>
              <w:right w:val="single" w:sz="4" w:space="0" w:color="auto"/>
            </w:tcBorders>
            <w:shd w:val="clear" w:color="auto" w:fill="auto"/>
            <w:noWrap/>
            <w:vAlign w:val="bottom"/>
            <w:hideMark/>
          </w:tcPr>
          <w:p w14:paraId="791172B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55</w:t>
            </w:r>
          </w:p>
        </w:tc>
        <w:tc>
          <w:tcPr>
            <w:tcW w:w="0" w:type="auto"/>
            <w:tcBorders>
              <w:top w:val="nil"/>
              <w:left w:val="nil"/>
              <w:bottom w:val="single" w:sz="4" w:space="0" w:color="auto"/>
              <w:right w:val="single" w:sz="4" w:space="0" w:color="auto"/>
            </w:tcBorders>
            <w:shd w:val="clear" w:color="auto" w:fill="auto"/>
            <w:noWrap/>
            <w:vAlign w:val="bottom"/>
            <w:hideMark/>
          </w:tcPr>
          <w:p w14:paraId="2D6AC6F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59</w:t>
            </w:r>
          </w:p>
        </w:tc>
        <w:tc>
          <w:tcPr>
            <w:tcW w:w="0" w:type="auto"/>
            <w:tcBorders>
              <w:top w:val="nil"/>
              <w:left w:val="nil"/>
              <w:bottom w:val="single" w:sz="4" w:space="0" w:color="auto"/>
              <w:right w:val="single" w:sz="4" w:space="0" w:color="auto"/>
            </w:tcBorders>
            <w:shd w:val="clear" w:color="auto" w:fill="auto"/>
            <w:noWrap/>
            <w:vAlign w:val="bottom"/>
            <w:hideMark/>
          </w:tcPr>
          <w:p w14:paraId="745F247A"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210,7</w:t>
            </w:r>
          </w:p>
        </w:tc>
      </w:tr>
      <w:tr w:rsidR="00E9128C" w:rsidRPr="00E9128C" w14:paraId="3C334C20" w14:textId="77777777" w:rsidTr="00E7465F">
        <w:trPr>
          <w:trHeight w:val="34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0E5C455"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Izobraževanje</w:t>
            </w:r>
          </w:p>
        </w:tc>
        <w:tc>
          <w:tcPr>
            <w:tcW w:w="0" w:type="auto"/>
            <w:tcBorders>
              <w:top w:val="nil"/>
              <w:left w:val="nil"/>
              <w:bottom w:val="single" w:sz="4" w:space="0" w:color="auto"/>
              <w:right w:val="single" w:sz="4" w:space="0" w:color="auto"/>
            </w:tcBorders>
            <w:shd w:val="clear" w:color="auto" w:fill="auto"/>
            <w:noWrap/>
            <w:vAlign w:val="bottom"/>
            <w:hideMark/>
          </w:tcPr>
          <w:p w14:paraId="59A9A14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2.525</w:t>
            </w:r>
          </w:p>
        </w:tc>
        <w:tc>
          <w:tcPr>
            <w:tcW w:w="0" w:type="auto"/>
            <w:tcBorders>
              <w:top w:val="nil"/>
              <w:left w:val="nil"/>
              <w:bottom w:val="single" w:sz="4" w:space="0" w:color="auto"/>
              <w:right w:val="single" w:sz="4" w:space="0" w:color="auto"/>
            </w:tcBorders>
            <w:shd w:val="clear" w:color="auto" w:fill="auto"/>
            <w:noWrap/>
            <w:vAlign w:val="bottom"/>
            <w:hideMark/>
          </w:tcPr>
          <w:p w14:paraId="5B9D398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3.173</w:t>
            </w:r>
          </w:p>
        </w:tc>
        <w:tc>
          <w:tcPr>
            <w:tcW w:w="0" w:type="auto"/>
            <w:tcBorders>
              <w:top w:val="nil"/>
              <w:left w:val="nil"/>
              <w:bottom w:val="single" w:sz="4" w:space="0" w:color="auto"/>
              <w:right w:val="single" w:sz="4" w:space="0" w:color="auto"/>
            </w:tcBorders>
            <w:shd w:val="clear" w:color="auto" w:fill="auto"/>
            <w:noWrap/>
            <w:vAlign w:val="bottom"/>
            <w:hideMark/>
          </w:tcPr>
          <w:p w14:paraId="39B50DF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3.813</w:t>
            </w:r>
          </w:p>
        </w:tc>
        <w:tc>
          <w:tcPr>
            <w:tcW w:w="0" w:type="auto"/>
            <w:tcBorders>
              <w:top w:val="nil"/>
              <w:left w:val="nil"/>
              <w:bottom w:val="single" w:sz="4" w:space="0" w:color="auto"/>
              <w:right w:val="single" w:sz="4" w:space="0" w:color="auto"/>
            </w:tcBorders>
            <w:shd w:val="clear" w:color="auto" w:fill="auto"/>
            <w:noWrap/>
            <w:vAlign w:val="bottom"/>
            <w:hideMark/>
          </w:tcPr>
          <w:p w14:paraId="71E69F3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4.203</w:t>
            </w:r>
          </w:p>
        </w:tc>
        <w:tc>
          <w:tcPr>
            <w:tcW w:w="0" w:type="auto"/>
            <w:tcBorders>
              <w:top w:val="nil"/>
              <w:left w:val="nil"/>
              <w:bottom w:val="single" w:sz="4" w:space="0" w:color="auto"/>
              <w:right w:val="single" w:sz="4" w:space="0" w:color="auto"/>
            </w:tcBorders>
            <w:shd w:val="clear" w:color="auto" w:fill="auto"/>
            <w:noWrap/>
            <w:vAlign w:val="bottom"/>
            <w:hideMark/>
          </w:tcPr>
          <w:p w14:paraId="3776E7E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4.355</w:t>
            </w:r>
          </w:p>
        </w:tc>
        <w:tc>
          <w:tcPr>
            <w:tcW w:w="0" w:type="auto"/>
            <w:tcBorders>
              <w:top w:val="nil"/>
              <w:left w:val="nil"/>
              <w:bottom w:val="single" w:sz="4" w:space="0" w:color="auto"/>
              <w:right w:val="single" w:sz="4" w:space="0" w:color="auto"/>
            </w:tcBorders>
            <w:shd w:val="clear" w:color="auto" w:fill="auto"/>
            <w:noWrap/>
            <w:vAlign w:val="bottom"/>
            <w:hideMark/>
          </w:tcPr>
          <w:p w14:paraId="67AC857A"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4.970</w:t>
            </w:r>
          </w:p>
        </w:tc>
        <w:tc>
          <w:tcPr>
            <w:tcW w:w="0" w:type="auto"/>
            <w:tcBorders>
              <w:top w:val="nil"/>
              <w:left w:val="nil"/>
              <w:bottom w:val="single" w:sz="4" w:space="0" w:color="auto"/>
              <w:right w:val="single" w:sz="4" w:space="0" w:color="auto"/>
            </w:tcBorders>
            <w:shd w:val="clear" w:color="auto" w:fill="auto"/>
            <w:noWrap/>
            <w:vAlign w:val="bottom"/>
            <w:hideMark/>
          </w:tcPr>
          <w:p w14:paraId="6089885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5.394</w:t>
            </w:r>
          </w:p>
        </w:tc>
        <w:tc>
          <w:tcPr>
            <w:tcW w:w="0" w:type="auto"/>
            <w:tcBorders>
              <w:top w:val="nil"/>
              <w:left w:val="nil"/>
              <w:bottom w:val="single" w:sz="4" w:space="0" w:color="auto"/>
              <w:right w:val="single" w:sz="4" w:space="0" w:color="auto"/>
            </w:tcBorders>
            <w:shd w:val="clear" w:color="auto" w:fill="auto"/>
            <w:noWrap/>
            <w:vAlign w:val="bottom"/>
            <w:hideMark/>
          </w:tcPr>
          <w:p w14:paraId="174138F8"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213,6</w:t>
            </w:r>
          </w:p>
        </w:tc>
      </w:tr>
      <w:tr w:rsidR="00E9128C" w:rsidRPr="00E9128C" w14:paraId="6D8D80A4"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6FC2CC9"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Zdravstvo in socialno varstvo</w:t>
            </w:r>
          </w:p>
        </w:tc>
        <w:tc>
          <w:tcPr>
            <w:tcW w:w="0" w:type="auto"/>
            <w:tcBorders>
              <w:top w:val="nil"/>
              <w:left w:val="nil"/>
              <w:bottom w:val="single" w:sz="4" w:space="0" w:color="auto"/>
              <w:right w:val="single" w:sz="4" w:space="0" w:color="auto"/>
            </w:tcBorders>
            <w:shd w:val="clear" w:color="auto" w:fill="auto"/>
            <w:noWrap/>
            <w:vAlign w:val="bottom"/>
            <w:hideMark/>
          </w:tcPr>
          <w:p w14:paraId="634EE79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1.491</w:t>
            </w:r>
          </w:p>
        </w:tc>
        <w:tc>
          <w:tcPr>
            <w:tcW w:w="0" w:type="auto"/>
            <w:tcBorders>
              <w:top w:val="nil"/>
              <w:left w:val="nil"/>
              <w:bottom w:val="single" w:sz="4" w:space="0" w:color="auto"/>
              <w:right w:val="single" w:sz="4" w:space="0" w:color="auto"/>
            </w:tcBorders>
            <w:shd w:val="clear" w:color="auto" w:fill="auto"/>
            <w:noWrap/>
            <w:vAlign w:val="bottom"/>
            <w:hideMark/>
          </w:tcPr>
          <w:p w14:paraId="6517A47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1.743</w:t>
            </w:r>
          </w:p>
        </w:tc>
        <w:tc>
          <w:tcPr>
            <w:tcW w:w="0" w:type="auto"/>
            <w:tcBorders>
              <w:top w:val="nil"/>
              <w:left w:val="nil"/>
              <w:bottom w:val="single" w:sz="4" w:space="0" w:color="auto"/>
              <w:right w:val="single" w:sz="4" w:space="0" w:color="auto"/>
            </w:tcBorders>
            <w:shd w:val="clear" w:color="auto" w:fill="auto"/>
            <w:noWrap/>
            <w:vAlign w:val="bottom"/>
            <w:hideMark/>
          </w:tcPr>
          <w:p w14:paraId="570E02F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2.114</w:t>
            </w:r>
          </w:p>
        </w:tc>
        <w:tc>
          <w:tcPr>
            <w:tcW w:w="0" w:type="auto"/>
            <w:tcBorders>
              <w:top w:val="nil"/>
              <w:left w:val="nil"/>
              <w:bottom w:val="single" w:sz="4" w:space="0" w:color="auto"/>
              <w:right w:val="single" w:sz="4" w:space="0" w:color="auto"/>
            </w:tcBorders>
            <w:shd w:val="clear" w:color="auto" w:fill="auto"/>
            <w:noWrap/>
            <w:vAlign w:val="bottom"/>
            <w:hideMark/>
          </w:tcPr>
          <w:p w14:paraId="4F94700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2.358</w:t>
            </w:r>
          </w:p>
        </w:tc>
        <w:tc>
          <w:tcPr>
            <w:tcW w:w="0" w:type="auto"/>
            <w:tcBorders>
              <w:top w:val="nil"/>
              <w:left w:val="nil"/>
              <w:bottom w:val="single" w:sz="4" w:space="0" w:color="auto"/>
              <w:right w:val="single" w:sz="4" w:space="0" w:color="auto"/>
            </w:tcBorders>
            <w:shd w:val="clear" w:color="auto" w:fill="auto"/>
            <w:noWrap/>
            <w:vAlign w:val="bottom"/>
            <w:hideMark/>
          </w:tcPr>
          <w:p w14:paraId="0C99D20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2.951</w:t>
            </w:r>
          </w:p>
        </w:tc>
        <w:tc>
          <w:tcPr>
            <w:tcW w:w="0" w:type="auto"/>
            <w:tcBorders>
              <w:top w:val="nil"/>
              <w:left w:val="nil"/>
              <w:bottom w:val="single" w:sz="4" w:space="0" w:color="auto"/>
              <w:right w:val="single" w:sz="4" w:space="0" w:color="auto"/>
            </w:tcBorders>
            <w:shd w:val="clear" w:color="auto" w:fill="auto"/>
            <w:noWrap/>
            <w:vAlign w:val="bottom"/>
            <w:hideMark/>
          </w:tcPr>
          <w:p w14:paraId="0419F23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3.587</w:t>
            </w:r>
          </w:p>
        </w:tc>
        <w:tc>
          <w:tcPr>
            <w:tcW w:w="0" w:type="auto"/>
            <w:tcBorders>
              <w:top w:val="nil"/>
              <w:left w:val="nil"/>
              <w:bottom w:val="single" w:sz="4" w:space="0" w:color="auto"/>
              <w:right w:val="single" w:sz="4" w:space="0" w:color="auto"/>
            </w:tcBorders>
            <w:shd w:val="clear" w:color="auto" w:fill="auto"/>
            <w:noWrap/>
            <w:vAlign w:val="bottom"/>
            <w:hideMark/>
          </w:tcPr>
          <w:p w14:paraId="726ED66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3.845</w:t>
            </w:r>
          </w:p>
        </w:tc>
        <w:tc>
          <w:tcPr>
            <w:tcW w:w="0" w:type="auto"/>
            <w:tcBorders>
              <w:top w:val="nil"/>
              <w:left w:val="nil"/>
              <w:bottom w:val="single" w:sz="4" w:space="0" w:color="auto"/>
              <w:right w:val="single" w:sz="4" w:space="0" w:color="auto"/>
            </w:tcBorders>
            <w:shd w:val="clear" w:color="auto" w:fill="auto"/>
            <w:noWrap/>
            <w:vAlign w:val="bottom"/>
            <w:hideMark/>
          </w:tcPr>
          <w:p w14:paraId="21239811"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257,9</w:t>
            </w:r>
          </w:p>
        </w:tc>
      </w:tr>
      <w:tr w:rsidR="00E9128C" w:rsidRPr="00E9128C" w14:paraId="5996AA92" w14:textId="77777777" w:rsidTr="00E7465F">
        <w:trPr>
          <w:trHeight w:val="46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88D03D2"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Kulturne, razvedrilne in rekreacijske dejavnosti</w:t>
            </w:r>
          </w:p>
        </w:tc>
        <w:tc>
          <w:tcPr>
            <w:tcW w:w="0" w:type="auto"/>
            <w:tcBorders>
              <w:top w:val="nil"/>
              <w:left w:val="nil"/>
              <w:bottom w:val="single" w:sz="4" w:space="0" w:color="auto"/>
              <w:right w:val="single" w:sz="4" w:space="0" w:color="auto"/>
            </w:tcBorders>
            <w:shd w:val="clear" w:color="auto" w:fill="auto"/>
            <w:noWrap/>
            <w:vAlign w:val="bottom"/>
            <w:hideMark/>
          </w:tcPr>
          <w:p w14:paraId="04D86D0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4.667</w:t>
            </w:r>
          </w:p>
        </w:tc>
        <w:tc>
          <w:tcPr>
            <w:tcW w:w="0" w:type="auto"/>
            <w:tcBorders>
              <w:top w:val="nil"/>
              <w:left w:val="nil"/>
              <w:bottom w:val="single" w:sz="4" w:space="0" w:color="auto"/>
              <w:right w:val="single" w:sz="4" w:space="0" w:color="auto"/>
            </w:tcBorders>
            <w:shd w:val="clear" w:color="auto" w:fill="auto"/>
            <w:noWrap/>
            <w:vAlign w:val="bottom"/>
            <w:hideMark/>
          </w:tcPr>
          <w:p w14:paraId="7DDB61E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5.272</w:t>
            </w:r>
          </w:p>
        </w:tc>
        <w:tc>
          <w:tcPr>
            <w:tcW w:w="0" w:type="auto"/>
            <w:tcBorders>
              <w:top w:val="nil"/>
              <w:left w:val="nil"/>
              <w:bottom w:val="single" w:sz="4" w:space="0" w:color="auto"/>
              <w:right w:val="single" w:sz="4" w:space="0" w:color="auto"/>
            </w:tcBorders>
            <w:shd w:val="clear" w:color="auto" w:fill="auto"/>
            <w:noWrap/>
            <w:vAlign w:val="bottom"/>
            <w:hideMark/>
          </w:tcPr>
          <w:p w14:paraId="6448F71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5.757</w:t>
            </w:r>
          </w:p>
        </w:tc>
        <w:tc>
          <w:tcPr>
            <w:tcW w:w="0" w:type="auto"/>
            <w:tcBorders>
              <w:top w:val="nil"/>
              <w:left w:val="nil"/>
              <w:bottom w:val="single" w:sz="4" w:space="0" w:color="auto"/>
              <w:right w:val="single" w:sz="4" w:space="0" w:color="auto"/>
            </w:tcBorders>
            <w:shd w:val="clear" w:color="auto" w:fill="auto"/>
            <w:noWrap/>
            <w:vAlign w:val="bottom"/>
            <w:hideMark/>
          </w:tcPr>
          <w:p w14:paraId="5E3C5BD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6.078</w:t>
            </w:r>
          </w:p>
        </w:tc>
        <w:tc>
          <w:tcPr>
            <w:tcW w:w="0" w:type="auto"/>
            <w:tcBorders>
              <w:top w:val="nil"/>
              <w:left w:val="nil"/>
              <w:bottom w:val="single" w:sz="4" w:space="0" w:color="auto"/>
              <w:right w:val="single" w:sz="4" w:space="0" w:color="auto"/>
            </w:tcBorders>
            <w:shd w:val="clear" w:color="auto" w:fill="auto"/>
            <w:noWrap/>
            <w:vAlign w:val="bottom"/>
            <w:hideMark/>
          </w:tcPr>
          <w:p w14:paraId="4C9D08B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6.116</w:t>
            </w:r>
          </w:p>
        </w:tc>
        <w:tc>
          <w:tcPr>
            <w:tcW w:w="0" w:type="auto"/>
            <w:tcBorders>
              <w:top w:val="nil"/>
              <w:left w:val="nil"/>
              <w:bottom w:val="single" w:sz="4" w:space="0" w:color="auto"/>
              <w:right w:val="single" w:sz="4" w:space="0" w:color="auto"/>
            </w:tcBorders>
            <w:shd w:val="clear" w:color="auto" w:fill="auto"/>
            <w:noWrap/>
            <w:vAlign w:val="bottom"/>
            <w:hideMark/>
          </w:tcPr>
          <w:p w14:paraId="3F63859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6.637</w:t>
            </w:r>
          </w:p>
        </w:tc>
        <w:tc>
          <w:tcPr>
            <w:tcW w:w="0" w:type="auto"/>
            <w:tcBorders>
              <w:top w:val="nil"/>
              <w:left w:val="nil"/>
              <w:bottom w:val="single" w:sz="4" w:space="0" w:color="auto"/>
              <w:right w:val="single" w:sz="4" w:space="0" w:color="auto"/>
            </w:tcBorders>
            <w:shd w:val="clear" w:color="auto" w:fill="auto"/>
            <w:noWrap/>
            <w:vAlign w:val="bottom"/>
            <w:hideMark/>
          </w:tcPr>
          <w:p w14:paraId="680874B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6.998</w:t>
            </w:r>
          </w:p>
        </w:tc>
        <w:tc>
          <w:tcPr>
            <w:tcW w:w="0" w:type="auto"/>
            <w:tcBorders>
              <w:top w:val="nil"/>
              <w:left w:val="nil"/>
              <w:bottom w:val="single" w:sz="4" w:space="0" w:color="auto"/>
              <w:right w:val="single" w:sz="4" w:space="0" w:color="auto"/>
            </w:tcBorders>
            <w:shd w:val="clear" w:color="auto" w:fill="auto"/>
            <w:noWrap/>
            <w:vAlign w:val="bottom"/>
            <w:hideMark/>
          </w:tcPr>
          <w:p w14:paraId="2771F37C"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149,9</w:t>
            </w:r>
          </w:p>
        </w:tc>
      </w:tr>
      <w:tr w:rsidR="00E9128C" w:rsidRPr="00E9128C" w14:paraId="5539B562" w14:textId="77777777" w:rsidTr="00E7465F">
        <w:trPr>
          <w:trHeight w:val="27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41A8AAB"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Druge dejavnosti</w:t>
            </w:r>
          </w:p>
        </w:tc>
        <w:tc>
          <w:tcPr>
            <w:tcW w:w="0" w:type="auto"/>
            <w:tcBorders>
              <w:top w:val="nil"/>
              <w:left w:val="nil"/>
              <w:bottom w:val="single" w:sz="4" w:space="0" w:color="auto"/>
              <w:right w:val="single" w:sz="4" w:space="0" w:color="auto"/>
            </w:tcBorders>
            <w:shd w:val="clear" w:color="auto" w:fill="auto"/>
            <w:noWrap/>
            <w:vAlign w:val="bottom"/>
            <w:hideMark/>
          </w:tcPr>
          <w:p w14:paraId="09467D9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1.611</w:t>
            </w:r>
          </w:p>
        </w:tc>
        <w:tc>
          <w:tcPr>
            <w:tcW w:w="0" w:type="auto"/>
            <w:tcBorders>
              <w:top w:val="nil"/>
              <w:left w:val="nil"/>
              <w:bottom w:val="single" w:sz="4" w:space="0" w:color="auto"/>
              <w:right w:val="single" w:sz="4" w:space="0" w:color="auto"/>
            </w:tcBorders>
            <w:shd w:val="clear" w:color="auto" w:fill="auto"/>
            <w:noWrap/>
            <w:vAlign w:val="bottom"/>
            <w:hideMark/>
          </w:tcPr>
          <w:p w14:paraId="704DD26A"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1.974</w:t>
            </w:r>
          </w:p>
        </w:tc>
        <w:tc>
          <w:tcPr>
            <w:tcW w:w="0" w:type="auto"/>
            <w:tcBorders>
              <w:top w:val="nil"/>
              <w:left w:val="nil"/>
              <w:bottom w:val="single" w:sz="4" w:space="0" w:color="auto"/>
              <w:right w:val="single" w:sz="4" w:space="0" w:color="auto"/>
            </w:tcBorders>
            <w:shd w:val="clear" w:color="auto" w:fill="auto"/>
            <w:noWrap/>
            <w:vAlign w:val="bottom"/>
            <w:hideMark/>
          </w:tcPr>
          <w:p w14:paraId="748E194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2.342</w:t>
            </w:r>
          </w:p>
        </w:tc>
        <w:tc>
          <w:tcPr>
            <w:tcW w:w="0" w:type="auto"/>
            <w:tcBorders>
              <w:top w:val="nil"/>
              <w:left w:val="nil"/>
              <w:bottom w:val="single" w:sz="4" w:space="0" w:color="auto"/>
              <w:right w:val="single" w:sz="4" w:space="0" w:color="auto"/>
            </w:tcBorders>
            <w:shd w:val="clear" w:color="auto" w:fill="auto"/>
            <w:noWrap/>
            <w:vAlign w:val="bottom"/>
            <w:hideMark/>
          </w:tcPr>
          <w:p w14:paraId="0A6D954A"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2.698</w:t>
            </w:r>
          </w:p>
        </w:tc>
        <w:tc>
          <w:tcPr>
            <w:tcW w:w="0" w:type="auto"/>
            <w:tcBorders>
              <w:top w:val="nil"/>
              <w:left w:val="nil"/>
              <w:bottom w:val="single" w:sz="4" w:space="0" w:color="auto"/>
              <w:right w:val="single" w:sz="4" w:space="0" w:color="auto"/>
            </w:tcBorders>
            <w:shd w:val="clear" w:color="auto" w:fill="auto"/>
            <w:noWrap/>
            <w:vAlign w:val="bottom"/>
            <w:hideMark/>
          </w:tcPr>
          <w:p w14:paraId="2904E42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2.762</w:t>
            </w:r>
          </w:p>
        </w:tc>
        <w:tc>
          <w:tcPr>
            <w:tcW w:w="0" w:type="auto"/>
            <w:tcBorders>
              <w:top w:val="nil"/>
              <w:left w:val="nil"/>
              <w:bottom w:val="single" w:sz="4" w:space="0" w:color="auto"/>
              <w:right w:val="single" w:sz="4" w:space="0" w:color="auto"/>
            </w:tcBorders>
            <w:shd w:val="clear" w:color="auto" w:fill="auto"/>
            <w:noWrap/>
            <w:vAlign w:val="bottom"/>
            <w:hideMark/>
          </w:tcPr>
          <w:p w14:paraId="3BB2068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3.309</w:t>
            </w:r>
          </w:p>
        </w:tc>
        <w:tc>
          <w:tcPr>
            <w:tcW w:w="0" w:type="auto"/>
            <w:tcBorders>
              <w:top w:val="nil"/>
              <w:left w:val="nil"/>
              <w:bottom w:val="single" w:sz="4" w:space="0" w:color="auto"/>
              <w:right w:val="single" w:sz="4" w:space="0" w:color="auto"/>
            </w:tcBorders>
            <w:shd w:val="clear" w:color="auto" w:fill="auto"/>
            <w:noWrap/>
            <w:vAlign w:val="bottom"/>
            <w:hideMark/>
          </w:tcPr>
          <w:p w14:paraId="37B08E9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3.747</w:t>
            </w:r>
          </w:p>
        </w:tc>
        <w:tc>
          <w:tcPr>
            <w:tcW w:w="0" w:type="auto"/>
            <w:tcBorders>
              <w:top w:val="nil"/>
              <w:left w:val="nil"/>
              <w:bottom w:val="single" w:sz="4" w:space="0" w:color="auto"/>
              <w:right w:val="single" w:sz="4" w:space="0" w:color="auto"/>
            </w:tcBorders>
            <w:shd w:val="clear" w:color="auto" w:fill="auto"/>
            <w:noWrap/>
            <w:vAlign w:val="bottom"/>
            <w:hideMark/>
          </w:tcPr>
          <w:p w14:paraId="0B5BA0EF"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232,6</w:t>
            </w:r>
          </w:p>
        </w:tc>
      </w:tr>
      <w:tr w:rsidR="00E9128C" w:rsidRPr="00E9128C" w14:paraId="410C07D9" w14:textId="77777777" w:rsidTr="00E7465F">
        <w:trPr>
          <w:trHeight w:val="693"/>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1F05229"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Dejavnost gospodinjstev z zaposlenim hišnim osebjem; proizvodnja za lastno rabo</w:t>
            </w:r>
          </w:p>
        </w:tc>
        <w:tc>
          <w:tcPr>
            <w:tcW w:w="0" w:type="auto"/>
            <w:tcBorders>
              <w:top w:val="nil"/>
              <w:left w:val="nil"/>
              <w:bottom w:val="single" w:sz="4" w:space="0" w:color="auto"/>
              <w:right w:val="single" w:sz="4" w:space="0" w:color="auto"/>
            </w:tcBorders>
            <w:shd w:val="clear" w:color="auto" w:fill="auto"/>
            <w:noWrap/>
            <w:vAlign w:val="bottom"/>
            <w:hideMark/>
          </w:tcPr>
          <w:p w14:paraId="1B8CB56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w:t>
            </w:r>
          </w:p>
        </w:tc>
        <w:tc>
          <w:tcPr>
            <w:tcW w:w="0" w:type="auto"/>
            <w:tcBorders>
              <w:top w:val="nil"/>
              <w:left w:val="nil"/>
              <w:bottom w:val="single" w:sz="4" w:space="0" w:color="auto"/>
              <w:right w:val="single" w:sz="4" w:space="0" w:color="auto"/>
            </w:tcBorders>
            <w:shd w:val="clear" w:color="auto" w:fill="auto"/>
            <w:noWrap/>
            <w:vAlign w:val="bottom"/>
            <w:hideMark/>
          </w:tcPr>
          <w:p w14:paraId="0018075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w:t>
            </w:r>
          </w:p>
        </w:tc>
        <w:tc>
          <w:tcPr>
            <w:tcW w:w="0" w:type="auto"/>
            <w:tcBorders>
              <w:top w:val="nil"/>
              <w:left w:val="nil"/>
              <w:bottom w:val="single" w:sz="4" w:space="0" w:color="auto"/>
              <w:right w:val="single" w:sz="4" w:space="0" w:color="auto"/>
            </w:tcBorders>
            <w:shd w:val="clear" w:color="auto" w:fill="auto"/>
            <w:noWrap/>
            <w:vAlign w:val="bottom"/>
            <w:hideMark/>
          </w:tcPr>
          <w:p w14:paraId="34DE3CB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w:t>
            </w:r>
          </w:p>
        </w:tc>
        <w:tc>
          <w:tcPr>
            <w:tcW w:w="0" w:type="auto"/>
            <w:tcBorders>
              <w:top w:val="nil"/>
              <w:left w:val="nil"/>
              <w:bottom w:val="single" w:sz="4" w:space="0" w:color="auto"/>
              <w:right w:val="single" w:sz="4" w:space="0" w:color="auto"/>
            </w:tcBorders>
            <w:shd w:val="clear" w:color="auto" w:fill="auto"/>
            <w:noWrap/>
            <w:vAlign w:val="bottom"/>
            <w:hideMark/>
          </w:tcPr>
          <w:p w14:paraId="4CCB32F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w:t>
            </w:r>
          </w:p>
        </w:tc>
        <w:tc>
          <w:tcPr>
            <w:tcW w:w="0" w:type="auto"/>
            <w:tcBorders>
              <w:top w:val="nil"/>
              <w:left w:val="nil"/>
              <w:bottom w:val="single" w:sz="4" w:space="0" w:color="auto"/>
              <w:right w:val="single" w:sz="4" w:space="0" w:color="auto"/>
            </w:tcBorders>
            <w:shd w:val="clear" w:color="auto" w:fill="auto"/>
            <w:noWrap/>
            <w:vAlign w:val="bottom"/>
            <w:hideMark/>
          </w:tcPr>
          <w:p w14:paraId="2A6ED49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w:t>
            </w:r>
          </w:p>
        </w:tc>
        <w:tc>
          <w:tcPr>
            <w:tcW w:w="0" w:type="auto"/>
            <w:tcBorders>
              <w:top w:val="nil"/>
              <w:left w:val="nil"/>
              <w:bottom w:val="single" w:sz="4" w:space="0" w:color="auto"/>
              <w:right w:val="single" w:sz="4" w:space="0" w:color="auto"/>
            </w:tcBorders>
            <w:shd w:val="clear" w:color="auto" w:fill="auto"/>
            <w:noWrap/>
            <w:vAlign w:val="bottom"/>
            <w:hideMark/>
          </w:tcPr>
          <w:p w14:paraId="78DF95A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w:t>
            </w:r>
          </w:p>
        </w:tc>
        <w:tc>
          <w:tcPr>
            <w:tcW w:w="0" w:type="auto"/>
            <w:tcBorders>
              <w:top w:val="nil"/>
              <w:left w:val="nil"/>
              <w:bottom w:val="single" w:sz="4" w:space="0" w:color="auto"/>
              <w:right w:val="single" w:sz="4" w:space="0" w:color="auto"/>
            </w:tcBorders>
            <w:shd w:val="clear" w:color="auto" w:fill="auto"/>
            <w:noWrap/>
            <w:vAlign w:val="bottom"/>
            <w:hideMark/>
          </w:tcPr>
          <w:p w14:paraId="347D02D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w:t>
            </w:r>
          </w:p>
        </w:tc>
        <w:tc>
          <w:tcPr>
            <w:tcW w:w="0" w:type="auto"/>
            <w:tcBorders>
              <w:top w:val="nil"/>
              <w:left w:val="nil"/>
              <w:bottom w:val="single" w:sz="4" w:space="0" w:color="auto"/>
              <w:right w:val="single" w:sz="4" w:space="0" w:color="auto"/>
            </w:tcBorders>
            <w:shd w:val="clear" w:color="auto" w:fill="auto"/>
            <w:noWrap/>
            <w:vAlign w:val="bottom"/>
            <w:hideMark/>
          </w:tcPr>
          <w:p w14:paraId="3AE367A5"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100,0</w:t>
            </w:r>
          </w:p>
        </w:tc>
      </w:tr>
      <w:tr w:rsidR="00E9128C" w:rsidRPr="00E9128C" w14:paraId="336BB49D" w14:textId="77777777" w:rsidTr="00E7465F">
        <w:trPr>
          <w:trHeight w:val="46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595E0AF"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Dejavnost eksteritorialnih organizacij in teles</w:t>
            </w:r>
          </w:p>
        </w:tc>
        <w:tc>
          <w:tcPr>
            <w:tcW w:w="0" w:type="auto"/>
            <w:tcBorders>
              <w:top w:val="nil"/>
              <w:left w:val="nil"/>
              <w:bottom w:val="single" w:sz="4" w:space="0" w:color="auto"/>
              <w:right w:val="single" w:sz="4" w:space="0" w:color="auto"/>
            </w:tcBorders>
            <w:shd w:val="clear" w:color="auto" w:fill="auto"/>
            <w:noWrap/>
            <w:vAlign w:val="bottom"/>
            <w:hideMark/>
          </w:tcPr>
          <w:p w14:paraId="61D94CA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w:t>
            </w:r>
          </w:p>
        </w:tc>
        <w:tc>
          <w:tcPr>
            <w:tcW w:w="0" w:type="auto"/>
            <w:tcBorders>
              <w:top w:val="nil"/>
              <w:left w:val="nil"/>
              <w:bottom w:val="single" w:sz="4" w:space="0" w:color="auto"/>
              <w:right w:val="single" w:sz="4" w:space="0" w:color="auto"/>
            </w:tcBorders>
            <w:shd w:val="clear" w:color="auto" w:fill="auto"/>
            <w:noWrap/>
            <w:vAlign w:val="bottom"/>
            <w:hideMark/>
          </w:tcPr>
          <w:p w14:paraId="685F5E0A"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w:t>
            </w:r>
          </w:p>
        </w:tc>
        <w:tc>
          <w:tcPr>
            <w:tcW w:w="0" w:type="auto"/>
            <w:tcBorders>
              <w:top w:val="nil"/>
              <w:left w:val="nil"/>
              <w:bottom w:val="single" w:sz="4" w:space="0" w:color="auto"/>
              <w:right w:val="single" w:sz="4" w:space="0" w:color="auto"/>
            </w:tcBorders>
            <w:shd w:val="clear" w:color="auto" w:fill="auto"/>
            <w:noWrap/>
            <w:vAlign w:val="bottom"/>
            <w:hideMark/>
          </w:tcPr>
          <w:p w14:paraId="2DA793A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w:t>
            </w:r>
          </w:p>
        </w:tc>
        <w:tc>
          <w:tcPr>
            <w:tcW w:w="0" w:type="auto"/>
            <w:tcBorders>
              <w:top w:val="nil"/>
              <w:left w:val="nil"/>
              <w:bottom w:val="single" w:sz="4" w:space="0" w:color="auto"/>
              <w:right w:val="single" w:sz="4" w:space="0" w:color="auto"/>
            </w:tcBorders>
            <w:shd w:val="clear" w:color="auto" w:fill="auto"/>
            <w:noWrap/>
            <w:vAlign w:val="bottom"/>
            <w:hideMark/>
          </w:tcPr>
          <w:p w14:paraId="10D753D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w:t>
            </w:r>
          </w:p>
        </w:tc>
        <w:tc>
          <w:tcPr>
            <w:tcW w:w="0" w:type="auto"/>
            <w:tcBorders>
              <w:top w:val="nil"/>
              <w:left w:val="nil"/>
              <w:bottom w:val="single" w:sz="4" w:space="0" w:color="auto"/>
              <w:right w:val="single" w:sz="4" w:space="0" w:color="auto"/>
            </w:tcBorders>
            <w:shd w:val="clear" w:color="auto" w:fill="auto"/>
            <w:noWrap/>
            <w:vAlign w:val="bottom"/>
            <w:hideMark/>
          </w:tcPr>
          <w:p w14:paraId="2FB83C7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w:t>
            </w:r>
          </w:p>
        </w:tc>
        <w:tc>
          <w:tcPr>
            <w:tcW w:w="0" w:type="auto"/>
            <w:tcBorders>
              <w:top w:val="nil"/>
              <w:left w:val="nil"/>
              <w:bottom w:val="single" w:sz="4" w:space="0" w:color="auto"/>
              <w:right w:val="single" w:sz="4" w:space="0" w:color="auto"/>
            </w:tcBorders>
            <w:shd w:val="clear" w:color="auto" w:fill="auto"/>
            <w:noWrap/>
            <w:vAlign w:val="bottom"/>
            <w:hideMark/>
          </w:tcPr>
          <w:p w14:paraId="49F4878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w:t>
            </w:r>
          </w:p>
        </w:tc>
        <w:tc>
          <w:tcPr>
            <w:tcW w:w="0" w:type="auto"/>
            <w:tcBorders>
              <w:top w:val="nil"/>
              <w:left w:val="nil"/>
              <w:bottom w:val="single" w:sz="4" w:space="0" w:color="auto"/>
              <w:right w:val="single" w:sz="4" w:space="0" w:color="auto"/>
            </w:tcBorders>
            <w:shd w:val="clear" w:color="auto" w:fill="auto"/>
            <w:noWrap/>
            <w:vAlign w:val="bottom"/>
            <w:hideMark/>
          </w:tcPr>
          <w:p w14:paraId="44FF5DB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w:t>
            </w:r>
          </w:p>
        </w:tc>
        <w:tc>
          <w:tcPr>
            <w:tcW w:w="0" w:type="auto"/>
            <w:tcBorders>
              <w:top w:val="nil"/>
              <w:left w:val="nil"/>
              <w:bottom w:val="single" w:sz="4" w:space="0" w:color="auto"/>
              <w:right w:val="single" w:sz="4" w:space="0" w:color="auto"/>
            </w:tcBorders>
            <w:shd w:val="clear" w:color="auto" w:fill="auto"/>
            <w:noWrap/>
            <w:vAlign w:val="bottom"/>
            <w:hideMark/>
          </w:tcPr>
          <w:p w14:paraId="13BC21DC"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20,0</w:t>
            </w:r>
          </w:p>
        </w:tc>
      </w:tr>
      <w:tr w:rsidR="00E9128C" w:rsidRPr="00E9128C" w14:paraId="0AD30253" w14:textId="77777777" w:rsidTr="00E7465F">
        <w:trPr>
          <w:trHeight w:val="288"/>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5FCADA5"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neopredeljeno in ostalo</w:t>
            </w:r>
          </w:p>
        </w:tc>
        <w:tc>
          <w:tcPr>
            <w:tcW w:w="0" w:type="auto"/>
            <w:tcBorders>
              <w:top w:val="nil"/>
              <w:left w:val="nil"/>
              <w:bottom w:val="single" w:sz="4" w:space="0" w:color="auto"/>
              <w:right w:val="single" w:sz="4" w:space="0" w:color="auto"/>
            </w:tcBorders>
            <w:shd w:val="clear" w:color="auto" w:fill="auto"/>
            <w:noWrap/>
            <w:vAlign w:val="bottom"/>
            <w:hideMark/>
          </w:tcPr>
          <w:p w14:paraId="099E7F24"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16</w:t>
            </w:r>
          </w:p>
        </w:tc>
        <w:tc>
          <w:tcPr>
            <w:tcW w:w="0" w:type="auto"/>
            <w:tcBorders>
              <w:top w:val="nil"/>
              <w:left w:val="nil"/>
              <w:bottom w:val="single" w:sz="4" w:space="0" w:color="auto"/>
              <w:right w:val="single" w:sz="4" w:space="0" w:color="auto"/>
            </w:tcBorders>
            <w:shd w:val="clear" w:color="auto" w:fill="auto"/>
            <w:noWrap/>
            <w:vAlign w:val="bottom"/>
            <w:hideMark/>
          </w:tcPr>
          <w:p w14:paraId="208046A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 </w:t>
            </w:r>
          </w:p>
        </w:tc>
        <w:tc>
          <w:tcPr>
            <w:tcW w:w="0" w:type="auto"/>
            <w:tcBorders>
              <w:top w:val="nil"/>
              <w:left w:val="nil"/>
              <w:bottom w:val="single" w:sz="4" w:space="0" w:color="auto"/>
              <w:right w:val="single" w:sz="4" w:space="0" w:color="auto"/>
            </w:tcBorders>
            <w:shd w:val="clear" w:color="auto" w:fill="auto"/>
            <w:noWrap/>
            <w:vAlign w:val="bottom"/>
            <w:hideMark/>
          </w:tcPr>
          <w:p w14:paraId="7422F51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 </w:t>
            </w:r>
          </w:p>
        </w:tc>
        <w:tc>
          <w:tcPr>
            <w:tcW w:w="0" w:type="auto"/>
            <w:tcBorders>
              <w:top w:val="nil"/>
              <w:left w:val="nil"/>
              <w:bottom w:val="single" w:sz="4" w:space="0" w:color="auto"/>
              <w:right w:val="single" w:sz="4" w:space="0" w:color="auto"/>
            </w:tcBorders>
            <w:shd w:val="clear" w:color="auto" w:fill="auto"/>
            <w:noWrap/>
            <w:vAlign w:val="bottom"/>
            <w:hideMark/>
          </w:tcPr>
          <w:p w14:paraId="7C225D2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 </w:t>
            </w:r>
          </w:p>
        </w:tc>
        <w:tc>
          <w:tcPr>
            <w:tcW w:w="0" w:type="auto"/>
            <w:tcBorders>
              <w:top w:val="nil"/>
              <w:left w:val="nil"/>
              <w:bottom w:val="single" w:sz="4" w:space="0" w:color="auto"/>
              <w:right w:val="single" w:sz="4" w:space="0" w:color="auto"/>
            </w:tcBorders>
            <w:shd w:val="clear" w:color="auto" w:fill="auto"/>
            <w:noWrap/>
            <w:vAlign w:val="bottom"/>
            <w:hideMark/>
          </w:tcPr>
          <w:p w14:paraId="4D5DB37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w:t>
            </w:r>
          </w:p>
        </w:tc>
        <w:tc>
          <w:tcPr>
            <w:tcW w:w="0" w:type="auto"/>
            <w:tcBorders>
              <w:top w:val="nil"/>
              <w:left w:val="nil"/>
              <w:bottom w:val="single" w:sz="4" w:space="0" w:color="auto"/>
              <w:right w:val="single" w:sz="4" w:space="0" w:color="auto"/>
            </w:tcBorders>
            <w:shd w:val="clear" w:color="auto" w:fill="auto"/>
            <w:noWrap/>
            <w:vAlign w:val="bottom"/>
            <w:hideMark/>
          </w:tcPr>
          <w:p w14:paraId="1EBA723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 </w:t>
            </w:r>
          </w:p>
        </w:tc>
        <w:tc>
          <w:tcPr>
            <w:tcW w:w="0" w:type="auto"/>
            <w:tcBorders>
              <w:top w:val="nil"/>
              <w:left w:val="nil"/>
              <w:bottom w:val="single" w:sz="4" w:space="0" w:color="auto"/>
              <w:right w:val="single" w:sz="4" w:space="0" w:color="auto"/>
            </w:tcBorders>
            <w:shd w:val="clear" w:color="auto" w:fill="auto"/>
            <w:noWrap/>
            <w:vAlign w:val="bottom"/>
            <w:hideMark/>
          </w:tcPr>
          <w:p w14:paraId="71BB576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 </w:t>
            </w:r>
          </w:p>
        </w:tc>
        <w:tc>
          <w:tcPr>
            <w:tcW w:w="0" w:type="auto"/>
            <w:tcBorders>
              <w:top w:val="nil"/>
              <w:left w:val="nil"/>
              <w:bottom w:val="single" w:sz="4" w:space="0" w:color="auto"/>
              <w:right w:val="single" w:sz="4" w:space="0" w:color="auto"/>
            </w:tcBorders>
            <w:shd w:val="clear" w:color="auto" w:fill="auto"/>
            <w:noWrap/>
            <w:vAlign w:val="bottom"/>
            <w:hideMark/>
          </w:tcPr>
          <w:p w14:paraId="3B140A11" w14:textId="77777777" w:rsidR="00B3784F" w:rsidRPr="00B3784F" w:rsidRDefault="00B3784F" w:rsidP="00B3784F">
            <w:pPr>
              <w:spacing w:after="0" w:line="260" w:lineRule="atLeast"/>
              <w:jc w:val="right"/>
              <w:rPr>
                <w:rFonts w:cs="Arial"/>
                <w:i/>
                <w:iCs/>
                <w:szCs w:val="20"/>
                <w:lang w:eastAsia="sl-SI"/>
              </w:rPr>
            </w:pPr>
            <w:r w:rsidRPr="00B3784F">
              <w:rPr>
                <w:rFonts w:cs="Arial"/>
                <w:i/>
                <w:iCs/>
                <w:szCs w:val="20"/>
                <w:lang w:eastAsia="sl-SI"/>
              </w:rPr>
              <w:t>0,0</w:t>
            </w:r>
          </w:p>
        </w:tc>
      </w:tr>
      <w:tr w:rsidR="00E9128C" w:rsidRPr="00E9128C" w14:paraId="68380123" w14:textId="77777777" w:rsidTr="00E7465F">
        <w:trPr>
          <w:trHeight w:val="288"/>
        </w:trPr>
        <w:tc>
          <w:tcPr>
            <w:tcW w:w="0" w:type="auto"/>
            <w:tcBorders>
              <w:top w:val="double" w:sz="6" w:space="0" w:color="auto"/>
              <w:left w:val="single" w:sz="4" w:space="0" w:color="auto"/>
              <w:bottom w:val="single" w:sz="4" w:space="0" w:color="auto"/>
              <w:right w:val="single" w:sz="4" w:space="0" w:color="auto"/>
            </w:tcBorders>
            <w:shd w:val="clear" w:color="000000" w:fill="FDE9D9"/>
            <w:vAlign w:val="center"/>
            <w:hideMark/>
          </w:tcPr>
          <w:p w14:paraId="5C0CDCF4" w14:textId="77777777" w:rsidR="00B3784F" w:rsidRPr="00B3784F" w:rsidRDefault="00B3784F" w:rsidP="00B3784F">
            <w:pPr>
              <w:spacing w:after="0" w:line="260" w:lineRule="atLeast"/>
              <w:rPr>
                <w:rFonts w:cs="Arial"/>
                <w:b/>
                <w:bCs/>
                <w:szCs w:val="20"/>
                <w:lang w:eastAsia="sl-SI"/>
              </w:rPr>
            </w:pPr>
            <w:r w:rsidRPr="00B3784F">
              <w:rPr>
                <w:rFonts w:cs="Arial"/>
                <w:b/>
                <w:bCs/>
                <w:szCs w:val="20"/>
                <w:lang w:eastAsia="sl-SI"/>
              </w:rPr>
              <w:t>SKUPAJ</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74855C52"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46.050</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3B33B445"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53.128</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499785EB"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60.061</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54F973D1"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65.460</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00DD04E7"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71.001</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3A11BB94"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80.536</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5555F64E"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85.775</w:t>
            </w:r>
          </w:p>
        </w:tc>
        <w:tc>
          <w:tcPr>
            <w:tcW w:w="0" w:type="auto"/>
            <w:tcBorders>
              <w:top w:val="double" w:sz="6" w:space="0" w:color="auto"/>
              <w:left w:val="nil"/>
              <w:bottom w:val="single" w:sz="4" w:space="0" w:color="auto"/>
              <w:right w:val="single" w:sz="4" w:space="0" w:color="auto"/>
            </w:tcBorders>
            <w:shd w:val="clear" w:color="000000" w:fill="FDE9D9"/>
            <w:vAlign w:val="center"/>
            <w:hideMark/>
          </w:tcPr>
          <w:p w14:paraId="5DD6F5F6" w14:textId="77777777" w:rsidR="00B3784F" w:rsidRPr="00B3784F" w:rsidRDefault="00B3784F" w:rsidP="00B3784F">
            <w:pPr>
              <w:spacing w:after="0" w:line="260" w:lineRule="atLeast"/>
              <w:jc w:val="right"/>
              <w:rPr>
                <w:rFonts w:cs="Arial"/>
                <w:b/>
                <w:bCs/>
                <w:i/>
                <w:iCs/>
                <w:szCs w:val="20"/>
                <w:lang w:eastAsia="sl-SI"/>
              </w:rPr>
            </w:pPr>
            <w:r w:rsidRPr="00B3784F">
              <w:rPr>
                <w:rFonts w:cs="Arial"/>
                <w:b/>
                <w:bCs/>
                <w:i/>
                <w:iCs/>
                <w:szCs w:val="20"/>
                <w:lang w:eastAsia="sl-SI"/>
              </w:rPr>
              <w:t>186,3</w:t>
            </w:r>
          </w:p>
        </w:tc>
      </w:tr>
    </w:tbl>
    <w:p w14:paraId="0A292D17"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Finančna uprava RS</w:t>
      </w:r>
    </w:p>
    <w:p w14:paraId="4BECC255" w14:textId="77777777" w:rsidR="00B3784F" w:rsidRPr="00B3784F" w:rsidRDefault="00B3784F" w:rsidP="00B3784F">
      <w:pPr>
        <w:spacing w:after="0" w:line="260" w:lineRule="atLeast"/>
        <w:contextualSpacing/>
        <w:jc w:val="both"/>
        <w:rPr>
          <w:rFonts w:cs="Arial"/>
          <w:szCs w:val="20"/>
        </w:rPr>
      </w:pPr>
    </w:p>
    <w:p w14:paraId="54E80973" w14:textId="77777777" w:rsidR="00B3784F" w:rsidRPr="00B3784F" w:rsidRDefault="00B3784F" w:rsidP="00B3784F">
      <w:pPr>
        <w:spacing w:after="0" w:line="260" w:lineRule="atLeast"/>
        <w:contextualSpacing/>
        <w:jc w:val="both"/>
        <w:rPr>
          <w:rFonts w:cs="Arial"/>
          <w:szCs w:val="20"/>
        </w:rPr>
      </w:pPr>
      <w:r w:rsidRPr="00B3784F">
        <w:rPr>
          <w:rFonts w:cs="Arial"/>
          <w:szCs w:val="20"/>
        </w:rPr>
        <w:t>Tabela 2: Delež t. i. normirancev med vsemi zavezanci za davek od dohodka iz dejavnosti po SKD področjih za leti 2027 in 2023</w:t>
      </w:r>
    </w:p>
    <w:p w14:paraId="64BF610F" w14:textId="77777777" w:rsidR="00B3784F" w:rsidRPr="00B3784F" w:rsidRDefault="00B3784F" w:rsidP="00B3784F">
      <w:pPr>
        <w:spacing w:after="0" w:line="260" w:lineRule="atLeast"/>
        <w:contextualSpacing/>
        <w:jc w:val="both"/>
        <w:rPr>
          <w:rFonts w:cs="Arial"/>
          <w:szCs w:val="20"/>
        </w:rPr>
      </w:pPr>
    </w:p>
    <w:tbl>
      <w:tblPr>
        <w:tblW w:w="9542" w:type="dxa"/>
        <w:tblCellMar>
          <w:left w:w="70" w:type="dxa"/>
          <w:right w:w="70" w:type="dxa"/>
        </w:tblCellMar>
        <w:tblLook w:val="04A0" w:firstRow="1" w:lastRow="0" w:firstColumn="1" w:lastColumn="0" w:noHBand="0" w:noVBand="1"/>
      </w:tblPr>
      <w:tblGrid>
        <w:gridCol w:w="7502"/>
        <w:gridCol w:w="1000"/>
        <w:gridCol w:w="1040"/>
      </w:tblGrid>
      <w:tr w:rsidR="00E9128C" w:rsidRPr="00E9128C" w14:paraId="0ACB3594" w14:textId="77777777" w:rsidTr="00E7465F">
        <w:trPr>
          <w:trHeight w:val="336"/>
        </w:trPr>
        <w:tc>
          <w:tcPr>
            <w:tcW w:w="750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CFB65F3"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Naziv SKD</w:t>
            </w:r>
          </w:p>
        </w:tc>
        <w:tc>
          <w:tcPr>
            <w:tcW w:w="1000" w:type="dxa"/>
            <w:tcBorders>
              <w:top w:val="single" w:sz="4" w:space="0" w:color="auto"/>
              <w:left w:val="nil"/>
              <w:bottom w:val="single" w:sz="4" w:space="0" w:color="auto"/>
              <w:right w:val="single" w:sz="4" w:space="0" w:color="auto"/>
            </w:tcBorders>
            <w:shd w:val="clear" w:color="000000" w:fill="DCE6F1"/>
            <w:vAlign w:val="center"/>
            <w:hideMark/>
          </w:tcPr>
          <w:p w14:paraId="7382EB86"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2017</w:t>
            </w:r>
          </w:p>
        </w:tc>
        <w:tc>
          <w:tcPr>
            <w:tcW w:w="1040" w:type="dxa"/>
            <w:tcBorders>
              <w:top w:val="single" w:sz="4" w:space="0" w:color="auto"/>
              <w:left w:val="nil"/>
              <w:bottom w:val="single" w:sz="4" w:space="0" w:color="auto"/>
              <w:right w:val="single" w:sz="4" w:space="0" w:color="auto"/>
            </w:tcBorders>
            <w:shd w:val="clear" w:color="000000" w:fill="DCE6F1"/>
            <w:vAlign w:val="center"/>
            <w:hideMark/>
          </w:tcPr>
          <w:p w14:paraId="00926221"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2023</w:t>
            </w:r>
          </w:p>
        </w:tc>
      </w:tr>
      <w:tr w:rsidR="00E9128C" w:rsidRPr="00E9128C" w14:paraId="3D75715C"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30D31AFA"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Kmetijstvo in lov, gozdarstvo, ribištvo</w:t>
            </w:r>
          </w:p>
        </w:tc>
        <w:tc>
          <w:tcPr>
            <w:tcW w:w="1000" w:type="dxa"/>
            <w:tcBorders>
              <w:top w:val="nil"/>
              <w:left w:val="nil"/>
              <w:bottom w:val="single" w:sz="4" w:space="0" w:color="auto"/>
              <w:right w:val="single" w:sz="4" w:space="0" w:color="auto"/>
            </w:tcBorders>
            <w:shd w:val="clear" w:color="auto" w:fill="auto"/>
            <w:noWrap/>
            <w:vAlign w:val="bottom"/>
            <w:hideMark/>
          </w:tcPr>
          <w:p w14:paraId="2DBEAE3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33%</w:t>
            </w:r>
          </w:p>
        </w:tc>
        <w:tc>
          <w:tcPr>
            <w:tcW w:w="1040" w:type="dxa"/>
            <w:tcBorders>
              <w:top w:val="nil"/>
              <w:left w:val="nil"/>
              <w:bottom w:val="single" w:sz="4" w:space="0" w:color="auto"/>
              <w:right w:val="single" w:sz="4" w:space="0" w:color="auto"/>
            </w:tcBorders>
            <w:shd w:val="clear" w:color="auto" w:fill="auto"/>
            <w:noWrap/>
            <w:vAlign w:val="bottom"/>
            <w:hideMark/>
          </w:tcPr>
          <w:p w14:paraId="072F525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40%</w:t>
            </w:r>
          </w:p>
        </w:tc>
      </w:tr>
      <w:tr w:rsidR="00E9128C" w:rsidRPr="00E9128C" w14:paraId="34B09BB7"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5D8AB1A5"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Rudarstvo</w:t>
            </w:r>
          </w:p>
        </w:tc>
        <w:tc>
          <w:tcPr>
            <w:tcW w:w="1000" w:type="dxa"/>
            <w:tcBorders>
              <w:top w:val="nil"/>
              <w:left w:val="nil"/>
              <w:bottom w:val="single" w:sz="4" w:space="0" w:color="auto"/>
              <w:right w:val="single" w:sz="4" w:space="0" w:color="auto"/>
            </w:tcBorders>
            <w:shd w:val="clear" w:color="auto" w:fill="auto"/>
            <w:noWrap/>
            <w:vAlign w:val="bottom"/>
            <w:hideMark/>
          </w:tcPr>
          <w:p w14:paraId="2CCDF99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30%</w:t>
            </w:r>
          </w:p>
        </w:tc>
        <w:tc>
          <w:tcPr>
            <w:tcW w:w="1040" w:type="dxa"/>
            <w:tcBorders>
              <w:top w:val="nil"/>
              <w:left w:val="nil"/>
              <w:bottom w:val="single" w:sz="4" w:space="0" w:color="auto"/>
              <w:right w:val="single" w:sz="4" w:space="0" w:color="auto"/>
            </w:tcBorders>
            <w:shd w:val="clear" w:color="auto" w:fill="auto"/>
            <w:noWrap/>
            <w:vAlign w:val="bottom"/>
            <w:hideMark/>
          </w:tcPr>
          <w:p w14:paraId="74EC9F8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38%</w:t>
            </w:r>
          </w:p>
        </w:tc>
      </w:tr>
      <w:tr w:rsidR="00E9128C" w:rsidRPr="00E9128C" w14:paraId="1E52AEA5"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7652929E"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Predelovalne dejavnosti</w:t>
            </w:r>
          </w:p>
        </w:tc>
        <w:tc>
          <w:tcPr>
            <w:tcW w:w="1000" w:type="dxa"/>
            <w:tcBorders>
              <w:top w:val="nil"/>
              <w:left w:val="nil"/>
              <w:bottom w:val="single" w:sz="4" w:space="0" w:color="auto"/>
              <w:right w:val="single" w:sz="4" w:space="0" w:color="auto"/>
            </w:tcBorders>
            <w:shd w:val="clear" w:color="auto" w:fill="auto"/>
            <w:noWrap/>
            <w:vAlign w:val="bottom"/>
            <w:hideMark/>
          </w:tcPr>
          <w:p w14:paraId="58CFC11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28%</w:t>
            </w:r>
          </w:p>
        </w:tc>
        <w:tc>
          <w:tcPr>
            <w:tcW w:w="1040" w:type="dxa"/>
            <w:tcBorders>
              <w:top w:val="nil"/>
              <w:left w:val="nil"/>
              <w:bottom w:val="single" w:sz="4" w:space="0" w:color="auto"/>
              <w:right w:val="single" w:sz="4" w:space="0" w:color="auto"/>
            </w:tcBorders>
            <w:shd w:val="clear" w:color="auto" w:fill="auto"/>
            <w:noWrap/>
            <w:vAlign w:val="bottom"/>
            <w:hideMark/>
          </w:tcPr>
          <w:p w14:paraId="3530705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42%</w:t>
            </w:r>
          </w:p>
        </w:tc>
      </w:tr>
      <w:tr w:rsidR="00E9128C" w:rsidRPr="00E9128C" w14:paraId="5862EFB6"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6502BF24"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 xml:space="preserve">Oskrba z električno energijo, plinom </w:t>
            </w:r>
          </w:p>
        </w:tc>
        <w:tc>
          <w:tcPr>
            <w:tcW w:w="1000" w:type="dxa"/>
            <w:tcBorders>
              <w:top w:val="nil"/>
              <w:left w:val="nil"/>
              <w:bottom w:val="single" w:sz="4" w:space="0" w:color="auto"/>
              <w:right w:val="single" w:sz="4" w:space="0" w:color="auto"/>
            </w:tcBorders>
            <w:shd w:val="clear" w:color="auto" w:fill="auto"/>
            <w:noWrap/>
            <w:vAlign w:val="bottom"/>
            <w:hideMark/>
          </w:tcPr>
          <w:p w14:paraId="356BA1B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37%</w:t>
            </w:r>
          </w:p>
        </w:tc>
        <w:tc>
          <w:tcPr>
            <w:tcW w:w="1040" w:type="dxa"/>
            <w:tcBorders>
              <w:top w:val="nil"/>
              <w:left w:val="nil"/>
              <w:bottom w:val="single" w:sz="4" w:space="0" w:color="auto"/>
              <w:right w:val="single" w:sz="4" w:space="0" w:color="auto"/>
            </w:tcBorders>
            <w:shd w:val="clear" w:color="auto" w:fill="auto"/>
            <w:noWrap/>
            <w:vAlign w:val="bottom"/>
            <w:hideMark/>
          </w:tcPr>
          <w:p w14:paraId="7D26E66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50%</w:t>
            </w:r>
          </w:p>
        </w:tc>
      </w:tr>
      <w:tr w:rsidR="00E9128C" w:rsidRPr="00E9128C" w14:paraId="4F562823"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66930CBB"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Oskrba z vodo; ravnanje z odplakami in odpadki</w:t>
            </w:r>
          </w:p>
        </w:tc>
        <w:tc>
          <w:tcPr>
            <w:tcW w:w="1000" w:type="dxa"/>
            <w:tcBorders>
              <w:top w:val="nil"/>
              <w:left w:val="nil"/>
              <w:bottom w:val="single" w:sz="4" w:space="0" w:color="auto"/>
              <w:right w:val="single" w:sz="4" w:space="0" w:color="auto"/>
            </w:tcBorders>
            <w:shd w:val="clear" w:color="auto" w:fill="auto"/>
            <w:noWrap/>
            <w:vAlign w:val="bottom"/>
            <w:hideMark/>
          </w:tcPr>
          <w:p w14:paraId="325C463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27%</w:t>
            </w:r>
          </w:p>
        </w:tc>
        <w:tc>
          <w:tcPr>
            <w:tcW w:w="1040" w:type="dxa"/>
            <w:tcBorders>
              <w:top w:val="nil"/>
              <w:left w:val="nil"/>
              <w:bottom w:val="single" w:sz="4" w:space="0" w:color="auto"/>
              <w:right w:val="single" w:sz="4" w:space="0" w:color="auto"/>
            </w:tcBorders>
            <w:shd w:val="clear" w:color="auto" w:fill="auto"/>
            <w:noWrap/>
            <w:vAlign w:val="bottom"/>
            <w:hideMark/>
          </w:tcPr>
          <w:p w14:paraId="18FD7AA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43%</w:t>
            </w:r>
          </w:p>
        </w:tc>
      </w:tr>
      <w:tr w:rsidR="00E9128C" w:rsidRPr="00E9128C" w14:paraId="3188140D"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374EA2A7"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Gradbeništvo</w:t>
            </w:r>
          </w:p>
        </w:tc>
        <w:tc>
          <w:tcPr>
            <w:tcW w:w="1000" w:type="dxa"/>
            <w:tcBorders>
              <w:top w:val="nil"/>
              <w:left w:val="nil"/>
              <w:bottom w:val="single" w:sz="4" w:space="0" w:color="auto"/>
              <w:right w:val="single" w:sz="4" w:space="0" w:color="auto"/>
            </w:tcBorders>
            <w:shd w:val="clear" w:color="auto" w:fill="auto"/>
            <w:noWrap/>
            <w:vAlign w:val="bottom"/>
            <w:hideMark/>
          </w:tcPr>
          <w:p w14:paraId="5EC2B5A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15%</w:t>
            </w:r>
          </w:p>
        </w:tc>
        <w:tc>
          <w:tcPr>
            <w:tcW w:w="1040" w:type="dxa"/>
            <w:tcBorders>
              <w:top w:val="nil"/>
              <w:left w:val="nil"/>
              <w:bottom w:val="single" w:sz="4" w:space="0" w:color="auto"/>
              <w:right w:val="single" w:sz="4" w:space="0" w:color="auto"/>
            </w:tcBorders>
            <w:shd w:val="clear" w:color="auto" w:fill="auto"/>
            <w:noWrap/>
            <w:vAlign w:val="bottom"/>
            <w:hideMark/>
          </w:tcPr>
          <w:p w14:paraId="6EBF074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29%</w:t>
            </w:r>
          </w:p>
        </w:tc>
      </w:tr>
      <w:tr w:rsidR="00E9128C" w:rsidRPr="00E9128C" w14:paraId="61A614E6"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4C7612F5"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Trgovina; vzdrževanje in popravila motornih vozil</w:t>
            </w:r>
          </w:p>
        </w:tc>
        <w:tc>
          <w:tcPr>
            <w:tcW w:w="1000" w:type="dxa"/>
            <w:tcBorders>
              <w:top w:val="nil"/>
              <w:left w:val="nil"/>
              <w:bottom w:val="single" w:sz="4" w:space="0" w:color="auto"/>
              <w:right w:val="single" w:sz="4" w:space="0" w:color="auto"/>
            </w:tcBorders>
            <w:shd w:val="clear" w:color="auto" w:fill="auto"/>
            <w:noWrap/>
            <w:vAlign w:val="bottom"/>
            <w:hideMark/>
          </w:tcPr>
          <w:p w14:paraId="68C231D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22%</w:t>
            </w:r>
          </w:p>
        </w:tc>
        <w:tc>
          <w:tcPr>
            <w:tcW w:w="1040" w:type="dxa"/>
            <w:tcBorders>
              <w:top w:val="nil"/>
              <w:left w:val="nil"/>
              <w:bottom w:val="single" w:sz="4" w:space="0" w:color="auto"/>
              <w:right w:val="single" w:sz="4" w:space="0" w:color="auto"/>
            </w:tcBorders>
            <w:shd w:val="clear" w:color="auto" w:fill="auto"/>
            <w:noWrap/>
            <w:vAlign w:val="bottom"/>
            <w:hideMark/>
          </w:tcPr>
          <w:p w14:paraId="7CFF1A6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35%</w:t>
            </w:r>
          </w:p>
        </w:tc>
      </w:tr>
      <w:tr w:rsidR="00E9128C" w:rsidRPr="00E9128C" w14:paraId="48B196C2"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3B7CB012"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Promet in skladiščenje</w:t>
            </w:r>
          </w:p>
        </w:tc>
        <w:tc>
          <w:tcPr>
            <w:tcW w:w="1000" w:type="dxa"/>
            <w:tcBorders>
              <w:top w:val="nil"/>
              <w:left w:val="nil"/>
              <w:bottom w:val="single" w:sz="4" w:space="0" w:color="auto"/>
              <w:right w:val="single" w:sz="4" w:space="0" w:color="auto"/>
            </w:tcBorders>
            <w:shd w:val="clear" w:color="auto" w:fill="auto"/>
            <w:noWrap/>
            <w:vAlign w:val="bottom"/>
            <w:hideMark/>
          </w:tcPr>
          <w:p w14:paraId="397B675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16%</w:t>
            </w:r>
          </w:p>
        </w:tc>
        <w:tc>
          <w:tcPr>
            <w:tcW w:w="1040" w:type="dxa"/>
            <w:tcBorders>
              <w:top w:val="nil"/>
              <w:left w:val="nil"/>
              <w:bottom w:val="single" w:sz="4" w:space="0" w:color="auto"/>
              <w:right w:val="single" w:sz="4" w:space="0" w:color="auto"/>
            </w:tcBorders>
            <w:shd w:val="clear" w:color="auto" w:fill="auto"/>
            <w:noWrap/>
            <w:vAlign w:val="bottom"/>
            <w:hideMark/>
          </w:tcPr>
          <w:p w14:paraId="4E37AB4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37%</w:t>
            </w:r>
          </w:p>
        </w:tc>
      </w:tr>
      <w:tr w:rsidR="00E9128C" w:rsidRPr="00E9128C" w14:paraId="6E8F1250"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5FF16884"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Gostinstvo</w:t>
            </w:r>
          </w:p>
        </w:tc>
        <w:tc>
          <w:tcPr>
            <w:tcW w:w="1000" w:type="dxa"/>
            <w:tcBorders>
              <w:top w:val="nil"/>
              <w:left w:val="nil"/>
              <w:bottom w:val="single" w:sz="4" w:space="0" w:color="auto"/>
              <w:right w:val="single" w:sz="4" w:space="0" w:color="auto"/>
            </w:tcBorders>
            <w:shd w:val="clear" w:color="auto" w:fill="auto"/>
            <w:noWrap/>
            <w:vAlign w:val="bottom"/>
            <w:hideMark/>
          </w:tcPr>
          <w:p w14:paraId="4B437A3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37%</w:t>
            </w:r>
          </w:p>
        </w:tc>
        <w:tc>
          <w:tcPr>
            <w:tcW w:w="1040" w:type="dxa"/>
            <w:tcBorders>
              <w:top w:val="nil"/>
              <w:left w:val="nil"/>
              <w:bottom w:val="single" w:sz="4" w:space="0" w:color="auto"/>
              <w:right w:val="single" w:sz="4" w:space="0" w:color="auto"/>
            </w:tcBorders>
            <w:shd w:val="clear" w:color="auto" w:fill="auto"/>
            <w:noWrap/>
            <w:vAlign w:val="bottom"/>
            <w:hideMark/>
          </w:tcPr>
          <w:p w14:paraId="76B3E61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55%</w:t>
            </w:r>
          </w:p>
        </w:tc>
      </w:tr>
      <w:tr w:rsidR="00E9128C" w:rsidRPr="00E9128C" w14:paraId="3EDB2FC8"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01BE80FA"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Informacijske in komunikacijske dejavnosti</w:t>
            </w:r>
          </w:p>
        </w:tc>
        <w:tc>
          <w:tcPr>
            <w:tcW w:w="1000" w:type="dxa"/>
            <w:tcBorders>
              <w:top w:val="nil"/>
              <w:left w:val="nil"/>
              <w:bottom w:val="single" w:sz="4" w:space="0" w:color="auto"/>
              <w:right w:val="single" w:sz="4" w:space="0" w:color="auto"/>
            </w:tcBorders>
            <w:shd w:val="clear" w:color="auto" w:fill="auto"/>
            <w:noWrap/>
            <w:vAlign w:val="bottom"/>
            <w:hideMark/>
          </w:tcPr>
          <w:p w14:paraId="0466985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69%</w:t>
            </w:r>
          </w:p>
        </w:tc>
        <w:tc>
          <w:tcPr>
            <w:tcW w:w="1040" w:type="dxa"/>
            <w:tcBorders>
              <w:top w:val="nil"/>
              <w:left w:val="nil"/>
              <w:bottom w:val="single" w:sz="4" w:space="0" w:color="auto"/>
              <w:right w:val="single" w:sz="4" w:space="0" w:color="auto"/>
            </w:tcBorders>
            <w:shd w:val="clear" w:color="auto" w:fill="auto"/>
            <w:noWrap/>
            <w:vAlign w:val="bottom"/>
            <w:hideMark/>
          </w:tcPr>
          <w:p w14:paraId="6EEE165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87%</w:t>
            </w:r>
          </w:p>
        </w:tc>
      </w:tr>
      <w:tr w:rsidR="00E9128C" w:rsidRPr="00E9128C" w14:paraId="51A97249"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79C4DADA"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Finančne in zavarovalniške dejavnosti</w:t>
            </w:r>
          </w:p>
        </w:tc>
        <w:tc>
          <w:tcPr>
            <w:tcW w:w="1000" w:type="dxa"/>
            <w:tcBorders>
              <w:top w:val="nil"/>
              <w:left w:val="nil"/>
              <w:bottom w:val="single" w:sz="4" w:space="0" w:color="auto"/>
              <w:right w:val="single" w:sz="4" w:space="0" w:color="auto"/>
            </w:tcBorders>
            <w:shd w:val="clear" w:color="auto" w:fill="auto"/>
            <w:noWrap/>
            <w:vAlign w:val="bottom"/>
            <w:hideMark/>
          </w:tcPr>
          <w:p w14:paraId="100CDD2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37%</w:t>
            </w:r>
          </w:p>
        </w:tc>
        <w:tc>
          <w:tcPr>
            <w:tcW w:w="1040" w:type="dxa"/>
            <w:tcBorders>
              <w:top w:val="nil"/>
              <w:left w:val="nil"/>
              <w:bottom w:val="single" w:sz="4" w:space="0" w:color="auto"/>
              <w:right w:val="single" w:sz="4" w:space="0" w:color="auto"/>
            </w:tcBorders>
            <w:shd w:val="clear" w:color="auto" w:fill="auto"/>
            <w:noWrap/>
            <w:vAlign w:val="bottom"/>
            <w:hideMark/>
          </w:tcPr>
          <w:p w14:paraId="588DC41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65%</w:t>
            </w:r>
          </w:p>
        </w:tc>
      </w:tr>
      <w:tr w:rsidR="00E9128C" w:rsidRPr="00E9128C" w14:paraId="0DB746BF"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6C924DFB"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Poslovanje z nepremičninami</w:t>
            </w:r>
          </w:p>
        </w:tc>
        <w:tc>
          <w:tcPr>
            <w:tcW w:w="1000" w:type="dxa"/>
            <w:tcBorders>
              <w:top w:val="nil"/>
              <w:left w:val="nil"/>
              <w:bottom w:val="single" w:sz="4" w:space="0" w:color="auto"/>
              <w:right w:val="single" w:sz="4" w:space="0" w:color="auto"/>
            </w:tcBorders>
            <w:shd w:val="clear" w:color="auto" w:fill="auto"/>
            <w:noWrap/>
            <w:vAlign w:val="bottom"/>
            <w:hideMark/>
          </w:tcPr>
          <w:p w14:paraId="43C692D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59%</w:t>
            </w:r>
          </w:p>
        </w:tc>
        <w:tc>
          <w:tcPr>
            <w:tcW w:w="1040" w:type="dxa"/>
            <w:tcBorders>
              <w:top w:val="nil"/>
              <w:left w:val="nil"/>
              <w:bottom w:val="single" w:sz="4" w:space="0" w:color="auto"/>
              <w:right w:val="single" w:sz="4" w:space="0" w:color="auto"/>
            </w:tcBorders>
            <w:shd w:val="clear" w:color="auto" w:fill="auto"/>
            <w:noWrap/>
            <w:vAlign w:val="bottom"/>
            <w:hideMark/>
          </w:tcPr>
          <w:p w14:paraId="33FD0BB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82%</w:t>
            </w:r>
          </w:p>
        </w:tc>
      </w:tr>
      <w:tr w:rsidR="00E9128C" w:rsidRPr="00E9128C" w14:paraId="1107E0A8"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4B21CA01"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Strokovne, znanstvene in tehnične dejavnosti</w:t>
            </w:r>
          </w:p>
        </w:tc>
        <w:tc>
          <w:tcPr>
            <w:tcW w:w="1000" w:type="dxa"/>
            <w:tcBorders>
              <w:top w:val="nil"/>
              <w:left w:val="nil"/>
              <w:bottom w:val="single" w:sz="4" w:space="0" w:color="auto"/>
              <w:right w:val="single" w:sz="4" w:space="0" w:color="auto"/>
            </w:tcBorders>
            <w:shd w:val="clear" w:color="auto" w:fill="auto"/>
            <w:noWrap/>
            <w:vAlign w:val="bottom"/>
            <w:hideMark/>
          </w:tcPr>
          <w:p w14:paraId="6A4F602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63%</w:t>
            </w:r>
          </w:p>
        </w:tc>
        <w:tc>
          <w:tcPr>
            <w:tcW w:w="1040" w:type="dxa"/>
            <w:tcBorders>
              <w:top w:val="nil"/>
              <w:left w:val="nil"/>
              <w:bottom w:val="single" w:sz="4" w:space="0" w:color="auto"/>
              <w:right w:val="single" w:sz="4" w:space="0" w:color="auto"/>
            </w:tcBorders>
            <w:shd w:val="clear" w:color="auto" w:fill="auto"/>
            <w:noWrap/>
            <w:vAlign w:val="bottom"/>
            <w:hideMark/>
          </w:tcPr>
          <w:p w14:paraId="02299A0F"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81%</w:t>
            </w:r>
          </w:p>
        </w:tc>
      </w:tr>
      <w:tr w:rsidR="00E9128C" w:rsidRPr="00E9128C" w14:paraId="45A57775"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76425124"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Druge raznovrstne poslovne dejavnosti</w:t>
            </w:r>
          </w:p>
        </w:tc>
        <w:tc>
          <w:tcPr>
            <w:tcW w:w="1000" w:type="dxa"/>
            <w:tcBorders>
              <w:top w:val="nil"/>
              <w:left w:val="nil"/>
              <w:bottom w:val="single" w:sz="4" w:space="0" w:color="auto"/>
              <w:right w:val="single" w:sz="4" w:space="0" w:color="auto"/>
            </w:tcBorders>
            <w:shd w:val="clear" w:color="auto" w:fill="auto"/>
            <w:noWrap/>
            <w:vAlign w:val="bottom"/>
            <w:hideMark/>
          </w:tcPr>
          <w:p w14:paraId="692FC73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52%</w:t>
            </w:r>
          </w:p>
        </w:tc>
        <w:tc>
          <w:tcPr>
            <w:tcW w:w="1040" w:type="dxa"/>
            <w:tcBorders>
              <w:top w:val="nil"/>
              <w:left w:val="nil"/>
              <w:bottom w:val="single" w:sz="4" w:space="0" w:color="auto"/>
              <w:right w:val="single" w:sz="4" w:space="0" w:color="auto"/>
            </w:tcBorders>
            <w:shd w:val="clear" w:color="auto" w:fill="auto"/>
            <w:noWrap/>
            <w:vAlign w:val="bottom"/>
            <w:hideMark/>
          </w:tcPr>
          <w:p w14:paraId="68F9790B"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71%</w:t>
            </w:r>
          </w:p>
        </w:tc>
      </w:tr>
      <w:tr w:rsidR="00E9128C" w:rsidRPr="00E9128C" w14:paraId="0C283D54"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77E4A2E2"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Dejavnost javne uprave in obrambe; dejavnost obvezne socialne varnosti</w:t>
            </w:r>
          </w:p>
        </w:tc>
        <w:tc>
          <w:tcPr>
            <w:tcW w:w="1000" w:type="dxa"/>
            <w:tcBorders>
              <w:top w:val="nil"/>
              <w:left w:val="nil"/>
              <w:bottom w:val="single" w:sz="4" w:space="0" w:color="auto"/>
              <w:right w:val="single" w:sz="4" w:space="0" w:color="auto"/>
            </w:tcBorders>
            <w:shd w:val="clear" w:color="auto" w:fill="auto"/>
            <w:noWrap/>
            <w:vAlign w:val="bottom"/>
            <w:hideMark/>
          </w:tcPr>
          <w:p w14:paraId="1949C11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57%</w:t>
            </w:r>
          </w:p>
        </w:tc>
        <w:tc>
          <w:tcPr>
            <w:tcW w:w="1040" w:type="dxa"/>
            <w:tcBorders>
              <w:top w:val="nil"/>
              <w:left w:val="nil"/>
              <w:bottom w:val="single" w:sz="4" w:space="0" w:color="auto"/>
              <w:right w:val="single" w:sz="4" w:space="0" w:color="auto"/>
            </w:tcBorders>
            <w:shd w:val="clear" w:color="auto" w:fill="auto"/>
            <w:noWrap/>
            <w:vAlign w:val="bottom"/>
            <w:hideMark/>
          </w:tcPr>
          <w:p w14:paraId="3D80AAE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87%</w:t>
            </w:r>
          </w:p>
        </w:tc>
      </w:tr>
      <w:tr w:rsidR="00E9128C" w:rsidRPr="00E9128C" w14:paraId="32C73A03"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7EC56CD8"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Izobraževanje</w:t>
            </w:r>
          </w:p>
        </w:tc>
        <w:tc>
          <w:tcPr>
            <w:tcW w:w="1000" w:type="dxa"/>
            <w:tcBorders>
              <w:top w:val="nil"/>
              <w:left w:val="nil"/>
              <w:bottom w:val="single" w:sz="4" w:space="0" w:color="auto"/>
              <w:right w:val="single" w:sz="4" w:space="0" w:color="auto"/>
            </w:tcBorders>
            <w:shd w:val="clear" w:color="auto" w:fill="auto"/>
            <w:noWrap/>
            <w:vAlign w:val="bottom"/>
            <w:hideMark/>
          </w:tcPr>
          <w:p w14:paraId="76ED968C"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57%</w:t>
            </w:r>
          </w:p>
        </w:tc>
        <w:tc>
          <w:tcPr>
            <w:tcW w:w="1040" w:type="dxa"/>
            <w:tcBorders>
              <w:top w:val="nil"/>
              <w:left w:val="nil"/>
              <w:bottom w:val="single" w:sz="4" w:space="0" w:color="auto"/>
              <w:right w:val="single" w:sz="4" w:space="0" w:color="auto"/>
            </w:tcBorders>
            <w:shd w:val="clear" w:color="auto" w:fill="auto"/>
            <w:noWrap/>
            <w:vAlign w:val="bottom"/>
            <w:hideMark/>
          </w:tcPr>
          <w:p w14:paraId="13B57146"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79%</w:t>
            </w:r>
          </w:p>
        </w:tc>
      </w:tr>
      <w:tr w:rsidR="00E9128C" w:rsidRPr="00E9128C" w14:paraId="573A71EA"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200945AE"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Zdravstvo in socialno varstvo</w:t>
            </w:r>
          </w:p>
        </w:tc>
        <w:tc>
          <w:tcPr>
            <w:tcW w:w="1000" w:type="dxa"/>
            <w:tcBorders>
              <w:top w:val="nil"/>
              <w:left w:val="nil"/>
              <w:bottom w:val="single" w:sz="4" w:space="0" w:color="auto"/>
              <w:right w:val="single" w:sz="4" w:space="0" w:color="auto"/>
            </w:tcBorders>
            <w:shd w:val="clear" w:color="auto" w:fill="auto"/>
            <w:noWrap/>
            <w:vAlign w:val="bottom"/>
            <w:hideMark/>
          </w:tcPr>
          <w:p w14:paraId="1EC2EDB8"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46%</w:t>
            </w:r>
          </w:p>
        </w:tc>
        <w:tc>
          <w:tcPr>
            <w:tcW w:w="1040" w:type="dxa"/>
            <w:tcBorders>
              <w:top w:val="nil"/>
              <w:left w:val="nil"/>
              <w:bottom w:val="single" w:sz="4" w:space="0" w:color="auto"/>
              <w:right w:val="single" w:sz="4" w:space="0" w:color="auto"/>
            </w:tcBorders>
            <w:shd w:val="clear" w:color="auto" w:fill="auto"/>
            <w:noWrap/>
            <w:vAlign w:val="bottom"/>
            <w:hideMark/>
          </w:tcPr>
          <w:p w14:paraId="37266697"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74%</w:t>
            </w:r>
          </w:p>
        </w:tc>
      </w:tr>
      <w:tr w:rsidR="00E9128C" w:rsidRPr="00E9128C" w14:paraId="2460A5B7"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78310DA6"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Kulturne, razvedrilne in rekreacijske dejavnosti</w:t>
            </w:r>
          </w:p>
        </w:tc>
        <w:tc>
          <w:tcPr>
            <w:tcW w:w="1000" w:type="dxa"/>
            <w:tcBorders>
              <w:top w:val="nil"/>
              <w:left w:val="nil"/>
              <w:bottom w:val="single" w:sz="4" w:space="0" w:color="auto"/>
              <w:right w:val="single" w:sz="4" w:space="0" w:color="auto"/>
            </w:tcBorders>
            <w:shd w:val="clear" w:color="auto" w:fill="auto"/>
            <w:noWrap/>
            <w:vAlign w:val="bottom"/>
            <w:hideMark/>
          </w:tcPr>
          <w:p w14:paraId="0CE58BE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66%</w:t>
            </w:r>
          </w:p>
        </w:tc>
        <w:tc>
          <w:tcPr>
            <w:tcW w:w="1040" w:type="dxa"/>
            <w:tcBorders>
              <w:top w:val="nil"/>
              <w:left w:val="nil"/>
              <w:bottom w:val="single" w:sz="4" w:space="0" w:color="auto"/>
              <w:right w:val="single" w:sz="4" w:space="0" w:color="auto"/>
            </w:tcBorders>
            <w:shd w:val="clear" w:color="auto" w:fill="auto"/>
            <w:noWrap/>
            <w:vAlign w:val="bottom"/>
            <w:hideMark/>
          </w:tcPr>
          <w:p w14:paraId="5D33B982"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79%</w:t>
            </w:r>
          </w:p>
        </w:tc>
      </w:tr>
      <w:tr w:rsidR="00E9128C" w:rsidRPr="00E9128C" w14:paraId="1B284CD0"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2AC23021"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Druge dejavnosti</w:t>
            </w:r>
          </w:p>
        </w:tc>
        <w:tc>
          <w:tcPr>
            <w:tcW w:w="1000" w:type="dxa"/>
            <w:tcBorders>
              <w:top w:val="nil"/>
              <w:left w:val="nil"/>
              <w:bottom w:val="single" w:sz="4" w:space="0" w:color="auto"/>
              <w:right w:val="single" w:sz="4" w:space="0" w:color="auto"/>
            </w:tcBorders>
            <w:shd w:val="clear" w:color="auto" w:fill="auto"/>
            <w:noWrap/>
            <w:vAlign w:val="bottom"/>
            <w:hideMark/>
          </w:tcPr>
          <w:p w14:paraId="76BD22E0"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22%</w:t>
            </w:r>
          </w:p>
        </w:tc>
        <w:tc>
          <w:tcPr>
            <w:tcW w:w="1040" w:type="dxa"/>
            <w:tcBorders>
              <w:top w:val="nil"/>
              <w:left w:val="nil"/>
              <w:bottom w:val="single" w:sz="4" w:space="0" w:color="auto"/>
              <w:right w:val="single" w:sz="4" w:space="0" w:color="auto"/>
            </w:tcBorders>
            <w:shd w:val="clear" w:color="auto" w:fill="auto"/>
            <w:noWrap/>
            <w:vAlign w:val="bottom"/>
            <w:hideMark/>
          </w:tcPr>
          <w:p w14:paraId="50EFD0C1"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40%</w:t>
            </w:r>
          </w:p>
        </w:tc>
      </w:tr>
      <w:tr w:rsidR="00E9128C" w:rsidRPr="00E9128C" w14:paraId="76B3E3C0"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74179316"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Dejavnost gospodinjstev z zaposlenim hišnim osebjem; proizvodnja za lastno rabo</w:t>
            </w:r>
          </w:p>
        </w:tc>
        <w:tc>
          <w:tcPr>
            <w:tcW w:w="1000" w:type="dxa"/>
            <w:tcBorders>
              <w:top w:val="nil"/>
              <w:left w:val="nil"/>
              <w:bottom w:val="single" w:sz="4" w:space="0" w:color="auto"/>
              <w:right w:val="single" w:sz="4" w:space="0" w:color="auto"/>
            </w:tcBorders>
            <w:shd w:val="clear" w:color="auto" w:fill="auto"/>
            <w:noWrap/>
            <w:vAlign w:val="bottom"/>
            <w:hideMark/>
          </w:tcPr>
          <w:p w14:paraId="4772B6CA"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17%</w:t>
            </w:r>
          </w:p>
        </w:tc>
        <w:tc>
          <w:tcPr>
            <w:tcW w:w="1040" w:type="dxa"/>
            <w:tcBorders>
              <w:top w:val="nil"/>
              <w:left w:val="nil"/>
              <w:bottom w:val="single" w:sz="4" w:space="0" w:color="auto"/>
              <w:right w:val="single" w:sz="4" w:space="0" w:color="auto"/>
            </w:tcBorders>
            <w:shd w:val="clear" w:color="auto" w:fill="auto"/>
            <w:noWrap/>
            <w:vAlign w:val="bottom"/>
            <w:hideMark/>
          </w:tcPr>
          <w:p w14:paraId="16DB50B5"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20%</w:t>
            </w:r>
          </w:p>
        </w:tc>
      </w:tr>
      <w:tr w:rsidR="00E9128C" w:rsidRPr="00E9128C" w14:paraId="132CBC37"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6E353F33"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Dejavnost eksteritorialnih organizacij in teles</w:t>
            </w:r>
          </w:p>
        </w:tc>
        <w:tc>
          <w:tcPr>
            <w:tcW w:w="1000" w:type="dxa"/>
            <w:tcBorders>
              <w:top w:val="nil"/>
              <w:left w:val="nil"/>
              <w:bottom w:val="single" w:sz="4" w:space="0" w:color="auto"/>
              <w:right w:val="single" w:sz="4" w:space="0" w:color="auto"/>
            </w:tcBorders>
            <w:shd w:val="clear" w:color="auto" w:fill="auto"/>
            <w:noWrap/>
            <w:vAlign w:val="bottom"/>
            <w:hideMark/>
          </w:tcPr>
          <w:p w14:paraId="0BC66A83"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45%</w:t>
            </w:r>
          </w:p>
        </w:tc>
        <w:tc>
          <w:tcPr>
            <w:tcW w:w="1040" w:type="dxa"/>
            <w:tcBorders>
              <w:top w:val="nil"/>
              <w:left w:val="nil"/>
              <w:bottom w:val="single" w:sz="4" w:space="0" w:color="auto"/>
              <w:right w:val="single" w:sz="4" w:space="0" w:color="auto"/>
            </w:tcBorders>
            <w:shd w:val="clear" w:color="auto" w:fill="auto"/>
            <w:noWrap/>
            <w:vAlign w:val="bottom"/>
            <w:hideMark/>
          </w:tcPr>
          <w:p w14:paraId="55F0D51E"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17%</w:t>
            </w:r>
          </w:p>
        </w:tc>
      </w:tr>
      <w:tr w:rsidR="00E9128C" w:rsidRPr="00E9128C" w14:paraId="6F6EC02C" w14:textId="77777777" w:rsidTr="00E7465F">
        <w:trPr>
          <w:trHeight w:val="299"/>
        </w:trPr>
        <w:tc>
          <w:tcPr>
            <w:tcW w:w="7502" w:type="dxa"/>
            <w:tcBorders>
              <w:top w:val="nil"/>
              <w:left w:val="single" w:sz="4" w:space="0" w:color="auto"/>
              <w:bottom w:val="single" w:sz="4" w:space="0" w:color="auto"/>
              <w:right w:val="single" w:sz="4" w:space="0" w:color="auto"/>
            </w:tcBorders>
            <w:shd w:val="clear" w:color="000000" w:fill="D9D9D9"/>
            <w:vAlign w:val="center"/>
            <w:hideMark/>
          </w:tcPr>
          <w:p w14:paraId="363D3511" w14:textId="77777777" w:rsidR="00B3784F" w:rsidRPr="00B3784F" w:rsidRDefault="00B3784F" w:rsidP="00B3784F">
            <w:pPr>
              <w:spacing w:after="0" w:line="260" w:lineRule="atLeast"/>
              <w:rPr>
                <w:rFonts w:cs="Arial"/>
                <w:szCs w:val="20"/>
                <w:lang w:eastAsia="sl-SI"/>
              </w:rPr>
            </w:pPr>
            <w:r w:rsidRPr="00B3784F">
              <w:rPr>
                <w:rFonts w:cs="Arial"/>
                <w:szCs w:val="20"/>
                <w:lang w:eastAsia="sl-SI"/>
              </w:rPr>
              <w:t>neopredeljeno in ostalo</w:t>
            </w:r>
          </w:p>
        </w:tc>
        <w:tc>
          <w:tcPr>
            <w:tcW w:w="1000" w:type="dxa"/>
            <w:tcBorders>
              <w:top w:val="nil"/>
              <w:left w:val="nil"/>
              <w:bottom w:val="single" w:sz="4" w:space="0" w:color="auto"/>
              <w:right w:val="single" w:sz="4" w:space="0" w:color="auto"/>
            </w:tcBorders>
            <w:shd w:val="clear" w:color="auto" w:fill="auto"/>
            <w:noWrap/>
            <w:vAlign w:val="bottom"/>
            <w:hideMark/>
          </w:tcPr>
          <w:p w14:paraId="652991A9"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43%</w:t>
            </w:r>
          </w:p>
        </w:tc>
        <w:tc>
          <w:tcPr>
            <w:tcW w:w="1040" w:type="dxa"/>
            <w:tcBorders>
              <w:top w:val="nil"/>
              <w:left w:val="nil"/>
              <w:bottom w:val="single" w:sz="4" w:space="0" w:color="auto"/>
              <w:right w:val="single" w:sz="4" w:space="0" w:color="auto"/>
            </w:tcBorders>
            <w:shd w:val="clear" w:color="auto" w:fill="auto"/>
            <w:noWrap/>
            <w:vAlign w:val="bottom"/>
            <w:hideMark/>
          </w:tcPr>
          <w:p w14:paraId="06C5DAFD" w14:textId="77777777" w:rsidR="00B3784F" w:rsidRPr="00B3784F" w:rsidRDefault="00B3784F" w:rsidP="00B3784F">
            <w:pPr>
              <w:spacing w:after="0" w:line="260" w:lineRule="atLeast"/>
              <w:jc w:val="right"/>
              <w:rPr>
                <w:rFonts w:cs="Arial"/>
                <w:szCs w:val="20"/>
                <w:lang w:eastAsia="sl-SI"/>
              </w:rPr>
            </w:pPr>
            <w:r w:rsidRPr="00B3784F">
              <w:rPr>
                <w:rFonts w:cs="Arial"/>
                <w:szCs w:val="20"/>
                <w:lang w:eastAsia="sl-SI"/>
              </w:rPr>
              <w:t>-</w:t>
            </w:r>
          </w:p>
        </w:tc>
      </w:tr>
      <w:tr w:rsidR="00E9128C" w:rsidRPr="00E9128C" w14:paraId="41D81582" w14:textId="77777777" w:rsidTr="00E7465F">
        <w:trPr>
          <w:trHeight w:val="276"/>
        </w:trPr>
        <w:tc>
          <w:tcPr>
            <w:tcW w:w="7502" w:type="dxa"/>
            <w:tcBorders>
              <w:top w:val="double" w:sz="6" w:space="0" w:color="auto"/>
              <w:left w:val="single" w:sz="4" w:space="0" w:color="auto"/>
              <w:bottom w:val="single" w:sz="4" w:space="0" w:color="auto"/>
              <w:right w:val="single" w:sz="4" w:space="0" w:color="auto"/>
            </w:tcBorders>
            <w:shd w:val="clear" w:color="000000" w:fill="FDE9D9"/>
            <w:vAlign w:val="center"/>
            <w:hideMark/>
          </w:tcPr>
          <w:p w14:paraId="06CF54E5" w14:textId="77777777" w:rsidR="00B3784F" w:rsidRPr="00B3784F" w:rsidRDefault="00B3784F" w:rsidP="00B3784F">
            <w:pPr>
              <w:spacing w:after="0" w:line="260" w:lineRule="atLeast"/>
              <w:rPr>
                <w:rFonts w:cs="Arial"/>
                <w:b/>
                <w:bCs/>
                <w:szCs w:val="20"/>
                <w:lang w:eastAsia="sl-SI"/>
              </w:rPr>
            </w:pPr>
            <w:r w:rsidRPr="00B3784F">
              <w:rPr>
                <w:rFonts w:cs="Arial"/>
                <w:b/>
                <w:bCs/>
                <w:szCs w:val="20"/>
                <w:lang w:eastAsia="sl-SI"/>
              </w:rPr>
              <w:lastRenderedPageBreak/>
              <w:t>SKUPAJ</w:t>
            </w:r>
          </w:p>
        </w:tc>
        <w:tc>
          <w:tcPr>
            <w:tcW w:w="1000" w:type="dxa"/>
            <w:tcBorders>
              <w:top w:val="double" w:sz="6" w:space="0" w:color="auto"/>
              <w:left w:val="nil"/>
              <w:bottom w:val="single" w:sz="4" w:space="0" w:color="auto"/>
              <w:right w:val="single" w:sz="4" w:space="0" w:color="auto"/>
            </w:tcBorders>
            <w:shd w:val="clear" w:color="000000" w:fill="FDE9D9"/>
            <w:vAlign w:val="center"/>
            <w:hideMark/>
          </w:tcPr>
          <w:p w14:paraId="5AF880E0"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40%</w:t>
            </w:r>
          </w:p>
        </w:tc>
        <w:tc>
          <w:tcPr>
            <w:tcW w:w="1040" w:type="dxa"/>
            <w:tcBorders>
              <w:top w:val="double" w:sz="6" w:space="0" w:color="auto"/>
              <w:left w:val="nil"/>
              <w:bottom w:val="single" w:sz="4" w:space="0" w:color="auto"/>
              <w:right w:val="single" w:sz="4" w:space="0" w:color="auto"/>
            </w:tcBorders>
            <w:shd w:val="clear" w:color="000000" w:fill="FDE9D9"/>
            <w:vAlign w:val="center"/>
            <w:hideMark/>
          </w:tcPr>
          <w:p w14:paraId="0A74E73F" w14:textId="77777777" w:rsidR="00B3784F" w:rsidRPr="00B3784F" w:rsidRDefault="00B3784F" w:rsidP="00B3784F">
            <w:pPr>
              <w:spacing w:after="0" w:line="260" w:lineRule="atLeast"/>
              <w:jc w:val="right"/>
              <w:rPr>
                <w:rFonts w:cs="Arial"/>
                <w:b/>
                <w:bCs/>
                <w:szCs w:val="20"/>
                <w:lang w:eastAsia="sl-SI"/>
              </w:rPr>
            </w:pPr>
            <w:r w:rsidRPr="00B3784F">
              <w:rPr>
                <w:rFonts w:cs="Arial"/>
                <w:b/>
                <w:bCs/>
                <w:szCs w:val="20"/>
                <w:lang w:eastAsia="sl-SI"/>
              </w:rPr>
              <w:t>59%</w:t>
            </w:r>
          </w:p>
        </w:tc>
      </w:tr>
    </w:tbl>
    <w:p w14:paraId="19BDE9DB"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Finančna uprava RS</w:t>
      </w:r>
    </w:p>
    <w:p w14:paraId="25C130EE" w14:textId="77777777" w:rsidR="00B3784F" w:rsidRPr="00B3784F" w:rsidRDefault="00B3784F" w:rsidP="00B3784F">
      <w:pPr>
        <w:spacing w:after="0" w:line="260" w:lineRule="atLeast"/>
        <w:contextualSpacing/>
        <w:jc w:val="both"/>
        <w:rPr>
          <w:rFonts w:cs="Arial"/>
          <w:szCs w:val="20"/>
        </w:rPr>
      </w:pPr>
    </w:p>
    <w:p w14:paraId="7F7EE10A" w14:textId="77777777" w:rsidR="00B3784F" w:rsidRPr="00B3784F" w:rsidRDefault="00B3784F" w:rsidP="00B3784F">
      <w:pPr>
        <w:spacing w:after="0" w:line="260" w:lineRule="atLeast"/>
        <w:contextualSpacing/>
        <w:jc w:val="both"/>
        <w:rPr>
          <w:rFonts w:cs="Arial"/>
          <w:szCs w:val="20"/>
        </w:rPr>
      </w:pPr>
      <w:r w:rsidRPr="00B3784F">
        <w:rPr>
          <w:rFonts w:cs="Arial"/>
          <w:szCs w:val="20"/>
        </w:rPr>
        <w:t>Tabela 3: Izbrani podatki za t. i. normirance za leto 2024 po prihodkovnih razredih</w:t>
      </w:r>
    </w:p>
    <w:p w14:paraId="418C40E2" w14:textId="77777777" w:rsidR="00B3784F" w:rsidRPr="00B3784F" w:rsidRDefault="00B3784F" w:rsidP="00B3784F">
      <w:pPr>
        <w:spacing w:after="0" w:line="260" w:lineRule="atLeast"/>
        <w:contextualSpacing/>
        <w:jc w:val="right"/>
        <w:rPr>
          <w:rFonts w:cs="Arial"/>
          <w:i/>
          <w:sz w:val="18"/>
          <w:szCs w:val="18"/>
        </w:rPr>
      </w:pPr>
      <w:r w:rsidRPr="00B3784F">
        <w:rPr>
          <w:rFonts w:cs="Arial"/>
          <w:i/>
          <w:iCs/>
          <w:sz w:val="18"/>
          <w:szCs w:val="18"/>
        </w:rPr>
        <w:t>Zneski v mio EUR</w:t>
      </w:r>
    </w:p>
    <w:tbl>
      <w:tblPr>
        <w:tblW w:w="9645" w:type="dxa"/>
        <w:tblCellMar>
          <w:left w:w="70" w:type="dxa"/>
          <w:right w:w="70" w:type="dxa"/>
        </w:tblCellMar>
        <w:tblLook w:val="04A0" w:firstRow="1" w:lastRow="0" w:firstColumn="1" w:lastColumn="0" w:noHBand="0" w:noVBand="1"/>
      </w:tblPr>
      <w:tblGrid>
        <w:gridCol w:w="2620"/>
        <w:gridCol w:w="1083"/>
        <w:gridCol w:w="1195"/>
        <w:gridCol w:w="1930"/>
        <w:gridCol w:w="1408"/>
        <w:gridCol w:w="1409"/>
      </w:tblGrid>
      <w:tr w:rsidR="00E9128C" w:rsidRPr="00E9128C" w14:paraId="5F2742BE" w14:textId="77777777" w:rsidTr="00E7465F">
        <w:trPr>
          <w:trHeight w:val="591"/>
        </w:trPr>
        <w:tc>
          <w:tcPr>
            <w:tcW w:w="262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3CA1E882"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Razred prihodkov (v EUR)</w:t>
            </w:r>
          </w:p>
        </w:tc>
        <w:tc>
          <w:tcPr>
            <w:tcW w:w="1083" w:type="dxa"/>
            <w:tcBorders>
              <w:top w:val="single" w:sz="4" w:space="0" w:color="auto"/>
              <w:left w:val="nil"/>
              <w:bottom w:val="single" w:sz="4" w:space="0" w:color="auto"/>
              <w:right w:val="single" w:sz="4" w:space="0" w:color="auto"/>
            </w:tcBorders>
            <w:shd w:val="clear" w:color="000000" w:fill="95B3D7"/>
            <w:vAlign w:val="center"/>
            <w:hideMark/>
          </w:tcPr>
          <w:p w14:paraId="2A6184DE"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Št. zavez.</w:t>
            </w:r>
          </w:p>
        </w:tc>
        <w:tc>
          <w:tcPr>
            <w:tcW w:w="1195" w:type="dxa"/>
            <w:tcBorders>
              <w:top w:val="single" w:sz="4" w:space="0" w:color="auto"/>
              <w:left w:val="nil"/>
              <w:bottom w:val="single" w:sz="4" w:space="0" w:color="auto"/>
              <w:right w:val="single" w:sz="4" w:space="0" w:color="auto"/>
            </w:tcBorders>
            <w:shd w:val="clear" w:color="000000" w:fill="95B3D7"/>
            <w:vAlign w:val="center"/>
            <w:hideMark/>
          </w:tcPr>
          <w:p w14:paraId="7A32F09E" w14:textId="77777777" w:rsidR="00B3784F" w:rsidRPr="00B3784F" w:rsidRDefault="00B3784F" w:rsidP="00B3784F">
            <w:pPr>
              <w:spacing w:after="0" w:line="260" w:lineRule="atLeast"/>
              <w:jc w:val="center"/>
              <w:rPr>
                <w:rFonts w:cs="Arial"/>
                <w:b/>
                <w:bCs/>
                <w:i/>
                <w:iCs/>
                <w:szCs w:val="20"/>
                <w:lang w:eastAsia="sl-SI"/>
              </w:rPr>
            </w:pPr>
            <w:r w:rsidRPr="00B3784F">
              <w:rPr>
                <w:rFonts w:cs="Arial"/>
                <w:b/>
                <w:bCs/>
                <w:i/>
                <w:iCs/>
                <w:szCs w:val="20"/>
                <w:lang w:eastAsia="sl-SI"/>
              </w:rPr>
              <w:t>Delež (št. zav.)</w:t>
            </w:r>
          </w:p>
        </w:tc>
        <w:tc>
          <w:tcPr>
            <w:tcW w:w="1930" w:type="dxa"/>
            <w:tcBorders>
              <w:top w:val="single" w:sz="4" w:space="0" w:color="auto"/>
              <w:left w:val="nil"/>
              <w:bottom w:val="single" w:sz="4" w:space="0" w:color="auto"/>
              <w:right w:val="single" w:sz="4" w:space="0" w:color="auto"/>
            </w:tcBorders>
            <w:shd w:val="clear" w:color="000000" w:fill="95B3D7"/>
            <w:vAlign w:val="center"/>
            <w:hideMark/>
          </w:tcPr>
          <w:p w14:paraId="0F45D18A"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Davčno priznani prihodki</w:t>
            </w:r>
          </w:p>
        </w:tc>
        <w:tc>
          <w:tcPr>
            <w:tcW w:w="1408" w:type="dxa"/>
            <w:tcBorders>
              <w:top w:val="single" w:sz="4" w:space="0" w:color="auto"/>
              <w:left w:val="nil"/>
              <w:bottom w:val="single" w:sz="4" w:space="0" w:color="auto"/>
              <w:right w:val="single" w:sz="4" w:space="0" w:color="auto"/>
            </w:tcBorders>
            <w:shd w:val="clear" w:color="000000" w:fill="95B3D7"/>
            <w:vAlign w:val="center"/>
            <w:hideMark/>
          </w:tcPr>
          <w:p w14:paraId="04846398"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Davčna osnova</w:t>
            </w:r>
          </w:p>
        </w:tc>
        <w:tc>
          <w:tcPr>
            <w:tcW w:w="1409" w:type="dxa"/>
            <w:tcBorders>
              <w:top w:val="single" w:sz="4" w:space="0" w:color="auto"/>
              <w:left w:val="nil"/>
              <w:bottom w:val="single" w:sz="4" w:space="0" w:color="auto"/>
              <w:right w:val="single" w:sz="4" w:space="0" w:color="auto"/>
            </w:tcBorders>
            <w:shd w:val="clear" w:color="000000" w:fill="95B3D7"/>
            <w:vAlign w:val="center"/>
            <w:hideMark/>
          </w:tcPr>
          <w:p w14:paraId="65ED6421" w14:textId="77777777" w:rsidR="00B3784F" w:rsidRPr="00B3784F" w:rsidRDefault="00B3784F" w:rsidP="00B3784F">
            <w:pPr>
              <w:spacing w:after="0" w:line="260" w:lineRule="atLeast"/>
              <w:jc w:val="center"/>
              <w:rPr>
                <w:rFonts w:cs="Arial"/>
                <w:b/>
                <w:bCs/>
                <w:szCs w:val="20"/>
                <w:lang w:eastAsia="sl-SI"/>
              </w:rPr>
            </w:pPr>
            <w:r w:rsidRPr="00B3784F">
              <w:rPr>
                <w:rFonts w:cs="Arial"/>
                <w:b/>
                <w:bCs/>
                <w:szCs w:val="20"/>
                <w:lang w:eastAsia="sl-SI"/>
              </w:rPr>
              <w:t>Davčna obveznost</w:t>
            </w:r>
          </w:p>
        </w:tc>
      </w:tr>
      <w:tr w:rsidR="00E9128C" w:rsidRPr="00E9128C" w14:paraId="2F7BA951"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00385D6D"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brez prihodkov</w:t>
            </w:r>
          </w:p>
        </w:tc>
        <w:tc>
          <w:tcPr>
            <w:tcW w:w="1083" w:type="dxa"/>
            <w:tcBorders>
              <w:top w:val="nil"/>
              <w:left w:val="nil"/>
              <w:bottom w:val="single" w:sz="4" w:space="0" w:color="auto"/>
              <w:right w:val="single" w:sz="4" w:space="0" w:color="auto"/>
            </w:tcBorders>
            <w:shd w:val="clear" w:color="auto" w:fill="auto"/>
            <w:noWrap/>
            <w:vAlign w:val="center"/>
            <w:hideMark/>
          </w:tcPr>
          <w:p w14:paraId="0D64CF61"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4.707</w:t>
            </w:r>
          </w:p>
        </w:tc>
        <w:tc>
          <w:tcPr>
            <w:tcW w:w="1195" w:type="dxa"/>
            <w:tcBorders>
              <w:top w:val="nil"/>
              <w:left w:val="nil"/>
              <w:bottom w:val="single" w:sz="4" w:space="0" w:color="auto"/>
              <w:right w:val="single" w:sz="4" w:space="0" w:color="auto"/>
            </w:tcBorders>
            <w:shd w:val="clear" w:color="auto" w:fill="auto"/>
            <w:noWrap/>
            <w:vAlign w:val="center"/>
            <w:hideMark/>
          </w:tcPr>
          <w:p w14:paraId="6F74793B"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5%</w:t>
            </w:r>
          </w:p>
        </w:tc>
        <w:tc>
          <w:tcPr>
            <w:tcW w:w="1930" w:type="dxa"/>
            <w:tcBorders>
              <w:top w:val="nil"/>
              <w:left w:val="nil"/>
              <w:bottom w:val="single" w:sz="4" w:space="0" w:color="auto"/>
              <w:right w:val="single" w:sz="4" w:space="0" w:color="auto"/>
            </w:tcBorders>
            <w:shd w:val="clear" w:color="auto" w:fill="auto"/>
            <w:noWrap/>
            <w:vAlign w:val="center"/>
            <w:hideMark/>
          </w:tcPr>
          <w:p w14:paraId="625BAF18"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0</w:t>
            </w:r>
          </w:p>
        </w:tc>
        <w:tc>
          <w:tcPr>
            <w:tcW w:w="1408" w:type="dxa"/>
            <w:tcBorders>
              <w:top w:val="nil"/>
              <w:left w:val="nil"/>
              <w:bottom w:val="single" w:sz="4" w:space="0" w:color="auto"/>
              <w:right w:val="single" w:sz="4" w:space="0" w:color="auto"/>
            </w:tcBorders>
            <w:shd w:val="clear" w:color="auto" w:fill="auto"/>
            <w:noWrap/>
            <w:vAlign w:val="center"/>
            <w:hideMark/>
          </w:tcPr>
          <w:p w14:paraId="725915E4"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0,0</w:t>
            </w:r>
          </w:p>
        </w:tc>
        <w:tc>
          <w:tcPr>
            <w:tcW w:w="1409" w:type="dxa"/>
            <w:tcBorders>
              <w:top w:val="nil"/>
              <w:left w:val="nil"/>
              <w:bottom w:val="single" w:sz="4" w:space="0" w:color="auto"/>
              <w:right w:val="single" w:sz="4" w:space="0" w:color="auto"/>
            </w:tcBorders>
            <w:shd w:val="clear" w:color="auto" w:fill="auto"/>
            <w:noWrap/>
            <w:vAlign w:val="center"/>
            <w:hideMark/>
          </w:tcPr>
          <w:p w14:paraId="5EA9B46D"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0,0</w:t>
            </w:r>
          </w:p>
        </w:tc>
      </w:tr>
      <w:tr w:rsidR="00E9128C" w:rsidRPr="00E9128C" w14:paraId="27741324"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361B5B99"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1 do 5.000</w:t>
            </w:r>
          </w:p>
        </w:tc>
        <w:tc>
          <w:tcPr>
            <w:tcW w:w="1083" w:type="dxa"/>
            <w:tcBorders>
              <w:top w:val="nil"/>
              <w:left w:val="nil"/>
              <w:bottom w:val="single" w:sz="4" w:space="0" w:color="auto"/>
              <w:right w:val="single" w:sz="4" w:space="0" w:color="auto"/>
            </w:tcBorders>
            <w:shd w:val="clear" w:color="auto" w:fill="auto"/>
            <w:noWrap/>
            <w:vAlign w:val="center"/>
            <w:hideMark/>
          </w:tcPr>
          <w:p w14:paraId="5295C7E2"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13.386</w:t>
            </w:r>
          </w:p>
        </w:tc>
        <w:tc>
          <w:tcPr>
            <w:tcW w:w="1195" w:type="dxa"/>
            <w:tcBorders>
              <w:top w:val="nil"/>
              <w:left w:val="nil"/>
              <w:bottom w:val="single" w:sz="4" w:space="0" w:color="auto"/>
              <w:right w:val="single" w:sz="4" w:space="0" w:color="auto"/>
            </w:tcBorders>
            <w:shd w:val="clear" w:color="auto" w:fill="auto"/>
            <w:noWrap/>
            <w:vAlign w:val="center"/>
            <w:hideMark/>
          </w:tcPr>
          <w:p w14:paraId="572217FF"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15%</w:t>
            </w:r>
          </w:p>
        </w:tc>
        <w:tc>
          <w:tcPr>
            <w:tcW w:w="1930" w:type="dxa"/>
            <w:tcBorders>
              <w:top w:val="nil"/>
              <w:left w:val="nil"/>
              <w:bottom w:val="single" w:sz="4" w:space="0" w:color="auto"/>
              <w:right w:val="single" w:sz="4" w:space="0" w:color="auto"/>
            </w:tcBorders>
            <w:shd w:val="clear" w:color="auto" w:fill="auto"/>
            <w:noWrap/>
            <w:vAlign w:val="center"/>
            <w:hideMark/>
          </w:tcPr>
          <w:p w14:paraId="51FF64E2"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32</w:t>
            </w:r>
          </w:p>
        </w:tc>
        <w:tc>
          <w:tcPr>
            <w:tcW w:w="1408" w:type="dxa"/>
            <w:tcBorders>
              <w:top w:val="nil"/>
              <w:left w:val="nil"/>
              <w:bottom w:val="single" w:sz="4" w:space="0" w:color="auto"/>
              <w:right w:val="single" w:sz="4" w:space="0" w:color="auto"/>
            </w:tcBorders>
            <w:shd w:val="clear" w:color="auto" w:fill="auto"/>
            <w:noWrap/>
            <w:vAlign w:val="center"/>
            <w:hideMark/>
          </w:tcPr>
          <w:p w14:paraId="4DCE045F"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6,4</w:t>
            </w:r>
          </w:p>
        </w:tc>
        <w:tc>
          <w:tcPr>
            <w:tcW w:w="1409" w:type="dxa"/>
            <w:tcBorders>
              <w:top w:val="nil"/>
              <w:left w:val="nil"/>
              <w:bottom w:val="single" w:sz="4" w:space="0" w:color="auto"/>
              <w:right w:val="single" w:sz="4" w:space="0" w:color="auto"/>
            </w:tcBorders>
            <w:shd w:val="clear" w:color="auto" w:fill="auto"/>
            <w:noWrap/>
            <w:vAlign w:val="center"/>
            <w:hideMark/>
          </w:tcPr>
          <w:p w14:paraId="738A9B48"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1,3</w:t>
            </w:r>
          </w:p>
        </w:tc>
      </w:tr>
      <w:tr w:rsidR="00E9128C" w:rsidRPr="00E9128C" w14:paraId="6FC74F6D"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2B0F1AD4"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5.000 do 10.000</w:t>
            </w:r>
          </w:p>
        </w:tc>
        <w:tc>
          <w:tcPr>
            <w:tcW w:w="1083" w:type="dxa"/>
            <w:tcBorders>
              <w:top w:val="nil"/>
              <w:left w:val="nil"/>
              <w:bottom w:val="single" w:sz="4" w:space="0" w:color="auto"/>
              <w:right w:val="single" w:sz="4" w:space="0" w:color="auto"/>
            </w:tcBorders>
            <w:shd w:val="clear" w:color="auto" w:fill="auto"/>
            <w:noWrap/>
            <w:vAlign w:val="center"/>
            <w:hideMark/>
          </w:tcPr>
          <w:p w14:paraId="7D850D2E"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10.774</w:t>
            </w:r>
          </w:p>
        </w:tc>
        <w:tc>
          <w:tcPr>
            <w:tcW w:w="1195" w:type="dxa"/>
            <w:tcBorders>
              <w:top w:val="nil"/>
              <w:left w:val="nil"/>
              <w:bottom w:val="single" w:sz="4" w:space="0" w:color="auto"/>
              <w:right w:val="single" w:sz="4" w:space="0" w:color="auto"/>
            </w:tcBorders>
            <w:shd w:val="clear" w:color="auto" w:fill="auto"/>
            <w:noWrap/>
            <w:vAlign w:val="center"/>
            <w:hideMark/>
          </w:tcPr>
          <w:p w14:paraId="74579991"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12%</w:t>
            </w:r>
          </w:p>
        </w:tc>
        <w:tc>
          <w:tcPr>
            <w:tcW w:w="1930" w:type="dxa"/>
            <w:tcBorders>
              <w:top w:val="nil"/>
              <w:left w:val="nil"/>
              <w:bottom w:val="single" w:sz="4" w:space="0" w:color="auto"/>
              <w:right w:val="single" w:sz="4" w:space="0" w:color="auto"/>
            </w:tcBorders>
            <w:shd w:val="clear" w:color="auto" w:fill="auto"/>
            <w:noWrap/>
            <w:vAlign w:val="center"/>
            <w:hideMark/>
          </w:tcPr>
          <w:p w14:paraId="5FAB3341"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80</w:t>
            </w:r>
          </w:p>
        </w:tc>
        <w:tc>
          <w:tcPr>
            <w:tcW w:w="1408" w:type="dxa"/>
            <w:tcBorders>
              <w:top w:val="nil"/>
              <w:left w:val="nil"/>
              <w:bottom w:val="single" w:sz="4" w:space="0" w:color="auto"/>
              <w:right w:val="single" w:sz="4" w:space="0" w:color="auto"/>
            </w:tcBorders>
            <w:shd w:val="clear" w:color="auto" w:fill="auto"/>
            <w:noWrap/>
            <w:vAlign w:val="center"/>
            <w:hideMark/>
          </w:tcPr>
          <w:p w14:paraId="45DA2DE3"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16,2</w:t>
            </w:r>
          </w:p>
        </w:tc>
        <w:tc>
          <w:tcPr>
            <w:tcW w:w="1409" w:type="dxa"/>
            <w:tcBorders>
              <w:top w:val="nil"/>
              <w:left w:val="nil"/>
              <w:bottom w:val="single" w:sz="4" w:space="0" w:color="auto"/>
              <w:right w:val="single" w:sz="4" w:space="0" w:color="auto"/>
            </w:tcBorders>
            <w:shd w:val="clear" w:color="auto" w:fill="auto"/>
            <w:noWrap/>
            <w:vAlign w:val="center"/>
            <w:hideMark/>
          </w:tcPr>
          <w:p w14:paraId="5E1F3F2B"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3,2</w:t>
            </w:r>
          </w:p>
        </w:tc>
      </w:tr>
      <w:tr w:rsidR="00E9128C" w:rsidRPr="00E9128C" w14:paraId="315B2311"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4C3EFDA3"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10.000 do 15.000</w:t>
            </w:r>
          </w:p>
        </w:tc>
        <w:tc>
          <w:tcPr>
            <w:tcW w:w="1083" w:type="dxa"/>
            <w:tcBorders>
              <w:top w:val="nil"/>
              <w:left w:val="nil"/>
              <w:bottom w:val="single" w:sz="4" w:space="0" w:color="auto"/>
              <w:right w:val="single" w:sz="4" w:space="0" w:color="auto"/>
            </w:tcBorders>
            <w:shd w:val="clear" w:color="auto" w:fill="auto"/>
            <w:noWrap/>
            <w:vAlign w:val="center"/>
            <w:hideMark/>
          </w:tcPr>
          <w:p w14:paraId="27952591"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10.335</w:t>
            </w:r>
          </w:p>
        </w:tc>
        <w:tc>
          <w:tcPr>
            <w:tcW w:w="1195" w:type="dxa"/>
            <w:tcBorders>
              <w:top w:val="nil"/>
              <w:left w:val="nil"/>
              <w:bottom w:val="single" w:sz="4" w:space="0" w:color="auto"/>
              <w:right w:val="single" w:sz="4" w:space="0" w:color="auto"/>
            </w:tcBorders>
            <w:shd w:val="clear" w:color="auto" w:fill="auto"/>
            <w:noWrap/>
            <w:vAlign w:val="center"/>
            <w:hideMark/>
          </w:tcPr>
          <w:p w14:paraId="1FCEECDE"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11%</w:t>
            </w:r>
          </w:p>
        </w:tc>
        <w:tc>
          <w:tcPr>
            <w:tcW w:w="1930" w:type="dxa"/>
            <w:tcBorders>
              <w:top w:val="nil"/>
              <w:left w:val="nil"/>
              <w:bottom w:val="single" w:sz="4" w:space="0" w:color="auto"/>
              <w:right w:val="single" w:sz="4" w:space="0" w:color="auto"/>
            </w:tcBorders>
            <w:shd w:val="clear" w:color="auto" w:fill="auto"/>
            <w:noWrap/>
            <w:vAlign w:val="center"/>
            <w:hideMark/>
          </w:tcPr>
          <w:p w14:paraId="6061B52C"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128</w:t>
            </w:r>
          </w:p>
        </w:tc>
        <w:tc>
          <w:tcPr>
            <w:tcW w:w="1408" w:type="dxa"/>
            <w:tcBorders>
              <w:top w:val="nil"/>
              <w:left w:val="nil"/>
              <w:bottom w:val="single" w:sz="4" w:space="0" w:color="auto"/>
              <w:right w:val="single" w:sz="4" w:space="0" w:color="auto"/>
            </w:tcBorders>
            <w:shd w:val="clear" w:color="auto" w:fill="auto"/>
            <w:noWrap/>
            <w:vAlign w:val="center"/>
            <w:hideMark/>
          </w:tcPr>
          <w:p w14:paraId="1F703F7D"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27,4</w:t>
            </w:r>
          </w:p>
        </w:tc>
        <w:tc>
          <w:tcPr>
            <w:tcW w:w="1409" w:type="dxa"/>
            <w:tcBorders>
              <w:top w:val="nil"/>
              <w:left w:val="nil"/>
              <w:bottom w:val="single" w:sz="4" w:space="0" w:color="auto"/>
              <w:right w:val="single" w:sz="4" w:space="0" w:color="auto"/>
            </w:tcBorders>
            <w:shd w:val="clear" w:color="auto" w:fill="auto"/>
            <w:noWrap/>
            <w:vAlign w:val="center"/>
            <w:hideMark/>
          </w:tcPr>
          <w:p w14:paraId="30406478"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5,5</w:t>
            </w:r>
          </w:p>
        </w:tc>
      </w:tr>
      <w:tr w:rsidR="00E9128C" w:rsidRPr="00E9128C" w14:paraId="1A7F6A0D"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105D03FE"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15.000 do 20.000</w:t>
            </w:r>
          </w:p>
        </w:tc>
        <w:tc>
          <w:tcPr>
            <w:tcW w:w="1083" w:type="dxa"/>
            <w:tcBorders>
              <w:top w:val="nil"/>
              <w:left w:val="nil"/>
              <w:bottom w:val="single" w:sz="4" w:space="0" w:color="auto"/>
              <w:right w:val="single" w:sz="4" w:space="0" w:color="auto"/>
            </w:tcBorders>
            <w:shd w:val="clear" w:color="auto" w:fill="auto"/>
            <w:noWrap/>
            <w:vAlign w:val="center"/>
            <w:hideMark/>
          </w:tcPr>
          <w:p w14:paraId="5B6EDF52"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7.458</w:t>
            </w:r>
          </w:p>
        </w:tc>
        <w:tc>
          <w:tcPr>
            <w:tcW w:w="1195" w:type="dxa"/>
            <w:tcBorders>
              <w:top w:val="nil"/>
              <w:left w:val="nil"/>
              <w:bottom w:val="single" w:sz="4" w:space="0" w:color="auto"/>
              <w:right w:val="single" w:sz="4" w:space="0" w:color="auto"/>
            </w:tcBorders>
            <w:shd w:val="clear" w:color="auto" w:fill="auto"/>
            <w:noWrap/>
            <w:vAlign w:val="center"/>
            <w:hideMark/>
          </w:tcPr>
          <w:p w14:paraId="477A2188"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8%</w:t>
            </w:r>
          </w:p>
        </w:tc>
        <w:tc>
          <w:tcPr>
            <w:tcW w:w="1930" w:type="dxa"/>
            <w:tcBorders>
              <w:top w:val="nil"/>
              <w:left w:val="nil"/>
              <w:bottom w:val="single" w:sz="4" w:space="0" w:color="auto"/>
              <w:right w:val="single" w:sz="4" w:space="0" w:color="auto"/>
            </w:tcBorders>
            <w:shd w:val="clear" w:color="auto" w:fill="auto"/>
            <w:noWrap/>
            <w:vAlign w:val="center"/>
            <w:hideMark/>
          </w:tcPr>
          <w:p w14:paraId="336548F5"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130</w:t>
            </w:r>
          </w:p>
        </w:tc>
        <w:tc>
          <w:tcPr>
            <w:tcW w:w="1408" w:type="dxa"/>
            <w:tcBorders>
              <w:top w:val="nil"/>
              <w:left w:val="nil"/>
              <w:bottom w:val="single" w:sz="4" w:space="0" w:color="auto"/>
              <w:right w:val="single" w:sz="4" w:space="0" w:color="auto"/>
            </w:tcBorders>
            <w:shd w:val="clear" w:color="auto" w:fill="auto"/>
            <w:noWrap/>
            <w:vAlign w:val="center"/>
            <w:hideMark/>
          </w:tcPr>
          <w:p w14:paraId="4FAC9DB8"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36,4</w:t>
            </w:r>
          </w:p>
        </w:tc>
        <w:tc>
          <w:tcPr>
            <w:tcW w:w="1409" w:type="dxa"/>
            <w:tcBorders>
              <w:top w:val="nil"/>
              <w:left w:val="nil"/>
              <w:bottom w:val="single" w:sz="4" w:space="0" w:color="auto"/>
              <w:right w:val="single" w:sz="4" w:space="0" w:color="auto"/>
            </w:tcBorders>
            <w:shd w:val="clear" w:color="auto" w:fill="auto"/>
            <w:noWrap/>
            <w:vAlign w:val="center"/>
            <w:hideMark/>
          </w:tcPr>
          <w:p w14:paraId="2C2B76F5"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7,3</w:t>
            </w:r>
          </w:p>
        </w:tc>
      </w:tr>
      <w:tr w:rsidR="00E9128C" w:rsidRPr="00E9128C" w14:paraId="19ADB20C"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25142E6B"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20.000 do 30.000</w:t>
            </w:r>
          </w:p>
        </w:tc>
        <w:tc>
          <w:tcPr>
            <w:tcW w:w="1083" w:type="dxa"/>
            <w:tcBorders>
              <w:top w:val="nil"/>
              <w:left w:val="nil"/>
              <w:bottom w:val="single" w:sz="4" w:space="0" w:color="auto"/>
              <w:right w:val="single" w:sz="4" w:space="0" w:color="auto"/>
            </w:tcBorders>
            <w:shd w:val="clear" w:color="auto" w:fill="auto"/>
            <w:noWrap/>
            <w:vAlign w:val="center"/>
            <w:hideMark/>
          </w:tcPr>
          <w:p w14:paraId="12459378"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11.964</w:t>
            </w:r>
          </w:p>
        </w:tc>
        <w:tc>
          <w:tcPr>
            <w:tcW w:w="1195" w:type="dxa"/>
            <w:tcBorders>
              <w:top w:val="nil"/>
              <w:left w:val="nil"/>
              <w:bottom w:val="single" w:sz="4" w:space="0" w:color="auto"/>
              <w:right w:val="single" w:sz="4" w:space="0" w:color="auto"/>
            </w:tcBorders>
            <w:shd w:val="clear" w:color="auto" w:fill="auto"/>
            <w:noWrap/>
            <w:vAlign w:val="center"/>
            <w:hideMark/>
          </w:tcPr>
          <w:p w14:paraId="123718D8"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13%</w:t>
            </w:r>
          </w:p>
        </w:tc>
        <w:tc>
          <w:tcPr>
            <w:tcW w:w="1930" w:type="dxa"/>
            <w:tcBorders>
              <w:top w:val="nil"/>
              <w:left w:val="nil"/>
              <w:bottom w:val="single" w:sz="4" w:space="0" w:color="auto"/>
              <w:right w:val="single" w:sz="4" w:space="0" w:color="auto"/>
            </w:tcBorders>
            <w:shd w:val="clear" w:color="auto" w:fill="auto"/>
            <w:noWrap/>
            <w:vAlign w:val="center"/>
            <w:hideMark/>
          </w:tcPr>
          <w:p w14:paraId="66C0DD6C"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296</w:t>
            </w:r>
          </w:p>
        </w:tc>
        <w:tc>
          <w:tcPr>
            <w:tcW w:w="1408" w:type="dxa"/>
            <w:tcBorders>
              <w:top w:val="nil"/>
              <w:left w:val="nil"/>
              <w:bottom w:val="single" w:sz="4" w:space="0" w:color="auto"/>
              <w:right w:val="single" w:sz="4" w:space="0" w:color="auto"/>
            </w:tcBorders>
            <w:shd w:val="clear" w:color="auto" w:fill="auto"/>
            <w:noWrap/>
            <w:vAlign w:val="center"/>
            <w:hideMark/>
          </w:tcPr>
          <w:p w14:paraId="0FFB78F7"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92,3</w:t>
            </w:r>
          </w:p>
        </w:tc>
        <w:tc>
          <w:tcPr>
            <w:tcW w:w="1409" w:type="dxa"/>
            <w:tcBorders>
              <w:top w:val="nil"/>
              <w:left w:val="nil"/>
              <w:bottom w:val="single" w:sz="4" w:space="0" w:color="auto"/>
              <w:right w:val="single" w:sz="4" w:space="0" w:color="auto"/>
            </w:tcBorders>
            <w:shd w:val="clear" w:color="auto" w:fill="auto"/>
            <w:noWrap/>
            <w:vAlign w:val="center"/>
            <w:hideMark/>
          </w:tcPr>
          <w:p w14:paraId="3D5C5174"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18,4</w:t>
            </w:r>
          </w:p>
        </w:tc>
      </w:tr>
      <w:tr w:rsidR="00E9128C" w:rsidRPr="00E9128C" w14:paraId="373D3AD8"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37944735"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30.000 do 40.000</w:t>
            </w:r>
          </w:p>
        </w:tc>
        <w:tc>
          <w:tcPr>
            <w:tcW w:w="1083" w:type="dxa"/>
            <w:tcBorders>
              <w:top w:val="nil"/>
              <w:left w:val="nil"/>
              <w:bottom w:val="single" w:sz="4" w:space="0" w:color="auto"/>
              <w:right w:val="single" w:sz="4" w:space="0" w:color="auto"/>
            </w:tcBorders>
            <w:shd w:val="clear" w:color="auto" w:fill="auto"/>
            <w:noWrap/>
            <w:vAlign w:val="center"/>
            <w:hideMark/>
          </w:tcPr>
          <w:p w14:paraId="4E7C95B8"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9.093</w:t>
            </w:r>
          </w:p>
        </w:tc>
        <w:tc>
          <w:tcPr>
            <w:tcW w:w="1195" w:type="dxa"/>
            <w:tcBorders>
              <w:top w:val="nil"/>
              <w:left w:val="nil"/>
              <w:bottom w:val="single" w:sz="4" w:space="0" w:color="auto"/>
              <w:right w:val="single" w:sz="4" w:space="0" w:color="auto"/>
            </w:tcBorders>
            <w:shd w:val="clear" w:color="auto" w:fill="auto"/>
            <w:noWrap/>
            <w:vAlign w:val="center"/>
            <w:hideMark/>
          </w:tcPr>
          <w:p w14:paraId="1C88890A"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10%</w:t>
            </w:r>
          </w:p>
        </w:tc>
        <w:tc>
          <w:tcPr>
            <w:tcW w:w="1930" w:type="dxa"/>
            <w:tcBorders>
              <w:top w:val="nil"/>
              <w:left w:val="nil"/>
              <w:bottom w:val="single" w:sz="4" w:space="0" w:color="auto"/>
              <w:right w:val="single" w:sz="4" w:space="0" w:color="auto"/>
            </w:tcBorders>
            <w:shd w:val="clear" w:color="auto" w:fill="auto"/>
            <w:noWrap/>
            <w:vAlign w:val="center"/>
            <w:hideMark/>
          </w:tcPr>
          <w:p w14:paraId="3CFE0C44"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317</w:t>
            </w:r>
          </w:p>
        </w:tc>
        <w:tc>
          <w:tcPr>
            <w:tcW w:w="1408" w:type="dxa"/>
            <w:tcBorders>
              <w:top w:val="nil"/>
              <w:left w:val="nil"/>
              <w:bottom w:val="single" w:sz="4" w:space="0" w:color="auto"/>
              <w:right w:val="single" w:sz="4" w:space="0" w:color="auto"/>
            </w:tcBorders>
            <w:shd w:val="clear" w:color="auto" w:fill="auto"/>
            <w:noWrap/>
            <w:vAlign w:val="center"/>
            <w:hideMark/>
          </w:tcPr>
          <w:p w14:paraId="7929590D"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99,9</w:t>
            </w:r>
          </w:p>
        </w:tc>
        <w:tc>
          <w:tcPr>
            <w:tcW w:w="1409" w:type="dxa"/>
            <w:tcBorders>
              <w:top w:val="nil"/>
              <w:left w:val="nil"/>
              <w:bottom w:val="single" w:sz="4" w:space="0" w:color="auto"/>
              <w:right w:val="single" w:sz="4" w:space="0" w:color="auto"/>
            </w:tcBorders>
            <w:shd w:val="clear" w:color="auto" w:fill="auto"/>
            <w:noWrap/>
            <w:vAlign w:val="center"/>
            <w:hideMark/>
          </w:tcPr>
          <w:p w14:paraId="424A4B72"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20,0</w:t>
            </w:r>
          </w:p>
        </w:tc>
      </w:tr>
      <w:tr w:rsidR="00E9128C" w:rsidRPr="00E9128C" w14:paraId="0F0482D3"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43072F8F"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40.000 do 50.000</w:t>
            </w:r>
          </w:p>
        </w:tc>
        <w:tc>
          <w:tcPr>
            <w:tcW w:w="1083" w:type="dxa"/>
            <w:tcBorders>
              <w:top w:val="nil"/>
              <w:left w:val="nil"/>
              <w:bottom w:val="single" w:sz="4" w:space="0" w:color="auto"/>
              <w:right w:val="single" w:sz="4" w:space="0" w:color="auto"/>
            </w:tcBorders>
            <w:shd w:val="clear" w:color="auto" w:fill="auto"/>
            <w:noWrap/>
            <w:vAlign w:val="center"/>
            <w:hideMark/>
          </w:tcPr>
          <w:p w14:paraId="05B8588B"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11.748</w:t>
            </w:r>
          </w:p>
        </w:tc>
        <w:tc>
          <w:tcPr>
            <w:tcW w:w="1195" w:type="dxa"/>
            <w:tcBorders>
              <w:top w:val="nil"/>
              <w:left w:val="nil"/>
              <w:bottom w:val="single" w:sz="4" w:space="0" w:color="auto"/>
              <w:right w:val="single" w:sz="4" w:space="0" w:color="auto"/>
            </w:tcBorders>
            <w:shd w:val="clear" w:color="auto" w:fill="auto"/>
            <w:noWrap/>
            <w:vAlign w:val="center"/>
            <w:hideMark/>
          </w:tcPr>
          <w:p w14:paraId="0C298CF0"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13%</w:t>
            </w:r>
          </w:p>
        </w:tc>
        <w:tc>
          <w:tcPr>
            <w:tcW w:w="1930" w:type="dxa"/>
            <w:tcBorders>
              <w:top w:val="nil"/>
              <w:left w:val="nil"/>
              <w:bottom w:val="single" w:sz="4" w:space="0" w:color="auto"/>
              <w:right w:val="single" w:sz="4" w:space="0" w:color="auto"/>
            </w:tcBorders>
            <w:shd w:val="clear" w:color="auto" w:fill="auto"/>
            <w:noWrap/>
            <w:vAlign w:val="center"/>
            <w:hideMark/>
          </w:tcPr>
          <w:p w14:paraId="31108EC2"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542</w:t>
            </w:r>
          </w:p>
        </w:tc>
        <w:tc>
          <w:tcPr>
            <w:tcW w:w="1408" w:type="dxa"/>
            <w:tcBorders>
              <w:top w:val="nil"/>
              <w:left w:val="nil"/>
              <w:bottom w:val="single" w:sz="4" w:space="0" w:color="auto"/>
              <w:right w:val="single" w:sz="4" w:space="0" w:color="auto"/>
            </w:tcBorders>
            <w:shd w:val="clear" w:color="auto" w:fill="auto"/>
            <w:noWrap/>
            <w:vAlign w:val="center"/>
            <w:hideMark/>
          </w:tcPr>
          <w:p w14:paraId="63416B76"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176,0</w:t>
            </w:r>
          </w:p>
        </w:tc>
        <w:tc>
          <w:tcPr>
            <w:tcW w:w="1409" w:type="dxa"/>
            <w:tcBorders>
              <w:top w:val="nil"/>
              <w:left w:val="nil"/>
              <w:bottom w:val="single" w:sz="4" w:space="0" w:color="auto"/>
              <w:right w:val="single" w:sz="4" w:space="0" w:color="auto"/>
            </w:tcBorders>
            <w:shd w:val="clear" w:color="auto" w:fill="auto"/>
            <w:noWrap/>
            <w:vAlign w:val="center"/>
            <w:hideMark/>
          </w:tcPr>
          <w:p w14:paraId="5FC4768A"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35,2</w:t>
            </w:r>
          </w:p>
        </w:tc>
      </w:tr>
      <w:tr w:rsidR="00E9128C" w:rsidRPr="00E9128C" w14:paraId="30D7713A"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3B1B8157"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50.000 do 60.000</w:t>
            </w:r>
          </w:p>
        </w:tc>
        <w:tc>
          <w:tcPr>
            <w:tcW w:w="1083" w:type="dxa"/>
            <w:tcBorders>
              <w:top w:val="nil"/>
              <w:left w:val="nil"/>
              <w:bottom w:val="single" w:sz="4" w:space="0" w:color="auto"/>
              <w:right w:val="single" w:sz="4" w:space="0" w:color="auto"/>
            </w:tcBorders>
            <w:shd w:val="clear" w:color="auto" w:fill="auto"/>
            <w:noWrap/>
            <w:vAlign w:val="center"/>
            <w:hideMark/>
          </w:tcPr>
          <w:p w14:paraId="293DB249"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2.864</w:t>
            </w:r>
          </w:p>
        </w:tc>
        <w:tc>
          <w:tcPr>
            <w:tcW w:w="1195" w:type="dxa"/>
            <w:tcBorders>
              <w:top w:val="nil"/>
              <w:left w:val="nil"/>
              <w:bottom w:val="single" w:sz="4" w:space="0" w:color="auto"/>
              <w:right w:val="single" w:sz="4" w:space="0" w:color="auto"/>
            </w:tcBorders>
            <w:shd w:val="clear" w:color="auto" w:fill="auto"/>
            <w:noWrap/>
            <w:vAlign w:val="center"/>
            <w:hideMark/>
          </w:tcPr>
          <w:p w14:paraId="3EED5F87"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3%</w:t>
            </w:r>
          </w:p>
        </w:tc>
        <w:tc>
          <w:tcPr>
            <w:tcW w:w="1930" w:type="dxa"/>
            <w:tcBorders>
              <w:top w:val="nil"/>
              <w:left w:val="nil"/>
              <w:bottom w:val="single" w:sz="4" w:space="0" w:color="auto"/>
              <w:right w:val="single" w:sz="4" w:space="0" w:color="auto"/>
            </w:tcBorders>
            <w:shd w:val="clear" w:color="auto" w:fill="auto"/>
            <w:noWrap/>
            <w:vAlign w:val="center"/>
            <w:hideMark/>
          </w:tcPr>
          <w:p w14:paraId="3376A30C"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157</w:t>
            </w:r>
          </w:p>
        </w:tc>
        <w:tc>
          <w:tcPr>
            <w:tcW w:w="1408" w:type="dxa"/>
            <w:tcBorders>
              <w:top w:val="nil"/>
              <w:left w:val="nil"/>
              <w:bottom w:val="single" w:sz="4" w:space="0" w:color="auto"/>
              <w:right w:val="single" w:sz="4" w:space="0" w:color="auto"/>
            </w:tcBorders>
            <w:shd w:val="clear" w:color="auto" w:fill="auto"/>
            <w:noWrap/>
            <w:vAlign w:val="center"/>
            <w:hideMark/>
          </w:tcPr>
          <w:p w14:paraId="6959D780"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48,2</w:t>
            </w:r>
          </w:p>
        </w:tc>
        <w:tc>
          <w:tcPr>
            <w:tcW w:w="1409" w:type="dxa"/>
            <w:tcBorders>
              <w:top w:val="nil"/>
              <w:left w:val="nil"/>
              <w:bottom w:val="single" w:sz="4" w:space="0" w:color="auto"/>
              <w:right w:val="single" w:sz="4" w:space="0" w:color="auto"/>
            </w:tcBorders>
            <w:shd w:val="clear" w:color="auto" w:fill="auto"/>
            <w:noWrap/>
            <w:vAlign w:val="center"/>
            <w:hideMark/>
          </w:tcPr>
          <w:p w14:paraId="36AD4907"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9,6</w:t>
            </w:r>
          </w:p>
        </w:tc>
      </w:tr>
      <w:tr w:rsidR="00E9128C" w:rsidRPr="00E9128C" w14:paraId="1785EA73" w14:textId="77777777" w:rsidTr="00E7465F">
        <w:trPr>
          <w:trHeight w:val="286"/>
        </w:trPr>
        <w:tc>
          <w:tcPr>
            <w:tcW w:w="2620" w:type="dxa"/>
            <w:tcBorders>
              <w:top w:val="nil"/>
              <w:left w:val="single" w:sz="4" w:space="0" w:color="auto"/>
              <w:bottom w:val="single" w:sz="4" w:space="0" w:color="auto"/>
              <w:right w:val="single" w:sz="4" w:space="0" w:color="auto"/>
            </w:tcBorders>
            <w:shd w:val="clear" w:color="000000" w:fill="DCE6F1"/>
            <w:vAlign w:val="center"/>
            <w:hideMark/>
          </w:tcPr>
          <w:p w14:paraId="541F962F"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od 60.000 do 100.000</w:t>
            </w:r>
          </w:p>
        </w:tc>
        <w:tc>
          <w:tcPr>
            <w:tcW w:w="1083" w:type="dxa"/>
            <w:tcBorders>
              <w:top w:val="nil"/>
              <w:left w:val="nil"/>
              <w:bottom w:val="single" w:sz="4" w:space="0" w:color="auto"/>
              <w:right w:val="single" w:sz="4" w:space="0" w:color="auto"/>
            </w:tcBorders>
            <w:shd w:val="clear" w:color="auto" w:fill="auto"/>
            <w:noWrap/>
            <w:vAlign w:val="center"/>
            <w:hideMark/>
          </w:tcPr>
          <w:p w14:paraId="5AD17A4A"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5.853</w:t>
            </w:r>
          </w:p>
        </w:tc>
        <w:tc>
          <w:tcPr>
            <w:tcW w:w="1195" w:type="dxa"/>
            <w:tcBorders>
              <w:top w:val="nil"/>
              <w:left w:val="nil"/>
              <w:bottom w:val="single" w:sz="4" w:space="0" w:color="auto"/>
              <w:right w:val="single" w:sz="4" w:space="0" w:color="auto"/>
            </w:tcBorders>
            <w:shd w:val="clear" w:color="auto" w:fill="auto"/>
            <w:noWrap/>
            <w:vAlign w:val="center"/>
            <w:hideMark/>
          </w:tcPr>
          <w:p w14:paraId="314D5455"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6%</w:t>
            </w:r>
          </w:p>
        </w:tc>
        <w:tc>
          <w:tcPr>
            <w:tcW w:w="1930" w:type="dxa"/>
            <w:tcBorders>
              <w:top w:val="nil"/>
              <w:left w:val="nil"/>
              <w:bottom w:val="single" w:sz="4" w:space="0" w:color="auto"/>
              <w:right w:val="single" w:sz="4" w:space="0" w:color="auto"/>
            </w:tcBorders>
            <w:shd w:val="clear" w:color="auto" w:fill="auto"/>
            <w:noWrap/>
            <w:vAlign w:val="center"/>
            <w:hideMark/>
          </w:tcPr>
          <w:p w14:paraId="7EA9067C"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454</w:t>
            </w:r>
          </w:p>
        </w:tc>
        <w:tc>
          <w:tcPr>
            <w:tcW w:w="1408" w:type="dxa"/>
            <w:tcBorders>
              <w:top w:val="nil"/>
              <w:left w:val="nil"/>
              <w:bottom w:val="single" w:sz="4" w:space="0" w:color="auto"/>
              <w:right w:val="single" w:sz="4" w:space="0" w:color="auto"/>
            </w:tcBorders>
            <w:shd w:val="clear" w:color="auto" w:fill="auto"/>
            <w:noWrap/>
            <w:vAlign w:val="center"/>
            <w:hideMark/>
          </w:tcPr>
          <w:p w14:paraId="356AB96F"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176,3</w:t>
            </w:r>
          </w:p>
        </w:tc>
        <w:tc>
          <w:tcPr>
            <w:tcW w:w="1409" w:type="dxa"/>
            <w:tcBorders>
              <w:top w:val="nil"/>
              <w:left w:val="nil"/>
              <w:bottom w:val="single" w:sz="4" w:space="0" w:color="auto"/>
              <w:right w:val="single" w:sz="4" w:space="0" w:color="auto"/>
            </w:tcBorders>
            <w:shd w:val="clear" w:color="auto" w:fill="auto"/>
            <w:noWrap/>
            <w:vAlign w:val="center"/>
            <w:hideMark/>
          </w:tcPr>
          <w:p w14:paraId="5A58B0DD"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35,2</w:t>
            </w:r>
          </w:p>
        </w:tc>
      </w:tr>
      <w:tr w:rsidR="00E9128C" w:rsidRPr="00E9128C" w14:paraId="617408A5" w14:textId="77777777" w:rsidTr="00E7465F">
        <w:trPr>
          <w:trHeight w:val="300"/>
        </w:trPr>
        <w:tc>
          <w:tcPr>
            <w:tcW w:w="2620" w:type="dxa"/>
            <w:tcBorders>
              <w:top w:val="nil"/>
              <w:left w:val="single" w:sz="4" w:space="0" w:color="auto"/>
              <w:bottom w:val="nil"/>
              <w:right w:val="single" w:sz="4" w:space="0" w:color="auto"/>
            </w:tcBorders>
            <w:shd w:val="clear" w:color="000000" w:fill="DCE6F1"/>
            <w:vAlign w:val="center"/>
            <w:hideMark/>
          </w:tcPr>
          <w:p w14:paraId="0780014B" w14:textId="77777777" w:rsidR="00B3784F" w:rsidRPr="00B3784F" w:rsidRDefault="00B3784F" w:rsidP="00B3784F">
            <w:pPr>
              <w:spacing w:after="0" w:line="260" w:lineRule="atLeast"/>
              <w:ind w:firstLineChars="100" w:firstLine="200"/>
              <w:rPr>
                <w:rFonts w:cs="Arial"/>
                <w:szCs w:val="20"/>
                <w:lang w:eastAsia="sl-SI"/>
              </w:rPr>
            </w:pPr>
            <w:r w:rsidRPr="00B3784F">
              <w:rPr>
                <w:rFonts w:cs="Arial"/>
                <w:szCs w:val="20"/>
                <w:lang w:eastAsia="sl-SI"/>
              </w:rPr>
              <w:t>nad 100.000</w:t>
            </w:r>
          </w:p>
        </w:tc>
        <w:tc>
          <w:tcPr>
            <w:tcW w:w="1083" w:type="dxa"/>
            <w:tcBorders>
              <w:top w:val="nil"/>
              <w:left w:val="nil"/>
              <w:bottom w:val="nil"/>
              <w:right w:val="single" w:sz="4" w:space="0" w:color="auto"/>
            </w:tcBorders>
            <w:shd w:val="clear" w:color="auto" w:fill="auto"/>
            <w:noWrap/>
            <w:vAlign w:val="center"/>
            <w:hideMark/>
          </w:tcPr>
          <w:p w14:paraId="54BE409C"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2.158</w:t>
            </w:r>
          </w:p>
        </w:tc>
        <w:tc>
          <w:tcPr>
            <w:tcW w:w="1195" w:type="dxa"/>
            <w:tcBorders>
              <w:top w:val="nil"/>
              <w:left w:val="nil"/>
              <w:bottom w:val="nil"/>
              <w:right w:val="single" w:sz="4" w:space="0" w:color="auto"/>
            </w:tcBorders>
            <w:shd w:val="clear" w:color="auto" w:fill="auto"/>
            <w:noWrap/>
            <w:vAlign w:val="center"/>
            <w:hideMark/>
          </w:tcPr>
          <w:p w14:paraId="21C17A83" w14:textId="77777777" w:rsidR="00B3784F" w:rsidRPr="00B3784F" w:rsidRDefault="00B3784F" w:rsidP="00B3784F">
            <w:pPr>
              <w:spacing w:after="0" w:line="260" w:lineRule="atLeast"/>
              <w:ind w:firstLineChars="100" w:firstLine="200"/>
              <w:jc w:val="right"/>
              <w:rPr>
                <w:rFonts w:cs="Arial"/>
                <w:i/>
                <w:iCs/>
                <w:szCs w:val="20"/>
                <w:lang w:eastAsia="sl-SI"/>
              </w:rPr>
            </w:pPr>
            <w:r w:rsidRPr="00B3784F">
              <w:rPr>
                <w:rFonts w:cs="Arial"/>
                <w:i/>
                <w:iCs/>
                <w:szCs w:val="20"/>
                <w:lang w:eastAsia="sl-SI"/>
              </w:rPr>
              <w:t>2%</w:t>
            </w:r>
          </w:p>
        </w:tc>
        <w:tc>
          <w:tcPr>
            <w:tcW w:w="1930" w:type="dxa"/>
            <w:tcBorders>
              <w:top w:val="nil"/>
              <w:left w:val="nil"/>
              <w:bottom w:val="nil"/>
              <w:right w:val="single" w:sz="4" w:space="0" w:color="auto"/>
            </w:tcBorders>
            <w:shd w:val="clear" w:color="auto" w:fill="auto"/>
            <w:noWrap/>
            <w:vAlign w:val="center"/>
            <w:hideMark/>
          </w:tcPr>
          <w:p w14:paraId="1685C544"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300</w:t>
            </w:r>
          </w:p>
        </w:tc>
        <w:tc>
          <w:tcPr>
            <w:tcW w:w="1408" w:type="dxa"/>
            <w:tcBorders>
              <w:top w:val="nil"/>
              <w:left w:val="nil"/>
              <w:bottom w:val="nil"/>
              <w:right w:val="single" w:sz="4" w:space="0" w:color="auto"/>
            </w:tcBorders>
            <w:shd w:val="clear" w:color="auto" w:fill="auto"/>
            <w:noWrap/>
            <w:vAlign w:val="center"/>
            <w:hideMark/>
          </w:tcPr>
          <w:p w14:paraId="24ED74BB"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182,0</w:t>
            </w:r>
          </w:p>
        </w:tc>
        <w:tc>
          <w:tcPr>
            <w:tcW w:w="1409" w:type="dxa"/>
            <w:tcBorders>
              <w:top w:val="nil"/>
              <w:left w:val="nil"/>
              <w:bottom w:val="nil"/>
              <w:right w:val="single" w:sz="4" w:space="0" w:color="auto"/>
            </w:tcBorders>
            <w:shd w:val="clear" w:color="auto" w:fill="auto"/>
            <w:noWrap/>
            <w:vAlign w:val="center"/>
            <w:hideMark/>
          </w:tcPr>
          <w:p w14:paraId="44A3F829" w14:textId="77777777" w:rsidR="00B3784F" w:rsidRPr="00B3784F" w:rsidRDefault="00B3784F" w:rsidP="00B3784F">
            <w:pPr>
              <w:spacing w:after="0" w:line="260" w:lineRule="atLeast"/>
              <w:ind w:firstLineChars="100" w:firstLine="200"/>
              <w:jc w:val="right"/>
              <w:rPr>
                <w:rFonts w:cs="Arial"/>
                <w:szCs w:val="20"/>
                <w:lang w:eastAsia="sl-SI"/>
              </w:rPr>
            </w:pPr>
            <w:r w:rsidRPr="00B3784F">
              <w:rPr>
                <w:rFonts w:cs="Arial"/>
                <w:szCs w:val="20"/>
                <w:lang w:eastAsia="sl-SI"/>
              </w:rPr>
              <w:t>36,3</w:t>
            </w:r>
          </w:p>
        </w:tc>
      </w:tr>
      <w:tr w:rsidR="00E9128C" w:rsidRPr="00E9128C" w14:paraId="05F7114A" w14:textId="77777777" w:rsidTr="00E7465F">
        <w:trPr>
          <w:trHeight w:val="300"/>
        </w:trPr>
        <w:tc>
          <w:tcPr>
            <w:tcW w:w="2620" w:type="dxa"/>
            <w:tcBorders>
              <w:top w:val="double" w:sz="6" w:space="0" w:color="auto"/>
              <w:left w:val="single" w:sz="4" w:space="0" w:color="auto"/>
              <w:bottom w:val="single" w:sz="4" w:space="0" w:color="auto"/>
              <w:right w:val="single" w:sz="4" w:space="0" w:color="auto"/>
            </w:tcBorders>
            <w:shd w:val="clear" w:color="000000" w:fill="DCE6F1"/>
            <w:vAlign w:val="center"/>
            <w:hideMark/>
          </w:tcPr>
          <w:p w14:paraId="3B7C9448" w14:textId="77777777" w:rsidR="00B3784F" w:rsidRPr="00B3784F" w:rsidRDefault="00B3784F" w:rsidP="00B3784F">
            <w:pPr>
              <w:spacing w:after="0" w:line="260" w:lineRule="atLeast"/>
              <w:ind w:firstLineChars="100" w:firstLine="201"/>
              <w:rPr>
                <w:rFonts w:cs="Arial"/>
                <w:b/>
                <w:bCs/>
                <w:szCs w:val="20"/>
                <w:lang w:eastAsia="sl-SI"/>
              </w:rPr>
            </w:pPr>
            <w:r w:rsidRPr="00B3784F">
              <w:rPr>
                <w:rFonts w:cs="Arial"/>
                <w:b/>
                <w:bCs/>
                <w:szCs w:val="20"/>
                <w:lang w:eastAsia="sl-SI"/>
              </w:rPr>
              <w:t>Skupaj</w:t>
            </w:r>
          </w:p>
        </w:tc>
        <w:tc>
          <w:tcPr>
            <w:tcW w:w="1083" w:type="dxa"/>
            <w:tcBorders>
              <w:top w:val="double" w:sz="6" w:space="0" w:color="auto"/>
              <w:left w:val="nil"/>
              <w:bottom w:val="single" w:sz="4" w:space="0" w:color="auto"/>
              <w:right w:val="single" w:sz="4" w:space="0" w:color="auto"/>
            </w:tcBorders>
            <w:shd w:val="clear" w:color="000000" w:fill="DCE6F1"/>
            <w:noWrap/>
            <w:vAlign w:val="center"/>
            <w:hideMark/>
          </w:tcPr>
          <w:p w14:paraId="35516F0A" w14:textId="77777777" w:rsidR="00B3784F" w:rsidRPr="00B3784F" w:rsidRDefault="00B3784F" w:rsidP="00B3784F">
            <w:pPr>
              <w:spacing w:after="0" w:line="260" w:lineRule="atLeast"/>
              <w:ind w:firstLineChars="100" w:firstLine="201"/>
              <w:jc w:val="right"/>
              <w:rPr>
                <w:rFonts w:cs="Arial"/>
                <w:b/>
                <w:bCs/>
                <w:szCs w:val="20"/>
                <w:lang w:eastAsia="sl-SI"/>
              </w:rPr>
            </w:pPr>
            <w:r w:rsidRPr="00B3784F">
              <w:rPr>
                <w:rFonts w:cs="Arial"/>
                <w:b/>
                <w:bCs/>
                <w:szCs w:val="20"/>
                <w:lang w:eastAsia="sl-SI"/>
              </w:rPr>
              <w:t>90.340</w:t>
            </w:r>
          </w:p>
        </w:tc>
        <w:tc>
          <w:tcPr>
            <w:tcW w:w="1195" w:type="dxa"/>
            <w:tcBorders>
              <w:top w:val="double" w:sz="6" w:space="0" w:color="auto"/>
              <w:left w:val="nil"/>
              <w:bottom w:val="single" w:sz="4" w:space="0" w:color="auto"/>
              <w:right w:val="single" w:sz="4" w:space="0" w:color="auto"/>
            </w:tcBorders>
            <w:shd w:val="clear" w:color="000000" w:fill="DCE6F1"/>
            <w:noWrap/>
            <w:vAlign w:val="center"/>
            <w:hideMark/>
          </w:tcPr>
          <w:p w14:paraId="101DA728" w14:textId="77777777" w:rsidR="00B3784F" w:rsidRPr="00B3784F" w:rsidRDefault="00B3784F" w:rsidP="00B3784F">
            <w:pPr>
              <w:spacing w:after="0" w:line="260" w:lineRule="atLeast"/>
              <w:ind w:firstLineChars="100" w:firstLine="201"/>
              <w:jc w:val="right"/>
              <w:rPr>
                <w:rFonts w:cs="Arial"/>
                <w:b/>
                <w:bCs/>
                <w:i/>
                <w:iCs/>
                <w:szCs w:val="20"/>
                <w:lang w:eastAsia="sl-SI"/>
              </w:rPr>
            </w:pPr>
            <w:r w:rsidRPr="00B3784F">
              <w:rPr>
                <w:rFonts w:cs="Arial"/>
                <w:b/>
                <w:bCs/>
                <w:i/>
                <w:iCs/>
                <w:szCs w:val="20"/>
                <w:lang w:eastAsia="sl-SI"/>
              </w:rPr>
              <w:t>100%</w:t>
            </w:r>
          </w:p>
        </w:tc>
        <w:tc>
          <w:tcPr>
            <w:tcW w:w="1930" w:type="dxa"/>
            <w:tcBorders>
              <w:top w:val="double" w:sz="6" w:space="0" w:color="auto"/>
              <w:left w:val="nil"/>
              <w:bottom w:val="single" w:sz="4" w:space="0" w:color="auto"/>
              <w:right w:val="single" w:sz="4" w:space="0" w:color="auto"/>
            </w:tcBorders>
            <w:shd w:val="clear" w:color="000000" w:fill="DCE6F1"/>
            <w:noWrap/>
            <w:vAlign w:val="center"/>
            <w:hideMark/>
          </w:tcPr>
          <w:p w14:paraId="5CA258CF" w14:textId="77777777" w:rsidR="00B3784F" w:rsidRPr="00B3784F" w:rsidRDefault="00B3784F" w:rsidP="00B3784F">
            <w:pPr>
              <w:spacing w:after="0" w:line="260" w:lineRule="atLeast"/>
              <w:ind w:firstLineChars="100" w:firstLine="201"/>
              <w:jc w:val="right"/>
              <w:rPr>
                <w:rFonts w:cs="Arial"/>
                <w:b/>
                <w:bCs/>
                <w:szCs w:val="20"/>
                <w:lang w:eastAsia="sl-SI"/>
              </w:rPr>
            </w:pPr>
            <w:r w:rsidRPr="00B3784F">
              <w:rPr>
                <w:rFonts w:cs="Arial"/>
                <w:b/>
                <w:bCs/>
                <w:szCs w:val="20"/>
                <w:lang w:eastAsia="sl-SI"/>
              </w:rPr>
              <w:t>2.435</w:t>
            </w:r>
          </w:p>
        </w:tc>
        <w:tc>
          <w:tcPr>
            <w:tcW w:w="1408" w:type="dxa"/>
            <w:tcBorders>
              <w:top w:val="double" w:sz="6" w:space="0" w:color="auto"/>
              <w:left w:val="nil"/>
              <w:bottom w:val="single" w:sz="4" w:space="0" w:color="auto"/>
              <w:right w:val="single" w:sz="4" w:space="0" w:color="auto"/>
            </w:tcBorders>
            <w:shd w:val="clear" w:color="000000" w:fill="DCE6F1"/>
            <w:noWrap/>
            <w:vAlign w:val="center"/>
            <w:hideMark/>
          </w:tcPr>
          <w:p w14:paraId="5B35EEA4" w14:textId="77777777" w:rsidR="00B3784F" w:rsidRPr="00B3784F" w:rsidRDefault="00B3784F" w:rsidP="00B3784F">
            <w:pPr>
              <w:spacing w:after="0" w:line="260" w:lineRule="atLeast"/>
              <w:ind w:firstLineChars="100" w:firstLine="201"/>
              <w:jc w:val="right"/>
              <w:rPr>
                <w:rFonts w:cs="Arial"/>
                <w:b/>
                <w:bCs/>
                <w:szCs w:val="20"/>
                <w:lang w:eastAsia="sl-SI"/>
              </w:rPr>
            </w:pPr>
            <w:r w:rsidRPr="00B3784F">
              <w:rPr>
                <w:rFonts w:cs="Arial"/>
                <w:b/>
                <w:bCs/>
                <w:szCs w:val="20"/>
                <w:lang w:eastAsia="sl-SI"/>
              </w:rPr>
              <w:t>859,7</w:t>
            </w:r>
          </w:p>
        </w:tc>
        <w:tc>
          <w:tcPr>
            <w:tcW w:w="1409" w:type="dxa"/>
            <w:tcBorders>
              <w:top w:val="double" w:sz="6" w:space="0" w:color="auto"/>
              <w:left w:val="nil"/>
              <w:bottom w:val="single" w:sz="4" w:space="0" w:color="auto"/>
              <w:right w:val="single" w:sz="4" w:space="0" w:color="auto"/>
            </w:tcBorders>
            <w:shd w:val="clear" w:color="000000" w:fill="DCE6F1"/>
            <w:noWrap/>
            <w:vAlign w:val="center"/>
            <w:hideMark/>
          </w:tcPr>
          <w:p w14:paraId="3F10E391" w14:textId="77777777" w:rsidR="00B3784F" w:rsidRPr="00B3784F" w:rsidRDefault="00B3784F" w:rsidP="00B3784F">
            <w:pPr>
              <w:spacing w:after="0" w:line="260" w:lineRule="atLeast"/>
              <w:ind w:firstLineChars="100" w:firstLine="201"/>
              <w:jc w:val="right"/>
              <w:rPr>
                <w:rFonts w:cs="Arial"/>
                <w:b/>
                <w:bCs/>
                <w:szCs w:val="20"/>
                <w:lang w:eastAsia="sl-SI"/>
              </w:rPr>
            </w:pPr>
            <w:r w:rsidRPr="00B3784F">
              <w:rPr>
                <w:rFonts w:cs="Arial"/>
                <w:b/>
                <w:bCs/>
                <w:szCs w:val="20"/>
                <w:lang w:eastAsia="sl-SI"/>
              </w:rPr>
              <w:t>171,9</w:t>
            </w:r>
          </w:p>
        </w:tc>
      </w:tr>
    </w:tbl>
    <w:p w14:paraId="725EEEAA"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Finančna uprava RS</w:t>
      </w:r>
    </w:p>
    <w:p w14:paraId="3EF6E519" w14:textId="77777777" w:rsidR="00B3784F" w:rsidRPr="00B3784F" w:rsidRDefault="00B3784F" w:rsidP="00B3784F">
      <w:pPr>
        <w:spacing w:after="0" w:line="260" w:lineRule="atLeast"/>
        <w:contextualSpacing/>
        <w:jc w:val="both"/>
        <w:rPr>
          <w:rFonts w:cs="Arial"/>
          <w:szCs w:val="20"/>
        </w:rPr>
      </w:pPr>
    </w:p>
    <w:p w14:paraId="20BFB4F2" w14:textId="77777777" w:rsidR="00B3784F" w:rsidRPr="00B3784F" w:rsidRDefault="00B3784F" w:rsidP="00B3784F">
      <w:pPr>
        <w:spacing w:after="0" w:line="260" w:lineRule="atLeast"/>
        <w:contextualSpacing/>
        <w:jc w:val="both"/>
        <w:rPr>
          <w:rFonts w:cs="Arial"/>
          <w:szCs w:val="20"/>
        </w:rPr>
      </w:pPr>
      <w:r w:rsidRPr="00B3784F">
        <w:rPr>
          <w:rFonts w:cs="Arial"/>
          <w:szCs w:val="20"/>
        </w:rPr>
        <w:t>Dobra polovica t. i. normirancev (51 %) je v letu 2024 imela davčno priznane prihodke do 20.000 EUR, a je njihova davčna obveznost predstavljala le 10 % skupne davčne obveznosti t. i. normirancev. Prihodke nad mejo 50.000 EUR je ugotovilo 12 % t. i. normirancev, njihovi davčno priznani prihodki so predstavljali 37 % davčno priznanih prihodkov t. i. normirancev, davčna obveznost pa se je približala polovici (47 %).</w:t>
      </w:r>
    </w:p>
    <w:p w14:paraId="758D589D" w14:textId="77777777" w:rsidR="00B3784F" w:rsidRPr="00B3784F" w:rsidRDefault="00B3784F" w:rsidP="00B3784F">
      <w:pPr>
        <w:spacing w:after="0" w:line="260" w:lineRule="atLeast"/>
        <w:contextualSpacing/>
        <w:jc w:val="both"/>
        <w:rPr>
          <w:rFonts w:cs="Arial"/>
          <w:szCs w:val="20"/>
        </w:rPr>
      </w:pPr>
    </w:p>
    <w:p w14:paraId="4A8D81C9" w14:textId="77777777" w:rsidR="00B3784F" w:rsidRPr="00B3784F" w:rsidRDefault="00B3784F" w:rsidP="00B3784F">
      <w:pPr>
        <w:spacing w:after="0" w:line="260" w:lineRule="atLeast"/>
        <w:contextualSpacing/>
        <w:jc w:val="both"/>
        <w:rPr>
          <w:rFonts w:cs="Arial"/>
          <w:szCs w:val="20"/>
        </w:rPr>
      </w:pPr>
      <w:r w:rsidRPr="00B3784F">
        <w:rPr>
          <w:rFonts w:cs="Arial"/>
          <w:szCs w:val="20"/>
        </w:rPr>
        <w:t>Izmed t. i. normirancev, ki so za leto 2024 izpolnjevali pogoj za višji delež normiranih odhodkov, je bilo 72 % oz. 23.218 takih, ki so imeli davčne priznane prihodke do 50.000 EUR, 79 % do 60.000 EUR, 9 % nad 100.000 EUR oz. le 3 % (oz. 959) jih je imelo davčno priznane prihodke nad 120.000 EUR. Izmed t. i. normirancev, ki niso izpolnjevali pogoja za višji delež normiranih odhodkov (t. i. popoldanci), jih je imelo 53 % oz. 30.418 davčno priznane prihodke do 12.500 EUR, 81 % do 30.000 EUR in le 4 % prihodke, višje od 50.000 EUR.</w:t>
      </w:r>
    </w:p>
    <w:p w14:paraId="31B8D483" w14:textId="77777777" w:rsidR="00B3784F" w:rsidRPr="00B3784F" w:rsidRDefault="00B3784F" w:rsidP="00B3784F">
      <w:pPr>
        <w:spacing w:after="0" w:line="260" w:lineRule="atLeast"/>
        <w:contextualSpacing/>
        <w:jc w:val="both"/>
        <w:rPr>
          <w:rFonts w:cs="Arial"/>
          <w:szCs w:val="20"/>
        </w:rPr>
      </w:pPr>
    </w:p>
    <w:p w14:paraId="1ABD6CED" w14:textId="77777777" w:rsidR="00B3784F" w:rsidRPr="00B3784F" w:rsidRDefault="00B3784F" w:rsidP="00B3784F">
      <w:pPr>
        <w:spacing w:after="0" w:line="260" w:lineRule="atLeast"/>
        <w:contextualSpacing/>
        <w:jc w:val="both"/>
        <w:rPr>
          <w:rFonts w:cs="Arial"/>
          <w:i/>
          <w:iCs/>
          <w:szCs w:val="20"/>
        </w:rPr>
      </w:pPr>
      <w:r w:rsidRPr="00B3784F">
        <w:rPr>
          <w:rFonts w:cs="Arial"/>
          <w:i/>
          <w:iCs/>
          <w:szCs w:val="20"/>
        </w:rPr>
        <w:t>1.2.1 Dejanski učinki sistema ugotavljanja davčne osnove od dohodkov iz dejavnosti z upoštevanjem normiranih odhodkov</w:t>
      </w:r>
    </w:p>
    <w:p w14:paraId="70087093"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Spremembe prihodkovnih pragov za vstop v sistem normiranih odhodkov sočasno z višanjem priznanih normiranih odhodkov za zavezance z višjimi prihodki, ki jim vodenje poslovnih knjig glede na prihodke ne predstavlja velikega bremena, nesorazmerno oziroma neutemeljeno povečuje neenako oziroma nepravično obravnavo zavezancev, ki opravljajo dejavnost, z enakimi doseženimi prihodki, vendar v dejavnostih, ki so stroškovno različno intenzivne. V nadaljevanju je navedeno prikazano na primeru dveh zavezancev – samostojnih podjetnikov, ki v davčnem letu dosežeta enako višino prihodkov, 80.000 EUR in nimata zaposlenih. Prvi opravlja prevozniško dejavnost, drugi se ukvarja s strokovnim svetovanjem. Dejanski odhodki prvega znašajo 65.000 EUR, medtem ko dejanski odhodki drugega znašajo 30.000 EUR. </w:t>
      </w:r>
    </w:p>
    <w:p w14:paraId="0ED3A540" w14:textId="77777777" w:rsidR="00B3784F" w:rsidRDefault="00B3784F" w:rsidP="00B3784F">
      <w:pPr>
        <w:spacing w:after="0" w:line="260" w:lineRule="atLeast"/>
        <w:contextualSpacing/>
        <w:jc w:val="both"/>
        <w:rPr>
          <w:rFonts w:cs="Arial"/>
          <w:szCs w:val="20"/>
        </w:rPr>
      </w:pPr>
    </w:p>
    <w:p w14:paraId="4712AC29" w14:textId="77777777" w:rsidR="00236DF6" w:rsidRDefault="00236DF6" w:rsidP="00B3784F">
      <w:pPr>
        <w:spacing w:after="0" w:line="260" w:lineRule="atLeast"/>
        <w:contextualSpacing/>
        <w:jc w:val="both"/>
        <w:rPr>
          <w:rFonts w:cs="Arial"/>
          <w:szCs w:val="20"/>
        </w:rPr>
      </w:pPr>
    </w:p>
    <w:p w14:paraId="39C664E7" w14:textId="77777777" w:rsidR="00236DF6" w:rsidRPr="00B3784F" w:rsidRDefault="00236DF6" w:rsidP="00B3784F">
      <w:pPr>
        <w:spacing w:after="0" w:line="260" w:lineRule="atLeast"/>
        <w:contextualSpacing/>
        <w:jc w:val="both"/>
        <w:rPr>
          <w:rFonts w:cs="Arial"/>
          <w:szCs w:val="20"/>
        </w:rPr>
      </w:pPr>
    </w:p>
    <w:p w14:paraId="5505FBBB" w14:textId="0070BFAD" w:rsidR="00B3784F" w:rsidRPr="00B3784F" w:rsidRDefault="00B3784F" w:rsidP="00B3784F">
      <w:pPr>
        <w:spacing w:after="0" w:line="260" w:lineRule="atLeast"/>
        <w:contextualSpacing/>
        <w:jc w:val="both"/>
        <w:rPr>
          <w:rFonts w:cs="Arial"/>
          <w:szCs w:val="20"/>
        </w:rPr>
      </w:pPr>
      <w:r w:rsidRPr="00B3784F">
        <w:rPr>
          <w:rFonts w:cs="Arial"/>
          <w:szCs w:val="20"/>
        </w:rPr>
        <w:lastRenderedPageBreak/>
        <w:t>Tabela 4: Prikaz davčne obremenitve in višine dejanskega neto dohodka dveh zavezancev, ki ugotavljata svojo davčno osnovo z upoštevanjem normiranih odhodkov in se razlikujeta po višini dejanskih odhodkov</w:t>
      </w:r>
    </w:p>
    <w:p w14:paraId="6197143E" w14:textId="77777777" w:rsidR="00B3784F" w:rsidRPr="00B3784F" w:rsidRDefault="00B3784F" w:rsidP="00B3784F">
      <w:pPr>
        <w:spacing w:after="0" w:line="260" w:lineRule="atLeast"/>
        <w:contextualSpacing/>
        <w:jc w:val="right"/>
        <w:rPr>
          <w:rFonts w:cs="Arial"/>
          <w:i/>
          <w:iCs/>
          <w:sz w:val="16"/>
          <w:szCs w:val="16"/>
        </w:rPr>
      </w:pPr>
      <w:r w:rsidRPr="00B3784F">
        <w:rPr>
          <w:rFonts w:cs="Arial"/>
          <w:i/>
          <w:iCs/>
          <w:sz w:val="16"/>
          <w:szCs w:val="16"/>
        </w:rPr>
        <w:t>Zneski v EUR</w:t>
      </w:r>
    </w:p>
    <w:tbl>
      <w:tblPr>
        <w:tblStyle w:val="Tabelamrea"/>
        <w:tblW w:w="9552" w:type="dxa"/>
        <w:tblLook w:val="04A0" w:firstRow="1" w:lastRow="0" w:firstColumn="1" w:lastColumn="0" w:noHBand="0" w:noVBand="1"/>
      </w:tblPr>
      <w:tblGrid>
        <w:gridCol w:w="4326"/>
        <w:gridCol w:w="2613"/>
        <w:gridCol w:w="2613"/>
      </w:tblGrid>
      <w:tr w:rsidR="00E9128C" w:rsidRPr="00E9128C" w14:paraId="433C3206" w14:textId="77777777" w:rsidTr="00E7465F">
        <w:trPr>
          <w:trHeight w:val="312"/>
        </w:trPr>
        <w:tc>
          <w:tcPr>
            <w:tcW w:w="4326" w:type="dxa"/>
            <w:shd w:val="clear" w:color="auto" w:fill="D5DCE4"/>
          </w:tcPr>
          <w:p w14:paraId="7BF06A28" w14:textId="77777777" w:rsidR="00B3784F" w:rsidRPr="00B3784F" w:rsidRDefault="00B3784F" w:rsidP="00B3784F">
            <w:pPr>
              <w:spacing w:line="260" w:lineRule="atLeast"/>
              <w:rPr>
                <w:rFonts w:eastAsia="Times New Roman" w:cs="Arial"/>
                <w:bCs/>
              </w:rPr>
            </w:pPr>
            <w:bookmarkStart w:id="8" w:name="_Hlk206080707"/>
          </w:p>
        </w:tc>
        <w:tc>
          <w:tcPr>
            <w:tcW w:w="2613" w:type="dxa"/>
            <w:shd w:val="clear" w:color="auto" w:fill="D5DCE4"/>
          </w:tcPr>
          <w:p w14:paraId="5125865A" w14:textId="77777777" w:rsidR="00B3784F" w:rsidRPr="00B3784F" w:rsidRDefault="00B3784F" w:rsidP="00B3784F">
            <w:pPr>
              <w:spacing w:line="260" w:lineRule="atLeast"/>
              <w:rPr>
                <w:rFonts w:eastAsia="Times New Roman" w:cs="Arial"/>
              </w:rPr>
            </w:pPr>
            <w:r w:rsidRPr="00B3784F">
              <w:rPr>
                <w:rFonts w:eastAsia="Times New Roman" w:cs="Arial"/>
              </w:rPr>
              <w:t>Prvi zavezanec</w:t>
            </w:r>
          </w:p>
        </w:tc>
        <w:tc>
          <w:tcPr>
            <w:tcW w:w="2613" w:type="dxa"/>
            <w:shd w:val="clear" w:color="auto" w:fill="D5DCE4"/>
          </w:tcPr>
          <w:p w14:paraId="27A0146C" w14:textId="77777777" w:rsidR="00B3784F" w:rsidRPr="00B3784F" w:rsidRDefault="00B3784F" w:rsidP="00B3784F">
            <w:pPr>
              <w:spacing w:line="260" w:lineRule="atLeast"/>
              <w:rPr>
                <w:rFonts w:eastAsia="Times New Roman" w:cs="Arial"/>
              </w:rPr>
            </w:pPr>
            <w:r w:rsidRPr="00B3784F">
              <w:rPr>
                <w:rFonts w:eastAsia="Times New Roman" w:cs="Arial"/>
              </w:rPr>
              <w:t>Drugi zavezanec</w:t>
            </w:r>
          </w:p>
        </w:tc>
      </w:tr>
      <w:tr w:rsidR="00E9128C" w:rsidRPr="00E9128C" w14:paraId="62A22C00" w14:textId="77777777" w:rsidTr="00E7465F">
        <w:trPr>
          <w:trHeight w:val="330"/>
        </w:trPr>
        <w:tc>
          <w:tcPr>
            <w:tcW w:w="4326" w:type="dxa"/>
          </w:tcPr>
          <w:p w14:paraId="7757F242" w14:textId="77777777" w:rsidR="00B3784F" w:rsidRPr="00B3784F" w:rsidRDefault="00B3784F" w:rsidP="00B3784F">
            <w:pPr>
              <w:spacing w:line="260" w:lineRule="atLeast"/>
              <w:rPr>
                <w:rFonts w:eastAsia="Times New Roman" w:cs="Arial"/>
              </w:rPr>
            </w:pPr>
            <w:r w:rsidRPr="00B3784F">
              <w:rPr>
                <w:rFonts w:eastAsia="Times New Roman" w:cs="Arial"/>
              </w:rPr>
              <w:t>Dejanski prihodki</w:t>
            </w:r>
          </w:p>
        </w:tc>
        <w:tc>
          <w:tcPr>
            <w:tcW w:w="2613" w:type="dxa"/>
          </w:tcPr>
          <w:p w14:paraId="03F5C544" w14:textId="77777777" w:rsidR="00B3784F" w:rsidRPr="00B3784F" w:rsidRDefault="00B3784F" w:rsidP="00B3784F">
            <w:pPr>
              <w:spacing w:line="260" w:lineRule="atLeast"/>
              <w:jc w:val="right"/>
              <w:rPr>
                <w:rFonts w:eastAsia="Times New Roman" w:cs="Arial"/>
              </w:rPr>
            </w:pPr>
            <w:r w:rsidRPr="00B3784F">
              <w:rPr>
                <w:rFonts w:eastAsia="Times New Roman" w:cs="Arial"/>
              </w:rPr>
              <w:t>80.000</w:t>
            </w:r>
          </w:p>
        </w:tc>
        <w:tc>
          <w:tcPr>
            <w:tcW w:w="2613" w:type="dxa"/>
          </w:tcPr>
          <w:p w14:paraId="069D7BC7" w14:textId="77777777" w:rsidR="00B3784F" w:rsidRPr="00B3784F" w:rsidRDefault="00B3784F" w:rsidP="00B3784F">
            <w:pPr>
              <w:spacing w:line="260" w:lineRule="atLeast"/>
              <w:jc w:val="right"/>
              <w:rPr>
                <w:rFonts w:eastAsia="Times New Roman" w:cs="Arial"/>
              </w:rPr>
            </w:pPr>
            <w:r w:rsidRPr="00B3784F">
              <w:rPr>
                <w:rFonts w:eastAsia="Times New Roman" w:cs="Arial"/>
              </w:rPr>
              <w:t>80.000</w:t>
            </w:r>
          </w:p>
        </w:tc>
      </w:tr>
      <w:tr w:rsidR="00E9128C" w:rsidRPr="00E9128C" w14:paraId="559A4F5C" w14:textId="77777777" w:rsidTr="00E7465F">
        <w:trPr>
          <w:trHeight w:val="643"/>
        </w:trPr>
        <w:tc>
          <w:tcPr>
            <w:tcW w:w="4326" w:type="dxa"/>
          </w:tcPr>
          <w:p w14:paraId="027EEA60" w14:textId="77777777" w:rsidR="00B3784F" w:rsidRPr="00B3784F" w:rsidRDefault="00B3784F" w:rsidP="00B3784F">
            <w:pPr>
              <w:spacing w:line="260" w:lineRule="atLeast"/>
              <w:rPr>
                <w:rFonts w:eastAsia="Times New Roman" w:cs="Arial"/>
                <w:bCs/>
              </w:rPr>
            </w:pPr>
            <w:r w:rsidRPr="00B3784F">
              <w:rPr>
                <w:rFonts w:eastAsia="Times New Roman" w:cs="Arial"/>
                <w:bCs/>
              </w:rPr>
              <w:t>Dejanski odhodki (vključujejo tudi prispevke za socialno varnost)</w:t>
            </w:r>
          </w:p>
        </w:tc>
        <w:tc>
          <w:tcPr>
            <w:tcW w:w="2613" w:type="dxa"/>
          </w:tcPr>
          <w:p w14:paraId="59F20757"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65.000</w:t>
            </w:r>
          </w:p>
        </w:tc>
        <w:tc>
          <w:tcPr>
            <w:tcW w:w="2613" w:type="dxa"/>
          </w:tcPr>
          <w:p w14:paraId="351083BA"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30.000</w:t>
            </w:r>
          </w:p>
        </w:tc>
      </w:tr>
      <w:tr w:rsidR="00E9128C" w:rsidRPr="00E9128C" w14:paraId="567E6C67" w14:textId="77777777" w:rsidTr="00E7465F">
        <w:trPr>
          <w:trHeight w:val="312"/>
        </w:trPr>
        <w:tc>
          <w:tcPr>
            <w:tcW w:w="4326" w:type="dxa"/>
          </w:tcPr>
          <w:p w14:paraId="1BE35FA1" w14:textId="77777777" w:rsidR="00B3784F" w:rsidRPr="00B3784F" w:rsidRDefault="00B3784F" w:rsidP="00B3784F">
            <w:pPr>
              <w:spacing w:line="260" w:lineRule="atLeast"/>
              <w:rPr>
                <w:rFonts w:eastAsia="Times New Roman" w:cs="Arial"/>
                <w:bCs/>
              </w:rPr>
            </w:pPr>
            <w:r w:rsidRPr="00B3784F">
              <w:rPr>
                <w:rFonts w:eastAsia="Times New Roman" w:cs="Arial"/>
                <w:bCs/>
              </w:rPr>
              <w:t>Normirani odhodki</w:t>
            </w:r>
          </w:p>
        </w:tc>
        <w:tc>
          <w:tcPr>
            <w:tcW w:w="2613" w:type="dxa"/>
          </w:tcPr>
          <w:p w14:paraId="7CD869D8"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64.000</w:t>
            </w:r>
          </w:p>
        </w:tc>
        <w:tc>
          <w:tcPr>
            <w:tcW w:w="2613" w:type="dxa"/>
          </w:tcPr>
          <w:p w14:paraId="156172D1"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64.000</w:t>
            </w:r>
          </w:p>
        </w:tc>
      </w:tr>
      <w:tr w:rsidR="00E9128C" w:rsidRPr="00E9128C" w14:paraId="5B9E0C07" w14:textId="77777777" w:rsidTr="00E7465F">
        <w:trPr>
          <w:trHeight w:val="312"/>
        </w:trPr>
        <w:tc>
          <w:tcPr>
            <w:tcW w:w="4326" w:type="dxa"/>
          </w:tcPr>
          <w:p w14:paraId="4B119943" w14:textId="77777777" w:rsidR="00B3784F" w:rsidRPr="00B3784F" w:rsidRDefault="00B3784F" w:rsidP="00B3784F">
            <w:pPr>
              <w:spacing w:line="260" w:lineRule="atLeast"/>
              <w:rPr>
                <w:rFonts w:eastAsia="Times New Roman" w:cs="Arial"/>
                <w:bCs/>
              </w:rPr>
            </w:pPr>
            <w:r w:rsidRPr="00B3784F">
              <w:rPr>
                <w:rFonts w:eastAsia="Times New Roman" w:cs="Arial"/>
                <w:bCs/>
              </w:rPr>
              <w:t>Dohodek za namene obdavčitve</w:t>
            </w:r>
          </w:p>
        </w:tc>
        <w:tc>
          <w:tcPr>
            <w:tcW w:w="2613" w:type="dxa"/>
          </w:tcPr>
          <w:p w14:paraId="7D31841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16.000</w:t>
            </w:r>
          </w:p>
        </w:tc>
        <w:tc>
          <w:tcPr>
            <w:tcW w:w="2613" w:type="dxa"/>
          </w:tcPr>
          <w:p w14:paraId="6FA65880"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16.000</w:t>
            </w:r>
          </w:p>
        </w:tc>
      </w:tr>
      <w:tr w:rsidR="00E9128C" w:rsidRPr="00E9128C" w14:paraId="6A25247D" w14:textId="77777777" w:rsidTr="00E7465F">
        <w:trPr>
          <w:trHeight w:val="312"/>
        </w:trPr>
        <w:tc>
          <w:tcPr>
            <w:tcW w:w="4326" w:type="dxa"/>
            <w:tcBorders>
              <w:bottom w:val="single" w:sz="4" w:space="0" w:color="000000"/>
            </w:tcBorders>
          </w:tcPr>
          <w:p w14:paraId="5940472D" w14:textId="77777777" w:rsidR="00B3784F" w:rsidRPr="00B3784F" w:rsidRDefault="00B3784F" w:rsidP="00B3784F">
            <w:pPr>
              <w:spacing w:line="260" w:lineRule="atLeast"/>
              <w:rPr>
                <w:rFonts w:eastAsia="Times New Roman" w:cs="Arial"/>
                <w:bCs/>
              </w:rPr>
            </w:pPr>
            <w:r w:rsidRPr="00B3784F">
              <w:rPr>
                <w:rFonts w:eastAsia="Times New Roman" w:cs="Arial"/>
                <w:bCs/>
              </w:rPr>
              <w:t>Dejanski bruto dohodek</w:t>
            </w:r>
          </w:p>
        </w:tc>
        <w:tc>
          <w:tcPr>
            <w:tcW w:w="2613" w:type="dxa"/>
            <w:tcBorders>
              <w:bottom w:val="single" w:sz="4" w:space="0" w:color="000000"/>
            </w:tcBorders>
          </w:tcPr>
          <w:p w14:paraId="11F77300"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15.000</w:t>
            </w:r>
          </w:p>
        </w:tc>
        <w:tc>
          <w:tcPr>
            <w:tcW w:w="2613" w:type="dxa"/>
            <w:tcBorders>
              <w:bottom w:val="single" w:sz="4" w:space="0" w:color="000000"/>
            </w:tcBorders>
          </w:tcPr>
          <w:p w14:paraId="5D037ED2"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50.000</w:t>
            </w:r>
          </w:p>
        </w:tc>
      </w:tr>
      <w:tr w:rsidR="00E9128C" w:rsidRPr="00E9128C" w14:paraId="279D1886" w14:textId="77777777" w:rsidTr="00E7465F">
        <w:trPr>
          <w:trHeight w:val="330"/>
        </w:trPr>
        <w:tc>
          <w:tcPr>
            <w:tcW w:w="4326" w:type="dxa"/>
            <w:shd w:val="clear" w:color="auto" w:fill="D9D9D9"/>
          </w:tcPr>
          <w:p w14:paraId="2DF5C653" w14:textId="77777777" w:rsidR="00B3784F" w:rsidRPr="00B3784F" w:rsidRDefault="00B3784F" w:rsidP="00B3784F">
            <w:pPr>
              <w:spacing w:line="260" w:lineRule="atLeast"/>
              <w:rPr>
                <w:rFonts w:eastAsia="Times New Roman" w:cs="Arial"/>
              </w:rPr>
            </w:pPr>
            <w:r w:rsidRPr="00B3784F">
              <w:rPr>
                <w:rFonts w:eastAsia="Times New Roman" w:cs="Arial"/>
              </w:rPr>
              <w:t xml:space="preserve">Davek </w:t>
            </w:r>
          </w:p>
        </w:tc>
        <w:tc>
          <w:tcPr>
            <w:tcW w:w="2613" w:type="dxa"/>
            <w:shd w:val="clear" w:color="auto" w:fill="D9D9D9"/>
          </w:tcPr>
          <w:p w14:paraId="48C61BBE" w14:textId="77777777" w:rsidR="00B3784F" w:rsidRPr="00B3784F" w:rsidRDefault="00B3784F" w:rsidP="00B3784F">
            <w:pPr>
              <w:spacing w:line="260" w:lineRule="atLeast"/>
              <w:jc w:val="right"/>
              <w:rPr>
                <w:rFonts w:eastAsia="Times New Roman" w:cs="Arial"/>
              </w:rPr>
            </w:pPr>
            <w:r w:rsidRPr="00B3784F">
              <w:rPr>
                <w:rFonts w:eastAsia="Times New Roman" w:cs="Arial"/>
              </w:rPr>
              <w:t>3.200</w:t>
            </w:r>
          </w:p>
        </w:tc>
        <w:tc>
          <w:tcPr>
            <w:tcW w:w="2613" w:type="dxa"/>
            <w:shd w:val="clear" w:color="auto" w:fill="D9D9D9"/>
          </w:tcPr>
          <w:p w14:paraId="73232DB3" w14:textId="77777777" w:rsidR="00B3784F" w:rsidRPr="00B3784F" w:rsidRDefault="00B3784F" w:rsidP="00B3784F">
            <w:pPr>
              <w:spacing w:line="260" w:lineRule="atLeast"/>
              <w:jc w:val="right"/>
              <w:rPr>
                <w:rFonts w:eastAsia="Times New Roman" w:cs="Arial"/>
              </w:rPr>
            </w:pPr>
            <w:r w:rsidRPr="00B3784F">
              <w:rPr>
                <w:rFonts w:eastAsia="Times New Roman" w:cs="Arial"/>
              </w:rPr>
              <w:t>3.200</w:t>
            </w:r>
          </w:p>
        </w:tc>
      </w:tr>
      <w:tr w:rsidR="00E9128C" w:rsidRPr="00E9128C" w14:paraId="1213E5D3" w14:textId="77777777" w:rsidTr="00E7465F">
        <w:trPr>
          <w:trHeight w:val="312"/>
        </w:trPr>
        <w:tc>
          <w:tcPr>
            <w:tcW w:w="4326" w:type="dxa"/>
          </w:tcPr>
          <w:p w14:paraId="50C2A71E" w14:textId="77777777" w:rsidR="00B3784F" w:rsidRPr="00B3784F" w:rsidRDefault="00B3784F" w:rsidP="00B3784F">
            <w:pPr>
              <w:spacing w:line="260" w:lineRule="atLeast"/>
              <w:rPr>
                <w:rFonts w:eastAsia="Times New Roman" w:cs="Arial"/>
              </w:rPr>
            </w:pPr>
            <w:r w:rsidRPr="00B3784F">
              <w:rPr>
                <w:rFonts w:eastAsia="Times New Roman" w:cs="Arial"/>
              </w:rPr>
              <w:t>Prispevki za socialno varnost</w:t>
            </w:r>
          </w:p>
        </w:tc>
        <w:tc>
          <w:tcPr>
            <w:tcW w:w="2613" w:type="dxa"/>
          </w:tcPr>
          <w:p w14:paraId="56920CF4" w14:textId="77777777" w:rsidR="00B3784F" w:rsidRPr="00B3784F" w:rsidRDefault="00B3784F" w:rsidP="00B3784F">
            <w:pPr>
              <w:spacing w:line="260" w:lineRule="atLeast"/>
              <w:jc w:val="right"/>
              <w:rPr>
                <w:rFonts w:eastAsia="Times New Roman" w:cs="Arial"/>
              </w:rPr>
            </w:pPr>
            <w:r w:rsidRPr="00B3784F">
              <w:rPr>
                <w:rFonts w:eastAsia="Times New Roman" w:cs="Arial"/>
              </w:rPr>
              <w:t>8.236</w:t>
            </w:r>
          </w:p>
        </w:tc>
        <w:tc>
          <w:tcPr>
            <w:tcW w:w="2613" w:type="dxa"/>
          </w:tcPr>
          <w:p w14:paraId="3C07CB6D" w14:textId="77777777" w:rsidR="00B3784F" w:rsidRPr="00B3784F" w:rsidRDefault="00B3784F" w:rsidP="00B3784F">
            <w:pPr>
              <w:spacing w:line="260" w:lineRule="atLeast"/>
              <w:jc w:val="right"/>
              <w:rPr>
                <w:rFonts w:eastAsia="Times New Roman" w:cs="Arial"/>
              </w:rPr>
            </w:pPr>
            <w:r w:rsidRPr="00B3784F">
              <w:rPr>
                <w:rFonts w:eastAsia="Times New Roman" w:cs="Arial"/>
              </w:rPr>
              <w:t>8.236</w:t>
            </w:r>
          </w:p>
        </w:tc>
      </w:tr>
      <w:tr w:rsidR="00E9128C" w:rsidRPr="00E9128C" w14:paraId="734848B3" w14:textId="77777777" w:rsidTr="00E7465F">
        <w:trPr>
          <w:trHeight w:val="312"/>
        </w:trPr>
        <w:tc>
          <w:tcPr>
            <w:tcW w:w="4326" w:type="dxa"/>
          </w:tcPr>
          <w:p w14:paraId="20647F3C" w14:textId="77777777" w:rsidR="00B3784F" w:rsidRPr="00B3784F" w:rsidRDefault="00B3784F" w:rsidP="00B3784F">
            <w:pPr>
              <w:spacing w:line="260" w:lineRule="atLeast"/>
              <w:rPr>
                <w:rFonts w:eastAsia="Times New Roman" w:cs="Arial"/>
              </w:rPr>
            </w:pPr>
            <w:r w:rsidRPr="00B3784F">
              <w:rPr>
                <w:rFonts w:eastAsia="Times New Roman" w:cs="Arial"/>
              </w:rPr>
              <w:t>Dejanski neto dohodek</w:t>
            </w:r>
          </w:p>
        </w:tc>
        <w:tc>
          <w:tcPr>
            <w:tcW w:w="2613" w:type="dxa"/>
          </w:tcPr>
          <w:p w14:paraId="4A71E162" w14:textId="77777777" w:rsidR="00B3784F" w:rsidRPr="00B3784F" w:rsidRDefault="00B3784F" w:rsidP="00B3784F">
            <w:pPr>
              <w:spacing w:line="260" w:lineRule="atLeast"/>
              <w:jc w:val="right"/>
              <w:rPr>
                <w:rFonts w:eastAsia="Times New Roman" w:cs="Arial"/>
              </w:rPr>
            </w:pPr>
            <w:r w:rsidRPr="00B3784F">
              <w:rPr>
                <w:rFonts w:eastAsia="Times New Roman" w:cs="Arial"/>
              </w:rPr>
              <w:t>11.800</w:t>
            </w:r>
          </w:p>
        </w:tc>
        <w:tc>
          <w:tcPr>
            <w:tcW w:w="2613" w:type="dxa"/>
          </w:tcPr>
          <w:p w14:paraId="0DE05C79" w14:textId="77777777" w:rsidR="00B3784F" w:rsidRPr="00B3784F" w:rsidRDefault="00B3784F" w:rsidP="00B3784F">
            <w:pPr>
              <w:spacing w:line="260" w:lineRule="atLeast"/>
              <w:jc w:val="right"/>
              <w:rPr>
                <w:rFonts w:eastAsia="Times New Roman" w:cs="Arial"/>
              </w:rPr>
            </w:pPr>
            <w:r w:rsidRPr="00B3784F">
              <w:rPr>
                <w:rFonts w:eastAsia="Times New Roman" w:cs="Arial"/>
              </w:rPr>
              <w:t>46.800</w:t>
            </w:r>
          </w:p>
        </w:tc>
      </w:tr>
      <w:tr w:rsidR="00E9128C" w:rsidRPr="00E9128C" w14:paraId="0F3D6828" w14:textId="77777777" w:rsidTr="00E7465F">
        <w:trPr>
          <w:trHeight w:val="312"/>
        </w:trPr>
        <w:tc>
          <w:tcPr>
            <w:tcW w:w="4326" w:type="dxa"/>
          </w:tcPr>
          <w:p w14:paraId="3719E474" w14:textId="77777777" w:rsidR="00B3784F" w:rsidRPr="00B3784F" w:rsidRDefault="00B3784F" w:rsidP="00B3784F">
            <w:pPr>
              <w:spacing w:line="260" w:lineRule="atLeast"/>
              <w:rPr>
                <w:rFonts w:eastAsia="Times New Roman" w:cs="Arial"/>
              </w:rPr>
            </w:pPr>
            <w:r w:rsidRPr="00B3784F">
              <w:rPr>
                <w:rFonts w:eastAsia="Times New Roman" w:cs="Arial"/>
              </w:rPr>
              <w:t>Upoštevan dohodek po ZUPJS*</w:t>
            </w:r>
          </w:p>
        </w:tc>
        <w:tc>
          <w:tcPr>
            <w:tcW w:w="2613" w:type="dxa"/>
          </w:tcPr>
          <w:p w14:paraId="775DFF7E" w14:textId="77777777" w:rsidR="00B3784F" w:rsidRPr="00B3784F" w:rsidRDefault="00B3784F" w:rsidP="00B3784F">
            <w:pPr>
              <w:spacing w:line="260" w:lineRule="atLeast"/>
              <w:jc w:val="right"/>
              <w:rPr>
                <w:rFonts w:eastAsia="Times New Roman" w:cs="Arial"/>
              </w:rPr>
            </w:pPr>
            <w:r w:rsidRPr="00B3784F">
              <w:rPr>
                <w:rFonts w:eastAsia="Times New Roman" w:cs="Arial"/>
              </w:rPr>
              <w:t>12.800</w:t>
            </w:r>
          </w:p>
        </w:tc>
        <w:tc>
          <w:tcPr>
            <w:tcW w:w="2613" w:type="dxa"/>
          </w:tcPr>
          <w:p w14:paraId="6C1F7E4E" w14:textId="77777777" w:rsidR="00B3784F" w:rsidRPr="00B3784F" w:rsidRDefault="00B3784F" w:rsidP="00B3784F">
            <w:pPr>
              <w:spacing w:line="260" w:lineRule="atLeast"/>
              <w:jc w:val="right"/>
              <w:rPr>
                <w:rFonts w:eastAsia="Times New Roman" w:cs="Arial"/>
              </w:rPr>
            </w:pPr>
            <w:r w:rsidRPr="00B3784F">
              <w:rPr>
                <w:rFonts w:eastAsia="Times New Roman" w:cs="Arial"/>
              </w:rPr>
              <w:t>12.800</w:t>
            </w:r>
          </w:p>
        </w:tc>
      </w:tr>
    </w:tbl>
    <w:bookmarkEnd w:id="8"/>
    <w:p w14:paraId="41D176B6"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Lastni preračuni MF</w:t>
      </w:r>
    </w:p>
    <w:p w14:paraId="1BC3F617"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 Dohodek, ki se upošteva pri ugotavljanju materialnega položaja pri uveljavljanju pravic iz javnih sredstev po Zakonu o uveljavljanju pravic iz javnih sredstev (Uradni list RS, št. 62/10, 40/11, 40/12 – ZUJF, 57/12 – ZPCP-2D, 14/13, 56/13 – ZŠtip-1, 99/13, 14/15 – ZUUJFO, 57/15, 90/15, 38/16 – odl. US, 51/16 – odl. US, 88/16, 61/17 – ZUPŠ, 75/17, 77/18, 47/19, 189/20 – ZFRO, 54/22 – ZUPŠ-1, 76/23 – ZŠolPre-1B, 122/23 – ZŠtip-1C, 22/25 – ZZZRO-1 in 40/25 – ZINR; v nadaljnjem besedilu ZUPJS).</w:t>
      </w:r>
    </w:p>
    <w:p w14:paraId="47C49F41" w14:textId="77777777" w:rsidR="00B3784F" w:rsidRPr="00B3784F" w:rsidRDefault="00B3784F" w:rsidP="00B3784F">
      <w:pPr>
        <w:spacing w:after="0" w:line="260" w:lineRule="atLeast"/>
        <w:contextualSpacing/>
        <w:jc w:val="both"/>
        <w:rPr>
          <w:rFonts w:cs="Arial"/>
          <w:szCs w:val="20"/>
        </w:rPr>
      </w:pPr>
    </w:p>
    <w:p w14:paraId="5D1E64B7"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Oba zavezanca plačata enak davek in enake prispevke za socialno varnost, čeprav je njun dejanski bruto dohodek (ekonomska moč) bistveno drugačen (prvi zavezanec 15.000 EUR, drugi zavezanec 50.000 EUR). Upošteva se jima enak dohodek pri uveljavljanju pravic iz javnih sredstev (12.800 EUR), čeprav je njun dejanski materialni položaj povsem drugačen. Razvidno je, da uporaba sistema normiranih odhodkov za prvega zavezanca ne prinaša posebnih davčnih in drugih ugodnosti (dejanski bruto dohodek se bistveno ne razlikuje od dohodka za namene obdavčitve), razen administrativne poenostavitve, medtem ko pri drugem zavezancu ustvarja veliko nesorazmerje med dejanskim bruto dohodkom zavezanca in dohodkom za namene obdavčitve, kar vodi v nedopustne davčne in druge ugodnosti za drugega zavezanca, ki izhajajo zgolj iz sistema normiranih odhodkov, in s tem do neenake porazdelitve davčne obremenitve med prvim in drugim zavezancem. Pri drugem zavezancu se zaradi sistema normiranih odhodkov pri obdavčitvi ne upošteva kar 34.000 EUR dejanskega dohodka zavezanca (učinek normiranja odhodkov). </w:t>
      </w:r>
    </w:p>
    <w:p w14:paraId="720AB418" w14:textId="77777777" w:rsidR="00B3784F" w:rsidRPr="00B3784F" w:rsidRDefault="00B3784F" w:rsidP="00B3784F">
      <w:pPr>
        <w:spacing w:after="0" w:line="260" w:lineRule="atLeast"/>
        <w:contextualSpacing/>
        <w:jc w:val="both"/>
        <w:rPr>
          <w:rFonts w:cs="Arial"/>
          <w:szCs w:val="20"/>
        </w:rPr>
      </w:pPr>
    </w:p>
    <w:p w14:paraId="1FABE0FA" w14:textId="77777777" w:rsidR="00B3784F" w:rsidRPr="00B3784F" w:rsidRDefault="00B3784F" w:rsidP="00B3784F">
      <w:pPr>
        <w:spacing w:after="0" w:line="260" w:lineRule="atLeast"/>
        <w:contextualSpacing/>
        <w:jc w:val="both"/>
        <w:rPr>
          <w:rFonts w:cs="Arial"/>
          <w:szCs w:val="20"/>
        </w:rPr>
      </w:pPr>
      <w:r w:rsidRPr="00B3784F">
        <w:rPr>
          <w:rFonts w:cs="Arial"/>
          <w:szCs w:val="20"/>
        </w:rPr>
        <w:t>Tabela 5: Prikaz obremenitve z davkom, prispevki za socialno varnost in znesek dejanskega neto dohodka, če bi bila zavezanca v sistemu dejanskih prihodkov in odhodkov</w:t>
      </w:r>
    </w:p>
    <w:p w14:paraId="1FE28BCC" w14:textId="77777777" w:rsidR="00B3784F" w:rsidRPr="00B3784F" w:rsidRDefault="00B3784F" w:rsidP="00B3784F">
      <w:pPr>
        <w:spacing w:after="0" w:line="260" w:lineRule="atLeast"/>
        <w:jc w:val="right"/>
        <w:rPr>
          <w:rFonts w:cs="Arial"/>
          <w:bCs/>
          <w:i/>
          <w:iCs/>
          <w:sz w:val="16"/>
          <w:szCs w:val="16"/>
        </w:rPr>
      </w:pPr>
      <w:r w:rsidRPr="00B3784F">
        <w:rPr>
          <w:rFonts w:cs="Arial"/>
          <w:bCs/>
          <w:i/>
          <w:iCs/>
          <w:sz w:val="16"/>
          <w:szCs w:val="16"/>
        </w:rPr>
        <w:t>Zneski v EUR</w:t>
      </w:r>
    </w:p>
    <w:tbl>
      <w:tblPr>
        <w:tblStyle w:val="Tabelamrea"/>
        <w:tblW w:w="9345" w:type="dxa"/>
        <w:tblLook w:val="04A0" w:firstRow="1" w:lastRow="0" w:firstColumn="1" w:lastColumn="0" w:noHBand="0" w:noVBand="1"/>
      </w:tblPr>
      <w:tblGrid>
        <w:gridCol w:w="4235"/>
        <w:gridCol w:w="2555"/>
        <w:gridCol w:w="2555"/>
      </w:tblGrid>
      <w:tr w:rsidR="00E9128C" w:rsidRPr="00E9128C" w14:paraId="61FC9E1F" w14:textId="77777777" w:rsidTr="00E7465F">
        <w:trPr>
          <w:trHeight w:val="267"/>
        </w:trPr>
        <w:tc>
          <w:tcPr>
            <w:tcW w:w="4235" w:type="dxa"/>
            <w:shd w:val="clear" w:color="auto" w:fill="D5DCE4"/>
          </w:tcPr>
          <w:p w14:paraId="5119D4B2" w14:textId="77777777" w:rsidR="00B3784F" w:rsidRPr="00B3784F" w:rsidRDefault="00B3784F" w:rsidP="00B3784F">
            <w:pPr>
              <w:spacing w:line="260" w:lineRule="atLeast"/>
              <w:rPr>
                <w:rFonts w:eastAsia="Times New Roman" w:cs="Arial"/>
                <w:bCs/>
              </w:rPr>
            </w:pPr>
          </w:p>
        </w:tc>
        <w:tc>
          <w:tcPr>
            <w:tcW w:w="2555" w:type="dxa"/>
            <w:shd w:val="clear" w:color="auto" w:fill="D5DCE4"/>
          </w:tcPr>
          <w:p w14:paraId="6701845B" w14:textId="77777777" w:rsidR="00B3784F" w:rsidRPr="00B3784F" w:rsidRDefault="00B3784F" w:rsidP="00B3784F">
            <w:pPr>
              <w:spacing w:line="260" w:lineRule="atLeast"/>
              <w:rPr>
                <w:rFonts w:eastAsia="Times New Roman" w:cs="Arial"/>
              </w:rPr>
            </w:pPr>
            <w:r w:rsidRPr="00B3784F">
              <w:rPr>
                <w:rFonts w:eastAsia="Times New Roman" w:cs="Arial"/>
              </w:rPr>
              <w:t>Prvi zavezanec</w:t>
            </w:r>
          </w:p>
        </w:tc>
        <w:tc>
          <w:tcPr>
            <w:tcW w:w="2555" w:type="dxa"/>
            <w:shd w:val="clear" w:color="auto" w:fill="D5DCE4"/>
          </w:tcPr>
          <w:p w14:paraId="403F9324" w14:textId="77777777" w:rsidR="00B3784F" w:rsidRPr="00B3784F" w:rsidRDefault="00B3784F" w:rsidP="00B3784F">
            <w:pPr>
              <w:spacing w:line="260" w:lineRule="atLeast"/>
              <w:rPr>
                <w:rFonts w:eastAsia="Times New Roman" w:cs="Arial"/>
              </w:rPr>
            </w:pPr>
            <w:r w:rsidRPr="00B3784F">
              <w:rPr>
                <w:rFonts w:eastAsia="Times New Roman" w:cs="Arial"/>
              </w:rPr>
              <w:t>Drugi zavezanec</w:t>
            </w:r>
          </w:p>
        </w:tc>
      </w:tr>
      <w:tr w:rsidR="00E9128C" w:rsidRPr="00E9128C" w14:paraId="4FE1D22D" w14:textId="77777777" w:rsidTr="00E7465F">
        <w:trPr>
          <w:trHeight w:val="283"/>
        </w:trPr>
        <w:tc>
          <w:tcPr>
            <w:tcW w:w="4235" w:type="dxa"/>
          </w:tcPr>
          <w:p w14:paraId="334B077E" w14:textId="77777777" w:rsidR="00B3784F" w:rsidRPr="00B3784F" w:rsidRDefault="00B3784F" w:rsidP="00B3784F">
            <w:pPr>
              <w:spacing w:line="260" w:lineRule="atLeast"/>
              <w:rPr>
                <w:rFonts w:eastAsia="Times New Roman" w:cs="Arial"/>
              </w:rPr>
            </w:pPr>
            <w:r w:rsidRPr="00B3784F">
              <w:rPr>
                <w:rFonts w:eastAsia="Times New Roman" w:cs="Arial"/>
              </w:rPr>
              <w:t>Dejanski prihodki</w:t>
            </w:r>
          </w:p>
        </w:tc>
        <w:tc>
          <w:tcPr>
            <w:tcW w:w="2555" w:type="dxa"/>
          </w:tcPr>
          <w:p w14:paraId="606B4CC1" w14:textId="77777777" w:rsidR="00B3784F" w:rsidRPr="00B3784F" w:rsidRDefault="00B3784F" w:rsidP="00B3784F">
            <w:pPr>
              <w:spacing w:line="260" w:lineRule="atLeast"/>
              <w:jc w:val="right"/>
              <w:rPr>
                <w:rFonts w:eastAsia="Times New Roman" w:cs="Arial"/>
              </w:rPr>
            </w:pPr>
            <w:r w:rsidRPr="00B3784F">
              <w:rPr>
                <w:rFonts w:eastAsia="Times New Roman" w:cs="Arial"/>
              </w:rPr>
              <w:t>80.000</w:t>
            </w:r>
          </w:p>
        </w:tc>
        <w:tc>
          <w:tcPr>
            <w:tcW w:w="2555" w:type="dxa"/>
          </w:tcPr>
          <w:p w14:paraId="0F6C7C1B" w14:textId="77777777" w:rsidR="00B3784F" w:rsidRPr="00B3784F" w:rsidRDefault="00B3784F" w:rsidP="00B3784F">
            <w:pPr>
              <w:spacing w:line="260" w:lineRule="atLeast"/>
              <w:jc w:val="right"/>
              <w:rPr>
                <w:rFonts w:eastAsia="Times New Roman" w:cs="Arial"/>
              </w:rPr>
            </w:pPr>
            <w:r w:rsidRPr="00B3784F">
              <w:rPr>
                <w:rFonts w:eastAsia="Times New Roman" w:cs="Arial"/>
              </w:rPr>
              <w:t>80.000</w:t>
            </w:r>
          </w:p>
        </w:tc>
      </w:tr>
      <w:tr w:rsidR="00E9128C" w:rsidRPr="00E9128C" w14:paraId="77E30A3D" w14:textId="77777777" w:rsidTr="00E7465F">
        <w:trPr>
          <w:trHeight w:val="551"/>
        </w:trPr>
        <w:tc>
          <w:tcPr>
            <w:tcW w:w="4235" w:type="dxa"/>
          </w:tcPr>
          <w:p w14:paraId="2548F54C" w14:textId="77777777" w:rsidR="00B3784F" w:rsidRPr="00B3784F" w:rsidRDefault="00B3784F" w:rsidP="00B3784F">
            <w:pPr>
              <w:spacing w:line="260" w:lineRule="atLeast"/>
              <w:rPr>
                <w:rFonts w:eastAsia="Times New Roman" w:cs="Arial"/>
                <w:bCs/>
              </w:rPr>
            </w:pPr>
            <w:r w:rsidRPr="00B3784F">
              <w:rPr>
                <w:rFonts w:eastAsia="Times New Roman" w:cs="Arial"/>
                <w:bCs/>
              </w:rPr>
              <w:t>Dejanski odhodki (vključujejo tudi prispevke za socialno varnost)</w:t>
            </w:r>
          </w:p>
        </w:tc>
        <w:tc>
          <w:tcPr>
            <w:tcW w:w="2555" w:type="dxa"/>
          </w:tcPr>
          <w:p w14:paraId="7AF71C21"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65.000</w:t>
            </w:r>
          </w:p>
        </w:tc>
        <w:tc>
          <w:tcPr>
            <w:tcW w:w="2555" w:type="dxa"/>
          </w:tcPr>
          <w:p w14:paraId="74FF0EA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 xml:space="preserve">30.000 </w:t>
            </w:r>
          </w:p>
        </w:tc>
      </w:tr>
      <w:tr w:rsidR="00E9128C" w:rsidRPr="00E9128C" w14:paraId="64E784FA" w14:textId="77777777" w:rsidTr="00E7465F">
        <w:trPr>
          <w:trHeight w:val="267"/>
        </w:trPr>
        <w:tc>
          <w:tcPr>
            <w:tcW w:w="4235" w:type="dxa"/>
          </w:tcPr>
          <w:p w14:paraId="5C0CCF0E" w14:textId="77777777" w:rsidR="00B3784F" w:rsidRPr="00B3784F" w:rsidRDefault="00B3784F" w:rsidP="00B3784F">
            <w:pPr>
              <w:spacing w:line="260" w:lineRule="atLeast"/>
              <w:rPr>
                <w:rFonts w:eastAsia="Times New Roman" w:cs="Arial"/>
                <w:bCs/>
              </w:rPr>
            </w:pPr>
            <w:r w:rsidRPr="00B3784F">
              <w:rPr>
                <w:rFonts w:eastAsia="Times New Roman" w:cs="Arial"/>
                <w:bCs/>
              </w:rPr>
              <w:t>Dejanski bruto dohodek</w:t>
            </w:r>
          </w:p>
        </w:tc>
        <w:tc>
          <w:tcPr>
            <w:tcW w:w="2555" w:type="dxa"/>
          </w:tcPr>
          <w:p w14:paraId="72702087"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15.000</w:t>
            </w:r>
          </w:p>
        </w:tc>
        <w:tc>
          <w:tcPr>
            <w:tcW w:w="2555" w:type="dxa"/>
          </w:tcPr>
          <w:p w14:paraId="529CD015"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50.000</w:t>
            </w:r>
          </w:p>
        </w:tc>
      </w:tr>
      <w:tr w:rsidR="00E9128C" w:rsidRPr="00E9128C" w14:paraId="7723F001" w14:textId="77777777" w:rsidTr="00E7465F">
        <w:trPr>
          <w:trHeight w:val="551"/>
        </w:trPr>
        <w:tc>
          <w:tcPr>
            <w:tcW w:w="4235" w:type="dxa"/>
            <w:tcBorders>
              <w:bottom w:val="single" w:sz="4" w:space="0" w:color="000000"/>
            </w:tcBorders>
          </w:tcPr>
          <w:p w14:paraId="20E55260" w14:textId="77777777" w:rsidR="00B3784F" w:rsidRPr="00B3784F" w:rsidRDefault="00B3784F" w:rsidP="00B3784F">
            <w:pPr>
              <w:spacing w:line="260" w:lineRule="atLeast"/>
              <w:rPr>
                <w:rFonts w:eastAsia="Times New Roman" w:cs="Arial"/>
                <w:bCs/>
              </w:rPr>
            </w:pPr>
            <w:r w:rsidRPr="00B3784F">
              <w:rPr>
                <w:rFonts w:eastAsia="Times New Roman" w:cs="Arial"/>
                <w:bCs/>
              </w:rPr>
              <w:t>Davčna osnova (bruto dohodek zmanjšan za  splošno olajšavo)</w:t>
            </w:r>
          </w:p>
        </w:tc>
        <w:tc>
          <w:tcPr>
            <w:tcW w:w="2555" w:type="dxa"/>
            <w:tcBorders>
              <w:bottom w:val="single" w:sz="4" w:space="0" w:color="000000"/>
            </w:tcBorders>
          </w:tcPr>
          <w:p w14:paraId="1895E167"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7.592</w:t>
            </w:r>
          </w:p>
        </w:tc>
        <w:tc>
          <w:tcPr>
            <w:tcW w:w="2555" w:type="dxa"/>
            <w:tcBorders>
              <w:bottom w:val="single" w:sz="4" w:space="0" w:color="000000"/>
            </w:tcBorders>
          </w:tcPr>
          <w:p w14:paraId="48F4EC8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44.740</w:t>
            </w:r>
          </w:p>
        </w:tc>
      </w:tr>
      <w:tr w:rsidR="00E9128C" w:rsidRPr="00E9128C" w14:paraId="373066FB" w14:textId="77777777" w:rsidTr="00E7465F">
        <w:trPr>
          <w:trHeight w:val="267"/>
        </w:trPr>
        <w:tc>
          <w:tcPr>
            <w:tcW w:w="4235" w:type="dxa"/>
            <w:shd w:val="clear" w:color="auto" w:fill="D9D9D9"/>
          </w:tcPr>
          <w:p w14:paraId="38BB5033" w14:textId="77777777" w:rsidR="00B3784F" w:rsidRPr="00B3784F" w:rsidRDefault="00B3784F" w:rsidP="00B3784F">
            <w:pPr>
              <w:spacing w:line="260" w:lineRule="atLeast"/>
              <w:rPr>
                <w:rFonts w:eastAsia="Times New Roman" w:cs="Arial"/>
              </w:rPr>
            </w:pPr>
            <w:r w:rsidRPr="00B3784F">
              <w:rPr>
                <w:rFonts w:eastAsia="Times New Roman" w:cs="Arial"/>
              </w:rPr>
              <w:t>Davek</w:t>
            </w:r>
          </w:p>
        </w:tc>
        <w:tc>
          <w:tcPr>
            <w:tcW w:w="2555" w:type="dxa"/>
            <w:shd w:val="clear" w:color="auto" w:fill="D9D9D9"/>
          </w:tcPr>
          <w:p w14:paraId="0500757E" w14:textId="77777777" w:rsidR="00B3784F" w:rsidRPr="00B3784F" w:rsidRDefault="00B3784F" w:rsidP="00B3784F">
            <w:pPr>
              <w:spacing w:line="260" w:lineRule="atLeast"/>
              <w:jc w:val="right"/>
              <w:rPr>
                <w:rFonts w:eastAsia="Times New Roman" w:cs="Arial"/>
              </w:rPr>
            </w:pPr>
            <w:r w:rsidRPr="00B3784F">
              <w:rPr>
                <w:rFonts w:eastAsia="Times New Roman" w:cs="Arial"/>
              </w:rPr>
              <w:t>1.215</w:t>
            </w:r>
          </w:p>
        </w:tc>
        <w:tc>
          <w:tcPr>
            <w:tcW w:w="2555" w:type="dxa"/>
            <w:shd w:val="clear" w:color="auto" w:fill="D9D9D9"/>
          </w:tcPr>
          <w:p w14:paraId="7DA828C1" w14:textId="77777777" w:rsidR="00B3784F" w:rsidRPr="00B3784F" w:rsidRDefault="00B3784F" w:rsidP="00B3784F">
            <w:pPr>
              <w:spacing w:line="260" w:lineRule="atLeast"/>
              <w:jc w:val="right"/>
              <w:rPr>
                <w:rFonts w:eastAsia="Times New Roman" w:cs="Arial"/>
              </w:rPr>
            </w:pPr>
            <w:r w:rsidRPr="00B3784F">
              <w:rPr>
                <w:rFonts w:eastAsia="Times New Roman" w:cs="Arial"/>
              </w:rPr>
              <w:t>11.947</w:t>
            </w:r>
          </w:p>
        </w:tc>
      </w:tr>
      <w:tr w:rsidR="00E9128C" w:rsidRPr="00B3784F" w14:paraId="5FC66C59" w14:textId="77777777" w:rsidTr="00E7465F">
        <w:trPr>
          <w:trHeight w:val="267"/>
        </w:trPr>
        <w:tc>
          <w:tcPr>
            <w:tcW w:w="4235" w:type="dxa"/>
          </w:tcPr>
          <w:p w14:paraId="56EB7031" w14:textId="77777777" w:rsidR="00B3784F" w:rsidRPr="00B3784F" w:rsidRDefault="00B3784F" w:rsidP="00B3784F">
            <w:pPr>
              <w:spacing w:line="260" w:lineRule="atLeast"/>
              <w:rPr>
                <w:rFonts w:eastAsia="Times New Roman" w:cs="Arial"/>
              </w:rPr>
            </w:pPr>
            <w:r w:rsidRPr="00B3784F">
              <w:rPr>
                <w:rFonts w:eastAsia="Times New Roman" w:cs="Arial"/>
              </w:rPr>
              <w:t>Prispevki za socialno varnost</w:t>
            </w:r>
          </w:p>
        </w:tc>
        <w:tc>
          <w:tcPr>
            <w:tcW w:w="2555" w:type="dxa"/>
          </w:tcPr>
          <w:p w14:paraId="213BECCE" w14:textId="77777777" w:rsidR="00B3784F" w:rsidRPr="00B3784F" w:rsidRDefault="00B3784F" w:rsidP="00B3784F">
            <w:pPr>
              <w:spacing w:line="260" w:lineRule="atLeast"/>
              <w:jc w:val="right"/>
              <w:rPr>
                <w:rFonts w:eastAsia="Times New Roman" w:cs="Arial"/>
              </w:rPr>
            </w:pPr>
            <w:r w:rsidRPr="00B3784F">
              <w:rPr>
                <w:rFonts w:eastAsia="Times New Roman" w:cs="Arial"/>
              </w:rPr>
              <w:t>7.934</w:t>
            </w:r>
          </w:p>
        </w:tc>
        <w:tc>
          <w:tcPr>
            <w:tcW w:w="2555" w:type="dxa"/>
          </w:tcPr>
          <w:p w14:paraId="12F86EFC" w14:textId="77777777" w:rsidR="00B3784F" w:rsidRPr="00B3784F" w:rsidRDefault="00B3784F" w:rsidP="00B3784F">
            <w:pPr>
              <w:spacing w:line="260" w:lineRule="atLeast"/>
              <w:jc w:val="right"/>
              <w:rPr>
                <w:rFonts w:eastAsia="Times New Roman" w:cs="Arial"/>
              </w:rPr>
            </w:pPr>
            <w:r w:rsidRPr="00B3784F">
              <w:rPr>
                <w:rFonts w:eastAsia="Times New Roman" w:cs="Arial"/>
              </w:rPr>
              <w:t>18.487</w:t>
            </w:r>
          </w:p>
        </w:tc>
      </w:tr>
      <w:tr w:rsidR="00E9128C" w:rsidRPr="00B3784F" w14:paraId="1F492847" w14:textId="77777777" w:rsidTr="00E7465F">
        <w:trPr>
          <w:trHeight w:val="283"/>
        </w:trPr>
        <w:tc>
          <w:tcPr>
            <w:tcW w:w="4235" w:type="dxa"/>
          </w:tcPr>
          <w:p w14:paraId="5A377204" w14:textId="77777777" w:rsidR="00B3784F" w:rsidRPr="00B3784F" w:rsidRDefault="00B3784F" w:rsidP="00B3784F">
            <w:pPr>
              <w:spacing w:line="260" w:lineRule="atLeast"/>
              <w:rPr>
                <w:rFonts w:eastAsia="Times New Roman" w:cs="Arial"/>
              </w:rPr>
            </w:pPr>
            <w:r w:rsidRPr="00B3784F">
              <w:rPr>
                <w:rFonts w:eastAsia="Times New Roman" w:cs="Arial"/>
              </w:rPr>
              <w:t>Dejanski neto dohodek</w:t>
            </w:r>
          </w:p>
        </w:tc>
        <w:tc>
          <w:tcPr>
            <w:tcW w:w="2555" w:type="dxa"/>
          </w:tcPr>
          <w:p w14:paraId="1C1DDB92" w14:textId="77777777" w:rsidR="00B3784F" w:rsidRPr="00B3784F" w:rsidRDefault="00B3784F" w:rsidP="00B3784F">
            <w:pPr>
              <w:spacing w:line="260" w:lineRule="atLeast"/>
              <w:jc w:val="right"/>
              <w:rPr>
                <w:rFonts w:eastAsia="Times New Roman" w:cs="Arial"/>
              </w:rPr>
            </w:pPr>
            <w:r w:rsidRPr="00B3784F">
              <w:rPr>
                <w:rFonts w:eastAsia="Times New Roman" w:cs="Arial"/>
              </w:rPr>
              <w:t>13.785</w:t>
            </w:r>
          </w:p>
        </w:tc>
        <w:tc>
          <w:tcPr>
            <w:tcW w:w="2555" w:type="dxa"/>
          </w:tcPr>
          <w:p w14:paraId="407D3AE5" w14:textId="77777777" w:rsidR="00B3784F" w:rsidRPr="00B3784F" w:rsidRDefault="00B3784F" w:rsidP="00B3784F">
            <w:pPr>
              <w:spacing w:line="260" w:lineRule="atLeast"/>
              <w:jc w:val="right"/>
              <w:rPr>
                <w:rFonts w:eastAsia="Times New Roman" w:cs="Arial"/>
              </w:rPr>
            </w:pPr>
            <w:r w:rsidRPr="00B3784F">
              <w:rPr>
                <w:rFonts w:eastAsia="Times New Roman" w:cs="Arial"/>
              </w:rPr>
              <w:t>38.053</w:t>
            </w:r>
          </w:p>
        </w:tc>
      </w:tr>
      <w:tr w:rsidR="00E9128C" w:rsidRPr="00B3784F" w14:paraId="5BA45104" w14:textId="77777777" w:rsidTr="00E7465F">
        <w:trPr>
          <w:trHeight w:val="267"/>
        </w:trPr>
        <w:tc>
          <w:tcPr>
            <w:tcW w:w="4235" w:type="dxa"/>
          </w:tcPr>
          <w:p w14:paraId="549AF167" w14:textId="77777777" w:rsidR="00B3784F" w:rsidRPr="00B3784F" w:rsidRDefault="00B3784F" w:rsidP="00B3784F">
            <w:pPr>
              <w:spacing w:line="260" w:lineRule="atLeast"/>
              <w:rPr>
                <w:rFonts w:eastAsia="Times New Roman" w:cs="Arial"/>
              </w:rPr>
            </w:pPr>
            <w:r w:rsidRPr="00B3784F">
              <w:rPr>
                <w:rFonts w:eastAsia="Times New Roman" w:cs="Arial"/>
              </w:rPr>
              <w:lastRenderedPageBreak/>
              <w:t>Upoštevan dohodek po ZUPJS*</w:t>
            </w:r>
          </w:p>
        </w:tc>
        <w:tc>
          <w:tcPr>
            <w:tcW w:w="2555" w:type="dxa"/>
          </w:tcPr>
          <w:p w14:paraId="572BCC71" w14:textId="77777777" w:rsidR="00B3784F" w:rsidRPr="00B3784F" w:rsidRDefault="00B3784F" w:rsidP="00B3784F">
            <w:pPr>
              <w:spacing w:line="260" w:lineRule="atLeast"/>
              <w:jc w:val="right"/>
              <w:rPr>
                <w:rFonts w:eastAsia="Times New Roman" w:cs="Arial"/>
              </w:rPr>
            </w:pPr>
            <w:r w:rsidRPr="00B3784F">
              <w:rPr>
                <w:rFonts w:eastAsia="Times New Roman" w:cs="Arial"/>
              </w:rPr>
              <w:t>13.785</w:t>
            </w:r>
          </w:p>
        </w:tc>
        <w:tc>
          <w:tcPr>
            <w:tcW w:w="2555" w:type="dxa"/>
          </w:tcPr>
          <w:p w14:paraId="464EE497" w14:textId="77777777" w:rsidR="00B3784F" w:rsidRPr="00B3784F" w:rsidRDefault="00B3784F" w:rsidP="00B3784F">
            <w:pPr>
              <w:spacing w:line="260" w:lineRule="atLeast"/>
              <w:jc w:val="right"/>
              <w:rPr>
                <w:rFonts w:eastAsia="Times New Roman" w:cs="Arial"/>
              </w:rPr>
            </w:pPr>
            <w:r w:rsidRPr="00B3784F">
              <w:rPr>
                <w:rFonts w:eastAsia="Times New Roman" w:cs="Arial"/>
              </w:rPr>
              <w:t>38.053</w:t>
            </w:r>
          </w:p>
        </w:tc>
      </w:tr>
    </w:tbl>
    <w:p w14:paraId="49C4F054" w14:textId="77777777" w:rsidR="00B3784F" w:rsidRPr="00B3784F" w:rsidRDefault="00B3784F" w:rsidP="00B3784F">
      <w:pPr>
        <w:spacing w:after="0" w:line="260" w:lineRule="atLeast"/>
        <w:rPr>
          <w:rFonts w:cs="Arial"/>
          <w:bCs/>
          <w:i/>
          <w:iCs/>
          <w:sz w:val="16"/>
          <w:szCs w:val="16"/>
        </w:rPr>
      </w:pPr>
      <w:r w:rsidRPr="00B3784F">
        <w:rPr>
          <w:rFonts w:cs="Arial"/>
          <w:bCs/>
          <w:i/>
          <w:iCs/>
          <w:sz w:val="16"/>
          <w:szCs w:val="16"/>
        </w:rPr>
        <w:t>Vir: Lastni preračuni MF</w:t>
      </w:r>
    </w:p>
    <w:p w14:paraId="2344933F" w14:textId="77777777" w:rsidR="00B3784F" w:rsidRPr="00B3784F" w:rsidRDefault="00B3784F" w:rsidP="00B3784F">
      <w:pPr>
        <w:spacing w:after="0" w:line="260" w:lineRule="atLeast"/>
        <w:rPr>
          <w:rFonts w:cs="Arial"/>
          <w:bCs/>
          <w:i/>
          <w:iCs/>
          <w:sz w:val="16"/>
          <w:szCs w:val="16"/>
        </w:rPr>
      </w:pPr>
      <w:r w:rsidRPr="00B3784F">
        <w:rPr>
          <w:rFonts w:cs="Arial"/>
          <w:bCs/>
          <w:i/>
          <w:iCs/>
          <w:sz w:val="16"/>
          <w:szCs w:val="16"/>
        </w:rPr>
        <w:t>* Dohodek, ki se upošteva pri ugotavljanju materialnega položaja pri uveljavljanju pravic iz javnih sredstev po ZUPJS.</w:t>
      </w:r>
    </w:p>
    <w:p w14:paraId="18D18B5D" w14:textId="77777777" w:rsidR="00B3784F" w:rsidRPr="00B3784F" w:rsidRDefault="00B3784F" w:rsidP="00B3784F">
      <w:pPr>
        <w:spacing w:after="0" w:line="260" w:lineRule="atLeast"/>
        <w:contextualSpacing/>
        <w:jc w:val="both"/>
        <w:rPr>
          <w:rFonts w:cs="Arial"/>
          <w:szCs w:val="20"/>
        </w:rPr>
      </w:pPr>
    </w:p>
    <w:p w14:paraId="39DC4075"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Ob taki primerjavi, ko oba zavezanca izkazujeta dejanske prihodke in odhodke, je tudi davčna osnova in s tem davčna obremenitev pravično določena. Glede na dejanski bruto dohodek se razlikujeta tako davčna osnova kot višina davka in prispevkov za socialno varnost. Posledično pa ima to vpliv tudi na različno višino pravic iz naslova javnih sredstev. Prvi zavezanec, ki ima nižji dejanski bruto dohodek, plača znatno manjši davek in ima posledično tudi nižje prispevke za socialno varnost, medtem ko drugi, z višjim dejanskim bruto dohodkom, nosi sorazmerno višjo davčno in prispevno breme. Tak sistem odraža dejansko ekonomsko moč obeh zavezancev in zagotavlja bolj pravično porazdelitev davčne obremenitve. </w:t>
      </w:r>
    </w:p>
    <w:p w14:paraId="51A1A1E5" w14:textId="77777777" w:rsidR="00B3784F" w:rsidRPr="00B3784F" w:rsidRDefault="00B3784F" w:rsidP="00B3784F">
      <w:pPr>
        <w:spacing w:after="0" w:line="260" w:lineRule="atLeast"/>
        <w:contextualSpacing/>
        <w:jc w:val="both"/>
        <w:rPr>
          <w:rFonts w:cs="Arial"/>
          <w:szCs w:val="20"/>
        </w:rPr>
      </w:pPr>
    </w:p>
    <w:p w14:paraId="40CC9C6B" w14:textId="77777777" w:rsidR="00B3784F" w:rsidRPr="00B3784F" w:rsidRDefault="00B3784F" w:rsidP="00B3784F">
      <w:pPr>
        <w:spacing w:after="0" w:line="260" w:lineRule="atLeast"/>
        <w:contextualSpacing/>
        <w:jc w:val="both"/>
        <w:rPr>
          <w:rFonts w:cs="Arial"/>
          <w:szCs w:val="20"/>
        </w:rPr>
      </w:pPr>
      <w:r w:rsidRPr="00B3784F">
        <w:rPr>
          <w:rFonts w:cs="Arial"/>
          <w:szCs w:val="20"/>
        </w:rPr>
        <w:t>Prvi zavezanec v primerjavi s sistemom normiranih odhodkov (Tabela 4) doseže celo nižji neto dohodek, kar kaže še na eno neenakost med zavezanci z različnimi dejanskimi odhodki, ki jo prinaša sistem normiranih odhodkov. Torej določenim zavezancem z višjimi odhodki poenostavljen sistem prinaša višje davčno breme, ki ga lahko znižajo le z odpovedjo administrativni poenostavitvi (z vodenjem poslovnih knjig). Za zavezance z nizkimi odhodki pa sistem normiranih odhodkov prinaša tako poenostavitev kot tudi pomembne davčne in druge ugodnosti.</w:t>
      </w:r>
    </w:p>
    <w:p w14:paraId="049980A1" w14:textId="77777777" w:rsidR="00B3784F" w:rsidRPr="00B3784F" w:rsidRDefault="00B3784F" w:rsidP="00B3784F">
      <w:pPr>
        <w:spacing w:after="0" w:line="260" w:lineRule="atLeast"/>
        <w:contextualSpacing/>
        <w:jc w:val="both"/>
        <w:rPr>
          <w:rFonts w:cs="Arial"/>
          <w:szCs w:val="20"/>
        </w:rPr>
      </w:pPr>
    </w:p>
    <w:p w14:paraId="0FE8461B"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Prvi zavezanec v sistemu normiranih odhodkov doseže za 1.985 EUR nižji neto dohodek ter plača 2.287 EUR več davkov in prispevkov, kot v sistemu dejanskih prihodkov in odhodkov. Drugi zavezanec v sistemu normiranih odhodkov doseže za 8.747 EUR višji neto dohodek ter plača 18.998 EUR manj davkov in prispevkov, kot v sistemu dejanskih prihodkov in odhodkov, in sicer na račun tega, kot omenjeno zgoraj, da se mu kar 34.000 EUR dejanskega dohodka za namene obdavčitve in prispevkov za socialno varnost ne upošteva (učinek normiranja odhodkov). </w:t>
      </w:r>
    </w:p>
    <w:p w14:paraId="5CD63453" w14:textId="77777777" w:rsidR="00B3784F" w:rsidRPr="00B3784F" w:rsidRDefault="00B3784F" w:rsidP="00B3784F">
      <w:pPr>
        <w:spacing w:after="0" w:line="260" w:lineRule="atLeast"/>
        <w:contextualSpacing/>
        <w:jc w:val="both"/>
        <w:rPr>
          <w:rFonts w:cs="Arial"/>
          <w:szCs w:val="20"/>
        </w:rPr>
      </w:pPr>
    </w:p>
    <w:p w14:paraId="20A24F09" w14:textId="77777777" w:rsidR="00B3784F" w:rsidRPr="00B3784F" w:rsidRDefault="00B3784F" w:rsidP="00B3784F">
      <w:pPr>
        <w:spacing w:after="0" w:line="260" w:lineRule="atLeast"/>
        <w:contextualSpacing/>
        <w:jc w:val="both"/>
        <w:rPr>
          <w:rFonts w:cs="Arial"/>
          <w:szCs w:val="20"/>
        </w:rPr>
      </w:pPr>
      <w:r w:rsidRPr="00B3784F">
        <w:rPr>
          <w:rFonts w:cs="Arial"/>
          <w:szCs w:val="20"/>
        </w:rPr>
        <w:t>Spremembe na področju normiranih odhodkov vplivajo tudi na obnašanje na trgu dela. V nadaljevanju je učinek prikazan na dveh primerih.</w:t>
      </w:r>
    </w:p>
    <w:p w14:paraId="0DBEE1EA" w14:textId="77777777" w:rsidR="00B3784F" w:rsidRPr="00B3784F" w:rsidRDefault="00B3784F" w:rsidP="00B3784F">
      <w:pPr>
        <w:spacing w:after="0" w:line="260" w:lineRule="atLeast"/>
        <w:contextualSpacing/>
        <w:jc w:val="both"/>
        <w:rPr>
          <w:rFonts w:cs="Arial"/>
          <w:szCs w:val="20"/>
        </w:rPr>
      </w:pPr>
    </w:p>
    <w:p w14:paraId="6EED9915"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Vzemimo dva zavezanca, ki sta v delovnem razmerju. Oba opravljata delo na enako zahtevnem delovnem mestu. Plača obeh, skupaj z dodatki, povprečno na mesec znaša 5.000 EUR bruto. Prejmeta pa tudi povračilo stroškov prevoza na delo in z dela ter prehrane med delom. </w:t>
      </w:r>
    </w:p>
    <w:p w14:paraId="2C16BAFC" w14:textId="77777777" w:rsidR="00B3784F" w:rsidRPr="00B3784F" w:rsidRDefault="00B3784F" w:rsidP="00B3784F">
      <w:pPr>
        <w:spacing w:after="0" w:line="260" w:lineRule="atLeast"/>
        <w:contextualSpacing/>
        <w:jc w:val="both"/>
        <w:rPr>
          <w:rFonts w:cs="Arial"/>
          <w:szCs w:val="20"/>
        </w:rPr>
      </w:pPr>
    </w:p>
    <w:p w14:paraId="7F100EDD" w14:textId="77777777" w:rsidR="00B3784F" w:rsidRPr="00B3784F" w:rsidRDefault="00B3784F" w:rsidP="00B3784F">
      <w:pPr>
        <w:spacing w:after="0" w:line="260" w:lineRule="atLeast"/>
        <w:contextualSpacing/>
        <w:jc w:val="both"/>
        <w:rPr>
          <w:rFonts w:cs="Arial"/>
          <w:szCs w:val="20"/>
        </w:rPr>
      </w:pPr>
      <w:r w:rsidRPr="00B3784F">
        <w:rPr>
          <w:rFonts w:cs="Arial"/>
          <w:szCs w:val="20"/>
        </w:rPr>
        <w:t>Tabela 6: Prikaz mesečne davčne obveznosti, prispevkov za socialno varnost, zneska neto dohodka ter stroška dela, ki bremeni delodajalca dveh zavezancev pred odločitvijo enega za delno/celotno plačevanje prek statusa samostojnega podjetnika posameznika</w:t>
      </w:r>
    </w:p>
    <w:p w14:paraId="261732C4" w14:textId="77777777" w:rsidR="00B3784F" w:rsidRPr="00B3784F" w:rsidRDefault="00B3784F" w:rsidP="00B3784F">
      <w:pPr>
        <w:spacing w:after="0" w:line="260" w:lineRule="atLeast"/>
        <w:contextualSpacing/>
        <w:jc w:val="right"/>
        <w:rPr>
          <w:rFonts w:cs="Arial"/>
          <w:i/>
          <w:iCs/>
          <w:sz w:val="16"/>
          <w:szCs w:val="16"/>
        </w:rPr>
      </w:pPr>
      <w:r w:rsidRPr="00B3784F">
        <w:rPr>
          <w:rFonts w:cs="Arial"/>
          <w:i/>
          <w:iCs/>
          <w:sz w:val="16"/>
          <w:szCs w:val="16"/>
        </w:rPr>
        <w:t>Zneski v EUR</w:t>
      </w:r>
    </w:p>
    <w:tbl>
      <w:tblPr>
        <w:tblStyle w:val="Tabelamrea"/>
        <w:tblW w:w="9478" w:type="dxa"/>
        <w:tblLook w:val="04A0" w:firstRow="1" w:lastRow="0" w:firstColumn="1" w:lastColumn="0" w:noHBand="0" w:noVBand="1"/>
      </w:tblPr>
      <w:tblGrid>
        <w:gridCol w:w="4741"/>
        <w:gridCol w:w="2368"/>
        <w:gridCol w:w="2369"/>
      </w:tblGrid>
      <w:tr w:rsidR="00E9128C" w:rsidRPr="00B3784F" w14:paraId="7D111A42" w14:textId="77777777" w:rsidTr="00E7465F">
        <w:trPr>
          <w:trHeight w:val="280"/>
        </w:trPr>
        <w:tc>
          <w:tcPr>
            <w:tcW w:w="4741" w:type="dxa"/>
            <w:shd w:val="clear" w:color="auto" w:fill="D5DCE4"/>
          </w:tcPr>
          <w:p w14:paraId="6303540E" w14:textId="77777777" w:rsidR="00B3784F" w:rsidRPr="00B3784F" w:rsidRDefault="00B3784F" w:rsidP="00B3784F">
            <w:pPr>
              <w:spacing w:line="260" w:lineRule="atLeast"/>
              <w:ind w:left="7200" w:firstLine="720"/>
              <w:rPr>
                <w:rFonts w:eastAsia="Times New Roman" w:cs="Arial"/>
                <w:bCs/>
              </w:rPr>
            </w:pPr>
          </w:p>
        </w:tc>
        <w:tc>
          <w:tcPr>
            <w:tcW w:w="2368" w:type="dxa"/>
            <w:shd w:val="clear" w:color="auto" w:fill="D5DCE4"/>
          </w:tcPr>
          <w:p w14:paraId="11BC8889" w14:textId="77777777" w:rsidR="00B3784F" w:rsidRPr="00B3784F" w:rsidRDefault="00B3784F" w:rsidP="00B3784F">
            <w:pPr>
              <w:spacing w:line="260" w:lineRule="atLeast"/>
              <w:rPr>
                <w:rFonts w:eastAsia="Times New Roman" w:cs="Arial"/>
              </w:rPr>
            </w:pPr>
            <w:r w:rsidRPr="00B3784F">
              <w:rPr>
                <w:rFonts w:eastAsia="Times New Roman" w:cs="Arial"/>
              </w:rPr>
              <w:t>Prvi zavezanec</w:t>
            </w:r>
          </w:p>
        </w:tc>
        <w:tc>
          <w:tcPr>
            <w:tcW w:w="2369" w:type="dxa"/>
            <w:shd w:val="clear" w:color="auto" w:fill="D5DCE4"/>
          </w:tcPr>
          <w:p w14:paraId="08CEB562" w14:textId="77777777" w:rsidR="00B3784F" w:rsidRPr="00B3784F" w:rsidRDefault="00B3784F" w:rsidP="00B3784F">
            <w:pPr>
              <w:spacing w:line="260" w:lineRule="atLeast"/>
              <w:rPr>
                <w:rFonts w:eastAsia="Times New Roman" w:cs="Arial"/>
              </w:rPr>
            </w:pPr>
            <w:r w:rsidRPr="00B3784F">
              <w:rPr>
                <w:rFonts w:eastAsia="Times New Roman" w:cs="Arial"/>
              </w:rPr>
              <w:t>Drugi zavezanec</w:t>
            </w:r>
          </w:p>
        </w:tc>
      </w:tr>
      <w:tr w:rsidR="00E9128C" w:rsidRPr="00B3784F" w14:paraId="174F0395" w14:textId="77777777" w:rsidTr="00E7465F">
        <w:trPr>
          <w:trHeight w:val="297"/>
        </w:trPr>
        <w:tc>
          <w:tcPr>
            <w:tcW w:w="4741" w:type="dxa"/>
          </w:tcPr>
          <w:p w14:paraId="142955E2" w14:textId="77777777" w:rsidR="00B3784F" w:rsidRPr="00B3784F" w:rsidRDefault="00B3784F" w:rsidP="00B3784F">
            <w:pPr>
              <w:spacing w:line="260" w:lineRule="atLeast"/>
              <w:rPr>
                <w:rFonts w:eastAsia="Times New Roman" w:cs="Arial"/>
              </w:rPr>
            </w:pPr>
            <w:r w:rsidRPr="00B3784F">
              <w:rPr>
                <w:rFonts w:eastAsia="Times New Roman" w:cs="Arial"/>
              </w:rPr>
              <w:t>Bruto dohodek - skupaj</w:t>
            </w:r>
          </w:p>
        </w:tc>
        <w:tc>
          <w:tcPr>
            <w:tcW w:w="2368" w:type="dxa"/>
          </w:tcPr>
          <w:p w14:paraId="10D074FA" w14:textId="77777777" w:rsidR="00B3784F" w:rsidRPr="00B3784F" w:rsidRDefault="00B3784F" w:rsidP="00B3784F">
            <w:pPr>
              <w:spacing w:line="260" w:lineRule="atLeast"/>
              <w:jc w:val="right"/>
              <w:rPr>
                <w:rFonts w:eastAsia="Times New Roman" w:cs="Arial"/>
              </w:rPr>
            </w:pPr>
            <w:r w:rsidRPr="00B3784F">
              <w:rPr>
                <w:rFonts w:eastAsia="Times New Roman" w:cs="Arial"/>
              </w:rPr>
              <w:t>5.300</w:t>
            </w:r>
          </w:p>
        </w:tc>
        <w:tc>
          <w:tcPr>
            <w:tcW w:w="2369" w:type="dxa"/>
          </w:tcPr>
          <w:p w14:paraId="2824654D" w14:textId="77777777" w:rsidR="00B3784F" w:rsidRPr="00B3784F" w:rsidRDefault="00B3784F" w:rsidP="00B3784F">
            <w:pPr>
              <w:spacing w:line="260" w:lineRule="atLeast"/>
              <w:jc w:val="right"/>
              <w:rPr>
                <w:rFonts w:eastAsia="Times New Roman" w:cs="Arial"/>
              </w:rPr>
            </w:pPr>
            <w:r w:rsidRPr="00B3784F">
              <w:rPr>
                <w:rFonts w:eastAsia="Times New Roman" w:cs="Arial"/>
              </w:rPr>
              <w:t>5.300</w:t>
            </w:r>
          </w:p>
        </w:tc>
      </w:tr>
      <w:tr w:rsidR="00E9128C" w:rsidRPr="00B3784F" w14:paraId="06C27DA5" w14:textId="77777777" w:rsidTr="00E7465F">
        <w:trPr>
          <w:trHeight w:val="280"/>
        </w:trPr>
        <w:tc>
          <w:tcPr>
            <w:tcW w:w="4741" w:type="dxa"/>
          </w:tcPr>
          <w:p w14:paraId="4D491EFB" w14:textId="77777777" w:rsidR="00B3784F" w:rsidRPr="00B3784F" w:rsidRDefault="00B3784F" w:rsidP="00B3784F">
            <w:pPr>
              <w:spacing w:line="260" w:lineRule="atLeast"/>
              <w:rPr>
                <w:rFonts w:eastAsia="Times New Roman" w:cs="Arial"/>
                <w:bCs/>
              </w:rPr>
            </w:pPr>
            <w:r w:rsidRPr="00B3784F">
              <w:rPr>
                <w:rFonts w:eastAsia="Times New Roman" w:cs="Arial"/>
                <w:bCs/>
              </w:rPr>
              <w:t>Bruto plača</w:t>
            </w:r>
          </w:p>
        </w:tc>
        <w:tc>
          <w:tcPr>
            <w:tcW w:w="2368" w:type="dxa"/>
          </w:tcPr>
          <w:p w14:paraId="09365156"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5.000</w:t>
            </w:r>
          </w:p>
        </w:tc>
        <w:tc>
          <w:tcPr>
            <w:tcW w:w="2369" w:type="dxa"/>
          </w:tcPr>
          <w:p w14:paraId="03DB1508"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5.000</w:t>
            </w:r>
          </w:p>
        </w:tc>
      </w:tr>
      <w:tr w:rsidR="00E9128C" w:rsidRPr="00B3784F" w14:paraId="5932C59B" w14:textId="77777777" w:rsidTr="00E7465F">
        <w:trPr>
          <w:trHeight w:val="280"/>
        </w:trPr>
        <w:tc>
          <w:tcPr>
            <w:tcW w:w="4741" w:type="dxa"/>
          </w:tcPr>
          <w:p w14:paraId="6E5ADD15" w14:textId="77777777" w:rsidR="00B3784F" w:rsidRPr="00B3784F" w:rsidRDefault="00B3784F" w:rsidP="00B3784F">
            <w:pPr>
              <w:spacing w:line="260" w:lineRule="atLeast"/>
              <w:rPr>
                <w:rFonts w:eastAsia="Times New Roman" w:cs="Arial"/>
                <w:bCs/>
              </w:rPr>
            </w:pPr>
            <w:r w:rsidRPr="00B3784F">
              <w:rPr>
                <w:rFonts w:eastAsia="Times New Roman" w:cs="Arial"/>
                <w:bCs/>
              </w:rPr>
              <w:t>Povračila stroškov (prehrana in prevoz - skupaj)</w:t>
            </w:r>
          </w:p>
        </w:tc>
        <w:tc>
          <w:tcPr>
            <w:tcW w:w="2368" w:type="dxa"/>
          </w:tcPr>
          <w:p w14:paraId="2EE06D09"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300</w:t>
            </w:r>
          </w:p>
        </w:tc>
        <w:tc>
          <w:tcPr>
            <w:tcW w:w="2369" w:type="dxa"/>
          </w:tcPr>
          <w:p w14:paraId="72C3B63A"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300</w:t>
            </w:r>
          </w:p>
        </w:tc>
      </w:tr>
      <w:tr w:rsidR="00E9128C" w:rsidRPr="00B3784F" w14:paraId="563A201C" w14:textId="77777777" w:rsidTr="00E7465F">
        <w:trPr>
          <w:trHeight w:val="896"/>
        </w:trPr>
        <w:tc>
          <w:tcPr>
            <w:tcW w:w="4741" w:type="dxa"/>
          </w:tcPr>
          <w:p w14:paraId="0BD3B2F0" w14:textId="77777777" w:rsidR="00B3784F" w:rsidRPr="00B3784F" w:rsidRDefault="00B3784F" w:rsidP="00B3784F">
            <w:pPr>
              <w:spacing w:line="260" w:lineRule="atLeast"/>
              <w:rPr>
                <w:rFonts w:eastAsia="Times New Roman" w:cs="Arial"/>
                <w:bCs/>
              </w:rPr>
            </w:pPr>
            <w:r w:rsidRPr="00B3784F">
              <w:rPr>
                <w:rFonts w:eastAsia="Times New Roman" w:cs="Arial"/>
                <w:bCs/>
              </w:rPr>
              <w:t>Prispevki za socialno varnost</w:t>
            </w:r>
          </w:p>
          <w:p w14:paraId="53845CAE" w14:textId="77777777" w:rsidR="00B3784F" w:rsidRPr="00B3784F" w:rsidRDefault="00B3784F" w:rsidP="00B3784F">
            <w:pPr>
              <w:numPr>
                <w:ilvl w:val="1"/>
                <w:numId w:val="3"/>
              </w:numPr>
              <w:spacing w:after="200" w:line="260" w:lineRule="atLeast"/>
              <w:contextualSpacing/>
              <w:jc w:val="both"/>
              <w:rPr>
                <w:rFonts w:eastAsia="Times New Roman" w:cs="Arial"/>
                <w:bCs/>
              </w:rPr>
            </w:pPr>
            <w:r w:rsidRPr="00B3784F">
              <w:rPr>
                <w:rFonts w:eastAsia="Times New Roman" w:cs="Arial"/>
                <w:bCs/>
              </w:rPr>
              <w:t>delodajalca</w:t>
            </w:r>
          </w:p>
          <w:p w14:paraId="17E46198" w14:textId="77777777" w:rsidR="00B3784F" w:rsidRPr="00B3784F" w:rsidRDefault="00B3784F" w:rsidP="00B3784F">
            <w:pPr>
              <w:numPr>
                <w:ilvl w:val="1"/>
                <w:numId w:val="3"/>
              </w:numPr>
              <w:spacing w:line="260" w:lineRule="atLeast"/>
              <w:ind w:left="1434" w:hanging="357"/>
              <w:contextualSpacing/>
              <w:jc w:val="both"/>
              <w:rPr>
                <w:rFonts w:eastAsia="Times New Roman" w:cs="Arial"/>
                <w:bCs/>
              </w:rPr>
            </w:pPr>
            <w:r w:rsidRPr="00B3784F">
              <w:rPr>
                <w:rFonts w:eastAsia="Times New Roman" w:cs="Arial"/>
                <w:bCs/>
              </w:rPr>
              <w:t>delojemalca</w:t>
            </w:r>
          </w:p>
        </w:tc>
        <w:tc>
          <w:tcPr>
            <w:tcW w:w="2368" w:type="dxa"/>
          </w:tcPr>
          <w:p w14:paraId="2F80CAA7" w14:textId="77777777" w:rsidR="00B3784F" w:rsidRPr="00B3784F" w:rsidRDefault="00B3784F" w:rsidP="00B3784F">
            <w:pPr>
              <w:spacing w:line="260" w:lineRule="atLeast"/>
              <w:jc w:val="right"/>
              <w:rPr>
                <w:rFonts w:eastAsia="Times New Roman" w:cs="Arial"/>
                <w:bCs/>
              </w:rPr>
            </w:pPr>
          </w:p>
          <w:p w14:paraId="7AEB389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855</w:t>
            </w:r>
          </w:p>
          <w:p w14:paraId="2CE7D7F9"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1.192</w:t>
            </w:r>
          </w:p>
        </w:tc>
        <w:tc>
          <w:tcPr>
            <w:tcW w:w="2369" w:type="dxa"/>
          </w:tcPr>
          <w:p w14:paraId="55552587" w14:textId="77777777" w:rsidR="00B3784F" w:rsidRPr="00B3784F" w:rsidRDefault="00B3784F" w:rsidP="00B3784F">
            <w:pPr>
              <w:spacing w:line="260" w:lineRule="atLeast"/>
              <w:jc w:val="right"/>
              <w:rPr>
                <w:rFonts w:eastAsia="Times New Roman" w:cs="Arial"/>
                <w:bCs/>
              </w:rPr>
            </w:pPr>
          </w:p>
          <w:p w14:paraId="3E8D7D1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855</w:t>
            </w:r>
          </w:p>
          <w:p w14:paraId="5505AFE7"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1.192</w:t>
            </w:r>
          </w:p>
        </w:tc>
      </w:tr>
      <w:tr w:rsidR="00E9128C" w:rsidRPr="00B3784F" w14:paraId="2A5AE952" w14:textId="77777777" w:rsidTr="00E7465F">
        <w:trPr>
          <w:trHeight w:val="280"/>
        </w:trPr>
        <w:tc>
          <w:tcPr>
            <w:tcW w:w="4741" w:type="dxa"/>
          </w:tcPr>
          <w:p w14:paraId="0EEEC14B" w14:textId="77777777" w:rsidR="00B3784F" w:rsidRPr="00B3784F" w:rsidRDefault="00B3784F" w:rsidP="00B3784F">
            <w:pPr>
              <w:spacing w:line="260" w:lineRule="atLeast"/>
              <w:rPr>
                <w:rFonts w:eastAsia="Times New Roman" w:cs="Arial"/>
                <w:bCs/>
              </w:rPr>
            </w:pPr>
            <w:r w:rsidRPr="00B3784F">
              <w:rPr>
                <w:rFonts w:eastAsia="Times New Roman" w:cs="Arial"/>
                <w:bCs/>
              </w:rPr>
              <w:t>Splošna olajšava</w:t>
            </w:r>
          </w:p>
        </w:tc>
        <w:tc>
          <w:tcPr>
            <w:tcW w:w="2368" w:type="dxa"/>
          </w:tcPr>
          <w:p w14:paraId="787A1C08"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438</w:t>
            </w:r>
          </w:p>
        </w:tc>
        <w:tc>
          <w:tcPr>
            <w:tcW w:w="2369" w:type="dxa"/>
          </w:tcPr>
          <w:p w14:paraId="7F924B2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438</w:t>
            </w:r>
          </w:p>
        </w:tc>
      </w:tr>
      <w:tr w:rsidR="00E9128C" w:rsidRPr="00B3784F" w14:paraId="066A3464" w14:textId="77777777" w:rsidTr="00E7465F">
        <w:trPr>
          <w:trHeight w:val="297"/>
        </w:trPr>
        <w:tc>
          <w:tcPr>
            <w:tcW w:w="4741" w:type="dxa"/>
            <w:tcBorders>
              <w:bottom w:val="single" w:sz="4" w:space="0" w:color="000000"/>
            </w:tcBorders>
          </w:tcPr>
          <w:p w14:paraId="7CB5BEE2" w14:textId="77777777" w:rsidR="00B3784F" w:rsidRPr="00B3784F" w:rsidRDefault="00B3784F" w:rsidP="00B3784F">
            <w:pPr>
              <w:spacing w:line="260" w:lineRule="atLeast"/>
              <w:rPr>
                <w:rFonts w:eastAsia="Times New Roman" w:cs="Arial"/>
                <w:bCs/>
              </w:rPr>
            </w:pPr>
            <w:r w:rsidRPr="00B3784F">
              <w:rPr>
                <w:rFonts w:eastAsia="Times New Roman" w:cs="Arial"/>
                <w:bCs/>
              </w:rPr>
              <w:t>Davčna osnova</w:t>
            </w:r>
          </w:p>
        </w:tc>
        <w:tc>
          <w:tcPr>
            <w:tcW w:w="2368" w:type="dxa"/>
            <w:tcBorders>
              <w:bottom w:val="single" w:sz="4" w:space="0" w:color="000000"/>
            </w:tcBorders>
          </w:tcPr>
          <w:p w14:paraId="6368EAF8"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3.369</w:t>
            </w:r>
          </w:p>
        </w:tc>
        <w:tc>
          <w:tcPr>
            <w:tcW w:w="2369" w:type="dxa"/>
            <w:tcBorders>
              <w:bottom w:val="single" w:sz="4" w:space="0" w:color="000000"/>
            </w:tcBorders>
          </w:tcPr>
          <w:p w14:paraId="4B0B2A7F"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3.369</w:t>
            </w:r>
          </w:p>
        </w:tc>
      </w:tr>
      <w:tr w:rsidR="00E9128C" w:rsidRPr="00B3784F" w14:paraId="294D819C" w14:textId="77777777" w:rsidTr="00E7465F">
        <w:trPr>
          <w:trHeight w:val="280"/>
        </w:trPr>
        <w:tc>
          <w:tcPr>
            <w:tcW w:w="4741" w:type="dxa"/>
            <w:shd w:val="clear" w:color="auto" w:fill="D9D9D9"/>
          </w:tcPr>
          <w:p w14:paraId="3368832C" w14:textId="77777777" w:rsidR="00B3784F" w:rsidRPr="00B3784F" w:rsidRDefault="00B3784F" w:rsidP="00B3784F">
            <w:pPr>
              <w:spacing w:line="260" w:lineRule="atLeast"/>
              <w:rPr>
                <w:rFonts w:eastAsia="Times New Roman" w:cs="Arial"/>
              </w:rPr>
            </w:pPr>
            <w:r w:rsidRPr="00B3784F">
              <w:rPr>
                <w:rFonts w:eastAsia="Times New Roman" w:cs="Arial"/>
              </w:rPr>
              <w:t xml:space="preserve">Davek </w:t>
            </w:r>
          </w:p>
        </w:tc>
        <w:tc>
          <w:tcPr>
            <w:tcW w:w="2368" w:type="dxa"/>
            <w:shd w:val="clear" w:color="auto" w:fill="D9D9D9"/>
          </w:tcPr>
          <w:p w14:paraId="4B7CF438" w14:textId="77777777" w:rsidR="00B3784F" w:rsidRPr="00B3784F" w:rsidRDefault="00B3784F" w:rsidP="00B3784F">
            <w:pPr>
              <w:spacing w:line="260" w:lineRule="atLeast"/>
              <w:jc w:val="right"/>
              <w:rPr>
                <w:rFonts w:eastAsia="Times New Roman" w:cs="Arial"/>
              </w:rPr>
            </w:pPr>
            <w:r w:rsidRPr="00B3784F">
              <w:rPr>
                <w:rFonts w:eastAsia="Times New Roman" w:cs="Arial"/>
              </w:rPr>
              <w:t>877</w:t>
            </w:r>
          </w:p>
        </w:tc>
        <w:tc>
          <w:tcPr>
            <w:tcW w:w="2369" w:type="dxa"/>
            <w:shd w:val="clear" w:color="auto" w:fill="D9D9D9"/>
          </w:tcPr>
          <w:p w14:paraId="13B1DBE4" w14:textId="77777777" w:rsidR="00B3784F" w:rsidRPr="00B3784F" w:rsidRDefault="00B3784F" w:rsidP="00B3784F">
            <w:pPr>
              <w:spacing w:line="260" w:lineRule="atLeast"/>
              <w:jc w:val="right"/>
              <w:rPr>
                <w:rFonts w:eastAsia="Times New Roman" w:cs="Arial"/>
              </w:rPr>
            </w:pPr>
            <w:r w:rsidRPr="00B3784F">
              <w:rPr>
                <w:rFonts w:eastAsia="Times New Roman" w:cs="Arial"/>
              </w:rPr>
              <w:t>877</w:t>
            </w:r>
          </w:p>
        </w:tc>
      </w:tr>
      <w:tr w:rsidR="00E9128C" w:rsidRPr="00B3784F" w14:paraId="2488EA61" w14:textId="77777777" w:rsidTr="00E7465F">
        <w:trPr>
          <w:trHeight w:val="280"/>
        </w:trPr>
        <w:tc>
          <w:tcPr>
            <w:tcW w:w="4741" w:type="dxa"/>
          </w:tcPr>
          <w:p w14:paraId="1D7217F7" w14:textId="77777777" w:rsidR="00B3784F" w:rsidRPr="00B3784F" w:rsidRDefault="00B3784F" w:rsidP="00B3784F">
            <w:pPr>
              <w:spacing w:line="260" w:lineRule="atLeast"/>
              <w:rPr>
                <w:rFonts w:eastAsia="Times New Roman" w:cs="Arial"/>
              </w:rPr>
            </w:pPr>
            <w:r w:rsidRPr="00B3784F">
              <w:rPr>
                <w:rFonts w:eastAsia="Times New Roman" w:cs="Arial"/>
              </w:rPr>
              <w:t>Neto dohodek</w:t>
            </w:r>
          </w:p>
        </w:tc>
        <w:tc>
          <w:tcPr>
            <w:tcW w:w="2368" w:type="dxa"/>
          </w:tcPr>
          <w:p w14:paraId="3D0E0D7C" w14:textId="77777777" w:rsidR="00B3784F" w:rsidRPr="00B3784F" w:rsidRDefault="00B3784F" w:rsidP="00B3784F">
            <w:pPr>
              <w:spacing w:line="260" w:lineRule="atLeast"/>
              <w:jc w:val="right"/>
              <w:rPr>
                <w:rFonts w:eastAsia="Times New Roman" w:cs="Arial"/>
              </w:rPr>
            </w:pPr>
            <w:r w:rsidRPr="00B3784F">
              <w:rPr>
                <w:rFonts w:eastAsia="Times New Roman" w:cs="Arial"/>
              </w:rPr>
              <w:t>3.231</w:t>
            </w:r>
          </w:p>
        </w:tc>
        <w:tc>
          <w:tcPr>
            <w:tcW w:w="2369" w:type="dxa"/>
          </w:tcPr>
          <w:p w14:paraId="5F283512" w14:textId="77777777" w:rsidR="00B3784F" w:rsidRPr="00B3784F" w:rsidRDefault="00B3784F" w:rsidP="00B3784F">
            <w:pPr>
              <w:spacing w:line="260" w:lineRule="atLeast"/>
              <w:jc w:val="right"/>
              <w:rPr>
                <w:rFonts w:eastAsia="Times New Roman" w:cs="Arial"/>
              </w:rPr>
            </w:pPr>
            <w:r w:rsidRPr="00B3784F">
              <w:rPr>
                <w:rFonts w:eastAsia="Times New Roman" w:cs="Arial"/>
              </w:rPr>
              <w:t>3.231</w:t>
            </w:r>
          </w:p>
        </w:tc>
      </w:tr>
      <w:tr w:rsidR="00E9128C" w:rsidRPr="00B3784F" w14:paraId="786B95B0" w14:textId="77777777" w:rsidTr="00E7465F">
        <w:trPr>
          <w:trHeight w:val="297"/>
        </w:trPr>
        <w:tc>
          <w:tcPr>
            <w:tcW w:w="4741" w:type="dxa"/>
          </w:tcPr>
          <w:p w14:paraId="339441DD" w14:textId="77777777" w:rsidR="00B3784F" w:rsidRPr="00B3784F" w:rsidRDefault="00B3784F" w:rsidP="00B3784F">
            <w:pPr>
              <w:spacing w:line="260" w:lineRule="atLeast"/>
              <w:rPr>
                <w:rFonts w:eastAsia="Times New Roman" w:cs="Arial"/>
              </w:rPr>
            </w:pPr>
            <w:r w:rsidRPr="00B3784F">
              <w:rPr>
                <w:rFonts w:eastAsia="Times New Roman" w:cs="Arial"/>
              </w:rPr>
              <w:t>Upoštevan dohodek po ZUPJS*</w:t>
            </w:r>
          </w:p>
        </w:tc>
        <w:tc>
          <w:tcPr>
            <w:tcW w:w="2368" w:type="dxa"/>
          </w:tcPr>
          <w:p w14:paraId="59AF7EB8" w14:textId="77777777" w:rsidR="00B3784F" w:rsidRPr="00B3784F" w:rsidRDefault="00B3784F" w:rsidP="00B3784F">
            <w:pPr>
              <w:spacing w:line="260" w:lineRule="atLeast"/>
              <w:jc w:val="right"/>
              <w:rPr>
                <w:rFonts w:eastAsia="Times New Roman" w:cs="Arial"/>
              </w:rPr>
            </w:pPr>
            <w:r w:rsidRPr="00B3784F">
              <w:rPr>
                <w:rFonts w:eastAsia="Times New Roman" w:cs="Arial"/>
              </w:rPr>
              <w:t>2.931</w:t>
            </w:r>
          </w:p>
        </w:tc>
        <w:tc>
          <w:tcPr>
            <w:tcW w:w="2369" w:type="dxa"/>
          </w:tcPr>
          <w:p w14:paraId="3C9D44F7" w14:textId="77777777" w:rsidR="00B3784F" w:rsidRPr="00B3784F" w:rsidRDefault="00B3784F" w:rsidP="00B3784F">
            <w:pPr>
              <w:spacing w:line="260" w:lineRule="atLeast"/>
              <w:jc w:val="right"/>
              <w:rPr>
                <w:rFonts w:eastAsia="Times New Roman" w:cs="Arial"/>
              </w:rPr>
            </w:pPr>
            <w:r w:rsidRPr="00B3784F">
              <w:rPr>
                <w:rFonts w:eastAsia="Times New Roman" w:cs="Arial"/>
              </w:rPr>
              <w:t>2.931</w:t>
            </w:r>
          </w:p>
        </w:tc>
      </w:tr>
      <w:tr w:rsidR="00E9128C" w:rsidRPr="00B3784F" w14:paraId="3DCC9414" w14:textId="77777777" w:rsidTr="00E7465F">
        <w:trPr>
          <w:trHeight w:val="280"/>
        </w:trPr>
        <w:tc>
          <w:tcPr>
            <w:tcW w:w="4741" w:type="dxa"/>
          </w:tcPr>
          <w:p w14:paraId="525A7899" w14:textId="77777777" w:rsidR="00B3784F" w:rsidRPr="00B3784F" w:rsidRDefault="00B3784F" w:rsidP="00B3784F">
            <w:pPr>
              <w:spacing w:line="260" w:lineRule="atLeast"/>
              <w:rPr>
                <w:rFonts w:eastAsia="Times New Roman" w:cs="Arial"/>
              </w:rPr>
            </w:pPr>
            <w:r w:rsidRPr="00B3784F">
              <w:rPr>
                <w:rFonts w:eastAsia="Times New Roman" w:cs="Arial"/>
              </w:rPr>
              <w:lastRenderedPageBreak/>
              <w:t>Strošek dela (strošek delodajalca)</w:t>
            </w:r>
          </w:p>
        </w:tc>
        <w:tc>
          <w:tcPr>
            <w:tcW w:w="2368" w:type="dxa"/>
          </w:tcPr>
          <w:p w14:paraId="73D16291" w14:textId="77777777" w:rsidR="00B3784F" w:rsidRPr="00B3784F" w:rsidRDefault="00B3784F" w:rsidP="00B3784F">
            <w:pPr>
              <w:spacing w:line="260" w:lineRule="atLeast"/>
              <w:jc w:val="right"/>
              <w:rPr>
                <w:rFonts w:eastAsia="Times New Roman" w:cs="Arial"/>
              </w:rPr>
            </w:pPr>
            <w:r w:rsidRPr="00B3784F">
              <w:rPr>
                <w:rFonts w:eastAsia="Times New Roman" w:cs="Arial"/>
              </w:rPr>
              <w:t>6.155</w:t>
            </w:r>
          </w:p>
        </w:tc>
        <w:tc>
          <w:tcPr>
            <w:tcW w:w="2369" w:type="dxa"/>
          </w:tcPr>
          <w:p w14:paraId="42BF3E7A" w14:textId="77777777" w:rsidR="00B3784F" w:rsidRPr="00B3784F" w:rsidRDefault="00B3784F" w:rsidP="00B3784F">
            <w:pPr>
              <w:spacing w:line="260" w:lineRule="atLeast"/>
              <w:jc w:val="right"/>
              <w:rPr>
                <w:rFonts w:eastAsia="Times New Roman" w:cs="Arial"/>
              </w:rPr>
            </w:pPr>
            <w:r w:rsidRPr="00B3784F">
              <w:rPr>
                <w:rFonts w:eastAsia="Times New Roman" w:cs="Arial"/>
              </w:rPr>
              <w:t>6.155</w:t>
            </w:r>
          </w:p>
        </w:tc>
      </w:tr>
    </w:tbl>
    <w:p w14:paraId="6C59A139"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Lastni preračuni MF</w:t>
      </w:r>
    </w:p>
    <w:p w14:paraId="458AFF5E"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 Dohodek, ki se upošteva pri ugotavljanju materialnega položaja pri uveljavljanju pravic iz javnih sredstev po ZUPJS.</w:t>
      </w:r>
    </w:p>
    <w:p w14:paraId="00739623" w14:textId="77777777" w:rsidR="00B3784F" w:rsidRPr="00B3784F" w:rsidRDefault="00B3784F" w:rsidP="00B3784F">
      <w:pPr>
        <w:spacing w:after="0" w:line="260" w:lineRule="atLeast"/>
        <w:contextualSpacing/>
        <w:jc w:val="both"/>
        <w:rPr>
          <w:rFonts w:cs="Arial"/>
          <w:szCs w:val="20"/>
        </w:rPr>
      </w:pPr>
    </w:p>
    <w:p w14:paraId="6D538026" w14:textId="77777777" w:rsidR="00B3784F" w:rsidRPr="00B3784F" w:rsidRDefault="00B3784F" w:rsidP="00B3784F">
      <w:pPr>
        <w:spacing w:after="0" w:line="260" w:lineRule="atLeast"/>
        <w:contextualSpacing/>
        <w:jc w:val="both"/>
        <w:rPr>
          <w:rFonts w:cs="Arial"/>
          <w:szCs w:val="20"/>
        </w:rPr>
      </w:pPr>
      <w:r w:rsidRPr="00B3784F">
        <w:rPr>
          <w:rFonts w:cs="Arial"/>
          <w:szCs w:val="20"/>
        </w:rPr>
        <w:t>Oba zavezanca in delodajalca sta izenačena na vseh elementih (neto dohodek, davki in prispevki, strošek dela).</w:t>
      </w:r>
    </w:p>
    <w:p w14:paraId="37681DEE" w14:textId="77777777" w:rsidR="00B3784F" w:rsidRPr="00B3784F" w:rsidRDefault="00B3784F" w:rsidP="00B3784F">
      <w:pPr>
        <w:spacing w:after="0" w:line="260" w:lineRule="atLeast"/>
        <w:contextualSpacing/>
        <w:jc w:val="both"/>
        <w:rPr>
          <w:rFonts w:cs="Arial"/>
          <w:szCs w:val="20"/>
        </w:rPr>
      </w:pPr>
    </w:p>
    <w:p w14:paraId="3050F6AC" w14:textId="77777777" w:rsidR="00B3784F" w:rsidRPr="00B3784F" w:rsidRDefault="00B3784F" w:rsidP="00B3784F">
      <w:pPr>
        <w:spacing w:after="0" w:line="260" w:lineRule="atLeast"/>
        <w:contextualSpacing/>
        <w:jc w:val="both"/>
        <w:rPr>
          <w:rFonts w:cs="Arial"/>
          <w:szCs w:val="20"/>
        </w:rPr>
      </w:pPr>
      <w:r w:rsidRPr="00B3784F">
        <w:rPr>
          <w:rFonts w:cs="Arial"/>
          <w:szCs w:val="20"/>
        </w:rPr>
        <w:t>A. Delodajalec drugega zavezanca se skupaj z njim v določenem trenutku odloči, da mu bo del plačila za delo plačeval prek pogodbe o poslovnem sodelovanju, ki jo sklene z njim. Ta ustanovi podjetje v pravno organizacijski obliki samostojnega podjetnika posameznika. Dogovorita se, da delavec prejme enako mesečno plačilo za delo, torej 5.000 EUR, pri čemer prek pogodbe o zaposlitvi prejme 2.000 EUR bruto ter povračila stroškov prevoza na delo in z dela ter prehrane med delom, prek pogodbe o poslovnem sodelovanju pa 3.000 EUR. Zavezanec izpolnjuje pogoje za vstop v sistem normiranih odhodkov, za kar se tudi odloči.</w:t>
      </w:r>
    </w:p>
    <w:p w14:paraId="2D13FBB4" w14:textId="77777777" w:rsidR="00B3784F" w:rsidRPr="00B3784F" w:rsidRDefault="00B3784F" w:rsidP="00B3784F">
      <w:pPr>
        <w:spacing w:after="0" w:line="260" w:lineRule="atLeast"/>
        <w:contextualSpacing/>
        <w:jc w:val="both"/>
        <w:rPr>
          <w:rFonts w:cs="Arial"/>
          <w:szCs w:val="20"/>
        </w:rPr>
      </w:pPr>
    </w:p>
    <w:p w14:paraId="72ABEC59" w14:textId="77777777" w:rsidR="00B3784F" w:rsidRPr="00B3784F" w:rsidRDefault="00B3784F" w:rsidP="00B3784F">
      <w:pPr>
        <w:spacing w:after="0" w:line="260" w:lineRule="atLeast"/>
        <w:contextualSpacing/>
        <w:jc w:val="both"/>
        <w:rPr>
          <w:rFonts w:cs="Arial"/>
          <w:szCs w:val="20"/>
        </w:rPr>
      </w:pPr>
      <w:r w:rsidRPr="00B3784F">
        <w:rPr>
          <w:rFonts w:cs="Arial"/>
          <w:szCs w:val="20"/>
        </w:rPr>
        <w:t>Tabela 7: Prikaz mesečne davčne obveznosti, prispevkov za socialno varnost, zneska neto dohodka ter stroška dela delodajalca drugega zavezanca po spremembi načina plačevanja za delo (delno prek pogodbe o zaposlitvi in delno prek pogodbe o poslovnem sodelovanju)</w:t>
      </w:r>
    </w:p>
    <w:p w14:paraId="489708DE" w14:textId="77777777" w:rsidR="00B3784F" w:rsidRPr="00B3784F" w:rsidRDefault="00B3784F" w:rsidP="00B3784F">
      <w:pPr>
        <w:spacing w:after="0" w:line="260" w:lineRule="atLeast"/>
        <w:contextualSpacing/>
        <w:jc w:val="right"/>
        <w:rPr>
          <w:rFonts w:cs="Arial"/>
          <w:i/>
          <w:iCs/>
          <w:sz w:val="16"/>
          <w:szCs w:val="16"/>
        </w:rPr>
      </w:pPr>
      <w:r w:rsidRPr="00B3784F">
        <w:rPr>
          <w:rFonts w:cs="Arial"/>
          <w:i/>
          <w:iCs/>
          <w:sz w:val="16"/>
          <w:szCs w:val="16"/>
        </w:rPr>
        <w:t>Zneski v EUR</w:t>
      </w:r>
    </w:p>
    <w:tbl>
      <w:tblPr>
        <w:tblStyle w:val="Tabelamrea"/>
        <w:tblW w:w="9425" w:type="dxa"/>
        <w:tblLook w:val="04A0" w:firstRow="1" w:lastRow="0" w:firstColumn="1" w:lastColumn="0" w:noHBand="0" w:noVBand="1"/>
      </w:tblPr>
      <w:tblGrid>
        <w:gridCol w:w="6967"/>
        <w:gridCol w:w="2458"/>
      </w:tblGrid>
      <w:tr w:rsidR="00E9128C" w:rsidRPr="00B3784F" w14:paraId="2D9F09E7" w14:textId="77777777" w:rsidTr="00E7465F">
        <w:trPr>
          <w:trHeight w:val="208"/>
        </w:trPr>
        <w:tc>
          <w:tcPr>
            <w:tcW w:w="6967" w:type="dxa"/>
            <w:tcBorders>
              <w:bottom w:val="single" w:sz="4" w:space="0" w:color="auto"/>
            </w:tcBorders>
            <w:shd w:val="clear" w:color="auto" w:fill="D5DCE4"/>
          </w:tcPr>
          <w:p w14:paraId="653C1446" w14:textId="77777777" w:rsidR="00B3784F" w:rsidRPr="00B3784F" w:rsidRDefault="00B3784F" w:rsidP="00B3784F">
            <w:pPr>
              <w:spacing w:line="260" w:lineRule="atLeast"/>
              <w:rPr>
                <w:rFonts w:eastAsia="Times New Roman" w:cs="Arial"/>
              </w:rPr>
            </w:pPr>
            <w:r w:rsidRPr="00B3784F">
              <w:rPr>
                <w:rFonts w:cs="Arial"/>
              </w:rPr>
              <w:tab/>
            </w:r>
          </w:p>
        </w:tc>
        <w:tc>
          <w:tcPr>
            <w:tcW w:w="2457" w:type="dxa"/>
            <w:tcBorders>
              <w:bottom w:val="single" w:sz="4" w:space="0" w:color="auto"/>
            </w:tcBorders>
            <w:shd w:val="clear" w:color="auto" w:fill="D5DCE4"/>
          </w:tcPr>
          <w:p w14:paraId="4CE2A349" w14:textId="77777777" w:rsidR="00B3784F" w:rsidRPr="00B3784F" w:rsidRDefault="00B3784F" w:rsidP="00B3784F">
            <w:pPr>
              <w:spacing w:line="260" w:lineRule="atLeast"/>
              <w:rPr>
                <w:rFonts w:eastAsia="Times New Roman" w:cs="Arial"/>
              </w:rPr>
            </w:pPr>
            <w:r w:rsidRPr="00B3784F">
              <w:rPr>
                <w:rFonts w:eastAsia="Times New Roman" w:cs="Arial"/>
              </w:rPr>
              <w:t>Drugi zavezanec</w:t>
            </w:r>
          </w:p>
        </w:tc>
      </w:tr>
      <w:tr w:rsidR="00E9128C" w:rsidRPr="00B3784F" w14:paraId="76ACB1A4" w14:textId="77777777" w:rsidTr="00E7465F">
        <w:trPr>
          <w:trHeight w:val="221"/>
        </w:trPr>
        <w:tc>
          <w:tcPr>
            <w:tcW w:w="9425" w:type="dxa"/>
            <w:gridSpan w:val="2"/>
            <w:tcBorders>
              <w:top w:val="single" w:sz="4" w:space="0" w:color="auto"/>
            </w:tcBorders>
            <w:shd w:val="clear" w:color="auto" w:fill="FBE4D5"/>
          </w:tcPr>
          <w:p w14:paraId="494BA95A" w14:textId="77777777" w:rsidR="00B3784F" w:rsidRPr="00B3784F" w:rsidRDefault="00B3784F" w:rsidP="00B3784F">
            <w:pPr>
              <w:spacing w:line="260" w:lineRule="atLeast"/>
              <w:rPr>
                <w:rFonts w:eastAsia="Times New Roman" w:cs="Arial"/>
              </w:rPr>
            </w:pPr>
            <w:r w:rsidRPr="00B3784F">
              <w:rPr>
                <w:rFonts w:eastAsia="Times New Roman" w:cs="Arial"/>
              </w:rPr>
              <w:t>1. Pogodba o zaposlitvi</w:t>
            </w:r>
          </w:p>
        </w:tc>
      </w:tr>
      <w:tr w:rsidR="00E9128C" w:rsidRPr="00B3784F" w14:paraId="64A75240" w14:textId="77777777" w:rsidTr="00E7465F">
        <w:trPr>
          <w:trHeight w:val="221"/>
        </w:trPr>
        <w:tc>
          <w:tcPr>
            <w:tcW w:w="6967" w:type="dxa"/>
          </w:tcPr>
          <w:p w14:paraId="5A27D983" w14:textId="77777777" w:rsidR="00B3784F" w:rsidRPr="00B3784F" w:rsidRDefault="00B3784F" w:rsidP="00B3784F">
            <w:pPr>
              <w:spacing w:line="260" w:lineRule="atLeast"/>
              <w:rPr>
                <w:rFonts w:eastAsia="Times New Roman" w:cs="Arial"/>
              </w:rPr>
            </w:pPr>
            <w:r w:rsidRPr="00B3784F">
              <w:rPr>
                <w:rFonts w:eastAsia="Times New Roman" w:cs="Arial"/>
              </w:rPr>
              <w:t>Bruto dohodek - skupaj</w:t>
            </w:r>
          </w:p>
        </w:tc>
        <w:tc>
          <w:tcPr>
            <w:tcW w:w="2457" w:type="dxa"/>
          </w:tcPr>
          <w:p w14:paraId="45D05706" w14:textId="77777777" w:rsidR="00B3784F" w:rsidRPr="00B3784F" w:rsidRDefault="00B3784F" w:rsidP="00B3784F">
            <w:pPr>
              <w:spacing w:line="260" w:lineRule="atLeast"/>
              <w:jc w:val="right"/>
              <w:rPr>
                <w:rFonts w:eastAsia="Times New Roman" w:cs="Arial"/>
              </w:rPr>
            </w:pPr>
            <w:r w:rsidRPr="00B3784F">
              <w:rPr>
                <w:rFonts w:eastAsia="Times New Roman" w:cs="Arial"/>
              </w:rPr>
              <w:t>2.300</w:t>
            </w:r>
          </w:p>
        </w:tc>
      </w:tr>
      <w:tr w:rsidR="00E9128C" w:rsidRPr="00B3784F" w14:paraId="4BCC42FA" w14:textId="77777777" w:rsidTr="00E7465F">
        <w:trPr>
          <w:trHeight w:val="221"/>
        </w:trPr>
        <w:tc>
          <w:tcPr>
            <w:tcW w:w="6967" w:type="dxa"/>
          </w:tcPr>
          <w:p w14:paraId="020B4FA0" w14:textId="77777777" w:rsidR="00B3784F" w:rsidRPr="00B3784F" w:rsidRDefault="00B3784F" w:rsidP="00B3784F">
            <w:pPr>
              <w:spacing w:line="260" w:lineRule="atLeast"/>
              <w:rPr>
                <w:rFonts w:eastAsia="Times New Roman" w:cs="Arial"/>
              </w:rPr>
            </w:pPr>
            <w:r w:rsidRPr="00B3784F">
              <w:rPr>
                <w:rFonts w:eastAsia="Times New Roman" w:cs="Arial"/>
              </w:rPr>
              <w:t>Bruto  plača</w:t>
            </w:r>
          </w:p>
        </w:tc>
        <w:tc>
          <w:tcPr>
            <w:tcW w:w="2457" w:type="dxa"/>
          </w:tcPr>
          <w:p w14:paraId="06FA4F99" w14:textId="77777777" w:rsidR="00B3784F" w:rsidRPr="00B3784F" w:rsidRDefault="00B3784F" w:rsidP="00B3784F">
            <w:pPr>
              <w:spacing w:line="260" w:lineRule="atLeast"/>
              <w:jc w:val="right"/>
              <w:rPr>
                <w:rFonts w:eastAsia="Times New Roman" w:cs="Arial"/>
              </w:rPr>
            </w:pPr>
            <w:r w:rsidRPr="00B3784F">
              <w:rPr>
                <w:rFonts w:eastAsia="Times New Roman" w:cs="Arial"/>
              </w:rPr>
              <w:t>2.000</w:t>
            </w:r>
          </w:p>
        </w:tc>
      </w:tr>
      <w:tr w:rsidR="00E9128C" w:rsidRPr="00B3784F" w14:paraId="2FE344E9" w14:textId="77777777" w:rsidTr="00E7465F">
        <w:trPr>
          <w:trHeight w:val="208"/>
        </w:trPr>
        <w:tc>
          <w:tcPr>
            <w:tcW w:w="6967" w:type="dxa"/>
          </w:tcPr>
          <w:p w14:paraId="76324999" w14:textId="77777777" w:rsidR="00B3784F" w:rsidRPr="00B3784F" w:rsidRDefault="00B3784F" w:rsidP="00B3784F">
            <w:pPr>
              <w:spacing w:line="260" w:lineRule="atLeast"/>
              <w:rPr>
                <w:rFonts w:eastAsia="Times New Roman" w:cs="Arial"/>
                <w:bCs/>
              </w:rPr>
            </w:pPr>
            <w:r w:rsidRPr="00B3784F">
              <w:rPr>
                <w:rFonts w:eastAsia="Times New Roman" w:cs="Arial"/>
                <w:bCs/>
              </w:rPr>
              <w:t xml:space="preserve">Povračila stroškov </w:t>
            </w:r>
          </w:p>
        </w:tc>
        <w:tc>
          <w:tcPr>
            <w:tcW w:w="2457" w:type="dxa"/>
          </w:tcPr>
          <w:p w14:paraId="023E6CD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300</w:t>
            </w:r>
          </w:p>
        </w:tc>
      </w:tr>
      <w:tr w:rsidR="00E9128C" w:rsidRPr="00B3784F" w14:paraId="1502DF16" w14:textId="77777777" w:rsidTr="00E7465F">
        <w:trPr>
          <w:trHeight w:val="666"/>
        </w:trPr>
        <w:tc>
          <w:tcPr>
            <w:tcW w:w="6967" w:type="dxa"/>
          </w:tcPr>
          <w:p w14:paraId="3CD76455" w14:textId="77777777" w:rsidR="00B3784F" w:rsidRPr="00B3784F" w:rsidRDefault="00B3784F" w:rsidP="00B3784F">
            <w:pPr>
              <w:spacing w:line="260" w:lineRule="atLeast"/>
              <w:rPr>
                <w:rFonts w:eastAsia="Times New Roman" w:cs="Arial"/>
                <w:bCs/>
              </w:rPr>
            </w:pPr>
            <w:r w:rsidRPr="00B3784F">
              <w:rPr>
                <w:rFonts w:eastAsia="Times New Roman" w:cs="Arial"/>
                <w:bCs/>
              </w:rPr>
              <w:t>Prispevki za socialno varnost</w:t>
            </w:r>
          </w:p>
          <w:p w14:paraId="2E30D883" w14:textId="77777777" w:rsidR="00B3784F" w:rsidRPr="00B3784F" w:rsidRDefault="00B3784F" w:rsidP="00B3784F">
            <w:pPr>
              <w:numPr>
                <w:ilvl w:val="1"/>
                <w:numId w:val="3"/>
              </w:numPr>
              <w:spacing w:line="260" w:lineRule="atLeast"/>
              <w:ind w:left="1434" w:hanging="357"/>
              <w:contextualSpacing/>
              <w:jc w:val="both"/>
              <w:rPr>
                <w:rFonts w:eastAsia="Times New Roman" w:cs="Arial"/>
                <w:bCs/>
              </w:rPr>
            </w:pPr>
            <w:r w:rsidRPr="00B3784F">
              <w:rPr>
                <w:rFonts w:eastAsia="Times New Roman" w:cs="Arial"/>
                <w:bCs/>
              </w:rPr>
              <w:t>delodajalca</w:t>
            </w:r>
          </w:p>
          <w:p w14:paraId="22EEE5F2" w14:textId="77777777" w:rsidR="00B3784F" w:rsidRPr="00B3784F" w:rsidRDefault="00B3784F" w:rsidP="00B3784F">
            <w:pPr>
              <w:numPr>
                <w:ilvl w:val="1"/>
                <w:numId w:val="3"/>
              </w:numPr>
              <w:spacing w:line="260" w:lineRule="atLeast"/>
              <w:ind w:left="1434" w:hanging="357"/>
              <w:contextualSpacing/>
              <w:jc w:val="both"/>
              <w:rPr>
                <w:rFonts w:eastAsia="Times New Roman" w:cs="Arial"/>
                <w:bCs/>
              </w:rPr>
            </w:pPr>
            <w:r w:rsidRPr="00B3784F">
              <w:rPr>
                <w:rFonts w:eastAsia="Times New Roman" w:cs="Arial"/>
                <w:bCs/>
              </w:rPr>
              <w:t>delojemalca</w:t>
            </w:r>
          </w:p>
        </w:tc>
        <w:tc>
          <w:tcPr>
            <w:tcW w:w="2457" w:type="dxa"/>
          </w:tcPr>
          <w:p w14:paraId="41F82BE9" w14:textId="77777777" w:rsidR="00B3784F" w:rsidRPr="00B3784F" w:rsidRDefault="00B3784F" w:rsidP="00B3784F">
            <w:pPr>
              <w:spacing w:line="260" w:lineRule="atLeast"/>
              <w:jc w:val="right"/>
              <w:rPr>
                <w:rFonts w:eastAsia="Times New Roman" w:cs="Arial"/>
                <w:bCs/>
              </w:rPr>
            </w:pPr>
          </w:p>
          <w:p w14:paraId="68B96FEB"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342</w:t>
            </w:r>
          </w:p>
          <w:p w14:paraId="2D078841"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499</w:t>
            </w:r>
          </w:p>
        </w:tc>
      </w:tr>
      <w:tr w:rsidR="00E9128C" w:rsidRPr="00B3784F" w14:paraId="02A38146" w14:textId="77777777" w:rsidTr="00E7465F">
        <w:trPr>
          <w:trHeight w:val="208"/>
        </w:trPr>
        <w:tc>
          <w:tcPr>
            <w:tcW w:w="6967" w:type="dxa"/>
          </w:tcPr>
          <w:p w14:paraId="2A350EAF" w14:textId="77777777" w:rsidR="00B3784F" w:rsidRPr="00B3784F" w:rsidRDefault="00B3784F" w:rsidP="00B3784F">
            <w:pPr>
              <w:spacing w:line="260" w:lineRule="atLeast"/>
              <w:rPr>
                <w:rFonts w:eastAsia="Times New Roman" w:cs="Arial"/>
                <w:bCs/>
              </w:rPr>
            </w:pPr>
            <w:r w:rsidRPr="00B3784F">
              <w:rPr>
                <w:rFonts w:eastAsia="Times New Roman" w:cs="Arial"/>
                <w:bCs/>
              </w:rPr>
              <w:t>Davčna osnova</w:t>
            </w:r>
          </w:p>
        </w:tc>
        <w:tc>
          <w:tcPr>
            <w:tcW w:w="2457" w:type="dxa"/>
          </w:tcPr>
          <w:p w14:paraId="5081122F"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1.062</w:t>
            </w:r>
          </w:p>
        </w:tc>
      </w:tr>
      <w:tr w:rsidR="00E9128C" w:rsidRPr="00B3784F" w14:paraId="1CEC0EDB" w14:textId="77777777" w:rsidTr="00E7465F">
        <w:trPr>
          <w:trHeight w:val="221"/>
        </w:trPr>
        <w:tc>
          <w:tcPr>
            <w:tcW w:w="6967" w:type="dxa"/>
            <w:shd w:val="clear" w:color="auto" w:fill="D9D9D9"/>
          </w:tcPr>
          <w:p w14:paraId="55A318FE" w14:textId="77777777" w:rsidR="00B3784F" w:rsidRPr="00B3784F" w:rsidRDefault="00B3784F" w:rsidP="00B3784F">
            <w:pPr>
              <w:spacing w:line="260" w:lineRule="atLeast"/>
              <w:rPr>
                <w:rFonts w:eastAsia="Times New Roman" w:cs="Arial"/>
              </w:rPr>
            </w:pPr>
            <w:r w:rsidRPr="00B3784F">
              <w:rPr>
                <w:rFonts w:eastAsia="Times New Roman" w:cs="Arial"/>
              </w:rPr>
              <w:t>Davek</w:t>
            </w:r>
          </w:p>
        </w:tc>
        <w:tc>
          <w:tcPr>
            <w:tcW w:w="2457" w:type="dxa"/>
            <w:shd w:val="clear" w:color="auto" w:fill="D9D9D9"/>
          </w:tcPr>
          <w:p w14:paraId="6D02BBD0" w14:textId="77777777" w:rsidR="00B3784F" w:rsidRPr="00B3784F" w:rsidRDefault="00B3784F" w:rsidP="00B3784F">
            <w:pPr>
              <w:spacing w:line="260" w:lineRule="atLeast"/>
              <w:jc w:val="right"/>
              <w:rPr>
                <w:rFonts w:eastAsia="Times New Roman" w:cs="Arial"/>
              </w:rPr>
            </w:pPr>
            <w:r w:rsidRPr="00B3784F">
              <w:rPr>
                <w:rFonts w:eastAsia="Times New Roman" w:cs="Arial"/>
              </w:rPr>
              <w:t>199</w:t>
            </w:r>
          </w:p>
        </w:tc>
      </w:tr>
      <w:tr w:rsidR="00E9128C" w:rsidRPr="00B3784F" w14:paraId="0ED91131" w14:textId="77777777" w:rsidTr="00E7465F">
        <w:trPr>
          <w:trHeight w:val="208"/>
        </w:trPr>
        <w:tc>
          <w:tcPr>
            <w:tcW w:w="6967" w:type="dxa"/>
          </w:tcPr>
          <w:p w14:paraId="27029771" w14:textId="77777777" w:rsidR="00B3784F" w:rsidRPr="00B3784F" w:rsidRDefault="00B3784F" w:rsidP="00B3784F">
            <w:pPr>
              <w:spacing w:line="260" w:lineRule="atLeast"/>
              <w:rPr>
                <w:rFonts w:eastAsia="Times New Roman" w:cs="Arial"/>
              </w:rPr>
            </w:pPr>
            <w:r w:rsidRPr="00B3784F">
              <w:rPr>
                <w:rFonts w:eastAsia="Times New Roman" w:cs="Arial"/>
              </w:rPr>
              <w:t>Neto dohodek</w:t>
            </w:r>
          </w:p>
        </w:tc>
        <w:tc>
          <w:tcPr>
            <w:tcW w:w="2457" w:type="dxa"/>
          </w:tcPr>
          <w:p w14:paraId="29788027" w14:textId="77777777" w:rsidR="00B3784F" w:rsidRPr="00B3784F" w:rsidRDefault="00B3784F" w:rsidP="00B3784F">
            <w:pPr>
              <w:spacing w:line="260" w:lineRule="atLeast"/>
              <w:jc w:val="right"/>
              <w:rPr>
                <w:rFonts w:eastAsia="Times New Roman" w:cs="Arial"/>
              </w:rPr>
            </w:pPr>
            <w:r w:rsidRPr="00B3784F">
              <w:rPr>
                <w:rFonts w:eastAsia="Times New Roman" w:cs="Arial"/>
              </w:rPr>
              <w:t>1.602</w:t>
            </w:r>
          </w:p>
        </w:tc>
      </w:tr>
      <w:tr w:rsidR="00E9128C" w:rsidRPr="00B3784F" w14:paraId="7A918CD3" w14:textId="77777777" w:rsidTr="00E7465F">
        <w:trPr>
          <w:trHeight w:val="208"/>
        </w:trPr>
        <w:tc>
          <w:tcPr>
            <w:tcW w:w="6967" w:type="dxa"/>
          </w:tcPr>
          <w:p w14:paraId="3875410B" w14:textId="77777777" w:rsidR="00B3784F" w:rsidRPr="00B3784F" w:rsidRDefault="00B3784F" w:rsidP="00B3784F">
            <w:pPr>
              <w:spacing w:line="260" w:lineRule="atLeast"/>
              <w:rPr>
                <w:rFonts w:eastAsia="Times New Roman" w:cs="Arial"/>
              </w:rPr>
            </w:pPr>
            <w:r w:rsidRPr="00B3784F">
              <w:rPr>
                <w:rFonts w:eastAsia="Times New Roman" w:cs="Arial"/>
              </w:rPr>
              <w:t>Upoštevan dohodek po ZUPJS*</w:t>
            </w:r>
          </w:p>
        </w:tc>
        <w:tc>
          <w:tcPr>
            <w:tcW w:w="2457" w:type="dxa"/>
          </w:tcPr>
          <w:p w14:paraId="054D1E56" w14:textId="77777777" w:rsidR="00B3784F" w:rsidRPr="00B3784F" w:rsidRDefault="00B3784F" w:rsidP="00B3784F">
            <w:pPr>
              <w:spacing w:line="260" w:lineRule="atLeast"/>
              <w:jc w:val="right"/>
              <w:rPr>
                <w:rFonts w:eastAsia="Times New Roman" w:cs="Arial"/>
              </w:rPr>
            </w:pPr>
            <w:r w:rsidRPr="00B3784F">
              <w:rPr>
                <w:rFonts w:eastAsia="Times New Roman" w:cs="Arial"/>
              </w:rPr>
              <w:t>1.302</w:t>
            </w:r>
          </w:p>
        </w:tc>
      </w:tr>
      <w:tr w:rsidR="00E9128C" w:rsidRPr="00B3784F" w14:paraId="1536A6AA" w14:textId="77777777" w:rsidTr="00E7465F">
        <w:trPr>
          <w:trHeight w:val="208"/>
        </w:trPr>
        <w:tc>
          <w:tcPr>
            <w:tcW w:w="6967" w:type="dxa"/>
            <w:tcBorders>
              <w:bottom w:val="single" w:sz="4" w:space="0" w:color="000000"/>
            </w:tcBorders>
          </w:tcPr>
          <w:p w14:paraId="3CD474B6" w14:textId="77777777" w:rsidR="00B3784F" w:rsidRPr="00B3784F" w:rsidRDefault="00B3784F" w:rsidP="00B3784F">
            <w:pPr>
              <w:spacing w:line="260" w:lineRule="atLeast"/>
              <w:rPr>
                <w:rFonts w:eastAsia="Times New Roman" w:cs="Arial"/>
              </w:rPr>
            </w:pPr>
            <w:r w:rsidRPr="00B3784F">
              <w:rPr>
                <w:rFonts w:eastAsia="Times New Roman" w:cs="Arial"/>
              </w:rPr>
              <w:t>Strošek dela (strošek delodajalca)**</w:t>
            </w:r>
          </w:p>
        </w:tc>
        <w:tc>
          <w:tcPr>
            <w:tcW w:w="2457" w:type="dxa"/>
            <w:tcBorders>
              <w:bottom w:val="single" w:sz="4" w:space="0" w:color="000000"/>
            </w:tcBorders>
          </w:tcPr>
          <w:p w14:paraId="3D8E3FE9" w14:textId="77777777" w:rsidR="00B3784F" w:rsidRPr="00B3784F" w:rsidRDefault="00B3784F" w:rsidP="00B3784F">
            <w:pPr>
              <w:spacing w:line="260" w:lineRule="atLeast"/>
              <w:jc w:val="right"/>
              <w:rPr>
                <w:rFonts w:eastAsia="Times New Roman" w:cs="Arial"/>
              </w:rPr>
            </w:pPr>
            <w:r w:rsidRPr="00B3784F">
              <w:rPr>
                <w:rFonts w:eastAsia="Times New Roman" w:cs="Arial"/>
              </w:rPr>
              <w:t>2.642</w:t>
            </w:r>
          </w:p>
        </w:tc>
      </w:tr>
      <w:tr w:rsidR="00E9128C" w:rsidRPr="00B3784F" w14:paraId="7BE20C6F" w14:textId="77777777" w:rsidTr="00E7465F">
        <w:trPr>
          <w:trHeight w:val="221"/>
        </w:trPr>
        <w:tc>
          <w:tcPr>
            <w:tcW w:w="9425" w:type="dxa"/>
            <w:gridSpan w:val="2"/>
            <w:shd w:val="clear" w:color="auto" w:fill="FBE4D5"/>
          </w:tcPr>
          <w:p w14:paraId="6CA47324" w14:textId="77777777" w:rsidR="00B3784F" w:rsidRPr="00B3784F" w:rsidRDefault="00B3784F" w:rsidP="00B3784F">
            <w:pPr>
              <w:spacing w:line="260" w:lineRule="atLeast"/>
              <w:rPr>
                <w:rFonts w:eastAsia="Times New Roman" w:cs="Arial"/>
                <w:bCs/>
              </w:rPr>
            </w:pPr>
            <w:r w:rsidRPr="00B3784F">
              <w:rPr>
                <w:rFonts w:eastAsia="Times New Roman" w:cs="Arial"/>
              </w:rPr>
              <w:t>2. Pogodba o poslovnem sodelovanju (s.p)</w:t>
            </w:r>
          </w:p>
        </w:tc>
      </w:tr>
      <w:tr w:rsidR="00E9128C" w:rsidRPr="00B3784F" w14:paraId="3666E67C" w14:textId="77777777" w:rsidTr="00E7465F">
        <w:trPr>
          <w:trHeight w:val="208"/>
        </w:trPr>
        <w:tc>
          <w:tcPr>
            <w:tcW w:w="6967" w:type="dxa"/>
          </w:tcPr>
          <w:p w14:paraId="2A03EEF1" w14:textId="77777777" w:rsidR="00B3784F" w:rsidRPr="00B3784F" w:rsidRDefault="00B3784F" w:rsidP="00B3784F">
            <w:pPr>
              <w:spacing w:line="260" w:lineRule="atLeast"/>
              <w:rPr>
                <w:rFonts w:eastAsia="Times New Roman" w:cs="Arial"/>
              </w:rPr>
            </w:pPr>
            <w:r w:rsidRPr="00B3784F">
              <w:rPr>
                <w:rFonts w:eastAsia="Times New Roman" w:cs="Arial"/>
              </w:rPr>
              <w:t>Dejanski prihodki</w:t>
            </w:r>
          </w:p>
        </w:tc>
        <w:tc>
          <w:tcPr>
            <w:tcW w:w="2457" w:type="dxa"/>
          </w:tcPr>
          <w:p w14:paraId="73F26DB0" w14:textId="77777777" w:rsidR="00B3784F" w:rsidRPr="00B3784F" w:rsidRDefault="00B3784F" w:rsidP="00B3784F">
            <w:pPr>
              <w:spacing w:line="260" w:lineRule="atLeast"/>
              <w:jc w:val="right"/>
              <w:rPr>
                <w:rFonts w:eastAsia="Times New Roman" w:cs="Arial"/>
              </w:rPr>
            </w:pPr>
            <w:r w:rsidRPr="00B3784F">
              <w:rPr>
                <w:rFonts w:eastAsia="Times New Roman" w:cs="Arial"/>
              </w:rPr>
              <w:t>3.000</w:t>
            </w:r>
          </w:p>
        </w:tc>
      </w:tr>
      <w:tr w:rsidR="00E9128C" w:rsidRPr="00B3784F" w14:paraId="08D30A99" w14:textId="77777777" w:rsidTr="00E7465F">
        <w:trPr>
          <w:trHeight w:val="431"/>
        </w:trPr>
        <w:tc>
          <w:tcPr>
            <w:tcW w:w="6967" w:type="dxa"/>
          </w:tcPr>
          <w:p w14:paraId="24A4EC1B" w14:textId="77777777" w:rsidR="00B3784F" w:rsidRPr="00B3784F" w:rsidRDefault="00B3784F" w:rsidP="00B3784F">
            <w:pPr>
              <w:spacing w:line="260" w:lineRule="atLeast"/>
              <w:rPr>
                <w:rFonts w:eastAsia="Times New Roman" w:cs="Arial"/>
                <w:bCs/>
              </w:rPr>
            </w:pPr>
            <w:r w:rsidRPr="00B3784F">
              <w:rPr>
                <w:rFonts w:eastAsia="Times New Roman" w:cs="Arial"/>
                <w:bCs/>
              </w:rPr>
              <w:t>Dejanski odhodki (vključujejo prispevke za socialno varnost, znesek bančnih provizij in drugih stroškov)</w:t>
            </w:r>
          </w:p>
        </w:tc>
        <w:tc>
          <w:tcPr>
            <w:tcW w:w="2457" w:type="dxa"/>
          </w:tcPr>
          <w:p w14:paraId="66027F1B"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150</w:t>
            </w:r>
          </w:p>
        </w:tc>
      </w:tr>
      <w:tr w:rsidR="00E9128C" w:rsidRPr="00B3784F" w14:paraId="1FA03C1E" w14:textId="77777777" w:rsidTr="00E7465F">
        <w:trPr>
          <w:trHeight w:val="208"/>
        </w:trPr>
        <w:tc>
          <w:tcPr>
            <w:tcW w:w="6967" w:type="dxa"/>
          </w:tcPr>
          <w:p w14:paraId="234A569E" w14:textId="77777777" w:rsidR="00B3784F" w:rsidRPr="00B3784F" w:rsidRDefault="00B3784F" w:rsidP="00B3784F">
            <w:pPr>
              <w:spacing w:line="260" w:lineRule="atLeast"/>
              <w:rPr>
                <w:rFonts w:eastAsia="Times New Roman" w:cs="Arial"/>
                <w:bCs/>
              </w:rPr>
            </w:pPr>
            <w:r w:rsidRPr="00B3784F">
              <w:rPr>
                <w:rFonts w:eastAsia="Times New Roman" w:cs="Arial"/>
                <w:bCs/>
              </w:rPr>
              <w:t>Normirani odhodki</w:t>
            </w:r>
          </w:p>
        </w:tc>
        <w:tc>
          <w:tcPr>
            <w:tcW w:w="2457" w:type="dxa"/>
          </w:tcPr>
          <w:p w14:paraId="75E9A65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2.400</w:t>
            </w:r>
          </w:p>
        </w:tc>
      </w:tr>
      <w:tr w:rsidR="00E9128C" w:rsidRPr="00B3784F" w14:paraId="225C1841" w14:textId="77777777" w:rsidTr="00E7465F">
        <w:trPr>
          <w:trHeight w:val="221"/>
        </w:trPr>
        <w:tc>
          <w:tcPr>
            <w:tcW w:w="6967" w:type="dxa"/>
          </w:tcPr>
          <w:p w14:paraId="612F07F7" w14:textId="77777777" w:rsidR="00B3784F" w:rsidRPr="00B3784F" w:rsidRDefault="00B3784F" w:rsidP="00B3784F">
            <w:pPr>
              <w:spacing w:line="260" w:lineRule="atLeast"/>
              <w:rPr>
                <w:rFonts w:eastAsia="Times New Roman" w:cs="Arial"/>
                <w:bCs/>
              </w:rPr>
            </w:pPr>
            <w:r w:rsidRPr="00B3784F">
              <w:rPr>
                <w:rFonts w:eastAsia="Times New Roman" w:cs="Arial"/>
                <w:bCs/>
              </w:rPr>
              <w:t>Dohodek za namene obdavčitve</w:t>
            </w:r>
          </w:p>
        </w:tc>
        <w:tc>
          <w:tcPr>
            <w:tcW w:w="2457" w:type="dxa"/>
          </w:tcPr>
          <w:p w14:paraId="645169F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600</w:t>
            </w:r>
          </w:p>
        </w:tc>
      </w:tr>
      <w:tr w:rsidR="00E9128C" w:rsidRPr="00B3784F" w14:paraId="510D67E7" w14:textId="77777777" w:rsidTr="00E7465F">
        <w:trPr>
          <w:trHeight w:val="208"/>
        </w:trPr>
        <w:tc>
          <w:tcPr>
            <w:tcW w:w="6967" w:type="dxa"/>
          </w:tcPr>
          <w:p w14:paraId="421B4D6E" w14:textId="77777777" w:rsidR="00B3784F" w:rsidRPr="00B3784F" w:rsidRDefault="00B3784F" w:rsidP="00B3784F">
            <w:pPr>
              <w:spacing w:line="260" w:lineRule="atLeast"/>
              <w:rPr>
                <w:rFonts w:eastAsia="Times New Roman" w:cs="Arial"/>
                <w:bCs/>
              </w:rPr>
            </w:pPr>
            <w:r w:rsidRPr="00B3784F">
              <w:rPr>
                <w:rFonts w:eastAsia="Times New Roman" w:cs="Arial"/>
                <w:bCs/>
              </w:rPr>
              <w:t>Dejanski bruto dohodek</w:t>
            </w:r>
          </w:p>
        </w:tc>
        <w:tc>
          <w:tcPr>
            <w:tcW w:w="2457" w:type="dxa"/>
          </w:tcPr>
          <w:p w14:paraId="2C764A4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2.850</w:t>
            </w:r>
          </w:p>
        </w:tc>
      </w:tr>
      <w:tr w:rsidR="00E9128C" w:rsidRPr="00B3784F" w14:paraId="710CA4EB" w14:textId="77777777" w:rsidTr="00E7465F">
        <w:trPr>
          <w:trHeight w:val="208"/>
        </w:trPr>
        <w:tc>
          <w:tcPr>
            <w:tcW w:w="6967" w:type="dxa"/>
            <w:shd w:val="clear" w:color="auto" w:fill="D9D9D9"/>
          </w:tcPr>
          <w:p w14:paraId="0A57F365" w14:textId="77777777" w:rsidR="00B3784F" w:rsidRPr="00B3784F" w:rsidRDefault="00B3784F" w:rsidP="00B3784F">
            <w:pPr>
              <w:spacing w:line="260" w:lineRule="atLeast"/>
              <w:rPr>
                <w:rFonts w:eastAsia="Times New Roman" w:cs="Arial"/>
              </w:rPr>
            </w:pPr>
            <w:r w:rsidRPr="00B3784F">
              <w:rPr>
                <w:rFonts w:eastAsia="Times New Roman" w:cs="Arial"/>
              </w:rPr>
              <w:t>Davek</w:t>
            </w:r>
          </w:p>
        </w:tc>
        <w:tc>
          <w:tcPr>
            <w:tcW w:w="2457" w:type="dxa"/>
            <w:shd w:val="clear" w:color="auto" w:fill="D9D9D9"/>
          </w:tcPr>
          <w:p w14:paraId="6B212170" w14:textId="77777777" w:rsidR="00B3784F" w:rsidRPr="00B3784F" w:rsidRDefault="00B3784F" w:rsidP="00B3784F">
            <w:pPr>
              <w:spacing w:line="260" w:lineRule="atLeast"/>
              <w:jc w:val="right"/>
              <w:rPr>
                <w:rFonts w:eastAsia="Times New Roman" w:cs="Arial"/>
              </w:rPr>
            </w:pPr>
            <w:r w:rsidRPr="00B3784F">
              <w:rPr>
                <w:rFonts w:eastAsia="Times New Roman" w:cs="Arial"/>
              </w:rPr>
              <w:t>120</w:t>
            </w:r>
          </w:p>
        </w:tc>
      </w:tr>
      <w:tr w:rsidR="00E9128C" w:rsidRPr="00B3784F" w14:paraId="1412A99A" w14:textId="77777777" w:rsidTr="00E7465F">
        <w:trPr>
          <w:trHeight w:val="221"/>
        </w:trPr>
        <w:tc>
          <w:tcPr>
            <w:tcW w:w="6967" w:type="dxa"/>
          </w:tcPr>
          <w:p w14:paraId="0D1FC67B" w14:textId="77777777" w:rsidR="00B3784F" w:rsidRPr="00B3784F" w:rsidRDefault="00B3784F" w:rsidP="00B3784F">
            <w:pPr>
              <w:spacing w:line="260" w:lineRule="atLeast"/>
              <w:rPr>
                <w:rFonts w:eastAsia="Times New Roman" w:cs="Arial"/>
              </w:rPr>
            </w:pPr>
            <w:r w:rsidRPr="00B3784F">
              <w:rPr>
                <w:rFonts w:eastAsia="Times New Roman" w:cs="Arial"/>
              </w:rPr>
              <w:t>Prispevki za socialno varnost</w:t>
            </w:r>
          </w:p>
        </w:tc>
        <w:tc>
          <w:tcPr>
            <w:tcW w:w="2457" w:type="dxa"/>
          </w:tcPr>
          <w:p w14:paraId="170E20F2" w14:textId="77777777" w:rsidR="00B3784F" w:rsidRPr="00B3784F" w:rsidRDefault="00B3784F" w:rsidP="00B3784F">
            <w:pPr>
              <w:spacing w:line="260" w:lineRule="atLeast"/>
              <w:jc w:val="right"/>
              <w:rPr>
                <w:rFonts w:eastAsia="Times New Roman" w:cs="Arial"/>
              </w:rPr>
            </w:pPr>
            <w:r w:rsidRPr="00B3784F">
              <w:rPr>
                <w:rFonts w:eastAsia="Times New Roman" w:cs="Arial"/>
              </w:rPr>
              <w:t>106</w:t>
            </w:r>
          </w:p>
        </w:tc>
      </w:tr>
      <w:tr w:rsidR="00E9128C" w:rsidRPr="00B3784F" w14:paraId="59AC71D3" w14:textId="77777777" w:rsidTr="00E7465F">
        <w:trPr>
          <w:trHeight w:val="208"/>
        </w:trPr>
        <w:tc>
          <w:tcPr>
            <w:tcW w:w="6967" w:type="dxa"/>
          </w:tcPr>
          <w:p w14:paraId="2B012993" w14:textId="77777777" w:rsidR="00B3784F" w:rsidRPr="00B3784F" w:rsidRDefault="00B3784F" w:rsidP="00B3784F">
            <w:pPr>
              <w:spacing w:line="260" w:lineRule="atLeast"/>
              <w:rPr>
                <w:rFonts w:eastAsia="Times New Roman" w:cs="Arial"/>
              </w:rPr>
            </w:pPr>
            <w:r w:rsidRPr="00B3784F">
              <w:rPr>
                <w:rFonts w:eastAsia="Times New Roman" w:cs="Arial"/>
              </w:rPr>
              <w:t>Dejanski neto dohodek</w:t>
            </w:r>
          </w:p>
        </w:tc>
        <w:tc>
          <w:tcPr>
            <w:tcW w:w="2457" w:type="dxa"/>
          </w:tcPr>
          <w:p w14:paraId="66A4C1D2" w14:textId="77777777" w:rsidR="00B3784F" w:rsidRPr="00B3784F" w:rsidRDefault="00B3784F" w:rsidP="00B3784F">
            <w:pPr>
              <w:spacing w:line="260" w:lineRule="atLeast"/>
              <w:jc w:val="right"/>
              <w:rPr>
                <w:rFonts w:eastAsia="Times New Roman" w:cs="Arial"/>
              </w:rPr>
            </w:pPr>
            <w:r w:rsidRPr="00B3784F">
              <w:rPr>
                <w:rFonts w:eastAsia="Times New Roman" w:cs="Arial"/>
              </w:rPr>
              <w:t>2.730</w:t>
            </w:r>
          </w:p>
        </w:tc>
      </w:tr>
      <w:tr w:rsidR="00E9128C" w:rsidRPr="00B3784F" w14:paraId="684B768B" w14:textId="77777777" w:rsidTr="00E7465F">
        <w:trPr>
          <w:trHeight w:val="208"/>
        </w:trPr>
        <w:tc>
          <w:tcPr>
            <w:tcW w:w="6967" w:type="dxa"/>
          </w:tcPr>
          <w:p w14:paraId="47979201" w14:textId="77777777" w:rsidR="00B3784F" w:rsidRPr="00B3784F" w:rsidRDefault="00B3784F" w:rsidP="00B3784F">
            <w:pPr>
              <w:spacing w:line="260" w:lineRule="atLeast"/>
              <w:rPr>
                <w:rFonts w:eastAsia="Times New Roman" w:cs="Arial"/>
              </w:rPr>
            </w:pPr>
            <w:r w:rsidRPr="00B3784F">
              <w:rPr>
                <w:rFonts w:eastAsia="Times New Roman" w:cs="Arial"/>
              </w:rPr>
              <w:t>Upoštevan dohodek po ZUPJS*</w:t>
            </w:r>
          </w:p>
        </w:tc>
        <w:tc>
          <w:tcPr>
            <w:tcW w:w="2457" w:type="dxa"/>
          </w:tcPr>
          <w:p w14:paraId="1CC90EDA" w14:textId="77777777" w:rsidR="00B3784F" w:rsidRPr="00B3784F" w:rsidRDefault="00B3784F" w:rsidP="00B3784F">
            <w:pPr>
              <w:spacing w:line="260" w:lineRule="atLeast"/>
              <w:jc w:val="right"/>
              <w:rPr>
                <w:rFonts w:eastAsia="Times New Roman" w:cs="Arial"/>
              </w:rPr>
            </w:pPr>
            <w:r w:rsidRPr="00B3784F">
              <w:rPr>
                <w:rFonts w:eastAsia="Times New Roman" w:cs="Arial"/>
              </w:rPr>
              <w:t>480</w:t>
            </w:r>
          </w:p>
        </w:tc>
      </w:tr>
      <w:tr w:rsidR="00E9128C" w:rsidRPr="00B3784F" w14:paraId="5F04B807" w14:textId="77777777" w:rsidTr="00E7465F">
        <w:trPr>
          <w:trHeight w:val="208"/>
        </w:trPr>
        <w:tc>
          <w:tcPr>
            <w:tcW w:w="6967" w:type="dxa"/>
            <w:tcBorders>
              <w:bottom w:val="single" w:sz="4" w:space="0" w:color="000000"/>
            </w:tcBorders>
          </w:tcPr>
          <w:p w14:paraId="320F98ED" w14:textId="77777777" w:rsidR="00B3784F" w:rsidRPr="00B3784F" w:rsidRDefault="00B3784F" w:rsidP="00B3784F">
            <w:pPr>
              <w:spacing w:line="260" w:lineRule="atLeast"/>
              <w:rPr>
                <w:rFonts w:eastAsia="Times New Roman" w:cs="Arial"/>
              </w:rPr>
            </w:pPr>
            <w:r w:rsidRPr="00B3784F">
              <w:rPr>
                <w:rFonts w:eastAsia="Times New Roman" w:cs="Arial"/>
              </w:rPr>
              <w:t>Strošek dela (strošek delodajalca)**</w:t>
            </w:r>
          </w:p>
        </w:tc>
        <w:tc>
          <w:tcPr>
            <w:tcW w:w="2457" w:type="dxa"/>
            <w:tcBorders>
              <w:bottom w:val="single" w:sz="4" w:space="0" w:color="000000"/>
            </w:tcBorders>
          </w:tcPr>
          <w:p w14:paraId="1B6A7B31" w14:textId="77777777" w:rsidR="00B3784F" w:rsidRPr="00B3784F" w:rsidRDefault="00B3784F" w:rsidP="00B3784F">
            <w:pPr>
              <w:spacing w:line="260" w:lineRule="atLeast"/>
              <w:jc w:val="right"/>
              <w:rPr>
                <w:rFonts w:eastAsia="Times New Roman" w:cs="Arial"/>
              </w:rPr>
            </w:pPr>
            <w:r w:rsidRPr="00B3784F">
              <w:rPr>
                <w:rFonts w:eastAsia="Times New Roman" w:cs="Arial"/>
              </w:rPr>
              <w:t>3.000</w:t>
            </w:r>
          </w:p>
        </w:tc>
      </w:tr>
      <w:tr w:rsidR="00E9128C" w:rsidRPr="00B3784F" w14:paraId="5FC9D0E6" w14:textId="77777777" w:rsidTr="00E7465F">
        <w:trPr>
          <w:trHeight w:val="208"/>
        </w:trPr>
        <w:tc>
          <w:tcPr>
            <w:tcW w:w="9425" w:type="dxa"/>
            <w:gridSpan w:val="2"/>
            <w:shd w:val="clear" w:color="auto" w:fill="FBE4D5"/>
          </w:tcPr>
          <w:p w14:paraId="5314CB58" w14:textId="77777777" w:rsidR="00B3784F" w:rsidRPr="00B3784F" w:rsidRDefault="00B3784F" w:rsidP="00B3784F">
            <w:pPr>
              <w:spacing w:line="260" w:lineRule="atLeast"/>
              <w:rPr>
                <w:rFonts w:eastAsia="Times New Roman" w:cs="Arial"/>
                <w:bCs/>
              </w:rPr>
            </w:pPr>
            <w:r w:rsidRPr="00B3784F">
              <w:rPr>
                <w:rFonts w:eastAsia="Times New Roman" w:cs="Arial"/>
              </w:rPr>
              <w:t>3. Skupaj</w:t>
            </w:r>
          </w:p>
        </w:tc>
      </w:tr>
      <w:tr w:rsidR="00E9128C" w:rsidRPr="00B3784F" w14:paraId="74CEB58A" w14:textId="77777777" w:rsidTr="00E7465F">
        <w:trPr>
          <w:trHeight w:val="221"/>
        </w:trPr>
        <w:tc>
          <w:tcPr>
            <w:tcW w:w="6967" w:type="dxa"/>
            <w:tcBorders>
              <w:bottom w:val="single" w:sz="4" w:space="0" w:color="000000"/>
            </w:tcBorders>
          </w:tcPr>
          <w:p w14:paraId="5C5FF0E7" w14:textId="77777777" w:rsidR="00B3784F" w:rsidRPr="00B3784F" w:rsidRDefault="00B3784F" w:rsidP="00B3784F">
            <w:pPr>
              <w:spacing w:line="260" w:lineRule="atLeast"/>
              <w:rPr>
                <w:rFonts w:eastAsia="Times New Roman" w:cs="Arial"/>
              </w:rPr>
            </w:pPr>
            <w:r w:rsidRPr="00B3784F">
              <w:rPr>
                <w:rFonts w:eastAsia="Times New Roman" w:cs="Arial"/>
              </w:rPr>
              <w:t>Dejanski bruto dohodek</w:t>
            </w:r>
          </w:p>
        </w:tc>
        <w:tc>
          <w:tcPr>
            <w:tcW w:w="2457" w:type="dxa"/>
            <w:tcBorders>
              <w:bottom w:val="single" w:sz="4" w:space="0" w:color="000000"/>
            </w:tcBorders>
          </w:tcPr>
          <w:p w14:paraId="67A9B697" w14:textId="77777777" w:rsidR="00B3784F" w:rsidRPr="00B3784F" w:rsidRDefault="00B3784F" w:rsidP="00B3784F">
            <w:pPr>
              <w:spacing w:line="260" w:lineRule="atLeast"/>
              <w:jc w:val="right"/>
              <w:rPr>
                <w:rFonts w:eastAsia="Times New Roman" w:cs="Arial"/>
              </w:rPr>
            </w:pPr>
            <w:r w:rsidRPr="00B3784F">
              <w:rPr>
                <w:rFonts w:eastAsia="Times New Roman" w:cs="Arial"/>
              </w:rPr>
              <w:t>5.150</w:t>
            </w:r>
          </w:p>
        </w:tc>
      </w:tr>
      <w:tr w:rsidR="00E9128C" w:rsidRPr="00B3784F" w14:paraId="2DFEC504" w14:textId="77777777" w:rsidTr="00E7465F">
        <w:trPr>
          <w:trHeight w:val="208"/>
        </w:trPr>
        <w:tc>
          <w:tcPr>
            <w:tcW w:w="6967" w:type="dxa"/>
            <w:shd w:val="clear" w:color="auto" w:fill="D9D9D9"/>
          </w:tcPr>
          <w:p w14:paraId="3917648C" w14:textId="77777777" w:rsidR="00B3784F" w:rsidRPr="00B3784F" w:rsidRDefault="00B3784F" w:rsidP="00B3784F">
            <w:pPr>
              <w:spacing w:line="260" w:lineRule="atLeast"/>
              <w:rPr>
                <w:rFonts w:eastAsia="Times New Roman" w:cs="Arial"/>
              </w:rPr>
            </w:pPr>
            <w:bookmarkStart w:id="9" w:name="_Hlk207617010"/>
            <w:r w:rsidRPr="00B3784F">
              <w:rPr>
                <w:rFonts w:eastAsia="Times New Roman" w:cs="Arial"/>
              </w:rPr>
              <w:t>Davek</w:t>
            </w:r>
          </w:p>
        </w:tc>
        <w:tc>
          <w:tcPr>
            <w:tcW w:w="2457" w:type="dxa"/>
            <w:shd w:val="clear" w:color="auto" w:fill="D9D9D9"/>
          </w:tcPr>
          <w:p w14:paraId="51791A9C" w14:textId="77777777" w:rsidR="00B3784F" w:rsidRPr="00B3784F" w:rsidRDefault="00B3784F" w:rsidP="00B3784F">
            <w:pPr>
              <w:spacing w:line="260" w:lineRule="atLeast"/>
              <w:jc w:val="right"/>
              <w:rPr>
                <w:rFonts w:eastAsia="Times New Roman" w:cs="Arial"/>
              </w:rPr>
            </w:pPr>
            <w:r w:rsidRPr="00B3784F">
              <w:rPr>
                <w:rFonts w:eastAsia="Times New Roman" w:cs="Arial"/>
              </w:rPr>
              <w:t>319</w:t>
            </w:r>
          </w:p>
        </w:tc>
      </w:tr>
      <w:bookmarkEnd w:id="9"/>
      <w:tr w:rsidR="00E9128C" w:rsidRPr="00B3784F" w14:paraId="3D606477" w14:textId="77777777" w:rsidTr="00E7465F">
        <w:trPr>
          <w:trHeight w:val="208"/>
        </w:trPr>
        <w:tc>
          <w:tcPr>
            <w:tcW w:w="6967" w:type="dxa"/>
          </w:tcPr>
          <w:p w14:paraId="21D8E4F9" w14:textId="77777777" w:rsidR="00B3784F" w:rsidRPr="00B3784F" w:rsidRDefault="00B3784F" w:rsidP="00B3784F">
            <w:pPr>
              <w:spacing w:line="260" w:lineRule="atLeast"/>
              <w:rPr>
                <w:rFonts w:eastAsia="Times New Roman" w:cs="Arial"/>
              </w:rPr>
            </w:pPr>
            <w:r w:rsidRPr="00B3784F">
              <w:rPr>
                <w:rFonts w:eastAsia="Times New Roman" w:cs="Arial"/>
              </w:rPr>
              <w:t>Prispevki za socialno varnost</w:t>
            </w:r>
          </w:p>
        </w:tc>
        <w:tc>
          <w:tcPr>
            <w:tcW w:w="2457" w:type="dxa"/>
          </w:tcPr>
          <w:p w14:paraId="18D4F8FB" w14:textId="77777777" w:rsidR="00B3784F" w:rsidRPr="00B3784F" w:rsidRDefault="00B3784F" w:rsidP="00B3784F">
            <w:pPr>
              <w:spacing w:line="260" w:lineRule="atLeast"/>
              <w:jc w:val="right"/>
              <w:rPr>
                <w:rFonts w:eastAsia="Times New Roman" w:cs="Arial"/>
              </w:rPr>
            </w:pPr>
            <w:r w:rsidRPr="00B3784F">
              <w:rPr>
                <w:rFonts w:eastAsia="Times New Roman" w:cs="Arial"/>
              </w:rPr>
              <w:t>947</w:t>
            </w:r>
          </w:p>
        </w:tc>
      </w:tr>
      <w:tr w:rsidR="00E9128C" w:rsidRPr="00B3784F" w14:paraId="516CC38C" w14:textId="77777777" w:rsidTr="00E7465F">
        <w:trPr>
          <w:trHeight w:val="221"/>
        </w:trPr>
        <w:tc>
          <w:tcPr>
            <w:tcW w:w="6967" w:type="dxa"/>
          </w:tcPr>
          <w:p w14:paraId="35FAF44F" w14:textId="77777777" w:rsidR="00B3784F" w:rsidRPr="00B3784F" w:rsidRDefault="00B3784F" w:rsidP="00B3784F">
            <w:pPr>
              <w:spacing w:line="260" w:lineRule="atLeast"/>
              <w:rPr>
                <w:rFonts w:eastAsia="Times New Roman" w:cs="Arial"/>
              </w:rPr>
            </w:pPr>
            <w:r w:rsidRPr="00B3784F">
              <w:rPr>
                <w:rFonts w:eastAsia="Times New Roman" w:cs="Arial"/>
              </w:rPr>
              <w:t>Dejanski neto dohodek</w:t>
            </w:r>
          </w:p>
        </w:tc>
        <w:tc>
          <w:tcPr>
            <w:tcW w:w="2457" w:type="dxa"/>
          </w:tcPr>
          <w:p w14:paraId="777B54AF" w14:textId="77777777" w:rsidR="00B3784F" w:rsidRPr="00B3784F" w:rsidRDefault="00B3784F" w:rsidP="00B3784F">
            <w:pPr>
              <w:spacing w:line="260" w:lineRule="atLeast"/>
              <w:jc w:val="right"/>
              <w:rPr>
                <w:rFonts w:eastAsia="Times New Roman" w:cs="Arial"/>
              </w:rPr>
            </w:pPr>
            <w:r w:rsidRPr="00B3784F">
              <w:rPr>
                <w:rFonts w:eastAsia="Times New Roman" w:cs="Arial"/>
              </w:rPr>
              <w:t>4.332</w:t>
            </w:r>
          </w:p>
        </w:tc>
      </w:tr>
      <w:tr w:rsidR="00E9128C" w:rsidRPr="00B3784F" w14:paraId="1E89881A" w14:textId="77777777" w:rsidTr="00E7465F">
        <w:trPr>
          <w:trHeight w:val="208"/>
        </w:trPr>
        <w:tc>
          <w:tcPr>
            <w:tcW w:w="6967" w:type="dxa"/>
          </w:tcPr>
          <w:p w14:paraId="5496A301" w14:textId="77777777" w:rsidR="00B3784F" w:rsidRPr="00B3784F" w:rsidRDefault="00B3784F" w:rsidP="00B3784F">
            <w:pPr>
              <w:spacing w:line="260" w:lineRule="atLeast"/>
              <w:rPr>
                <w:rFonts w:eastAsia="Times New Roman" w:cs="Arial"/>
              </w:rPr>
            </w:pPr>
            <w:r w:rsidRPr="00B3784F">
              <w:rPr>
                <w:rFonts w:eastAsia="Times New Roman" w:cs="Arial"/>
              </w:rPr>
              <w:t xml:space="preserve">Upoštevan dohodek po ZUPJS* </w:t>
            </w:r>
          </w:p>
        </w:tc>
        <w:tc>
          <w:tcPr>
            <w:tcW w:w="2457" w:type="dxa"/>
          </w:tcPr>
          <w:p w14:paraId="31F852B4" w14:textId="77777777" w:rsidR="00B3784F" w:rsidRPr="00B3784F" w:rsidRDefault="00B3784F" w:rsidP="00B3784F">
            <w:pPr>
              <w:spacing w:line="260" w:lineRule="atLeast"/>
              <w:jc w:val="right"/>
              <w:rPr>
                <w:rFonts w:eastAsia="Times New Roman" w:cs="Arial"/>
              </w:rPr>
            </w:pPr>
            <w:r w:rsidRPr="00B3784F">
              <w:rPr>
                <w:rFonts w:eastAsia="Times New Roman" w:cs="Arial"/>
              </w:rPr>
              <w:t>1.782</w:t>
            </w:r>
          </w:p>
        </w:tc>
      </w:tr>
      <w:tr w:rsidR="00E9128C" w:rsidRPr="00B3784F" w14:paraId="2B440C93" w14:textId="77777777" w:rsidTr="00E7465F">
        <w:trPr>
          <w:trHeight w:val="208"/>
        </w:trPr>
        <w:tc>
          <w:tcPr>
            <w:tcW w:w="6967" w:type="dxa"/>
          </w:tcPr>
          <w:p w14:paraId="1D371694" w14:textId="77777777" w:rsidR="00B3784F" w:rsidRPr="00B3784F" w:rsidRDefault="00B3784F" w:rsidP="00B3784F">
            <w:pPr>
              <w:spacing w:line="260" w:lineRule="atLeast"/>
              <w:rPr>
                <w:rFonts w:eastAsia="Times New Roman" w:cs="Arial"/>
              </w:rPr>
            </w:pPr>
            <w:r w:rsidRPr="00B3784F">
              <w:rPr>
                <w:rFonts w:eastAsia="Times New Roman" w:cs="Arial"/>
              </w:rPr>
              <w:t>Strošek dela (strošek delodajalca)**</w:t>
            </w:r>
          </w:p>
        </w:tc>
        <w:tc>
          <w:tcPr>
            <w:tcW w:w="2457" w:type="dxa"/>
          </w:tcPr>
          <w:p w14:paraId="6569EA07" w14:textId="77777777" w:rsidR="00B3784F" w:rsidRPr="00B3784F" w:rsidRDefault="00B3784F" w:rsidP="00B3784F">
            <w:pPr>
              <w:spacing w:line="260" w:lineRule="atLeast"/>
              <w:jc w:val="right"/>
              <w:rPr>
                <w:rFonts w:eastAsia="Times New Roman" w:cs="Arial"/>
              </w:rPr>
            </w:pPr>
            <w:r w:rsidRPr="00B3784F">
              <w:rPr>
                <w:rFonts w:eastAsia="Times New Roman" w:cs="Arial"/>
              </w:rPr>
              <w:t>5.642</w:t>
            </w:r>
          </w:p>
        </w:tc>
      </w:tr>
    </w:tbl>
    <w:p w14:paraId="6CA32ACE"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lastRenderedPageBreak/>
        <w:t>Vir: Lastni preračuni MF</w:t>
      </w:r>
    </w:p>
    <w:p w14:paraId="4AAE2502"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 Dohodek, ki se upošteva pri ugotavljanju materialnega položaja pri uveljavljanju pravic iz javnih sredstev po ZUPJS.</w:t>
      </w:r>
    </w:p>
    <w:p w14:paraId="15CEA774"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 V strošek dela je vključen prispevek za socialno varnost delodajalca ter bruto dohodek – skupaj oz. dejanski prihodek.</w:t>
      </w:r>
    </w:p>
    <w:p w14:paraId="33FACBEE" w14:textId="77777777" w:rsidR="00B3784F" w:rsidRPr="00B3784F" w:rsidRDefault="00B3784F" w:rsidP="00B3784F">
      <w:pPr>
        <w:spacing w:after="0" w:line="260" w:lineRule="atLeast"/>
        <w:contextualSpacing/>
        <w:jc w:val="both"/>
        <w:rPr>
          <w:rFonts w:cs="Arial"/>
          <w:szCs w:val="20"/>
        </w:rPr>
      </w:pPr>
    </w:p>
    <w:p w14:paraId="376E4B8B" w14:textId="77777777" w:rsidR="00B3784F" w:rsidRPr="00B3784F" w:rsidRDefault="00B3784F" w:rsidP="00B3784F">
      <w:pPr>
        <w:spacing w:after="0" w:line="260" w:lineRule="atLeast"/>
        <w:contextualSpacing/>
        <w:jc w:val="both"/>
        <w:rPr>
          <w:rFonts w:cs="Arial"/>
          <w:szCs w:val="20"/>
        </w:rPr>
      </w:pPr>
      <w:r w:rsidRPr="00B3784F">
        <w:rPr>
          <w:rFonts w:cs="Arial"/>
          <w:szCs w:val="20"/>
        </w:rPr>
        <w:t>S tako spremembo drugi zavezanec vpliva na višji dejanski neto dohodek, ob bistveno nižji obremenitvi z davki in prispevki za socialno varnost (obremenitev je nižja za 1.658 EUR). Hkrati pa se zniža tudi strošek dela za delodajalca (5.642 EUR v primerjavi s 6.155 EUR), kar pomeni, da večino koristi nosi zavezanec, v manjši meri delodajalec, a ob bistvenem vplivu na javne finance. Takšna sprememba v obliki dela bi morala sprožiti vprašanja enakosti v obdavčitvi, saj tovrstna razlikovanja vodijo v segmentacije na trgu dela (manj zaposlitev in vedno več samozaposlitev). Nenazadnje pa je treba ob tem poudariti predvsem socialni vidik in s tem zmanjšanje socialne varnost tudi ob upoštevanju dejstva, da se s takim prilagajanjem zmanjšujejo prihodki iz naslova dohodnine in prispevkov za socialno varnost, kar na dolgi rok ne zagotavlja vzdržnosti sistema.</w:t>
      </w:r>
    </w:p>
    <w:p w14:paraId="1D54E46C" w14:textId="77777777" w:rsidR="00B3784F" w:rsidRPr="00B3784F" w:rsidRDefault="00B3784F" w:rsidP="00B3784F">
      <w:pPr>
        <w:spacing w:after="0" w:line="260" w:lineRule="atLeast"/>
        <w:contextualSpacing/>
        <w:jc w:val="both"/>
        <w:rPr>
          <w:rFonts w:cs="Arial"/>
          <w:szCs w:val="20"/>
        </w:rPr>
      </w:pPr>
    </w:p>
    <w:p w14:paraId="5CCBBD4D"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B. Delodajalec drugega zavezanca se skupaj z njim v določenem trenutku odloči, da z njim ne bo več v delovnem razmerju, temveč bo z njim sodeloval samo prek pogodbe o poslovnem sodelovanju. Delavec za ta namen ustanovi podjetje v pravnoorganizacijski obliki samostojnega podjetnika posameznika. Dogovorita se, da prejme enako mesečno plačilo za delo, torej 5.000 EUR ter dodatno tudi povračila stroškov prevoza na delo in z dela ter prehrane. Delodajalec mu enako še naprej zagotavlja vse pogoje in sredstva za delo. </w:t>
      </w:r>
    </w:p>
    <w:p w14:paraId="0F2A2A69" w14:textId="77777777" w:rsidR="00B3784F" w:rsidRPr="00B3784F" w:rsidRDefault="00B3784F" w:rsidP="00B3784F">
      <w:pPr>
        <w:spacing w:after="0" w:line="260" w:lineRule="atLeast"/>
        <w:contextualSpacing/>
        <w:jc w:val="both"/>
        <w:rPr>
          <w:rFonts w:cs="Arial"/>
          <w:szCs w:val="20"/>
        </w:rPr>
      </w:pPr>
    </w:p>
    <w:p w14:paraId="5FA9C626" w14:textId="77777777" w:rsidR="00B3784F" w:rsidRPr="00B3784F" w:rsidRDefault="00B3784F" w:rsidP="00B3784F">
      <w:pPr>
        <w:spacing w:after="0" w:line="260" w:lineRule="atLeast"/>
        <w:contextualSpacing/>
        <w:jc w:val="both"/>
        <w:rPr>
          <w:rFonts w:cs="Arial"/>
          <w:szCs w:val="20"/>
        </w:rPr>
      </w:pPr>
      <w:r w:rsidRPr="00B3784F">
        <w:rPr>
          <w:rFonts w:cs="Arial"/>
          <w:szCs w:val="20"/>
        </w:rPr>
        <w:t>Tabela 8: Prikaz mesečne davčne obveznosti, prispevkov za socialno varnost, znesek neto dohodka ter stroška dela delodajalca drugega zavezanca po prehodu na nov način sodelovanja</w:t>
      </w:r>
    </w:p>
    <w:p w14:paraId="0F238F00" w14:textId="77777777" w:rsidR="00B3784F" w:rsidRPr="00B3784F" w:rsidRDefault="00B3784F" w:rsidP="00B3784F">
      <w:pPr>
        <w:spacing w:after="0" w:line="260" w:lineRule="atLeast"/>
        <w:contextualSpacing/>
        <w:jc w:val="right"/>
        <w:rPr>
          <w:rFonts w:cs="Arial"/>
          <w:sz w:val="16"/>
          <w:szCs w:val="16"/>
        </w:rPr>
      </w:pPr>
      <w:r w:rsidRPr="00B3784F">
        <w:rPr>
          <w:rFonts w:cs="Arial"/>
          <w:sz w:val="16"/>
          <w:szCs w:val="16"/>
        </w:rPr>
        <w:t>Zneski v EUR</w:t>
      </w:r>
    </w:p>
    <w:tbl>
      <w:tblPr>
        <w:tblStyle w:val="Tabelamrea"/>
        <w:tblW w:w="9372" w:type="dxa"/>
        <w:tblLook w:val="04A0" w:firstRow="1" w:lastRow="0" w:firstColumn="1" w:lastColumn="0" w:noHBand="0" w:noVBand="1"/>
      </w:tblPr>
      <w:tblGrid>
        <w:gridCol w:w="6900"/>
        <w:gridCol w:w="2472"/>
      </w:tblGrid>
      <w:tr w:rsidR="00E9128C" w:rsidRPr="00B3784F" w14:paraId="03DBCD9D" w14:textId="77777777" w:rsidTr="00E7465F">
        <w:trPr>
          <w:trHeight w:val="265"/>
        </w:trPr>
        <w:tc>
          <w:tcPr>
            <w:tcW w:w="6900" w:type="dxa"/>
            <w:shd w:val="clear" w:color="auto" w:fill="D5DCE4"/>
          </w:tcPr>
          <w:p w14:paraId="6231BBC1" w14:textId="77777777" w:rsidR="00B3784F" w:rsidRPr="00B3784F" w:rsidRDefault="00B3784F" w:rsidP="00B3784F">
            <w:pPr>
              <w:spacing w:line="260" w:lineRule="atLeast"/>
              <w:jc w:val="both"/>
              <w:rPr>
                <w:rFonts w:eastAsia="Times New Roman" w:cs="Arial"/>
              </w:rPr>
            </w:pPr>
          </w:p>
        </w:tc>
        <w:tc>
          <w:tcPr>
            <w:tcW w:w="2472" w:type="dxa"/>
            <w:shd w:val="clear" w:color="auto" w:fill="D5DCE4"/>
          </w:tcPr>
          <w:p w14:paraId="28FCC344" w14:textId="77777777" w:rsidR="00B3784F" w:rsidRPr="00B3784F" w:rsidRDefault="00B3784F" w:rsidP="00B3784F">
            <w:pPr>
              <w:spacing w:line="260" w:lineRule="atLeast"/>
              <w:rPr>
                <w:rFonts w:eastAsia="Times New Roman" w:cs="Arial"/>
              </w:rPr>
            </w:pPr>
            <w:r w:rsidRPr="00B3784F">
              <w:rPr>
                <w:rFonts w:eastAsia="Times New Roman" w:cs="Arial"/>
              </w:rPr>
              <w:t>Drugi zavezanec</w:t>
            </w:r>
          </w:p>
        </w:tc>
      </w:tr>
      <w:tr w:rsidR="00E9128C" w:rsidRPr="00B3784F" w14:paraId="2DF2E561" w14:textId="77777777" w:rsidTr="00E7465F">
        <w:trPr>
          <w:trHeight w:val="280"/>
        </w:trPr>
        <w:tc>
          <w:tcPr>
            <w:tcW w:w="6900" w:type="dxa"/>
          </w:tcPr>
          <w:p w14:paraId="226BC592" w14:textId="77777777" w:rsidR="00B3784F" w:rsidRPr="00B3784F" w:rsidRDefault="00B3784F" w:rsidP="00B3784F">
            <w:pPr>
              <w:spacing w:line="260" w:lineRule="atLeast"/>
              <w:jc w:val="both"/>
              <w:rPr>
                <w:rFonts w:eastAsia="Times New Roman" w:cs="Arial"/>
              </w:rPr>
            </w:pPr>
            <w:r w:rsidRPr="00B3784F">
              <w:rPr>
                <w:rFonts w:eastAsia="Times New Roman" w:cs="Arial"/>
              </w:rPr>
              <w:t>Dejanski prihodki</w:t>
            </w:r>
          </w:p>
        </w:tc>
        <w:tc>
          <w:tcPr>
            <w:tcW w:w="2472" w:type="dxa"/>
          </w:tcPr>
          <w:p w14:paraId="1B873B19" w14:textId="77777777" w:rsidR="00B3784F" w:rsidRPr="00B3784F" w:rsidRDefault="00B3784F" w:rsidP="00B3784F">
            <w:pPr>
              <w:spacing w:line="260" w:lineRule="atLeast"/>
              <w:jc w:val="right"/>
              <w:rPr>
                <w:rFonts w:eastAsia="Times New Roman" w:cs="Arial"/>
              </w:rPr>
            </w:pPr>
            <w:r w:rsidRPr="00B3784F">
              <w:rPr>
                <w:rFonts w:eastAsia="Times New Roman" w:cs="Arial"/>
              </w:rPr>
              <w:t>5.300</w:t>
            </w:r>
          </w:p>
        </w:tc>
      </w:tr>
      <w:tr w:rsidR="00E9128C" w:rsidRPr="00B3784F" w14:paraId="413455BC" w14:textId="77777777" w:rsidTr="00E7465F">
        <w:trPr>
          <w:trHeight w:val="546"/>
        </w:trPr>
        <w:tc>
          <w:tcPr>
            <w:tcW w:w="6900" w:type="dxa"/>
          </w:tcPr>
          <w:p w14:paraId="5A569606" w14:textId="77777777" w:rsidR="00B3784F" w:rsidRPr="00B3784F" w:rsidRDefault="00B3784F" w:rsidP="00B3784F">
            <w:pPr>
              <w:spacing w:line="260" w:lineRule="atLeast"/>
              <w:jc w:val="both"/>
              <w:rPr>
                <w:rFonts w:eastAsia="Times New Roman" w:cs="Arial"/>
                <w:bCs/>
              </w:rPr>
            </w:pPr>
            <w:r w:rsidRPr="00B3784F">
              <w:rPr>
                <w:rFonts w:eastAsia="Times New Roman" w:cs="Arial"/>
                <w:bCs/>
              </w:rPr>
              <w:t>Dejanski odhodki (vključujejo prispevke za socialno varnost, znesek bančnih provizij in drugih stroškov)</w:t>
            </w:r>
          </w:p>
        </w:tc>
        <w:tc>
          <w:tcPr>
            <w:tcW w:w="2472" w:type="dxa"/>
          </w:tcPr>
          <w:p w14:paraId="46C65193"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1.500</w:t>
            </w:r>
          </w:p>
        </w:tc>
      </w:tr>
      <w:tr w:rsidR="00E9128C" w:rsidRPr="00B3784F" w14:paraId="283C8717" w14:textId="77777777" w:rsidTr="00E7465F">
        <w:trPr>
          <w:trHeight w:val="265"/>
        </w:trPr>
        <w:tc>
          <w:tcPr>
            <w:tcW w:w="6900" w:type="dxa"/>
          </w:tcPr>
          <w:p w14:paraId="0FC9E544" w14:textId="77777777" w:rsidR="00B3784F" w:rsidRPr="00B3784F" w:rsidRDefault="00B3784F" w:rsidP="00B3784F">
            <w:pPr>
              <w:spacing w:line="260" w:lineRule="atLeast"/>
              <w:jc w:val="both"/>
              <w:rPr>
                <w:rFonts w:eastAsia="Times New Roman" w:cs="Arial"/>
                <w:bCs/>
              </w:rPr>
            </w:pPr>
            <w:r w:rsidRPr="00B3784F">
              <w:rPr>
                <w:rFonts w:eastAsia="Times New Roman" w:cs="Arial"/>
                <w:bCs/>
              </w:rPr>
              <w:t>Normirani odhodki</w:t>
            </w:r>
          </w:p>
        </w:tc>
        <w:tc>
          <w:tcPr>
            <w:tcW w:w="2472" w:type="dxa"/>
          </w:tcPr>
          <w:p w14:paraId="4F6D1E9F"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4.240</w:t>
            </w:r>
          </w:p>
        </w:tc>
      </w:tr>
      <w:tr w:rsidR="00E9128C" w:rsidRPr="00B3784F" w14:paraId="2BD21BBF" w14:textId="77777777" w:rsidTr="00E7465F">
        <w:trPr>
          <w:trHeight w:val="265"/>
        </w:trPr>
        <w:tc>
          <w:tcPr>
            <w:tcW w:w="6900" w:type="dxa"/>
          </w:tcPr>
          <w:p w14:paraId="35174237" w14:textId="77777777" w:rsidR="00B3784F" w:rsidRPr="00B3784F" w:rsidRDefault="00B3784F" w:rsidP="00B3784F">
            <w:pPr>
              <w:spacing w:line="260" w:lineRule="atLeast"/>
              <w:jc w:val="both"/>
              <w:rPr>
                <w:rFonts w:eastAsia="Times New Roman" w:cs="Arial"/>
                <w:bCs/>
              </w:rPr>
            </w:pPr>
            <w:r w:rsidRPr="00B3784F">
              <w:rPr>
                <w:rFonts w:eastAsia="Times New Roman" w:cs="Arial"/>
                <w:bCs/>
              </w:rPr>
              <w:t>Dohodek za namene obdavčitve</w:t>
            </w:r>
          </w:p>
        </w:tc>
        <w:tc>
          <w:tcPr>
            <w:tcW w:w="2472" w:type="dxa"/>
          </w:tcPr>
          <w:p w14:paraId="58540F0C"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1.060</w:t>
            </w:r>
          </w:p>
        </w:tc>
      </w:tr>
      <w:tr w:rsidR="00E9128C" w:rsidRPr="00B3784F" w14:paraId="6E23387D" w14:textId="77777777" w:rsidTr="00E7465F">
        <w:trPr>
          <w:trHeight w:val="265"/>
        </w:trPr>
        <w:tc>
          <w:tcPr>
            <w:tcW w:w="6900" w:type="dxa"/>
            <w:tcBorders>
              <w:bottom w:val="single" w:sz="4" w:space="0" w:color="000000"/>
            </w:tcBorders>
          </w:tcPr>
          <w:p w14:paraId="367F46CE" w14:textId="77777777" w:rsidR="00B3784F" w:rsidRPr="00B3784F" w:rsidRDefault="00B3784F" w:rsidP="00B3784F">
            <w:pPr>
              <w:spacing w:line="260" w:lineRule="atLeast"/>
              <w:jc w:val="both"/>
              <w:rPr>
                <w:rFonts w:eastAsia="Times New Roman" w:cs="Arial"/>
                <w:bCs/>
              </w:rPr>
            </w:pPr>
            <w:r w:rsidRPr="00B3784F">
              <w:rPr>
                <w:rFonts w:eastAsia="Times New Roman" w:cs="Arial"/>
                <w:bCs/>
              </w:rPr>
              <w:t>Dejanski bruto dohodek</w:t>
            </w:r>
          </w:p>
        </w:tc>
        <w:tc>
          <w:tcPr>
            <w:tcW w:w="2472" w:type="dxa"/>
            <w:tcBorders>
              <w:bottom w:val="single" w:sz="4" w:space="0" w:color="000000"/>
            </w:tcBorders>
          </w:tcPr>
          <w:p w14:paraId="4BCC0D33"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3.800</w:t>
            </w:r>
          </w:p>
        </w:tc>
      </w:tr>
      <w:tr w:rsidR="00E9128C" w:rsidRPr="00B3784F" w14:paraId="3C145359" w14:textId="77777777" w:rsidTr="00E7465F">
        <w:trPr>
          <w:trHeight w:val="280"/>
        </w:trPr>
        <w:tc>
          <w:tcPr>
            <w:tcW w:w="6900" w:type="dxa"/>
            <w:shd w:val="clear" w:color="auto" w:fill="D9D9D9"/>
          </w:tcPr>
          <w:p w14:paraId="583B00E1" w14:textId="77777777" w:rsidR="00B3784F" w:rsidRPr="00B3784F" w:rsidRDefault="00B3784F" w:rsidP="00B3784F">
            <w:pPr>
              <w:spacing w:line="260" w:lineRule="atLeast"/>
              <w:jc w:val="both"/>
              <w:rPr>
                <w:rFonts w:eastAsia="Times New Roman" w:cs="Arial"/>
              </w:rPr>
            </w:pPr>
            <w:r w:rsidRPr="00B3784F">
              <w:rPr>
                <w:rFonts w:eastAsia="Times New Roman" w:cs="Arial"/>
              </w:rPr>
              <w:t>Davek</w:t>
            </w:r>
          </w:p>
        </w:tc>
        <w:tc>
          <w:tcPr>
            <w:tcW w:w="2472" w:type="dxa"/>
            <w:shd w:val="clear" w:color="auto" w:fill="D9D9D9"/>
          </w:tcPr>
          <w:p w14:paraId="6A9DA01C" w14:textId="77777777" w:rsidR="00B3784F" w:rsidRPr="00B3784F" w:rsidRDefault="00B3784F" w:rsidP="00B3784F">
            <w:pPr>
              <w:spacing w:line="260" w:lineRule="atLeast"/>
              <w:jc w:val="right"/>
              <w:rPr>
                <w:rFonts w:eastAsia="Times New Roman" w:cs="Arial"/>
              </w:rPr>
            </w:pPr>
            <w:r w:rsidRPr="00B3784F">
              <w:rPr>
                <w:rFonts w:eastAsia="Times New Roman" w:cs="Arial"/>
              </w:rPr>
              <w:t>212</w:t>
            </w:r>
          </w:p>
        </w:tc>
      </w:tr>
      <w:tr w:rsidR="00E9128C" w:rsidRPr="00B3784F" w14:paraId="72EDEA42" w14:textId="77777777" w:rsidTr="00E7465F">
        <w:trPr>
          <w:trHeight w:val="265"/>
        </w:trPr>
        <w:tc>
          <w:tcPr>
            <w:tcW w:w="6900" w:type="dxa"/>
          </w:tcPr>
          <w:p w14:paraId="72CE5CDD" w14:textId="77777777" w:rsidR="00B3784F" w:rsidRPr="00B3784F" w:rsidRDefault="00B3784F" w:rsidP="00B3784F">
            <w:pPr>
              <w:spacing w:line="260" w:lineRule="atLeast"/>
              <w:jc w:val="both"/>
              <w:rPr>
                <w:rFonts w:eastAsia="Times New Roman" w:cs="Arial"/>
              </w:rPr>
            </w:pPr>
            <w:r w:rsidRPr="00B3784F">
              <w:rPr>
                <w:rFonts w:eastAsia="Times New Roman" w:cs="Arial"/>
              </w:rPr>
              <w:t>Prispevki za socialno varnost</w:t>
            </w:r>
          </w:p>
        </w:tc>
        <w:tc>
          <w:tcPr>
            <w:tcW w:w="2472" w:type="dxa"/>
          </w:tcPr>
          <w:p w14:paraId="71CD7AD3" w14:textId="77777777" w:rsidR="00B3784F" w:rsidRPr="00B3784F" w:rsidRDefault="00B3784F" w:rsidP="00B3784F">
            <w:pPr>
              <w:spacing w:line="260" w:lineRule="atLeast"/>
              <w:jc w:val="right"/>
              <w:rPr>
                <w:rFonts w:eastAsia="Times New Roman" w:cs="Arial"/>
              </w:rPr>
            </w:pPr>
            <w:r w:rsidRPr="00B3784F">
              <w:rPr>
                <w:rFonts w:eastAsia="Times New Roman" w:cs="Arial"/>
              </w:rPr>
              <w:t>1.129</w:t>
            </w:r>
          </w:p>
        </w:tc>
      </w:tr>
      <w:tr w:rsidR="00E9128C" w:rsidRPr="00B3784F" w14:paraId="0D8CBFCC" w14:textId="77777777" w:rsidTr="00E7465F">
        <w:trPr>
          <w:trHeight w:val="265"/>
        </w:trPr>
        <w:tc>
          <w:tcPr>
            <w:tcW w:w="6900" w:type="dxa"/>
          </w:tcPr>
          <w:p w14:paraId="2C40DEB0" w14:textId="77777777" w:rsidR="00B3784F" w:rsidRPr="00B3784F" w:rsidRDefault="00B3784F" w:rsidP="00B3784F">
            <w:pPr>
              <w:spacing w:line="260" w:lineRule="atLeast"/>
              <w:jc w:val="both"/>
              <w:rPr>
                <w:rFonts w:eastAsia="Times New Roman" w:cs="Arial"/>
              </w:rPr>
            </w:pPr>
            <w:r w:rsidRPr="00B3784F">
              <w:rPr>
                <w:rFonts w:eastAsia="Times New Roman" w:cs="Arial"/>
              </w:rPr>
              <w:t>Dejanski neto dohodek</w:t>
            </w:r>
          </w:p>
        </w:tc>
        <w:tc>
          <w:tcPr>
            <w:tcW w:w="2472" w:type="dxa"/>
          </w:tcPr>
          <w:p w14:paraId="4FABD164" w14:textId="77777777" w:rsidR="00B3784F" w:rsidRPr="00B3784F" w:rsidRDefault="00B3784F" w:rsidP="00B3784F">
            <w:pPr>
              <w:spacing w:line="260" w:lineRule="atLeast"/>
              <w:jc w:val="right"/>
              <w:rPr>
                <w:rFonts w:eastAsia="Times New Roman" w:cs="Arial"/>
              </w:rPr>
            </w:pPr>
            <w:r w:rsidRPr="00B3784F">
              <w:rPr>
                <w:rFonts w:eastAsia="Times New Roman" w:cs="Arial"/>
              </w:rPr>
              <w:t>3.588</w:t>
            </w:r>
          </w:p>
        </w:tc>
      </w:tr>
      <w:tr w:rsidR="00E9128C" w:rsidRPr="00B3784F" w14:paraId="5E6D8A50" w14:textId="77777777" w:rsidTr="00E7465F">
        <w:trPr>
          <w:trHeight w:val="280"/>
        </w:trPr>
        <w:tc>
          <w:tcPr>
            <w:tcW w:w="6900" w:type="dxa"/>
          </w:tcPr>
          <w:p w14:paraId="6BA6C01C" w14:textId="77777777" w:rsidR="00B3784F" w:rsidRPr="00B3784F" w:rsidRDefault="00B3784F" w:rsidP="00B3784F">
            <w:pPr>
              <w:spacing w:line="260" w:lineRule="atLeast"/>
              <w:jc w:val="both"/>
              <w:rPr>
                <w:rFonts w:eastAsia="Times New Roman" w:cs="Arial"/>
              </w:rPr>
            </w:pPr>
            <w:r w:rsidRPr="00B3784F">
              <w:rPr>
                <w:rFonts w:eastAsia="Times New Roman" w:cs="Arial"/>
              </w:rPr>
              <w:t>Upoštevan dohodek po ZUPJS*</w:t>
            </w:r>
          </w:p>
        </w:tc>
        <w:tc>
          <w:tcPr>
            <w:tcW w:w="2472" w:type="dxa"/>
          </w:tcPr>
          <w:p w14:paraId="7724EB8D" w14:textId="77777777" w:rsidR="00B3784F" w:rsidRPr="00B3784F" w:rsidRDefault="00B3784F" w:rsidP="00B3784F">
            <w:pPr>
              <w:spacing w:line="260" w:lineRule="atLeast"/>
              <w:jc w:val="right"/>
              <w:rPr>
                <w:rFonts w:eastAsia="Times New Roman" w:cs="Arial"/>
              </w:rPr>
            </w:pPr>
            <w:r w:rsidRPr="00B3784F">
              <w:rPr>
                <w:rFonts w:eastAsia="Times New Roman" w:cs="Arial"/>
              </w:rPr>
              <w:t>848</w:t>
            </w:r>
          </w:p>
        </w:tc>
      </w:tr>
      <w:tr w:rsidR="00E9128C" w:rsidRPr="00B3784F" w14:paraId="521CAA62" w14:textId="77777777" w:rsidTr="00E7465F">
        <w:trPr>
          <w:trHeight w:val="265"/>
        </w:trPr>
        <w:tc>
          <w:tcPr>
            <w:tcW w:w="6900" w:type="dxa"/>
          </w:tcPr>
          <w:p w14:paraId="2B601646" w14:textId="77777777" w:rsidR="00B3784F" w:rsidRPr="00B3784F" w:rsidRDefault="00B3784F" w:rsidP="00B3784F">
            <w:pPr>
              <w:spacing w:line="260" w:lineRule="atLeast"/>
              <w:jc w:val="both"/>
              <w:rPr>
                <w:rFonts w:eastAsia="Times New Roman" w:cs="Arial"/>
              </w:rPr>
            </w:pPr>
            <w:r w:rsidRPr="00B3784F">
              <w:rPr>
                <w:rFonts w:eastAsia="Times New Roman" w:cs="Arial"/>
              </w:rPr>
              <w:t>Strošek dela (strošek delodajalca)</w:t>
            </w:r>
          </w:p>
        </w:tc>
        <w:tc>
          <w:tcPr>
            <w:tcW w:w="2472" w:type="dxa"/>
          </w:tcPr>
          <w:p w14:paraId="204354E5" w14:textId="77777777" w:rsidR="00B3784F" w:rsidRPr="00B3784F" w:rsidRDefault="00B3784F" w:rsidP="00B3784F">
            <w:pPr>
              <w:spacing w:line="260" w:lineRule="atLeast"/>
              <w:jc w:val="right"/>
              <w:rPr>
                <w:rFonts w:eastAsia="Times New Roman" w:cs="Arial"/>
              </w:rPr>
            </w:pPr>
            <w:r w:rsidRPr="00B3784F">
              <w:rPr>
                <w:rFonts w:eastAsia="Times New Roman" w:cs="Arial"/>
              </w:rPr>
              <w:t>5.300</w:t>
            </w:r>
          </w:p>
        </w:tc>
      </w:tr>
    </w:tbl>
    <w:p w14:paraId="30C15F99"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Lastni preračuni MF</w:t>
      </w:r>
    </w:p>
    <w:p w14:paraId="057D3CF0"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 Dohodek, ki se upošteva pri ugotavljanju materialnega položaja pri uveljavljanju pravic iz javnih sredstev po ZUPJS.</w:t>
      </w:r>
    </w:p>
    <w:p w14:paraId="30977A30" w14:textId="77777777" w:rsidR="00B3784F" w:rsidRPr="00B3784F" w:rsidRDefault="00B3784F" w:rsidP="00B3784F">
      <w:pPr>
        <w:spacing w:after="0" w:line="260" w:lineRule="atLeast"/>
        <w:contextualSpacing/>
        <w:jc w:val="both"/>
        <w:rPr>
          <w:rFonts w:cs="Arial"/>
          <w:szCs w:val="20"/>
        </w:rPr>
      </w:pPr>
    </w:p>
    <w:p w14:paraId="3E37435A"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Teoretični prikaz nam prikaže, da bi bil dejanski neto dohodek zavezanca v primeru novega načina sodelovanja (preko opravljanja dela kot samostojni podjetnik posameznik) višji glede na prvega zaposlenega, ki opravlja torej enako delo, a je ohranil z delodajalcem delovno razmerje. Bistvena razlika pa je v znesku davka, saj je glede na prvega zavezanca njegova davčna obveznost nižja za okoli 660 EUR mesečno. Pri tem pa je strošek dela z vidika delodajalca ob tem tudi bolj ugoden na račun tega, da mu ni treba obračunati prispevkov za socialno varnost.  </w:t>
      </w:r>
    </w:p>
    <w:p w14:paraId="202CA63E" w14:textId="77777777" w:rsidR="00B3784F" w:rsidRPr="00B3784F" w:rsidRDefault="00B3784F" w:rsidP="00B3784F">
      <w:pPr>
        <w:spacing w:after="0" w:line="260" w:lineRule="atLeast"/>
        <w:contextualSpacing/>
        <w:jc w:val="both"/>
        <w:rPr>
          <w:rFonts w:cs="Arial"/>
          <w:szCs w:val="20"/>
        </w:rPr>
      </w:pPr>
    </w:p>
    <w:p w14:paraId="463D0E85" w14:textId="77777777" w:rsidR="00236DF6" w:rsidRDefault="00236DF6" w:rsidP="00B3784F">
      <w:pPr>
        <w:spacing w:after="0" w:line="260" w:lineRule="atLeast"/>
        <w:contextualSpacing/>
        <w:jc w:val="both"/>
        <w:rPr>
          <w:rFonts w:cs="Arial"/>
          <w:szCs w:val="20"/>
        </w:rPr>
      </w:pPr>
    </w:p>
    <w:p w14:paraId="7D452978" w14:textId="77777777" w:rsidR="00236DF6" w:rsidRDefault="00236DF6" w:rsidP="00B3784F">
      <w:pPr>
        <w:spacing w:after="0" w:line="260" w:lineRule="atLeast"/>
        <w:contextualSpacing/>
        <w:jc w:val="both"/>
        <w:rPr>
          <w:rFonts w:cs="Arial"/>
          <w:szCs w:val="20"/>
        </w:rPr>
      </w:pPr>
    </w:p>
    <w:p w14:paraId="1038242C" w14:textId="77777777" w:rsidR="00236DF6" w:rsidRDefault="00236DF6" w:rsidP="00B3784F">
      <w:pPr>
        <w:spacing w:after="0" w:line="260" w:lineRule="atLeast"/>
        <w:contextualSpacing/>
        <w:jc w:val="both"/>
        <w:rPr>
          <w:rFonts w:cs="Arial"/>
          <w:szCs w:val="20"/>
        </w:rPr>
      </w:pPr>
    </w:p>
    <w:p w14:paraId="5AB40EFA" w14:textId="77777777" w:rsidR="00236DF6" w:rsidRDefault="00236DF6" w:rsidP="00B3784F">
      <w:pPr>
        <w:spacing w:after="0" w:line="260" w:lineRule="atLeast"/>
        <w:contextualSpacing/>
        <w:jc w:val="both"/>
        <w:rPr>
          <w:rFonts w:cs="Arial"/>
          <w:szCs w:val="20"/>
        </w:rPr>
      </w:pPr>
    </w:p>
    <w:p w14:paraId="6BF26EC3" w14:textId="54D06B5F" w:rsidR="00B3784F" w:rsidRPr="00B3784F" w:rsidRDefault="00B3784F" w:rsidP="00B3784F">
      <w:pPr>
        <w:spacing w:after="0" w:line="260" w:lineRule="atLeast"/>
        <w:contextualSpacing/>
        <w:jc w:val="both"/>
        <w:rPr>
          <w:rFonts w:cs="Arial"/>
          <w:szCs w:val="20"/>
        </w:rPr>
      </w:pPr>
      <w:r w:rsidRPr="00B3784F">
        <w:rPr>
          <w:rFonts w:cs="Arial"/>
          <w:szCs w:val="20"/>
        </w:rPr>
        <w:lastRenderedPageBreak/>
        <w:t>Tabela 9: Zbirni primerjalni prikaz učinkov različnih primerov za prvega in drugega zavezanca in delodajalca</w:t>
      </w:r>
    </w:p>
    <w:p w14:paraId="4E9031AA" w14:textId="77777777" w:rsidR="00B3784F" w:rsidRPr="00B3784F" w:rsidRDefault="00B3784F" w:rsidP="00B3784F">
      <w:pPr>
        <w:spacing w:after="0" w:line="260" w:lineRule="atLeast"/>
        <w:contextualSpacing/>
        <w:jc w:val="right"/>
        <w:rPr>
          <w:rFonts w:cs="Arial"/>
          <w:i/>
          <w:iCs/>
          <w:sz w:val="16"/>
          <w:szCs w:val="16"/>
        </w:rPr>
      </w:pPr>
      <w:r w:rsidRPr="00B3784F">
        <w:rPr>
          <w:rFonts w:cs="Arial"/>
          <w:i/>
          <w:iCs/>
          <w:sz w:val="16"/>
          <w:szCs w:val="16"/>
        </w:rPr>
        <w:t>Zneski v EUR</w:t>
      </w:r>
    </w:p>
    <w:tbl>
      <w:tblPr>
        <w:tblStyle w:val="Tabelamrea"/>
        <w:tblW w:w="9573" w:type="dxa"/>
        <w:tblLayout w:type="fixed"/>
        <w:tblLook w:val="04A0" w:firstRow="1" w:lastRow="0" w:firstColumn="1" w:lastColumn="0" w:noHBand="0" w:noVBand="1"/>
      </w:tblPr>
      <w:tblGrid>
        <w:gridCol w:w="2629"/>
        <w:gridCol w:w="1511"/>
        <w:gridCol w:w="1512"/>
        <w:gridCol w:w="1512"/>
        <w:gridCol w:w="1239"/>
        <w:gridCol w:w="1170"/>
      </w:tblGrid>
      <w:tr w:rsidR="00E9128C" w:rsidRPr="00B3784F" w14:paraId="190F671D" w14:textId="77777777" w:rsidTr="00E7465F">
        <w:trPr>
          <w:trHeight w:val="939"/>
        </w:trPr>
        <w:tc>
          <w:tcPr>
            <w:tcW w:w="2629" w:type="dxa"/>
            <w:vMerge w:val="restart"/>
            <w:shd w:val="clear" w:color="auto" w:fill="D5DCE4"/>
            <w:vAlign w:val="center"/>
          </w:tcPr>
          <w:p w14:paraId="0CCE264B" w14:textId="77777777" w:rsidR="00B3784F" w:rsidRPr="00B3784F" w:rsidRDefault="00B3784F" w:rsidP="00B3784F">
            <w:pPr>
              <w:spacing w:line="260" w:lineRule="atLeast"/>
              <w:rPr>
                <w:rFonts w:eastAsia="Times New Roman" w:cs="Arial"/>
              </w:rPr>
            </w:pPr>
          </w:p>
        </w:tc>
        <w:tc>
          <w:tcPr>
            <w:tcW w:w="1511" w:type="dxa"/>
            <w:shd w:val="clear" w:color="auto" w:fill="D5DCE4"/>
            <w:vAlign w:val="center"/>
          </w:tcPr>
          <w:p w14:paraId="5B9FD56C" w14:textId="77777777" w:rsidR="00B3784F" w:rsidRPr="00B3784F" w:rsidRDefault="00B3784F" w:rsidP="00B3784F">
            <w:pPr>
              <w:spacing w:line="260" w:lineRule="atLeast"/>
              <w:rPr>
                <w:rFonts w:eastAsia="Times New Roman" w:cs="Arial"/>
              </w:rPr>
            </w:pPr>
            <w:r w:rsidRPr="00B3784F">
              <w:rPr>
                <w:rFonts w:eastAsia="Times New Roman" w:cs="Arial"/>
              </w:rPr>
              <w:t>Prvi in drugi zavezanec / delodajalec</w:t>
            </w:r>
          </w:p>
          <w:p w14:paraId="1DCB89B2" w14:textId="77777777" w:rsidR="00B3784F" w:rsidRPr="00B3784F" w:rsidRDefault="00B3784F" w:rsidP="00B3784F">
            <w:pPr>
              <w:spacing w:line="260" w:lineRule="atLeast"/>
              <w:rPr>
                <w:rFonts w:eastAsia="Times New Roman" w:cs="Arial"/>
              </w:rPr>
            </w:pPr>
            <w:r w:rsidRPr="00B3784F">
              <w:rPr>
                <w:rFonts w:eastAsia="Times New Roman" w:cs="Arial"/>
              </w:rPr>
              <w:t>(Tabela 6)</w:t>
            </w:r>
          </w:p>
        </w:tc>
        <w:tc>
          <w:tcPr>
            <w:tcW w:w="1512" w:type="dxa"/>
            <w:shd w:val="clear" w:color="auto" w:fill="D5DCE4"/>
            <w:vAlign w:val="center"/>
          </w:tcPr>
          <w:p w14:paraId="246E3600" w14:textId="77777777" w:rsidR="00B3784F" w:rsidRPr="00B3784F" w:rsidRDefault="00B3784F" w:rsidP="00B3784F">
            <w:pPr>
              <w:spacing w:line="260" w:lineRule="atLeast"/>
              <w:rPr>
                <w:rFonts w:eastAsia="Times New Roman" w:cs="Arial"/>
              </w:rPr>
            </w:pPr>
            <w:r w:rsidRPr="00B3784F">
              <w:rPr>
                <w:rFonts w:eastAsia="Times New Roman" w:cs="Arial"/>
              </w:rPr>
              <w:t>Drugi zavezanec / delodajalec (Tabela 7)</w:t>
            </w:r>
          </w:p>
        </w:tc>
        <w:tc>
          <w:tcPr>
            <w:tcW w:w="1512" w:type="dxa"/>
            <w:shd w:val="clear" w:color="auto" w:fill="B4C6E7"/>
            <w:vAlign w:val="center"/>
          </w:tcPr>
          <w:p w14:paraId="331A6AA7" w14:textId="77777777" w:rsidR="00B3784F" w:rsidRPr="00B3784F" w:rsidRDefault="00B3784F" w:rsidP="00B3784F">
            <w:pPr>
              <w:spacing w:line="260" w:lineRule="atLeast"/>
              <w:rPr>
                <w:rFonts w:eastAsia="Times New Roman" w:cs="Arial"/>
              </w:rPr>
            </w:pPr>
            <w:r w:rsidRPr="00B3784F">
              <w:rPr>
                <w:rFonts w:eastAsia="Times New Roman" w:cs="Arial"/>
              </w:rPr>
              <w:t>Drugi zavezanec /  delodajalec (Tabela 8)</w:t>
            </w:r>
          </w:p>
        </w:tc>
        <w:tc>
          <w:tcPr>
            <w:tcW w:w="1239" w:type="dxa"/>
            <w:shd w:val="clear" w:color="auto" w:fill="B4C6E7"/>
            <w:vAlign w:val="center"/>
          </w:tcPr>
          <w:p w14:paraId="177A5B8B" w14:textId="77777777" w:rsidR="00B3784F" w:rsidRPr="00B3784F" w:rsidRDefault="00B3784F" w:rsidP="00B3784F">
            <w:pPr>
              <w:spacing w:line="260" w:lineRule="atLeast"/>
              <w:rPr>
                <w:rFonts w:eastAsia="Times New Roman" w:cs="Arial"/>
              </w:rPr>
            </w:pPr>
            <w:r w:rsidRPr="00B3784F">
              <w:rPr>
                <w:rFonts w:eastAsia="Times New Roman" w:cs="Arial"/>
              </w:rPr>
              <w:t>Učinek</w:t>
            </w:r>
          </w:p>
        </w:tc>
        <w:tc>
          <w:tcPr>
            <w:tcW w:w="1170" w:type="dxa"/>
            <w:shd w:val="clear" w:color="auto" w:fill="B4C6E7"/>
            <w:vAlign w:val="center"/>
          </w:tcPr>
          <w:p w14:paraId="4C1692ED" w14:textId="77777777" w:rsidR="00B3784F" w:rsidRPr="00B3784F" w:rsidRDefault="00B3784F" w:rsidP="00B3784F">
            <w:pPr>
              <w:spacing w:line="260" w:lineRule="atLeast"/>
              <w:rPr>
                <w:rFonts w:eastAsia="Times New Roman" w:cs="Arial"/>
              </w:rPr>
            </w:pPr>
            <w:r w:rsidRPr="00B3784F">
              <w:rPr>
                <w:rFonts w:eastAsia="Times New Roman" w:cs="Arial"/>
              </w:rPr>
              <w:t>Učinek</w:t>
            </w:r>
          </w:p>
        </w:tc>
      </w:tr>
      <w:tr w:rsidR="00E9128C" w:rsidRPr="00B3784F" w14:paraId="64DEE48C" w14:textId="77777777" w:rsidTr="00E7465F">
        <w:trPr>
          <w:trHeight w:val="160"/>
        </w:trPr>
        <w:tc>
          <w:tcPr>
            <w:tcW w:w="2629" w:type="dxa"/>
            <w:vMerge/>
          </w:tcPr>
          <w:p w14:paraId="7EF39547" w14:textId="77777777" w:rsidR="00B3784F" w:rsidRPr="00B3784F" w:rsidRDefault="00B3784F" w:rsidP="00B3784F">
            <w:pPr>
              <w:spacing w:line="260" w:lineRule="atLeast"/>
              <w:jc w:val="both"/>
              <w:rPr>
                <w:rFonts w:eastAsia="Times New Roman" w:cs="Arial"/>
                <w:bCs/>
              </w:rPr>
            </w:pPr>
          </w:p>
        </w:tc>
        <w:tc>
          <w:tcPr>
            <w:tcW w:w="1511" w:type="dxa"/>
          </w:tcPr>
          <w:p w14:paraId="61B2CB83" w14:textId="77777777" w:rsidR="00B3784F" w:rsidRPr="00B3784F" w:rsidRDefault="00B3784F" w:rsidP="00B3784F">
            <w:pPr>
              <w:spacing w:line="260" w:lineRule="atLeast"/>
              <w:rPr>
                <w:rFonts w:eastAsia="Times New Roman" w:cs="Arial"/>
                <w:bCs/>
              </w:rPr>
            </w:pPr>
            <w:r w:rsidRPr="00B3784F">
              <w:rPr>
                <w:rFonts w:eastAsia="Times New Roman" w:cs="Arial"/>
                <w:bCs/>
              </w:rPr>
              <w:t>1</w:t>
            </w:r>
          </w:p>
        </w:tc>
        <w:tc>
          <w:tcPr>
            <w:tcW w:w="1512" w:type="dxa"/>
          </w:tcPr>
          <w:p w14:paraId="23365136" w14:textId="77777777" w:rsidR="00B3784F" w:rsidRPr="00B3784F" w:rsidRDefault="00B3784F" w:rsidP="00B3784F">
            <w:pPr>
              <w:spacing w:line="260" w:lineRule="atLeast"/>
              <w:rPr>
                <w:rFonts w:eastAsia="Times New Roman" w:cs="Arial"/>
                <w:bCs/>
              </w:rPr>
            </w:pPr>
            <w:r w:rsidRPr="00B3784F">
              <w:rPr>
                <w:rFonts w:eastAsia="Times New Roman" w:cs="Arial"/>
                <w:bCs/>
              </w:rPr>
              <w:t>2</w:t>
            </w:r>
          </w:p>
        </w:tc>
        <w:tc>
          <w:tcPr>
            <w:tcW w:w="1512" w:type="dxa"/>
          </w:tcPr>
          <w:p w14:paraId="75D63851" w14:textId="77777777" w:rsidR="00B3784F" w:rsidRPr="00B3784F" w:rsidRDefault="00B3784F" w:rsidP="00B3784F">
            <w:pPr>
              <w:spacing w:line="260" w:lineRule="atLeast"/>
              <w:rPr>
                <w:rFonts w:eastAsia="Times New Roman" w:cs="Arial"/>
                <w:bCs/>
              </w:rPr>
            </w:pPr>
            <w:r w:rsidRPr="00B3784F">
              <w:rPr>
                <w:rFonts w:eastAsia="Times New Roman" w:cs="Arial"/>
                <w:bCs/>
              </w:rPr>
              <w:t>3</w:t>
            </w:r>
          </w:p>
        </w:tc>
        <w:tc>
          <w:tcPr>
            <w:tcW w:w="1239" w:type="dxa"/>
            <w:shd w:val="clear" w:color="auto" w:fill="FBE4D5"/>
          </w:tcPr>
          <w:p w14:paraId="363B6201" w14:textId="77777777" w:rsidR="00B3784F" w:rsidRPr="00B3784F" w:rsidRDefault="00B3784F" w:rsidP="00B3784F">
            <w:pPr>
              <w:spacing w:line="260" w:lineRule="atLeast"/>
              <w:rPr>
                <w:rFonts w:eastAsia="Times New Roman" w:cs="Arial"/>
                <w:bCs/>
              </w:rPr>
            </w:pPr>
            <w:r w:rsidRPr="00B3784F">
              <w:rPr>
                <w:rFonts w:eastAsia="Times New Roman" w:cs="Arial"/>
                <w:bCs/>
              </w:rPr>
              <w:t>2-1</w:t>
            </w:r>
          </w:p>
        </w:tc>
        <w:tc>
          <w:tcPr>
            <w:tcW w:w="1170" w:type="dxa"/>
            <w:shd w:val="clear" w:color="auto" w:fill="FBE4D5"/>
          </w:tcPr>
          <w:p w14:paraId="1F2B8D78" w14:textId="77777777" w:rsidR="00B3784F" w:rsidRPr="00B3784F" w:rsidRDefault="00B3784F" w:rsidP="00B3784F">
            <w:pPr>
              <w:spacing w:line="260" w:lineRule="atLeast"/>
              <w:rPr>
                <w:rFonts w:eastAsia="Times New Roman" w:cs="Arial"/>
                <w:bCs/>
              </w:rPr>
            </w:pPr>
            <w:r w:rsidRPr="00B3784F">
              <w:rPr>
                <w:rFonts w:eastAsia="Times New Roman" w:cs="Arial"/>
                <w:bCs/>
              </w:rPr>
              <w:t>3-1</w:t>
            </w:r>
          </w:p>
        </w:tc>
      </w:tr>
      <w:tr w:rsidR="00E9128C" w:rsidRPr="00B3784F" w14:paraId="0CF605A6" w14:textId="77777777" w:rsidTr="00E7465F">
        <w:trPr>
          <w:trHeight w:val="234"/>
        </w:trPr>
        <w:tc>
          <w:tcPr>
            <w:tcW w:w="2629" w:type="dxa"/>
          </w:tcPr>
          <w:p w14:paraId="55F2B24A" w14:textId="77777777" w:rsidR="00B3784F" w:rsidRPr="00B3784F" w:rsidRDefault="00B3784F" w:rsidP="00B3784F">
            <w:pPr>
              <w:spacing w:line="260" w:lineRule="atLeast"/>
              <w:jc w:val="both"/>
              <w:rPr>
                <w:rFonts w:eastAsia="Times New Roman" w:cs="Arial"/>
              </w:rPr>
            </w:pPr>
            <w:r w:rsidRPr="00B3784F">
              <w:rPr>
                <w:rFonts w:eastAsia="Times New Roman" w:cs="Arial"/>
              </w:rPr>
              <w:t>Dejanski bruto dohodek</w:t>
            </w:r>
          </w:p>
        </w:tc>
        <w:tc>
          <w:tcPr>
            <w:tcW w:w="1511" w:type="dxa"/>
            <w:vAlign w:val="bottom"/>
          </w:tcPr>
          <w:p w14:paraId="5AAE9C25"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5.300</w:t>
            </w:r>
          </w:p>
        </w:tc>
        <w:tc>
          <w:tcPr>
            <w:tcW w:w="1512" w:type="dxa"/>
            <w:vAlign w:val="bottom"/>
          </w:tcPr>
          <w:p w14:paraId="77A91A6B"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5.150</w:t>
            </w:r>
          </w:p>
        </w:tc>
        <w:tc>
          <w:tcPr>
            <w:tcW w:w="1512" w:type="dxa"/>
            <w:vAlign w:val="bottom"/>
          </w:tcPr>
          <w:p w14:paraId="2D67790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3.800</w:t>
            </w:r>
          </w:p>
        </w:tc>
        <w:tc>
          <w:tcPr>
            <w:tcW w:w="1239" w:type="dxa"/>
            <w:tcBorders>
              <w:top w:val="nil"/>
              <w:left w:val="nil"/>
              <w:bottom w:val="single" w:sz="8" w:space="0" w:color="000000"/>
              <w:right w:val="single" w:sz="8" w:space="0" w:color="000000"/>
            </w:tcBorders>
            <w:shd w:val="clear" w:color="auto" w:fill="FBE4D5"/>
            <w:vAlign w:val="bottom"/>
          </w:tcPr>
          <w:p w14:paraId="759BBD10"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-150</w:t>
            </w:r>
          </w:p>
        </w:tc>
        <w:tc>
          <w:tcPr>
            <w:tcW w:w="1170" w:type="dxa"/>
            <w:tcBorders>
              <w:top w:val="nil"/>
              <w:left w:val="nil"/>
              <w:bottom w:val="single" w:sz="8" w:space="0" w:color="000000"/>
              <w:right w:val="single" w:sz="8" w:space="0" w:color="000000"/>
            </w:tcBorders>
            <w:shd w:val="clear" w:color="auto" w:fill="FBE4D5"/>
            <w:vAlign w:val="bottom"/>
          </w:tcPr>
          <w:p w14:paraId="72B10AB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-1.500</w:t>
            </w:r>
          </w:p>
        </w:tc>
      </w:tr>
      <w:tr w:rsidR="00E9128C" w:rsidRPr="00B3784F" w14:paraId="4CF98577" w14:textId="77777777" w:rsidTr="00E7465F">
        <w:trPr>
          <w:trHeight w:val="234"/>
        </w:trPr>
        <w:tc>
          <w:tcPr>
            <w:tcW w:w="2629" w:type="dxa"/>
            <w:shd w:val="clear" w:color="auto" w:fill="D9D9D9"/>
          </w:tcPr>
          <w:p w14:paraId="55437710" w14:textId="77777777" w:rsidR="00B3784F" w:rsidRPr="00B3784F" w:rsidRDefault="00B3784F" w:rsidP="00B3784F">
            <w:pPr>
              <w:spacing w:line="260" w:lineRule="atLeast"/>
              <w:jc w:val="both"/>
              <w:rPr>
                <w:rFonts w:eastAsia="Times New Roman" w:cs="Arial"/>
              </w:rPr>
            </w:pPr>
            <w:r w:rsidRPr="00B3784F">
              <w:rPr>
                <w:rFonts w:eastAsia="Times New Roman" w:cs="Arial"/>
              </w:rPr>
              <w:t>Davek</w:t>
            </w:r>
          </w:p>
        </w:tc>
        <w:tc>
          <w:tcPr>
            <w:tcW w:w="1511" w:type="dxa"/>
            <w:shd w:val="clear" w:color="auto" w:fill="D9D9D9"/>
            <w:vAlign w:val="bottom"/>
          </w:tcPr>
          <w:p w14:paraId="183B7EC6"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877</w:t>
            </w:r>
          </w:p>
        </w:tc>
        <w:tc>
          <w:tcPr>
            <w:tcW w:w="1512" w:type="dxa"/>
            <w:shd w:val="clear" w:color="auto" w:fill="D9D9D9"/>
            <w:vAlign w:val="bottom"/>
          </w:tcPr>
          <w:p w14:paraId="3D7B433A"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319</w:t>
            </w:r>
          </w:p>
        </w:tc>
        <w:tc>
          <w:tcPr>
            <w:tcW w:w="1512" w:type="dxa"/>
            <w:shd w:val="clear" w:color="auto" w:fill="D9D9D9"/>
            <w:vAlign w:val="bottom"/>
          </w:tcPr>
          <w:p w14:paraId="3CCEE4FB"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212</w:t>
            </w:r>
          </w:p>
        </w:tc>
        <w:tc>
          <w:tcPr>
            <w:tcW w:w="1239" w:type="dxa"/>
            <w:tcBorders>
              <w:top w:val="nil"/>
              <w:left w:val="nil"/>
              <w:bottom w:val="single" w:sz="8" w:space="0" w:color="000000"/>
              <w:right w:val="single" w:sz="8" w:space="0" w:color="000000"/>
            </w:tcBorders>
            <w:shd w:val="clear" w:color="auto" w:fill="FBE4D5"/>
            <w:vAlign w:val="bottom"/>
          </w:tcPr>
          <w:p w14:paraId="68335403"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-558</w:t>
            </w:r>
          </w:p>
        </w:tc>
        <w:tc>
          <w:tcPr>
            <w:tcW w:w="1170" w:type="dxa"/>
            <w:tcBorders>
              <w:top w:val="nil"/>
              <w:left w:val="nil"/>
              <w:bottom w:val="single" w:sz="8" w:space="0" w:color="000000"/>
              <w:right w:val="single" w:sz="8" w:space="0" w:color="000000"/>
            </w:tcBorders>
            <w:shd w:val="clear" w:color="auto" w:fill="FBE4D5"/>
            <w:vAlign w:val="bottom"/>
          </w:tcPr>
          <w:p w14:paraId="142AE756"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-665</w:t>
            </w:r>
          </w:p>
        </w:tc>
      </w:tr>
      <w:tr w:rsidR="00E9128C" w:rsidRPr="00B3784F" w14:paraId="14C8A96B" w14:textId="77777777" w:rsidTr="00E7465F">
        <w:trPr>
          <w:trHeight w:val="251"/>
        </w:trPr>
        <w:tc>
          <w:tcPr>
            <w:tcW w:w="2629" w:type="dxa"/>
          </w:tcPr>
          <w:p w14:paraId="1B81FB0D" w14:textId="77777777" w:rsidR="00B3784F" w:rsidRPr="00B3784F" w:rsidRDefault="00B3784F" w:rsidP="00B3784F">
            <w:pPr>
              <w:spacing w:line="260" w:lineRule="atLeast"/>
              <w:jc w:val="both"/>
              <w:rPr>
                <w:rFonts w:eastAsia="Times New Roman" w:cs="Arial"/>
              </w:rPr>
            </w:pPr>
            <w:r w:rsidRPr="00B3784F">
              <w:rPr>
                <w:rFonts w:eastAsia="Times New Roman" w:cs="Arial"/>
              </w:rPr>
              <w:t>Prispevki za socialno varnost</w:t>
            </w:r>
          </w:p>
        </w:tc>
        <w:tc>
          <w:tcPr>
            <w:tcW w:w="1511" w:type="dxa"/>
            <w:vAlign w:val="bottom"/>
          </w:tcPr>
          <w:p w14:paraId="6488ECE0"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2.047</w:t>
            </w:r>
          </w:p>
        </w:tc>
        <w:tc>
          <w:tcPr>
            <w:tcW w:w="1512" w:type="dxa"/>
            <w:vAlign w:val="bottom"/>
          </w:tcPr>
          <w:p w14:paraId="73F42E54"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947</w:t>
            </w:r>
          </w:p>
        </w:tc>
        <w:tc>
          <w:tcPr>
            <w:tcW w:w="1512" w:type="dxa"/>
            <w:vAlign w:val="bottom"/>
          </w:tcPr>
          <w:p w14:paraId="79A24E5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1.129</w:t>
            </w:r>
          </w:p>
        </w:tc>
        <w:tc>
          <w:tcPr>
            <w:tcW w:w="1239" w:type="dxa"/>
            <w:tcBorders>
              <w:top w:val="nil"/>
              <w:left w:val="nil"/>
              <w:bottom w:val="single" w:sz="8" w:space="0" w:color="000000"/>
              <w:right w:val="single" w:sz="8" w:space="0" w:color="000000"/>
            </w:tcBorders>
            <w:shd w:val="clear" w:color="auto" w:fill="FBE4D5"/>
            <w:vAlign w:val="bottom"/>
          </w:tcPr>
          <w:p w14:paraId="62A53DB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-1.100</w:t>
            </w:r>
          </w:p>
        </w:tc>
        <w:tc>
          <w:tcPr>
            <w:tcW w:w="1170" w:type="dxa"/>
            <w:tcBorders>
              <w:top w:val="nil"/>
              <w:left w:val="nil"/>
              <w:bottom w:val="single" w:sz="8" w:space="0" w:color="000000"/>
              <w:right w:val="single" w:sz="8" w:space="0" w:color="000000"/>
            </w:tcBorders>
            <w:shd w:val="clear" w:color="auto" w:fill="FBE4D5"/>
            <w:vAlign w:val="bottom"/>
          </w:tcPr>
          <w:p w14:paraId="783E9AE1"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-918</w:t>
            </w:r>
          </w:p>
        </w:tc>
      </w:tr>
      <w:tr w:rsidR="00E9128C" w:rsidRPr="00B3784F" w14:paraId="0C2E5153" w14:textId="77777777" w:rsidTr="00E7465F">
        <w:trPr>
          <w:trHeight w:val="234"/>
        </w:trPr>
        <w:tc>
          <w:tcPr>
            <w:tcW w:w="2629" w:type="dxa"/>
          </w:tcPr>
          <w:p w14:paraId="71183520" w14:textId="77777777" w:rsidR="00B3784F" w:rsidRPr="00B3784F" w:rsidRDefault="00B3784F" w:rsidP="00B3784F">
            <w:pPr>
              <w:spacing w:line="260" w:lineRule="atLeast"/>
              <w:jc w:val="both"/>
              <w:rPr>
                <w:rFonts w:eastAsia="Times New Roman" w:cs="Arial"/>
              </w:rPr>
            </w:pPr>
            <w:r w:rsidRPr="00B3784F">
              <w:rPr>
                <w:rFonts w:eastAsia="Times New Roman" w:cs="Arial"/>
              </w:rPr>
              <w:t>Neto dohodek</w:t>
            </w:r>
          </w:p>
        </w:tc>
        <w:tc>
          <w:tcPr>
            <w:tcW w:w="1511" w:type="dxa"/>
            <w:vAlign w:val="bottom"/>
          </w:tcPr>
          <w:p w14:paraId="48BB02D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3.231</w:t>
            </w:r>
          </w:p>
        </w:tc>
        <w:tc>
          <w:tcPr>
            <w:tcW w:w="1512" w:type="dxa"/>
            <w:vAlign w:val="bottom"/>
          </w:tcPr>
          <w:p w14:paraId="4969A40A"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4.332</w:t>
            </w:r>
          </w:p>
        </w:tc>
        <w:tc>
          <w:tcPr>
            <w:tcW w:w="1512" w:type="dxa"/>
            <w:vAlign w:val="bottom"/>
          </w:tcPr>
          <w:p w14:paraId="74C6DF9B"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3.588</w:t>
            </w:r>
          </w:p>
        </w:tc>
        <w:tc>
          <w:tcPr>
            <w:tcW w:w="1239" w:type="dxa"/>
            <w:tcBorders>
              <w:top w:val="nil"/>
              <w:left w:val="nil"/>
              <w:bottom w:val="single" w:sz="8" w:space="0" w:color="000000"/>
              <w:right w:val="single" w:sz="8" w:space="0" w:color="000000"/>
            </w:tcBorders>
            <w:shd w:val="clear" w:color="auto" w:fill="FBE4D5"/>
            <w:vAlign w:val="bottom"/>
          </w:tcPr>
          <w:p w14:paraId="0C7D448F"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1.101</w:t>
            </w:r>
          </w:p>
        </w:tc>
        <w:tc>
          <w:tcPr>
            <w:tcW w:w="1170" w:type="dxa"/>
            <w:tcBorders>
              <w:top w:val="nil"/>
              <w:left w:val="nil"/>
              <w:bottom w:val="single" w:sz="8" w:space="0" w:color="000000"/>
              <w:right w:val="single" w:sz="8" w:space="0" w:color="000000"/>
            </w:tcBorders>
            <w:shd w:val="clear" w:color="auto" w:fill="FBE4D5"/>
            <w:vAlign w:val="bottom"/>
          </w:tcPr>
          <w:p w14:paraId="3CBBD02E"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357</w:t>
            </w:r>
          </w:p>
        </w:tc>
      </w:tr>
      <w:tr w:rsidR="00E9128C" w:rsidRPr="00B3784F" w14:paraId="58C0FFFF" w14:textId="77777777" w:rsidTr="00E7465F">
        <w:trPr>
          <w:trHeight w:val="469"/>
        </w:trPr>
        <w:tc>
          <w:tcPr>
            <w:tcW w:w="2629" w:type="dxa"/>
          </w:tcPr>
          <w:p w14:paraId="67F2A41B" w14:textId="77777777" w:rsidR="00B3784F" w:rsidRPr="00B3784F" w:rsidRDefault="00B3784F" w:rsidP="00B3784F">
            <w:pPr>
              <w:spacing w:line="260" w:lineRule="atLeast"/>
              <w:jc w:val="both"/>
              <w:rPr>
                <w:rFonts w:eastAsia="Times New Roman" w:cs="Arial"/>
              </w:rPr>
            </w:pPr>
            <w:r w:rsidRPr="00B3784F">
              <w:rPr>
                <w:rFonts w:eastAsia="Times New Roman" w:cs="Arial"/>
              </w:rPr>
              <w:t>Upoštevan dohodek po ZUPJS*</w:t>
            </w:r>
          </w:p>
        </w:tc>
        <w:tc>
          <w:tcPr>
            <w:tcW w:w="1511" w:type="dxa"/>
            <w:vAlign w:val="bottom"/>
          </w:tcPr>
          <w:p w14:paraId="628EA089"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2.931</w:t>
            </w:r>
          </w:p>
        </w:tc>
        <w:tc>
          <w:tcPr>
            <w:tcW w:w="1512" w:type="dxa"/>
            <w:vAlign w:val="bottom"/>
          </w:tcPr>
          <w:p w14:paraId="14B183DC"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1.782</w:t>
            </w:r>
          </w:p>
        </w:tc>
        <w:tc>
          <w:tcPr>
            <w:tcW w:w="1512" w:type="dxa"/>
            <w:vAlign w:val="bottom"/>
          </w:tcPr>
          <w:p w14:paraId="791C4B76"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848</w:t>
            </w:r>
          </w:p>
        </w:tc>
        <w:tc>
          <w:tcPr>
            <w:tcW w:w="1239" w:type="dxa"/>
            <w:tcBorders>
              <w:top w:val="nil"/>
              <w:left w:val="nil"/>
              <w:bottom w:val="single" w:sz="8" w:space="0" w:color="000000"/>
              <w:right w:val="single" w:sz="8" w:space="0" w:color="000000"/>
            </w:tcBorders>
            <w:shd w:val="clear" w:color="auto" w:fill="FBE4D5"/>
            <w:vAlign w:val="bottom"/>
          </w:tcPr>
          <w:p w14:paraId="4D87E514"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-1.149</w:t>
            </w:r>
          </w:p>
        </w:tc>
        <w:tc>
          <w:tcPr>
            <w:tcW w:w="1170" w:type="dxa"/>
            <w:tcBorders>
              <w:top w:val="nil"/>
              <w:left w:val="nil"/>
              <w:bottom w:val="single" w:sz="8" w:space="0" w:color="000000"/>
              <w:right w:val="single" w:sz="8" w:space="0" w:color="000000"/>
            </w:tcBorders>
            <w:shd w:val="clear" w:color="auto" w:fill="FBE4D5"/>
            <w:vAlign w:val="bottom"/>
          </w:tcPr>
          <w:p w14:paraId="716C09CD"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-2.083</w:t>
            </w:r>
          </w:p>
        </w:tc>
      </w:tr>
      <w:tr w:rsidR="00E9128C" w:rsidRPr="00B3784F" w14:paraId="0AADEA45" w14:textId="77777777" w:rsidTr="00E7465F">
        <w:trPr>
          <w:trHeight w:val="251"/>
        </w:trPr>
        <w:tc>
          <w:tcPr>
            <w:tcW w:w="2629" w:type="dxa"/>
          </w:tcPr>
          <w:p w14:paraId="7F29C3A8" w14:textId="77777777" w:rsidR="00B3784F" w:rsidRPr="00B3784F" w:rsidRDefault="00B3784F" w:rsidP="00B3784F">
            <w:pPr>
              <w:spacing w:line="260" w:lineRule="atLeast"/>
              <w:jc w:val="both"/>
              <w:rPr>
                <w:rFonts w:eastAsia="Times New Roman" w:cs="Arial"/>
              </w:rPr>
            </w:pPr>
            <w:r w:rsidRPr="00B3784F">
              <w:rPr>
                <w:rFonts w:eastAsia="Times New Roman" w:cs="Arial"/>
              </w:rPr>
              <w:t>Strošek dela</w:t>
            </w:r>
          </w:p>
        </w:tc>
        <w:tc>
          <w:tcPr>
            <w:tcW w:w="1511" w:type="dxa"/>
            <w:vAlign w:val="bottom"/>
          </w:tcPr>
          <w:p w14:paraId="00440510"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6.155</w:t>
            </w:r>
          </w:p>
        </w:tc>
        <w:tc>
          <w:tcPr>
            <w:tcW w:w="1512" w:type="dxa"/>
            <w:vAlign w:val="bottom"/>
          </w:tcPr>
          <w:p w14:paraId="4C82E232"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5.642</w:t>
            </w:r>
          </w:p>
        </w:tc>
        <w:tc>
          <w:tcPr>
            <w:tcW w:w="1512" w:type="dxa"/>
            <w:vAlign w:val="bottom"/>
          </w:tcPr>
          <w:p w14:paraId="542C7886"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5.300</w:t>
            </w:r>
          </w:p>
        </w:tc>
        <w:tc>
          <w:tcPr>
            <w:tcW w:w="1239" w:type="dxa"/>
            <w:tcBorders>
              <w:top w:val="nil"/>
              <w:left w:val="nil"/>
              <w:bottom w:val="single" w:sz="8" w:space="0" w:color="000000"/>
              <w:right w:val="single" w:sz="8" w:space="0" w:color="000000"/>
            </w:tcBorders>
            <w:shd w:val="clear" w:color="auto" w:fill="FBE4D5"/>
            <w:vAlign w:val="bottom"/>
          </w:tcPr>
          <w:p w14:paraId="4918852B"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-513</w:t>
            </w:r>
          </w:p>
        </w:tc>
        <w:tc>
          <w:tcPr>
            <w:tcW w:w="1170" w:type="dxa"/>
            <w:tcBorders>
              <w:top w:val="nil"/>
              <w:left w:val="nil"/>
              <w:bottom w:val="single" w:sz="8" w:space="0" w:color="000000"/>
              <w:right w:val="single" w:sz="8" w:space="0" w:color="000000"/>
            </w:tcBorders>
            <w:shd w:val="clear" w:color="auto" w:fill="FBE4D5"/>
            <w:vAlign w:val="bottom"/>
          </w:tcPr>
          <w:p w14:paraId="4CB9B051" w14:textId="77777777" w:rsidR="00B3784F" w:rsidRPr="00B3784F" w:rsidRDefault="00B3784F" w:rsidP="00B3784F">
            <w:pPr>
              <w:spacing w:line="260" w:lineRule="atLeast"/>
              <w:jc w:val="right"/>
              <w:rPr>
                <w:rFonts w:eastAsia="Times New Roman" w:cs="Arial"/>
                <w:bCs/>
              </w:rPr>
            </w:pPr>
            <w:r w:rsidRPr="00B3784F">
              <w:rPr>
                <w:rFonts w:eastAsia="Times New Roman" w:cs="Arial"/>
                <w:bCs/>
              </w:rPr>
              <w:t>-855</w:t>
            </w:r>
          </w:p>
        </w:tc>
      </w:tr>
    </w:tbl>
    <w:p w14:paraId="4D01208C"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Vir: Lastni preračuni MF</w:t>
      </w:r>
    </w:p>
    <w:p w14:paraId="3F4A7FA3" w14:textId="77777777" w:rsidR="00B3784F" w:rsidRPr="00B3784F" w:rsidRDefault="00B3784F" w:rsidP="00B3784F">
      <w:pPr>
        <w:spacing w:after="0" w:line="260" w:lineRule="atLeast"/>
        <w:contextualSpacing/>
        <w:jc w:val="both"/>
        <w:rPr>
          <w:rFonts w:cs="Arial"/>
          <w:i/>
          <w:iCs/>
          <w:sz w:val="16"/>
          <w:szCs w:val="16"/>
        </w:rPr>
      </w:pPr>
      <w:r w:rsidRPr="00B3784F">
        <w:rPr>
          <w:rFonts w:cs="Arial"/>
          <w:i/>
          <w:iCs/>
          <w:sz w:val="16"/>
          <w:szCs w:val="16"/>
        </w:rPr>
        <w:t>* Dohodek, ki se upošteva pri ugotavljanju materialnega položaja pri uveljavljanju pravic iz javnih sredstev po ZUPJS.</w:t>
      </w:r>
    </w:p>
    <w:p w14:paraId="280F75D2" w14:textId="77777777" w:rsidR="00B3784F" w:rsidRPr="00B3784F" w:rsidRDefault="00B3784F" w:rsidP="00B3784F">
      <w:pPr>
        <w:spacing w:after="0" w:line="260" w:lineRule="atLeast"/>
        <w:contextualSpacing/>
        <w:jc w:val="both"/>
        <w:rPr>
          <w:rFonts w:cs="Arial"/>
          <w:szCs w:val="20"/>
        </w:rPr>
      </w:pPr>
    </w:p>
    <w:p w14:paraId="7427B873" w14:textId="77777777" w:rsidR="00B3784F" w:rsidRPr="00B3784F" w:rsidRDefault="00B3784F" w:rsidP="00B3784F">
      <w:pPr>
        <w:spacing w:after="0" w:line="260" w:lineRule="atLeast"/>
        <w:contextualSpacing/>
        <w:jc w:val="both"/>
        <w:rPr>
          <w:rFonts w:cs="Arial"/>
          <w:szCs w:val="20"/>
        </w:rPr>
      </w:pPr>
      <w:r w:rsidRPr="00B3784F">
        <w:rPr>
          <w:rFonts w:cs="Arial"/>
          <w:szCs w:val="20"/>
        </w:rPr>
        <w:t xml:space="preserve">Drugi zavezanec ima največji pozitivni učinek na neto dohodek v primeru, ko mu delodajalec del prejemka za delo izplača preko pogodbe o poslovnem sodelovanju, ki jo sklene z njim. Pri tem pa je slednje predvsem na račun bistvenega vpliva na javne finance (nižji davek in prispevki za socialno varnost). Strošek dela za delodajalca je pri taki obliki sodelovanja še vedno nižji kot v primeru, ko je zavezanec zaposlen, a je višji kot v primeru, če delodajalec zavezancu celotni znesek prejemka za delo izplača preko pogodbe o poslovnem sodelovanju (preko opravljanja dela kot samostojni podjetnik posameznik). Pri tem pa je vpliv na neto dohodek zavezanca v primeru take oblike sodelovanja sicer v primerjavi z zaposlenim še vedno višji, a tovrstna oblika bistveno bolj koristi delodajalcu kot zavezancu.  </w:t>
      </w:r>
    </w:p>
    <w:p w14:paraId="32DC18B4" w14:textId="77777777" w:rsidR="00B3784F" w:rsidRPr="00B3784F" w:rsidRDefault="00B3784F" w:rsidP="00B3784F">
      <w:pPr>
        <w:spacing w:after="0" w:line="260" w:lineRule="atLeast"/>
        <w:contextualSpacing/>
        <w:jc w:val="both"/>
        <w:rPr>
          <w:rFonts w:cs="Arial"/>
          <w:szCs w:val="20"/>
        </w:rPr>
      </w:pPr>
    </w:p>
    <w:p w14:paraId="40AC6DDC" w14:textId="77777777" w:rsidR="00B3784F" w:rsidRPr="00B3784F" w:rsidRDefault="00B3784F" w:rsidP="00B3784F">
      <w:pPr>
        <w:spacing w:after="0" w:line="260" w:lineRule="atLeast"/>
        <w:contextualSpacing/>
        <w:jc w:val="both"/>
        <w:rPr>
          <w:rFonts w:cs="Arial"/>
          <w:szCs w:val="20"/>
        </w:rPr>
      </w:pPr>
      <w:r w:rsidRPr="00B3784F">
        <w:rPr>
          <w:rFonts w:cs="Arial"/>
          <w:szCs w:val="20"/>
        </w:rPr>
        <w:t>Gre za znatne učinke na mesečni ravni tako na neto dohodek zavezanca kot tudi na stroške dela delodajalca, kar vpliva na neustrezno obnašanje na trgu dela z mnogimi negativnimi učinki, tako na javne finance in stabilnost blagajn socialnih zavarovanj, kot tudi na pravično porazdelitev davčnih bremen in pravic iz javnih sredstev.</w:t>
      </w:r>
    </w:p>
    <w:p w14:paraId="31FF5ACD" w14:textId="77777777" w:rsidR="00B3784F" w:rsidRPr="00B3784F" w:rsidRDefault="00B3784F" w:rsidP="00B3784F">
      <w:pPr>
        <w:spacing w:after="0" w:line="260" w:lineRule="atLeast"/>
        <w:contextualSpacing/>
        <w:jc w:val="both"/>
        <w:rPr>
          <w:rFonts w:cs="Arial"/>
          <w:szCs w:val="20"/>
        </w:rPr>
      </w:pPr>
    </w:p>
    <w:p w14:paraId="2C4B480F" w14:textId="77777777" w:rsidR="00B3784F" w:rsidRPr="00B3784F" w:rsidRDefault="00B3784F" w:rsidP="00B3784F">
      <w:pPr>
        <w:spacing w:after="0" w:line="260" w:lineRule="atLeast"/>
        <w:contextualSpacing/>
        <w:jc w:val="both"/>
        <w:rPr>
          <w:rFonts w:cs="Arial"/>
          <w:i/>
          <w:iCs/>
          <w:szCs w:val="20"/>
        </w:rPr>
      </w:pPr>
      <w:r w:rsidRPr="00B3784F">
        <w:rPr>
          <w:rFonts w:cs="Arial"/>
          <w:i/>
          <w:iCs/>
          <w:szCs w:val="20"/>
        </w:rPr>
        <w:t>1.3.2 Razlogi za spremembe</w:t>
      </w:r>
    </w:p>
    <w:p w14:paraId="5F183C44" w14:textId="77777777" w:rsidR="00B3784F" w:rsidRPr="00B3784F" w:rsidRDefault="00B3784F" w:rsidP="00B3784F">
      <w:pPr>
        <w:spacing w:after="0" w:line="260" w:lineRule="atLeast"/>
        <w:contextualSpacing/>
        <w:jc w:val="both"/>
        <w:rPr>
          <w:rFonts w:eastAsia="Times New Roman" w:cs="Arial"/>
          <w:szCs w:val="20"/>
        </w:rPr>
      </w:pPr>
      <w:r w:rsidRPr="00B3784F">
        <w:rPr>
          <w:rFonts w:cs="Arial"/>
          <w:szCs w:val="20"/>
        </w:rPr>
        <w:t xml:space="preserve">Tveganja obstoječega sistema t. i. normirancev, povezanih z omejevanjem vstopa v sistem normiranih odhodkov, vplivajo na motivacijo podjetnikov za širitev podjetniške aktivnosti ter na sivo ekonomijo. </w:t>
      </w:r>
      <w:r w:rsidRPr="00B3784F">
        <w:rPr>
          <w:rFonts w:eastAsia="Times New Roman" w:cs="Arial"/>
          <w:szCs w:val="20"/>
        </w:rPr>
        <w:t>Trenutno veljavni znižani prag za vstop in ohranitev v sistemu normiranih odhodkov negativno motivacijsko vpliva na posameznike, da bi širili svojo dejavnost.</w:t>
      </w:r>
    </w:p>
    <w:p w14:paraId="3FCCEE38" w14:textId="77777777" w:rsidR="00B3784F" w:rsidRPr="00B3784F" w:rsidRDefault="00B3784F" w:rsidP="00B3784F">
      <w:pPr>
        <w:spacing w:after="0" w:line="260" w:lineRule="atLeast"/>
        <w:jc w:val="both"/>
        <w:rPr>
          <w:rFonts w:eastAsia="Times New Roman" w:cs="Arial"/>
          <w:szCs w:val="20"/>
        </w:rPr>
      </w:pPr>
    </w:p>
    <w:p w14:paraId="33DBBB4D" w14:textId="77777777" w:rsidR="00B3784F" w:rsidRPr="00B3784F" w:rsidRDefault="00B3784F" w:rsidP="00B3784F">
      <w:pPr>
        <w:spacing w:after="0" w:line="260" w:lineRule="atLeast"/>
        <w:jc w:val="both"/>
        <w:rPr>
          <w:rFonts w:eastAsia="Times New Roman" w:cs="Arial"/>
          <w:szCs w:val="20"/>
        </w:rPr>
      </w:pPr>
      <w:r w:rsidRPr="00B3784F">
        <w:rPr>
          <w:rFonts w:eastAsia="Times New Roman" w:cs="Arial"/>
          <w:szCs w:val="20"/>
        </w:rPr>
        <w:t xml:space="preserve">Z namenom, da se podjetnikom omogoči, da se posvetijo svojemu delu in ustvarjanju dodane vrednosti, ob tem pa ne izgubljajo delovnih ur oziroma sredstev z administrativnimi zahtevami, se predlaga sprememba sistema normiranih odhodkov v smeri spremembe praga prihodkov za vstop in izstop v in iz sistema normiranih odhodkov, s čimer se bo spodbudilo posameznike, da svojo dejavnost širijo in še vedno ohranijo administrativno enostaven način ugotavljanja davčne obveznosti, ob hkratni ohranitvi veljavnega sistema na delu, ki je zmanjšal razlike med zavezanci znotraj sistema oseb, ki opravljajo dejavnost. </w:t>
      </w:r>
    </w:p>
    <w:p w14:paraId="0FAD5477" w14:textId="77777777" w:rsidR="00B3784F" w:rsidRPr="00B3784F" w:rsidRDefault="00B3784F" w:rsidP="00B3784F">
      <w:pPr>
        <w:spacing w:after="0" w:line="260" w:lineRule="atLeast"/>
        <w:jc w:val="both"/>
        <w:rPr>
          <w:rFonts w:eastAsia="Times New Roman" w:cs="Arial"/>
          <w:szCs w:val="20"/>
        </w:rPr>
      </w:pPr>
    </w:p>
    <w:p w14:paraId="078E0465" w14:textId="77777777" w:rsidR="00B3784F" w:rsidRPr="00B3784F" w:rsidRDefault="00B3784F" w:rsidP="00B3784F">
      <w:pPr>
        <w:spacing w:after="0" w:line="260" w:lineRule="atLeast"/>
        <w:jc w:val="both"/>
        <w:rPr>
          <w:rFonts w:eastAsia="Times New Roman" w:cs="Arial"/>
          <w:szCs w:val="20"/>
        </w:rPr>
      </w:pPr>
      <w:r w:rsidRPr="00B3784F">
        <w:rPr>
          <w:rFonts w:eastAsia="Times New Roman" w:cs="Arial"/>
          <w:szCs w:val="20"/>
        </w:rPr>
        <w:t>Zato se predlaga sprememba davčne stopnje oziroma vpeljava posebne davčne lestvice za dohodke iz dejavnosti, za katere se ugotavlja davčna osnova z upoštevanjem normiranih odhodkov. S tem se omili ugodnost sistema t. i. normirancev za večja izplačila v zadnjem letu poslovanja pred izstopom in se spodbudi zavezance z večjimi prihodki k izkazovanju dejanskih dohodkov.</w:t>
      </w:r>
    </w:p>
    <w:p w14:paraId="6E4B3BC7" w14:textId="77777777" w:rsidR="00B3784F" w:rsidRPr="00B3784F" w:rsidRDefault="00B3784F" w:rsidP="00B3784F">
      <w:pPr>
        <w:spacing w:after="0" w:line="260" w:lineRule="atLeast"/>
        <w:jc w:val="both"/>
        <w:rPr>
          <w:rFonts w:eastAsia="Times New Roman" w:cs="Arial"/>
          <w:szCs w:val="20"/>
        </w:rPr>
      </w:pPr>
    </w:p>
    <w:p w14:paraId="57413E1F" w14:textId="77777777" w:rsidR="00B3784F" w:rsidRPr="00B3784F" w:rsidRDefault="00B3784F" w:rsidP="00B3784F">
      <w:pPr>
        <w:spacing w:after="0" w:line="260" w:lineRule="atLeast"/>
        <w:jc w:val="both"/>
        <w:rPr>
          <w:rFonts w:ascii="Aptos" w:eastAsia="Times New Roman" w:hAnsi="Aptos"/>
        </w:rPr>
      </w:pPr>
      <w:r w:rsidRPr="00B3784F">
        <w:rPr>
          <w:rFonts w:eastAsia="Times New Roman"/>
          <w:szCs w:val="24"/>
        </w:rPr>
        <w:lastRenderedPageBreak/>
        <w:t>Predlaga se tudi sprememba na določitvi obdobja po izstopu iz sistema ali prenehanja opravljanja dejavnosti, v katerem zavezanec ne more ponovno vstopiti v sistem. S tem se omeji zlorabe sistema zgolj za zniževanje davčne obveznosti.</w:t>
      </w:r>
    </w:p>
    <w:p w14:paraId="17A3A983" w14:textId="77777777" w:rsidR="00B3784F" w:rsidRPr="00E9128C" w:rsidRDefault="00B3784F" w:rsidP="00BB049E">
      <w:pPr>
        <w:suppressAutoHyphens/>
        <w:autoSpaceDN w:val="0"/>
        <w:spacing w:line="276" w:lineRule="auto"/>
        <w:jc w:val="both"/>
        <w:textAlignment w:val="baseline"/>
        <w:rPr>
          <w:rFonts w:cs="Arial"/>
          <w:b/>
        </w:rPr>
      </w:pPr>
    </w:p>
    <w:p w14:paraId="22A4DAAE" w14:textId="77777777" w:rsidR="00BB049E" w:rsidRPr="00E9128C" w:rsidRDefault="00BB049E" w:rsidP="00BB37FE">
      <w:pPr>
        <w:pStyle w:val="Odstavekseznama"/>
        <w:numPr>
          <w:ilvl w:val="0"/>
          <w:numId w:val="10"/>
        </w:numPr>
        <w:rPr>
          <w:b/>
          <w:bCs/>
        </w:rPr>
      </w:pPr>
      <w:r w:rsidRPr="00E9128C">
        <w:rPr>
          <w:b/>
          <w:bCs/>
        </w:rPr>
        <w:t>CILJI, NAČELA IN POGLAVITNE REŠITVE PREDLOGA ZAKONA</w:t>
      </w:r>
    </w:p>
    <w:p w14:paraId="29660AAC" w14:textId="77777777" w:rsidR="00BB049E" w:rsidRPr="00E9128C" w:rsidRDefault="00BB049E" w:rsidP="00BB049E">
      <w:pPr>
        <w:ind w:left="360"/>
        <w:rPr>
          <w:b/>
          <w:bCs/>
        </w:rPr>
      </w:pPr>
      <w:r w:rsidRPr="00E9128C">
        <w:rPr>
          <w:b/>
          <w:bCs/>
        </w:rPr>
        <w:t>2.1 Cilji</w:t>
      </w:r>
    </w:p>
    <w:p w14:paraId="2594EDCB" w14:textId="77777777" w:rsidR="00BB049E" w:rsidRPr="00E9128C" w:rsidRDefault="00BB049E" w:rsidP="00E9128C">
      <w:pPr>
        <w:spacing w:after="0" w:line="260" w:lineRule="atLeast"/>
        <w:jc w:val="both"/>
        <w:rPr>
          <w:rFonts w:eastAsia="Times New Roman" w:cs="Arial"/>
          <w:szCs w:val="20"/>
        </w:rPr>
      </w:pPr>
      <w:r w:rsidRPr="00E9128C">
        <w:rPr>
          <w:rFonts w:cs="Arial"/>
          <w:szCs w:val="20"/>
        </w:rPr>
        <w:t>Cilji predlaganega zakona so:</w:t>
      </w:r>
    </w:p>
    <w:p w14:paraId="2EF15E8C" w14:textId="77777777" w:rsidR="00026663" w:rsidRPr="00E9128C" w:rsidRDefault="00026663" w:rsidP="00CF2340">
      <w:pPr>
        <w:suppressAutoHyphens/>
        <w:autoSpaceDN w:val="0"/>
        <w:spacing w:after="0" w:line="260" w:lineRule="atLeast"/>
        <w:jc w:val="both"/>
        <w:textAlignment w:val="baseline"/>
        <w:rPr>
          <w:rFonts w:cs="Arial"/>
        </w:rPr>
      </w:pPr>
    </w:p>
    <w:p w14:paraId="5D734050" w14:textId="6216FD4C" w:rsidR="00BB049E" w:rsidRPr="00E9128C" w:rsidRDefault="00BB049E" w:rsidP="00CF2340">
      <w:pPr>
        <w:suppressAutoHyphens/>
        <w:autoSpaceDN w:val="0"/>
        <w:spacing w:after="0" w:line="260" w:lineRule="atLeast"/>
        <w:jc w:val="both"/>
        <w:textAlignment w:val="baseline"/>
        <w:rPr>
          <w:rFonts w:cs="Arial"/>
        </w:rPr>
      </w:pPr>
      <w:r w:rsidRPr="00E9128C">
        <w:rPr>
          <w:rFonts w:cs="Arial"/>
        </w:rPr>
        <w:t xml:space="preserve">Predlog zakona </w:t>
      </w:r>
      <w:r w:rsidRPr="00E9128C">
        <w:rPr>
          <w:rFonts w:cs="Arial"/>
          <w:szCs w:val="20"/>
        </w:rPr>
        <w:t xml:space="preserve">določa novo delovnopravno pravico, to je pravico delavcev in funkcionarjev, ki prejemajo plačo v skladu z določili zakona, ki ureja skupne temelje plačnega sistema v javnem sektorju, do zimskega </w:t>
      </w:r>
      <w:r w:rsidR="00AF28AC" w:rsidRPr="00E9128C">
        <w:rPr>
          <w:rFonts w:cs="Arial"/>
          <w:szCs w:val="20"/>
        </w:rPr>
        <w:t>regresa</w:t>
      </w:r>
      <w:r w:rsidRPr="00E9128C">
        <w:rPr>
          <w:rFonts w:cs="Arial"/>
          <w:szCs w:val="20"/>
        </w:rPr>
        <w:t xml:space="preserve">, in ureja davčno obravnavo tega prejemka. Z uvedbo novega prejemka se želi vsem delavcem v enakem položaju zagotoviti dodatni prejemek v posameznem koledarskem letu, ki bi pripomogel </w:t>
      </w:r>
      <w:r w:rsidRPr="00E9128C">
        <w:rPr>
          <w:rFonts w:cs="Arial"/>
        </w:rPr>
        <w:t xml:space="preserve">k izboljšanju njihovega zadovoljstva in motivacije za opravljanje dela. </w:t>
      </w:r>
    </w:p>
    <w:p w14:paraId="3FE5FCB6" w14:textId="77777777" w:rsidR="00026663" w:rsidRPr="00E9128C" w:rsidRDefault="00026663" w:rsidP="00E9128C">
      <w:pPr>
        <w:suppressAutoHyphens/>
        <w:autoSpaceDN w:val="0"/>
        <w:spacing w:after="0" w:line="260" w:lineRule="atLeast"/>
        <w:jc w:val="both"/>
        <w:textAlignment w:val="baseline"/>
        <w:rPr>
          <w:rFonts w:cs="Arial"/>
        </w:rPr>
      </w:pPr>
    </w:p>
    <w:p w14:paraId="2977266A" w14:textId="27003E21" w:rsidR="00BB049E" w:rsidRPr="00E9128C" w:rsidRDefault="00BB049E" w:rsidP="00CF2340">
      <w:pPr>
        <w:spacing w:after="0" w:line="260" w:lineRule="atLeast"/>
        <w:jc w:val="both"/>
        <w:rPr>
          <w:rFonts w:cs="Arial"/>
          <w:szCs w:val="20"/>
        </w:rPr>
      </w:pPr>
      <w:r w:rsidRPr="00E9128C">
        <w:rPr>
          <w:rFonts w:cs="Arial"/>
        </w:rPr>
        <w:t xml:space="preserve">Z uvedbo novega prejemka se želi zagotoviti tudi enako davčno obravnavo vsem delavcem. Po predlogu zakona bi bil </w:t>
      </w:r>
      <w:r w:rsidR="00AF28AC" w:rsidRPr="00E9128C">
        <w:rPr>
          <w:rFonts w:cs="Arial"/>
        </w:rPr>
        <w:t xml:space="preserve">zimski regres </w:t>
      </w:r>
      <w:r w:rsidRPr="00E9128C">
        <w:rPr>
          <w:rFonts w:cs="Arial"/>
        </w:rPr>
        <w:t xml:space="preserve">oproščen plačila davkov in prispevkov do višine polovice minimalne </w:t>
      </w:r>
      <w:r w:rsidRPr="00E9128C">
        <w:rPr>
          <w:rFonts w:cs="Arial"/>
          <w:szCs w:val="20"/>
        </w:rPr>
        <w:t>plače.</w:t>
      </w:r>
    </w:p>
    <w:p w14:paraId="08CD4C70" w14:textId="77777777" w:rsidR="00026663" w:rsidRPr="00E9128C" w:rsidRDefault="00026663" w:rsidP="00E9128C">
      <w:pPr>
        <w:spacing w:after="0" w:line="260" w:lineRule="atLeast"/>
        <w:jc w:val="both"/>
        <w:rPr>
          <w:rFonts w:cs="Arial"/>
          <w:szCs w:val="20"/>
        </w:rPr>
      </w:pPr>
    </w:p>
    <w:p w14:paraId="19F00985" w14:textId="77777777" w:rsidR="00026663" w:rsidRPr="00E9128C" w:rsidRDefault="00026663" w:rsidP="00E9128C">
      <w:pPr>
        <w:spacing w:after="0" w:line="260" w:lineRule="atLeast"/>
        <w:jc w:val="both"/>
        <w:rPr>
          <w:rFonts w:cs="Arial"/>
          <w:szCs w:val="20"/>
        </w:rPr>
      </w:pPr>
      <w:r w:rsidRPr="00E9128C">
        <w:rPr>
          <w:rFonts w:cs="Arial"/>
          <w:szCs w:val="20"/>
        </w:rPr>
        <w:t xml:space="preserve">Zimski dodatek je namenjen blaženju socialne stiske upokojencev in uživalcev nadomestil iz invalidskega zavarovanja, ki jo prinašajo zimski meseci. </w:t>
      </w:r>
    </w:p>
    <w:p w14:paraId="28A9ED2A" w14:textId="77777777" w:rsidR="00026663" w:rsidRPr="00E9128C" w:rsidRDefault="00026663" w:rsidP="00E9128C">
      <w:pPr>
        <w:spacing w:after="0" w:line="260" w:lineRule="atLeast"/>
        <w:jc w:val="both"/>
        <w:rPr>
          <w:rFonts w:cs="Arial"/>
          <w:szCs w:val="20"/>
        </w:rPr>
      </w:pPr>
    </w:p>
    <w:p w14:paraId="5923EA74" w14:textId="19FC206E" w:rsidR="00026663" w:rsidRPr="00E9128C" w:rsidRDefault="00026663" w:rsidP="00E9128C">
      <w:pPr>
        <w:spacing w:after="0" w:line="260" w:lineRule="atLeast"/>
        <w:jc w:val="both"/>
        <w:rPr>
          <w:rFonts w:cs="Arial"/>
          <w:szCs w:val="20"/>
        </w:rPr>
      </w:pPr>
      <w:r w:rsidRPr="00E9128C">
        <w:rPr>
          <w:rFonts w:cs="Arial"/>
          <w:szCs w:val="20"/>
        </w:rPr>
        <w:t>Cilj zakona je tudi odprava določenih tveganj obstoječega sistema t. i. normirancev, povezanih z omejevanjem vstopa v sistem normiranih odhodkov, zmanjševanje obsega sive ekonomije ter povečanje motivacije podjetnikov za širitev podjetniške aktivnosti, ob hkratni omilitvi ugodnosti sistema t. i. normirancev za večje prihodke in odpravi tveganj za zlorabe sistema za zaporedne vstope/izstope iz sistema.</w:t>
      </w:r>
    </w:p>
    <w:p w14:paraId="2AE3297D" w14:textId="77777777" w:rsidR="00BB049E" w:rsidRPr="00E9128C" w:rsidRDefault="00BB049E" w:rsidP="00BB049E">
      <w:pPr>
        <w:pStyle w:val="Odstavekseznama"/>
        <w:spacing w:after="0" w:line="276" w:lineRule="auto"/>
        <w:jc w:val="both"/>
      </w:pPr>
    </w:p>
    <w:p w14:paraId="67BB7680" w14:textId="77777777" w:rsidR="00BB049E" w:rsidRPr="00E9128C" w:rsidRDefault="00BB049E" w:rsidP="00BB37FE">
      <w:pPr>
        <w:pStyle w:val="Odstavekseznama"/>
        <w:numPr>
          <w:ilvl w:val="1"/>
          <w:numId w:val="10"/>
        </w:numPr>
        <w:rPr>
          <w:b/>
          <w:bCs/>
        </w:rPr>
      </w:pPr>
      <w:r w:rsidRPr="00E9128C">
        <w:rPr>
          <w:b/>
          <w:bCs/>
        </w:rPr>
        <w:t xml:space="preserve">Načela </w:t>
      </w:r>
    </w:p>
    <w:p w14:paraId="5C059F84" w14:textId="77777777" w:rsidR="00BB049E" w:rsidRPr="00E9128C" w:rsidRDefault="00BB049E" w:rsidP="00BB049E">
      <w:r w:rsidRPr="00E9128C">
        <w:t>Predlog zakona upošteva naslednja načela:</w:t>
      </w:r>
    </w:p>
    <w:p w14:paraId="5EC56FBB" w14:textId="77777777" w:rsidR="00BB049E" w:rsidRPr="00E9128C" w:rsidRDefault="00BB049E" w:rsidP="00BB37FE">
      <w:pPr>
        <w:pStyle w:val="Odstavekseznama"/>
        <w:numPr>
          <w:ilvl w:val="0"/>
          <w:numId w:val="11"/>
        </w:numPr>
        <w:spacing w:after="0" w:line="276" w:lineRule="auto"/>
        <w:jc w:val="both"/>
        <w:rPr>
          <w:rFonts w:cs="Arial"/>
          <w:szCs w:val="20"/>
        </w:rPr>
      </w:pPr>
      <w:r w:rsidRPr="00E9128C">
        <w:rPr>
          <w:rFonts w:cs="Arial"/>
          <w:szCs w:val="20"/>
        </w:rPr>
        <w:t>načelo potrebnosti pravnega urejanja,</w:t>
      </w:r>
    </w:p>
    <w:p w14:paraId="575C3E89" w14:textId="77777777" w:rsidR="00BB049E" w:rsidRPr="00E9128C" w:rsidRDefault="00BB049E" w:rsidP="00BB37FE">
      <w:pPr>
        <w:pStyle w:val="Odstavekseznama"/>
        <w:numPr>
          <w:ilvl w:val="0"/>
          <w:numId w:val="11"/>
        </w:numPr>
        <w:spacing w:after="0" w:line="276" w:lineRule="auto"/>
        <w:jc w:val="both"/>
        <w:rPr>
          <w:rFonts w:cs="Arial"/>
          <w:szCs w:val="20"/>
        </w:rPr>
      </w:pPr>
      <w:r w:rsidRPr="00E9128C">
        <w:rPr>
          <w:rFonts w:cs="Arial"/>
          <w:szCs w:val="20"/>
        </w:rPr>
        <w:t>načelo varstva pravic delavcev,</w:t>
      </w:r>
    </w:p>
    <w:p w14:paraId="08D7F34D" w14:textId="77777777" w:rsidR="00BB049E" w:rsidRPr="00E9128C" w:rsidRDefault="00BB049E" w:rsidP="00BB37FE">
      <w:pPr>
        <w:pStyle w:val="Odstavekseznama"/>
        <w:numPr>
          <w:ilvl w:val="0"/>
          <w:numId w:val="11"/>
        </w:numPr>
        <w:spacing w:after="0" w:line="276" w:lineRule="auto"/>
        <w:jc w:val="both"/>
        <w:rPr>
          <w:rFonts w:cs="Arial"/>
          <w:szCs w:val="20"/>
        </w:rPr>
      </w:pPr>
      <w:r w:rsidRPr="00E9128C">
        <w:rPr>
          <w:rFonts w:cs="Arial"/>
          <w:szCs w:val="20"/>
        </w:rPr>
        <w:t>načelo zakonitosti.</w:t>
      </w:r>
    </w:p>
    <w:p w14:paraId="473A1102" w14:textId="77777777" w:rsidR="00BB049E" w:rsidRPr="00E9128C" w:rsidRDefault="00BB049E" w:rsidP="00CF2340"/>
    <w:p w14:paraId="39D4C2CA" w14:textId="6D7D4228" w:rsidR="00026663" w:rsidRPr="00E9128C" w:rsidRDefault="00026663" w:rsidP="00E9128C">
      <w:pPr>
        <w:jc w:val="both"/>
      </w:pPr>
      <w:r w:rsidRPr="00E9128C">
        <w:t>Zakon v delu, ki ureja odstop od zakona, ki ureja dohodnino, načela tega zakona na splošno ne odstopajo od temeljnih načel veljavnega ZDoh-2. V predlogu zakona se tako izhaja iz načela splošne davčne obveznosti, načela obdavčitve svetovnega dohodka, enake ali primerljive davčne obravnave davčnih zavezancev v enakem ali primerljivem položaju in sposobnosti za plačilo davka.</w:t>
      </w:r>
    </w:p>
    <w:p w14:paraId="4AE28BEE" w14:textId="77777777" w:rsidR="00026663" w:rsidRPr="00E9128C" w:rsidRDefault="00026663" w:rsidP="00E9128C"/>
    <w:p w14:paraId="19AB50A5" w14:textId="77777777" w:rsidR="00BB049E" w:rsidRPr="00E9128C" w:rsidRDefault="00BB049E" w:rsidP="00BB37FE">
      <w:pPr>
        <w:pStyle w:val="Odstavekseznama"/>
        <w:numPr>
          <w:ilvl w:val="1"/>
          <w:numId w:val="10"/>
        </w:numPr>
        <w:rPr>
          <w:b/>
          <w:bCs/>
        </w:rPr>
      </w:pPr>
      <w:r w:rsidRPr="00E9128C">
        <w:rPr>
          <w:b/>
          <w:bCs/>
        </w:rPr>
        <w:t xml:space="preserve">Poglavitne rešitve </w:t>
      </w:r>
    </w:p>
    <w:p w14:paraId="409763A5" w14:textId="2C369388" w:rsidR="00026663" w:rsidRPr="00E9128C" w:rsidRDefault="00026663" w:rsidP="00BB049E">
      <w:pPr>
        <w:spacing w:line="276" w:lineRule="auto"/>
        <w:jc w:val="both"/>
        <w:rPr>
          <w:rFonts w:cs="Arial"/>
          <w:b/>
          <w:szCs w:val="20"/>
        </w:rPr>
      </w:pPr>
      <w:r w:rsidRPr="00E9128C">
        <w:rPr>
          <w:rFonts w:cs="Arial"/>
          <w:b/>
          <w:szCs w:val="20"/>
        </w:rPr>
        <w:t>2.3.1 Zimski regres</w:t>
      </w:r>
    </w:p>
    <w:p w14:paraId="443855AD" w14:textId="4F5C3295" w:rsidR="00BB049E" w:rsidRPr="00E9128C" w:rsidRDefault="00BB049E" w:rsidP="00BB049E">
      <w:pPr>
        <w:spacing w:line="276" w:lineRule="auto"/>
        <w:jc w:val="both"/>
        <w:rPr>
          <w:rFonts w:cs="Arial"/>
          <w:szCs w:val="20"/>
        </w:rPr>
      </w:pPr>
      <w:r w:rsidRPr="00E9128C">
        <w:rPr>
          <w:rFonts w:cs="Arial"/>
          <w:bCs/>
          <w:szCs w:val="20"/>
        </w:rPr>
        <w:t xml:space="preserve">Predlog zakona uvaja novo pravico iz delovnega razmerja, to je pravico do zimskega </w:t>
      </w:r>
      <w:r w:rsidR="00AF28AC" w:rsidRPr="00E9128C">
        <w:rPr>
          <w:rFonts w:cs="Arial"/>
          <w:bCs/>
          <w:szCs w:val="20"/>
        </w:rPr>
        <w:t>regresa</w:t>
      </w:r>
      <w:r w:rsidRPr="00E9128C">
        <w:rPr>
          <w:rFonts w:cs="Arial"/>
          <w:bCs/>
          <w:szCs w:val="20"/>
        </w:rPr>
        <w:t xml:space="preserve">. Z novo pravico se želi </w:t>
      </w:r>
      <w:r w:rsidRPr="00E9128C">
        <w:rPr>
          <w:rFonts w:cs="Arial"/>
          <w:szCs w:val="20"/>
        </w:rPr>
        <w:t>vsem delavcem v enakem položaju zagotoviti dodatni prejemek v posameznem koledarskem letu.</w:t>
      </w:r>
    </w:p>
    <w:p w14:paraId="403BAC2F" w14:textId="28FCCA35" w:rsidR="00BB049E" w:rsidRPr="00E9128C" w:rsidRDefault="00BB049E" w:rsidP="00BB049E">
      <w:pPr>
        <w:spacing w:line="276" w:lineRule="auto"/>
        <w:jc w:val="both"/>
        <w:rPr>
          <w:rFonts w:cs="Arial"/>
          <w:bCs/>
          <w:szCs w:val="20"/>
        </w:rPr>
      </w:pPr>
      <w:r w:rsidRPr="00E9128C">
        <w:rPr>
          <w:rFonts w:cs="Arial"/>
          <w:szCs w:val="20"/>
        </w:rPr>
        <w:t xml:space="preserve">Prejemek se veže </w:t>
      </w:r>
      <w:r w:rsidRPr="00E9128C">
        <w:rPr>
          <w:rFonts w:cs="Arial"/>
          <w:bCs/>
          <w:szCs w:val="20"/>
        </w:rPr>
        <w:t xml:space="preserve">na sam status delavca. Višina prejemka se določa v višini polovice minimalne plače v Republiki Sloveniji. Skrajni rok za izplačilo zimskega </w:t>
      </w:r>
      <w:r w:rsidR="00B80ABA" w:rsidRPr="00E9128C">
        <w:rPr>
          <w:rFonts w:cs="Arial"/>
          <w:bCs/>
          <w:szCs w:val="20"/>
        </w:rPr>
        <w:t xml:space="preserve">regresa </w:t>
      </w:r>
      <w:r w:rsidRPr="00E9128C">
        <w:rPr>
          <w:rFonts w:cs="Arial"/>
          <w:bCs/>
          <w:szCs w:val="20"/>
        </w:rPr>
        <w:t xml:space="preserve">se določi </w:t>
      </w:r>
      <w:r w:rsidR="007D06F1">
        <w:rPr>
          <w:rFonts w:cs="Arial"/>
          <w:bCs/>
          <w:szCs w:val="20"/>
        </w:rPr>
        <w:t>najpozneje</w:t>
      </w:r>
      <w:r w:rsidRPr="00E9128C">
        <w:rPr>
          <w:rFonts w:cs="Arial"/>
          <w:bCs/>
          <w:szCs w:val="20"/>
        </w:rPr>
        <w:t xml:space="preserve"> 18 dni po preteku plačilnega obdobja za izplačilo plače za mesec november tekočega koledarskega leta. Če je rok za izplačilo zimskega </w:t>
      </w:r>
      <w:r w:rsidR="00B80ABA" w:rsidRPr="00E9128C">
        <w:rPr>
          <w:rFonts w:cs="Arial"/>
          <w:bCs/>
          <w:szCs w:val="20"/>
        </w:rPr>
        <w:t xml:space="preserve">regresa </w:t>
      </w:r>
      <w:r w:rsidRPr="00E9128C">
        <w:rPr>
          <w:rFonts w:cs="Arial"/>
          <w:bCs/>
          <w:szCs w:val="20"/>
        </w:rPr>
        <w:t xml:space="preserve">dela prosti dan, se zimski </w:t>
      </w:r>
      <w:r w:rsidR="00B80ABA" w:rsidRPr="00E9128C">
        <w:rPr>
          <w:rFonts w:cs="Arial"/>
          <w:bCs/>
          <w:szCs w:val="20"/>
        </w:rPr>
        <w:t xml:space="preserve">regres </w:t>
      </w:r>
      <w:r w:rsidRPr="00E9128C">
        <w:rPr>
          <w:rFonts w:cs="Arial"/>
          <w:bCs/>
          <w:szCs w:val="20"/>
        </w:rPr>
        <w:t xml:space="preserve">izplača </w:t>
      </w:r>
      <w:r w:rsidR="007D06F1">
        <w:rPr>
          <w:rFonts w:cs="Arial"/>
          <w:bCs/>
          <w:szCs w:val="20"/>
        </w:rPr>
        <w:t>najpozneje</w:t>
      </w:r>
      <w:r w:rsidRPr="00E9128C">
        <w:rPr>
          <w:rFonts w:cs="Arial"/>
          <w:bCs/>
          <w:szCs w:val="20"/>
        </w:rPr>
        <w:t xml:space="preserve"> prvi naslednji delovni </w:t>
      </w:r>
      <w:r w:rsidRPr="00E9128C">
        <w:rPr>
          <w:rFonts w:cs="Arial"/>
          <w:bCs/>
          <w:szCs w:val="20"/>
        </w:rPr>
        <w:lastRenderedPageBreak/>
        <w:t>dan. Izjemoma,</w:t>
      </w:r>
      <w:r w:rsidR="00C26525" w:rsidRPr="00E9128C">
        <w:rPr>
          <w:rFonts w:cs="Arial"/>
          <w:bCs/>
          <w:szCs w:val="20"/>
        </w:rPr>
        <w:t xml:space="preserve"> če kolektivna pogodba na ravni dejavnosti tako določa</w:t>
      </w:r>
      <w:r w:rsidR="00890A98" w:rsidRPr="00E9128C">
        <w:rPr>
          <w:rFonts w:cs="Arial"/>
          <w:bCs/>
          <w:szCs w:val="20"/>
        </w:rPr>
        <w:t>,</w:t>
      </w:r>
      <w:r w:rsidR="00C26525" w:rsidRPr="00E9128C">
        <w:rPr>
          <w:rFonts w:cs="Arial"/>
          <w:bCs/>
          <w:szCs w:val="20"/>
        </w:rPr>
        <w:t xml:space="preserve"> lahko</w:t>
      </w:r>
      <w:r w:rsidRPr="00E9128C">
        <w:rPr>
          <w:rFonts w:cs="Arial"/>
          <w:bCs/>
          <w:szCs w:val="20"/>
        </w:rPr>
        <w:t xml:space="preserve"> v primeru nelikvidnosti delodajalec določi kasnejši rok izplačila, vendar </w:t>
      </w:r>
      <w:r w:rsidR="007D06F1">
        <w:rPr>
          <w:rFonts w:cs="Arial"/>
          <w:bCs/>
          <w:szCs w:val="20"/>
        </w:rPr>
        <w:t>najpozneje</w:t>
      </w:r>
      <w:r w:rsidRPr="00E9128C">
        <w:rPr>
          <w:rFonts w:cs="Arial"/>
          <w:bCs/>
          <w:szCs w:val="20"/>
        </w:rPr>
        <w:t xml:space="preserve"> do 31. marca naslednjega koledarskega leta. Za delavca, ki ima sklenjeno pogodbo o zaposlitvi za krajši delovni čas, se pravica zagotovi v sorazmernem delu, izjema pa bi veljala v primeru delavca, ki dela krajši delovni čas v posebnih primerih (67. člen ZDR-1) ali delavca, ki ima sklenjeno pogodbo o zaposlitvi na podlagi 67.b člena ZDR-1. V teh dveh primerih ima delavec pravico do izplačila celotnega zimskega </w:t>
      </w:r>
      <w:r w:rsidR="00B80ABA" w:rsidRPr="00E9128C">
        <w:rPr>
          <w:rFonts w:cs="Arial"/>
          <w:bCs/>
          <w:szCs w:val="20"/>
        </w:rPr>
        <w:t>regres</w:t>
      </w:r>
      <w:r w:rsidR="00890A98" w:rsidRPr="00E9128C">
        <w:rPr>
          <w:rFonts w:cs="Arial"/>
          <w:bCs/>
          <w:szCs w:val="20"/>
        </w:rPr>
        <w:t>a</w:t>
      </w:r>
      <w:r w:rsidRPr="00E9128C">
        <w:rPr>
          <w:rFonts w:cs="Arial"/>
          <w:bCs/>
          <w:szCs w:val="20"/>
        </w:rPr>
        <w:t>, kot če bi delal polni delovni čas.</w:t>
      </w:r>
    </w:p>
    <w:p w14:paraId="4C4954D9" w14:textId="733AA2DC" w:rsidR="00BB049E" w:rsidRPr="00E9128C" w:rsidRDefault="00BB049E" w:rsidP="00BB049E">
      <w:pPr>
        <w:spacing w:line="276" w:lineRule="auto"/>
        <w:jc w:val="both"/>
        <w:rPr>
          <w:rFonts w:cs="Arial"/>
          <w:bCs/>
          <w:szCs w:val="20"/>
        </w:rPr>
      </w:pPr>
      <w:r w:rsidRPr="00E9128C">
        <w:rPr>
          <w:rFonts w:cs="Arial"/>
          <w:bCs/>
          <w:szCs w:val="20"/>
        </w:rPr>
        <w:t xml:space="preserve">Možnost določitve kasnejšega roka izplačila zimskega </w:t>
      </w:r>
      <w:r w:rsidR="00890A98" w:rsidRPr="00E9128C">
        <w:rPr>
          <w:rFonts w:cs="Arial"/>
          <w:bCs/>
          <w:szCs w:val="20"/>
        </w:rPr>
        <w:t xml:space="preserve">regresa </w:t>
      </w:r>
      <w:r w:rsidRPr="00E9128C">
        <w:rPr>
          <w:rFonts w:cs="Arial"/>
          <w:bCs/>
          <w:szCs w:val="20"/>
        </w:rPr>
        <w:t>ne bo veljala za javni sektor.</w:t>
      </w:r>
    </w:p>
    <w:p w14:paraId="3448F781" w14:textId="77777777" w:rsidR="00BB049E" w:rsidRPr="00E9128C" w:rsidRDefault="00BB049E" w:rsidP="00BB049E">
      <w:pPr>
        <w:spacing w:line="276" w:lineRule="auto"/>
        <w:jc w:val="both"/>
        <w:rPr>
          <w:rFonts w:cs="Arial"/>
          <w:bCs/>
          <w:szCs w:val="20"/>
        </w:rPr>
      </w:pPr>
      <w:r w:rsidRPr="00E9128C">
        <w:rPr>
          <w:rFonts w:cs="Arial"/>
          <w:bCs/>
          <w:szCs w:val="20"/>
        </w:rPr>
        <w:t xml:space="preserve">Predlog zakona določa tudi posebno davčno obravnavo, in sicer oprostitev plačila davkov in prispevkov za socialno varnost </w:t>
      </w:r>
      <w:r w:rsidRPr="00E9128C">
        <w:rPr>
          <w:rFonts w:cs="Arial"/>
        </w:rPr>
        <w:t>do višine polovice minimalne plače</w:t>
      </w:r>
      <w:r w:rsidRPr="00E9128C">
        <w:rPr>
          <w:rFonts w:cs="Arial"/>
          <w:bCs/>
          <w:szCs w:val="20"/>
        </w:rPr>
        <w:t>.</w:t>
      </w:r>
    </w:p>
    <w:p w14:paraId="6E4BCE33" w14:textId="77777777" w:rsidR="00BB049E" w:rsidRPr="00E9128C" w:rsidRDefault="00BB049E" w:rsidP="00BB049E">
      <w:pPr>
        <w:spacing w:line="276" w:lineRule="auto"/>
        <w:jc w:val="both"/>
        <w:rPr>
          <w:rFonts w:cs="Arial"/>
          <w:szCs w:val="20"/>
        </w:rPr>
      </w:pPr>
      <w:r w:rsidRPr="00E9128C">
        <w:rPr>
          <w:rFonts w:cs="Arial"/>
          <w:szCs w:val="20"/>
        </w:rPr>
        <w:t>Ob tem se določa, da se pravica ureja s tem zakonom do ureditve v zakonu, ki ureja delovna razmerja.</w:t>
      </w:r>
    </w:p>
    <w:p w14:paraId="07C5AAC9" w14:textId="6CDC1718" w:rsidR="00026663" w:rsidRPr="00E9128C" w:rsidRDefault="00BB049E" w:rsidP="00BB049E">
      <w:pPr>
        <w:spacing w:line="276" w:lineRule="auto"/>
        <w:jc w:val="both"/>
        <w:rPr>
          <w:rFonts w:cs="Arial"/>
          <w:bCs/>
          <w:szCs w:val="20"/>
        </w:rPr>
      </w:pPr>
      <w:r w:rsidRPr="00E9128C">
        <w:rPr>
          <w:rFonts w:cs="Arial"/>
          <w:bCs/>
          <w:szCs w:val="20"/>
        </w:rPr>
        <w:t xml:space="preserve">Pravico do zimskega </w:t>
      </w:r>
      <w:r w:rsidR="00890A98" w:rsidRPr="00E9128C">
        <w:rPr>
          <w:rFonts w:cs="Arial"/>
          <w:bCs/>
          <w:szCs w:val="20"/>
        </w:rPr>
        <w:t xml:space="preserve">regresa </w:t>
      </w:r>
      <w:r w:rsidRPr="00E9128C">
        <w:rPr>
          <w:rFonts w:cs="Arial"/>
          <w:bCs/>
          <w:szCs w:val="20"/>
        </w:rPr>
        <w:t>bodo imeli tudi funkcionarji, ki prejemajo plačo v skladu z določili zakona, ki ureja skupne temelje plačnega sistema v javnem sektorju, saj tudi njim v skladu z zakonom, ki ureja funkcionarje, pripadajo prejemki in povračila stroškov v enaki višini in pod enakimi pogoji, kot to velja za javne uslužbence v državni upravi.</w:t>
      </w:r>
    </w:p>
    <w:p w14:paraId="74450553" w14:textId="79103483" w:rsidR="004E36CB" w:rsidRPr="00E9128C" w:rsidRDefault="004E36CB" w:rsidP="00E9128C">
      <w:pPr>
        <w:spacing w:after="0" w:line="260" w:lineRule="atLeast"/>
        <w:jc w:val="both"/>
        <w:rPr>
          <w:rFonts w:cs="Arial"/>
          <w:bCs/>
          <w:szCs w:val="20"/>
        </w:rPr>
      </w:pPr>
      <w:r w:rsidRPr="00E9128C">
        <w:rPr>
          <w:rFonts w:cs="Arial"/>
          <w:bCs/>
          <w:szCs w:val="20"/>
        </w:rPr>
        <w:t xml:space="preserve">V letu uveljavitve zimskega </w:t>
      </w:r>
      <w:r w:rsidR="003E38F8" w:rsidRPr="00E9128C">
        <w:rPr>
          <w:rFonts w:cs="Arial"/>
          <w:bCs/>
          <w:szCs w:val="20"/>
        </w:rPr>
        <w:t xml:space="preserve">regresa </w:t>
      </w:r>
      <w:r w:rsidRPr="00E9128C">
        <w:rPr>
          <w:rFonts w:cs="Arial"/>
          <w:bCs/>
          <w:szCs w:val="20"/>
        </w:rPr>
        <w:t xml:space="preserve">se sredstva za celoten javni sektor zagotovijo v proračunu države. Izvedbeno bo država zagotavljala sredstva na način, da bodo občine za sebe in svoje posredne uporabnike proračuna na Ministrstvo za finance posredovale en zahtevek, </w:t>
      </w:r>
      <w:r w:rsidR="007D06F1">
        <w:rPr>
          <w:rFonts w:cs="Arial"/>
          <w:bCs/>
          <w:szCs w:val="20"/>
        </w:rPr>
        <w:t>najpozneje</w:t>
      </w:r>
      <w:r w:rsidRPr="00E9128C">
        <w:rPr>
          <w:rFonts w:cs="Arial"/>
          <w:bCs/>
          <w:szCs w:val="20"/>
        </w:rPr>
        <w:t xml:space="preserve"> do 19. decembra 2025, občinam pa bodo sredstva povrnjena </w:t>
      </w:r>
      <w:r w:rsidR="007D06F1">
        <w:rPr>
          <w:rFonts w:cs="Arial"/>
          <w:bCs/>
          <w:szCs w:val="20"/>
        </w:rPr>
        <w:t>najpozneje</w:t>
      </w:r>
      <w:r w:rsidRPr="00E9128C">
        <w:rPr>
          <w:rFonts w:cs="Arial"/>
          <w:bCs/>
          <w:szCs w:val="20"/>
        </w:rPr>
        <w:t xml:space="preserve"> do 31. decembra 2025. Na državni ravni bodo posredni uporabni</w:t>
      </w:r>
      <w:r w:rsidR="00DC0326" w:rsidRPr="00E9128C">
        <w:rPr>
          <w:rFonts w:cs="Arial"/>
          <w:bCs/>
          <w:szCs w:val="20"/>
        </w:rPr>
        <w:t>ki</w:t>
      </w:r>
      <w:r w:rsidRPr="00E9128C">
        <w:rPr>
          <w:rFonts w:cs="Arial"/>
          <w:bCs/>
          <w:szCs w:val="20"/>
        </w:rPr>
        <w:t xml:space="preserve"> proračuna, katerih ustanoviteljica ali soustanoviteljica je država, posredovali resorno pristojnemu ministrstvu, ki jim bo povrnil sredstva do konca leta 2025. Enako velja za javne gospodarske zavode.   </w:t>
      </w:r>
    </w:p>
    <w:p w14:paraId="1354126D" w14:textId="77777777" w:rsidR="00026663" w:rsidRPr="00E9128C" w:rsidRDefault="00026663" w:rsidP="00E9128C">
      <w:pPr>
        <w:spacing w:after="0" w:line="260" w:lineRule="atLeast"/>
        <w:jc w:val="both"/>
        <w:rPr>
          <w:rFonts w:cs="Arial"/>
          <w:bCs/>
          <w:szCs w:val="20"/>
        </w:rPr>
      </w:pPr>
    </w:p>
    <w:p w14:paraId="08509CE5" w14:textId="20C94756" w:rsidR="00BB049E" w:rsidRPr="00E9128C" w:rsidRDefault="00026663" w:rsidP="00E9128C">
      <w:pPr>
        <w:spacing w:after="0" w:line="260" w:lineRule="atLeast"/>
        <w:jc w:val="both"/>
        <w:rPr>
          <w:rFonts w:cs="Arial"/>
          <w:b/>
          <w:szCs w:val="20"/>
        </w:rPr>
      </w:pPr>
      <w:r w:rsidRPr="00E9128C">
        <w:rPr>
          <w:rFonts w:cs="Arial"/>
          <w:b/>
          <w:szCs w:val="20"/>
        </w:rPr>
        <w:t>2.3.2 Zimski dodatek</w:t>
      </w:r>
    </w:p>
    <w:p w14:paraId="08DB1325" w14:textId="1DFD0F03" w:rsidR="00026663" w:rsidRPr="00E9128C" w:rsidRDefault="00026663" w:rsidP="00E9128C">
      <w:pPr>
        <w:spacing w:after="0" w:line="260" w:lineRule="atLeast"/>
        <w:jc w:val="both"/>
        <w:rPr>
          <w:rFonts w:cs="Arial"/>
          <w:bCs/>
          <w:szCs w:val="20"/>
        </w:rPr>
      </w:pPr>
      <w:r w:rsidRPr="00E9128C">
        <w:rPr>
          <w:rFonts w:cs="Arial"/>
          <w:bCs/>
          <w:szCs w:val="20"/>
        </w:rPr>
        <w:t xml:space="preserve">Zimski dodatek se bo izplačal vsem prejemnikom pokojnin in nadomestil iz invalidskega zavarovanja, ki bodo v letu 2025 prejeli letni dodatek oz. ki se jim za tekoče leto prizna letni dodatek. Ta dodatek se bo tako izplačal do 19. decembra 2025 oziroma v primeru naknadno priznane pravice </w:t>
      </w:r>
      <w:r w:rsidR="007D06F1">
        <w:rPr>
          <w:rFonts w:cs="Arial"/>
          <w:bCs/>
          <w:szCs w:val="20"/>
        </w:rPr>
        <w:t>najpozneje</w:t>
      </w:r>
      <w:r w:rsidRPr="00E9128C">
        <w:rPr>
          <w:rFonts w:cs="Arial"/>
          <w:bCs/>
          <w:szCs w:val="20"/>
        </w:rPr>
        <w:t xml:space="preserve"> skupaj z izplačilom redne pokojnine in nadomestil za mesec maj naslednjega leta.</w:t>
      </w:r>
    </w:p>
    <w:p w14:paraId="577A326E" w14:textId="77777777" w:rsidR="00026663" w:rsidRPr="00E9128C" w:rsidRDefault="00026663" w:rsidP="00E9128C">
      <w:pPr>
        <w:spacing w:after="0" w:line="260" w:lineRule="atLeast"/>
        <w:jc w:val="both"/>
        <w:rPr>
          <w:rFonts w:cs="Arial"/>
          <w:bCs/>
          <w:szCs w:val="20"/>
        </w:rPr>
      </w:pPr>
    </w:p>
    <w:p w14:paraId="05ED8473" w14:textId="77777777" w:rsidR="00026663" w:rsidRPr="00E9128C" w:rsidRDefault="00026663" w:rsidP="00E9128C">
      <w:pPr>
        <w:spacing w:after="0" w:line="260" w:lineRule="atLeast"/>
        <w:jc w:val="both"/>
        <w:rPr>
          <w:rFonts w:cs="Arial"/>
          <w:bCs/>
          <w:szCs w:val="20"/>
        </w:rPr>
      </w:pPr>
      <w:r w:rsidRPr="00E9128C">
        <w:rPr>
          <w:rFonts w:cs="Arial"/>
          <w:bCs/>
          <w:szCs w:val="20"/>
        </w:rPr>
        <w:t xml:space="preserve">Višina dodatka je enaka za vse prejemnike letnega dodatka in znaša 150 eurov. </w:t>
      </w:r>
    </w:p>
    <w:p w14:paraId="03FEE521" w14:textId="77777777" w:rsidR="00026663" w:rsidRPr="00E9128C" w:rsidRDefault="00026663" w:rsidP="00E9128C">
      <w:pPr>
        <w:spacing w:after="0" w:line="260" w:lineRule="atLeast"/>
        <w:jc w:val="both"/>
        <w:rPr>
          <w:rFonts w:cs="Arial"/>
          <w:b/>
          <w:szCs w:val="20"/>
        </w:rPr>
      </w:pPr>
    </w:p>
    <w:p w14:paraId="64A8E30D" w14:textId="77777777" w:rsidR="00026663" w:rsidRPr="00E9128C" w:rsidRDefault="00026663" w:rsidP="00E9128C">
      <w:pPr>
        <w:spacing w:after="0" w:line="260" w:lineRule="atLeast"/>
        <w:jc w:val="both"/>
        <w:rPr>
          <w:rFonts w:cs="Arial"/>
          <w:bCs/>
          <w:szCs w:val="20"/>
        </w:rPr>
      </w:pPr>
      <w:r w:rsidRPr="00E9128C">
        <w:rPr>
          <w:rFonts w:cs="Arial"/>
          <w:bCs/>
          <w:szCs w:val="20"/>
        </w:rPr>
        <w:t>Do zimskega dodatka so enako kot pri letnem dodatku v sorazmernem delu upravičeni uživalci pokojnin, ki se jim pokojnina po določbah mednarodnih pogodb izplačuje v sorazmernem delu ter uživalci delne pokojnine ali sorazmernega dela pokojnine. Zimski dodatek se prav tako odmeri v sorazmernem delu (po dvanajstinah), če je osnovna pravica priznana tekom koledarskega leta ali če je pravica prenehala tekom koledarskega leta. Zimski dodatek se izplača v sorazmernem delu tudi uživalcem nadomestil iz invalidskega zavarovanja, ki delajo s krajšim delovnim časom in se jim nadomestilo iz invalidskega zavarovanja izplačuje v sorazmernem delu glede na obseg krajšega delovnega časa.</w:t>
      </w:r>
    </w:p>
    <w:p w14:paraId="3E1B4F2D" w14:textId="77777777" w:rsidR="00026663" w:rsidRPr="00E9128C" w:rsidRDefault="00026663" w:rsidP="00E9128C">
      <w:pPr>
        <w:spacing w:after="0" w:line="260" w:lineRule="atLeast"/>
        <w:jc w:val="both"/>
        <w:rPr>
          <w:rFonts w:cs="Arial"/>
          <w:bCs/>
          <w:szCs w:val="20"/>
        </w:rPr>
      </w:pPr>
    </w:p>
    <w:p w14:paraId="38B948F1" w14:textId="10804F01" w:rsidR="00026663" w:rsidRPr="00E9128C" w:rsidRDefault="00026663" w:rsidP="00E9128C">
      <w:pPr>
        <w:spacing w:after="0" w:line="260" w:lineRule="atLeast"/>
        <w:jc w:val="both"/>
        <w:rPr>
          <w:rFonts w:cs="Arial"/>
          <w:bCs/>
          <w:szCs w:val="20"/>
        </w:rPr>
      </w:pPr>
      <w:r w:rsidRPr="00E9128C">
        <w:rPr>
          <w:rFonts w:cs="Arial"/>
          <w:bCs/>
          <w:szCs w:val="20"/>
        </w:rPr>
        <w:t>Sredstva za zimski dodatek zagotavlja Republika Slovenija iz proračuna Republike Slovenije, upravičencem pa ga bo izplačal Zavod za pokojninsko in invalidsko zavarovanje Slovenije</w:t>
      </w:r>
      <w:r w:rsidR="003150F0">
        <w:rPr>
          <w:rFonts w:cs="Arial"/>
          <w:bCs/>
          <w:szCs w:val="20"/>
        </w:rPr>
        <w:t>.</w:t>
      </w:r>
    </w:p>
    <w:p w14:paraId="373005FD" w14:textId="77777777" w:rsidR="00026663" w:rsidRPr="00E9128C" w:rsidRDefault="00026663" w:rsidP="00E9128C">
      <w:pPr>
        <w:spacing w:after="0" w:line="260" w:lineRule="atLeast"/>
        <w:jc w:val="both"/>
        <w:rPr>
          <w:rFonts w:cs="Arial"/>
          <w:bCs/>
          <w:szCs w:val="20"/>
        </w:rPr>
      </w:pPr>
    </w:p>
    <w:p w14:paraId="42AA6C30" w14:textId="48629CD7" w:rsidR="00026663" w:rsidRPr="00E9128C" w:rsidRDefault="00026663" w:rsidP="00CF2340">
      <w:pPr>
        <w:spacing w:after="0" w:line="260" w:lineRule="atLeast"/>
        <w:jc w:val="both"/>
        <w:rPr>
          <w:rFonts w:cs="Arial"/>
          <w:bCs/>
          <w:szCs w:val="20"/>
        </w:rPr>
      </w:pPr>
      <w:r w:rsidRPr="00E9128C">
        <w:rPr>
          <w:rFonts w:cs="Arial"/>
          <w:bCs/>
          <w:szCs w:val="20"/>
        </w:rPr>
        <w:t>Glede na to, da namen zimskega dodatka ni izguba drugih pravic iz javnih sredstev, se s predlogom določa, da se dodatek ne šteje v dohodek pri ugotavljanju upravičenosti do pravic iz javnih sredstev po predpisih, ki urejajo pravice iz javnih sredstev.</w:t>
      </w:r>
    </w:p>
    <w:p w14:paraId="763952C8" w14:textId="77777777" w:rsidR="00026663" w:rsidRPr="00E9128C" w:rsidRDefault="00026663" w:rsidP="00CF2340">
      <w:pPr>
        <w:spacing w:after="0" w:line="260" w:lineRule="atLeast"/>
        <w:jc w:val="both"/>
        <w:rPr>
          <w:rFonts w:cs="Arial"/>
          <w:bCs/>
          <w:szCs w:val="20"/>
        </w:rPr>
      </w:pPr>
    </w:p>
    <w:p w14:paraId="54FE6605" w14:textId="77777777" w:rsidR="00026663" w:rsidRPr="00E9128C" w:rsidRDefault="00026663" w:rsidP="00026663">
      <w:pPr>
        <w:spacing w:after="0" w:line="276" w:lineRule="auto"/>
        <w:jc w:val="both"/>
        <w:rPr>
          <w:rFonts w:cs="Arial"/>
          <w:b/>
          <w:szCs w:val="20"/>
        </w:rPr>
      </w:pPr>
      <w:r w:rsidRPr="00E9128C">
        <w:rPr>
          <w:rFonts w:cs="Arial"/>
          <w:b/>
          <w:szCs w:val="20"/>
        </w:rPr>
        <w:t>2.3.3 Ugotavljanje davčne osnove od dohodkov iz dejavnosti z upoštevanjem normiranih odhodkov</w:t>
      </w:r>
    </w:p>
    <w:p w14:paraId="3E9CBA9D" w14:textId="77777777" w:rsidR="00026663" w:rsidRPr="00E9128C" w:rsidRDefault="00026663" w:rsidP="00026663">
      <w:pPr>
        <w:spacing w:after="0" w:line="260" w:lineRule="atLeast"/>
        <w:contextualSpacing/>
        <w:jc w:val="both"/>
        <w:rPr>
          <w:rFonts w:eastAsia="Times New Roman" w:cs="Arial"/>
          <w:szCs w:val="20"/>
          <w:lang w:eastAsia="sl-SI"/>
        </w:rPr>
      </w:pPr>
      <w:r w:rsidRPr="00E9128C">
        <w:rPr>
          <w:rFonts w:eastAsia="Times New Roman" w:cs="Arial"/>
          <w:szCs w:val="20"/>
          <w:lang w:eastAsia="sl-SI"/>
        </w:rPr>
        <w:lastRenderedPageBreak/>
        <w:t>Odstop se nanaša se nanašajo na sistem ugotavljanja davčne osnove od dohodkov iz dejavnosti z upoštevanjem normiranih odhodkov:</w:t>
      </w:r>
    </w:p>
    <w:p w14:paraId="1DAFE8FC" w14:textId="77777777" w:rsidR="00026663" w:rsidRPr="00E9128C" w:rsidRDefault="00026663" w:rsidP="00026663">
      <w:pPr>
        <w:numPr>
          <w:ilvl w:val="1"/>
          <w:numId w:val="3"/>
        </w:numPr>
        <w:spacing w:after="0" w:line="260" w:lineRule="atLeast"/>
        <w:ind w:left="567" w:hanging="283"/>
        <w:contextualSpacing/>
        <w:jc w:val="both"/>
        <w:rPr>
          <w:rFonts w:eastAsia="Times New Roman" w:cs="Arial"/>
          <w:szCs w:val="20"/>
          <w:lang w:eastAsia="sl-SI"/>
        </w:rPr>
      </w:pPr>
      <w:r w:rsidRPr="00E9128C">
        <w:rPr>
          <w:rFonts w:eastAsia="Times New Roman" w:cs="Arial"/>
          <w:szCs w:val="20"/>
          <w:lang w:eastAsia="sl-SI"/>
        </w:rPr>
        <w:t>pogoj za vstop v sistem normiranih odhodkov se določi tako, da lahko v ta sistem vstopi zavezanec, ki je v davčnem letu pred tem davčnim letom dosegel prihodke iz dejavnosti, ugotovljene po pravilih o računovodenju, do 120.000 EUR in je bil ta zavezanec v skladu z zakonom, ki ureja pokojninsko in invalidsko zavarovanje, obvezno zavarovan na podlagi samozaposlitve za polni delovni čas neprekinjeno vsaj devet mesecev, za preostale zavezance, ki tega pogoja ne dosegajo, pa se pogoj dohodkov v davčnem letu pred tem davčnim letom določi v višini do 50.000 EUR,</w:t>
      </w:r>
    </w:p>
    <w:p w14:paraId="0089DE1F" w14:textId="77777777" w:rsidR="00026663" w:rsidRPr="00E9128C" w:rsidRDefault="00026663" w:rsidP="00026663">
      <w:pPr>
        <w:numPr>
          <w:ilvl w:val="1"/>
          <w:numId w:val="3"/>
        </w:numPr>
        <w:spacing w:after="0" w:line="260" w:lineRule="atLeast"/>
        <w:ind w:left="567" w:hanging="283"/>
        <w:contextualSpacing/>
        <w:jc w:val="both"/>
        <w:rPr>
          <w:rFonts w:eastAsia="Times New Roman" w:cs="Arial"/>
          <w:szCs w:val="20"/>
          <w:lang w:eastAsia="sl-SI"/>
        </w:rPr>
      </w:pPr>
      <w:r w:rsidRPr="00E9128C">
        <w:rPr>
          <w:rFonts w:eastAsia="Times New Roman" w:cs="Arial"/>
          <w:szCs w:val="20"/>
          <w:lang w:eastAsia="sl-SI"/>
        </w:rPr>
        <w:t>pogoj za ponovni vstop v sistem normiranih odhodkov - v sistem normiranih odhodkov lahko zavezanec ponovno vstopi, če je od izstopa iz sistema ugotavljanja davčne osnove z upoštevanjem normiranih odhodkov ali od prenehanja opravljanja dejavnosti preteklo več kot pet davčnih let, pri čemer se davčno leto prenehanja opravljanja dejavnosti ne upošteva,</w:t>
      </w:r>
    </w:p>
    <w:p w14:paraId="441B052E" w14:textId="77777777" w:rsidR="00026663" w:rsidRPr="00E9128C" w:rsidRDefault="00026663" w:rsidP="00026663">
      <w:pPr>
        <w:numPr>
          <w:ilvl w:val="1"/>
          <w:numId w:val="3"/>
        </w:numPr>
        <w:spacing w:after="0" w:line="260" w:lineRule="atLeast"/>
        <w:ind w:left="567" w:hanging="283"/>
        <w:contextualSpacing/>
        <w:jc w:val="both"/>
        <w:rPr>
          <w:rFonts w:eastAsia="Times New Roman" w:cs="Arial"/>
          <w:szCs w:val="20"/>
          <w:lang w:eastAsia="sl-SI"/>
        </w:rPr>
      </w:pPr>
      <w:r w:rsidRPr="00E9128C">
        <w:rPr>
          <w:rFonts w:eastAsia="Times New Roman" w:cs="Arial"/>
          <w:szCs w:val="20"/>
          <w:lang w:eastAsia="sl-SI"/>
        </w:rPr>
        <w:t>določijo se spremenjene meje povprečja prihodkov preteklih dveh let, nad katerimi je obvezen izstop iz sistema normiranih odhodkov:</w:t>
      </w:r>
    </w:p>
    <w:p w14:paraId="5BA29F36" w14:textId="77777777" w:rsidR="00026663" w:rsidRPr="00E9128C" w:rsidRDefault="00026663" w:rsidP="00026663">
      <w:pPr>
        <w:numPr>
          <w:ilvl w:val="0"/>
          <w:numId w:val="24"/>
        </w:numPr>
        <w:spacing w:after="0" w:line="260" w:lineRule="atLeast"/>
        <w:ind w:left="1276" w:hanging="283"/>
        <w:contextualSpacing/>
        <w:jc w:val="both"/>
        <w:rPr>
          <w:rFonts w:eastAsia="Times New Roman" w:cs="Arial"/>
          <w:szCs w:val="20"/>
          <w:lang w:eastAsia="sl-SI"/>
        </w:rPr>
      </w:pPr>
      <w:r w:rsidRPr="00E9128C">
        <w:rPr>
          <w:rFonts w:eastAsia="Times New Roman" w:cs="Arial"/>
          <w:szCs w:val="20"/>
          <w:lang w:eastAsia="sl-SI"/>
        </w:rPr>
        <w:t>120.000 EUR, če je bil zavezanec v dveh predhodnih davčnih letih v posameznem davčnem letu v skladu z zakonom, ki ureja pokojninsko in invalidsko zavarovanje, obvezno zavarovan na podlagi samozaposlitve za polni delovni čas neprekinjeno vsaj devet mesecev,</w:t>
      </w:r>
    </w:p>
    <w:p w14:paraId="08C2B655" w14:textId="77777777" w:rsidR="00026663" w:rsidRPr="00E9128C" w:rsidRDefault="00026663" w:rsidP="00026663">
      <w:pPr>
        <w:numPr>
          <w:ilvl w:val="0"/>
          <w:numId w:val="24"/>
        </w:numPr>
        <w:spacing w:after="0" w:line="260" w:lineRule="atLeast"/>
        <w:ind w:left="1276" w:hanging="283"/>
        <w:contextualSpacing/>
        <w:jc w:val="both"/>
        <w:rPr>
          <w:rFonts w:eastAsia="Times New Roman" w:cs="Arial"/>
          <w:szCs w:val="20"/>
          <w:lang w:eastAsia="sl-SI"/>
        </w:rPr>
      </w:pPr>
      <w:r w:rsidRPr="00E9128C">
        <w:rPr>
          <w:rFonts w:eastAsia="Times New Roman" w:cs="Arial"/>
          <w:szCs w:val="20"/>
          <w:lang w:eastAsia="sl-SI"/>
        </w:rPr>
        <w:t>50.000 EUR, če zavezanec v dveh predhodnih davčnih letih v posameznem davčnem letu v skladu z zakonom, ki ureja pokojninsko in invalidsko zavarovanje, ni bil obvezno zavarovan na podlagi samozaposlitve za polni delovni čas neprekinjeno vsaj devet mesecev,</w:t>
      </w:r>
    </w:p>
    <w:p w14:paraId="30D99AF2" w14:textId="77777777" w:rsidR="00026663" w:rsidRPr="00E9128C" w:rsidRDefault="00026663" w:rsidP="00026663">
      <w:pPr>
        <w:numPr>
          <w:ilvl w:val="0"/>
          <w:numId w:val="24"/>
        </w:numPr>
        <w:spacing w:after="0" w:line="260" w:lineRule="atLeast"/>
        <w:ind w:left="1276" w:hanging="283"/>
        <w:contextualSpacing/>
        <w:jc w:val="both"/>
        <w:rPr>
          <w:rFonts w:eastAsia="Times New Roman" w:cs="Arial"/>
          <w:szCs w:val="20"/>
          <w:lang w:eastAsia="sl-SI"/>
        </w:rPr>
      </w:pPr>
      <w:r w:rsidRPr="00E9128C">
        <w:rPr>
          <w:rFonts w:eastAsia="Times New Roman" w:cs="Arial"/>
          <w:szCs w:val="20"/>
          <w:lang w:eastAsia="sl-SI"/>
        </w:rPr>
        <w:t>85.000 EUR, če zavezanec ne izpolnjuje pogojev iz predhodnih alinej,</w:t>
      </w:r>
    </w:p>
    <w:p w14:paraId="2719F501" w14:textId="77777777" w:rsidR="00026663" w:rsidRPr="00E9128C" w:rsidRDefault="00026663" w:rsidP="00026663">
      <w:pPr>
        <w:numPr>
          <w:ilvl w:val="0"/>
          <w:numId w:val="24"/>
        </w:numPr>
        <w:spacing w:after="0" w:line="260" w:lineRule="atLeast"/>
        <w:ind w:left="1276" w:hanging="283"/>
        <w:contextualSpacing/>
        <w:jc w:val="both"/>
        <w:rPr>
          <w:rFonts w:eastAsia="Times New Roman" w:cs="Arial"/>
          <w:szCs w:val="20"/>
          <w:lang w:eastAsia="sl-SI"/>
        </w:rPr>
      </w:pPr>
      <w:r w:rsidRPr="00E9128C">
        <w:rPr>
          <w:rFonts w:eastAsia="Times New Roman" w:cs="Arial"/>
          <w:szCs w:val="20"/>
          <w:lang w:eastAsia="sl-SI"/>
        </w:rPr>
        <w:t>120.000 EUR na nosilca in na drugega člana kmečkega gospodinjstva, ki je vključen v obvezno pokojninsko in invalidsko zavarovanje kot kmet oziroma član kmečkega gospodinjstva, če ima zavezanec priglašeno ugotavljanje davčne osnove po drugem odstavku 47. člena ZDoh-2,</w:t>
      </w:r>
    </w:p>
    <w:p w14:paraId="29D8FEF5" w14:textId="77777777" w:rsidR="00026663" w:rsidRPr="00E9128C" w:rsidRDefault="00026663" w:rsidP="00026663">
      <w:pPr>
        <w:numPr>
          <w:ilvl w:val="1"/>
          <w:numId w:val="3"/>
        </w:numPr>
        <w:spacing w:after="0" w:line="260" w:lineRule="atLeast"/>
        <w:ind w:left="567" w:hanging="283"/>
        <w:contextualSpacing/>
        <w:jc w:val="both"/>
        <w:rPr>
          <w:rFonts w:eastAsia="Times New Roman" w:cs="Arial"/>
          <w:szCs w:val="20"/>
          <w:lang w:eastAsia="sl-SI"/>
        </w:rPr>
      </w:pPr>
      <w:r w:rsidRPr="00E9128C">
        <w:rPr>
          <w:rFonts w:eastAsia="Times New Roman" w:cs="Arial"/>
          <w:szCs w:val="20"/>
          <w:lang w:eastAsia="sl-SI"/>
        </w:rPr>
        <w:t>na področju davčne stopnje za izračun dohodnine od dohodkov iz dejavnosti z upoštevanjem normiranih odhodkov se določi posebna davčna lestvica:</w:t>
      </w:r>
    </w:p>
    <w:p w14:paraId="04B9BD72" w14:textId="77777777" w:rsidR="00026663" w:rsidRPr="00E9128C" w:rsidRDefault="00026663" w:rsidP="00026663">
      <w:pPr>
        <w:pStyle w:val="Odstavekseznama"/>
        <w:numPr>
          <w:ilvl w:val="0"/>
          <w:numId w:val="24"/>
        </w:numPr>
        <w:spacing w:after="0" w:line="276" w:lineRule="auto"/>
        <w:ind w:left="1276" w:hanging="425"/>
        <w:jc w:val="both"/>
        <w:rPr>
          <w:rFonts w:cs="Arial"/>
          <w:szCs w:val="20"/>
        </w:rPr>
      </w:pPr>
      <w:r w:rsidRPr="00E9128C">
        <w:rPr>
          <w:rFonts w:cs="Arial"/>
          <w:szCs w:val="20"/>
        </w:rPr>
        <w:t>za davčno osnovo do 72.000 EUR se pri t.i. polnih normirancih  določi davčna stopnja 20 %, nad 72.000 EUR pa davčna stopnja 35 %,</w:t>
      </w:r>
    </w:p>
    <w:p w14:paraId="64A579FB" w14:textId="77777777" w:rsidR="00026663" w:rsidRPr="00E9128C" w:rsidRDefault="00026663" w:rsidP="00026663">
      <w:pPr>
        <w:pStyle w:val="Odstavekseznama"/>
        <w:numPr>
          <w:ilvl w:val="0"/>
          <w:numId w:val="24"/>
        </w:numPr>
        <w:spacing w:after="0" w:line="276" w:lineRule="auto"/>
        <w:ind w:left="1276" w:hanging="425"/>
        <w:jc w:val="both"/>
        <w:rPr>
          <w:rFonts w:cs="Arial"/>
          <w:szCs w:val="20"/>
        </w:rPr>
      </w:pPr>
      <w:r w:rsidRPr="00E9128C">
        <w:rPr>
          <w:rFonts w:cs="Arial"/>
          <w:szCs w:val="20"/>
        </w:rPr>
        <w:t>za davčno osnovo do 33.000 EUR se pri t.i. popoldancih določi davčna stopnja 20 %, nad 33.000 EUR pa  davčna stopnja 35%,</w:t>
      </w:r>
    </w:p>
    <w:p w14:paraId="3B457B89" w14:textId="77777777" w:rsidR="00026663" w:rsidRPr="00E9128C" w:rsidRDefault="00026663" w:rsidP="00026663">
      <w:pPr>
        <w:pStyle w:val="Odstavekseznama"/>
        <w:numPr>
          <w:ilvl w:val="0"/>
          <w:numId w:val="24"/>
        </w:numPr>
        <w:spacing w:after="0" w:line="276" w:lineRule="auto"/>
        <w:ind w:left="1276" w:hanging="425"/>
        <w:jc w:val="both"/>
        <w:rPr>
          <w:rFonts w:cs="Arial"/>
          <w:szCs w:val="20"/>
        </w:rPr>
      </w:pPr>
      <w:r w:rsidRPr="00E9128C">
        <w:rPr>
          <w:rFonts w:cs="Arial"/>
          <w:szCs w:val="20"/>
        </w:rPr>
        <w:t>za davčno osnovo do 72.000 na nosilca in drugega člana kmečkega gospodinjstva, ki je vključen v obvezno pokojninsko in invalidsko zavarovanje kot kmet oziroma član kmečkega gospodinjstva, se določi davčna stopnja 20 %, nad 72.000 EUR pa davčna stopnja 35 %.</w:t>
      </w:r>
    </w:p>
    <w:p w14:paraId="73A0F914" w14:textId="77777777" w:rsidR="00026663" w:rsidRPr="00E9128C" w:rsidRDefault="00026663" w:rsidP="00026663">
      <w:pPr>
        <w:overflowPunct w:val="0"/>
        <w:autoSpaceDE w:val="0"/>
        <w:autoSpaceDN w:val="0"/>
        <w:adjustRightInd w:val="0"/>
        <w:spacing w:after="0" w:line="260" w:lineRule="atLeast"/>
        <w:ind w:left="851" w:hanging="284"/>
        <w:contextualSpacing/>
        <w:jc w:val="both"/>
        <w:textAlignment w:val="baseline"/>
        <w:rPr>
          <w:rFonts w:eastAsia="Times New Roman" w:cs="Arial"/>
          <w:b/>
          <w:bCs/>
          <w:szCs w:val="20"/>
          <w:lang w:eastAsia="sl-SI"/>
        </w:rPr>
      </w:pPr>
    </w:p>
    <w:p w14:paraId="01806AF5" w14:textId="77777777" w:rsidR="00026663" w:rsidRPr="00E9128C" w:rsidRDefault="00026663" w:rsidP="00026663">
      <w:pPr>
        <w:overflowPunct w:val="0"/>
        <w:autoSpaceDE w:val="0"/>
        <w:autoSpaceDN w:val="0"/>
        <w:adjustRightInd w:val="0"/>
        <w:spacing w:after="0" w:line="260" w:lineRule="atLeast"/>
        <w:contextualSpacing/>
        <w:jc w:val="both"/>
        <w:textAlignment w:val="baseline"/>
        <w:rPr>
          <w:rFonts w:cs="Arial"/>
          <w:b/>
          <w:bCs/>
          <w:szCs w:val="20"/>
          <w:lang w:eastAsia="sl-SI"/>
        </w:rPr>
      </w:pPr>
      <w:r w:rsidRPr="00E9128C">
        <w:rPr>
          <w:rFonts w:eastAsia="Times New Roman" w:cs="Arial"/>
          <w:b/>
          <w:bCs/>
          <w:szCs w:val="20"/>
          <w:lang w:eastAsia="sl-SI"/>
        </w:rPr>
        <w:t xml:space="preserve">2.4 </w:t>
      </w:r>
      <w:r w:rsidRPr="00E9128C">
        <w:rPr>
          <w:rFonts w:cs="Arial"/>
          <w:b/>
          <w:bCs/>
          <w:szCs w:val="20"/>
          <w:lang w:eastAsia="sl-SI"/>
        </w:rPr>
        <w:t>Normativna usklajenost predloga zakona s predpisi, ki jih je tudi treba sprejeti oziroma spremeniti in paketno obravnavati:</w:t>
      </w:r>
    </w:p>
    <w:p w14:paraId="3693E1B1" w14:textId="77777777" w:rsidR="00026663" w:rsidRPr="00E9128C" w:rsidRDefault="00026663" w:rsidP="00026663">
      <w:pPr>
        <w:overflowPunct w:val="0"/>
        <w:autoSpaceDE w:val="0"/>
        <w:autoSpaceDN w:val="0"/>
        <w:adjustRightInd w:val="0"/>
        <w:spacing w:after="0" w:line="260" w:lineRule="atLeast"/>
        <w:contextualSpacing/>
        <w:jc w:val="both"/>
        <w:textAlignment w:val="baseline"/>
        <w:rPr>
          <w:rFonts w:eastAsia="Times New Roman" w:cs="Arial"/>
          <w:szCs w:val="20"/>
          <w:lang w:eastAsia="sl-SI"/>
        </w:rPr>
      </w:pPr>
    </w:p>
    <w:p w14:paraId="62460EFA" w14:textId="77777777" w:rsidR="00026663" w:rsidRPr="00E9128C" w:rsidRDefault="00026663" w:rsidP="00026663">
      <w:pPr>
        <w:overflowPunct w:val="0"/>
        <w:autoSpaceDE w:val="0"/>
        <w:autoSpaceDN w:val="0"/>
        <w:adjustRightInd w:val="0"/>
        <w:spacing w:after="0" w:line="260" w:lineRule="atLeast"/>
        <w:contextualSpacing/>
        <w:jc w:val="both"/>
        <w:textAlignment w:val="baseline"/>
        <w:rPr>
          <w:rFonts w:eastAsia="Times New Roman" w:cs="Arial"/>
          <w:szCs w:val="20"/>
          <w:lang w:eastAsia="sl-SI"/>
        </w:rPr>
      </w:pPr>
      <w:r w:rsidRPr="00E9128C">
        <w:rPr>
          <w:rFonts w:eastAsia="Times New Roman" w:cs="Arial"/>
          <w:szCs w:val="20"/>
          <w:lang w:eastAsia="sl-SI"/>
        </w:rPr>
        <w:t>/</w:t>
      </w:r>
    </w:p>
    <w:p w14:paraId="34B983A8" w14:textId="77777777" w:rsidR="00026663" w:rsidRPr="00E9128C" w:rsidRDefault="00026663" w:rsidP="00026663">
      <w:pPr>
        <w:overflowPunct w:val="0"/>
        <w:autoSpaceDE w:val="0"/>
        <w:autoSpaceDN w:val="0"/>
        <w:adjustRightInd w:val="0"/>
        <w:spacing w:after="0" w:line="260" w:lineRule="atLeast"/>
        <w:contextualSpacing/>
        <w:jc w:val="both"/>
        <w:textAlignment w:val="baseline"/>
        <w:rPr>
          <w:rFonts w:eastAsia="Times New Roman" w:cs="Arial"/>
          <w:szCs w:val="20"/>
          <w:lang w:eastAsia="sl-SI"/>
        </w:rPr>
      </w:pPr>
    </w:p>
    <w:p w14:paraId="4BFCA104" w14:textId="77777777" w:rsidR="00026663" w:rsidRPr="00E9128C" w:rsidRDefault="00026663" w:rsidP="00026663">
      <w:pPr>
        <w:overflowPunct w:val="0"/>
        <w:autoSpaceDE w:val="0"/>
        <w:autoSpaceDN w:val="0"/>
        <w:adjustRightInd w:val="0"/>
        <w:spacing w:after="0" w:line="260" w:lineRule="atLeast"/>
        <w:contextualSpacing/>
        <w:jc w:val="both"/>
        <w:textAlignment w:val="baseline"/>
        <w:rPr>
          <w:rFonts w:eastAsia="Times New Roman" w:cs="Arial"/>
          <w:b/>
          <w:bCs/>
          <w:szCs w:val="20"/>
          <w:lang w:eastAsia="sl-SI"/>
        </w:rPr>
      </w:pPr>
      <w:r w:rsidRPr="00E9128C">
        <w:rPr>
          <w:rFonts w:eastAsia="Times New Roman" w:cs="Arial"/>
          <w:b/>
          <w:bCs/>
          <w:szCs w:val="20"/>
          <w:lang w:eastAsia="sl-SI"/>
        </w:rPr>
        <w:t>2.5 Podzakonski akti</w:t>
      </w:r>
    </w:p>
    <w:p w14:paraId="35BA0041" w14:textId="77777777" w:rsidR="00026663" w:rsidRPr="00E9128C" w:rsidRDefault="00026663" w:rsidP="00026663">
      <w:pPr>
        <w:spacing w:after="0" w:line="260" w:lineRule="atLeast"/>
        <w:contextualSpacing/>
        <w:jc w:val="both"/>
        <w:rPr>
          <w:rFonts w:cs="Arial"/>
          <w:szCs w:val="20"/>
        </w:rPr>
      </w:pPr>
    </w:p>
    <w:p w14:paraId="3BA8835F" w14:textId="77777777" w:rsidR="00026663" w:rsidRPr="00E9128C" w:rsidRDefault="00026663" w:rsidP="00026663">
      <w:pPr>
        <w:spacing w:after="0" w:line="260" w:lineRule="atLeast"/>
        <w:contextualSpacing/>
        <w:jc w:val="both"/>
        <w:rPr>
          <w:rFonts w:eastAsia="Times New Roman" w:cs="Arial"/>
          <w:szCs w:val="20"/>
          <w:lang w:eastAsia="sl-SI"/>
        </w:rPr>
      </w:pPr>
      <w:r w:rsidRPr="00E9128C">
        <w:rPr>
          <w:rFonts w:cs="Arial"/>
          <w:szCs w:val="20"/>
        </w:rPr>
        <w:t>Navedene rešitve zahtevajo spremembe ali dopolnitve podzakonskih aktov, izdanih na podlagi zakona, ki ureja davčni postopek:</w:t>
      </w:r>
    </w:p>
    <w:p w14:paraId="4AC4B179" w14:textId="77777777" w:rsidR="00026663" w:rsidRPr="00E9128C" w:rsidRDefault="00026663" w:rsidP="00026663">
      <w:pPr>
        <w:numPr>
          <w:ilvl w:val="0"/>
          <w:numId w:val="25"/>
        </w:numPr>
        <w:spacing w:after="0" w:line="260" w:lineRule="atLeast"/>
        <w:contextualSpacing/>
        <w:jc w:val="both"/>
        <w:rPr>
          <w:rFonts w:eastAsia="Times New Roman" w:cs="Arial"/>
          <w:szCs w:val="20"/>
          <w:lang w:eastAsia="sl-SI"/>
        </w:rPr>
      </w:pPr>
      <w:r w:rsidRPr="00E9128C">
        <w:rPr>
          <w:rFonts w:eastAsia="Times New Roman" w:cs="Arial"/>
          <w:szCs w:val="20"/>
          <w:lang w:eastAsia="sl-SI"/>
        </w:rPr>
        <w:t>Pravilnik o davčnem obračunu akontacije dohodnine in dohodnine od dohodka iz dejavnosti.</w:t>
      </w:r>
    </w:p>
    <w:p w14:paraId="3A67520D" w14:textId="77777777" w:rsidR="00026663" w:rsidRPr="00E9128C" w:rsidRDefault="00026663" w:rsidP="00E9128C">
      <w:pPr>
        <w:spacing w:after="0" w:line="260" w:lineRule="atLeast"/>
        <w:jc w:val="both"/>
        <w:rPr>
          <w:rFonts w:cs="Arial"/>
          <w:bCs/>
          <w:szCs w:val="20"/>
        </w:rPr>
      </w:pPr>
    </w:p>
    <w:p w14:paraId="544A3F84" w14:textId="77777777" w:rsidR="00026663" w:rsidRPr="00E9128C" w:rsidRDefault="00026663" w:rsidP="00BB049E">
      <w:pPr>
        <w:spacing w:line="276" w:lineRule="auto"/>
        <w:jc w:val="both"/>
        <w:rPr>
          <w:rFonts w:cs="Arial"/>
          <w:b/>
          <w:szCs w:val="20"/>
        </w:rPr>
      </w:pPr>
    </w:p>
    <w:p w14:paraId="179FBB62" w14:textId="77777777" w:rsidR="00BB049E" w:rsidRPr="00E9128C" w:rsidRDefault="00BB049E" w:rsidP="00BB37FE">
      <w:pPr>
        <w:pStyle w:val="Odstavekseznama"/>
        <w:numPr>
          <w:ilvl w:val="0"/>
          <w:numId w:val="10"/>
        </w:numPr>
        <w:rPr>
          <w:b/>
          <w:bCs/>
        </w:rPr>
      </w:pPr>
      <w:r w:rsidRPr="00E9128C">
        <w:rPr>
          <w:b/>
          <w:bCs/>
        </w:rPr>
        <w:lastRenderedPageBreak/>
        <w:t>OCENA FINANČNIH POSLEDIC PREDLOGA ZAKONA ZA DRŽAVNI PRORAČUN IN DRUGA JAVNA FINANČNA SREDSTVA</w:t>
      </w:r>
    </w:p>
    <w:p w14:paraId="53990E06" w14:textId="77777777" w:rsidR="00DC2915" w:rsidRPr="006B06E4" w:rsidRDefault="00DC2915" w:rsidP="008A4972">
      <w:pPr>
        <w:spacing w:line="260" w:lineRule="atLeast"/>
        <w:jc w:val="both"/>
      </w:pPr>
      <w:r w:rsidRPr="006B06E4">
        <w:t xml:space="preserve">Vse rešitve v predlogu zakona bodo v prvem letu uveljavitve vplivale na povečanje javnofinančnih odhodkov, in sicer se bodo odhodki povečali za </w:t>
      </w:r>
      <w:r>
        <w:t>nekaj manj kot</w:t>
      </w:r>
      <w:r w:rsidRPr="006B06E4">
        <w:t xml:space="preserve"> 210 mio EUR (slednje zaradi uvedbe zimskega regresa in zagotavljanja sredstev Zavodu za pokojninsko in invalidsko zavarovanje Slovenije zaradi izplačila zimskega dodatka upokojencem). </w:t>
      </w:r>
      <w:r>
        <w:t>V</w:t>
      </w:r>
      <w:r w:rsidRPr="006B06E4">
        <w:t xml:space="preserve"> prvem letu uveljavitve zimskega regresa </w:t>
      </w:r>
      <w:r>
        <w:t xml:space="preserve">pa bo rešitev vplivala tudi na javnofinančne prihodke, saj se bodo </w:t>
      </w:r>
      <w:r w:rsidRPr="006B06E4">
        <w:t>prihodki iz naslova prispevkov za socialno varnost znižali za 75 mio EUR, obenem pa se bodo v letu 2026 znižali prihodki iz naslova davka od dohodkov pravnih oseb – po oceni za okoli 10 mio EUR</w:t>
      </w:r>
      <w:r>
        <w:t xml:space="preserve"> (merjeno v denarnem toku)</w:t>
      </w:r>
      <w:r w:rsidRPr="006B06E4">
        <w:t xml:space="preserve">. V letu 2027 pa je </w:t>
      </w:r>
      <w:r>
        <w:t xml:space="preserve">enako merjeno v denarnem toku </w:t>
      </w:r>
      <w:r w:rsidRPr="006B06E4">
        <w:t xml:space="preserve">pričakovati višje </w:t>
      </w:r>
      <w:r>
        <w:t xml:space="preserve">javnofinančne </w:t>
      </w:r>
      <w:r w:rsidRPr="006B06E4">
        <w:t xml:space="preserve">prihodke za okoli 10 mio EUR zaradi uvedbe sprememb na področju ugotavljanja davčne osnove od dohodkov iz dejavnosti z upoštevanjem normiranih odhodkov. </w:t>
      </w:r>
    </w:p>
    <w:p w14:paraId="77406E21" w14:textId="7EA0D1B1" w:rsidR="001D5E03" w:rsidRPr="00E9128C" w:rsidRDefault="001D5E03" w:rsidP="0080172E">
      <w:pPr>
        <w:spacing w:line="260" w:lineRule="atLeast"/>
        <w:jc w:val="both"/>
        <w:rPr>
          <w:b/>
          <w:bCs/>
        </w:rPr>
      </w:pPr>
      <w:r w:rsidRPr="00E9128C">
        <w:rPr>
          <w:b/>
          <w:bCs/>
        </w:rPr>
        <w:t>3.1 Zimski regres</w:t>
      </w:r>
    </w:p>
    <w:p w14:paraId="406EDF14" w14:textId="0BEDF7E8" w:rsidR="0080172E" w:rsidRPr="00E9128C" w:rsidRDefault="0080172E" w:rsidP="0080172E">
      <w:pPr>
        <w:spacing w:line="260" w:lineRule="atLeast"/>
        <w:jc w:val="both"/>
      </w:pPr>
      <w:r w:rsidRPr="00E9128C">
        <w:t xml:space="preserve">Rešitev v predlogu zakona bo vplivala na višje javnofinančne odhodke in nižje prihodke. Ocenjujemo, da bo predlog zimskega </w:t>
      </w:r>
      <w:r w:rsidR="003E38F8" w:rsidRPr="00E9128C">
        <w:t xml:space="preserve">regresa </w:t>
      </w:r>
      <w:r w:rsidRPr="00E9128C">
        <w:t xml:space="preserve">v višini polovice minimalne plače imel za posledico višje javnofinančne odhodke v višini okoli 120 mio EUR. Slednje povišanje je zaradi izplačila zimskega </w:t>
      </w:r>
      <w:r w:rsidR="003E38F8" w:rsidRPr="00E9128C">
        <w:t xml:space="preserve">regresa </w:t>
      </w:r>
      <w:r w:rsidRPr="00E9128C">
        <w:t xml:space="preserve">javnim uslužbencem, ob oceni upoštevanja 190.000 javnih uslužbencev. </w:t>
      </w:r>
    </w:p>
    <w:p w14:paraId="7870E205" w14:textId="4D9CABE2" w:rsidR="0080172E" w:rsidRPr="00E9128C" w:rsidRDefault="0080172E" w:rsidP="0080172E">
      <w:pPr>
        <w:spacing w:line="260" w:lineRule="atLeast"/>
        <w:jc w:val="both"/>
      </w:pPr>
      <w:r w:rsidRPr="00E9128C">
        <w:t>Na drugi strani pa ocenjujemo, da bo rešitev vplivala tudi na nižje javnofinančne prihodke, kot posledica tega, da bo ta dohodek po predlogu oproščen plačila dohodnine in prispevkov za socialno varnost. Po oceni bodo prihodki v prvem letu nižji, in sicer v višini okoli 75 mio EUR, vse na račun oprostitve prispevkov za socialno varnost, medtem ko bo le v manjšem delu to tudi izpad na strani dohodnine. Glede na to, da določena podjetja danes že izplačujejo del dohodka iz naslova poslovne uspešnosti</w:t>
      </w:r>
      <w:r w:rsidR="0019363F" w:rsidRPr="00E9128C">
        <w:t>,</w:t>
      </w:r>
      <w:r w:rsidRPr="00E9128C">
        <w:t xml:space="preserve"> lahko predvidevamo, da se bodo z izplačilom zimskega </w:t>
      </w:r>
      <w:r w:rsidR="003E38F8" w:rsidRPr="00E9128C">
        <w:t xml:space="preserve">regresa </w:t>
      </w:r>
      <w:r w:rsidRPr="00E9128C">
        <w:t xml:space="preserve">ta izplačila kompenzirala, kar seveda pomeni, da bo s tem maksimalen možen vpliv na stroške dela manjši oz. bo, kot je bilo povedano, to predvsem na strani prispevkov za socialno varnost. Obenem pa bo predlog uvedbe zimskega </w:t>
      </w:r>
      <w:r w:rsidR="003E38F8" w:rsidRPr="00E9128C">
        <w:t xml:space="preserve">regresa </w:t>
      </w:r>
      <w:r w:rsidRPr="00E9128C">
        <w:t>vplival tudi na nižje prihodke iz naslova davka od dohodkov pravnih oseb. Ocenjujemo, da se bodo prihodki iz naslova tega davka znižali največ za 10 mio EUR v prvem letu uveljavitve</w:t>
      </w:r>
      <w:r w:rsidR="00DC2915">
        <w:t xml:space="preserve"> (merjeno v denarnem toku bo ta učinek viden v letu 2026)</w:t>
      </w:r>
      <w:r w:rsidRPr="00E9128C">
        <w:t>.</w:t>
      </w:r>
    </w:p>
    <w:p w14:paraId="7FD0FA82" w14:textId="6399C2EE" w:rsidR="0080172E" w:rsidRPr="00E9128C" w:rsidRDefault="0080172E" w:rsidP="0080172E">
      <w:pPr>
        <w:spacing w:line="260" w:lineRule="atLeast"/>
        <w:jc w:val="both"/>
      </w:pPr>
      <w:r w:rsidRPr="00E9128C">
        <w:t xml:space="preserve">Ker se bodo sredstva za zimski </w:t>
      </w:r>
      <w:r w:rsidR="003E38F8" w:rsidRPr="00E9128C">
        <w:t xml:space="preserve">regres </w:t>
      </w:r>
      <w:r w:rsidRPr="00E9128C">
        <w:t xml:space="preserve">za vse delavce in funkcionarje v javnem sektorju zagotavljala v državnem proračunu, predlog zakona nima finančnih posledic na druga javnofinančna sredstva. </w:t>
      </w:r>
    </w:p>
    <w:p w14:paraId="14FDCBA0" w14:textId="0AAD76A6" w:rsidR="001D5E03" w:rsidRPr="00E9128C" w:rsidRDefault="001D5E03" w:rsidP="0080172E">
      <w:pPr>
        <w:spacing w:line="260" w:lineRule="atLeast"/>
        <w:jc w:val="both"/>
        <w:rPr>
          <w:b/>
          <w:bCs/>
        </w:rPr>
      </w:pPr>
      <w:r w:rsidRPr="00E9128C">
        <w:rPr>
          <w:b/>
          <w:bCs/>
        </w:rPr>
        <w:t>3.2 Zimski dodatek</w:t>
      </w:r>
    </w:p>
    <w:p w14:paraId="751141F8" w14:textId="77777777" w:rsidR="001D5E03" w:rsidRPr="00E9128C" w:rsidRDefault="001D5E03" w:rsidP="001D5E03">
      <w:pPr>
        <w:spacing w:line="260" w:lineRule="atLeast"/>
        <w:jc w:val="both"/>
      </w:pPr>
      <w:r w:rsidRPr="00E9128C">
        <w:t>Ukrep ima finančne posledice za državni proračun in za druga javna finančna sredstva.</w:t>
      </w:r>
    </w:p>
    <w:p w14:paraId="624E9EA0" w14:textId="374D39D5" w:rsidR="001D5E03" w:rsidRPr="00E9128C" w:rsidRDefault="001D5E03" w:rsidP="001D5E03">
      <w:pPr>
        <w:spacing w:line="260" w:lineRule="atLeast"/>
        <w:jc w:val="both"/>
      </w:pPr>
      <w:r w:rsidRPr="00E9128C">
        <w:t>V zvezi s predlogom ukrepa izplačila zimskega dodatka za uživalce pokojnin in prejemnike nadomestil iz invalidskega zavarovanja se ocenjuje, da bo imel finančne učinke na državni proračun. Državni proračun bo moral zaradi navedenega ukrepa zagotoviti več sredstev Zavodu za pokojninsko in invalidsko zavarovanje Slovenije, in sicer v letu 2025 za približno 87,5 mio EUR.</w:t>
      </w:r>
    </w:p>
    <w:p w14:paraId="55F89FE5" w14:textId="4198EF17" w:rsidR="001D5E03" w:rsidRPr="00E9128C" w:rsidRDefault="001D5E03" w:rsidP="00CF2340">
      <w:pPr>
        <w:spacing w:after="0" w:line="260" w:lineRule="atLeast"/>
        <w:jc w:val="both"/>
        <w:rPr>
          <w:b/>
          <w:bCs/>
        </w:rPr>
      </w:pPr>
      <w:r w:rsidRPr="00E9128C">
        <w:rPr>
          <w:b/>
          <w:bCs/>
        </w:rPr>
        <w:t>3.3 Ugotavljanje davčne osnove od dohodkov iz dejavnosti z upoštevanjem normiranih odhodkov</w:t>
      </w:r>
    </w:p>
    <w:p w14:paraId="6659A4F7" w14:textId="77777777" w:rsidR="001D5E03" w:rsidRPr="00E9128C" w:rsidRDefault="001D5E03" w:rsidP="00CF2340">
      <w:pPr>
        <w:spacing w:after="0" w:line="260" w:lineRule="atLeast"/>
        <w:jc w:val="both"/>
      </w:pPr>
    </w:p>
    <w:p w14:paraId="6CA0FD24" w14:textId="7F2C6CDF" w:rsidR="001D5E03" w:rsidRPr="00E9128C" w:rsidRDefault="001D5E03" w:rsidP="00E9128C">
      <w:pPr>
        <w:spacing w:after="0" w:line="260" w:lineRule="atLeast"/>
        <w:jc w:val="both"/>
      </w:pPr>
      <w:r w:rsidRPr="00E9128C">
        <w:t>Predlog zakona ima pozitivne učinke na prihodke državnega proračuna, in sicer je ocenjeno, da se bodo prihodki zvišali za okoli 10 mio EUR na letnem nivoju. Prvi učinki merjeni v denarnem toku bodo vidni v letu 2027.</w:t>
      </w:r>
    </w:p>
    <w:p w14:paraId="771C3D1E" w14:textId="77777777" w:rsidR="001D5E03" w:rsidRPr="00E9128C" w:rsidRDefault="001D5E03" w:rsidP="00E9128C">
      <w:pPr>
        <w:spacing w:after="0" w:line="260" w:lineRule="atLeast"/>
        <w:jc w:val="both"/>
      </w:pPr>
    </w:p>
    <w:p w14:paraId="1161AF99" w14:textId="77777777" w:rsidR="001D5E03" w:rsidRPr="00E9128C" w:rsidRDefault="001D5E03" w:rsidP="00E9128C">
      <w:pPr>
        <w:spacing w:after="0" w:line="260" w:lineRule="atLeast"/>
        <w:jc w:val="both"/>
      </w:pPr>
      <w:r w:rsidRPr="00E9128C">
        <w:t xml:space="preserve">Predlog spremembe mej za vstop oz. izstop iz sistema po oceni v prvih nekaj letih ne bo imel bistvenega učinka na javne finance, saj ob upoštevanju prehodnega obdobja, ki je bil določen z zadnjo spremembo zakona, ki ureja dohodnino, ni pričakovati izstopa zavezancev iz sistema t. i. normirancev. V daljšem časovnem obdobju pa je seveda zaradi zvišanja praga za vstop v sistem možno pričakovati povečevanje </w:t>
      </w:r>
      <w:r w:rsidRPr="00E9128C">
        <w:lastRenderedPageBreak/>
        <w:t xml:space="preserve">števila teh zavezancev na račun prehoda zavezancev, ki ugotavljajo svojo davčno osnovo z upoštevanjem dejanskih odhodkov, ali prehoda iz delovnega razmerja v sistem t. i. normirancev. </w:t>
      </w:r>
    </w:p>
    <w:p w14:paraId="6B9A3242" w14:textId="77777777" w:rsidR="001D5E03" w:rsidRPr="00E9128C" w:rsidRDefault="001D5E03" w:rsidP="00E9128C">
      <w:pPr>
        <w:spacing w:after="0" w:line="260" w:lineRule="atLeast"/>
        <w:jc w:val="both"/>
      </w:pPr>
    </w:p>
    <w:p w14:paraId="0992CD0D" w14:textId="1586F83A" w:rsidR="001D5E03" w:rsidRPr="00E9128C" w:rsidRDefault="001D5E03" w:rsidP="00CF2340">
      <w:pPr>
        <w:spacing w:after="0" w:line="260" w:lineRule="atLeast"/>
        <w:jc w:val="both"/>
      </w:pPr>
      <w:r w:rsidRPr="00E9128C">
        <w:t>Zvišanje davčne stopnje za davčno priznane prihodke zavezancev nad 50.000 EUR za t.i. popoldanske normirancev oz. nad 120.000 EUR za t.i. polne normirance z 20 % na 35 % bo po oceni zvišalo prihodke iz naslova dohodnine za približno 10 mio EUR. Učinek je nižji od potencialnega, ker pričakujemo delno prilagoditev zavezancev.</w:t>
      </w:r>
    </w:p>
    <w:p w14:paraId="12162D51" w14:textId="77777777" w:rsidR="001D5E03" w:rsidRPr="00E9128C" w:rsidRDefault="001D5E03" w:rsidP="00CF2340">
      <w:pPr>
        <w:spacing w:after="0" w:line="260" w:lineRule="atLeast"/>
        <w:jc w:val="both"/>
      </w:pPr>
    </w:p>
    <w:p w14:paraId="078EA881" w14:textId="77777777" w:rsidR="00BB049E" w:rsidRPr="00E9128C" w:rsidRDefault="00BB049E" w:rsidP="00BB049E">
      <w:pPr>
        <w:pStyle w:val="Odstavekseznama"/>
        <w:rPr>
          <w:b/>
          <w:bCs/>
        </w:rPr>
      </w:pPr>
    </w:p>
    <w:p w14:paraId="06E313F0" w14:textId="77777777" w:rsidR="00BB049E" w:rsidRPr="00E9128C" w:rsidRDefault="00BB049E" w:rsidP="00BB37FE">
      <w:pPr>
        <w:pStyle w:val="Odstavekseznama"/>
        <w:numPr>
          <w:ilvl w:val="0"/>
          <w:numId w:val="10"/>
        </w:numPr>
        <w:rPr>
          <w:b/>
          <w:bCs/>
        </w:rPr>
      </w:pPr>
      <w:r w:rsidRPr="00E9128C">
        <w:rPr>
          <w:b/>
          <w:bCs/>
        </w:rPr>
        <w:t xml:space="preserve">NAVEDBA, DA SO SREDSTVA ZA IZVAJANJE ZAKONA V DRŽAVNEM PRORAČUNU ZAGOTOVLJENA, ČE PREDLOG ZAKONA PREDVIDEVA PORABO PRORAČUNSKIH SREDSTEV V OBDOBJU, ZA KATERO JE BIL DRŽAVNI PRORAČUN ŽE SPREJET </w:t>
      </w:r>
    </w:p>
    <w:p w14:paraId="735A7890" w14:textId="7F9D2FD9" w:rsidR="00BD0994" w:rsidRPr="00E9128C" w:rsidRDefault="00BD0994" w:rsidP="00CF2340">
      <w:pPr>
        <w:rPr>
          <w:b/>
          <w:bCs/>
        </w:rPr>
      </w:pPr>
      <w:r w:rsidRPr="00E9128C">
        <w:rPr>
          <w:b/>
          <w:bCs/>
        </w:rPr>
        <w:t>4.1 Zimski regres in zimski dodatek</w:t>
      </w:r>
    </w:p>
    <w:p w14:paraId="724976EE" w14:textId="76DC0FE3" w:rsidR="00BB049E" w:rsidRPr="00E9128C" w:rsidRDefault="00942A3B" w:rsidP="008A4972">
      <w:pPr>
        <w:jc w:val="both"/>
      </w:pPr>
      <w:r w:rsidRPr="00E9128C">
        <w:t xml:space="preserve">Sredstva za izvajanje zakona se bodo zagotovila s prerazporeditvami pravic porabe v Spremembah proračuna Republike Slovenije za leto 2025. </w:t>
      </w:r>
    </w:p>
    <w:p w14:paraId="02A84EC2" w14:textId="2C0A73E3" w:rsidR="00BD0994" w:rsidRPr="00E9128C" w:rsidRDefault="00BD0994" w:rsidP="00CF2340">
      <w:pPr>
        <w:jc w:val="both"/>
        <w:rPr>
          <w:b/>
          <w:bCs/>
        </w:rPr>
      </w:pPr>
      <w:r w:rsidRPr="00E9128C">
        <w:rPr>
          <w:b/>
          <w:bCs/>
        </w:rPr>
        <w:t>4.2 Ugotavljanje davčne osnove od dohodkov iz dejavnosti z upoštevanjem normiranih odhodkov</w:t>
      </w:r>
    </w:p>
    <w:p w14:paraId="0EDDB5A4" w14:textId="529575E7" w:rsidR="00BD0994" w:rsidRPr="00E9128C" w:rsidRDefault="00BD0994" w:rsidP="00E9128C">
      <w:pPr>
        <w:jc w:val="both"/>
      </w:pPr>
      <w:r w:rsidRPr="00E9128C">
        <w:t>Za izvajanje zakona ne bodo potrebna dodatna proračunska sredstva, saj so že zagotovljena v okviru predvidenih sredstev Finančne uprave Republike Slovenije.</w:t>
      </w:r>
    </w:p>
    <w:p w14:paraId="07648F09" w14:textId="77777777" w:rsidR="00BB049E" w:rsidRPr="00E9128C" w:rsidRDefault="00BB049E" w:rsidP="00BB049E">
      <w:pPr>
        <w:pStyle w:val="Odstavekseznama"/>
        <w:rPr>
          <w:b/>
          <w:bCs/>
        </w:rPr>
      </w:pPr>
    </w:p>
    <w:p w14:paraId="37D00870" w14:textId="77777777" w:rsidR="00BB049E" w:rsidRPr="00E9128C" w:rsidRDefault="00BB049E" w:rsidP="00BB37FE">
      <w:pPr>
        <w:pStyle w:val="Odstavekseznama"/>
        <w:numPr>
          <w:ilvl w:val="0"/>
          <w:numId w:val="10"/>
        </w:numPr>
        <w:rPr>
          <w:b/>
          <w:bCs/>
        </w:rPr>
      </w:pPr>
      <w:r w:rsidRPr="00E9128C">
        <w:rPr>
          <w:b/>
          <w:bCs/>
        </w:rPr>
        <w:t>PRIKAZ UREDITVE V DRUGIH PRAVNIH SISTEMIH IN PRILAGOJENOSTI PREDLAGANE UREDITVE PRAVU EVROPSKE UNIJE</w:t>
      </w:r>
    </w:p>
    <w:p w14:paraId="42E0850F" w14:textId="77777777" w:rsidR="00BB049E" w:rsidRPr="00E9128C" w:rsidRDefault="00BB049E" w:rsidP="00BB049E">
      <w:pPr>
        <w:pStyle w:val="Odstavekseznama"/>
        <w:rPr>
          <w:b/>
          <w:bCs/>
        </w:rPr>
      </w:pPr>
    </w:p>
    <w:p w14:paraId="3A5D5828" w14:textId="77777777" w:rsidR="00BB049E" w:rsidRPr="00E9128C" w:rsidRDefault="00BB049E" w:rsidP="00236DF6">
      <w:pPr>
        <w:rPr>
          <w:b/>
          <w:bCs/>
        </w:rPr>
      </w:pPr>
      <w:r w:rsidRPr="00E9128C">
        <w:rPr>
          <w:b/>
          <w:bCs/>
        </w:rPr>
        <w:t>5.1 Prilagojenost pravu Evropske unije</w:t>
      </w:r>
    </w:p>
    <w:p w14:paraId="2A0BC9DA" w14:textId="77777777" w:rsidR="00BB049E" w:rsidRPr="00E9128C" w:rsidRDefault="00BB049E" w:rsidP="00BB049E">
      <w:r w:rsidRPr="00E9128C">
        <w:t xml:space="preserve">Vsebina predlaganega zakona ni predmet usklajevanja s pravnim redom Evropske unije. </w:t>
      </w:r>
    </w:p>
    <w:p w14:paraId="214B8970" w14:textId="77777777" w:rsidR="00BB049E" w:rsidRPr="00E9128C" w:rsidRDefault="00BB049E" w:rsidP="00BB049E"/>
    <w:p w14:paraId="69E44DF9" w14:textId="77777777" w:rsidR="00BB049E" w:rsidRPr="00E9128C" w:rsidRDefault="00BB049E" w:rsidP="00236DF6">
      <w:pPr>
        <w:rPr>
          <w:b/>
          <w:bCs/>
        </w:rPr>
      </w:pPr>
      <w:r w:rsidRPr="00E9128C">
        <w:rPr>
          <w:b/>
          <w:bCs/>
        </w:rPr>
        <w:t>5.2 Prikaz ureditve v drugih pravnih sistemih</w:t>
      </w:r>
    </w:p>
    <w:p w14:paraId="49D0EA8B" w14:textId="325D5550" w:rsidR="00BD0994" w:rsidRPr="00E9128C" w:rsidRDefault="00BD0994" w:rsidP="00236DF6">
      <w:pPr>
        <w:rPr>
          <w:b/>
          <w:bCs/>
        </w:rPr>
      </w:pPr>
      <w:r w:rsidRPr="00E9128C">
        <w:rPr>
          <w:b/>
          <w:bCs/>
        </w:rPr>
        <w:t>5.2.1 Zimski regres</w:t>
      </w:r>
    </w:p>
    <w:p w14:paraId="769043D0" w14:textId="4067A775" w:rsidR="00BB049E" w:rsidRPr="00E9128C" w:rsidRDefault="00BB049E" w:rsidP="00236DF6">
      <w:pPr>
        <w:ind w:left="360"/>
        <w:rPr>
          <w:b/>
          <w:bCs/>
        </w:rPr>
      </w:pPr>
      <w:r w:rsidRPr="00E9128C">
        <w:rPr>
          <w:b/>
          <w:bCs/>
        </w:rPr>
        <w:t>5.2.1</w:t>
      </w:r>
      <w:r w:rsidR="00BD0994" w:rsidRPr="00E9128C">
        <w:rPr>
          <w:b/>
          <w:bCs/>
        </w:rPr>
        <w:t>.1</w:t>
      </w:r>
      <w:r w:rsidRPr="00E9128C">
        <w:rPr>
          <w:b/>
          <w:bCs/>
        </w:rPr>
        <w:t xml:space="preserve"> Avstrija</w:t>
      </w:r>
    </w:p>
    <w:p w14:paraId="17867428" w14:textId="77777777" w:rsidR="00BB049E" w:rsidRPr="00E9128C" w:rsidRDefault="00BB049E" w:rsidP="00BB049E">
      <w:pPr>
        <w:jc w:val="both"/>
      </w:pPr>
      <w:r w:rsidRPr="00E9128C">
        <w:t>V Avstriji se višina prejemkov iz delovnega razmerja ureja v panožnih in podjetniških kolektivnih pogodbah, vključno z minimalno plačo. Po podatkih Eurofounda iz leta 2022 je pokritost zaposlenih v Avstriji s kolektivnimi pogodbami (Kollektivvertrag) približno 95 %. Večina panožnih kolektivnih pogodb v Avstriji določa trinajsto (božičnica) in štirinajsto plačo (regres). To pomeni, da v praksi večina zaposlenih v Avstriji prejema Božičnico oz. trinajsto plačo. Višina tega prejemka je različna glede na posamezno kolektivno pogodbo, vendar se v glavnem giba okoli višine bruto plače posameznega zaposlenega. V nekaterih primerih je višina izplačila izračunana po bolj specifični formuli (npr. 1/13 oz. 1/14 prejemkov iz dela v lanskem letu ali pa npr. plača brez nekaterih komponent), vendar je višina bruto osnovne plače (z dodatki ali brez – odvisno od kolektivne pogodbe) običajni način določanja zneska. Tako velja za nekatere izmed kolektivnih pogodb, ki pokrivajo največje število zaposlenih v državi, npr. Kolektivna pogodba dejavnosti trgovine (</w:t>
      </w:r>
      <w:r w:rsidRPr="00E9128C">
        <w:rPr>
          <w:i/>
          <w:iCs/>
        </w:rPr>
        <w:t>Kollektivvertrag Handel)</w:t>
      </w:r>
      <w:r w:rsidRPr="00E9128C">
        <w:t>, Kolektivna pogodba kovinske industrije (</w:t>
      </w:r>
      <w:r w:rsidRPr="00E9128C">
        <w:rPr>
          <w:i/>
          <w:iCs/>
        </w:rPr>
        <w:t>Kollektivvertrag Metallindustrie</w:t>
      </w:r>
      <w:r w:rsidRPr="00E9128C">
        <w:t>) in Okvirna kolektivna pogodba za trgovino, obrt in storitve (</w:t>
      </w:r>
      <w:r w:rsidRPr="00E9128C">
        <w:rPr>
          <w:i/>
          <w:iCs/>
        </w:rPr>
        <w:t>Rahmenkollektivvertrag Gewerbe, Handwerk und Dienstleistung</w:t>
      </w:r>
      <w:r w:rsidRPr="00E9128C">
        <w:t xml:space="preserve">). V primeru okoliščin, ko je delavec zaposlen le del leta ali s skrajšanim delovnim časom, se božičnica izplača proporcionalno glede na število mesecev letu oz. odstotek zaposlitve. </w:t>
      </w:r>
    </w:p>
    <w:p w14:paraId="1C22E419" w14:textId="77777777" w:rsidR="00BB049E" w:rsidRPr="00E9128C" w:rsidRDefault="00BB049E" w:rsidP="00BB049E">
      <w:pPr>
        <w:jc w:val="both"/>
      </w:pPr>
      <w:r w:rsidRPr="00E9128C">
        <w:t xml:space="preserve">Na božičnico oz. 13. plačo (in regres oz. 14. plačo) se plačujejo prispevki za socialna zavarovanja, ki znašajo v Avstriji po zadnjih podatkih približno 17 % za delavca in se odštejejo od bruto plače in vsaj </w:t>
      </w:r>
      <w:r w:rsidRPr="00E9128C">
        <w:lastRenderedPageBreak/>
        <w:t>približno 21 % za delodajalca (odvisno od okoliščin delavca in predela Avstrije lahko tudi znatno višje) in se prištejejo k bruto plači kot strošek delodajalca. Avstrijski Zakon o dohodnini (</w:t>
      </w:r>
      <w:r w:rsidRPr="00E9128C">
        <w:rPr>
          <w:i/>
          <w:iCs/>
        </w:rPr>
        <w:t>Einkommensteuergesetz</w:t>
      </w:r>
      <w:r w:rsidRPr="00E9128C">
        <w:t>) iz leta 1988 določa v 67. členu, da sta 13. (božičnica) in 14. plača (regres) posebni izplačili (</w:t>
      </w:r>
      <w:r w:rsidRPr="00E9128C">
        <w:rPr>
          <w:i/>
          <w:iCs/>
        </w:rPr>
        <w:t>Sonderzahlungen</w:t>
      </w:r>
      <w:r w:rsidRPr="00E9128C">
        <w:t xml:space="preserve">), ki uživata davčno ugodnejši status. Prvih 620 evrov božičnice oz. regresa ni obdavčenih, vsi višji zneski pa so obdavčeni zgolj 6 % (dohodnina je sicer med 27 % in 48 %) do zneska v višini 2.000 evrov. Nad tem zneskom so izplačila obdavčena po veljavni dohodninski zakonodaji, vendar samo v delu, ki ta znesek presega. Božičnica oz. 13. plača se običajno izplačuje novembra ali decembra. </w:t>
      </w:r>
    </w:p>
    <w:p w14:paraId="01954417" w14:textId="47499EAF" w:rsidR="00BB049E" w:rsidRPr="00E9128C" w:rsidRDefault="00BB049E" w:rsidP="00BB049E">
      <w:pPr>
        <w:ind w:left="360"/>
        <w:rPr>
          <w:b/>
          <w:bCs/>
        </w:rPr>
      </w:pPr>
      <w:r w:rsidRPr="00E9128C">
        <w:rPr>
          <w:b/>
          <w:bCs/>
        </w:rPr>
        <w:t>5.2.</w:t>
      </w:r>
      <w:r w:rsidR="00BD0994" w:rsidRPr="00E9128C">
        <w:rPr>
          <w:b/>
          <w:bCs/>
        </w:rPr>
        <w:t>1.</w:t>
      </w:r>
      <w:r w:rsidRPr="00E9128C">
        <w:rPr>
          <w:b/>
          <w:bCs/>
        </w:rPr>
        <w:t>2 Italija</w:t>
      </w:r>
    </w:p>
    <w:p w14:paraId="5661D1E3" w14:textId="77777777" w:rsidR="00BB049E" w:rsidRPr="00E9128C" w:rsidRDefault="00BB049E" w:rsidP="00BB049E">
      <w:pPr>
        <w:jc w:val="both"/>
      </w:pPr>
      <w:r w:rsidRPr="00E9128C">
        <w:t xml:space="preserve">Tako kot Avstrija ureja tudi Italija višino večine prejemkov iz delovnega razmerja preko panožnih (tako imenovane </w:t>
      </w:r>
      <w:r w:rsidRPr="00E9128C">
        <w:rPr>
          <w:i/>
          <w:iCs/>
        </w:rPr>
        <w:t>CCNL</w:t>
      </w:r>
      <w:r w:rsidRPr="00E9128C">
        <w:t xml:space="preserve">- </w:t>
      </w:r>
      <w:r w:rsidRPr="00E9128C">
        <w:rPr>
          <w:i/>
          <w:iCs/>
        </w:rPr>
        <w:t>contratti collettivi nazionali del lavoro</w:t>
      </w:r>
      <w:r w:rsidRPr="00E9128C">
        <w:t xml:space="preserve">) in podjetniških kolektivnih pogodb in Italijanska zakonodaja ne določa minimalne plače. Pokritost s kolektivnimi pogodbami med redno zaposlenimi je v Italiji po podatkih OECD, Eurofounda in drugih institucij trenutno med 80 – 85 %, pri čemer velja 100 % pokritost med javnimi uslužbenci in 80 – 90 % pokritost v velikih podjetjih, pri manjših in srednjih podjetjih pa je ta pokritost med 50 in 70 %, odvisno od vira podatkov.  Trinajsta plača oz. božičnica (t.i. </w:t>
      </w:r>
      <w:r w:rsidRPr="00E9128C">
        <w:rPr>
          <w:i/>
          <w:iCs/>
        </w:rPr>
        <w:t xml:space="preserve">tredicesima </w:t>
      </w:r>
      <w:r w:rsidRPr="00E9128C">
        <w:t xml:space="preserve">oz. trinajsta) ima v Italiji dolgoletno tradicijo kot rezultat uspešno vodenega dialoga med socialnimi partnerji. 13. plača oz. božičnica je v Italiji skoraj univerzalna pravica, medtem ko je regres (14. plača) določen kot pravica delavcev s strani nekaterih kolektivnih pogodb (npr. v turizmu, kovinski industriji in trgovini), vendar nima enakega univerzalnega statusa. Običajno je trinajsta plača izplačana do 20. decembra vsako leto (institut se imenuje tudi </w:t>
      </w:r>
      <w:r w:rsidRPr="00E9128C">
        <w:rPr>
          <w:i/>
          <w:iCs/>
        </w:rPr>
        <w:t xml:space="preserve">gratifica natalizia </w:t>
      </w:r>
      <w:r w:rsidRPr="00E9128C">
        <w:t>ali božični dodatek), torej nekaj dni pred božičnimi prazniki. V primeru delne zaposlitve ali zaposlitve, ki traja zgolj del leta, je delavec običajno upravičen do proporcionalnega deleža trinajste plače glede na število mesecev oz. odstotek zaposlitve. Običajno je 13. plača izplačana v znesku povprečne mesečne plače minulega leta in vključuje osnovno plačo, stalne dodatke, vendar ne vključuje nadur, dodatkov za poslovno in delovno uspešnost, povračil stroškov in drugih dohodkov oz. povračil iz delovnega razmerja. Tako velja npr. v Kolektivni pogodbi za trgovino (</w:t>
      </w:r>
      <w:r w:rsidRPr="00E9128C">
        <w:rPr>
          <w:i/>
          <w:iCs/>
        </w:rPr>
        <w:t>CCNL Commercio</w:t>
      </w:r>
      <w:r w:rsidRPr="00E9128C">
        <w:t>), Kolektivno pogodbo za kovinskopredelovalno industrijo (</w:t>
      </w:r>
      <w:r w:rsidRPr="00E9128C">
        <w:rPr>
          <w:i/>
          <w:iCs/>
        </w:rPr>
        <w:t>CCNL Metalmeccanici</w:t>
      </w:r>
      <w:r w:rsidRPr="00E9128C">
        <w:t>) in Kolektivno pogodbo za turizem (</w:t>
      </w:r>
      <w:r w:rsidRPr="00E9128C">
        <w:rPr>
          <w:i/>
          <w:iCs/>
        </w:rPr>
        <w:t>CCNL Turismo</w:t>
      </w:r>
      <w:r w:rsidRPr="00E9128C">
        <w:t>).</w:t>
      </w:r>
    </w:p>
    <w:p w14:paraId="01BDDFC4" w14:textId="77777777" w:rsidR="00BB049E" w:rsidRPr="00E9128C" w:rsidRDefault="00BB049E" w:rsidP="00BB049E">
      <w:pPr>
        <w:jc w:val="both"/>
      </w:pPr>
      <w:r w:rsidRPr="00E9128C">
        <w:t xml:space="preserve">13. plača ali božičnica in 14. plača oz. regres nista deležna posebne davčne obravnave – davčna stopnja in prispevki za socialna zavarovanja so enaki kot v primeru plače. </w:t>
      </w:r>
    </w:p>
    <w:p w14:paraId="6C3E092A" w14:textId="6935B25F" w:rsidR="00BB049E" w:rsidRPr="00E9128C" w:rsidRDefault="00BB049E" w:rsidP="00BB049E">
      <w:pPr>
        <w:ind w:left="360"/>
        <w:rPr>
          <w:b/>
          <w:bCs/>
        </w:rPr>
      </w:pPr>
      <w:r w:rsidRPr="00E9128C">
        <w:rPr>
          <w:b/>
          <w:bCs/>
        </w:rPr>
        <w:t>5.2.</w:t>
      </w:r>
      <w:r w:rsidR="00BD0994" w:rsidRPr="00E9128C">
        <w:rPr>
          <w:b/>
          <w:bCs/>
        </w:rPr>
        <w:t>1.</w:t>
      </w:r>
      <w:r w:rsidRPr="00E9128C">
        <w:rPr>
          <w:b/>
          <w:bCs/>
        </w:rPr>
        <w:t>3 Grčija</w:t>
      </w:r>
    </w:p>
    <w:p w14:paraId="22F27B7C" w14:textId="77777777" w:rsidR="00BB049E" w:rsidRPr="00E9128C" w:rsidRDefault="00BB049E" w:rsidP="00BB049E">
      <w:pPr>
        <w:jc w:val="both"/>
      </w:pPr>
      <w:r w:rsidRPr="00E9128C">
        <w:t xml:space="preserve">Grčija je med evropskimi državami unikum, saj pozna izplačilo 14ih polnih plač, od tega dodatnih dveh v treh različnih obrokih. Delavcem po zakonu pripadajo: velikonočni dodatek (ki znaša polovico plače), regres (ki znaša polovico plače) in božičnica (ki znaša znesek cele bruto plače). Izplačila urejajo Ministrski odlok 19040/11981 (velikonočni dodatek in božičnica) in Zakon 4504/1966 (regres). Ta izplačila so pravica vseh delavcev v zasebnem sektorju, medtem ko so delavci v javnem sektorju, zaradi posledic varčevalnih ukrepov od leta 2010, prikrajšani za vsa ta izplačila, razen v nekaterih segmentih javnega sektorja, kjer delavci še zmeraj prejemajo regres. Delež javnih uslužbencev med zaposlenimi osebami je po podatkih ELSTATA 8,2 % (2024). </w:t>
      </w:r>
    </w:p>
    <w:p w14:paraId="4B780BC1" w14:textId="77777777" w:rsidR="00BB049E" w:rsidRPr="00E9128C" w:rsidRDefault="00BB049E" w:rsidP="00BB049E">
      <w:pPr>
        <w:jc w:val="both"/>
      </w:pPr>
      <w:r w:rsidRPr="00E9128C">
        <w:t xml:space="preserve">Vsem delavcem, ki so zaposleni v zasebnem sektorju med 1. majem in 31. decembrom pripada polna božičnica (torej ne le tistim, ki so zaposleni celo leto) in ta se proporcionalno zmanjša na podlagi krajšega obdobja zaposlenosti v tem osemmesečnem obdobju in ne glede na celo leto. Ravno tako je treba velikonočni dodatek izplačati v celoti, če je oseba zaposlena med 1. januarjem in 30. aprilom, oz. proporcionalno na čas zaposlenosti v tem obdobju. Referenčno obdobje za izplačilo regresa oz. dodatka za dopust je celo leto in se izplačuje proporcionalno glede na obdobje zaposlenosti v tem obdobju. Zaposleni, ki so plačani po dnevih dela, morajo v vseh primerih dobiti izplačan ustrezni delež dni plačila (25 za božičnico in 13 za ostali dve izplačili), ki je nekoliko višji od števila delovnih dni v mesecu. </w:t>
      </w:r>
    </w:p>
    <w:p w14:paraId="5767BE6F" w14:textId="77777777" w:rsidR="00BB049E" w:rsidRPr="00E9128C" w:rsidRDefault="00BB049E" w:rsidP="00BB049E">
      <w:pPr>
        <w:jc w:val="both"/>
      </w:pPr>
      <w:r w:rsidRPr="00E9128C">
        <w:t>Izplačilo božičnice (in velikonočnega dodatka) vsebuje osnovno plačo in dodatke, ki se redno izplačujejo ob plači (npr. dodatek za delovno dobo), ne vključujejo pa drugih dodatkov za npr. posebne pogoje dela in delavca manj ugoden delovni čas.</w:t>
      </w:r>
    </w:p>
    <w:p w14:paraId="42018190" w14:textId="77777777" w:rsidR="00BB049E" w:rsidRPr="00E9128C" w:rsidRDefault="00BB049E" w:rsidP="00BB049E">
      <w:pPr>
        <w:jc w:val="both"/>
      </w:pPr>
      <w:r w:rsidRPr="00E9128C">
        <w:lastRenderedPageBreak/>
        <w:t xml:space="preserve">Na področju davkov in prispevkov za socialna zavarovanja je božičnica, ravno tako kot regres ali velikonočni dodatek, obravnavana na enak način kot redna plača.                                                                                                                                                                                                              </w:t>
      </w:r>
    </w:p>
    <w:p w14:paraId="4ED457F7" w14:textId="68003B09" w:rsidR="00BB049E" w:rsidRPr="00E9128C" w:rsidRDefault="00BB049E" w:rsidP="00BB049E">
      <w:pPr>
        <w:ind w:left="360"/>
        <w:rPr>
          <w:b/>
          <w:bCs/>
        </w:rPr>
      </w:pPr>
      <w:r w:rsidRPr="00E9128C">
        <w:rPr>
          <w:b/>
          <w:bCs/>
        </w:rPr>
        <w:t>5.2.</w:t>
      </w:r>
      <w:r w:rsidR="00BD0994" w:rsidRPr="00E9128C">
        <w:rPr>
          <w:b/>
          <w:bCs/>
        </w:rPr>
        <w:t>1.</w:t>
      </w:r>
      <w:r w:rsidRPr="00E9128C">
        <w:rPr>
          <w:b/>
          <w:bCs/>
        </w:rPr>
        <w:t>4 Španija</w:t>
      </w:r>
    </w:p>
    <w:p w14:paraId="433F72BA" w14:textId="76C67983" w:rsidR="00BB049E" w:rsidRPr="00E9128C" w:rsidRDefault="00BB049E" w:rsidP="00BB049E">
      <w:pPr>
        <w:jc w:val="both"/>
      </w:pPr>
      <w:r w:rsidRPr="00E9128C">
        <w:t>Španija ima uzakonjeno tako 13. plačo oz. božičnico (</w:t>
      </w:r>
      <w:r w:rsidRPr="00E9128C">
        <w:rPr>
          <w:i/>
          <w:iCs/>
        </w:rPr>
        <w:t>paga extra de navidad</w:t>
      </w:r>
      <w:r w:rsidRPr="00E9128C">
        <w:t>) kot 14. plačo oz. regres (</w:t>
      </w:r>
      <w:r w:rsidRPr="00E9128C">
        <w:rPr>
          <w:i/>
          <w:iCs/>
        </w:rPr>
        <w:t>paga extra de verano</w:t>
      </w:r>
      <w:r w:rsidRPr="00E9128C">
        <w:t>), ki sta obveza vseh delodajalcev, tako v javnem kot zasebnem sektorju. Obe pravici sta zapisani v 31. členu Delavskega zakona (</w:t>
      </w:r>
      <w:r w:rsidRPr="00E9128C">
        <w:rPr>
          <w:i/>
          <w:iCs/>
        </w:rPr>
        <w:t>Estatuto de los Trabajadores</w:t>
      </w:r>
      <w:r w:rsidRPr="00E9128C">
        <w:t xml:space="preserve">). Božičnica je načeloma plačana </w:t>
      </w:r>
      <w:r w:rsidR="007D06F1">
        <w:t>najpozneje</w:t>
      </w:r>
      <w:r w:rsidRPr="00E9128C">
        <w:t xml:space="preserve"> v decembru, regres pa junija oz. julija, vendar zakon ne določa točnega datuma izplačila ali višine (z izjemo spodnje omejitve zneska v višini osnovne plače) in odkazuje natančneje urejanje teh vprašanj na kolektivne pogodbe. 13. in 14. plačo je mogoče proporcionalno razdeliti na 12 delov in ju izplačevati vsak mesec, vendar mora biti to ustrezno urejeno v kolektivni pogodbi ali individualni pogodbi delavca. Izplačilo 13. in 14. plače običajno vsebuje osnovno plačo, dodatek za delovno dobo in druge fiksne dodatke (</w:t>
      </w:r>
      <w:r w:rsidRPr="00E9128C">
        <w:rPr>
          <w:i/>
          <w:iCs/>
        </w:rPr>
        <w:t>complementos fijos</w:t>
      </w:r>
      <w:r w:rsidRPr="00E9128C">
        <w:t xml:space="preserve">) k plači, ne vsebuje pa dodatkov za poslovno in/ali delovno uspešnost, nadur, stimulacij in podobnega. V primeru, da je delavec zgolj delno in ne polno zaposlen ter da je delavec na delovnem mestu bil zaposlen le del leta, se 13. in 14. plača izplačata proporcionalno glede na odstotek zaposlitve oz. glede na delež leta, ko je delavec bil zaposlen. Pri 13. plači oz. božičnici je referenčno obdobje za to, kar se šteje za celo leto, od 1. 1. do 31. 12., pri regresu oz. 14. plači pa od 1. julija prejšnjega leta do zadnjega junija tekočega leta. </w:t>
      </w:r>
    </w:p>
    <w:p w14:paraId="742114CC" w14:textId="77777777" w:rsidR="00BB049E" w:rsidRPr="00E9128C" w:rsidRDefault="00BB049E" w:rsidP="00BB049E">
      <w:pPr>
        <w:jc w:val="both"/>
      </w:pPr>
      <w:r w:rsidRPr="00E9128C">
        <w:t>13. (božičnica) in 14. (regres) plača nista deležna nobene oblike posebne obravnave z vidika davkov in prispevkov za socialna zavarovanja, temveč sta obravnavani kot običajni plači. Prispevki za 13. in 14. plačo niso plačani naenkrat v juniju/juliju oz. decembru, temveč se porazdelijo med 12 rednih plač, ki so izplačane čez leto.</w:t>
      </w:r>
    </w:p>
    <w:p w14:paraId="2600FCAC" w14:textId="5E4B4446" w:rsidR="00BD0994" w:rsidRPr="00E9128C" w:rsidRDefault="00BD0994" w:rsidP="00236DF6">
      <w:pPr>
        <w:rPr>
          <w:b/>
          <w:bCs/>
        </w:rPr>
      </w:pPr>
      <w:r w:rsidRPr="00E9128C">
        <w:rPr>
          <w:b/>
          <w:bCs/>
        </w:rPr>
        <w:t>5.2.2 Zimski dodatek</w:t>
      </w:r>
    </w:p>
    <w:p w14:paraId="1C84069D" w14:textId="7C2DC410" w:rsidR="00BD0994" w:rsidRPr="00E9128C" w:rsidRDefault="00BD0994" w:rsidP="00BD0994">
      <w:pPr>
        <w:ind w:firstLine="360"/>
        <w:rPr>
          <w:b/>
          <w:bCs/>
        </w:rPr>
      </w:pPr>
      <w:r w:rsidRPr="00E9128C">
        <w:rPr>
          <w:b/>
          <w:bCs/>
        </w:rPr>
        <w:t>5.2.2.1 Švica</w:t>
      </w:r>
    </w:p>
    <w:p w14:paraId="09BB7F38" w14:textId="77777777" w:rsidR="00BD0994" w:rsidRPr="00E9128C" w:rsidRDefault="00BD0994" w:rsidP="00E9128C">
      <w:pPr>
        <w:jc w:val="both"/>
      </w:pPr>
      <w:r w:rsidRPr="00E9128C">
        <w:t xml:space="preserve">Švica bo za namen izboljšanja finančne varnosti upokojencev v letu 2026 začela izplačevati 13. pokojnino za tiste, ki so upravičeni do starostne pokojnine v okviru zavarovanja za starost in preživele družinske člane (OASI). 13. pokojnina je dodatno letno izplačilo, enakovredno višini ene mesečne pokojnine, in bo dodeljeno vsem upravičencem do starostne pokojnine v okviru OASI. </w:t>
      </w:r>
    </w:p>
    <w:p w14:paraId="790C36FF" w14:textId="77777777" w:rsidR="00BD0994" w:rsidRPr="00E9128C" w:rsidRDefault="00BD0994" w:rsidP="00E9128C">
      <w:pPr>
        <w:jc w:val="both"/>
      </w:pPr>
      <w:r w:rsidRPr="00E9128C">
        <w:t>Namen 13. pokojnine je:</w:t>
      </w:r>
    </w:p>
    <w:p w14:paraId="64A6C28E" w14:textId="77777777" w:rsidR="00BD0994" w:rsidRPr="00E9128C" w:rsidRDefault="00BD0994" w:rsidP="00E9128C">
      <w:pPr>
        <w:jc w:val="both"/>
      </w:pPr>
      <w:r w:rsidRPr="00E9128C">
        <w:t>-</w:t>
      </w:r>
      <w:r w:rsidRPr="00E9128C">
        <w:tab/>
        <w:t xml:space="preserve"> zagotavljanje večje finančne varnosti upokojencev, saj bodo le-ti vsako leto prejeli dodatno mesečno pokojnino, ki jim bo lahko pomagala pokriti nepričakovane stroške, zdravstvene stroške ali preprosto izboljšati kakovost življenja, ter </w:t>
      </w:r>
    </w:p>
    <w:p w14:paraId="6C82AD68" w14:textId="77777777" w:rsidR="00BD0994" w:rsidRPr="00E9128C" w:rsidRDefault="00BD0994" w:rsidP="00E9128C">
      <w:pPr>
        <w:jc w:val="both"/>
      </w:pPr>
      <w:r w:rsidRPr="00E9128C">
        <w:t>-</w:t>
      </w:r>
      <w:r w:rsidRPr="00E9128C">
        <w:tab/>
        <w:t xml:space="preserve">prilagoditev življenjskim stroškom, saj bo dodatno plačilo zagotavljalo nekaj olajšanja pred inflacijo in naraščajočimi življenjskimi stroški, kar bo upokojencem prispevalo k ohranjanju življenjskega standarda. </w:t>
      </w:r>
    </w:p>
    <w:p w14:paraId="4138EA15" w14:textId="6C43573B" w:rsidR="00BD0994" w:rsidRPr="00E9128C" w:rsidRDefault="00BD0994" w:rsidP="00E9128C">
      <w:pPr>
        <w:jc w:val="both"/>
      </w:pPr>
      <w:r w:rsidRPr="00E9128C">
        <w:t>Na posledice uvedbe 13. pokojnine se morajo pripraviti tudi delodajalci. Potrebne bodo prilagoditve plačevanja prispevkov, sistemov plač, pričakovanj zaposlenih in načrtovanja delovne sile.</w:t>
      </w:r>
    </w:p>
    <w:p w14:paraId="2BD67BF6" w14:textId="487EADA8" w:rsidR="00BD0994" w:rsidRPr="00E9128C" w:rsidRDefault="00BD0994" w:rsidP="00BD0994">
      <w:pPr>
        <w:ind w:firstLine="360"/>
        <w:rPr>
          <w:b/>
          <w:bCs/>
        </w:rPr>
      </w:pPr>
      <w:r w:rsidRPr="00E9128C">
        <w:rPr>
          <w:b/>
          <w:bCs/>
        </w:rPr>
        <w:t>5.2.2.2 Slovaška</w:t>
      </w:r>
    </w:p>
    <w:p w14:paraId="0E22367B" w14:textId="77777777" w:rsidR="00BD0994" w:rsidRPr="00E9128C" w:rsidRDefault="00BD0994" w:rsidP="00BD0994">
      <w:pPr>
        <w:jc w:val="both"/>
      </w:pPr>
      <w:r w:rsidRPr="00E9128C">
        <w:t>Na Slovaškem se od aprila 2024 na podlagi zakona 13. pokojnina izplača enkrat letno v mesecu decembru in je enaka povprečni mesečni nacionalni starostni pokojnini za preteklo leto. Višina 13. pokojnine znaša najmanj 300 evrov in se sorazmerno zniža, če prejemnik pokojnine ni pridobil vsaj 10 let pokojninskega zavarovanja na Slovaškem pred letom 1993.</w:t>
      </w:r>
    </w:p>
    <w:p w14:paraId="3427BE09" w14:textId="5190C4A7" w:rsidR="00BB049E" w:rsidRPr="00E9128C" w:rsidRDefault="00BD0994" w:rsidP="00BD0994">
      <w:pPr>
        <w:jc w:val="both"/>
      </w:pPr>
      <w:r w:rsidRPr="00E9128C">
        <w:t>Prejemnikom starostne pokojnine bo decembra 2025 tako izplačana 13. pokojnina v višini 667,30 evrov, kar je za 61 EUR več kot lani. Podobno se bodo povečale 13. pokojnine pri drugih kategorijah uživalcev pokojnin. Predčasni upokojenci bodo prejeli 667,30 evra, invalidski upokojenci s stopnjo invalidnosti nad 70% bodo prejeli 548,50 evrov. Pri invalidnosti do 70% bo znesek 13. pokojnine znašal 301,40 evra. Vdovske pokojnine bodo znašale od 363,20 do 300,10 evrov.</w:t>
      </w:r>
    </w:p>
    <w:p w14:paraId="7233D6C6" w14:textId="0BF81BBF" w:rsidR="00BD0994" w:rsidRPr="00E9128C" w:rsidRDefault="00BD0994" w:rsidP="00BD0994">
      <w:pPr>
        <w:ind w:firstLine="360"/>
        <w:rPr>
          <w:b/>
          <w:bCs/>
        </w:rPr>
      </w:pPr>
      <w:r w:rsidRPr="00E9128C">
        <w:rPr>
          <w:b/>
          <w:bCs/>
        </w:rPr>
        <w:lastRenderedPageBreak/>
        <w:t>5.2.2.3 Italija</w:t>
      </w:r>
    </w:p>
    <w:p w14:paraId="2541093E" w14:textId="4E02B91D" w:rsidR="00BD0994" w:rsidRPr="00E9128C" w:rsidRDefault="00BD0994" w:rsidP="00BD0994">
      <w:pPr>
        <w:jc w:val="both"/>
      </w:pPr>
      <w:r w:rsidRPr="00E9128C">
        <w:t>Pokojnine se izplačajo mesečno v trinajstih obrokih, pri čemer 13. pokojnina predstavlja t.i. božični dodatek. Poletni dodatek, tako imenovani »Quattordicesima«, se dodeli kot ukrep dohodkovne podpore. Ta enkratni dodatek k pokojnini se izplača v mesecu juliju upokojencem, starejšim od 64 let, kot »poletni bonus«, katerega višina se lahko razlikuje glede na število let prispevkov in višino dohodka.</w:t>
      </w:r>
    </w:p>
    <w:p w14:paraId="5764F6B8" w14:textId="3CAC34C4" w:rsidR="00BD0994" w:rsidRPr="00E9128C" w:rsidRDefault="00BD0994" w:rsidP="00BD0994">
      <w:pPr>
        <w:ind w:firstLine="360"/>
        <w:rPr>
          <w:b/>
          <w:bCs/>
        </w:rPr>
      </w:pPr>
      <w:r w:rsidRPr="00E9128C">
        <w:rPr>
          <w:b/>
          <w:bCs/>
        </w:rPr>
        <w:t>5.2.2.4 Avstrija</w:t>
      </w:r>
    </w:p>
    <w:p w14:paraId="61A63C2D" w14:textId="214119FB" w:rsidR="00BD0994" w:rsidRPr="00E9128C" w:rsidRDefault="00BD0994" w:rsidP="00BB049E">
      <w:pPr>
        <w:jc w:val="both"/>
      </w:pPr>
      <w:r w:rsidRPr="00E9128C">
        <w:t>V Avstriji upokojenci vsako leto prejmejo dodatno 13. in 14. pokojnino. Izplačuje se jim namreč t.i. »posebno izplačilo pokojnine«, ki se v višini dodatne polne pokojnine izplača vsako leto konec aprila in konec oktobra. Navedeni prejemki so obdavčeni v skladu z davčnimi stopnjami, določenimi v zakonu o dohodnini.</w:t>
      </w:r>
    </w:p>
    <w:p w14:paraId="2273DD66" w14:textId="77777777" w:rsidR="00685F37" w:rsidRPr="00E9128C" w:rsidRDefault="00685F37" w:rsidP="00BB049E">
      <w:pPr>
        <w:jc w:val="both"/>
      </w:pPr>
    </w:p>
    <w:p w14:paraId="1C0B3F9A" w14:textId="048A12ED" w:rsidR="00685F37" w:rsidRPr="00E9128C" w:rsidRDefault="00685F37" w:rsidP="00236DF6">
      <w:pPr>
        <w:jc w:val="both"/>
        <w:rPr>
          <w:b/>
          <w:bCs/>
        </w:rPr>
      </w:pPr>
      <w:r w:rsidRPr="00E9128C">
        <w:rPr>
          <w:b/>
          <w:bCs/>
        </w:rPr>
        <w:t>5.2.3 Ugotavljanje davčne osnove od dohodkov iz dejavnosti z upoštevanjem normiranih odhodkov</w:t>
      </w:r>
    </w:p>
    <w:p w14:paraId="4AE3E0DD" w14:textId="280DB156" w:rsidR="00685F37" w:rsidRPr="00E9128C" w:rsidRDefault="00685F37" w:rsidP="00685F37">
      <w:pPr>
        <w:ind w:firstLine="360"/>
        <w:rPr>
          <w:b/>
          <w:bCs/>
        </w:rPr>
      </w:pPr>
      <w:r w:rsidRPr="00E9128C">
        <w:rPr>
          <w:b/>
          <w:bCs/>
        </w:rPr>
        <w:t>5.2.3.1 Avstrija</w:t>
      </w:r>
    </w:p>
    <w:p w14:paraId="7C87F30E" w14:textId="77777777" w:rsidR="00685F37" w:rsidRPr="00E9128C" w:rsidRDefault="00685F37" w:rsidP="00E9128C">
      <w:pPr>
        <w:spacing w:after="0" w:line="260" w:lineRule="atLeast"/>
        <w:jc w:val="both"/>
      </w:pPr>
      <w:r w:rsidRPr="00E9128C">
        <w:t>Avstrija ima možnost uveljavljanja normiranih odhodkov.</w:t>
      </w:r>
    </w:p>
    <w:p w14:paraId="06846A42" w14:textId="77777777" w:rsidR="00685F37" w:rsidRPr="00E9128C" w:rsidRDefault="00685F37" w:rsidP="00E9128C">
      <w:pPr>
        <w:spacing w:after="0" w:line="260" w:lineRule="atLeast"/>
        <w:jc w:val="both"/>
      </w:pPr>
    </w:p>
    <w:p w14:paraId="20ED175B" w14:textId="77777777" w:rsidR="00685F37" w:rsidRPr="00E9128C" w:rsidRDefault="00685F37" w:rsidP="00E9128C">
      <w:pPr>
        <w:spacing w:after="0" w:line="260" w:lineRule="atLeast"/>
        <w:jc w:val="both"/>
      </w:pPr>
      <w:r w:rsidRPr="00E9128C">
        <w:t>Dohodek iz dejavnosti vključuje dohodek iz kmetijske in gozdarske dejavnosti, dohodek iz poklicnih in drugih neodvisnih storitev ter dohodek iz trgovanja ali poslovanja.</w:t>
      </w:r>
    </w:p>
    <w:p w14:paraId="42A5CC6F" w14:textId="77777777" w:rsidR="00685F37" w:rsidRPr="00E9128C" w:rsidRDefault="00685F37" w:rsidP="00E9128C">
      <w:pPr>
        <w:spacing w:after="0" w:line="260" w:lineRule="atLeast"/>
        <w:jc w:val="both"/>
      </w:pPr>
    </w:p>
    <w:p w14:paraId="6DA09803" w14:textId="77777777" w:rsidR="00685F37" w:rsidRPr="00E9128C" w:rsidRDefault="00685F37" w:rsidP="00E9128C">
      <w:pPr>
        <w:spacing w:after="0" w:line="260" w:lineRule="atLeast"/>
        <w:jc w:val="both"/>
      </w:pPr>
      <w:r w:rsidRPr="00E9128C">
        <w:t>Dohodek iz dejavnosti se lahko izračunava po dveh metodah – po metodi plačane realizacije ali po metodi obračuna ali nastanka poslovnega dogodka. Na splošno se dohodek iz dejavnosti izračunava za obdobje koledarskega leta, davčni zavezanec pa lahko zaprosi za spremembo davčnega obdobja, ki je različno od koledarskega leta.</w:t>
      </w:r>
    </w:p>
    <w:p w14:paraId="44F49530" w14:textId="77777777" w:rsidR="00685F37" w:rsidRPr="00E9128C" w:rsidRDefault="00685F37" w:rsidP="00E9128C">
      <w:pPr>
        <w:spacing w:after="0" w:line="260" w:lineRule="atLeast"/>
        <w:jc w:val="both"/>
      </w:pPr>
    </w:p>
    <w:p w14:paraId="2FB622B5" w14:textId="760C3411" w:rsidR="00685F37" w:rsidRPr="00E9128C" w:rsidRDefault="00685F37" w:rsidP="00CF2340">
      <w:pPr>
        <w:spacing w:after="0" w:line="260" w:lineRule="atLeast"/>
        <w:jc w:val="both"/>
      </w:pPr>
      <w:r w:rsidRPr="00E9128C">
        <w:t>Davčni zavezanci se lahko odločijo za uporabo poenostavljene metode plačane realizacije, če izpolnjujejo pogoje. Davčni zavezanci, ki dosegajo dohodek iz neodvisnih storitev ali dohodek iz trgovanja ali poslovanja, jim ni treba voditi poslovnih knjig in jih ne vodijo prostovoljno ter katerih prihodki preteklega leta ne presegajo 220.000 EUR, lahko ugotavljajo svoje dohodke (davčno osnovo) na podlagi normiranih odhodkov. Normirani odhodki lahko znašajo do 12 % prihodka (maksimalno 26.400 EUR; od leta 2026 dalje 63.000 EUR) oziroma 6 % prihodka (maksimalno 13.200 EUR; od leta 2026 dalje 25.200 EUR) za določene zavezance (npr. avtorje, učitelje, znanstveno osebje in svetovalci). Poleg normiranih odhodkov lahko upoštevajo tudi dejanske odhodke za stroške prodaje, surovin, polproizvodov, plač (s stroški prispevkov za socialno varnost).</w:t>
      </w:r>
    </w:p>
    <w:p w14:paraId="7999F835" w14:textId="77777777" w:rsidR="00685F37" w:rsidRPr="00E9128C" w:rsidRDefault="00685F37" w:rsidP="00CF2340">
      <w:pPr>
        <w:spacing w:after="0" w:line="260" w:lineRule="atLeast"/>
        <w:jc w:val="both"/>
      </w:pPr>
    </w:p>
    <w:p w14:paraId="717C34D2" w14:textId="7C7FAC46" w:rsidR="00685F37" w:rsidRPr="00E9128C" w:rsidRDefault="00685F37" w:rsidP="00685F37">
      <w:pPr>
        <w:ind w:firstLine="360"/>
        <w:rPr>
          <w:b/>
          <w:bCs/>
        </w:rPr>
      </w:pPr>
      <w:r w:rsidRPr="00E9128C">
        <w:rPr>
          <w:b/>
          <w:bCs/>
        </w:rPr>
        <w:t>5.2.3.2 Belgija</w:t>
      </w:r>
    </w:p>
    <w:p w14:paraId="0B9ACED3" w14:textId="77777777" w:rsidR="00685F37" w:rsidRPr="00E9128C" w:rsidRDefault="00685F37" w:rsidP="00685F37">
      <w:pPr>
        <w:spacing w:after="0" w:line="260" w:lineRule="atLeast"/>
        <w:contextualSpacing/>
        <w:jc w:val="both"/>
        <w:rPr>
          <w:rFonts w:eastAsia="Times New Roman" w:cs="Arial"/>
          <w:szCs w:val="20"/>
          <w:lang w:eastAsia="sl-SI"/>
        </w:rPr>
      </w:pPr>
      <w:r w:rsidRPr="00E9128C">
        <w:rPr>
          <w:rFonts w:eastAsia="Times New Roman" w:cs="Arial"/>
          <w:szCs w:val="20"/>
          <w:lang w:eastAsia="sl-SI"/>
        </w:rPr>
        <w:t>Belgija ima možnost uveljavljanja normiranih odhodkov za poklicne dejavnosti.</w:t>
      </w:r>
    </w:p>
    <w:p w14:paraId="4CFD3936" w14:textId="77777777" w:rsidR="00685F37" w:rsidRPr="00E9128C" w:rsidRDefault="00685F37" w:rsidP="00685F37">
      <w:pPr>
        <w:spacing w:after="0" w:line="260" w:lineRule="atLeast"/>
        <w:contextualSpacing/>
        <w:jc w:val="both"/>
        <w:rPr>
          <w:rFonts w:eastAsia="Times New Roman" w:cs="Arial"/>
          <w:szCs w:val="20"/>
          <w:lang w:eastAsia="sl-SI"/>
        </w:rPr>
      </w:pPr>
    </w:p>
    <w:p w14:paraId="2988AE2D" w14:textId="77777777" w:rsidR="00685F37" w:rsidRPr="00E9128C" w:rsidRDefault="00685F37" w:rsidP="00685F37">
      <w:pPr>
        <w:spacing w:after="0" w:line="260" w:lineRule="atLeast"/>
        <w:contextualSpacing/>
        <w:jc w:val="both"/>
        <w:rPr>
          <w:rFonts w:cs="Arial"/>
          <w:szCs w:val="20"/>
        </w:rPr>
      </w:pPr>
      <w:r w:rsidRPr="00E9128C">
        <w:rPr>
          <w:rFonts w:cs="Arial"/>
          <w:szCs w:val="20"/>
        </w:rPr>
        <w:t>Stroški, povezani s pridobivanjem dohodka iz dejavnosti in iz poklicnih dejavnosti, na splošno zmanjšujejo davčno osnovo. Zavezanci, ki opravljajo poklicno dejavnost in vodijo poslovne knjige, lahko uveljavljajo normirane odhodke v višini 30 %, vendar največ do 5.750 EUR.</w:t>
      </w:r>
    </w:p>
    <w:p w14:paraId="7B8EBADA" w14:textId="77777777" w:rsidR="00685F37" w:rsidRPr="00E9128C" w:rsidRDefault="00685F37" w:rsidP="00685F37">
      <w:pPr>
        <w:autoSpaceDE w:val="0"/>
        <w:autoSpaceDN w:val="0"/>
        <w:adjustRightInd w:val="0"/>
        <w:spacing w:after="0" w:line="260" w:lineRule="atLeast"/>
        <w:jc w:val="both"/>
        <w:rPr>
          <w:rFonts w:cs="Arial"/>
          <w:szCs w:val="20"/>
        </w:rPr>
      </w:pPr>
    </w:p>
    <w:p w14:paraId="2DA33A7A" w14:textId="77777777" w:rsidR="00685F37" w:rsidRPr="00E9128C" w:rsidRDefault="00685F37" w:rsidP="00685F37">
      <w:pPr>
        <w:spacing w:after="0" w:line="260" w:lineRule="atLeast"/>
        <w:jc w:val="both"/>
        <w:rPr>
          <w:rFonts w:cs="Arial"/>
          <w:szCs w:val="20"/>
        </w:rPr>
      </w:pPr>
      <w:r w:rsidRPr="00E9128C">
        <w:rPr>
          <w:rFonts w:cs="Arial"/>
          <w:szCs w:val="20"/>
        </w:rPr>
        <w:t>Za druge zavezance, ki opravljajo poklicno dejavnost (ne vodijo poslovnih knjig), se normirani odhodki za davčno leto izračunajo, kot sledi:</w:t>
      </w:r>
    </w:p>
    <w:p w14:paraId="6A0728C5" w14:textId="77777777" w:rsidR="00685F37" w:rsidRPr="00E9128C" w:rsidRDefault="00685F37" w:rsidP="00685F37">
      <w:pPr>
        <w:spacing w:after="0" w:line="260" w:lineRule="atLeast"/>
        <w:jc w:val="both"/>
        <w:rPr>
          <w:rFonts w:cs="Arial"/>
          <w:szCs w:val="20"/>
        </w:rPr>
      </w:pPr>
    </w:p>
    <w:tbl>
      <w:tblPr>
        <w:tblStyle w:val="Tabelamrea"/>
        <w:tblW w:w="0" w:type="auto"/>
        <w:jc w:val="center"/>
        <w:tblLook w:val="04A0" w:firstRow="1" w:lastRow="0" w:firstColumn="1" w:lastColumn="0" w:noHBand="0" w:noVBand="1"/>
      </w:tblPr>
      <w:tblGrid>
        <w:gridCol w:w="4708"/>
        <w:gridCol w:w="4354"/>
      </w:tblGrid>
      <w:tr w:rsidR="00E9128C" w:rsidRPr="00E9128C" w14:paraId="7D8CA994" w14:textId="77777777" w:rsidTr="00E7465F">
        <w:trPr>
          <w:jc w:val="center"/>
        </w:trPr>
        <w:tc>
          <w:tcPr>
            <w:tcW w:w="4897" w:type="dxa"/>
            <w:vAlign w:val="center"/>
          </w:tcPr>
          <w:p w14:paraId="2FB3EE3A"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Bruto letni prihodek</w:t>
            </w:r>
          </w:p>
        </w:tc>
        <w:tc>
          <w:tcPr>
            <w:tcW w:w="4547" w:type="dxa"/>
            <w:vAlign w:val="center"/>
          </w:tcPr>
          <w:p w14:paraId="24C6E6B0"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Delež normiranih odhodkov na presežek prihodkov</w:t>
            </w:r>
          </w:p>
        </w:tc>
      </w:tr>
      <w:tr w:rsidR="00E9128C" w:rsidRPr="00E9128C" w14:paraId="11E638A5" w14:textId="77777777" w:rsidTr="00E7465F">
        <w:trPr>
          <w:jc w:val="center"/>
        </w:trPr>
        <w:tc>
          <w:tcPr>
            <w:tcW w:w="4897" w:type="dxa"/>
          </w:tcPr>
          <w:p w14:paraId="18528316"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do 7.540 EUR</w:t>
            </w:r>
          </w:p>
        </w:tc>
        <w:tc>
          <w:tcPr>
            <w:tcW w:w="4547" w:type="dxa"/>
          </w:tcPr>
          <w:p w14:paraId="307BA142"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28,7 %</w:t>
            </w:r>
          </w:p>
        </w:tc>
      </w:tr>
      <w:tr w:rsidR="00E9128C" w:rsidRPr="00E9128C" w14:paraId="743D93CD" w14:textId="77777777" w:rsidTr="00E7465F">
        <w:trPr>
          <w:jc w:val="center"/>
        </w:trPr>
        <w:tc>
          <w:tcPr>
            <w:tcW w:w="4897" w:type="dxa"/>
          </w:tcPr>
          <w:p w14:paraId="4817D959"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 xml:space="preserve">od 7.541 EUR do 14.970 EUR </w:t>
            </w:r>
          </w:p>
        </w:tc>
        <w:tc>
          <w:tcPr>
            <w:tcW w:w="4547" w:type="dxa"/>
          </w:tcPr>
          <w:p w14:paraId="55FA0924"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10 %</w:t>
            </w:r>
          </w:p>
        </w:tc>
      </w:tr>
      <w:tr w:rsidR="00E9128C" w:rsidRPr="00E9128C" w14:paraId="245991FF" w14:textId="77777777" w:rsidTr="00E7465F">
        <w:trPr>
          <w:jc w:val="center"/>
        </w:trPr>
        <w:tc>
          <w:tcPr>
            <w:tcW w:w="4897" w:type="dxa"/>
          </w:tcPr>
          <w:p w14:paraId="795C049F"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lastRenderedPageBreak/>
              <w:t xml:space="preserve">od 14.971 EUR do 24.920 EUR </w:t>
            </w:r>
          </w:p>
        </w:tc>
        <w:tc>
          <w:tcPr>
            <w:tcW w:w="4547" w:type="dxa"/>
          </w:tcPr>
          <w:p w14:paraId="5A2A505B"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5 %</w:t>
            </w:r>
          </w:p>
        </w:tc>
      </w:tr>
      <w:tr w:rsidR="00E9128C" w:rsidRPr="00E9128C" w14:paraId="4BD7F9E1" w14:textId="77777777" w:rsidTr="00E7465F">
        <w:trPr>
          <w:jc w:val="center"/>
        </w:trPr>
        <w:tc>
          <w:tcPr>
            <w:tcW w:w="4897" w:type="dxa"/>
          </w:tcPr>
          <w:p w14:paraId="1B429C6F"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 xml:space="preserve">od 24.921 EUR do 85.103,83 EUR </w:t>
            </w:r>
          </w:p>
        </w:tc>
        <w:tc>
          <w:tcPr>
            <w:tcW w:w="4547" w:type="dxa"/>
          </w:tcPr>
          <w:p w14:paraId="65781C06"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3 %</w:t>
            </w:r>
          </w:p>
        </w:tc>
      </w:tr>
      <w:tr w:rsidR="00E9128C" w:rsidRPr="00E9128C" w14:paraId="280DB536" w14:textId="77777777" w:rsidTr="00E7465F">
        <w:trPr>
          <w:jc w:val="center"/>
        </w:trPr>
        <w:tc>
          <w:tcPr>
            <w:tcW w:w="4897" w:type="dxa"/>
          </w:tcPr>
          <w:p w14:paraId="379A1590"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 xml:space="preserve">nad 85.103,83 EUR </w:t>
            </w:r>
          </w:p>
        </w:tc>
        <w:tc>
          <w:tcPr>
            <w:tcW w:w="4547" w:type="dxa"/>
          </w:tcPr>
          <w:p w14:paraId="2D3A1393" w14:textId="77777777" w:rsidR="00685F37" w:rsidRPr="00E9128C" w:rsidRDefault="00685F37" w:rsidP="00E7465F">
            <w:pPr>
              <w:spacing w:line="260" w:lineRule="atLeast"/>
              <w:contextualSpacing/>
              <w:jc w:val="both"/>
              <w:rPr>
                <w:rFonts w:eastAsia="Times New Roman" w:cs="Arial"/>
              </w:rPr>
            </w:pPr>
            <w:r w:rsidRPr="00E9128C">
              <w:rPr>
                <w:rFonts w:eastAsia="Times New Roman" w:cs="Arial"/>
              </w:rPr>
              <w:t>0 %</w:t>
            </w:r>
          </w:p>
        </w:tc>
      </w:tr>
    </w:tbl>
    <w:p w14:paraId="30EDA50C" w14:textId="77777777" w:rsidR="00685F37" w:rsidRPr="00E9128C" w:rsidRDefault="00685F37" w:rsidP="00685F37">
      <w:pPr>
        <w:spacing w:after="0" w:line="260" w:lineRule="atLeast"/>
        <w:jc w:val="both"/>
        <w:rPr>
          <w:rFonts w:cs="Arial"/>
          <w:szCs w:val="20"/>
        </w:rPr>
      </w:pPr>
    </w:p>
    <w:p w14:paraId="27E17B54" w14:textId="77777777" w:rsidR="00685F37" w:rsidRPr="00E9128C" w:rsidRDefault="00685F37" w:rsidP="00685F37">
      <w:pPr>
        <w:spacing w:after="0" w:line="260" w:lineRule="atLeast"/>
        <w:contextualSpacing/>
        <w:jc w:val="both"/>
        <w:rPr>
          <w:rFonts w:eastAsia="Times New Roman" w:cs="Arial"/>
          <w:szCs w:val="20"/>
          <w:lang w:eastAsia="sl-SI"/>
        </w:rPr>
      </w:pPr>
      <w:r w:rsidRPr="00E9128C">
        <w:rPr>
          <w:rFonts w:eastAsia="Times New Roman" w:cs="Arial"/>
          <w:szCs w:val="20"/>
          <w:lang w:eastAsia="sl-SI"/>
        </w:rPr>
        <w:t>Najvišji normirani odhodek je 5.210 EUR.</w:t>
      </w:r>
    </w:p>
    <w:p w14:paraId="10450150" w14:textId="77777777" w:rsidR="00685F37" w:rsidRPr="00E9128C" w:rsidRDefault="00685F37" w:rsidP="00685F37">
      <w:pPr>
        <w:spacing w:after="0" w:line="260" w:lineRule="atLeast"/>
        <w:contextualSpacing/>
        <w:jc w:val="both"/>
        <w:rPr>
          <w:rFonts w:eastAsia="Times New Roman" w:cs="Arial"/>
          <w:szCs w:val="20"/>
          <w:lang w:eastAsia="sl-SI"/>
        </w:rPr>
      </w:pPr>
    </w:p>
    <w:p w14:paraId="42500B97" w14:textId="77777777" w:rsidR="00685F37" w:rsidRPr="00E9128C" w:rsidRDefault="00685F37" w:rsidP="00685F37">
      <w:pPr>
        <w:autoSpaceDE w:val="0"/>
        <w:autoSpaceDN w:val="0"/>
        <w:adjustRightInd w:val="0"/>
        <w:spacing w:after="0" w:line="260" w:lineRule="atLeast"/>
        <w:jc w:val="both"/>
        <w:rPr>
          <w:rFonts w:eastAsia="Times New Roman" w:cs="Arial"/>
          <w:szCs w:val="20"/>
          <w:lang w:eastAsia="sl-SI"/>
        </w:rPr>
      </w:pPr>
      <w:r w:rsidRPr="00E9128C">
        <w:rPr>
          <w:rFonts w:eastAsia="Times New Roman" w:cs="Arial"/>
          <w:szCs w:val="20"/>
          <w:lang w:eastAsia="sl-SI"/>
        </w:rPr>
        <w:t>Dejanski stroški, ki presegajo normirani znesek, se lahko odštejejo. Obstajajo omejitve pri nekaterih stroških, na primer za avtomobile in reprezentanco.</w:t>
      </w:r>
    </w:p>
    <w:p w14:paraId="1F7E2243" w14:textId="77777777" w:rsidR="00685F37" w:rsidRPr="00E9128C" w:rsidRDefault="00685F37" w:rsidP="00E9128C">
      <w:pPr>
        <w:spacing w:after="0" w:line="260" w:lineRule="atLeast"/>
        <w:jc w:val="both"/>
      </w:pPr>
    </w:p>
    <w:p w14:paraId="4E79724F" w14:textId="578F1AFA" w:rsidR="00685F37" w:rsidRPr="00E9128C" w:rsidRDefault="00685F37" w:rsidP="00685F37">
      <w:pPr>
        <w:ind w:firstLine="360"/>
        <w:rPr>
          <w:b/>
          <w:bCs/>
        </w:rPr>
      </w:pPr>
      <w:r w:rsidRPr="00E9128C">
        <w:rPr>
          <w:b/>
          <w:bCs/>
        </w:rPr>
        <w:t>5.2.3.3 Italija</w:t>
      </w:r>
    </w:p>
    <w:p w14:paraId="59463B3A" w14:textId="77777777" w:rsidR="00685F37" w:rsidRPr="00E9128C" w:rsidRDefault="00685F37" w:rsidP="00685F37">
      <w:pPr>
        <w:spacing w:after="0" w:line="260" w:lineRule="atLeast"/>
        <w:contextualSpacing/>
        <w:jc w:val="both"/>
        <w:rPr>
          <w:rFonts w:eastAsia="Times New Roman" w:cs="Arial"/>
          <w:szCs w:val="20"/>
          <w:lang w:eastAsia="sl-SI"/>
        </w:rPr>
      </w:pPr>
      <w:r w:rsidRPr="00E9128C">
        <w:rPr>
          <w:rFonts w:eastAsia="Times New Roman" w:cs="Arial"/>
          <w:szCs w:val="20"/>
          <w:lang w:eastAsia="sl-SI"/>
        </w:rPr>
        <w:t>Italija ima možnost uveljavljanja normiranih odhodkov.</w:t>
      </w:r>
    </w:p>
    <w:p w14:paraId="765AFEC7" w14:textId="77777777" w:rsidR="00685F37" w:rsidRPr="00E9128C" w:rsidRDefault="00685F37" w:rsidP="00685F37">
      <w:pPr>
        <w:spacing w:after="0" w:line="260" w:lineRule="atLeast"/>
        <w:contextualSpacing/>
        <w:jc w:val="both"/>
        <w:rPr>
          <w:rFonts w:eastAsia="Times New Roman" w:cs="Arial"/>
          <w:szCs w:val="20"/>
          <w:lang w:eastAsia="sl-SI"/>
        </w:rPr>
      </w:pPr>
    </w:p>
    <w:p w14:paraId="1BED08EA" w14:textId="77777777" w:rsidR="00685F37" w:rsidRPr="00E9128C" w:rsidRDefault="00685F37" w:rsidP="00685F37">
      <w:pPr>
        <w:spacing w:after="0" w:line="260" w:lineRule="atLeast"/>
        <w:contextualSpacing/>
        <w:jc w:val="both"/>
        <w:rPr>
          <w:rFonts w:eastAsia="Times New Roman" w:cs="Arial"/>
          <w:bCs/>
          <w:szCs w:val="20"/>
          <w:lang w:eastAsia="sl-SI"/>
        </w:rPr>
      </w:pPr>
      <w:r w:rsidRPr="00E9128C">
        <w:rPr>
          <w:rFonts w:eastAsia="Times New Roman" w:cs="Arial"/>
          <w:bCs/>
          <w:szCs w:val="20"/>
          <w:lang w:eastAsia="sl-SI"/>
        </w:rPr>
        <w:t>Dohodek iz dejavnosti se izračuna po pravilih za obračun dohodka za obdavčitev z davkom od dohodkov pravnih oseb, z nekaterimi prilagoditvami in je na splošno obdavčen po progresivnih davčnih stopnjah od 23 % do 43 %.</w:t>
      </w:r>
    </w:p>
    <w:p w14:paraId="6F7BACC8" w14:textId="77777777" w:rsidR="00685F37" w:rsidRPr="00E9128C" w:rsidRDefault="00685F37" w:rsidP="00685F37">
      <w:pPr>
        <w:spacing w:after="0" w:line="260" w:lineRule="atLeast"/>
        <w:contextualSpacing/>
        <w:jc w:val="both"/>
        <w:rPr>
          <w:rFonts w:eastAsia="Times New Roman" w:cs="Arial"/>
          <w:bCs/>
          <w:szCs w:val="20"/>
          <w:lang w:eastAsia="sl-SI"/>
        </w:rPr>
      </w:pPr>
    </w:p>
    <w:p w14:paraId="76A06233" w14:textId="77777777" w:rsidR="00685F37" w:rsidRPr="00E9128C" w:rsidRDefault="00685F37" w:rsidP="00685F37">
      <w:pPr>
        <w:spacing w:after="0" w:line="260" w:lineRule="atLeast"/>
        <w:contextualSpacing/>
        <w:jc w:val="both"/>
        <w:rPr>
          <w:rFonts w:eastAsia="Times New Roman" w:cs="Arial"/>
          <w:bCs/>
          <w:szCs w:val="20"/>
          <w:lang w:eastAsia="sl-SI"/>
        </w:rPr>
      </w:pPr>
      <w:r w:rsidRPr="00E9128C">
        <w:rPr>
          <w:rFonts w:eastAsia="Times New Roman" w:cs="Arial"/>
          <w:bCs/>
          <w:szCs w:val="20"/>
          <w:lang w:eastAsia="sl-SI"/>
        </w:rPr>
        <w:t>Vendar se lahko posamezniki, ki opravljajo poslovno dejavnost ali poklicno dejavnost, in umetniki odločijo za ugodnejšo davčno obravnavo, če v preteklem davčnem letu njihovi prihodki niso presegali 85.000 EUR in bruto stroški dela niso presegali 20.000 EUR. V tem primeru se obdavčljivi dohodek prilagodi s koeficientom, ki je odvisen od vrste dejavnosti, ki se opravlja. Tako ugotovljeni dohodek je predmet nadomestnega 15 % davka ali 5 % davka za prvih pet let dejavnosti. Posameznik tudi ni zavezanec za davek na dodano vrednost (v nadaljnjem besedilu: DDV), je oproščen nekaterih obveznosti glede skladnosti in lahko uveljavlja ugodnejši režim za plačilo prispevkov za socialno varnost.</w:t>
      </w:r>
    </w:p>
    <w:p w14:paraId="01E42DF3" w14:textId="77777777" w:rsidR="00685F37" w:rsidRPr="00E9128C" w:rsidRDefault="00685F37" w:rsidP="00685F37">
      <w:pPr>
        <w:spacing w:after="0" w:line="260" w:lineRule="atLeast"/>
        <w:contextualSpacing/>
        <w:jc w:val="both"/>
        <w:rPr>
          <w:rFonts w:eastAsia="Times New Roman" w:cs="Arial"/>
          <w:bCs/>
          <w:szCs w:val="20"/>
          <w:lang w:eastAsia="sl-SI"/>
        </w:rPr>
      </w:pPr>
    </w:p>
    <w:p w14:paraId="29C37AA7" w14:textId="77777777" w:rsidR="00685F37" w:rsidRPr="00E9128C" w:rsidRDefault="00685F37" w:rsidP="00685F37">
      <w:pPr>
        <w:spacing w:after="0" w:line="260" w:lineRule="atLeast"/>
        <w:contextualSpacing/>
        <w:jc w:val="both"/>
        <w:rPr>
          <w:rFonts w:eastAsia="Times New Roman" w:cs="Arial"/>
          <w:bCs/>
          <w:szCs w:val="20"/>
          <w:lang w:eastAsia="sl-SI"/>
        </w:rPr>
      </w:pPr>
      <w:r w:rsidRPr="00E9128C">
        <w:rPr>
          <w:rFonts w:eastAsia="Times New Roman" w:cs="Arial"/>
          <w:bCs/>
          <w:szCs w:val="20"/>
          <w:lang w:eastAsia="sl-SI"/>
        </w:rPr>
        <w:t>Ugodnejša davčna obravnava preneha takoj, ko prejeti prihodki v davčnem letu presežejo 100.000 EUR.</w:t>
      </w:r>
    </w:p>
    <w:p w14:paraId="7DDB874A" w14:textId="77777777" w:rsidR="00685F37" w:rsidRPr="00E9128C" w:rsidRDefault="00685F37" w:rsidP="00BB049E">
      <w:pPr>
        <w:jc w:val="both"/>
      </w:pPr>
    </w:p>
    <w:p w14:paraId="73B236B5" w14:textId="77777777" w:rsidR="00BB049E" w:rsidRPr="00E9128C" w:rsidRDefault="00BB049E" w:rsidP="00BB37FE">
      <w:pPr>
        <w:pStyle w:val="Odstavekseznama"/>
        <w:numPr>
          <w:ilvl w:val="0"/>
          <w:numId w:val="10"/>
        </w:numPr>
        <w:rPr>
          <w:b/>
          <w:bCs/>
        </w:rPr>
      </w:pPr>
      <w:r w:rsidRPr="00E9128C">
        <w:rPr>
          <w:b/>
          <w:bCs/>
        </w:rPr>
        <w:t>PRESOJA POSLEDIC, KI JIH BO IMEL SPREJEM ZAKONA</w:t>
      </w:r>
    </w:p>
    <w:tbl>
      <w:tblPr>
        <w:tblW w:w="0" w:type="auto"/>
        <w:tblLook w:val="04A0" w:firstRow="1" w:lastRow="0" w:firstColumn="1" w:lastColumn="0" w:noHBand="0" w:noVBand="1"/>
      </w:tblPr>
      <w:tblGrid>
        <w:gridCol w:w="9072"/>
      </w:tblGrid>
      <w:tr w:rsidR="00E9128C" w:rsidRPr="00E9128C" w14:paraId="2003D382" w14:textId="77777777" w:rsidTr="00B33072">
        <w:tc>
          <w:tcPr>
            <w:tcW w:w="9072" w:type="dxa"/>
          </w:tcPr>
          <w:p w14:paraId="16E9BCFC" w14:textId="53DA50F5" w:rsidR="00FA7CDC" w:rsidRPr="00E9128C" w:rsidRDefault="00BB049E" w:rsidP="00864572">
            <w:pPr>
              <w:pStyle w:val="Odsek"/>
              <w:numPr>
                <w:ilvl w:val="0"/>
                <w:numId w:val="0"/>
              </w:numPr>
              <w:spacing w:before="40" w:after="40" w:line="240" w:lineRule="auto"/>
              <w:jc w:val="left"/>
              <w:rPr>
                <w:sz w:val="20"/>
                <w:szCs w:val="20"/>
              </w:rPr>
            </w:pPr>
            <w:r w:rsidRPr="00E9128C">
              <w:rPr>
                <w:sz w:val="20"/>
                <w:szCs w:val="20"/>
              </w:rPr>
              <w:t xml:space="preserve">6.1 Presoja administrativnih posledic </w:t>
            </w:r>
          </w:p>
        </w:tc>
      </w:tr>
      <w:tr w:rsidR="00E9128C" w:rsidRPr="00E9128C" w14:paraId="23C11A88" w14:textId="77777777" w:rsidTr="00B33072">
        <w:tc>
          <w:tcPr>
            <w:tcW w:w="9072" w:type="dxa"/>
          </w:tcPr>
          <w:p w14:paraId="5A12E9B5" w14:textId="77777777" w:rsidR="00685F37" w:rsidRPr="00E9128C" w:rsidRDefault="00685F37" w:rsidP="00685F37">
            <w:pPr>
              <w:suppressAutoHyphens/>
              <w:overflowPunct w:val="0"/>
              <w:autoSpaceDE w:val="0"/>
              <w:autoSpaceDN w:val="0"/>
              <w:adjustRightInd w:val="0"/>
              <w:spacing w:after="0" w:line="260" w:lineRule="atLeast"/>
              <w:textAlignment w:val="baseline"/>
              <w:outlineLvl w:val="3"/>
              <w:rPr>
                <w:rFonts w:eastAsia="Times New Roman" w:cs="Arial"/>
                <w:szCs w:val="20"/>
                <w:lang w:eastAsia="sl-SI"/>
              </w:rPr>
            </w:pPr>
            <w:r w:rsidRPr="00E9128C">
              <w:rPr>
                <w:rFonts w:eastAsia="Times New Roman" w:cs="Arial"/>
                <w:b/>
                <w:szCs w:val="20"/>
                <w:lang w:eastAsia="sl-SI"/>
              </w:rPr>
              <w:t>a) v postopkih oziroma poslovanju javne uprave ali pravosodnih organov:</w:t>
            </w:r>
          </w:p>
          <w:p w14:paraId="229CB12E" w14:textId="77777777" w:rsidR="00685F37" w:rsidRPr="00E9128C" w:rsidRDefault="00685F37" w:rsidP="00685F37">
            <w:pPr>
              <w:suppressAutoHyphens/>
              <w:overflowPunct w:val="0"/>
              <w:autoSpaceDE w:val="0"/>
              <w:autoSpaceDN w:val="0"/>
              <w:adjustRightInd w:val="0"/>
              <w:spacing w:after="0" w:line="260" w:lineRule="atLeast"/>
              <w:contextualSpacing/>
              <w:jc w:val="both"/>
              <w:textAlignment w:val="baseline"/>
              <w:outlineLvl w:val="3"/>
              <w:rPr>
                <w:rFonts w:eastAsia="Times New Roman" w:cs="Arial"/>
                <w:lang w:eastAsia="sl-SI"/>
              </w:rPr>
            </w:pPr>
          </w:p>
          <w:p w14:paraId="7045F5D1" w14:textId="77777777" w:rsidR="00685F37" w:rsidRPr="00E9128C" w:rsidRDefault="00685F37" w:rsidP="00685F37">
            <w:pPr>
              <w:overflowPunct w:val="0"/>
              <w:autoSpaceDE w:val="0"/>
              <w:autoSpaceDN w:val="0"/>
              <w:adjustRightInd w:val="0"/>
              <w:spacing w:before="40" w:after="40" w:line="276" w:lineRule="auto"/>
              <w:jc w:val="both"/>
              <w:textAlignment w:val="baseline"/>
              <w:rPr>
                <w:rFonts w:eastAsia="Times New Roman" w:cs="Arial"/>
                <w:szCs w:val="20"/>
                <w:lang w:eastAsia="sl-SI"/>
              </w:rPr>
            </w:pPr>
            <w:r w:rsidRPr="00E9128C">
              <w:rPr>
                <w:rFonts w:eastAsia="Times New Roman" w:cs="Arial"/>
                <w:szCs w:val="20"/>
                <w:lang w:eastAsia="sl-SI"/>
              </w:rPr>
              <w:t>Predlagane spremembe v delu, ki se nanašajo na t. i. sistem normiranih odhodkov zahtevajo spremembo podzakonskega akta, navedenega v poglavju 2.5 Podzakonski akti. Poleg tega bo morala Finančna uprava Republike Slovenije prilagoditi programsko podporo ter navodila in pojasnila davčnim zavezancem na svojih spletnih straneh.</w:t>
            </w:r>
          </w:p>
          <w:p w14:paraId="7F199A3D" w14:textId="77777777" w:rsidR="00685F37" w:rsidRPr="00E9128C" w:rsidRDefault="00685F37" w:rsidP="00FB6591">
            <w:pPr>
              <w:overflowPunct w:val="0"/>
              <w:autoSpaceDE w:val="0"/>
              <w:autoSpaceDN w:val="0"/>
              <w:adjustRightInd w:val="0"/>
              <w:spacing w:before="40" w:after="40" w:line="276" w:lineRule="auto"/>
              <w:jc w:val="both"/>
              <w:textAlignment w:val="baseline"/>
            </w:pPr>
          </w:p>
          <w:p w14:paraId="23144D5F" w14:textId="1CD8014D" w:rsidR="00BB049E" w:rsidRPr="00E9128C" w:rsidRDefault="00685F37" w:rsidP="00FB6591">
            <w:pPr>
              <w:overflowPunct w:val="0"/>
              <w:autoSpaceDE w:val="0"/>
              <w:autoSpaceDN w:val="0"/>
              <w:adjustRightInd w:val="0"/>
              <w:spacing w:before="40" w:after="40" w:line="276" w:lineRule="auto"/>
              <w:jc w:val="both"/>
              <w:textAlignment w:val="baseline"/>
            </w:pPr>
            <w:r w:rsidRPr="00E9128C">
              <w:t>V drugih delih z</w:t>
            </w:r>
            <w:r w:rsidR="00BB049E" w:rsidRPr="00E9128C">
              <w:t xml:space="preserve">akon </w:t>
            </w:r>
            <w:r w:rsidR="00D8770B" w:rsidRPr="00E9128C">
              <w:t xml:space="preserve">ne </w:t>
            </w:r>
            <w:r w:rsidR="00BB049E" w:rsidRPr="00E9128C">
              <w:t xml:space="preserve">bo </w:t>
            </w:r>
            <w:r w:rsidR="00D8770B" w:rsidRPr="00E9128C">
              <w:t>povzročil administrativnih posledic.</w:t>
            </w:r>
          </w:p>
          <w:p w14:paraId="1D9111ED" w14:textId="77777777" w:rsidR="00685F37" w:rsidRPr="00E9128C" w:rsidRDefault="00685F37" w:rsidP="00FB6591">
            <w:pPr>
              <w:overflowPunct w:val="0"/>
              <w:autoSpaceDE w:val="0"/>
              <w:autoSpaceDN w:val="0"/>
              <w:adjustRightInd w:val="0"/>
              <w:spacing w:before="40" w:after="40" w:line="276" w:lineRule="auto"/>
              <w:jc w:val="both"/>
              <w:textAlignment w:val="baseline"/>
              <w:rPr>
                <w:szCs w:val="20"/>
              </w:rPr>
            </w:pPr>
          </w:p>
          <w:p w14:paraId="79212C8F" w14:textId="77777777" w:rsidR="00685F37" w:rsidRPr="00E9128C" w:rsidRDefault="00685F37" w:rsidP="00685F37">
            <w:pPr>
              <w:overflowPunct w:val="0"/>
              <w:autoSpaceDE w:val="0"/>
              <w:autoSpaceDN w:val="0"/>
              <w:adjustRightInd w:val="0"/>
              <w:spacing w:after="0" w:line="260" w:lineRule="atLeast"/>
              <w:jc w:val="both"/>
              <w:textAlignment w:val="baseline"/>
              <w:rPr>
                <w:szCs w:val="20"/>
                <w:lang w:eastAsia="sl-SI"/>
              </w:rPr>
            </w:pPr>
            <w:r w:rsidRPr="00E9128C">
              <w:rPr>
                <w:rFonts w:cs="Arial"/>
                <w:b/>
                <w:szCs w:val="20"/>
                <w:lang w:eastAsia="sl-SI"/>
              </w:rPr>
              <w:t>b) pri obveznostih strank do javne uprave ali pravosodnih organov:</w:t>
            </w:r>
          </w:p>
          <w:p w14:paraId="08B767C2" w14:textId="77777777" w:rsidR="00685F37" w:rsidRPr="00E9128C" w:rsidRDefault="00685F37" w:rsidP="00685F37">
            <w:pPr>
              <w:overflowPunct w:val="0"/>
              <w:autoSpaceDE w:val="0"/>
              <w:autoSpaceDN w:val="0"/>
              <w:adjustRightInd w:val="0"/>
              <w:spacing w:after="0" w:line="260" w:lineRule="atLeast"/>
              <w:jc w:val="both"/>
              <w:textAlignment w:val="baseline"/>
              <w:rPr>
                <w:rFonts w:eastAsia="Times New Roman" w:cs="Arial"/>
                <w:szCs w:val="20"/>
                <w:lang w:eastAsia="sl-SI"/>
              </w:rPr>
            </w:pPr>
          </w:p>
          <w:p w14:paraId="4DD5F266" w14:textId="7BFDD4D1" w:rsidR="00685F37" w:rsidRPr="00E9128C" w:rsidRDefault="00685F37" w:rsidP="00864572">
            <w:pPr>
              <w:overflowPunct w:val="0"/>
              <w:autoSpaceDE w:val="0"/>
              <w:autoSpaceDN w:val="0"/>
              <w:adjustRightInd w:val="0"/>
              <w:spacing w:after="0" w:line="260" w:lineRule="atLeast"/>
              <w:contextualSpacing/>
              <w:jc w:val="both"/>
              <w:textAlignment w:val="baseline"/>
              <w:rPr>
                <w:rFonts w:cs="Arial"/>
                <w:szCs w:val="20"/>
              </w:rPr>
            </w:pPr>
            <w:r w:rsidRPr="00E9128C">
              <w:rPr>
                <w:rFonts w:cs="Arial"/>
                <w:szCs w:val="20"/>
                <w:lang w:eastAsia="sl-SI"/>
              </w:rPr>
              <w:t>Predlagane spremembe ne prinašajo dodatnih administrativnih obremenitev za zavezance.</w:t>
            </w:r>
          </w:p>
        </w:tc>
      </w:tr>
      <w:tr w:rsidR="00E9128C" w:rsidRPr="00E9128C" w14:paraId="6CD705C6" w14:textId="77777777" w:rsidTr="00B33072">
        <w:tc>
          <w:tcPr>
            <w:tcW w:w="9072" w:type="dxa"/>
          </w:tcPr>
          <w:p w14:paraId="2AF5E81E" w14:textId="77777777" w:rsidR="00D8770B" w:rsidRPr="00E9128C" w:rsidRDefault="00D8770B" w:rsidP="00FB6591">
            <w:pPr>
              <w:pStyle w:val="Odsek"/>
              <w:numPr>
                <w:ilvl w:val="0"/>
                <w:numId w:val="0"/>
              </w:numPr>
              <w:spacing w:before="40" w:after="40" w:line="240" w:lineRule="auto"/>
              <w:jc w:val="left"/>
              <w:rPr>
                <w:sz w:val="20"/>
                <w:szCs w:val="20"/>
              </w:rPr>
            </w:pPr>
          </w:p>
          <w:p w14:paraId="4223A753" w14:textId="59E1152B" w:rsidR="00BB049E" w:rsidRPr="00E9128C" w:rsidRDefault="00BB049E" w:rsidP="00FB6591">
            <w:pPr>
              <w:pStyle w:val="Odsek"/>
              <w:numPr>
                <w:ilvl w:val="0"/>
                <w:numId w:val="0"/>
              </w:numPr>
              <w:spacing w:before="40" w:after="40" w:line="240" w:lineRule="auto"/>
              <w:jc w:val="left"/>
              <w:rPr>
                <w:sz w:val="20"/>
                <w:szCs w:val="20"/>
              </w:rPr>
            </w:pPr>
            <w:r w:rsidRPr="00E9128C">
              <w:rPr>
                <w:sz w:val="20"/>
                <w:szCs w:val="20"/>
              </w:rPr>
              <w:t>6.2 Presoja posledic za okolje, vključno s prostorskimi in varstvenimi vidiki, in sicer za:</w:t>
            </w:r>
          </w:p>
        </w:tc>
      </w:tr>
      <w:tr w:rsidR="00E9128C" w:rsidRPr="00E9128C" w14:paraId="1DEC61B9" w14:textId="77777777" w:rsidTr="00B33072">
        <w:tc>
          <w:tcPr>
            <w:tcW w:w="9072" w:type="dxa"/>
          </w:tcPr>
          <w:p w14:paraId="100568FB" w14:textId="77777777" w:rsidR="00BB049E" w:rsidRPr="00E9128C" w:rsidRDefault="00BB049E" w:rsidP="00FB6591">
            <w:pPr>
              <w:pStyle w:val="Alineazatoko"/>
              <w:spacing w:before="40" w:after="40" w:line="240" w:lineRule="auto"/>
              <w:ind w:left="0" w:firstLine="0"/>
              <w:rPr>
                <w:sz w:val="20"/>
                <w:szCs w:val="20"/>
              </w:rPr>
            </w:pPr>
            <w:r w:rsidRPr="00E9128C">
              <w:rPr>
                <w:sz w:val="20"/>
                <w:szCs w:val="20"/>
              </w:rPr>
              <w:t xml:space="preserve"> Zakon ne bo povzročil posledic za okolje.</w:t>
            </w:r>
          </w:p>
          <w:p w14:paraId="3A9915F6" w14:textId="77777777" w:rsidR="00BB049E" w:rsidRPr="00E9128C" w:rsidRDefault="00BB049E" w:rsidP="00FB6591">
            <w:pPr>
              <w:pStyle w:val="Alineazatoko"/>
              <w:tabs>
                <w:tab w:val="clear" w:pos="720"/>
              </w:tabs>
              <w:spacing w:before="40" w:after="40" w:line="240" w:lineRule="auto"/>
              <w:rPr>
                <w:sz w:val="20"/>
                <w:szCs w:val="20"/>
              </w:rPr>
            </w:pPr>
          </w:p>
        </w:tc>
      </w:tr>
      <w:tr w:rsidR="00E9128C" w:rsidRPr="00E9128C" w14:paraId="5EFE779A" w14:textId="77777777" w:rsidTr="00B33072">
        <w:tc>
          <w:tcPr>
            <w:tcW w:w="9072" w:type="dxa"/>
          </w:tcPr>
          <w:p w14:paraId="106DCA81" w14:textId="77777777" w:rsidR="00BB049E" w:rsidRPr="00E9128C" w:rsidRDefault="00BB049E" w:rsidP="00FB6591">
            <w:pPr>
              <w:pStyle w:val="Odsek"/>
              <w:numPr>
                <w:ilvl w:val="0"/>
                <w:numId w:val="0"/>
              </w:numPr>
              <w:spacing w:before="40" w:after="40" w:line="240" w:lineRule="auto"/>
              <w:jc w:val="left"/>
              <w:rPr>
                <w:sz w:val="20"/>
                <w:szCs w:val="20"/>
              </w:rPr>
            </w:pPr>
            <w:r w:rsidRPr="00E9128C">
              <w:rPr>
                <w:sz w:val="20"/>
                <w:szCs w:val="20"/>
              </w:rPr>
              <w:t>6.3 Presoja posledic za gospodarstvo, in sicer za:</w:t>
            </w:r>
          </w:p>
        </w:tc>
      </w:tr>
      <w:tr w:rsidR="00E9128C" w:rsidRPr="00E9128C" w14:paraId="75B1BB30" w14:textId="77777777" w:rsidTr="00B33072">
        <w:tc>
          <w:tcPr>
            <w:tcW w:w="9072" w:type="dxa"/>
          </w:tcPr>
          <w:p w14:paraId="16D52BE5" w14:textId="77777777" w:rsidR="00785A61" w:rsidRPr="00E9128C" w:rsidRDefault="00785A61" w:rsidP="00B962D7">
            <w:pPr>
              <w:pStyle w:val="Alineazatoko"/>
              <w:spacing w:before="40" w:after="40" w:line="240" w:lineRule="auto"/>
              <w:ind w:left="0" w:firstLine="0"/>
              <w:rPr>
                <w:b/>
                <w:bCs/>
                <w:sz w:val="20"/>
                <w:szCs w:val="20"/>
              </w:rPr>
            </w:pPr>
          </w:p>
          <w:p w14:paraId="0868CA39" w14:textId="08B4B01E" w:rsidR="00785A61" w:rsidRPr="00E9128C" w:rsidRDefault="00785A61" w:rsidP="00B962D7">
            <w:pPr>
              <w:pStyle w:val="Alineazatoko"/>
              <w:spacing w:before="40" w:after="40" w:line="240" w:lineRule="auto"/>
              <w:ind w:left="0" w:firstLine="0"/>
              <w:rPr>
                <w:b/>
                <w:bCs/>
                <w:sz w:val="20"/>
                <w:szCs w:val="20"/>
              </w:rPr>
            </w:pPr>
            <w:r w:rsidRPr="00E9128C">
              <w:rPr>
                <w:b/>
                <w:bCs/>
                <w:sz w:val="20"/>
                <w:szCs w:val="20"/>
              </w:rPr>
              <w:t>6.3.1 Zimski regres</w:t>
            </w:r>
          </w:p>
          <w:p w14:paraId="44E59E32" w14:textId="6563628C" w:rsidR="00B962D7" w:rsidRPr="00E9128C" w:rsidRDefault="00B962D7" w:rsidP="00B962D7">
            <w:pPr>
              <w:pStyle w:val="Alineazatoko"/>
              <w:spacing w:before="40" w:after="40" w:line="240" w:lineRule="auto"/>
              <w:ind w:left="0" w:firstLine="0"/>
              <w:rPr>
                <w:sz w:val="20"/>
                <w:szCs w:val="20"/>
              </w:rPr>
            </w:pPr>
            <w:r w:rsidRPr="00E9128C">
              <w:rPr>
                <w:sz w:val="20"/>
                <w:szCs w:val="20"/>
              </w:rPr>
              <w:t xml:space="preserve">Sprejem zakona bo vplival na gospodarstvo na način, da bo izplačilo zimskega </w:t>
            </w:r>
            <w:r w:rsidR="003E38F8" w:rsidRPr="00E9128C">
              <w:rPr>
                <w:sz w:val="20"/>
                <w:szCs w:val="20"/>
              </w:rPr>
              <w:t xml:space="preserve">regresa </w:t>
            </w:r>
            <w:r w:rsidRPr="00E9128C">
              <w:rPr>
                <w:sz w:val="20"/>
                <w:szCs w:val="20"/>
              </w:rPr>
              <w:t xml:space="preserve">delodajalcem v zasebnem sektorju povzročilo dodatni strošek do 483.886.618,92 EUR (ob upoštevanju 757.422 </w:t>
            </w:r>
            <w:r w:rsidRPr="00E9128C">
              <w:rPr>
                <w:sz w:val="20"/>
                <w:szCs w:val="20"/>
              </w:rPr>
              <w:lastRenderedPageBreak/>
              <w:t xml:space="preserve">zaposlenih v zasebnem sektorju, pri čemer je upoštevan celotni znesek v višini 638,86 EUR). Pri tem omenjena ocena ne temelji na izhodišču, da določena podjetja že danes izplačujejo del dohodka iz naslova poslovne uspešnosti, kar že ima določen vpliv na stroške iz naslova dela. Ob dejstvu, da bodo podjetja določen del tega dohodka namenila za izplačilo zimskega </w:t>
            </w:r>
            <w:r w:rsidR="00DE24B5" w:rsidRPr="00E9128C">
              <w:rPr>
                <w:sz w:val="20"/>
                <w:szCs w:val="20"/>
              </w:rPr>
              <w:t xml:space="preserve">regresa </w:t>
            </w:r>
            <w:r w:rsidRPr="00E9128C">
              <w:rPr>
                <w:sz w:val="20"/>
                <w:szCs w:val="20"/>
              </w:rPr>
              <w:t xml:space="preserve">ocenjujemo, da slednja ocena predstavlja maksimalen možen strošek zaradi izplačila zimskega </w:t>
            </w:r>
            <w:r w:rsidR="00DC1262" w:rsidRPr="00E9128C">
              <w:rPr>
                <w:sz w:val="20"/>
                <w:szCs w:val="20"/>
              </w:rPr>
              <w:t>regresa</w:t>
            </w:r>
            <w:r w:rsidRPr="00E9128C">
              <w:rPr>
                <w:sz w:val="20"/>
                <w:szCs w:val="20"/>
              </w:rPr>
              <w:t xml:space="preserve">, a to nikakor ne predstavlja </w:t>
            </w:r>
            <w:r w:rsidR="00627012" w:rsidRPr="00E9128C">
              <w:rPr>
                <w:sz w:val="20"/>
                <w:szCs w:val="20"/>
              </w:rPr>
              <w:t>dodatnega stroška</w:t>
            </w:r>
            <w:r w:rsidRPr="00E9128C">
              <w:rPr>
                <w:sz w:val="20"/>
                <w:szCs w:val="20"/>
              </w:rPr>
              <w:t xml:space="preserve">, ki ga bodo podjetja deležna zaradi uvedbe zimskega </w:t>
            </w:r>
            <w:r w:rsidR="00DC1262" w:rsidRPr="00E9128C">
              <w:rPr>
                <w:sz w:val="20"/>
                <w:szCs w:val="20"/>
              </w:rPr>
              <w:t>regresa</w:t>
            </w:r>
            <w:r w:rsidRPr="00E9128C">
              <w:rPr>
                <w:sz w:val="20"/>
                <w:szCs w:val="20"/>
              </w:rPr>
              <w:t>.</w:t>
            </w:r>
          </w:p>
          <w:p w14:paraId="2AFBA669" w14:textId="77777777" w:rsidR="00F83152" w:rsidRPr="00E9128C" w:rsidRDefault="00F83152" w:rsidP="00B962D7">
            <w:pPr>
              <w:pStyle w:val="Alineazatoko"/>
              <w:spacing w:before="40" w:after="40" w:line="240" w:lineRule="auto"/>
              <w:ind w:left="0" w:firstLine="0"/>
              <w:rPr>
                <w:sz w:val="20"/>
                <w:szCs w:val="20"/>
              </w:rPr>
            </w:pPr>
          </w:p>
          <w:p w14:paraId="4C32B01C" w14:textId="0C021B20" w:rsidR="00F83152" w:rsidRPr="00E9128C" w:rsidRDefault="00F83152" w:rsidP="00F83152">
            <w:pPr>
              <w:pStyle w:val="Alineazatoko"/>
              <w:spacing w:before="40" w:after="40" w:line="240" w:lineRule="auto"/>
              <w:ind w:left="0" w:firstLine="0"/>
              <w:rPr>
                <w:b/>
                <w:bCs/>
                <w:sz w:val="20"/>
                <w:szCs w:val="20"/>
              </w:rPr>
            </w:pPr>
            <w:r w:rsidRPr="00E9128C">
              <w:rPr>
                <w:b/>
                <w:bCs/>
                <w:sz w:val="20"/>
                <w:szCs w:val="20"/>
              </w:rPr>
              <w:t>6.3.2 Ugotavljanje davčne osnove od dohodkov iz dejavnosti z upoštevanjem normiranih odhodkov</w:t>
            </w:r>
          </w:p>
          <w:p w14:paraId="41C6B289" w14:textId="77777777" w:rsidR="00F83152" w:rsidRPr="00E9128C" w:rsidRDefault="00F83152" w:rsidP="00B962D7">
            <w:pPr>
              <w:pStyle w:val="Alineazatoko"/>
              <w:spacing w:before="40" w:after="40" w:line="240" w:lineRule="auto"/>
              <w:ind w:left="0" w:firstLine="0"/>
              <w:rPr>
                <w:sz w:val="20"/>
                <w:szCs w:val="20"/>
              </w:rPr>
            </w:pPr>
          </w:p>
          <w:p w14:paraId="3EB58B77" w14:textId="77777777" w:rsidR="00F83152" w:rsidRPr="00E9128C" w:rsidRDefault="00F83152" w:rsidP="00F83152">
            <w:pPr>
              <w:spacing w:after="0" w:line="260" w:lineRule="atLeast"/>
              <w:contextualSpacing/>
              <w:jc w:val="both"/>
              <w:rPr>
                <w:rFonts w:eastAsia="Times New Roman" w:cs="Arial"/>
                <w:bCs/>
                <w:szCs w:val="20"/>
              </w:rPr>
            </w:pPr>
            <w:r w:rsidRPr="00E9128C">
              <w:rPr>
                <w:rFonts w:eastAsia="Times New Roman" w:cs="Arial"/>
                <w:bCs/>
                <w:szCs w:val="20"/>
              </w:rPr>
              <w:t>Trenutno t. i. polni normiranci (to so zavezanci, ki so sami vključeni v pokojninsko in invalidsko zavarovanje v davčnem letu iz naslova samozaposlitve vsaj devet mesecev) pri višini okoli 62.000 EUR prihodkov plačujejo prispevke za socialno varnost v najnižjem znesku, in sicer jih v tej višini plačuje okoli 80 % polnih normirancev. Za primerjavo, v taki višini plača prispevke za socialno varnost delavec, ki prejme letno plačo do višine dobrih 17 tisoč EUR. Prispevki za socialno varnost od povprečne plače so 67 % višji kot prispevki polnih normirancev pri najnižji osnovi. Obremenjenost iz naslova prispevkov za socialno varnost za polnega normiranca pri višini 62.000 EUR prihodkov je primerljiva delavcu, ki zasluži nekaj več kot znaša minimalna plača, in je 40 % nižja od delavca, ki prejema povprečno plačo.</w:t>
            </w:r>
          </w:p>
          <w:p w14:paraId="55B42FF1" w14:textId="77777777" w:rsidR="00F83152" w:rsidRPr="00E9128C" w:rsidRDefault="00F83152" w:rsidP="00F83152">
            <w:pPr>
              <w:spacing w:after="0" w:line="260" w:lineRule="atLeast"/>
              <w:contextualSpacing/>
              <w:jc w:val="both"/>
              <w:rPr>
                <w:rFonts w:eastAsia="Times New Roman" w:cs="Arial"/>
                <w:bCs/>
                <w:szCs w:val="20"/>
              </w:rPr>
            </w:pPr>
          </w:p>
          <w:p w14:paraId="7CA016F9" w14:textId="77777777" w:rsidR="00F83152" w:rsidRPr="00E9128C" w:rsidRDefault="00F83152" w:rsidP="00F83152">
            <w:pPr>
              <w:spacing w:after="0" w:line="260" w:lineRule="atLeast"/>
              <w:contextualSpacing/>
              <w:jc w:val="both"/>
              <w:rPr>
                <w:rFonts w:eastAsia="Times New Roman" w:cs="Arial"/>
                <w:bCs/>
                <w:szCs w:val="20"/>
              </w:rPr>
            </w:pPr>
            <w:r w:rsidRPr="00E9128C">
              <w:rPr>
                <w:rFonts w:eastAsia="Times New Roman" w:cs="Arial"/>
                <w:bCs/>
                <w:szCs w:val="20"/>
              </w:rPr>
              <w:t>Po podatkih za leto 2024 bi bilo z višjo stopnjo obdavčenih približno 3 % polnih normirancev oz. nekaj več kot 3 % t.i. popoldancev. Skupno torej to predstavlja višjo obremenitev le majhnega števila normirancev. Namreč za večino normirancev bo davčna obveznost ostala nespremenjena. V nadaljevanju je pripravljen izračun za t. i. normirance, in sicer za t. i. polnega normiranca in t. i. popoldanca, ob upoštevanju različnih višin prihodkov. Pri tem je upoštevano, da se zviša prag prihodkov za vstop v sistem normiranih odhodkov na 50.000 evrov oziroma na 120.000 evrov, medtem ko višina normiranih odhodkov ostaja nespremenjena.</w:t>
            </w:r>
          </w:p>
          <w:p w14:paraId="249E5A46" w14:textId="77777777" w:rsidR="00F83152" w:rsidRPr="00E9128C" w:rsidRDefault="00F83152" w:rsidP="00F83152">
            <w:pPr>
              <w:suppressAutoHyphens/>
              <w:overflowPunct w:val="0"/>
              <w:autoSpaceDE w:val="0"/>
              <w:autoSpaceDN w:val="0"/>
              <w:adjustRightInd w:val="0"/>
              <w:spacing w:after="0" w:line="260" w:lineRule="atLeast"/>
              <w:textAlignment w:val="baseline"/>
              <w:outlineLvl w:val="3"/>
              <w:rPr>
                <w:rFonts w:eastAsia="Times New Roman" w:cs="Arial"/>
                <w:bCs/>
                <w:szCs w:val="20"/>
                <w:lang w:eastAsia="sl-SI"/>
              </w:rPr>
            </w:pPr>
          </w:p>
          <w:p w14:paraId="69FA072B" w14:textId="77777777" w:rsidR="00F83152" w:rsidRDefault="00F83152" w:rsidP="008A4972">
            <w:pPr>
              <w:suppressAutoHyphens/>
              <w:overflowPunct w:val="0"/>
              <w:autoSpaceDE w:val="0"/>
              <w:autoSpaceDN w:val="0"/>
              <w:adjustRightInd w:val="0"/>
              <w:spacing w:after="0" w:line="260" w:lineRule="atLeast"/>
              <w:jc w:val="both"/>
              <w:textAlignment w:val="baseline"/>
              <w:outlineLvl w:val="3"/>
              <w:rPr>
                <w:rFonts w:eastAsia="Times New Roman" w:cs="Arial"/>
                <w:bCs/>
                <w:szCs w:val="20"/>
                <w:lang w:eastAsia="sl-SI"/>
              </w:rPr>
            </w:pPr>
            <w:r w:rsidRPr="00E9128C">
              <w:rPr>
                <w:rFonts w:eastAsia="Times New Roman" w:cs="Arial"/>
                <w:bCs/>
                <w:szCs w:val="20"/>
                <w:lang w:eastAsia="sl-SI"/>
              </w:rPr>
              <w:t>Tabela 10: Teoretični izračun predloga rešitve pri t.i. polnem normirancu na različnih višinah prihodkov</w:t>
            </w:r>
          </w:p>
          <w:p w14:paraId="12DCE64F" w14:textId="77777777" w:rsidR="006332C6" w:rsidRDefault="006332C6" w:rsidP="00F83152">
            <w:pPr>
              <w:suppressAutoHyphens/>
              <w:overflowPunct w:val="0"/>
              <w:autoSpaceDE w:val="0"/>
              <w:autoSpaceDN w:val="0"/>
              <w:adjustRightInd w:val="0"/>
              <w:spacing w:after="0" w:line="260" w:lineRule="atLeast"/>
              <w:textAlignment w:val="baseline"/>
              <w:outlineLvl w:val="3"/>
              <w:rPr>
                <w:rFonts w:eastAsia="Times New Roman" w:cs="Arial"/>
                <w:bCs/>
                <w:szCs w:val="20"/>
                <w:lang w:eastAsia="sl-SI"/>
              </w:rPr>
            </w:pPr>
          </w:p>
          <w:p w14:paraId="12B1336E" w14:textId="40D16233" w:rsidR="006332C6" w:rsidRPr="008A4972" w:rsidRDefault="006332C6" w:rsidP="00F83152">
            <w:pPr>
              <w:suppressAutoHyphens/>
              <w:overflowPunct w:val="0"/>
              <w:autoSpaceDE w:val="0"/>
              <w:autoSpaceDN w:val="0"/>
              <w:adjustRightInd w:val="0"/>
              <w:spacing w:after="0" w:line="260" w:lineRule="atLeast"/>
              <w:textAlignment w:val="baseline"/>
              <w:outlineLvl w:val="3"/>
              <w:rPr>
                <w:rFonts w:eastAsia="Times New Roman" w:cs="Arial"/>
                <w:bCs/>
                <w:i/>
                <w:iCs/>
                <w:szCs w:val="20"/>
                <w:lang w:eastAsia="sl-SI"/>
              </w:rPr>
            </w:pPr>
            <w:r>
              <w:rPr>
                <w:rFonts w:eastAsia="Times New Roman" w:cs="Arial"/>
                <w:bCs/>
                <w:szCs w:val="20"/>
                <w:lang w:eastAsia="sl-SI"/>
              </w:rPr>
              <w:t xml:space="preserve">                                                                                                                            </w:t>
            </w:r>
            <w:r w:rsidRPr="008A4972">
              <w:rPr>
                <w:rFonts w:eastAsia="Times New Roman" w:cs="Arial"/>
                <w:bCs/>
                <w:i/>
                <w:iCs/>
                <w:szCs w:val="20"/>
                <w:lang w:eastAsia="sl-SI"/>
              </w:rPr>
              <w:t>Zneski v EUR</w:t>
            </w:r>
          </w:p>
          <w:tbl>
            <w:tblPr>
              <w:tblW w:w="8921" w:type="dxa"/>
              <w:tblCellMar>
                <w:left w:w="0" w:type="dxa"/>
                <w:right w:w="0" w:type="dxa"/>
              </w:tblCellMar>
              <w:tblLook w:val="04A0" w:firstRow="1" w:lastRow="0" w:firstColumn="1" w:lastColumn="0" w:noHBand="0" w:noVBand="1"/>
            </w:tblPr>
            <w:tblGrid>
              <w:gridCol w:w="4817"/>
              <w:gridCol w:w="1596"/>
              <w:gridCol w:w="2433"/>
            </w:tblGrid>
            <w:tr w:rsidR="00E9128C" w:rsidRPr="00E9128C" w14:paraId="04600A7C" w14:textId="77777777" w:rsidTr="00E7465F">
              <w:trPr>
                <w:gridAfter w:val="2"/>
                <w:wAfter w:w="4062" w:type="dxa"/>
                <w:trHeight w:val="264"/>
              </w:trPr>
              <w:tc>
                <w:tcPr>
                  <w:tcW w:w="48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8C0B803" w14:textId="77777777" w:rsidR="00F83152" w:rsidRPr="00E9128C" w:rsidRDefault="00F83152" w:rsidP="00F83152">
                  <w:pPr>
                    <w:spacing w:after="0" w:line="260" w:lineRule="atLeast"/>
                    <w:jc w:val="both"/>
                    <w:rPr>
                      <w:rFonts w:eastAsia="Times New Roman" w:cs="Arial"/>
                      <w:bCs/>
                      <w:szCs w:val="20"/>
                    </w:rPr>
                  </w:pPr>
                  <w:r w:rsidRPr="00E9128C">
                    <w:rPr>
                      <w:rFonts w:eastAsia="Times New Roman" w:cs="Arial"/>
                      <w:b/>
                      <w:bCs/>
                      <w:szCs w:val="20"/>
                    </w:rPr>
                    <w:t xml:space="preserve">           „polni normiranci“</w:t>
                  </w:r>
                </w:p>
              </w:tc>
            </w:tr>
            <w:tr w:rsidR="00E9128C" w:rsidRPr="00E9128C" w14:paraId="22A53DC0" w14:textId="77777777" w:rsidTr="00E7465F">
              <w:trPr>
                <w:trHeight w:val="251"/>
              </w:trPr>
              <w:tc>
                <w:tcPr>
                  <w:tcW w:w="4859" w:type="dxa"/>
                  <w:tcBorders>
                    <w:top w:val="single" w:sz="4" w:space="0" w:color="auto"/>
                    <w:left w:val="single" w:sz="8" w:space="0" w:color="auto"/>
                    <w:bottom w:val="single" w:sz="8" w:space="0" w:color="auto"/>
                    <w:right w:val="single" w:sz="4" w:space="0" w:color="auto"/>
                  </w:tcBorders>
                  <w:noWrap/>
                  <w:tcMar>
                    <w:top w:w="0" w:type="dxa"/>
                    <w:left w:w="70" w:type="dxa"/>
                    <w:bottom w:w="0" w:type="dxa"/>
                    <w:right w:w="70" w:type="dxa"/>
                  </w:tcMar>
                  <w:vAlign w:val="bottom"/>
                  <w:hideMark/>
                </w:tcPr>
                <w:p w14:paraId="737EDDC8"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Višina prihodka</w:t>
                  </w:r>
                </w:p>
              </w:tc>
              <w:tc>
                <w:tcPr>
                  <w:tcW w:w="16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50F3E56"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60.000</w:t>
                  </w:r>
                </w:p>
              </w:tc>
              <w:tc>
                <w:tcPr>
                  <w:tcW w:w="24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4D74CAD"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120.000</w:t>
                  </w:r>
                </w:p>
              </w:tc>
            </w:tr>
            <w:tr w:rsidR="00E9128C" w:rsidRPr="00E9128C" w14:paraId="5E4FEF78" w14:textId="77777777" w:rsidTr="00E7465F">
              <w:trPr>
                <w:trHeight w:val="251"/>
              </w:trPr>
              <w:tc>
                <w:tcPr>
                  <w:tcW w:w="4859"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bottom"/>
                  <w:hideMark/>
                </w:tcPr>
                <w:p w14:paraId="383EAB5E"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Prispevki za socialno varnost</w:t>
                  </w:r>
                </w:p>
              </w:tc>
              <w:tc>
                <w:tcPr>
                  <w:tcW w:w="16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7410CF7"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7.033</w:t>
                  </w:r>
                </w:p>
              </w:tc>
              <w:tc>
                <w:tcPr>
                  <w:tcW w:w="24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59B3512"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23.315</w:t>
                  </w:r>
                </w:p>
              </w:tc>
            </w:tr>
            <w:tr w:rsidR="00E9128C" w:rsidRPr="00E9128C" w14:paraId="7E346B42" w14:textId="77777777" w:rsidTr="00E7465F">
              <w:trPr>
                <w:trHeight w:val="251"/>
              </w:trPr>
              <w:tc>
                <w:tcPr>
                  <w:tcW w:w="4859"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bottom"/>
                  <w:hideMark/>
                </w:tcPr>
                <w:p w14:paraId="3BA2B938"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   od tega obvezni zdravstveni prispevek</w:t>
                  </w:r>
                </w:p>
              </w:tc>
              <w:tc>
                <w:tcPr>
                  <w:tcW w:w="16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CA85F06" w14:textId="77777777" w:rsidR="00F83152" w:rsidRPr="00E9128C" w:rsidRDefault="00F83152" w:rsidP="00F83152">
                  <w:pPr>
                    <w:spacing w:after="0" w:line="260" w:lineRule="atLeast"/>
                    <w:jc w:val="right"/>
                    <w:rPr>
                      <w:rFonts w:eastAsia="Times New Roman" w:cs="Arial"/>
                      <w:bCs/>
                      <w:i/>
                      <w:iCs/>
                      <w:szCs w:val="20"/>
                    </w:rPr>
                  </w:pPr>
                  <w:r w:rsidRPr="00E9128C">
                    <w:rPr>
                      <w:rFonts w:eastAsia="Times New Roman" w:cs="Arial"/>
                      <w:bCs/>
                      <w:i/>
                      <w:iCs/>
                      <w:szCs w:val="20"/>
                    </w:rPr>
                    <w:t>446</w:t>
                  </w:r>
                </w:p>
              </w:tc>
              <w:tc>
                <w:tcPr>
                  <w:tcW w:w="24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252668A" w14:textId="77777777" w:rsidR="00F83152" w:rsidRPr="00E9128C" w:rsidRDefault="00F83152" w:rsidP="00F83152">
                  <w:pPr>
                    <w:spacing w:after="0" w:line="260" w:lineRule="atLeast"/>
                    <w:jc w:val="right"/>
                    <w:rPr>
                      <w:rFonts w:eastAsia="Times New Roman" w:cs="Arial"/>
                      <w:bCs/>
                      <w:i/>
                      <w:iCs/>
                      <w:szCs w:val="20"/>
                    </w:rPr>
                  </w:pPr>
                  <w:r w:rsidRPr="00E9128C">
                    <w:rPr>
                      <w:rFonts w:eastAsia="Times New Roman" w:cs="Arial"/>
                      <w:bCs/>
                      <w:i/>
                      <w:iCs/>
                      <w:szCs w:val="20"/>
                    </w:rPr>
                    <w:t>446</w:t>
                  </w:r>
                </w:p>
              </w:tc>
            </w:tr>
            <w:tr w:rsidR="00E9128C" w:rsidRPr="00E9128C" w14:paraId="231A65CF" w14:textId="77777777" w:rsidTr="00E7465F">
              <w:trPr>
                <w:trHeight w:val="314"/>
              </w:trPr>
              <w:tc>
                <w:tcPr>
                  <w:tcW w:w="4859"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bottom"/>
                  <w:hideMark/>
                </w:tcPr>
                <w:p w14:paraId="3C03CCD8"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Normirani odhodki oz. dejanski</w:t>
                  </w:r>
                </w:p>
              </w:tc>
              <w:tc>
                <w:tcPr>
                  <w:tcW w:w="16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8D65CB2"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48.000</w:t>
                  </w:r>
                </w:p>
              </w:tc>
              <w:tc>
                <w:tcPr>
                  <w:tcW w:w="24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2AF1DE3"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48.000</w:t>
                  </w:r>
                </w:p>
              </w:tc>
            </w:tr>
            <w:tr w:rsidR="00E9128C" w:rsidRPr="00E9128C" w14:paraId="44A233FF" w14:textId="77777777" w:rsidTr="00E7465F">
              <w:trPr>
                <w:trHeight w:val="251"/>
              </w:trPr>
              <w:tc>
                <w:tcPr>
                  <w:tcW w:w="4859"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bottom"/>
                  <w:hideMark/>
                </w:tcPr>
                <w:p w14:paraId="46C06F98"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Davčna osnova</w:t>
                  </w:r>
                </w:p>
              </w:tc>
              <w:tc>
                <w:tcPr>
                  <w:tcW w:w="16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F85F94D"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12.000</w:t>
                  </w:r>
                </w:p>
              </w:tc>
              <w:tc>
                <w:tcPr>
                  <w:tcW w:w="24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1B9EC12"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72.000</w:t>
                  </w:r>
                </w:p>
              </w:tc>
            </w:tr>
            <w:tr w:rsidR="00E9128C" w:rsidRPr="00E9128C" w14:paraId="3DAB9886" w14:textId="77777777" w:rsidTr="00E7465F">
              <w:trPr>
                <w:trHeight w:val="251"/>
              </w:trPr>
              <w:tc>
                <w:tcPr>
                  <w:tcW w:w="4859"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bottom"/>
                  <w:hideMark/>
                </w:tcPr>
                <w:p w14:paraId="1DB1A617"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Davek</w:t>
                  </w:r>
                </w:p>
              </w:tc>
              <w:tc>
                <w:tcPr>
                  <w:tcW w:w="16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33D7BC6"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2.400</w:t>
                  </w:r>
                </w:p>
              </w:tc>
              <w:tc>
                <w:tcPr>
                  <w:tcW w:w="24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8C23658"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14.400</w:t>
                  </w:r>
                </w:p>
              </w:tc>
            </w:tr>
            <w:tr w:rsidR="00E9128C" w:rsidRPr="00E9128C" w14:paraId="0B33D84B" w14:textId="77777777" w:rsidTr="00E7465F">
              <w:trPr>
                <w:trHeight w:val="251"/>
              </w:trPr>
              <w:tc>
                <w:tcPr>
                  <w:tcW w:w="4859"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bottom"/>
                  <w:hideMark/>
                </w:tcPr>
                <w:p w14:paraId="7B071C40"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Prispevki + davek</w:t>
                  </w:r>
                </w:p>
              </w:tc>
              <w:tc>
                <w:tcPr>
                  <w:tcW w:w="16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AD3BFB4"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9.433</w:t>
                  </w:r>
                </w:p>
              </w:tc>
              <w:tc>
                <w:tcPr>
                  <w:tcW w:w="24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86E515B"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37.715</w:t>
                  </w:r>
                </w:p>
              </w:tc>
            </w:tr>
            <w:tr w:rsidR="00E9128C" w:rsidRPr="00E9128C" w14:paraId="52EC19C2" w14:textId="77777777" w:rsidTr="00E7465F">
              <w:trPr>
                <w:trHeight w:val="295"/>
              </w:trPr>
              <w:tc>
                <w:tcPr>
                  <w:tcW w:w="4859" w:type="dxa"/>
                  <w:tcBorders>
                    <w:top w:val="nil"/>
                    <w:left w:val="single" w:sz="8" w:space="0" w:color="auto"/>
                    <w:bottom w:val="single" w:sz="8" w:space="0" w:color="auto"/>
                    <w:right w:val="single" w:sz="4" w:space="0" w:color="auto"/>
                  </w:tcBorders>
                  <w:shd w:val="clear" w:color="auto" w:fill="FFD966"/>
                  <w:tcMar>
                    <w:top w:w="0" w:type="dxa"/>
                    <w:left w:w="70" w:type="dxa"/>
                    <w:bottom w:w="0" w:type="dxa"/>
                    <w:right w:w="70" w:type="dxa"/>
                  </w:tcMar>
                  <w:vAlign w:val="bottom"/>
                  <w:hideMark/>
                </w:tcPr>
                <w:p w14:paraId="5EFD6C9E"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Razpoložljivi dohodek (prihodki - prispevki - davek)</w:t>
                  </w:r>
                </w:p>
              </w:tc>
              <w:tc>
                <w:tcPr>
                  <w:tcW w:w="1609" w:type="dxa"/>
                  <w:tcBorders>
                    <w:top w:val="single" w:sz="4" w:space="0" w:color="auto"/>
                    <w:left w:val="single" w:sz="4" w:space="0" w:color="auto"/>
                    <w:bottom w:val="single" w:sz="4" w:space="0" w:color="auto"/>
                    <w:right w:val="single" w:sz="4" w:space="0" w:color="auto"/>
                  </w:tcBorders>
                  <w:shd w:val="clear" w:color="auto" w:fill="FFD966"/>
                  <w:noWrap/>
                  <w:tcMar>
                    <w:top w:w="0" w:type="dxa"/>
                    <w:left w:w="70" w:type="dxa"/>
                    <w:bottom w:w="0" w:type="dxa"/>
                    <w:right w:w="70" w:type="dxa"/>
                  </w:tcMar>
                  <w:vAlign w:val="bottom"/>
                  <w:hideMark/>
                </w:tcPr>
                <w:p w14:paraId="3B3CCC28"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50.567</w:t>
                  </w:r>
                </w:p>
              </w:tc>
              <w:tc>
                <w:tcPr>
                  <w:tcW w:w="2453" w:type="dxa"/>
                  <w:tcBorders>
                    <w:top w:val="single" w:sz="4" w:space="0" w:color="auto"/>
                    <w:left w:val="single" w:sz="4" w:space="0" w:color="auto"/>
                    <w:bottom w:val="single" w:sz="4" w:space="0" w:color="auto"/>
                    <w:right w:val="single" w:sz="4" w:space="0" w:color="auto"/>
                  </w:tcBorders>
                  <w:shd w:val="clear" w:color="auto" w:fill="FFD966"/>
                  <w:noWrap/>
                  <w:tcMar>
                    <w:top w:w="0" w:type="dxa"/>
                    <w:left w:w="70" w:type="dxa"/>
                    <w:bottom w:w="0" w:type="dxa"/>
                    <w:right w:w="70" w:type="dxa"/>
                  </w:tcMar>
                  <w:vAlign w:val="bottom"/>
                  <w:hideMark/>
                </w:tcPr>
                <w:p w14:paraId="2670DD72"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82.285</w:t>
                  </w:r>
                </w:p>
              </w:tc>
            </w:tr>
            <w:tr w:rsidR="00E9128C" w:rsidRPr="00E9128C" w14:paraId="14B9FB96" w14:textId="77777777" w:rsidTr="00E7465F">
              <w:trPr>
                <w:trHeight w:val="251"/>
              </w:trPr>
              <w:tc>
                <w:tcPr>
                  <w:tcW w:w="48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6A4FBEC" w14:textId="77777777" w:rsidR="00F83152" w:rsidRPr="00E9128C" w:rsidRDefault="00F83152" w:rsidP="00F83152">
                  <w:pPr>
                    <w:spacing w:after="0" w:line="260" w:lineRule="atLeast"/>
                    <w:jc w:val="both"/>
                    <w:rPr>
                      <w:rFonts w:eastAsia="Times New Roman" w:cs="Arial"/>
                      <w:b/>
                      <w:bCs/>
                      <w:i/>
                      <w:iCs/>
                      <w:szCs w:val="20"/>
                    </w:rPr>
                  </w:pPr>
                  <w:r w:rsidRPr="00E9128C">
                    <w:rPr>
                      <w:rFonts w:eastAsia="Times New Roman" w:cs="Arial"/>
                      <w:b/>
                      <w:bCs/>
                      <w:i/>
                      <w:iCs/>
                      <w:szCs w:val="20"/>
                    </w:rPr>
                    <w:t>efektivna stopnja</w:t>
                  </w:r>
                </w:p>
              </w:tc>
              <w:tc>
                <w:tcPr>
                  <w:tcW w:w="1609" w:type="dxa"/>
                  <w:tcBorders>
                    <w:top w:val="single" w:sz="4" w:space="0" w:color="auto"/>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2615B69"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4%</w:t>
                  </w:r>
                </w:p>
              </w:tc>
              <w:tc>
                <w:tcPr>
                  <w:tcW w:w="2453" w:type="dxa"/>
                  <w:tcBorders>
                    <w:top w:val="single" w:sz="4" w:space="0" w:color="auto"/>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BFC9A58"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12%</w:t>
                  </w:r>
                </w:p>
              </w:tc>
            </w:tr>
            <w:tr w:rsidR="00E9128C" w:rsidRPr="00E9128C" w14:paraId="15F8A597" w14:textId="77777777" w:rsidTr="00E7465F">
              <w:trPr>
                <w:trHeight w:val="251"/>
              </w:trPr>
              <w:tc>
                <w:tcPr>
                  <w:tcW w:w="48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F56642" w14:textId="77777777" w:rsidR="00F83152" w:rsidRPr="00E9128C" w:rsidRDefault="00F83152" w:rsidP="00F83152">
                  <w:pPr>
                    <w:spacing w:after="0" w:line="260" w:lineRule="atLeast"/>
                    <w:jc w:val="both"/>
                    <w:rPr>
                      <w:rFonts w:eastAsia="Times New Roman" w:cs="Arial"/>
                      <w:b/>
                      <w:bCs/>
                      <w:i/>
                      <w:iCs/>
                      <w:szCs w:val="20"/>
                    </w:rPr>
                  </w:pPr>
                  <w:r w:rsidRPr="00E9128C">
                    <w:rPr>
                      <w:rFonts w:eastAsia="Times New Roman" w:cs="Arial"/>
                      <w:b/>
                      <w:bCs/>
                      <w:i/>
                      <w:iCs/>
                      <w:szCs w:val="20"/>
                    </w:rPr>
                    <w:t>Skupna efektivna davčna stopnja (davek + prispevki)</w:t>
                  </w:r>
                </w:p>
              </w:tc>
              <w:tc>
                <w:tcPr>
                  <w:tcW w:w="16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60D7BC"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16%</w:t>
                  </w:r>
                </w:p>
              </w:tc>
              <w:tc>
                <w:tcPr>
                  <w:tcW w:w="24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40EE09"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31%</w:t>
                  </w:r>
                </w:p>
              </w:tc>
            </w:tr>
          </w:tbl>
          <w:p w14:paraId="16BE1865" w14:textId="7160F26B" w:rsidR="00F83152" w:rsidRPr="00E9128C" w:rsidRDefault="00F83152" w:rsidP="00B962D7">
            <w:pPr>
              <w:pStyle w:val="Alineazatoko"/>
              <w:spacing w:before="40" w:after="40" w:line="240" w:lineRule="auto"/>
              <w:ind w:left="0" w:firstLine="0"/>
              <w:rPr>
                <w:sz w:val="20"/>
                <w:szCs w:val="20"/>
              </w:rPr>
            </w:pPr>
            <w:r w:rsidRPr="00E9128C">
              <w:rPr>
                <w:sz w:val="20"/>
                <w:szCs w:val="20"/>
              </w:rPr>
              <w:t>Vir: Lastni preračuni MF</w:t>
            </w:r>
          </w:p>
          <w:p w14:paraId="3F03448C" w14:textId="77777777" w:rsidR="00F83152" w:rsidRPr="00E9128C" w:rsidRDefault="00F83152" w:rsidP="00B962D7">
            <w:pPr>
              <w:pStyle w:val="Alineazatoko"/>
              <w:spacing w:before="40" w:after="40" w:line="240" w:lineRule="auto"/>
              <w:ind w:left="0" w:firstLine="0"/>
              <w:rPr>
                <w:sz w:val="20"/>
                <w:szCs w:val="20"/>
              </w:rPr>
            </w:pPr>
          </w:p>
          <w:p w14:paraId="06E249FA" w14:textId="77777777" w:rsidR="00F83152" w:rsidRDefault="00F83152" w:rsidP="00F83152">
            <w:pPr>
              <w:rPr>
                <w:rFonts w:eastAsia="Times New Roman" w:cs="Arial"/>
                <w:szCs w:val="20"/>
                <w:lang w:eastAsia="sl-SI"/>
              </w:rPr>
            </w:pPr>
            <w:r w:rsidRPr="00E9128C">
              <w:rPr>
                <w:rFonts w:eastAsia="Times New Roman" w:cs="Arial"/>
                <w:szCs w:val="20"/>
                <w:lang w:eastAsia="sl-SI"/>
              </w:rPr>
              <w:t>Tabela 11: Teoretični izračun predloga rešitve pri t.i. popoldancu na različnih višinah prihodkov</w:t>
            </w:r>
          </w:p>
          <w:tbl>
            <w:tblPr>
              <w:tblW w:w="8505" w:type="dxa"/>
              <w:tblCellMar>
                <w:left w:w="0" w:type="dxa"/>
                <w:right w:w="0" w:type="dxa"/>
              </w:tblCellMar>
              <w:tblLook w:val="04A0" w:firstRow="1" w:lastRow="0" w:firstColumn="1" w:lastColumn="0" w:noHBand="0" w:noVBand="1"/>
            </w:tblPr>
            <w:tblGrid>
              <w:gridCol w:w="5135"/>
              <w:gridCol w:w="1701"/>
              <w:gridCol w:w="1669"/>
            </w:tblGrid>
            <w:tr w:rsidR="00E9128C" w:rsidRPr="00E9128C" w14:paraId="73C2A8EB" w14:textId="77777777" w:rsidTr="00E7465F">
              <w:trPr>
                <w:gridAfter w:val="2"/>
                <w:wAfter w:w="3370" w:type="dxa"/>
                <w:trHeight w:val="280"/>
              </w:trPr>
              <w:tc>
                <w:tcPr>
                  <w:tcW w:w="51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0A4F7C9" w14:textId="6DBBA48A" w:rsidR="00F83152" w:rsidRPr="00E9128C" w:rsidRDefault="006332C6" w:rsidP="00F83152">
                  <w:pPr>
                    <w:spacing w:after="0" w:line="260" w:lineRule="atLeast"/>
                    <w:jc w:val="both"/>
                    <w:rPr>
                      <w:rFonts w:eastAsia="Times New Roman" w:cs="Arial"/>
                      <w:bCs/>
                      <w:szCs w:val="20"/>
                    </w:rPr>
                  </w:pPr>
                  <w:r>
                    <w:rPr>
                      <w:rFonts w:eastAsia="Times New Roman" w:cs="Arial"/>
                      <w:i/>
                      <w:iCs/>
                      <w:szCs w:val="20"/>
                      <w:lang w:eastAsia="sl-SI"/>
                    </w:rPr>
                    <w:t xml:space="preserve">                                                                                                                         </w:t>
                  </w:r>
                  <w:r w:rsidRPr="006332C6">
                    <w:rPr>
                      <w:rFonts w:eastAsia="Times New Roman" w:cs="Arial"/>
                      <w:i/>
                      <w:iCs/>
                      <w:szCs w:val="20"/>
                      <w:lang w:eastAsia="sl-SI"/>
                    </w:rPr>
                    <w:t>Zneski v EUR</w:t>
                  </w:r>
                  <w:r w:rsidR="00F83152" w:rsidRPr="00E9128C">
                    <w:rPr>
                      <w:rFonts w:eastAsia="Times New Roman" w:cs="Arial"/>
                      <w:b/>
                      <w:bCs/>
                      <w:szCs w:val="20"/>
                    </w:rPr>
                    <w:t>„popoldanski normiranci“</w:t>
                  </w:r>
                </w:p>
              </w:tc>
            </w:tr>
            <w:tr w:rsidR="00E9128C" w:rsidRPr="00E9128C" w14:paraId="3A6BD56F" w14:textId="77777777" w:rsidTr="00E7465F">
              <w:trPr>
                <w:trHeight w:val="267"/>
              </w:trPr>
              <w:tc>
                <w:tcPr>
                  <w:tcW w:w="51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DD7237B"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Višina prihodka</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178CC93"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30.000</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24CE14B"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50.000</w:t>
                  </w:r>
                </w:p>
              </w:tc>
            </w:tr>
            <w:tr w:rsidR="00E9128C" w:rsidRPr="00E9128C" w14:paraId="49C0734D" w14:textId="77777777" w:rsidTr="00E7465F">
              <w:trPr>
                <w:trHeight w:val="267"/>
              </w:trPr>
              <w:tc>
                <w:tcPr>
                  <w:tcW w:w="51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5E7DF56"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Prispevki za socialno varnost</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B6FC22E"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1.118</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97933AE"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1.118</w:t>
                  </w:r>
                </w:p>
              </w:tc>
            </w:tr>
            <w:tr w:rsidR="00E9128C" w:rsidRPr="00E9128C" w14:paraId="42FEBE7E" w14:textId="77777777" w:rsidTr="00E7465F">
              <w:trPr>
                <w:trHeight w:val="267"/>
              </w:trPr>
              <w:tc>
                <w:tcPr>
                  <w:tcW w:w="51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71429AF"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lastRenderedPageBreak/>
                    <w:t>Normirani odhodki</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B90212C"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17.000</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35585E7"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25.000</w:t>
                  </w:r>
                </w:p>
              </w:tc>
            </w:tr>
            <w:tr w:rsidR="00E9128C" w:rsidRPr="00E9128C" w14:paraId="72490187" w14:textId="77777777" w:rsidTr="00E7465F">
              <w:trPr>
                <w:trHeight w:val="267"/>
              </w:trPr>
              <w:tc>
                <w:tcPr>
                  <w:tcW w:w="51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1DEBDDE"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Davčna osnova</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926BC2D"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13.000</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E0DCB9B"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25.000</w:t>
                  </w:r>
                </w:p>
              </w:tc>
            </w:tr>
            <w:tr w:rsidR="00E9128C" w:rsidRPr="00E9128C" w14:paraId="3E47A64C" w14:textId="77777777" w:rsidTr="00E7465F">
              <w:trPr>
                <w:trHeight w:val="267"/>
              </w:trPr>
              <w:tc>
                <w:tcPr>
                  <w:tcW w:w="51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5CC7A92"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Davek</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0872DD9"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2.600</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CF6AC96"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5.000</w:t>
                  </w:r>
                </w:p>
              </w:tc>
            </w:tr>
            <w:tr w:rsidR="00E9128C" w:rsidRPr="00E9128C" w14:paraId="046FA117" w14:textId="77777777" w:rsidTr="00E7465F">
              <w:trPr>
                <w:trHeight w:val="267"/>
              </w:trPr>
              <w:tc>
                <w:tcPr>
                  <w:tcW w:w="51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DC3871A"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Prispevki + davek</w:t>
                  </w:r>
                </w:p>
              </w:tc>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122D3F4"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3.718</w:t>
                  </w:r>
                </w:p>
              </w:tc>
              <w:tc>
                <w:tcPr>
                  <w:tcW w:w="166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029F383"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6.118</w:t>
                  </w:r>
                </w:p>
              </w:tc>
            </w:tr>
            <w:tr w:rsidR="00E9128C" w:rsidRPr="00E9128C" w14:paraId="05F5ED4E" w14:textId="77777777" w:rsidTr="00E7465F">
              <w:trPr>
                <w:trHeight w:val="186"/>
              </w:trPr>
              <w:tc>
                <w:tcPr>
                  <w:tcW w:w="5135" w:type="dxa"/>
                  <w:tcBorders>
                    <w:top w:val="single" w:sz="4" w:space="0" w:color="auto"/>
                    <w:left w:val="single" w:sz="8" w:space="0" w:color="auto"/>
                    <w:bottom w:val="single" w:sz="8" w:space="0" w:color="auto"/>
                    <w:right w:val="single" w:sz="8" w:space="0" w:color="auto"/>
                  </w:tcBorders>
                  <w:shd w:val="clear" w:color="auto" w:fill="FFD966"/>
                  <w:tcMar>
                    <w:top w:w="0" w:type="dxa"/>
                    <w:left w:w="70" w:type="dxa"/>
                    <w:bottom w:w="0" w:type="dxa"/>
                    <w:right w:w="70" w:type="dxa"/>
                  </w:tcMar>
                  <w:vAlign w:val="bottom"/>
                  <w:hideMark/>
                </w:tcPr>
                <w:p w14:paraId="4983A12F" w14:textId="77777777" w:rsidR="00F83152" w:rsidRPr="00E9128C" w:rsidRDefault="00F83152" w:rsidP="00F83152">
                  <w:pPr>
                    <w:spacing w:after="0" w:line="260" w:lineRule="atLeast"/>
                    <w:jc w:val="both"/>
                    <w:rPr>
                      <w:rFonts w:eastAsia="Times New Roman" w:cs="Arial"/>
                      <w:bCs/>
                      <w:i/>
                      <w:iCs/>
                      <w:szCs w:val="20"/>
                    </w:rPr>
                  </w:pPr>
                  <w:r w:rsidRPr="00E9128C">
                    <w:rPr>
                      <w:rFonts w:eastAsia="Times New Roman" w:cs="Arial"/>
                      <w:bCs/>
                      <w:i/>
                      <w:iCs/>
                      <w:szCs w:val="20"/>
                    </w:rPr>
                    <w:t>Razpoložljivi dohodek (prihodki - prispevki - davek)</w:t>
                  </w:r>
                </w:p>
              </w:tc>
              <w:tc>
                <w:tcPr>
                  <w:tcW w:w="1701" w:type="dxa"/>
                  <w:tcBorders>
                    <w:top w:val="single" w:sz="4" w:space="0" w:color="auto"/>
                    <w:left w:val="nil"/>
                    <w:bottom w:val="single" w:sz="8" w:space="0" w:color="auto"/>
                    <w:right w:val="single" w:sz="8" w:space="0" w:color="auto"/>
                  </w:tcBorders>
                  <w:shd w:val="clear" w:color="auto" w:fill="FFD966"/>
                  <w:noWrap/>
                  <w:tcMar>
                    <w:top w:w="0" w:type="dxa"/>
                    <w:left w:w="70" w:type="dxa"/>
                    <w:bottom w:w="0" w:type="dxa"/>
                    <w:right w:w="70" w:type="dxa"/>
                  </w:tcMar>
                  <w:vAlign w:val="center"/>
                  <w:hideMark/>
                </w:tcPr>
                <w:p w14:paraId="59CB59E5"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26.282</w:t>
                  </w:r>
                </w:p>
              </w:tc>
              <w:tc>
                <w:tcPr>
                  <w:tcW w:w="1669" w:type="dxa"/>
                  <w:tcBorders>
                    <w:top w:val="single" w:sz="4" w:space="0" w:color="auto"/>
                    <w:left w:val="nil"/>
                    <w:bottom w:val="single" w:sz="8" w:space="0" w:color="auto"/>
                    <w:right w:val="single" w:sz="8" w:space="0" w:color="auto"/>
                  </w:tcBorders>
                  <w:shd w:val="clear" w:color="auto" w:fill="FFD966"/>
                  <w:noWrap/>
                  <w:tcMar>
                    <w:top w:w="0" w:type="dxa"/>
                    <w:left w:w="70" w:type="dxa"/>
                    <w:bottom w:w="0" w:type="dxa"/>
                    <w:right w:w="70" w:type="dxa"/>
                  </w:tcMar>
                  <w:vAlign w:val="center"/>
                  <w:hideMark/>
                </w:tcPr>
                <w:p w14:paraId="69448D84" w14:textId="77777777" w:rsidR="00F83152" w:rsidRPr="00E9128C" w:rsidRDefault="00F83152" w:rsidP="00F83152">
                  <w:pPr>
                    <w:spacing w:after="0" w:line="260" w:lineRule="atLeast"/>
                    <w:jc w:val="right"/>
                    <w:rPr>
                      <w:rFonts w:eastAsia="Times New Roman" w:cs="Arial"/>
                      <w:bCs/>
                      <w:szCs w:val="20"/>
                    </w:rPr>
                  </w:pPr>
                  <w:r w:rsidRPr="00E9128C">
                    <w:rPr>
                      <w:rFonts w:eastAsia="Times New Roman" w:cs="Arial"/>
                      <w:bCs/>
                      <w:szCs w:val="20"/>
                    </w:rPr>
                    <w:t>43.882</w:t>
                  </w:r>
                </w:p>
              </w:tc>
            </w:tr>
            <w:tr w:rsidR="00E9128C" w:rsidRPr="00E9128C" w14:paraId="15236793" w14:textId="77777777" w:rsidTr="00E7465F">
              <w:trPr>
                <w:trHeight w:val="267"/>
              </w:trPr>
              <w:tc>
                <w:tcPr>
                  <w:tcW w:w="51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69D6F79" w14:textId="77777777" w:rsidR="00F83152" w:rsidRPr="00E9128C" w:rsidRDefault="00F83152" w:rsidP="00F83152">
                  <w:pPr>
                    <w:spacing w:after="0" w:line="260" w:lineRule="atLeast"/>
                    <w:jc w:val="both"/>
                    <w:rPr>
                      <w:rFonts w:eastAsia="Times New Roman" w:cs="Arial"/>
                      <w:b/>
                      <w:bCs/>
                      <w:i/>
                      <w:iCs/>
                      <w:szCs w:val="20"/>
                    </w:rPr>
                  </w:pPr>
                  <w:r w:rsidRPr="00E9128C">
                    <w:rPr>
                      <w:rFonts w:eastAsia="Times New Roman" w:cs="Arial"/>
                      <w:b/>
                      <w:bCs/>
                      <w:i/>
                      <w:iCs/>
                      <w:szCs w:val="20"/>
                    </w:rPr>
                    <w:t>efektivna stopnja (dohodnina)</w:t>
                  </w:r>
                </w:p>
              </w:tc>
              <w:tc>
                <w:tcPr>
                  <w:tcW w:w="1701"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0CA6042"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9%</w:t>
                  </w:r>
                </w:p>
              </w:tc>
              <w:tc>
                <w:tcPr>
                  <w:tcW w:w="1669"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EDB7BA7"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10%</w:t>
                  </w:r>
                </w:p>
              </w:tc>
            </w:tr>
            <w:tr w:rsidR="00E9128C" w:rsidRPr="00E9128C" w14:paraId="45795E28" w14:textId="77777777" w:rsidTr="00E7465F">
              <w:trPr>
                <w:trHeight w:val="158"/>
              </w:trPr>
              <w:tc>
                <w:tcPr>
                  <w:tcW w:w="5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A4924D5" w14:textId="77777777" w:rsidR="00F83152" w:rsidRPr="00E9128C" w:rsidRDefault="00F83152" w:rsidP="00F83152">
                  <w:pPr>
                    <w:spacing w:after="0" w:line="260" w:lineRule="atLeast"/>
                    <w:jc w:val="both"/>
                    <w:rPr>
                      <w:rFonts w:eastAsia="Times New Roman" w:cs="Arial"/>
                      <w:b/>
                      <w:bCs/>
                      <w:i/>
                      <w:iCs/>
                      <w:szCs w:val="20"/>
                    </w:rPr>
                  </w:pPr>
                  <w:r w:rsidRPr="00E9128C">
                    <w:rPr>
                      <w:rFonts w:eastAsia="Times New Roman" w:cs="Arial"/>
                      <w:b/>
                      <w:bCs/>
                      <w:i/>
                      <w:iCs/>
                      <w:szCs w:val="20"/>
                    </w:rPr>
                    <w:t>Skupna efektivna davčna stopnja (davek + prispevki)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16BC39"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12%</w:t>
                  </w:r>
                </w:p>
              </w:tc>
              <w:tc>
                <w:tcPr>
                  <w:tcW w:w="1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3F9D11" w14:textId="77777777" w:rsidR="00F83152" w:rsidRPr="00E9128C" w:rsidRDefault="00F83152" w:rsidP="00F83152">
                  <w:pPr>
                    <w:spacing w:after="0" w:line="260" w:lineRule="atLeast"/>
                    <w:jc w:val="right"/>
                    <w:rPr>
                      <w:rFonts w:eastAsia="Times New Roman" w:cs="Arial"/>
                      <w:b/>
                      <w:bCs/>
                      <w:szCs w:val="20"/>
                    </w:rPr>
                  </w:pPr>
                  <w:r w:rsidRPr="00E9128C">
                    <w:rPr>
                      <w:rFonts w:eastAsia="Times New Roman" w:cs="Arial"/>
                      <w:b/>
                      <w:bCs/>
                      <w:szCs w:val="20"/>
                    </w:rPr>
                    <w:t>12%</w:t>
                  </w:r>
                </w:p>
              </w:tc>
            </w:tr>
          </w:tbl>
          <w:p w14:paraId="01F234E0" w14:textId="052742CD" w:rsidR="00F83152" w:rsidRPr="00E9128C" w:rsidRDefault="00F83152" w:rsidP="00B962D7">
            <w:pPr>
              <w:pStyle w:val="Alineazatoko"/>
              <w:spacing w:before="40" w:after="40" w:line="240" w:lineRule="auto"/>
              <w:ind w:left="0" w:firstLine="0"/>
              <w:rPr>
                <w:sz w:val="20"/>
                <w:szCs w:val="20"/>
              </w:rPr>
            </w:pPr>
            <w:r w:rsidRPr="00E9128C">
              <w:rPr>
                <w:sz w:val="20"/>
                <w:szCs w:val="20"/>
              </w:rPr>
              <w:t>Vir: Lastni preračuni MF</w:t>
            </w:r>
          </w:p>
          <w:p w14:paraId="08B07CD5" w14:textId="77777777" w:rsidR="00BB049E" w:rsidRPr="00E9128C" w:rsidRDefault="00BB049E" w:rsidP="00FB6591">
            <w:pPr>
              <w:pStyle w:val="Alineazatoko"/>
              <w:spacing w:before="40" w:after="40" w:line="240" w:lineRule="auto"/>
              <w:ind w:left="0" w:firstLine="0"/>
              <w:rPr>
                <w:sz w:val="20"/>
                <w:szCs w:val="20"/>
              </w:rPr>
            </w:pPr>
            <w:r w:rsidRPr="00E9128C">
              <w:rPr>
                <w:sz w:val="20"/>
                <w:szCs w:val="20"/>
              </w:rPr>
              <w:t xml:space="preserve"> </w:t>
            </w:r>
          </w:p>
        </w:tc>
      </w:tr>
      <w:tr w:rsidR="00E9128C" w:rsidRPr="00E9128C" w14:paraId="11D28DFE" w14:textId="77777777" w:rsidTr="00B33072">
        <w:tc>
          <w:tcPr>
            <w:tcW w:w="9072" w:type="dxa"/>
          </w:tcPr>
          <w:p w14:paraId="3E67090A" w14:textId="77777777" w:rsidR="00BB049E" w:rsidRPr="00E9128C" w:rsidRDefault="00BB049E" w:rsidP="00FB6591">
            <w:pPr>
              <w:pStyle w:val="Odsek"/>
              <w:numPr>
                <w:ilvl w:val="0"/>
                <w:numId w:val="0"/>
              </w:numPr>
              <w:spacing w:before="40" w:after="40" w:line="240" w:lineRule="auto"/>
              <w:jc w:val="left"/>
              <w:rPr>
                <w:sz w:val="20"/>
                <w:szCs w:val="20"/>
              </w:rPr>
            </w:pPr>
            <w:r w:rsidRPr="00E9128C">
              <w:rPr>
                <w:sz w:val="20"/>
                <w:szCs w:val="20"/>
              </w:rPr>
              <w:lastRenderedPageBreak/>
              <w:t>6.4 Presoja posledic za socialno področje, in sicer za:</w:t>
            </w:r>
          </w:p>
        </w:tc>
      </w:tr>
      <w:tr w:rsidR="00E9128C" w:rsidRPr="00E9128C" w14:paraId="2F3EEF5B" w14:textId="77777777" w:rsidTr="00B33072">
        <w:tc>
          <w:tcPr>
            <w:tcW w:w="9072" w:type="dxa"/>
          </w:tcPr>
          <w:p w14:paraId="43763C9C" w14:textId="30C873F2" w:rsidR="00BB049E" w:rsidRPr="00E9128C" w:rsidRDefault="009E7F6A" w:rsidP="00FB6591">
            <w:pPr>
              <w:pStyle w:val="Alineazaodstavkom"/>
              <w:numPr>
                <w:ilvl w:val="0"/>
                <w:numId w:val="0"/>
              </w:numPr>
              <w:spacing w:before="40" w:after="40" w:line="240" w:lineRule="auto"/>
              <w:rPr>
                <w:sz w:val="20"/>
                <w:szCs w:val="20"/>
              </w:rPr>
            </w:pPr>
            <w:r w:rsidRPr="00E9128C">
              <w:rPr>
                <w:sz w:val="20"/>
                <w:szCs w:val="20"/>
              </w:rPr>
              <w:t xml:space="preserve">Predlog uvedbe zimskega </w:t>
            </w:r>
            <w:r w:rsidR="00DC1262" w:rsidRPr="00E9128C">
              <w:rPr>
                <w:sz w:val="20"/>
                <w:szCs w:val="20"/>
              </w:rPr>
              <w:t xml:space="preserve">regresa </w:t>
            </w:r>
            <w:r w:rsidRPr="00E9128C">
              <w:rPr>
                <w:sz w:val="20"/>
                <w:szCs w:val="20"/>
              </w:rPr>
              <w:t>bo vplival na izboljšanje neto razpoložljivega dohodka posameznikov, s čimer bo zagotovljena večja socialna varnost in stabilnost vsakega posameznika.</w:t>
            </w:r>
          </w:p>
          <w:p w14:paraId="29ADC7CE" w14:textId="77777777" w:rsidR="000251BD" w:rsidRPr="00E9128C" w:rsidRDefault="000251BD" w:rsidP="00FB6591">
            <w:pPr>
              <w:pStyle w:val="Alineazaodstavkom"/>
              <w:numPr>
                <w:ilvl w:val="0"/>
                <w:numId w:val="0"/>
              </w:numPr>
              <w:spacing w:before="40" w:after="40" w:line="240" w:lineRule="auto"/>
              <w:rPr>
                <w:sz w:val="20"/>
                <w:szCs w:val="20"/>
              </w:rPr>
            </w:pPr>
          </w:p>
          <w:p w14:paraId="02F79AC6" w14:textId="2415C208" w:rsidR="000251BD" w:rsidRPr="00E9128C" w:rsidRDefault="000251BD" w:rsidP="00FB6591">
            <w:pPr>
              <w:pStyle w:val="Alineazaodstavkom"/>
              <w:numPr>
                <w:ilvl w:val="0"/>
                <w:numId w:val="0"/>
              </w:numPr>
              <w:spacing w:before="40" w:after="40" w:line="240" w:lineRule="auto"/>
              <w:rPr>
                <w:sz w:val="20"/>
                <w:szCs w:val="20"/>
              </w:rPr>
            </w:pPr>
            <w:r w:rsidRPr="00E9128C">
              <w:rPr>
                <w:sz w:val="20"/>
                <w:szCs w:val="20"/>
              </w:rPr>
              <w:t xml:space="preserve">Zimski dodatek je namenjen blaženju socialne stiske upokojencev in uživalcev nadomestil iz invalidskega zavarovanja, ki jo prinašajo zimski meseci. Glede na to, da namen zimskega dodatka ni izguba drugih pravic iz javnih sredstev, se ta ne bo štel v dohodek pri ugotavljanju upravičenosti do pravic iz javnih sredstev po predpisih, ki urejajo pravice iz javnih sredstev. </w:t>
            </w:r>
          </w:p>
          <w:p w14:paraId="433757C9" w14:textId="77777777" w:rsidR="000251BD" w:rsidRPr="00E9128C" w:rsidRDefault="000251BD" w:rsidP="00FB6591">
            <w:pPr>
              <w:pStyle w:val="Alineazaodstavkom"/>
              <w:numPr>
                <w:ilvl w:val="0"/>
                <w:numId w:val="0"/>
              </w:numPr>
              <w:spacing w:before="40" w:after="40" w:line="240" w:lineRule="auto"/>
              <w:rPr>
                <w:sz w:val="20"/>
                <w:szCs w:val="20"/>
              </w:rPr>
            </w:pPr>
          </w:p>
          <w:p w14:paraId="2A5886FC" w14:textId="298560E8" w:rsidR="000251BD" w:rsidRPr="00E9128C" w:rsidRDefault="000251BD" w:rsidP="00FB6591">
            <w:pPr>
              <w:pStyle w:val="Alineazaodstavkom"/>
              <w:numPr>
                <w:ilvl w:val="0"/>
                <w:numId w:val="0"/>
              </w:numPr>
              <w:spacing w:before="40" w:after="40" w:line="240" w:lineRule="auto"/>
              <w:rPr>
                <w:sz w:val="20"/>
                <w:szCs w:val="20"/>
              </w:rPr>
            </w:pPr>
            <w:r w:rsidRPr="00E9128C">
              <w:rPr>
                <w:sz w:val="20"/>
                <w:szCs w:val="20"/>
              </w:rPr>
              <w:t>Predlagane spremembe bodo zaradi ugodnejše davčne obravnave dohodkov pozitivno vplivale na sisteme socialne varnosti.</w:t>
            </w:r>
          </w:p>
          <w:p w14:paraId="27F64EEF" w14:textId="3AAEFEC5" w:rsidR="000251BD" w:rsidRPr="00E9128C" w:rsidRDefault="000251BD" w:rsidP="00FB6591">
            <w:pPr>
              <w:pStyle w:val="Alineazaodstavkom"/>
              <w:numPr>
                <w:ilvl w:val="0"/>
                <w:numId w:val="0"/>
              </w:numPr>
              <w:spacing w:before="40" w:after="40" w:line="240" w:lineRule="auto"/>
              <w:rPr>
                <w:sz w:val="20"/>
                <w:szCs w:val="20"/>
              </w:rPr>
            </w:pPr>
          </w:p>
        </w:tc>
      </w:tr>
      <w:tr w:rsidR="00E9128C" w:rsidRPr="00E9128C" w14:paraId="4116079C" w14:textId="77777777" w:rsidTr="00B33072">
        <w:tc>
          <w:tcPr>
            <w:tcW w:w="9072" w:type="dxa"/>
          </w:tcPr>
          <w:p w14:paraId="1C71494E" w14:textId="77777777" w:rsidR="00BB049E" w:rsidRPr="00E9128C" w:rsidRDefault="00BB049E" w:rsidP="00FB6591">
            <w:pPr>
              <w:pStyle w:val="Odsek"/>
              <w:numPr>
                <w:ilvl w:val="0"/>
                <w:numId w:val="0"/>
              </w:numPr>
              <w:spacing w:before="40" w:after="40" w:line="240" w:lineRule="auto"/>
              <w:jc w:val="left"/>
              <w:rPr>
                <w:sz w:val="20"/>
                <w:szCs w:val="20"/>
              </w:rPr>
            </w:pPr>
            <w:r w:rsidRPr="00E9128C">
              <w:rPr>
                <w:sz w:val="20"/>
                <w:szCs w:val="20"/>
              </w:rPr>
              <w:t>6.5 Presoja posledic za dokumente razvojnega načrtovanja, in sicer za:</w:t>
            </w:r>
          </w:p>
        </w:tc>
      </w:tr>
      <w:tr w:rsidR="00E9128C" w:rsidRPr="00E9128C" w14:paraId="10C6ADEF" w14:textId="77777777" w:rsidTr="00B33072">
        <w:tc>
          <w:tcPr>
            <w:tcW w:w="9072" w:type="dxa"/>
          </w:tcPr>
          <w:p w14:paraId="052EB016" w14:textId="77777777" w:rsidR="00BB049E" w:rsidRPr="00E9128C" w:rsidRDefault="00BB049E" w:rsidP="00FB6591">
            <w:pPr>
              <w:pStyle w:val="Alineazaodstavkom"/>
              <w:numPr>
                <w:ilvl w:val="0"/>
                <w:numId w:val="0"/>
              </w:numPr>
              <w:spacing w:before="40" w:after="40" w:line="240" w:lineRule="auto"/>
              <w:rPr>
                <w:sz w:val="20"/>
                <w:szCs w:val="20"/>
              </w:rPr>
            </w:pPr>
            <w:r w:rsidRPr="00E9128C">
              <w:rPr>
                <w:sz w:val="20"/>
                <w:szCs w:val="20"/>
              </w:rPr>
              <w:t>Zakon ne bo vplival na dokumente razvojnega načrtovanja.</w:t>
            </w:r>
          </w:p>
          <w:p w14:paraId="6B25E93F" w14:textId="77777777" w:rsidR="00BB049E" w:rsidRPr="00E9128C" w:rsidRDefault="00BB049E" w:rsidP="00FB6591">
            <w:pPr>
              <w:pStyle w:val="Alineazaodstavkom"/>
              <w:numPr>
                <w:ilvl w:val="0"/>
                <w:numId w:val="0"/>
              </w:numPr>
              <w:spacing w:before="40" w:after="40" w:line="240" w:lineRule="auto"/>
              <w:rPr>
                <w:sz w:val="20"/>
                <w:szCs w:val="20"/>
              </w:rPr>
            </w:pPr>
          </w:p>
          <w:p w14:paraId="28720B00" w14:textId="77777777" w:rsidR="00BB049E" w:rsidRPr="00E9128C" w:rsidRDefault="00BB049E" w:rsidP="00FB6591">
            <w:pPr>
              <w:pStyle w:val="Alineazaodstavkom"/>
              <w:numPr>
                <w:ilvl w:val="0"/>
                <w:numId w:val="0"/>
              </w:numPr>
              <w:spacing w:before="40" w:after="40" w:line="240" w:lineRule="auto"/>
              <w:rPr>
                <w:b/>
                <w:sz w:val="20"/>
                <w:szCs w:val="20"/>
              </w:rPr>
            </w:pPr>
            <w:r w:rsidRPr="00E9128C">
              <w:rPr>
                <w:b/>
                <w:sz w:val="20"/>
                <w:szCs w:val="20"/>
              </w:rPr>
              <w:t>6.6 Presoja posledic za druga področja</w:t>
            </w:r>
          </w:p>
          <w:p w14:paraId="03B75DC1" w14:textId="45C61787" w:rsidR="00BB049E" w:rsidRPr="00E9128C" w:rsidRDefault="00BB049E" w:rsidP="00D8770B">
            <w:pPr>
              <w:pStyle w:val="Alineazaodstavkom"/>
              <w:numPr>
                <w:ilvl w:val="0"/>
                <w:numId w:val="0"/>
              </w:numPr>
              <w:spacing w:before="40" w:after="40" w:line="240" w:lineRule="auto"/>
              <w:rPr>
                <w:sz w:val="20"/>
                <w:szCs w:val="20"/>
              </w:rPr>
            </w:pPr>
            <w:r w:rsidRPr="00E9128C">
              <w:rPr>
                <w:sz w:val="20"/>
                <w:szCs w:val="20"/>
              </w:rPr>
              <w:t>Zakon ne bo vplival na druga področja</w:t>
            </w:r>
            <w:r w:rsidR="00D8770B" w:rsidRPr="00E9128C">
              <w:rPr>
                <w:sz w:val="20"/>
                <w:szCs w:val="20"/>
              </w:rPr>
              <w:t xml:space="preserve">. </w:t>
            </w:r>
          </w:p>
          <w:p w14:paraId="7F2D87FB" w14:textId="7BAEDE24" w:rsidR="00D8770B" w:rsidRPr="00E9128C" w:rsidRDefault="00D8770B" w:rsidP="00D8770B">
            <w:pPr>
              <w:pStyle w:val="Alineazaodstavkom"/>
              <w:numPr>
                <w:ilvl w:val="0"/>
                <w:numId w:val="0"/>
              </w:numPr>
              <w:spacing w:before="40" w:after="40" w:line="240" w:lineRule="auto"/>
              <w:rPr>
                <w:b/>
                <w:sz w:val="20"/>
                <w:szCs w:val="20"/>
              </w:rPr>
            </w:pPr>
          </w:p>
        </w:tc>
      </w:tr>
      <w:tr w:rsidR="00E9128C" w:rsidRPr="00E9128C" w14:paraId="1D5A5563" w14:textId="77777777" w:rsidTr="00B33072">
        <w:tc>
          <w:tcPr>
            <w:tcW w:w="9072" w:type="dxa"/>
          </w:tcPr>
          <w:p w14:paraId="310B6625" w14:textId="77777777" w:rsidR="00BB049E" w:rsidRPr="00E9128C" w:rsidRDefault="00BB049E" w:rsidP="00FB6591">
            <w:pPr>
              <w:pStyle w:val="Odsek"/>
              <w:numPr>
                <w:ilvl w:val="0"/>
                <w:numId w:val="0"/>
              </w:numPr>
              <w:spacing w:before="40" w:after="40" w:line="240" w:lineRule="auto"/>
              <w:jc w:val="left"/>
              <w:rPr>
                <w:sz w:val="20"/>
                <w:szCs w:val="20"/>
              </w:rPr>
            </w:pPr>
            <w:r w:rsidRPr="00E9128C">
              <w:rPr>
                <w:sz w:val="20"/>
                <w:szCs w:val="20"/>
              </w:rPr>
              <w:t>6.7 Izvajanje sprejetega predpisa:</w:t>
            </w:r>
          </w:p>
        </w:tc>
      </w:tr>
      <w:tr w:rsidR="00E9128C" w:rsidRPr="00E9128C" w14:paraId="5368BB1A" w14:textId="77777777" w:rsidTr="00B33072">
        <w:tc>
          <w:tcPr>
            <w:tcW w:w="9072" w:type="dxa"/>
          </w:tcPr>
          <w:p w14:paraId="6C624601" w14:textId="77777777" w:rsidR="00797775" w:rsidRPr="00E9128C" w:rsidRDefault="00797775" w:rsidP="00797775">
            <w:pPr>
              <w:pStyle w:val="rkovnatokazaodstavkom"/>
              <w:numPr>
                <w:ilvl w:val="0"/>
                <w:numId w:val="19"/>
              </w:numPr>
              <w:spacing w:before="40" w:after="40" w:line="240" w:lineRule="auto"/>
              <w:rPr>
                <w:rFonts w:cs="Arial"/>
                <w:b/>
                <w:bCs/>
                <w:sz w:val="20"/>
                <w:szCs w:val="20"/>
              </w:rPr>
            </w:pPr>
            <w:r w:rsidRPr="00E9128C">
              <w:rPr>
                <w:rFonts w:cs="Arial"/>
                <w:b/>
                <w:bCs/>
                <w:sz w:val="20"/>
                <w:szCs w:val="20"/>
              </w:rPr>
              <w:t>Predstavitev sprejetega zakona:</w:t>
            </w:r>
          </w:p>
          <w:p w14:paraId="11247699" w14:textId="77777777" w:rsidR="00797775" w:rsidRPr="00E9128C" w:rsidRDefault="00797775" w:rsidP="00797775">
            <w:pPr>
              <w:pStyle w:val="rkovnatokazaodstavkom"/>
              <w:numPr>
                <w:ilvl w:val="0"/>
                <w:numId w:val="0"/>
              </w:numPr>
              <w:spacing w:before="40" w:after="40" w:line="240" w:lineRule="auto"/>
              <w:rPr>
                <w:rFonts w:cs="Arial"/>
                <w:sz w:val="20"/>
                <w:szCs w:val="20"/>
              </w:rPr>
            </w:pPr>
            <w:r w:rsidRPr="00E9128C">
              <w:rPr>
                <w:rFonts w:cs="Arial"/>
                <w:sz w:val="20"/>
                <w:szCs w:val="20"/>
              </w:rPr>
              <w:t xml:space="preserve">Sprejeti zakon bo predstavljen ciljnim skupinam/delodajalcem ter širši javnosti prek medijev in spleta. </w:t>
            </w:r>
          </w:p>
          <w:p w14:paraId="3EE68427" w14:textId="77777777" w:rsidR="00797775" w:rsidRPr="00E9128C" w:rsidRDefault="00797775" w:rsidP="00797775">
            <w:pPr>
              <w:pStyle w:val="Alineazatoko"/>
              <w:tabs>
                <w:tab w:val="clear" w:pos="720"/>
              </w:tabs>
              <w:spacing w:before="40" w:after="40" w:line="240" w:lineRule="auto"/>
              <w:rPr>
                <w:sz w:val="20"/>
                <w:szCs w:val="20"/>
              </w:rPr>
            </w:pPr>
          </w:p>
          <w:p w14:paraId="2C68AB54" w14:textId="77777777" w:rsidR="00797775" w:rsidRPr="00E9128C" w:rsidRDefault="00797775" w:rsidP="00797775">
            <w:pPr>
              <w:numPr>
                <w:ilvl w:val="0"/>
                <w:numId w:val="19"/>
              </w:numPr>
              <w:overflowPunct w:val="0"/>
              <w:autoSpaceDE w:val="0"/>
              <w:autoSpaceDN w:val="0"/>
              <w:adjustRightInd w:val="0"/>
              <w:spacing w:after="0" w:line="260" w:lineRule="atLeast"/>
              <w:contextualSpacing/>
              <w:jc w:val="both"/>
              <w:textAlignment w:val="baseline"/>
              <w:rPr>
                <w:rFonts w:cs="Arial"/>
                <w:b/>
                <w:bCs/>
                <w:szCs w:val="20"/>
                <w:lang w:eastAsia="sl-SI"/>
              </w:rPr>
            </w:pPr>
            <w:r w:rsidRPr="00E9128C">
              <w:rPr>
                <w:rFonts w:cs="Arial"/>
                <w:b/>
                <w:bCs/>
                <w:szCs w:val="20"/>
                <w:lang w:eastAsia="sl-SI"/>
              </w:rPr>
              <w:t>Spremljanje izvajanja sprejetega predpisa:</w:t>
            </w:r>
          </w:p>
          <w:p w14:paraId="46818337" w14:textId="2CC2CD32" w:rsidR="00797775" w:rsidRPr="00E9128C" w:rsidRDefault="00797775" w:rsidP="00797775">
            <w:pPr>
              <w:pStyle w:val="rkovnatokazaodstavkom"/>
              <w:numPr>
                <w:ilvl w:val="0"/>
                <w:numId w:val="0"/>
              </w:numPr>
              <w:spacing w:before="40" w:after="40" w:line="240" w:lineRule="auto"/>
              <w:rPr>
                <w:rFonts w:cs="Arial"/>
                <w:sz w:val="20"/>
                <w:szCs w:val="20"/>
              </w:rPr>
            </w:pPr>
            <w:r w:rsidRPr="00E9128C">
              <w:rPr>
                <w:sz w:val="20"/>
                <w:szCs w:val="20"/>
              </w:rPr>
              <w:t>Za izvajanje zakona sta pristojna Finančna uprava Republike Slovenije in Inšpektorat Republike Slovenije za delo.</w:t>
            </w:r>
          </w:p>
          <w:p w14:paraId="33EE2E08" w14:textId="77777777" w:rsidR="00BB049E" w:rsidRPr="00E9128C" w:rsidRDefault="00BB049E" w:rsidP="00FB6591">
            <w:pPr>
              <w:pStyle w:val="Alineazatoko"/>
              <w:tabs>
                <w:tab w:val="clear" w:pos="720"/>
              </w:tabs>
              <w:spacing w:before="40" w:after="40" w:line="240" w:lineRule="auto"/>
              <w:rPr>
                <w:sz w:val="20"/>
                <w:szCs w:val="20"/>
              </w:rPr>
            </w:pPr>
          </w:p>
        </w:tc>
      </w:tr>
    </w:tbl>
    <w:p w14:paraId="73DEB83F" w14:textId="77777777" w:rsidR="00BB049E" w:rsidRPr="00E9128C" w:rsidRDefault="00BB049E" w:rsidP="00BB37FE">
      <w:pPr>
        <w:pStyle w:val="Odstavekseznama"/>
        <w:numPr>
          <w:ilvl w:val="0"/>
          <w:numId w:val="10"/>
        </w:numPr>
        <w:rPr>
          <w:b/>
          <w:bCs/>
        </w:rPr>
      </w:pPr>
      <w:r w:rsidRPr="00E9128C">
        <w:rPr>
          <w:b/>
          <w:bCs/>
        </w:rPr>
        <w:t xml:space="preserve"> PRIKAZ SODELOVANJA JAVNOSTI PRI PRIPRAVI PREDLOGA ZAKONA:</w:t>
      </w:r>
    </w:p>
    <w:p w14:paraId="424F46FE" w14:textId="77777777" w:rsidR="00BB049E" w:rsidRPr="00E9128C" w:rsidRDefault="00BB049E" w:rsidP="00BB049E">
      <w:pPr>
        <w:pStyle w:val="Odstavekseznama"/>
        <w:overflowPunct w:val="0"/>
        <w:autoSpaceDE w:val="0"/>
        <w:autoSpaceDN w:val="0"/>
        <w:adjustRightInd w:val="0"/>
        <w:spacing w:before="40" w:after="40" w:line="240" w:lineRule="auto"/>
        <w:jc w:val="both"/>
        <w:textAlignment w:val="baseline"/>
        <w:rPr>
          <w:rFonts w:cs="Arial"/>
          <w:szCs w:val="20"/>
        </w:rPr>
      </w:pPr>
    </w:p>
    <w:p w14:paraId="3E1F7911" w14:textId="77777777" w:rsidR="00D8770B" w:rsidRPr="00E9128C" w:rsidRDefault="00BB049E" w:rsidP="00BB049E">
      <w:pPr>
        <w:overflowPunct w:val="0"/>
        <w:autoSpaceDE w:val="0"/>
        <w:autoSpaceDN w:val="0"/>
        <w:adjustRightInd w:val="0"/>
        <w:spacing w:before="40" w:after="40" w:line="240" w:lineRule="auto"/>
        <w:jc w:val="both"/>
        <w:textAlignment w:val="baseline"/>
      </w:pPr>
      <w:r w:rsidRPr="00E9128C">
        <w:t>Predlog zakona ni bil objavljen na portalu E-demokracija</w:t>
      </w:r>
      <w:r w:rsidR="00D8770B" w:rsidRPr="00E9128C">
        <w:t>.</w:t>
      </w:r>
    </w:p>
    <w:p w14:paraId="76B64569" w14:textId="77777777" w:rsidR="00BB049E" w:rsidRPr="00E9128C" w:rsidRDefault="00BB049E" w:rsidP="00BB049E">
      <w:pPr>
        <w:pStyle w:val="rkovnatokazaodstavkom"/>
        <w:numPr>
          <w:ilvl w:val="0"/>
          <w:numId w:val="0"/>
        </w:numPr>
        <w:spacing w:line="260" w:lineRule="exact"/>
        <w:rPr>
          <w:rFonts w:cs="Arial"/>
          <w:sz w:val="20"/>
          <w:szCs w:val="20"/>
        </w:rPr>
      </w:pPr>
    </w:p>
    <w:p w14:paraId="4991BD16" w14:textId="77777777" w:rsidR="00BB049E" w:rsidRPr="00E9128C" w:rsidRDefault="00BB049E" w:rsidP="00BB37FE">
      <w:pPr>
        <w:pStyle w:val="Odstavekseznama"/>
        <w:numPr>
          <w:ilvl w:val="0"/>
          <w:numId w:val="10"/>
        </w:numPr>
        <w:jc w:val="both"/>
        <w:rPr>
          <w:b/>
          <w:bCs/>
        </w:rPr>
      </w:pPr>
      <w:r w:rsidRPr="00E9128C">
        <w:rPr>
          <w:b/>
          <w:bCs/>
        </w:rPr>
        <w:t>PODATEK O ZUNANJEM STROKOVNJAKU OZIROMA PRAVNI OSEBI, KI JE SODELOVALA PRI PRIPRAVI PREDLOGA ZAKONA, IN ZNESKU PLAČILA ZA TA NAMEN:</w:t>
      </w:r>
    </w:p>
    <w:p w14:paraId="770FDD37" w14:textId="77777777" w:rsidR="00BB049E" w:rsidRPr="00E9128C" w:rsidRDefault="00BB049E" w:rsidP="00BB049E">
      <w:pPr>
        <w:pStyle w:val="Odsek"/>
        <w:numPr>
          <w:ilvl w:val="0"/>
          <w:numId w:val="0"/>
        </w:numPr>
        <w:spacing w:before="0" w:after="0" w:line="260" w:lineRule="exact"/>
        <w:jc w:val="left"/>
        <w:rPr>
          <w:b w:val="0"/>
          <w:bCs/>
          <w:sz w:val="20"/>
          <w:szCs w:val="20"/>
        </w:rPr>
      </w:pPr>
      <w:r w:rsidRPr="00E9128C">
        <w:rPr>
          <w:b w:val="0"/>
          <w:bCs/>
          <w:sz w:val="20"/>
          <w:szCs w:val="20"/>
        </w:rPr>
        <w:t>Pri pripravi predloga zakona niso sodelovali zunanji strokovnjaki. Izplačano ni bilo nobeno plačilo.</w:t>
      </w:r>
    </w:p>
    <w:p w14:paraId="36A67A39" w14:textId="77777777" w:rsidR="00BB049E" w:rsidRPr="00E9128C" w:rsidRDefault="00BB049E" w:rsidP="00BB049E">
      <w:pPr>
        <w:pStyle w:val="Odsek"/>
        <w:numPr>
          <w:ilvl w:val="0"/>
          <w:numId w:val="0"/>
        </w:numPr>
        <w:spacing w:before="0" w:after="0" w:line="260" w:lineRule="exact"/>
        <w:jc w:val="left"/>
        <w:rPr>
          <w:sz w:val="20"/>
          <w:szCs w:val="20"/>
        </w:rPr>
      </w:pPr>
    </w:p>
    <w:p w14:paraId="2BAB9E45" w14:textId="77777777" w:rsidR="00BB049E" w:rsidRPr="00E9128C" w:rsidRDefault="00BB049E" w:rsidP="00BB37FE">
      <w:pPr>
        <w:pStyle w:val="Odstavekseznama"/>
        <w:numPr>
          <w:ilvl w:val="0"/>
          <w:numId w:val="10"/>
        </w:numPr>
        <w:rPr>
          <w:b/>
          <w:bCs/>
        </w:rPr>
      </w:pPr>
      <w:r w:rsidRPr="00E9128C">
        <w:rPr>
          <w:b/>
          <w:bCs/>
        </w:rPr>
        <w:t>NAVEDBA, KATERI PREDSTAVNIKI PREDLAGATELJA BODO SODELOVALI PRI DELU DRŽAVNEGA ZBORA IN DELOVNIH TELES</w:t>
      </w:r>
    </w:p>
    <w:p w14:paraId="58AA04DE" w14:textId="77777777" w:rsidR="00B83101" w:rsidRPr="00E9128C" w:rsidRDefault="00B83101" w:rsidP="008A4972">
      <w:pPr>
        <w:pStyle w:val="Neotevilenodstavek"/>
        <w:spacing w:before="0" w:after="0" w:line="288" w:lineRule="auto"/>
        <w:ind w:left="360"/>
        <w:rPr>
          <w:rFonts w:cs="Arial"/>
          <w:sz w:val="20"/>
          <w:szCs w:val="20"/>
        </w:rPr>
      </w:pPr>
      <w:r w:rsidRPr="00E9128C">
        <w:rPr>
          <w:rFonts w:cs="Arial"/>
          <w:sz w:val="20"/>
          <w:szCs w:val="20"/>
        </w:rPr>
        <w:t>- Klemen Boštjančič, minister, Ministrstvo za finance,</w:t>
      </w:r>
    </w:p>
    <w:p w14:paraId="6E34B029" w14:textId="77777777" w:rsidR="00B83101" w:rsidRPr="00E9128C" w:rsidRDefault="00B83101" w:rsidP="00B83101">
      <w:pPr>
        <w:pStyle w:val="Neotevilenodstavek"/>
        <w:spacing w:before="0" w:after="0" w:line="288" w:lineRule="auto"/>
        <w:ind w:left="360"/>
        <w:rPr>
          <w:rFonts w:cs="Arial"/>
          <w:sz w:val="20"/>
          <w:szCs w:val="20"/>
        </w:rPr>
      </w:pPr>
      <w:r w:rsidRPr="00E9128C">
        <w:rPr>
          <w:rFonts w:cs="Arial"/>
          <w:sz w:val="20"/>
          <w:szCs w:val="20"/>
        </w:rPr>
        <w:t>- mag. Katja Božič, državna sekretarka, Ministrstvo za finance,</w:t>
      </w:r>
    </w:p>
    <w:p w14:paraId="5A8BFDC1" w14:textId="600952DD" w:rsidR="007B0006" w:rsidRPr="00E9128C" w:rsidRDefault="007B0006" w:rsidP="007B0006">
      <w:pPr>
        <w:pStyle w:val="Neotevilenodstavek"/>
        <w:spacing w:before="0" w:after="0" w:line="288" w:lineRule="auto"/>
        <w:ind w:left="360"/>
        <w:rPr>
          <w:rFonts w:cs="Arial"/>
          <w:sz w:val="20"/>
          <w:szCs w:val="20"/>
        </w:rPr>
      </w:pPr>
      <w:r w:rsidRPr="00E9128C">
        <w:rPr>
          <w:rFonts w:cs="Arial"/>
          <w:sz w:val="20"/>
          <w:szCs w:val="20"/>
        </w:rPr>
        <w:t>- mag. Tina Humar, generalna direktorica Direktorata za sistem davčnih, carinskih in drugih javnih prihodkov, Ministrstvo za finance</w:t>
      </w:r>
      <w:r>
        <w:rPr>
          <w:rFonts w:cs="Arial"/>
          <w:sz w:val="20"/>
          <w:szCs w:val="20"/>
        </w:rPr>
        <w:t>,</w:t>
      </w:r>
    </w:p>
    <w:p w14:paraId="71E3946E" w14:textId="77777777" w:rsidR="00BB049E" w:rsidRPr="00E9128C" w:rsidRDefault="00BB049E" w:rsidP="00BB049E">
      <w:pPr>
        <w:pStyle w:val="Neotevilenodstavek"/>
        <w:spacing w:before="0" w:after="0" w:line="288" w:lineRule="auto"/>
        <w:ind w:left="360"/>
        <w:rPr>
          <w:rFonts w:cs="Arial"/>
          <w:sz w:val="20"/>
          <w:szCs w:val="20"/>
        </w:rPr>
      </w:pPr>
      <w:r w:rsidRPr="00E9128C">
        <w:rPr>
          <w:rFonts w:cs="Arial"/>
          <w:sz w:val="20"/>
          <w:szCs w:val="20"/>
        </w:rPr>
        <w:lastRenderedPageBreak/>
        <w:t>- Luka Mesec, minister, Ministrstvo za delo, družino, socialne zadeve in enake možnosti,</w:t>
      </w:r>
    </w:p>
    <w:p w14:paraId="2FF3AAB7" w14:textId="77777777" w:rsidR="00BB049E" w:rsidRPr="00E9128C" w:rsidRDefault="00BB049E" w:rsidP="00BB049E">
      <w:pPr>
        <w:pStyle w:val="Neotevilenodstavek"/>
        <w:spacing w:before="0" w:after="0" w:line="288" w:lineRule="auto"/>
        <w:ind w:left="360"/>
        <w:rPr>
          <w:rFonts w:cs="Arial"/>
          <w:sz w:val="20"/>
          <w:szCs w:val="20"/>
        </w:rPr>
      </w:pPr>
      <w:r w:rsidRPr="00E9128C">
        <w:rPr>
          <w:rFonts w:cs="Arial"/>
          <w:sz w:val="20"/>
          <w:szCs w:val="20"/>
        </w:rPr>
        <w:t>- Igor Feketija, državni sekretar, Ministrstvo za delo, družino, socialne zadeve in enake možnosti,</w:t>
      </w:r>
    </w:p>
    <w:p w14:paraId="31E8F750" w14:textId="77777777" w:rsidR="00BB049E" w:rsidRPr="00E9128C" w:rsidRDefault="00BB049E" w:rsidP="00BB049E">
      <w:pPr>
        <w:pStyle w:val="Neotevilenodstavek"/>
        <w:spacing w:before="0" w:after="0" w:line="288" w:lineRule="auto"/>
        <w:ind w:left="360"/>
        <w:rPr>
          <w:rFonts w:cs="Arial"/>
          <w:sz w:val="20"/>
          <w:szCs w:val="20"/>
        </w:rPr>
      </w:pPr>
      <w:r w:rsidRPr="00E9128C">
        <w:rPr>
          <w:rFonts w:cs="Arial"/>
          <w:sz w:val="20"/>
          <w:szCs w:val="20"/>
        </w:rPr>
        <w:t>- Dan Juvan, državni sekretar, Ministrstvo za delo, družino, socialne zadeve in enake možnosti,</w:t>
      </w:r>
    </w:p>
    <w:p w14:paraId="17AEBA14" w14:textId="77777777" w:rsidR="00BB049E" w:rsidRPr="00E9128C" w:rsidRDefault="00BB049E" w:rsidP="00BB049E">
      <w:pPr>
        <w:pStyle w:val="Neotevilenodstavek"/>
        <w:spacing w:before="0" w:after="0" w:line="288" w:lineRule="auto"/>
        <w:ind w:left="360"/>
        <w:rPr>
          <w:rFonts w:cs="Arial"/>
          <w:sz w:val="20"/>
          <w:szCs w:val="20"/>
        </w:rPr>
      </w:pPr>
      <w:r w:rsidRPr="00E9128C">
        <w:rPr>
          <w:rFonts w:cs="Arial"/>
          <w:sz w:val="20"/>
          <w:szCs w:val="20"/>
        </w:rPr>
        <w:t>- Lidija Šubelj, generalna direktorica Direktorata za delovna razmerja in pravice iz dela, Ministrstvo za delo, družino, socialne zadeve in enake možnosti,</w:t>
      </w:r>
    </w:p>
    <w:p w14:paraId="7B438D27" w14:textId="1514D1A6" w:rsidR="00BB049E" w:rsidRPr="00E9128C" w:rsidRDefault="00BB049E" w:rsidP="00BB049E">
      <w:pPr>
        <w:pStyle w:val="Neotevilenodstavek"/>
        <w:spacing w:before="0" w:after="0" w:line="288" w:lineRule="auto"/>
        <w:ind w:left="360"/>
        <w:rPr>
          <w:rFonts w:cs="Arial"/>
          <w:sz w:val="20"/>
          <w:szCs w:val="20"/>
        </w:rPr>
      </w:pPr>
      <w:r w:rsidRPr="00E9128C">
        <w:rPr>
          <w:rFonts w:cs="Arial"/>
          <w:sz w:val="20"/>
          <w:szCs w:val="20"/>
        </w:rPr>
        <w:t>- Tanja Podlipnik, vodja Sektorja za delovna razmerja in druge oblike dela, Ministrstvo za delo, družino, socialne zadeve in enake možnosti</w:t>
      </w:r>
      <w:r w:rsidR="00B360B0" w:rsidRPr="00E9128C">
        <w:rPr>
          <w:rFonts w:cs="Arial"/>
          <w:sz w:val="20"/>
          <w:szCs w:val="20"/>
        </w:rPr>
        <w:t>,</w:t>
      </w:r>
    </w:p>
    <w:p w14:paraId="45479E14" w14:textId="4FCF6DE7" w:rsidR="00B360B0" w:rsidRPr="00E9128C" w:rsidRDefault="00B360B0" w:rsidP="00BB049E">
      <w:pPr>
        <w:pStyle w:val="Neotevilenodstavek"/>
        <w:spacing w:before="0" w:after="0" w:line="288" w:lineRule="auto"/>
        <w:ind w:left="360"/>
        <w:rPr>
          <w:rFonts w:cs="Arial"/>
          <w:sz w:val="20"/>
          <w:szCs w:val="20"/>
        </w:rPr>
      </w:pPr>
      <w:r w:rsidRPr="00E9128C">
        <w:rPr>
          <w:rFonts w:cs="Arial"/>
          <w:sz w:val="20"/>
          <w:szCs w:val="20"/>
        </w:rPr>
        <w:t>- Nina Piškur, vodja Sektorja za pokojnine in pravice iz dela, Ministrstvo za delo, družino, socialne zadeve in enake možnosti.</w:t>
      </w:r>
    </w:p>
    <w:p w14:paraId="698B1530" w14:textId="77777777" w:rsidR="00BB049E" w:rsidRPr="00E9128C" w:rsidRDefault="00BB049E" w:rsidP="00BB049E">
      <w:pPr>
        <w:pStyle w:val="rkovnatokazaodstavkom"/>
        <w:numPr>
          <w:ilvl w:val="0"/>
          <w:numId w:val="0"/>
        </w:numPr>
        <w:spacing w:line="260" w:lineRule="exact"/>
        <w:ind w:left="360"/>
        <w:rPr>
          <w:rFonts w:cs="Arial"/>
          <w:bCs/>
          <w:sz w:val="20"/>
          <w:szCs w:val="20"/>
        </w:rPr>
      </w:pPr>
    </w:p>
    <w:p w14:paraId="17B8D4BE" w14:textId="77777777" w:rsidR="00BB049E" w:rsidRPr="00E9128C" w:rsidRDefault="00BB049E" w:rsidP="00BB049E">
      <w:pPr>
        <w:rPr>
          <w:b/>
          <w:bCs/>
        </w:rPr>
      </w:pPr>
      <w:r w:rsidRPr="00E9128C">
        <w:rPr>
          <w:b/>
          <w:bCs/>
        </w:rPr>
        <w:br w:type="page"/>
      </w:r>
    </w:p>
    <w:p w14:paraId="7600FCE6" w14:textId="3D15A0BA" w:rsidR="00C51FFB" w:rsidRPr="00E9128C" w:rsidRDefault="00BB049E" w:rsidP="00C51FFB">
      <w:pPr>
        <w:pStyle w:val="Odstavekseznama"/>
        <w:numPr>
          <w:ilvl w:val="0"/>
          <w:numId w:val="9"/>
        </w:numPr>
        <w:spacing w:line="260" w:lineRule="exact"/>
        <w:ind w:left="714" w:hanging="357"/>
        <w:rPr>
          <w:b/>
          <w:bCs/>
        </w:rPr>
      </w:pPr>
      <w:bookmarkStart w:id="10" w:name="_Hlk184903284"/>
      <w:r w:rsidRPr="00E9128C">
        <w:rPr>
          <w:b/>
          <w:bCs/>
        </w:rPr>
        <w:lastRenderedPageBreak/>
        <w:t>BESEDILO ČLENOV</w:t>
      </w:r>
    </w:p>
    <w:p w14:paraId="78779FAA" w14:textId="1B504A09" w:rsidR="00C51FFB" w:rsidRPr="00E9128C" w:rsidRDefault="00C51FFB" w:rsidP="00E9128C">
      <w:pPr>
        <w:spacing w:line="260" w:lineRule="exact"/>
        <w:jc w:val="center"/>
        <w:rPr>
          <w:b/>
          <w:bCs/>
        </w:rPr>
      </w:pPr>
      <w:r w:rsidRPr="00E9128C">
        <w:rPr>
          <w:b/>
          <w:bCs/>
        </w:rPr>
        <w:t>I. SPLOŠNA DOLOČBA</w:t>
      </w:r>
    </w:p>
    <w:p w14:paraId="16E9795F" w14:textId="614DDA60"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w:t>
      </w:r>
      <w:r w:rsidR="0011743A" w:rsidRPr="00E9128C">
        <w:rPr>
          <w:rFonts w:cs="Arial"/>
          <w:b/>
          <w:szCs w:val="20"/>
        </w:rPr>
        <w:t>len</w:t>
      </w:r>
      <w:bookmarkStart w:id="11" w:name="_Hlk184901489"/>
    </w:p>
    <w:p w14:paraId="1EBBA639" w14:textId="5ABB92C3" w:rsidR="0011743A" w:rsidRPr="00E9128C" w:rsidRDefault="0011743A" w:rsidP="00D22D07">
      <w:pPr>
        <w:spacing w:after="0" w:line="260" w:lineRule="atLeast"/>
        <w:jc w:val="center"/>
        <w:rPr>
          <w:rFonts w:cs="Arial"/>
          <w:b/>
          <w:szCs w:val="20"/>
        </w:rPr>
      </w:pPr>
      <w:r w:rsidRPr="00E9128C">
        <w:rPr>
          <w:rFonts w:cs="Arial"/>
          <w:b/>
          <w:bCs/>
          <w:szCs w:val="20"/>
        </w:rPr>
        <w:t>(vsebina)</w:t>
      </w:r>
    </w:p>
    <w:p w14:paraId="1FE4964D" w14:textId="77777777" w:rsidR="0011743A" w:rsidRPr="00E9128C" w:rsidRDefault="0011743A" w:rsidP="0011743A">
      <w:pPr>
        <w:spacing w:after="0" w:line="276" w:lineRule="auto"/>
        <w:jc w:val="center"/>
        <w:rPr>
          <w:rFonts w:cs="Arial"/>
          <w:b/>
          <w:bCs/>
          <w:szCs w:val="20"/>
        </w:rPr>
      </w:pPr>
    </w:p>
    <w:p w14:paraId="1F66C74A" w14:textId="60506AFD" w:rsidR="0011743A" w:rsidRPr="00E9128C" w:rsidRDefault="0011743A" w:rsidP="0011743A">
      <w:pPr>
        <w:spacing w:after="0" w:line="276" w:lineRule="auto"/>
        <w:jc w:val="both"/>
        <w:rPr>
          <w:rFonts w:cs="Arial"/>
          <w:szCs w:val="20"/>
        </w:rPr>
      </w:pPr>
      <w:r w:rsidRPr="00E9128C">
        <w:rPr>
          <w:rFonts w:cs="Arial"/>
          <w:szCs w:val="20"/>
        </w:rPr>
        <w:t>(1)</w:t>
      </w:r>
      <w:r w:rsidR="002B0913" w:rsidRPr="00E9128C">
        <w:rPr>
          <w:rFonts w:cs="Arial"/>
          <w:szCs w:val="20"/>
        </w:rPr>
        <w:t xml:space="preserve"> </w:t>
      </w:r>
      <w:r w:rsidR="00F13992" w:rsidRPr="00E9128C">
        <w:rPr>
          <w:rFonts w:cs="Arial"/>
          <w:szCs w:val="20"/>
        </w:rPr>
        <w:t>Ta zakon določa</w:t>
      </w:r>
      <w:r w:rsidRPr="00E9128C">
        <w:rPr>
          <w:rFonts w:cs="Arial"/>
          <w:szCs w:val="20"/>
        </w:rPr>
        <w:t xml:space="preserve"> pravic</w:t>
      </w:r>
      <w:r w:rsidR="00F13992" w:rsidRPr="00E9128C">
        <w:rPr>
          <w:rFonts w:cs="Arial"/>
          <w:szCs w:val="20"/>
        </w:rPr>
        <w:t>o</w:t>
      </w:r>
      <w:r w:rsidRPr="00E9128C">
        <w:rPr>
          <w:rFonts w:cs="Arial"/>
          <w:szCs w:val="20"/>
        </w:rPr>
        <w:t xml:space="preserve"> </w:t>
      </w:r>
      <w:r w:rsidR="00015F12" w:rsidRPr="00E9128C">
        <w:rPr>
          <w:rFonts w:cs="Arial"/>
          <w:szCs w:val="20"/>
        </w:rPr>
        <w:t xml:space="preserve">delavke in delavca (v nadaljnjem besedilu: delavec) </w:t>
      </w:r>
      <w:r w:rsidRPr="00E9128C">
        <w:rPr>
          <w:rFonts w:cs="Arial"/>
          <w:szCs w:val="20"/>
        </w:rPr>
        <w:t xml:space="preserve">do zimskega </w:t>
      </w:r>
      <w:r w:rsidR="00DC1262" w:rsidRPr="00E9128C">
        <w:rPr>
          <w:rFonts w:cs="Arial"/>
          <w:szCs w:val="20"/>
        </w:rPr>
        <w:t>regresa</w:t>
      </w:r>
      <w:r w:rsidR="00F13992" w:rsidRPr="00E9128C">
        <w:rPr>
          <w:rFonts w:cs="Arial"/>
          <w:szCs w:val="20"/>
        </w:rPr>
        <w:t xml:space="preserve">, njegovo višino, izplačilo in </w:t>
      </w:r>
      <w:r w:rsidR="00755AA9">
        <w:rPr>
          <w:rFonts w:cs="Arial"/>
          <w:szCs w:val="20"/>
        </w:rPr>
        <w:t xml:space="preserve">obravnavo glede plačila dohodnine in </w:t>
      </w:r>
      <w:r w:rsidR="00F13992" w:rsidRPr="00E9128C">
        <w:rPr>
          <w:rFonts w:cs="Arial"/>
          <w:szCs w:val="20"/>
        </w:rPr>
        <w:t>prispevkov za socialno varnost</w:t>
      </w:r>
      <w:r w:rsidRPr="00E9128C">
        <w:rPr>
          <w:rFonts w:cs="Arial"/>
          <w:szCs w:val="20"/>
        </w:rPr>
        <w:t>.</w:t>
      </w:r>
      <w:r w:rsidR="00080B23" w:rsidRPr="00E9128C">
        <w:t xml:space="preserve"> </w:t>
      </w:r>
      <w:bookmarkStart w:id="12" w:name="_Hlk212646720"/>
      <w:r w:rsidR="00080B23" w:rsidRPr="00E9128C">
        <w:rPr>
          <w:rFonts w:cs="Arial"/>
          <w:szCs w:val="20"/>
        </w:rPr>
        <w:t xml:space="preserve">S tem zakonom se ureja tudi odstop od </w:t>
      </w:r>
      <w:r w:rsidR="00A25336">
        <w:rPr>
          <w:rFonts w:cs="Arial"/>
          <w:szCs w:val="20"/>
        </w:rPr>
        <w:t xml:space="preserve">določb </w:t>
      </w:r>
      <w:r w:rsidR="00080B23" w:rsidRPr="00E9128C">
        <w:rPr>
          <w:rFonts w:cs="Arial"/>
          <w:szCs w:val="20"/>
        </w:rPr>
        <w:t>Zakona o dohodnini (Uradni list RS, št. 13/11 – uradno prečiščeno besedilo, 9/12 – odl. US, 24/12, 30/12, 40/12 – ZUJF, 75/12, 94/12, 52/13 – odl. US, 96/13, 29/14 – odl. US, 50/14, 23/15, 55/15, 63/16, 69/17, 21/19, 28/19, 66/19, 39/22, 132/22 – odl. US, 158/22, 131/23 – ZORZFS, 104/24, 22/25 – ZZZRO-1 in 40/25 – ZINR; v nadaljnjem besedilu: ZDoh-2)</w:t>
      </w:r>
      <w:r w:rsidR="00A25336" w:rsidRPr="00A25336">
        <w:rPr>
          <w:rFonts w:cs="Arial"/>
        </w:rPr>
        <w:t xml:space="preserve"> </w:t>
      </w:r>
      <w:r w:rsidR="00A25336" w:rsidRPr="00A25336">
        <w:rPr>
          <w:rFonts w:cs="Arial"/>
          <w:szCs w:val="20"/>
        </w:rPr>
        <w:t>glede ugotavljanja davčne osnove z upoštevanjem normiranih odhodkov</w:t>
      </w:r>
      <w:r w:rsidR="008A4972">
        <w:rPr>
          <w:rFonts w:cs="Arial"/>
          <w:szCs w:val="20"/>
        </w:rPr>
        <w:t>.</w:t>
      </w:r>
    </w:p>
    <w:bookmarkEnd w:id="12"/>
    <w:p w14:paraId="44F82804" w14:textId="77777777" w:rsidR="0011743A" w:rsidRPr="00E9128C" w:rsidRDefault="0011743A" w:rsidP="0011743A">
      <w:pPr>
        <w:spacing w:after="0" w:line="276" w:lineRule="auto"/>
        <w:jc w:val="both"/>
        <w:rPr>
          <w:rFonts w:cs="Arial"/>
          <w:szCs w:val="20"/>
        </w:rPr>
      </w:pPr>
    </w:p>
    <w:p w14:paraId="7F23FBE3" w14:textId="77777777" w:rsidR="0011743A" w:rsidRPr="00E9128C" w:rsidRDefault="0011743A" w:rsidP="0011743A">
      <w:pPr>
        <w:spacing w:after="0" w:line="276" w:lineRule="auto"/>
        <w:jc w:val="both"/>
        <w:rPr>
          <w:rFonts w:cs="Arial"/>
          <w:szCs w:val="20"/>
        </w:rPr>
      </w:pPr>
      <w:r w:rsidRPr="00E9128C">
        <w:rPr>
          <w:rFonts w:cs="Arial"/>
          <w:szCs w:val="20"/>
        </w:rPr>
        <w:t>(2) Za delavca po tem zakonu se šteje oseba iz prvega odstavka 5. člena Zakona o delovnih razmerjih (Uradni list RS, št. 21/13, 78/13 – popr., 47/15 – ZZSDT, 33/16 – PZ-F, 52/16, 15/17 – odl. US, 22/19 – ZPosS, 81/19, 203/20 – ZIUPOPDVE, 119/21 – ZČmIS-A, 202/21 – odl. US, 15/22, 54/22 – ZUPŠ-1, 114/23, 136/23 – ZIUZDS in 70/25 – ZUTD-I; v nadaljnjem besedilu: ZDR-1).</w:t>
      </w:r>
    </w:p>
    <w:p w14:paraId="22833CE3" w14:textId="77777777" w:rsidR="0011743A" w:rsidRPr="00E9128C" w:rsidRDefault="0011743A" w:rsidP="0011743A">
      <w:pPr>
        <w:spacing w:after="0" w:line="276" w:lineRule="auto"/>
        <w:jc w:val="both"/>
        <w:rPr>
          <w:rFonts w:cs="Arial"/>
          <w:szCs w:val="20"/>
        </w:rPr>
      </w:pPr>
    </w:p>
    <w:p w14:paraId="1FC3890A" w14:textId="14CAA882" w:rsidR="0011743A" w:rsidRPr="00E9128C" w:rsidRDefault="0011743A" w:rsidP="0011743A">
      <w:pPr>
        <w:spacing w:after="0" w:line="276" w:lineRule="auto"/>
        <w:jc w:val="both"/>
        <w:rPr>
          <w:rFonts w:cs="Arial"/>
          <w:szCs w:val="20"/>
        </w:rPr>
      </w:pPr>
      <w:r w:rsidRPr="00E9128C">
        <w:rPr>
          <w:rFonts w:cs="Arial"/>
          <w:szCs w:val="20"/>
        </w:rPr>
        <w:t>(3) Določbe tega zakona</w:t>
      </w:r>
      <w:r w:rsidR="000220DB" w:rsidRPr="00E9128C">
        <w:rPr>
          <w:rFonts w:cs="Arial"/>
          <w:szCs w:val="20"/>
        </w:rPr>
        <w:t>, ki urejajo pravni položaj delavca,</w:t>
      </w:r>
      <w:r w:rsidRPr="00E9128C">
        <w:rPr>
          <w:rFonts w:cs="Arial"/>
          <w:szCs w:val="20"/>
        </w:rPr>
        <w:t xml:space="preserve"> </w:t>
      </w:r>
      <w:r w:rsidR="00D23206" w:rsidRPr="00E9128C">
        <w:rPr>
          <w:rFonts w:cs="Arial"/>
          <w:szCs w:val="20"/>
        </w:rPr>
        <w:t xml:space="preserve">veljajo </w:t>
      </w:r>
      <w:r w:rsidRPr="00E9128C">
        <w:rPr>
          <w:rFonts w:cs="Arial"/>
          <w:szCs w:val="20"/>
        </w:rPr>
        <w:t xml:space="preserve">tudi za </w:t>
      </w:r>
      <w:r w:rsidR="00015F12" w:rsidRPr="00E9128C">
        <w:rPr>
          <w:rFonts w:cs="Arial"/>
          <w:szCs w:val="20"/>
        </w:rPr>
        <w:t>funkcionarko in funkcionarja (v nadaljnjem besedilu: funkcionar)</w:t>
      </w:r>
      <w:r w:rsidRPr="00E9128C">
        <w:rPr>
          <w:rFonts w:cs="Arial"/>
          <w:szCs w:val="20"/>
        </w:rPr>
        <w:t>, ki prejema plačo v skladu z zakon</w:t>
      </w:r>
      <w:r w:rsidR="00015F12" w:rsidRPr="00E9128C">
        <w:rPr>
          <w:rFonts w:cs="Arial"/>
          <w:szCs w:val="20"/>
        </w:rPr>
        <w:t>om</w:t>
      </w:r>
      <w:r w:rsidRPr="00E9128C">
        <w:rPr>
          <w:rFonts w:cs="Arial"/>
          <w:szCs w:val="20"/>
        </w:rPr>
        <w:t xml:space="preserve">, ki ureja skupne temelje </w:t>
      </w:r>
      <w:r w:rsidR="00015F12" w:rsidRPr="00E9128C">
        <w:rPr>
          <w:rFonts w:cs="Arial"/>
          <w:szCs w:val="20"/>
        </w:rPr>
        <w:t>sistema plač</w:t>
      </w:r>
      <w:r w:rsidRPr="00E9128C">
        <w:rPr>
          <w:rFonts w:cs="Arial"/>
          <w:szCs w:val="20"/>
        </w:rPr>
        <w:t xml:space="preserve"> v javnem sektorju.</w:t>
      </w:r>
    </w:p>
    <w:p w14:paraId="2B6CFD6E" w14:textId="77777777" w:rsidR="0011743A" w:rsidRPr="00E9128C" w:rsidRDefault="0011743A" w:rsidP="0011743A">
      <w:pPr>
        <w:pStyle w:val="Odstavekseznama"/>
        <w:spacing w:after="0" w:line="260" w:lineRule="atLeast"/>
        <w:rPr>
          <w:rFonts w:cs="Arial"/>
          <w:bCs/>
          <w:szCs w:val="20"/>
        </w:rPr>
      </w:pPr>
    </w:p>
    <w:p w14:paraId="0F4332AA" w14:textId="35B0CAF5" w:rsidR="0011743A" w:rsidRPr="00E9128C" w:rsidRDefault="00FC6980" w:rsidP="00CF2340">
      <w:pPr>
        <w:pStyle w:val="Odstavekseznama"/>
        <w:spacing w:after="0" w:line="260" w:lineRule="atLeast"/>
        <w:jc w:val="center"/>
        <w:rPr>
          <w:rFonts w:cs="Arial"/>
          <w:b/>
          <w:szCs w:val="20"/>
        </w:rPr>
      </w:pPr>
      <w:r w:rsidRPr="00E9128C">
        <w:rPr>
          <w:rFonts w:cs="Arial"/>
          <w:b/>
          <w:szCs w:val="20"/>
        </w:rPr>
        <w:t>II. ZIMSKI REGRES</w:t>
      </w:r>
    </w:p>
    <w:p w14:paraId="338ED568" w14:textId="77777777" w:rsidR="00FC6980" w:rsidRPr="00E9128C" w:rsidRDefault="00FC6980" w:rsidP="00E9128C">
      <w:pPr>
        <w:pStyle w:val="Odstavekseznama"/>
        <w:spacing w:after="0" w:line="260" w:lineRule="atLeast"/>
        <w:jc w:val="center"/>
        <w:rPr>
          <w:rFonts w:cs="Arial"/>
          <w:bCs/>
          <w:szCs w:val="20"/>
        </w:rPr>
      </w:pPr>
    </w:p>
    <w:p w14:paraId="421C1209"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0A62328C" w14:textId="3DAF4637" w:rsidR="0011743A" w:rsidRPr="00E9128C" w:rsidRDefault="6F7E54CA" w:rsidP="4C5FDD34">
      <w:pPr>
        <w:spacing w:after="0" w:line="276" w:lineRule="auto"/>
        <w:jc w:val="center"/>
        <w:rPr>
          <w:rFonts w:cs="Arial"/>
          <w:b/>
          <w:bCs/>
        </w:rPr>
      </w:pPr>
      <w:r w:rsidRPr="00E9128C">
        <w:rPr>
          <w:rFonts w:cs="Arial"/>
          <w:b/>
          <w:bCs/>
        </w:rPr>
        <w:t>(</w:t>
      </w:r>
      <w:r w:rsidR="583E0467" w:rsidRPr="00E9128C">
        <w:rPr>
          <w:rFonts w:cs="Arial"/>
          <w:b/>
          <w:bCs/>
        </w:rPr>
        <w:t xml:space="preserve">zimski </w:t>
      </w:r>
      <w:r w:rsidR="4FB8ABEA" w:rsidRPr="00E9128C">
        <w:rPr>
          <w:rFonts w:cs="Arial"/>
          <w:b/>
          <w:bCs/>
        </w:rPr>
        <w:t>regres</w:t>
      </w:r>
      <w:r w:rsidRPr="00E9128C">
        <w:rPr>
          <w:rFonts w:cs="Arial"/>
          <w:b/>
          <w:bCs/>
        </w:rPr>
        <w:t>)</w:t>
      </w:r>
    </w:p>
    <w:p w14:paraId="7439DCC1" w14:textId="77777777" w:rsidR="0011743A" w:rsidRPr="00E9128C" w:rsidRDefault="0011743A" w:rsidP="0011743A">
      <w:pPr>
        <w:spacing w:after="0" w:line="276" w:lineRule="auto"/>
        <w:jc w:val="center"/>
        <w:rPr>
          <w:rFonts w:cs="Arial"/>
          <w:b/>
          <w:bCs/>
          <w:szCs w:val="20"/>
        </w:rPr>
      </w:pPr>
    </w:p>
    <w:p w14:paraId="6AD6C548" w14:textId="08256E4C" w:rsidR="0011743A" w:rsidRPr="00E9128C" w:rsidRDefault="0011743A" w:rsidP="001212AD">
      <w:pPr>
        <w:spacing w:after="0"/>
        <w:jc w:val="both"/>
      </w:pPr>
      <w:r w:rsidRPr="00E9128C">
        <w:rPr>
          <w:rFonts w:cs="Arial"/>
          <w:szCs w:val="20"/>
        </w:rPr>
        <w:t xml:space="preserve">(1) </w:t>
      </w:r>
      <w:r w:rsidRPr="00E9128C">
        <w:t xml:space="preserve">Do ureditve v zakonu, ki ureja delovna razmerja, ima delavec pravico do zimskega </w:t>
      </w:r>
      <w:r w:rsidR="00DC1262" w:rsidRPr="00E9128C">
        <w:t xml:space="preserve">regresa </w:t>
      </w:r>
      <w:r w:rsidRPr="00E9128C">
        <w:t>v višini polovice minimalne plače v Republiki Sloveniji, ki mora biti izplačan v denarni obliki.</w:t>
      </w:r>
    </w:p>
    <w:p w14:paraId="49156B59" w14:textId="77777777" w:rsidR="0011743A" w:rsidRPr="00E9128C" w:rsidRDefault="0011743A" w:rsidP="0011743A">
      <w:pPr>
        <w:spacing w:after="0" w:line="276" w:lineRule="auto"/>
        <w:jc w:val="both"/>
        <w:rPr>
          <w:rFonts w:cs="Arial"/>
          <w:szCs w:val="20"/>
        </w:rPr>
      </w:pPr>
    </w:p>
    <w:p w14:paraId="55C41B62" w14:textId="1F050392" w:rsidR="0011743A" w:rsidRPr="00E9128C" w:rsidRDefault="0011743A" w:rsidP="0011743A">
      <w:pPr>
        <w:spacing w:after="0" w:line="276" w:lineRule="auto"/>
        <w:jc w:val="both"/>
        <w:rPr>
          <w:rFonts w:cs="Arial"/>
          <w:szCs w:val="20"/>
        </w:rPr>
      </w:pPr>
      <w:r w:rsidRPr="00E9128C">
        <w:rPr>
          <w:rFonts w:cs="Arial"/>
          <w:szCs w:val="20"/>
        </w:rPr>
        <w:t>(</w:t>
      </w:r>
      <w:r w:rsidR="002730DE" w:rsidRPr="00E9128C">
        <w:rPr>
          <w:rFonts w:cs="Arial"/>
          <w:szCs w:val="20"/>
        </w:rPr>
        <w:t>2</w:t>
      </w:r>
      <w:r w:rsidRPr="00E9128C">
        <w:rPr>
          <w:rFonts w:cs="Arial"/>
          <w:szCs w:val="20"/>
        </w:rPr>
        <w:t xml:space="preserve">) Delavec, ki sklene delovno razmerje ali mu preneha delovno razmerje med koledarskim letom in ima v posameznem koledarskem letu obdobje zaposlitve krajše od enega leta, ima pravico do sorazmernega dela zimskega </w:t>
      </w:r>
      <w:r w:rsidR="00DC1262" w:rsidRPr="00E9128C">
        <w:rPr>
          <w:rFonts w:cs="Arial"/>
          <w:szCs w:val="20"/>
        </w:rPr>
        <w:t xml:space="preserve">regresa </w:t>
      </w:r>
      <w:r w:rsidRPr="00E9128C">
        <w:rPr>
          <w:rFonts w:cs="Arial"/>
          <w:szCs w:val="20"/>
        </w:rPr>
        <w:t xml:space="preserve">glede na obdobje zaposlitve pri posameznem delodajalcu.  </w:t>
      </w:r>
    </w:p>
    <w:p w14:paraId="5F5B6793" w14:textId="77777777" w:rsidR="0011743A" w:rsidRPr="00E9128C" w:rsidRDefault="0011743A" w:rsidP="0011743A">
      <w:pPr>
        <w:spacing w:after="0" w:line="276" w:lineRule="auto"/>
        <w:jc w:val="both"/>
        <w:rPr>
          <w:rFonts w:cs="Arial"/>
          <w:szCs w:val="20"/>
        </w:rPr>
      </w:pPr>
    </w:p>
    <w:p w14:paraId="50A15E99" w14:textId="1E66C717" w:rsidR="0011743A" w:rsidRPr="00E9128C" w:rsidRDefault="0011743A" w:rsidP="0011743A">
      <w:pPr>
        <w:spacing w:after="0" w:line="276" w:lineRule="auto"/>
        <w:jc w:val="both"/>
        <w:rPr>
          <w:rFonts w:cs="Arial"/>
          <w:szCs w:val="20"/>
        </w:rPr>
      </w:pPr>
      <w:r w:rsidRPr="00E9128C">
        <w:rPr>
          <w:rFonts w:cs="Arial"/>
          <w:szCs w:val="20"/>
        </w:rPr>
        <w:t>(</w:t>
      </w:r>
      <w:r w:rsidR="002730DE" w:rsidRPr="00E9128C">
        <w:rPr>
          <w:rFonts w:cs="Arial"/>
          <w:szCs w:val="20"/>
        </w:rPr>
        <w:t>3</w:t>
      </w:r>
      <w:r w:rsidRPr="00E9128C">
        <w:rPr>
          <w:rFonts w:cs="Arial"/>
          <w:szCs w:val="20"/>
        </w:rPr>
        <w:t xml:space="preserve">) Če ima delavec sklenjeno pogodbo o zaposlitvi s krajšim delovnim časom, ima pravico do zimskega </w:t>
      </w:r>
      <w:r w:rsidR="00DC1262" w:rsidRPr="00E9128C">
        <w:rPr>
          <w:rFonts w:cs="Arial"/>
          <w:szCs w:val="20"/>
        </w:rPr>
        <w:t xml:space="preserve">regresa </w:t>
      </w:r>
      <w:r w:rsidRPr="00E9128C">
        <w:rPr>
          <w:rFonts w:cs="Arial"/>
          <w:szCs w:val="20"/>
        </w:rPr>
        <w:t>sorazmerno delovnemu času, za katerega je sklenil pogodbo o zaposlitvi, razen v primerih, ko delavec dela krajši delovni čas v skladu s 67. ali 67.b členom ZDR-1.</w:t>
      </w:r>
    </w:p>
    <w:p w14:paraId="59B6F882" w14:textId="77777777" w:rsidR="0011743A" w:rsidRPr="00E9128C" w:rsidRDefault="0011743A" w:rsidP="0011743A">
      <w:pPr>
        <w:spacing w:after="0" w:line="276" w:lineRule="auto"/>
        <w:jc w:val="both"/>
        <w:rPr>
          <w:rFonts w:cs="Arial"/>
          <w:szCs w:val="20"/>
        </w:rPr>
      </w:pPr>
    </w:p>
    <w:p w14:paraId="653DD117" w14:textId="77777777" w:rsidR="00216AC3" w:rsidRPr="00E9128C" w:rsidRDefault="00216AC3" w:rsidP="0011743A">
      <w:pPr>
        <w:spacing w:after="0" w:line="276" w:lineRule="auto"/>
        <w:jc w:val="both"/>
        <w:rPr>
          <w:rFonts w:cs="Arial"/>
          <w:szCs w:val="20"/>
        </w:rPr>
      </w:pPr>
    </w:p>
    <w:p w14:paraId="30A8794F"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3CED88D2" w14:textId="08C9E2A0" w:rsidR="00015F12" w:rsidRPr="00E9128C" w:rsidRDefault="00015F12" w:rsidP="00015F12">
      <w:pPr>
        <w:spacing w:after="0" w:line="276" w:lineRule="auto"/>
        <w:jc w:val="center"/>
        <w:rPr>
          <w:rFonts w:cs="Arial"/>
          <w:b/>
          <w:bCs/>
          <w:szCs w:val="20"/>
        </w:rPr>
      </w:pPr>
      <w:r w:rsidRPr="00E9128C">
        <w:rPr>
          <w:rFonts w:cs="Arial"/>
          <w:b/>
          <w:bCs/>
          <w:szCs w:val="20"/>
        </w:rPr>
        <w:t>(izplačilo)</w:t>
      </w:r>
    </w:p>
    <w:p w14:paraId="495361C8" w14:textId="77777777" w:rsidR="00015F12" w:rsidRPr="00E9128C" w:rsidRDefault="00015F12" w:rsidP="0011743A">
      <w:pPr>
        <w:spacing w:after="0" w:line="276" w:lineRule="auto"/>
        <w:rPr>
          <w:rFonts w:cs="Arial"/>
          <w:szCs w:val="20"/>
        </w:rPr>
      </w:pPr>
    </w:p>
    <w:p w14:paraId="06EEBE6A" w14:textId="769E8550" w:rsidR="00015F12" w:rsidRPr="00E9128C" w:rsidRDefault="00015F12" w:rsidP="00015F12">
      <w:pPr>
        <w:spacing w:after="0" w:line="276" w:lineRule="auto"/>
        <w:jc w:val="both"/>
        <w:rPr>
          <w:rFonts w:cs="Arial"/>
          <w:szCs w:val="20"/>
        </w:rPr>
      </w:pPr>
      <w:r w:rsidRPr="00E9128C">
        <w:rPr>
          <w:rFonts w:cs="Arial"/>
          <w:szCs w:val="20"/>
        </w:rPr>
        <w:t xml:space="preserve">(1) Delodajalec izplača delavcu zimski </w:t>
      </w:r>
      <w:r w:rsidR="00DC1262" w:rsidRPr="00E9128C">
        <w:rPr>
          <w:rFonts w:cs="Arial"/>
          <w:szCs w:val="20"/>
        </w:rPr>
        <w:t xml:space="preserve">regres </w:t>
      </w:r>
      <w:r w:rsidRPr="00E9128C">
        <w:rPr>
          <w:rFonts w:cs="Arial"/>
          <w:szCs w:val="20"/>
        </w:rPr>
        <w:t xml:space="preserve">iz prejšnjega člena tega zakona </w:t>
      </w:r>
      <w:r w:rsidR="007D06F1">
        <w:rPr>
          <w:rFonts w:cs="Arial"/>
          <w:szCs w:val="20"/>
        </w:rPr>
        <w:t>najpozneje</w:t>
      </w:r>
      <w:r w:rsidRPr="00E9128C">
        <w:rPr>
          <w:rFonts w:cs="Arial"/>
          <w:szCs w:val="20"/>
        </w:rPr>
        <w:t xml:space="preserve"> 18 dni po preteku plačilnega obdobja za izplačilo plače za mesec november tekočega koledarskega leta. Če je rok za izplačilo zimskega </w:t>
      </w:r>
      <w:r w:rsidR="00DC1262" w:rsidRPr="00E9128C">
        <w:rPr>
          <w:rFonts w:cs="Arial"/>
          <w:szCs w:val="20"/>
        </w:rPr>
        <w:t xml:space="preserve">regresa </w:t>
      </w:r>
      <w:r w:rsidRPr="00E9128C">
        <w:rPr>
          <w:rFonts w:cs="Arial"/>
          <w:szCs w:val="20"/>
        </w:rPr>
        <w:t xml:space="preserve">dela prosti dan, se zimski </w:t>
      </w:r>
      <w:r w:rsidR="00DC1262" w:rsidRPr="00E9128C">
        <w:rPr>
          <w:rFonts w:cs="Arial"/>
          <w:szCs w:val="20"/>
        </w:rPr>
        <w:t xml:space="preserve">regres </w:t>
      </w:r>
      <w:r w:rsidRPr="00E9128C">
        <w:rPr>
          <w:rFonts w:cs="Arial"/>
          <w:szCs w:val="20"/>
        </w:rPr>
        <w:t xml:space="preserve">izplača </w:t>
      </w:r>
      <w:r w:rsidR="007D06F1">
        <w:rPr>
          <w:rFonts w:cs="Arial"/>
          <w:szCs w:val="20"/>
        </w:rPr>
        <w:t>najpozneje</w:t>
      </w:r>
      <w:r w:rsidRPr="00E9128C">
        <w:rPr>
          <w:rFonts w:cs="Arial"/>
          <w:szCs w:val="20"/>
        </w:rPr>
        <w:t xml:space="preserve"> prvi naslednji delovni dan.</w:t>
      </w:r>
    </w:p>
    <w:p w14:paraId="100B9CBC" w14:textId="77777777" w:rsidR="00015F12" w:rsidRPr="00E9128C" w:rsidRDefault="00015F12" w:rsidP="00015F12">
      <w:pPr>
        <w:spacing w:after="0" w:line="276" w:lineRule="auto"/>
        <w:jc w:val="both"/>
        <w:rPr>
          <w:rFonts w:cs="Arial"/>
          <w:szCs w:val="20"/>
        </w:rPr>
      </w:pPr>
    </w:p>
    <w:p w14:paraId="1C12F890" w14:textId="0FB948EF" w:rsidR="57A1F506" w:rsidRPr="00E9128C" w:rsidRDefault="57A1F506" w:rsidP="4C5FDD34">
      <w:pPr>
        <w:spacing w:after="0" w:line="276" w:lineRule="auto"/>
        <w:jc w:val="both"/>
        <w:rPr>
          <w:rFonts w:cs="Arial"/>
        </w:rPr>
      </w:pPr>
      <w:r w:rsidRPr="00E9128C">
        <w:rPr>
          <w:rFonts w:cs="Arial"/>
        </w:rPr>
        <w:t>(</w:t>
      </w:r>
      <w:r w:rsidR="59AB88DD" w:rsidRPr="00E9128C">
        <w:rPr>
          <w:rFonts w:cs="Arial"/>
        </w:rPr>
        <w:t>2</w:t>
      </w:r>
      <w:r w:rsidRPr="00E9128C">
        <w:rPr>
          <w:rFonts w:cs="Arial"/>
        </w:rPr>
        <w:t>)</w:t>
      </w:r>
      <w:r w:rsidR="71C8AB94" w:rsidRPr="00E9128C">
        <w:rPr>
          <w:rFonts w:cs="Arial"/>
        </w:rPr>
        <w:t xml:space="preserve"> S kolektivno pogodbo na ravni dejavnosti se lahko v primeru nelikvidnosti delodajalca določi kasnejši rok izplačila zimskega regresa, vendar </w:t>
      </w:r>
      <w:r w:rsidR="007D06F1">
        <w:rPr>
          <w:rFonts w:cs="Arial"/>
        </w:rPr>
        <w:t>najpozneje</w:t>
      </w:r>
      <w:r w:rsidR="71C8AB94" w:rsidRPr="00E9128C">
        <w:rPr>
          <w:rFonts w:cs="Arial"/>
        </w:rPr>
        <w:t xml:space="preserve"> do 31. marca naslednjega koledarskega leta.</w:t>
      </w:r>
    </w:p>
    <w:p w14:paraId="0A781F04" w14:textId="77777777" w:rsidR="00A955C6" w:rsidRPr="00E9128C" w:rsidRDefault="00A955C6" w:rsidP="00015F12">
      <w:pPr>
        <w:spacing w:after="0" w:line="276" w:lineRule="auto"/>
        <w:jc w:val="both"/>
        <w:rPr>
          <w:rFonts w:cs="Arial"/>
          <w:szCs w:val="20"/>
        </w:rPr>
      </w:pPr>
    </w:p>
    <w:p w14:paraId="39F3498D" w14:textId="530EA83E" w:rsidR="00015F12" w:rsidRPr="00E9128C" w:rsidRDefault="00015F12" w:rsidP="00015F12">
      <w:pPr>
        <w:spacing w:after="0" w:line="276" w:lineRule="auto"/>
        <w:jc w:val="both"/>
        <w:rPr>
          <w:rFonts w:cs="Arial"/>
          <w:szCs w:val="20"/>
        </w:rPr>
      </w:pPr>
      <w:r w:rsidRPr="00E9128C">
        <w:rPr>
          <w:rFonts w:cs="Arial"/>
          <w:szCs w:val="20"/>
        </w:rPr>
        <w:lastRenderedPageBreak/>
        <w:t>(</w:t>
      </w:r>
      <w:r w:rsidR="00A955C6" w:rsidRPr="00E9128C">
        <w:rPr>
          <w:rFonts w:cs="Arial"/>
          <w:szCs w:val="20"/>
        </w:rPr>
        <w:t>3</w:t>
      </w:r>
      <w:r w:rsidRPr="00E9128C">
        <w:rPr>
          <w:rFonts w:cs="Arial"/>
          <w:szCs w:val="20"/>
        </w:rPr>
        <w:t xml:space="preserve">) Določba prejšnjega odstavka </w:t>
      </w:r>
      <w:r w:rsidR="00FC0CD2" w:rsidRPr="00E9128C">
        <w:rPr>
          <w:rFonts w:cs="Arial"/>
          <w:szCs w:val="20"/>
        </w:rPr>
        <w:t>se ne uporablja za javni sektor</w:t>
      </w:r>
      <w:r w:rsidR="00C53CF7" w:rsidRPr="00E9128C">
        <w:rPr>
          <w:rFonts w:cs="Arial"/>
          <w:szCs w:val="20"/>
        </w:rPr>
        <w:t xml:space="preserve"> v skladu z</w:t>
      </w:r>
      <w:r w:rsidR="00FC0CD2" w:rsidRPr="00E9128C">
        <w:t xml:space="preserve"> zakon</w:t>
      </w:r>
      <w:r w:rsidR="00C53CF7" w:rsidRPr="00E9128C">
        <w:t>om</w:t>
      </w:r>
      <w:r w:rsidR="00FC0CD2" w:rsidRPr="00E9128C">
        <w:t>, ki ureja skupne temelje sistema plač v javnem sektorju (v nadaljnjem besedilu: javni sektor)</w:t>
      </w:r>
      <w:r w:rsidRPr="00E9128C">
        <w:rPr>
          <w:rFonts w:cs="Arial"/>
          <w:szCs w:val="20"/>
        </w:rPr>
        <w:t>.</w:t>
      </w:r>
    </w:p>
    <w:p w14:paraId="6D1132EC" w14:textId="77777777" w:rsidR="00015F12" w:rsidRPr="00E9128C" w:rsidRDefault="00015F12" w:rsidP="0011743A">
      <w:pPr>
        <w:spacing w:after="0" w:line="276" w:lineRule="auto"/>
        <w:rPr>
          <w:rFonts w:cs="Arial"/>
          <w:szCs w:val="20"/>
        </w:rPr>
      </w:pPr>
    </w:p>
    <w:p w14:paraId="4DA58721" w14:textId="77777777" w:rsidR="00216AC3" w:rsidRPr="00E9128C" w:rsidRDefault="00216AC3" w:rsidP="0011743A">
      <w:pPr>
        <w:spacing w:after="0" w:line="276" w:lineRule="auto"/>
        <w:rPr>
          <w:rFonts w:cs="Arial"/>
          <w:szCs w:val="20"/>
        </w:rPr>
      </w:pPr>
    </w:p>
    <w:p w14:paraId="13FCB6F6"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285E9CB9" w14:textId="77777777" w:rsidR="0011743A" w:rsidRPr="00E9128C" w:rsidRDefault="0011743A" w:rsidP="0011743A">
      <w:pPr>
        <w:spacing w:after="0" w:line="276" w:lineRule="auto"/>
        <w:jc w:val="center"/>
        <w:rPr>
          <w:rFonts w:cs="Arial"/>
          <w:b/>
          <w:bCs/>
          <w:szCs w:val="20"/>
        </w:rPr>
      </w:pPr>
      <w:r w:rsidRPr="00E9128C">
        <w:rPr>
          <w:rFonts w:cs="Arial"/>
          <w:b/>
          <w:bCs/>
          <w:szCs w:val="20"/>
        </w:rPr>
        <w:t>(obdavčitev)</w:t>
      </w:r>
    </w:p>
    <w:p w14:paraId="50AF1A7B" w14:textId="77777777" w:rsidR="0011743A" w:rsidRPr="00E9128C" w:rsidRDefault="0011743A" w:rsidP="0011743A">
      <w:pPr>
        <w:spacing w:after="0" w:line="276" w:lineRule="auto"/>
        <w:jc w:val="both"/>
        <w:rPr>
          <w:rFonts w:cs="Arial"/>
          <w:szCs w:val="20"/>
        </w:rPr>
      </w:pPr>
    </w:p>
    <w:p w14:paraId="1045F3E3" w14:textId="293F9087" w:rsidR="0011743A" w:rsidRPr="00E9128C" w:rsidRDefault="0011743A" w:rsidP="0011743A">
      <w:pPr>
        <w:spacing w:after="0" w:line="276" w:lineRule="auto"/>
        <w:jc w:val="both"/>
        <w:rPr>
          <w:rFonts w:cs="Arial"/>
          <w:szCs w:val="20"/>
        </w:rPr>
      </w:pPr>
      <w:r w:rsidRPr="00E9128C">
        <w:rPr>
          <w:rFonts w:cs="Arial"/>
          <w:szCs w:val="20"/>
        </w:rPr>
        <w:t xml:space="preserve">(1) Zimski </w:t>
      </w:r>
      <w:r w:rsidR="00DC1262" w:rsidRPr="00E9128C">
        <w:rPr>
          <w:rFonts w:cs="Arial"/>
          <w:szCs w:val="20"/>
        </w:rPr>
        <w:t xml:space="preserve">regres </w:t>
      </w:r>
      <w:r w:rsidRPr="00E9128C">
        <w:rPr>
          <w:rFonts w:cs="Arial"/>
          <w:szCs w:val="20"/>
        </w:rPr>
        <w:t xml:space="preserve">se ne všteva v </w:t>
      </w:r>
      <w:r w:rsidR="00361EC3">
        <w:rPr>
          <w:rFonts w:cs="Arial"/>
          <w:szCs w:val="20"/>
        </w:rPr>
        <w:t xml:space="preserve">davčno </w:t>
      </w:r>
      <w:r w:rsidRPr="00E9128C">
        <w:rPr>
          <w:rFonts w:cs="Arial"/>
          <w:szCs w:val="20"/>
        </w:rPr>
        <w:t xml:space="preserve">osnovo za dohodnino od dohodka iz delovnega razmerja do višine, določene </w:t>
      </w:r>
      <w:r w:rsidR="003B026B" w:rsidRPr="00E9128C">
        <w:rPr>
          <w:rFonts w:cs="Arial"/>
          <w:szCs w:val="20"/>
        </w:rPr>
        <w:t>z 2.</w:t>
      </w:r>
      <w:r w:rsidRPr="00E9128C">
        <w:rPr>
          <w:rFonts w:cs="Arial"/>
          <w:szCs w:val="20"/>
        </w:rPr>
        <w:t xml:space="preserve"> člen</w:t>
      </w:r>
      <w:r w:rsidR="003B026B" w:rsidRPr="00E9128C">
        <w:rPr>
          <w:rFonts w:cs="Arial"/>
          <w:szCs w:val="20"/>
        </w:rPr>
        <w:t>om</w:t>
      </w:r>
      <w:r w:rsidRPr="00E9128C">
        <w:rPr>
          <w:rFonts w:cs="Arial"/>
          <w:szCs w:val="20"/>
        </w:rPr>
        <w:t xml:space="preserve"> tega zakona</w:t>
      </w:r>
      <w:r w:rsidR="00564A33" w:rsidRPr="00E9128C">
        <w:rPr>
          <w:rFonts w:cs="Arial"/>
          <w:szCs w:val="20"/>
        </w:rPr>
        <w:t xml:space="preserve">, </w:t>
      </w:r>
      <w:r w:rsidR="00415FB8" w:rsidRPr="00E9128C">
        <w:rPr>
          <w:rFonts w:cs="Arial"/>
          <w:szCs w:val="20"/>
        </w:rPr>
        <w:t>vendar skupaj</w:t>
      </w:r>
      <w:r w:rsidR="0081068E" w:rsidRPr="00E9128C">
        <w:rPr>
          <w:rFonts w:cs="Arial"/>
          <w:szCs w:val="20"/>
        </w:rPr>
        <w:t xml:space="preserve"> </w:t>
      </w:r>
      <w:r w:rsidRPr="00E9128C">
        <w:rPr>
          <w:rFonts w:cs="Arial"/>
          <w:szCs w:val="20"/>
        </w:rPr>
        <w:t xml:space="preserve">s plačilom za poslovno uspešnost iz 12. točke prvega odstavka 44. člena ZDoh-2 do višine, kot je z </w:t>
      </w:r>
      <w:r w:rsidR="00361EC3">
        <w:rPr>
          <w:rFonts w:cs="Arial"/>
          <w:szCs w:val="20"/>
        </w:rPr>
        <w:t xml:space="preserve">12. točko prvega odstavka 44. člena </w:t>
      </w:r>
      <w:r w:rsidRPr="00E9128C">
        <w:rPr>
          <w:rFonts w:cs="Arial"/>
          <w:szCs w:val="20"/>
        </w:rPr>
        <w:t xml:space="preserve">ZDoh-2 </w:t>
      </w:r>
      <w:r w:rsidR="00361EC3">
        <w:rPr>
          <w:rFonts w:cs="Arial"/>
          <w:szCs w:val="20"/>
        </w:rPr>
        <w:t xml:space="preserve">določena </w:t>
      </w:r>
      <w:r w:rsidRPr="00E9128C">
        <w:rPr>
          <w:rFonts w:cs="Arial"/>
          <w:szCs w:val="20"/>
        </w:rPr>
        <w:t xml:space="preserve">za plačilo za poslovno uspešnost. Če zimski </w:t>
      </w:r>
      <w:r w:rsidR="00DC1262" w:rsidRPr="00E9128C">
        <w:rPr>
          <w:rFonts w:cs="Arial"/>
          <w:szCs w:val="20"/>
        </w:rPr>
        <w:t xml:space="preserve">regres </w:t>
      </w:r>
      <w:r w:rsidRPr="00E9128C">
        <w:rPr>
          <w:rFonts w:cs="Arial"/>
          <w:szCs w:val="20"/>
        </w:rPr>
        <w:t>presega višino,  določen</w:t>
      </w:r>
      <w:r w:rsidR="00361EC3">
        <w:rPr>
          <w:rFonts w:cs="Arial"/>
          <w:szCs w:val="20"/>
        </w:rPr>
        <w:t>o</w:t>
      </w:r>
      <w:r w:rsidRPr="00E9128C">
        <w:rPr>
          <w:rFonts w:cs="Arial"/>
          <w:szCs w:val="20"/>
        </w:rPr>
        <w:t xml:space="preserve"> </w:t>
      </w:r>
      <w:r w:rsidR="000836AE" w:rsidRPr="00E9128C">
        <w:rPr>
          <w:rFonts w:cs="Arial"/>
          <w:szCs w:val="20"/>
        </w:rPr>
        <w:t>z</w:t>
      </w:r>
      <w:r w:rsidR="00934A91" w:rsidRPr="00E9128C">
        <w:rPr>
          <w:rFonts w:cs="Arial"/>
          <w:szCs w:val="20"/>
        </w:rPr>
        <w:t xml:space="preserve"> </w:t>
      </w:r>
      <w:r w:rsidR="00BB37FE" w:rsidRPr="00E9128C">
        <w:rPr>
          <w:rFonts w:cs="Arial"/>
          <w:szCs w:val="20"/>
        </w:rPr>
        <w:t>2.</w:t>
      </w:r>
      <w:r w:rsidRPr="00E9128C">
        <w:rPr>
          <w:rFonts w:cs="Arial"/>
          <w:szCs w:val="20"/>
        </w:rPr>
        <w:t xml:space="preserve"> člen</w:t>
      </w:r>
      <w:r w:rsidR="00BB37FE" w:rsidRPr="00E9128C">
        <w:rPr>
          <w:rFonts w:cs="Arial"/>
          <w:szCs w:val="20"/>
        </w:rPr>
        <w:t>om</w:t>
      </w:r>
      <w:r w:rsidR="00ED14D0" w:rsidRPr="00E9128C">
        <w:rPr>
          <w:rFonts w:cs="Arial"/>
          <w:szCs w:val="20"/>
        </w:rPr>
        <w:t xml:space="preserve"> tega zakona</w:t>
      </w:r>
      <w:r w:rsidRPr="00E9128C">
        <w:rPr>
          <w:rFonts w:cs="Arial"/>
          <w:szCs w:val="20"/>
        </w:rPr>
        <w:t xml:space="preserve">, se razlika šteje </w:t>
      </w:r>
      <w:r w:rsidR="00361EC3">
        <w:rPr>
          <w:rFonts w:cs="Arial"/>
          <w:szCs w:val="20"/>
        </w:rPr>
        <w:t xml:space="preserve">kot </w:t>
      </w:r>
      <w:r w:rsidRPr="00E9128C">
        <w:rPr>
          <w:rFonts w:cs="Arial"/>
          <w:szCs w:val="20"/>
        </w:rPr>
        <w:t xml:space="preserve">plačilo za poslovno uspešnost </w:t>
      </w:r>
      <w:r w:rsidR="00361EC3">
        <w:rPr>
          <w:rFonts w:cs="Arial"/>
          <w:szCs w:val="20"/>
        </w:rPr>
        <w:t>v skladu s</w:t>
      </w:r>
      <w:r w:rsidRPr="00E9128C">
        <w:rPr>
          <w:rFonts w:cs="Arial"/>
          <w:szCs w:val="20"/>
        </w:rPr>
        <w:t xml:space="preserve"> pogoji in do višine</w:t>
      </w:r>
      <w:r w:rsidR="00361EC3">
        <w:rPr>
          <w:rFonts w:cs="Arial"/>
          <w:szCs w:val="20"/>
        </w:rPr>
        <w:t xml:space="preserve"> iz</w:t>
      </w:r>
      <w:r w:rsidRPr="00E9128C">
        <w:rPr>
          <w:rFonts w:cs="Arial"/>
          <w:szCs w:val="20"/>
        </w:rPr>
        <w:t xml:space="preserve"> 12. točk</w:t>
      </w:r>
      <w:r w:rsidR="00361EC3">
        <w:rPr>
          <w:rFonts w:cs="Arial"/>
          <w:szCs w:val="20"/>
        </w:rPr>
        <w:t>e</w:t>
      </w:r>
      <w:r w:rsidRPr="00E9128C">
        <w:rPr>
          <w:rFonts w:cs="Arial"/>
          <w:szCs w:val="20"/>
        </w:rPr>
        <w:t xml:space="preserve"> prvega odstavka 44. člena ZDoh-2. </w:t>
      </w:r>
    </w:p>
    <w:p w14:paraId="66AA0F6C" w14:textId="77777777" w:rsidR="0011743A" w:rsidRPr="00E9128C" w:rsidRDefault="0011743A" w:rsidP="0011743A">
      <w:pPr>
        <w:spacing w:after="0" w:line="276" w:lineRule="auto"/>
        <w:jc w:val="both"/>
        <w:rPr>
          <w:rFonts w:cs="Arial"/>
          <w:szCs w:val="20"/>
        </w:rPr>
      </w:pPr>
    </w:p>
    <w:p w14:paraId="251E98C6" w14:textId="066BD5AA" w:rsidR="0011743A" w:rsidRPr="00E9128C" w:rsidRDefault="0011743A" w:rsidP="0011743A">
      <w:pPr>
        <w:spacing w:after="0" w:line="276" w:lineRule="auto"/>
        <w:jc w:val="both"/>
        <w:rPr>
          <w:rFonts w:cs="Arial"/>
          <w:szCs w:val="20"/>
        </w:rPr>
      </w:pPr>
      <w:r w:rsidRPr="00E9128C">
        <w:rPr>
          <w:rFonts w:cs="Arial"/>
          <w:szCs w:val="20"/>
        </w:rPr>
        <w:t>(</w:t>
      </w:r>
      <w:r w:rsidR="00114003" w:rsidRPr="00E9128C">
        <w:rPr>
          <w:rFonts w:cs="Arial"/>
          <w:szCs w:val="20"/>
        </w:rPr>
        <w:t>2</w:t>
      </w:r>
      <w:r w:rsidRPr="00E9128C">
        <w:rPr>
          <w:rFonts w:cs="Arial"/>
          <w:szCs w:val="20"/>
        </w:rPr>
        <w:t xml:space="preserve">) </w:t>
      </w:r>
      <w:r w:rsidR="00114003" w:rsidRPr="00E9128C">
        <w:rPr>
          <w:rFonts w:cs="Arial"/>
          <w:szCs w:val="20"/>
        </w:rPr>
        <w:t>Za</w:t>
      </w:r>
      <w:r w:rsidRPr="00E9128C">
        <w:rPr>
          <w:rFonts w:cs="Arial"/>
          <w:szCs w:val="20"/>
        </w:rPr>
        <w:t xml:space="preserve"> zimski </w:t>
      </w:r>
      <w:r w:rsidR="00DC1262" w:rsidRPr="00E9128C">
        <w:rPr>
          <w:rFonts w:cs="Arial"/>
          <w:szCs w:val="20"/>
        </w:rPr>
        <w:t xml:space="preserve">regres </w:t>
      </w:r>
      <w:r w:rsidR="00114003" w:rsidRPr="00E9128C">
        <w:rPr>
          <w:rFonts w:cs="Arial"/>
          <w:szCs w:val="20"/>
        </w:rPr>
        <w:t xml:space="preserve">se </w:t>
      </w:r>
      <w:r w:rsidRPr="00E9128C">
        <w:rPr>
          <w:rFonts w:cs="Arial"/>
          <w:szCs w:val="20"/>
        </w:rPr>
        <w:t xml:space="preserve">uporabljajo šesti odstavek 41. člena, četrti odstavek 44. člena in trinajsti odstavek 127. člena ZDoh-2. </w:t>
      </w:r>
    </w:p>
    <w:p w14:paraId="21D7A50B" w14:textId="77777777" w:rsidR="0011743A" w:rsidRPr="00E9128C" w:rsidRDefault="0011743A" w:rsidP="0011743A">
      <w:pPr>
        <w:spacing w:after="0" w:line="276" w:lineRule="auto"/>
        <w:jc w:val="both"/>
        <w:rPr>
          <w:rFonts w:cs="Arial"/>
          <w:szCs w:val="20"/>
        </w:rPr>
      </w:pPr>
    </w:p>
    <w:p w14:paraId="68E36AEA" w14:textId="71F08CE2" w:rsidR="0011743A" w:rsidRPr="00E9128C" w:rsidRDefault="0011743A" w:rsidP="0011743A">
      <w:pPr>
        <w:spacing w:after="0" w:line="276" w:lineRule="auto"/>
        <w:jc w:val="both"/>
        <w:rPr>
          <w:rFonts w:cs="Arial"/>
          <w:szCs w:val="20"/>
        </w:rPr>
      </w:pPr>
      <w:r w:rsidRPr="00E9128C">
        <w:rPr>
          <w:rFonts w:cs="Arial"/>
          <w:szCs w:val="20"/>
        </w:rPr>
        <w:t>(</w:t>
      </w:r>
      <w:r w:rsidR="00114003" w:rsidRPr="00E9128C">
        <w:rPr>
          <w:rFonts w:cs="Arial"/>
          <w:szCs w:val="20"/>
        </w:rPr>
        <w:t>3</w:t>
      </w:r>
      <w:r w:rsidRPr="00E9128C">
        <w:rPr>
          <w:rFonts w:cs="Arial"/>
          <w:szCs w:val="20"/>
        </w:rPr>
        <w:t xml:space="preserve">) </w:t>
      </w:r>
      <w:r w:rsidR="000934DC" w:rsidRPr="00E9128C">
        <w:rPr>
          <w:rFonts w:cs="Arial"/>
          <w:szCs w:val="20"/>
        </w:rPr>
        <w:t xml:space="preserve">Pri določanju letne davčne osnove se v skladu s sedmim odstavkom 109. člena ZDoh-2 upošteva tudi zimski </w:t>
      </w:r>
      <w:r w:rsidR="00DC1262" w:rsidRPr="00E9128C">
        <w:rPr>
          <w:rFonts w:cs="Arial"/>
          <w:szCs w:val="20"/>
        </w:rPr>
        <w:t>regres</w:t>
      </w:r>
      <w:r w:rsidR="000934DC" w:rsidRPr="00E9128C">
        <w:rPr>
          <w:rFonts w:cs="Arial"/>
          <w:szCs w:val="20"/>
        </w:rPr>
        <w:t>.</w:t>
      </w:r>
    </w:p>
    <w:p w14:paraId="70A57588" w14:textId="77777777" w:rsidR="0011743A" w:rsidRPr="00E9128C" w:rsidRDefault="0011743A" w:rsidP="0011743A">
      <w:pPr>
        <w:spacing w:after="0" w:line="276" w:lineRule="auto"/>
        <w:rPr>
          <w:rFonts w:cs="Arial"/>
          <w:szCs w:val="20"/>
        </w:rPr>
      </w:pPr>
    </w:p>
    <w:p w14:paraId="282106DA"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4E8CD113" w14:textId="14454CF1" w:rsidR="0011743A" w:rsidRPr="00E9128C" w:rsidRDefault="0011743A" w:rsidP="0011743A">
      <w:pPr>
        <w:spacing w:after="0" w:line="276" w:lineRule="auto"/>
        <w:jc w:val="center"/>
        <w:rPr>
          <w:rFonts w:cs="Arial"/>
          <w:b/>
          <w:bCs/>
          <w:szCs w:val="20"/>
        </w:rPr>
      </w:pPr>
      <w:r w:rsidRPr="00E9128C">
        <w:rPr>
          <w:rFonts w:cs="Arial"/>
          <w:b/>
          <w:bCs/>
          <w:szCs w:val="20"/>
        </w:rPr>
        <w:t>(prispevki)</w:t>
      </w:r>
    </w:p>
    <w:p w14:paraId="0B3DA12B" w14:textId="77777777" w:rsidR="0011743A" w:rsidRPr="00E9128C" w:rsidRDefault="0011743A" w:rsidP="0011743A">
      <w:pPr>
        <w:spacing w:after="0" w:line="276" w:lineRule="auto"/>
        <w:jc w:val="both"/>
        <w:rPr>
          <w:rFonts w:cs="Arial"/>
          <w:szCs w:val="20"/>
        </w:rPr>
      </w:pPr>
    </w:p>
    <w:p w14:paraId="565CAB3D" w14:textId="2A24FD42" w:rsidR="0011743A" w:rsidRPr="00E9128C" w:rsidRDefault="0011743A" w:rsidP="0011743A">
      <w:pPr>
        <w:spacing w:after="0" w:line="276" w:lineRule="auto"/>
        <w:jc w:val="both"/>
        <w:rPr>
          <w:rFonts w:cs="Arial"/>
          <w:szCs w:val="20"/>
        </w:rPr>
      </w:pPr>
      <w:r w:rsidRPr="00E9128C">
        <w:rPr>
          <w:rFonts w:cs="Arial"/>
          <w:szCs w:val="20"/>
        </w:rPr>
        <w:t xml:space="preserve">(1) </w:t>
      </w:r>
      <w:r w:rsidR="00414E0B" w:rsidRPr="00E9128C">
        <w:rPr>
          <w:rFonts w:cs="Arial"/>
          <w:szCs w:val="20"/>
        </w:rPr>
        <w:t xml:space="preserve">Ne </w:t>
      </w:r>
      <w:r w:rsidRPr="00E9128C">
        <w:rPr>
          <w:rFonts w:cs="Arial"/>
          <w:szCs w:val="20"/>
        </w:rPr>
        <w:t>glede na prvi odstavek 144. člena Zakona o pokojninskem in invalidskem zavarovanju (Uradni list RS, št. 48/22 – uradno prečiščeno besedilo, 40/23 – ZČmIS-1, 78/23 – ZORR, 84/23 – ZDOsk-1, 125/23 – odl. US in 133/23; v nadaljnjem besedilu: ZPIZ-2)</w:t>
      </w:r>
      <w:r w:rsidR="00E85625" w:rsidRPr="00E9128C">
        <w:rPr>
          <w:rFonts w:cs="Arial"/>
          <w:szCs w:val="20"/>
        </w:rPr>
        <w:t xml:space="preserve"> se</w:t>
      </w:r>
      <w:r w:rsidRPr="00E9128C">
        <w:rPr>
          <w:rFonts w:cs="Arial"/>
          <w:szCs w:val="20"/>
        </w:rPr>
        <w:t xml:space="preserve"> zimski </w:t>
      </w:r>
      <w:r w:rsidR="00DC1262" w:rsidRPr="00E9128C">
        <w:rPr>
          <w:rFonts w:cs="Arial"/>
          <w:szCs w:val="20"/>
        </w:rPr>
        <w:t xml:space="preserve">regres </w:t>
      </w:r>
      <w:r w:rsidRPr="00E9128C">
        <w:rPr>
          <w:rFonts w:cs="Arial"/>
          <w:szCs w:val="20"/>
        </w:rPr>
        <w:t>ne všteva v osnovo za plačilo prispevkov za pokojninsko in invalidsko zavarovanje do višine</w:t>
      </w:r>
      <w:r w:rsidR="00580825" w:rsidRPr="00E9128C">
        <w:rPr>
          <w:rFonts w:cs="Arial"/>
          <w:szCs w:val="20"/>
        </w:rPr>
        <w:t xml:space="preserve"> i</w:t>
      </w:r>
      <w:r w:rsidR="002B0913" w:rsidRPr="00E9128C">
        <w:rPr>
          <w:rFonts w:cs="Arial"/>
          <w:szCs w:val="20"/>
        </w:rPr>
        <w:t>z</w:t>
      </w:r>
      <w:r w:rsidRPr="00E9128C">
        <w:rPr>
          <w:rFonts w:cs="Arial"/>
          <w:szCs w:val="20"/>
        </w:rPr>
        <w:t xml:space="preserve"> 2. </w:t>
      </w:r>
      <w:r w:rsidR="00580825" w:rsidRPr="00E9128C">
        <w:rPr>
          <w:rFonts w:cs="Arial"/>
          <w:szCs w:val="20"/>
        </w:rPr>
        <w:t xml:space="preserve">člena </w:t>
      </w:r>
      <w:r w:rsidRPr="00E9128C">
        <w:rPr>
          <w:rFonts w:cs="Arial"/>
          <w:szCs w:val="20"/>
        </w:rPr>
        <w:t xml:space="preserve">tega zakona. </w:t>
      </w:r>
    </w:p>
    <w:p w14:paraId="3C221AFA" w14:textId="77777777" w:rsidR="0011743A" w:rsidRPr="00E9128C" w:rsidRDefault="0011743A" w:rsidP="0011743A">
      <w:pPr>
        <w:spacing w:after="0" w:line="276" w:lineRule="auto"/>
        <w:jc w:val="both"/>
        <w:rPr>
          <w:rFonts w:cs="Arial"/>
          <w:szCs w:val="20"/>
        </w:rPr>
      </w:pPr>
    </w:p>
    <w:p w14:paraId="0371BE2B" w14:textId="48F9C12A" w:rsidR="0011743A" w:rsidRPr="00E9128C" w:rsidRDefault="0011743A" w:rsidP="0011743A">
      <w:pPr>
        <w:spacing w:after="0" w:line="276" w:lineRule="auto"/>
        <w:jc w:val="both"/>
        <w:rPr>
          <w:rFonts w:cs="Arial"/>
          <w:szCs w:val="20"/>
        </w:rPr>
      </w:pPr>
      <w:r w:rsidRPr="00E9128C">
        <w:rPr>
          <w:rFonts w:cs="Arial"/>
          <w:szCs w:val="20"/>
        </w:rPr>
        <w:t xml:space="preserve">(2) Če znesek zimskega </w:t>
      </w:r>
      <w:r w:rsidR="00DC1262" w:rsidRPr="00E9128C">
        <w:rPr>
          <w:rFonts w:cs="Arial"/>
          <w:szCs w:val="20"/>
        </w:rPr>
        <w:t xml:space="preserve">regresa </w:t>
      </w:r>
      <w:r w:rsidRPr="00E9128C">
        <w:rPr>
          <w:rFonts w:cs="Arial"/>
          <w:szCs w:val="20"/>
        </w:rPr>
        <w:t>presega višino, ki je za posamezno leto določena v 2. člen</w:t>
      </w:r>
      <w:r w:rsidR="002B0913" w:rsidRPr="00E9128C">
        <w:rPr>
          <w:rFonts w:cs="Arial"/>
          <w:szCs w:val="20"/>
        </w:rPr>
        <w:t>u</w:t>
      </w:r>
      <w:r w:rsidRPr="00E9128C">
        <w:rPr>
          <w:rFonts w:cs="Arial"/>
          <w:szCs w:val="20"/>
        </w:rPr>
        <w:t xml:space="preserve"> tega zakona, se razlika šteje za drug prejemek na podlagi delovnega razmerja, v skladu s prvim odstavkom 144. člena ZPIZ-2. Če se zimski </w:t>
      </w:r>
      <w:r w:rsidR="00DC1262" w:rsidRPr="00E9128C">
        <w:rPr>
          <w:rFonts w:cs="Arial"/>
          <w:szCs w:val="20"/>
        </w:rPr>
        <w:t xml:space="preserve">regres </w:t>
      </w:r>
      <w:r w:rsidRPr="00E9128C">
        <w:rPr>
          <w:rFonts w:cs="Arial"/>
          <w:szCs w:val="20"/>
        </w:rPr>
        <w:t xml:space="preserve">za posamezno leto izplača v dveh ali več delih, se ob izplačilu naslednjega oziroma zadnjega dela zimskega </w:t>
      </w:r>
      <w:r w:rsidR="00DC1262" w:rsidRPr="00E9128C">
        <w:rPr>
          <w:rFonts w:cs="Arial"/>
          <w:szCs w:val="20"/>
        </w:rPr>
        <w:t xml:space="preserve">regresa </w:t>
      </w:r>
      <w:r w:rsidRPr="00E9128C">
        <w:rPr>
          <w:rFonts w:cs="Arial"/>
          <w:szCs w:val="20"/>
        </w:rPr>
        <w:t xml:space="preserve">za to leto ugotovi celotna višina zimskega </w:t>
      </w:r>
      <w:r w:rsidR="00DC1262" w:rsidRPr="00E9128C">
        <w:rPr>
          <w:rFonts w:cs="Arial"/>
          <w:szCs w:val="20"/>
        </w:rPr>
        <w:t xml:space="preserve">regresa </w:t>
      </w:r>
      <w:r w:rsidRPr="00E9128C">
        <w:rPr>
          <w:rFonts w:cs="Arial"/>
          <w:szCs w:val="20"/>
        </w:rPr>
        <w:t>in izvrši obračun prispevkov</w:t>
      </w:r>
      <w:r w:rsidR="008133FB" w:rsidRPr="00E9128C">
        <w:rPr>
          <w:rFonts w:cs="Arial"/>
          <w:szCs w:val="20"/>
        </w:rPr>
        <w:t xml:space="preserve"> za socialno varnost</w:t>
      </w:r>
      <w:r w:rsidRPr="00E9128C">
        <w:rPr>
          <w:rFonts w:cs="Arial"/>
          <w:szCs w:val="20"/>
        </w:rPr>
        <w:t xml:space="preserve"> od posameznih delov zimskega </w:t>
      </w:r>
      <w:r w:rsidR="00DC1262" w:rsidRPr="00E9128C">
        <w:rPr>
          <w:rFonts w:cs="Arial"/>
          <w:szCs w:val="20"/>
        </w:rPr>
        <w:t>regresa</w:t>
      </w:r>
      <w:r w:rsidRPr="00E9128C">
        <w:rPr>
          <w:rFonts w:cs="Arial"/>
          <w:szCs w:val="20"/>
        </w:rPr>
        <w:t>.</w:t>
      </w:r>
    </w:p>
    <w:p w14:paraId="3D9926D4" w14:textId="77777777" w:rsidR="0011743A" w:rsidRPr="00E9128C" w:rsidRDefault="0011743A" w:rsidP="0011743A">
      <w:pPr>
        <w:spacing w:after="0" w:line="276" w:lineRule="auto"/>
        <w:rPr>
          <w:rFonts w:cs="Arial"/>
          <w:szCs w:val="20"/>
        </w:rPr>
      </w:pPr>
    </w:p>
    <w:bookmarkEnd w:id="11"/>
    <w:p w14:paraId="2190BD8B" w14:textId="77777777" w:rsidR="0011743A" w:rsidRPr="00E9128C" w:rsidRDefault="0011743A" w:rsidP="0011743A">
      <w:pPr>
        <w:pStyle w:val="esegmenth4"/>
        <w:spacing w:before="0" w:beforeAutospacing="0" w:after="0" w:afterAutospacing="0" w:line="260" w:lineRule="atLeast"/>
        <w:jc w:val="both"/>
        <w:rPr>
          <w:rFonts w:ascii="Arial" w:hAnsi="Arial" w:cs="Arial"/>
          <w:sz w:val="20"/>
          <w:szCs w:val="20"/>
        </w:rPr>
      </w:pPr>
    </w:p>
    <w:p w14:paraId="5884CE7C" w14:textId="77777777" w:rsidR="00A34494" w:rsidRPr="00E9128C" w:rsidRDefault="00A34494" w:rsidP="0011743A">
      <w:pPr>
        <w:pStyle w:val="esegmenth4"/>
        <w:spacing w:before="0" w:beforeAutospacing="0" w:after="0" w:afterAutospacing="0" w:line="260" w:lineRule="atLeast"/>
        <w:jc w:val="both"/>
        <w:rPr>
          <w:rFonts w:ascii="Arial" w:hAnsi="Arial" w:cs="Arial"/>
          <w:sz w:val="20"/>
          <w:szCs w:val="20"/>
        </w:rPr>
      </w:pPr>
    </w:p>
    <w:p w14:paraId="2EE65D8A" w14:textId="5EC40C37" w:rsidR="00FC6980" w:rsidRDefault="00A34494" w:rsidP="00E9128C">
      <w:pPr>
        <w:pStyle w:val="esegmenth4"/>
        <w:spacing w:before="0" w:beforeAutospacing="0" w:after="0" w:afterAutospacing="0" w:line="260" w:lineRule="atLeast"/>
        <w:jc w:val="center"/>
        <w:rPr>
          <w:rFonts w:ascii="Arial" w:hAnsi="Arial" w:cs="Arial"/>
          <w:b/>
          <w:bCs/>
          <w:sz w:val="20"/>
          <w:szCs w:val="20"/>
        </w:rPr>
      </w:pPr>
      <w:r w:rsidRPr="00E9128C">
        <w:rPr>
          <w:rFonts w:ascii="Arial" w:hAnsi="Arial" w:cs="Arial"/>
          <w:b/>
          <w:bCs/>
          <w:sz w:val="20"/>
          <w:szCs w:val="20"/>
        </w:rPr>
        <w:t xml:space="preserve">III. ODSTOP </w:t>
      </w:r>
      <w:bookmarkStart w:id="13" w:name="_Hlk212646781"/>
      <w:r w:rsidRPr="00E9128C">
        <w:rPr>
          <w:rFonts w:ascii="Arial" w:hAnsi="Arial" w:cs="Arial"/>
          <w:b/>
          <w:bCs/>
          <w:sz w:val="20"/>
          <w:szCs w:val="20"/>
        </w:rPr>
        <w:t>OD DOLOČB ZAKONA O DOHODNINI GLEDE UGOTAVLJANJA DAVČNE OSNOVE Z UPOŠTEVANJEM NORMIRANIH ODHODKOV</w:t>
      </w:r>
    </w:p>
    <w:bookmarkEnd w:id="13"/>
    <w:p w14:paraId="3DBCAC43" w14:textId="77777777" w:rsidR="00D44BFA" w:rsidRPr="00E9128C" w:rsidRDefault="00D44BFA" w:rsidP="00E9128C">
      <w:pPr>
        <w:pStyle w:val="esegmenth4"/>
        <w:spacing w:before="0" w:beforeAutospacing="0" w:after="0" w:afterAutospacing="0" w:line="260" w:lineRule="atLeast"/>
        <w:jc w:val="center"/>
        <w:rPr>
          <w:rFonts w:ascii="Arial" w:hAnsi="Arial" w:cs="Arial"/>
          <w:b/>
          <w:bCs/>
          <w:sz w:val="20"/>
          <w:szCs w:val="20"/>
        </w:rPr>
      </w:pPr>
    </w:p>
    <w:p w14:paraId="467ABE73" w14:textId="77777777" w:rsidR="00A34494" w:rsidRPr="00E9128C" w:rsidRDefault="00A34494" w:rsidP="00A34494">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6DE92F52" w14:textId="17A80C5E" w:rsidR="00A34494" w:rsidRPr="00E9128C" w:rsidRDefault="00A34494" w:rsidP="00A34494">
      <w:pPr>
        <w:spacing w:after="0" w:line="260" w:lineRule="atLeast"/>
        <w:jc w:val="center"/>
        <w:rPr>
          <w:rFonts w:cs="Arial"/>
          <w:b/>
          <w:szCs w:val="20"/>
        </w:rPr>
      </w:pPr>
      <w:r w:rsidRPr="00E9128C">
        <w:rPr>
          <w:rFonts w:cs="Arial"/>
          <w:b/>
          <w:szCs w:val="20"/>
        </w:rPr>
        <w:t>(davčna osnova)</w:t>
      </w:r>
    </w:p>
    <w:p w14:paraId="30A8A129" w14:textId="77777777" w:rsidR="00A34494" w:rsidRPr="00E9128C" w:rsidRDefault="00A34494" w:rsidP="0011743A">
      <w:pPr>
        <w:pStyle w:val="esegmenth4"/>
        <w:spacing w:before="0" w:beforeAutospacing="0" w:after="0" w:afterAutospacing="0" w:line="260" w:lineRule="atLeast"/>
        <w:jc w:val="both"/>
        <w:rPr>
          <w:rFonts w:ascii="Arial" w:hAnsi="Arial" w:cs="Arial"/>
          <w:sz w:val="20"/>
          <w:szCs w:val="20"/>
        </w:rPr>
      </w:pPr>
    </w:p>
    <w:p w14:paraId="64FFA798" w14:textId="77777777" w:rsidR="00A34494"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(1) Ne glede 48. člen ZDoh-2 je do ustrezne ureditve v zakonu, ki ureja dohodnino, davčna osnova od dohodka iz dejavnosti dobiček, ki se ugotovi kot razlika med prihodki in odhodki, doseženimi v zvezi z opravljanjem dejavnosti, če ni s tem zakonom drugače določeno.</w:t>
      </w:r>
    </w:p>
    <w:p w14:paraId="702D9873" w14:textId="77777777" w:rsidR="00D44BFA" w:rsidRPr="00E9128C" w:rsidRDefault="00D44BFA" w:rsidP="00A34494">
      <w:pPr>
        <w:pStyle w:val="esegmenth4"/>
        <w:spacing w:before="0" w:beforeAutospacing="0" w:after="0" w:afterAutospacing="0" w:line="260" w:lineRule="atLeast"/>
        <w:jc w:val="both"/>
        <w:rPr>
          <w:rFonts w:ascii="Arial" w:hAnsi="Arial" w:cs="Arial"/>
          <w:sz w:val="20"/>
          <w:szCs w:val="20"/>
        </w:rPr>
      </w:pPr>
    </w:p>
    <w:p w14:paraId="65F42139" w14:textId="77777777" w:rsidR="00A34494"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(2) Za ugotavljanje prihodkov in odhodkov se uporabljajo predpisi o obdavčitvi dohodkov pravnih oseb, če ni s tem členom ali ZDoh-2 drugače določeno.</w:t>
      </w:r>
    </w:p>
    <w:p w14:paraId="15450955" w14:textId="77777777" w:rsidR="00D44BFA" w:rsidRPr="00E9128C" w:rsidRDefault="00D44BFA" w:rsidP="00A34494">
      <w:pPr>
        <w:pStyle w:val="esegmenth4"/>
        <w:spacing w:before="0" w:beforeAutospacing="0" w:after="0" w:afterAutospacing="0" w:line="260" w:lineRule="atLeast"/>
        <w:jc w:val="both"/>
        <w:rPr>
          <w:rFonts w:ascii="Arial" w:hAnsi="Arial" w:cs="Arial"/>
          <w:sz w:val="20"/>
          <w:szCs w:val="20"/>
        </w:rPr>
      </w:pPr>
    </w:p>
    <w:p w14:paraId="61AB6597" w14:textId="77777777" w:rsidR="00A34494" w:rsidRPr="00E9128C" w:rsidRDefault="00A34494" w:rsidP="00E9128C">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 xml:space="preserve">(3) Zavezanec lahko pri ugotavljanju davčne osnove davčnega leta upošteva normirane odhodke v višini, določeni v 59. členu ZDoh-2, če priglasi ugotavljanje davčne osnove z upoštevanjem dejanskih prihodkov in normiranih odhodkov v skladu z zakonom, ki ureja davčni postopek, če je od izstopa iz </w:t>
      </w:r>
      <w:r w:rsidRPr="00E9128C">
        <w:rPr>
          <w:rFonts w:ascii="Arial" w:hAnsi="Arial" w:cs="Arial"/>
          <w:sz w:val="20"/>
          <w:szCs w:val="20"/>
        </w:rPr>
        <w:lastRenderedPageBreak/>
        <w:t>sistema ugotavljanja davčne osnove z upoštevanjem normiranih odhodkov ali od prenehanja opravljanja dejavnosti preteklo več kot pet davčnih let, pri čemer se davčno leto prenehanja opravljanja dejavnosti ne upošteva, in pod naslednjimi pogoji:</w:t>
      </w:r>
    </w:p>
    <w:p w14:paraId="0765428D" w14:textId="77777777" w:rsidR="00A34494" w:rsidRPr="00E9128C" w:rsidRDefault="00A34494" w:rsidP="00E9128C">
      <w:pPr>
        <w:pStyle w:val="esegmenth4"/>
        <w:numPr>
          <w:ilvl w:val="0"/>
          <w:numId w:val="21"/>
        </w:numPr>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če v davčnem letu pred tem davčnim letom, njegovi prihodki iz dejavnosti, ugotovljeni po pravilih o računovodenju, ne presegajo 50.000 eurov, ali</w:t>
      </w:r>
    </w:p>
    <w:p w14:paraId="52B6D5E4" w14:textId="77777777" w:rsidR="00A34494" w:rsidRPr="00E9128C" w:rsidRDefault="00A34494" w:rsidP="00E9128C">
      <w:pPr>
        <w:pStyle w:val="esegmenth4"/>
        <w:numPr>
          <w:ilvl w:val="0"/>
          <w:numId w:val="21"/>
        </w:numPr>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če v davčnem letu pred tem davčnim letom njegovi prihodki iz dejavnosti, ugotovljeni po pravilih o računovodenju, ne presegajo 120.000 eurov in je bil zavezanec v skladu z zakonom, ki ureja pokojninsko in invalidsko zavarovanje, obvezno zavarovan na podlagi samozaposlitve za polni delovni čas neprekinjeno vsaj devet mesecev,</w:t>
      </w:r>
    </w:p>
    <w:p w14:paraId="4B386E49" w14:textId="77777777" w:rsidR="00A34494" w:rsidRPr="00E9128C"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in ni z drugimi določbami tega člena ali zakonom drugače določeno.</w:t>
      </w:r>
    </w:p>
    <w:p w14:paraId="4EEBB3EB" w14:textId="77777777" w:rsidR="00A34494" w:rsidRPr="00E9128C" w:rsidRDefault="00A34494" w:rsidP="00A34494">
      <w:pPr>
        <w:pStyle w:val="esegmenth4"/>
        <w:spacing w:before="0" w:beforeAutospacing="0" w:after="0" w:afterAutospacing="0" w:line="260" w:lineRule="atLeast"/>
        <w:jc w:val="center"/>
        <w:rPr>
          <w:rFonts w:ascii="Arial" w:hAnsi="Arial" w:cs="Arial"/>
          <w:b/>
          <w:bCs/>
          <w:sz w:val="20"/>
          <w:szCs w:val="20"/>
        </w:rPr>
      </w:pPr>
    </w:p>
    <w:p w14:paraId="43623090" w14:textId="77777777" w:rsidR="00A34494" w:rsidRPr="00E9128C"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 xml:space="preserve">(4) Pri presoji izpolnjevanja pogojev za vstop v sistem ugotavljanja davčne osnove z upoštevanjem normiranih odhodkov iz prejšnjega odstavka se za zavezanca, ki v davčnem letu pred tem davčnim letom ni opravljal dejavnosti, šteje, da so v davčnem letu pred tem davčnim letom prihodki iz dejavnosti enaki nič. </w:t>
      </w:r>
    </w:p>
    <w:p w14:paraId="28EDD743" w14:textId="77777777" w:rsidR="00A34494" w:rsidRPr="00E9128C" w:rsidRDefault="00A34494" w:rsidP="00A34494">
      <w:pPr>
        <w:pStyle w:val="esegmenth4"/>
        <w:spacing w:before="0" w:beforeAutospacing="0" w:after="0" w:afterAutospacing="0" w:line="260" w:lineRule="atLeast"/>
        <w:jc w:val="both"/>
        <w:rPr>
          <w:rFonts w:ascii="Arial" w:hAnsi="Arial" w:cs="Arial"/>
          <w:sz w:val="20"/>
          <w:szCs w:val="20"/>
        </w:rPr>
      </w:pPr>
    </w:p>
    <w:p w14:paraId="4767DBBD" w14:textId="77777777" w:rsidR="00A34494" w:rsidRPr="00E9128C"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(5) Za posamezno kmetijsko in dopolnilno dejavnost se sme v okviru kmečkega gospodinjstva kot zavezanec priglasiti en sam nosilec dejavnosti.</w:t>
      </w:r>
    </w:p>
    <w:p w14:paraId="7665B68D" w14:textId="77777777" w:rsidR="00A34494" w:rsidRPr="00E9128C" w:rsidRDefault="00A34494" w:rsidP="00A34494">
      <w:pPr>
        <w:pStyle w:val="esegmenth4"/>
        <w:spacing w:before="0" w:beforeAutospacing="0" w:after="0" w:afterAutospacing="0" w:line="260" w:lineRule="atLeast"/>
        <w:jc w:val="both"/>
        <w:rPr>
          <w:rFonts w:ascii="Arial" w:hAnsi="Arial" w:cs="Arial"/>
          <w:sz w:val="20"/>
          <w:szCs w:val="20"/>
        </w:rPr>
      </w:pPr>
    </w:p>
    <w:p w14:paraId="371937B5" w14:textId="1483C039" w:rsidR="00A34494" w:rsidRPr="00E9128C"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 xml:space="preserve">6) Ne glede na tretji odstavek tega člena, lahko zavezanec iz drugega odstavka 47. člena ZDoh-2 pri ugotavljanju davčne osnove naslednjega davčnega leta upošteva normirane odhodke v višini, določeni v 59. členu ZDoh-2, če priglasi ugotavljanje davčne osnove z upoštevanjem dejanskih prihodkov in normiranih odhodkov v skladu z zakonom, ki ureja davčni postopek, če je od izstopa iz sistema ugotavljanja davčne osnove z upoštevanjem normiranih odhodkov ali od prenehanja  ugotavljanja davčne osnove po drugem odstavku 47. člena ZDoh-2 preteklo več kot pet davčnih let, in njegovi prihodki iz dejavnosti, ugotovljeni po pravilih o računovodenju, v davčnem letu pred tem davčnim letom, ne presegajo 120.000 eurov na nosilca in na drugega člana kmečkega gospodinjstva, ki je vključen v obvezno pokojninsko in invalidsko zavarovanje kot kmet oziroma član kmečkega gospodarstva, v skladu z zakonom, ki ureja obvezno pokojninsko in invalidsko zavarovanje.  </w:t>
      </w:r>
    </w:p>
    <w:p w14:paraId="5D7AF797" w14:textId="77777777" w:rsidR="00A34494" w:rsidRPr="00E9128C" w:rsidRDefault="00A34494" w:rsidP="00A34494">
      <w:pPr>
        <w:pStyle w:val="esegmenth4"/>
        <w:spacing w:before="0" w:beforeAutospacing="0" w:after="0" w:afterAutospacing="0" w:line="260" w:lineRule="atLeast"/>
        <w:jc w:val="both"/>
        <w:rPr>
          <w:rFonts w:ascii="Arial" w:hAnsi="Arial" w:cs="Arial"/>
          <w:sz w:val="20"/>
          <w:szCs w:val="20"/>
        </w:rPr>
      </w:pPr>
    </w:p>
    <w:p w14:paraId="517937B8" w14:textId="77777777" w:rsidR="00A34494"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 xml:space="preserve">(7) Pri presoji izpolnjevanja pogojev za vstop v sistem ugotavljanja davčne osnove z upoštevanjem normiranih odhodkov iz prejšnjega odstavka se za zavezanca, ki je na novo priglasil ugotavljanje davčne osnove po drugem odstavku 47. člena ZDoh-2, šteje, da so v davčnem letu pred tem davčnim letom prihodki nosilca in drugih članov kmečkega gospodinjstva iz osnovne kmetijske in osnovne gozdarske dejavnosti enaki nič. </w:t>
      </w:r>
    </w:p>
    <w:p w14:paraId="39E91A78" w14:textId="77777777" w:rsidR="00D44BFA" w:rsidRPr="00E9128C" w:rsidRDefault="00D44BFA" w:rsidP="00A34494">
      <w:pPr>
        <w:pStyle w:val="esegmenth4"/>
        <w:spacing w:before="0" w:beforeAutospacing="0" w:after="0" w:afterAutospacing="0" w:line="260" w:lineRule="atLeast"/>
        <w:jc w:val="both"/>
        <w:rPr>
          <w:rFonts w:ascii="Arial" w:hAnsi="Arial" w:cs="Arial"/>
          <w:sz w:val="20"/>
          <w:szCs w:val="20"/>
        </w:rPr>
      </w:pPr>
    </w:p>
    <w:p w14:paraId="325B5BD8" w14:textId="77777777" w:rsidR="00A34494" w:rsidRPr="00E9128C" w:rsidRDefault="00A34494" w:rsidP="00E9128C">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(8) Za potrebe določanja višine prihodkov iz tretjega in šestega odstavka tega člena se ne uporabljata četrti in sedmi odstavek tega člena, če je v 18. mesecih pred priglasitvijo ugotavljanja davčne osnove na podlagi dejanskih prihodkov in normiranih odhodkov:</w:t>
      </w:r>
    </w:p>
    <w:p w14:paraId="75DF4AAD" w14:textId="77777777" w:rsidR="00A34494" w:rsidRPr="00E9128C" w:rsidRDefault="00A34494" w:rsidP="00E9128C">
      <w:pPr>
        <w:pStyle w:val="esegmenth4"/>
        <w:spacing w:before="0" w:beforeAutospacing="0" w:after="0" w:afterAutospacing="0" w:line="260" w:lineRule="atLeast"/>
        <w:ind w:firstLine="284"/>
        <w:jc w:val="both"/>
        <w:rPr>
          <w:rFonts w:ascii="Arial" w:hAnsi="Arial" w:cs="Arial"/>
          <w:sz w:val="20"/>
          <w:szCs w:val="20"/>
        </w:rPr>
      </w:pPr>
      <w:r w:rsidRPr="00E9128C">
        <w:rPr>
          <w:rFonts w:ascii="Arial" w:hAnsi="Arial" w:cs="Arial"/>
          <w:sz w:val="20"/>
          <w:szCs w:val="20"/>
        </w:rPr>
        <w:t>1.</w:t>
      </w:r>
      <w:r w:rsidRPr="00E9128C">
        <w:rPr>
          <w:rFonts w:ascii="Arial" w:hAnsi="Arial" w:cs="Arial"/>
          <w:sz w:val="20"/>
          <w:szCs w:val="20"/>
        </w:rPr>
        <w:tab/>
        <w:t>zavezanec ustanovil družbo, zavod ali primerljivo osebo po tujem pravu,</w:t>
      </w:r>
    </w:p>
    <w:p w14:paraId="1240CD8E" w14:textId="77777777" w:rsidR="00A34494" w:rsidRPr="00E9128C" w:rsidRDefault="00A34494" w:rsidP="00E9128C">
      <w:pPr>
        <w:pStyle w:val="esegmenth4"/>
        <w:spacing w:before="0" w:beforeAutospacing="0" w:after="0" w:afterAutospacing="0" w:line="260" w:lineRule="atLeast"/>
        <w:ind w:left="705" w:hanging="421"/>
        <w:jc w:val="both"/>
        <w:rPr>
          <w:rFonts w:ascii="Arial" w:hAnsi="Arial" w:cs="Arial"/>
          <w:sz w:val="20"/>
          <w:szCs w:val="20"/>
        </w:rPr>
      </w:pPr>
      <w:r w:rsidRPr="00E9128C">
        <w:rPr>
          <w:rFonts w:ascii="Arial" w:hAnsi="Arial" w:cs="Arial"/>
          <w:sz w:val="20"/>
          <w:szCs w:val="20"/>
        </w:rPr>
        <w:t>2.</w:t>
      </w:r>
      <w:r w:rsidRPr="00E9128C">
        <w:rPr>
          <w:rFonts w:ascii="Arial" w:hAnsi="Arial" w:cs="Arial"/>
          <w:sz w:val="20"/>
          <w:szCs w:val="20"/>
        </w:rPr>
        <w:tab/>
        <w:t>prišlo do preoblikovanja zavezanca s prenosom dela podjetja na družbo, s pridobitvijo lastniškega deleža, ali fizično osebo, ki opravlja dejavnost, ali</w:t>
      </w:r>
    </w:p>
    <w:p w14:paraId="5B1A7A0E" w14:textId="77777777" w:rsidR="00A34494" w:rsidRPr="00E9128C" w:rsidRDefault="00A34494" w:rsidP="00A34494">
      <w:pPr>
        <w:pStyle w:val="esegmenth4"/>
        <w:spacing w:before="0" w:beforeAutospacing="0" w:after="0" w:afterAutospacing="0" w:line="260" w:lineRule="atLeast"/>
        <w:ind w:left="705" w:hanging="421"/>
        <w:jc w:val="both"/>
        <w:rPr>
          <w:rFonts w:ascii="Arial" w:hAnsi="Arial" w:cs="Arial"/>
          <w:sz w:val="20"/>
          <w:szCs w:val="20"/>
        </w:rPr>
      </w:pPr>
      <w:r w:rsidRPr="00E9128C">
        <w:rPr>
          <w:rFonts w:ascii="Arial" w:hAnsi="Arial" w:cs="Arial"/>
          <w:sz w:val="20"/>
          <w:szCs w:val="20"/>
        </w:rPr>
        <w:t>3.</w:t>
      </w:r>
      <w:r w:rsidRPr="00E9128C">
        <w:rPr>
          <w:rFonts w:ascii="Arial" w:hAnsi="Arial" w:cs="Arial"/>
          <w:sz w:val="20"/>
          <w:szCs w:val="20"/>
        </w:rPr>
        <w:tab/>
        <w:t xml:space="preserve">zavezanec začel opravljati dejavnost na podlagi prenosa podjetja ali dela podjetja od druge osebe. </w:t>
      </w:r>
    </w:p>
    <w:p w14:paraId="21C95124" w14:textId="77777777" w:rsidR="00A34494" w:rsidRPr="00E9128C" w:rsidRDefault="00A34494" w:rsidP="00E9128C">
      <w:pPr>
        <w:pStyle w:val="esegmenth4"/>
        <w:spacing w:before="0" w:beforeAutospacing="0" w:after="0" w:afterAutospacing="0" w:line="260" w:lineRule="atLeast"/>
        <w:ind w:left="705" w:hanging="705"/>
        <w:jc w:val="both"/>
        <w:rPr>
          <w:rFonts w:ascii="Arial" w:hAnsi="Arial" w:cs="Arial"/>
          <w:sz w:val="20"/>
          <w:szCs w:val="20"/>
        </w:rPr>
      </w:pPr>
      <w:r w:rsidRPr="00E9128C">
        <w:rPr>
          <w:rFonts w:ascii="Arial" w:hAnsi="Arial" w:cs="Arial"/>
          <w:sz w:val="20"/>
          <w:szCs w:val="20"/>
        </w:rPr>
        <w:t>(9) V prihodke po tretjem in šestem odstavku tega člena se štejejo:</w:t>
      </w:r>
    </w:p>
    <w:p w14:paraId="433A94B1" w14:textId="77777777" w:rsidR="00A34494" w:rsidRPr="00E9128C" w:rsidRDefault="00A34494" w:rsidP="00A34494">
      <w:pPr>
        <w:pStyle w:val="esegmenth4"/>
        <w:spacing w:before="0" w:beforeAutospacing="0" w:after="0" w:afterAutospacing="0" w:line="260" w:lineRule="atLeast"/>
        <w:ind w:left="705" w:hanging="705"/>
        <w:jc w:val="both"/>
        <w:rPr>
          <w:rFonts w:ascii="Arial" w:hAnsi="Arial" w:cs="Arial"/>
          <w:sz w:val="20"/>
          <w:szCs w:val="20"/>
        </w:rPr>
      </w:pPr>
      <w:r w:rsidRPr="00E9128C">
        <w:rPr>
          <w:rFonts w:ascii="Arial" w:hAnsi="Arial" w:cs="Arial"/>
          <w:sz w:val="20"/>
          <w:szCs w:val="20"/>
        </w:rPr>
        <w:t>1. v primerih iz osmega odstavka tega člena tudi:</w:t>
      </w:r>
    </w:p>
    <w:p w14:paraId="39671022" w14:textId="77777777" w:rsidR="00A34494" w:rsidRPr="00E9128C" w:rsidRDefault="00A34494" w:rsidP="00E9128C">
      <w:pPr>
        <w:pStyle w:val="esegmenth4"/>
        <w:spacing w:before="0" w:beforeAutospacing="0" w:after="0" w:afterAutospacing="0" w:line="260" w:lineRule="atLeast"/>
        <w:ind w:left="705" w:hanging="279"/>
        <w:jc w:val="both"/>
        <w:rPr>
          <w:rFonts w:ascii="Arial" w:hAnsi="Arial" w:cs="Arial"/>
          <w:sz w:val="20"/>
          <w:szCs w:val="20"/>
        </w:rPr>
      </w:pPr>
      <w:r w:rsidRPr="00E9128C">
        <w:rPr>
          <w:rFonts w:ascii="Arial" w:hAnsi="Arial" w:cs="Arial"/>
          <w:sz w:val="20"/>
          <w:szCs w:val="20"/>
        </w:rPr>
        <w:t>-</w:t>
      </w:r>
      <w:r w:rsidRPr="00E9128C">
        <w:rPr>
          <w:rFonts w:ascii="Arial" w:hAnsi="Arial" w:cs="Arial"/>
          <w:sz w:val="20"/>
          <w:szCs w:val="20"/>
        </w:rPr>
        <w:tab/>
        <w:t>prihodki družbe, zavoda ali primerljive osebe po tujem pravu,</w:t>
      </w:r>
    </w:p>
    <w:p w14:paraId="41E2CD48" w14:textId="77777777" w:rsidR="00A34494" w:rsidRPr="00E9128C" w:rsidRDefault="00A34494" w:rsidP="00E9128C">
      <w:pPr>
        <w:pStyle w:val="esegmenth4"/>
        <w:spacing w:before="0" w:beforeAutospacing="0" w:after="0" w:afterAutospacing="0" w:line="260" w:lineRule="atLeast"/>
        <w:ind w:left="705" w:hanging="279"/>
        <w:jc w:val="both"/>
        <w:rPr>
          <w:rFonts w:ascii="Arial" w:hAnsi="Arial" w:cs="Arial"/>
          <w:sz w:val="20"/>
          <w:szCs w:val="20"/>
        </w:rPr>
      </w:pPr>
      <w:r w:rsidRPr="00E9128C">
        <w:rPr>
          <w:rFonts w:ascii="Arial" w:hAnsi="Arial" w:cs="Arial"/>
          <w:sz w:val="20"/>
          <w:szCs w:val="20"/>
        </w:rPr>
        <w:t>-</w:t>
      </w:r>
      <w:r w:rsidRPr="00E9128C">
        <w:rPr>
          <w:rFonts w:ascii="Arial" w:hAnsi="Arial" w:cs="Arial"/>
          <w:sz w:val="20"/>
          <w:szCs w:val="20"/>
        </w:rPr>
        <w:tab/>
        <w:t>prihodki osebe, ki je prevzela del podjetja zavezanca, in</w:t>
      </w:r>
    </w:p>
    <w:p w14:paraId="34EA1055" w14:textId="77777777" w:rsidR="00A34494" w:rsidRPr="00E9128C" w:rsidRDefault="00A34494" w:rsidP="00E9128C">
      <w:pPr>
        <w:pStyle w:val="esegmenth4"/>
        <w:spacing w:before="0" w:beforeAutospacing="0" w:after="0" w:afterAutospacing="0" w:line="260" w:lineRule="atLeast"/>
        <w:ind w:left="705" w:hanging="279"/>
        <w:jc w:val="both"/>
        <w:rPr>
          <w:rFonts w:ascii="Arial" w:hAnsi="Arial" w:cs="Arial"/>
          <w:sz w:val="20"/>
          <w:szCs w:val="20"/>
        </w:rPr>
      </w:pPr>
      <w:r w:rsidRPr="00E9128C">
        <w:rPr>
          <w:rFonts w:ascii="Arial" w:hAnsi="Arial" w:cs="Arial"/>
          <w:sz w:val="20"/>
          <w:szCs w:val="20"/>
        </w:rPr>
        <w:t>-</w:t>
      </w:r>
      <w:r w:rsidRPr="00E9128C">
        <w:rPr>
          <w:rFonts w:ascii="Arial" w:hAnsi="Arial" w:cs="Arial"/>
          <w:sz w:val="20"/>
          <w:szCs w:val="20"/>
        </w:rPr>
        <w:tab/>
        <w:t>prihodki osebe, ki je prenesla podjetje ali del podjetja na zavezanca,</w:t>
      </w:r>
    </w:p>
    <w:p w14:paraId="12816A2B" w14:textId="77777777" w:rsidR="00A34494" w:rsidRPr="00E9128C" w:rsidRDefault="00A34494" w:rsidP="00E9128C">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doseženi v obdobju iz tretjega in šestega odstavka tega člena, pri čemer se upoštevajo prihodki iz dejavnosti, ugotovljeni po pravilih o računovodenju, ter</w:t>
      </w:r>
    </w:p>
    <w:p w14:paraId="09D2AC92" w14:textId="77777777" w:rsidR="00A34494"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lastRenderedPageBreak/>
        <w:t>2. prihodki iz dejavnosti povezanih oseb, razen če zavezanec dokaže, da glavni ali eden od glavnih razlogov za shemo poslovanja ni izpolnjevanje pogojev za ugotavljanje davčne osnove z upoštevanjem normiranih odhodkov.</w:t>
      </w:r>
    </w:p>
    <w:p w14:paraId="7FCCF77E" w14:textId="77777777" w:rsidR="00D44BFA" w:rsidRPr="00E9128C" w:rsidRDefault="00D44BFA" w:rsidP="00A34494">
      <w:pPr>
        <w:pStyle w:val="esegmenth4"/>
        <w:spacing w:before="0" w:beforeAutospacing="0" w:after="0" w:afterAutospacing="0" w:line="260" w:lineRule="atLeast"/>
        <w:jc w:val="both"/>
        <w:rPr>
          <w:rFonts w:ascii="Arial" w:hAnsi="Arial" w:cs="Arial"/>
          <w:sz w:val="20"/>
          <w:szCs w:val="20"/>
        </w:rPr>
      </w:pPr>
    </w:p>
    <w:p w14:paraId="7233124F" w14:textId="77777777" w:rsidR="00A34494" w:rsidRDefault="00A34494" w:rsidP="00E9128C">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(10) Za del podjetja po tem členu se šteje celota sredstev in obveznosti, ki je s poslovno organizacijskega vidika sposobna samostojno poslovati.</w:t>
      </w:r>
    </w:p>
    <w:p w14:paraId="2311849B" w14:textId="77777777" w:rsidR="00D44BFA" w:rsidRPr="00E9128C" w:rsidRDefault="00D44BFA" w:rsidP="00E9128C">
      <w:pPr>
        <w:pStyle w:val="esegmenth4"/>
        <w:spacing w:before="0" w:beforeAutospacing="0" w:after="0" w:afterAutospacing="0" w:line="260" w:lineRule="atLeast"/>
        <w:jc w:val="both"/>
        <w:rPr>
          <w:rFonts w:ascii="Arial" w:hAnsi="Arial" w:cs="Arial"/>
          <w:sz w:val="20"/>
          <w:szCs w:val="20"/>
        </w:rPr>
      </w:pPr>
    </w:p>
    <w:p w14:paraId="2C526686" w14:textId="77777777" w:rsidR="00A34494" w:rsidRDefault="00A34494" w:rsidP="00E9128C">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(11) Zavezanec mora v roku, določenim z zakonom, ki ureja davčni postopek, davčni organ obvestiti o prenehanju ugotavljanja davčne osnove z upoštevanjem normiranih odhodkov. Obvestilo učinkuje od začetka davčnega leta, za katero je davčni zavezanec obvestil davčni organ.</w:t>
      </w:r>
    </w:p>
    <w:p w14:paraId="426F0D1A" w14:textId="77777777" w:rsidR="00D44BFA" w:rsidRPr="00E9128C" w:rsidRDefault="00D44BFA" w:rsidP="00E9128C">
      <w:pPr>
        <w:pStyle w:val="esegmenth4"/>
        <w:spacing w:before="0" w:beforeAutospacing="0" w:after="0" w:afterAutospacing="0" w:line="260" w:lineRule="atLeast"/>
        <w:jc w:val="both"/>
        <w:rPr>
          <w:rFonts w:ascii="Arial" w:hAnsi="Arial" w:cs="Arial"/>
          <w:sz w:val="20"/>
          <w:szCs w:val="20"/>
        </w:rPr>
      </w:pPr>
    </w:p>
    <w:p w14:paraId="7033E60A" w14:textId="77777777" w:rsidR="00A34494" w:rsidRDefault="00A34494" w:rsidP="00A34494">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(12) Zavezanec, ki davčnemu organu predloži obvestilo iz prejšnjega odstavka, mora za davčno leto ugotavljati davčno osnovo na podlagi dejanskih prihodkov in odhodkov in voditi ustrezne poslovne knjige, evidence in poslovno poročilo, ki jih je dolžan voditi za ugotavljanje davčne osnove na podlagi dejanskih prihodkov in odhodkov.</w:t>
      </w:r>
    </w:p>
    <w:p w14:paraId="44DE5F5D" w14:textId="77777777" w:rsidR="00D44BFA" w:rsidRPr="00E9128C" w:rsidRDefault="00D44BFA" w:rsidP="00A34494">
      <w:pPr>
        <w:pStyle w:val="esegmenth4"/>
        <w:spacing w:before="0" w:beforeAutospacing="0" w:after="0" w:afterAutospacing="0" w:line="260" w:lineRule="atLeast"/>
        <w:jc w:val="both"/>
        <w:rPr>
          <w:rFonts w:ascii="Arial" w:hAnsi="Arial" w:cs="Arial"/>
          <w:sz w:val="20"/>
          <w:szCs w:val="20"/>
        </w:rPr>
      </w:pPr>
    </w:p>
    <w:p w14:paraId="120CF2CA" w14:textId="77777777" w:rsidR="00A34494" w:rsidRPr="00E9128C" w:rsidRDefault="00A34494" w:rsidP="00E9128C">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(13) Ne glede na prejšnji odstavek mora zavezanec za davčno leto ugotavljati davčno osnovo na podlagi dejanskih prihodkov in odhodkov in voditi ustrezne poslovne knjige, evidence in poslovno poročilo, ki jih je dolžan voditi za ugotavljanje davčne osnove na podlagi dejanskih prihodkov in odhodkov, če povprečje prihodkov iz dejavnosti, ugotovljenih po pravilih o računovodenju, dveh zaporednih predhodnih davčnih let presega:</w:t>
      </w:r>
    </w:p>
    <w:p w14:paraId="15CAEB41" w14:textId="77777777" w:rsidR="00A34494" w:rsidRPr="00E9128C" w:rsidRDefault="00A34494" w:rsidP="00E9128C">
      <w:pPr>
        <w:pStyle w:val="esegmenth4"/>
        <w:spacing w:before="0" w:beforeAutospacing="0" w:after="0" w:afterAutospacing="0" w:line="260" w:lineRule="atLeast"/>
        <w:ind w:left="705" w:hanging="705"/>
        <w:jc w:val="both"/>
        <w:rPr>
          <w:rFonts w:ascii="Arial" w:hAnsi="Arial" w:cs="Arial"/>
          <w:sz w:val="20"/>
          <w:szCs w:val="20"/>
        </w:rPr>
      </w:pPr>
      <w:r w:rsidRPr="00E9128C">
        <w:rPr>
          <w:rFonts w:ascii="Arial" w:hAnsi="Arial" w:cs="Arial"/>
          <w:sz w:val="20"/>
          <w:szCs w:val="20"/>
        </w:rPr>
        <w:t>-</w:t>
      </w:r>
      <w:r w:rsidRPr="00E9128C">
        <w:rPr>
          <w:rFonts w:ascii="Arial" w:hAnsi="Arial" w:cs="Arial"/>
          <w:sz w:val="20"/>
          <w:szCs w:val="20"/>
        </w:rPr>
        <w:tab/>
        <w:t>120.000 eurov in je bil v teh dveh predhodnih davčnih letih v posameznem davčnem letu v skladu z zakonom, ki ureja pokojninsko in invalidsko zavarovanje, obvezno zavarovan na podlagi samozaposlitve za polni delovni čas neprekinjeno vsaj devet mesecev,</w:t>
      </w:r>
    </w:p>
    <w:p w14:paraId="24AFD51C" w14:textId="77777777" w:rsidR="00A34494" w:rsidRPr="00E9128C" w:rsidRDefault="00A34494" w:rsidP="00E9128C">
      <w:pPr>
        <w:pStyle w:val="esegmenth4"/>
        <w:spacing w:before="0" w:beforeAutospacing="0" w:after="0" w:afterAutospacing="0" w:line="260" w:lineRule="atLeast"/>
        <w:ind w:left="705" w:hanging="705"/>
        <w:jc w:val="both"/>
        <w:rPr>
          <w:rFonts w:ascii="Arial" w:hAnsi="Arial" w:cs="Arial"/>
          <w:sz w:val="20"/>
          <w:szCs w:val="20"/>
        </w:rPr>
      </w:pPr>
      <w:r w:rsidRPr="00E9128C">
        <w:rPr>
          <w:rFonts w:ascii="Arial" w:hAnsi="Arial" w:cs="Arial"/>
          <w:sz w:val="20"/>
          <w:szCs w:val="20"/>
        </w:rPr>
        <w:t>-</w:t>
      </w:r>
      <w:r w:rsidRPr="00E9128C">
        <w:rPr>
          <w:rFonts w:ascii="Arial" w:hAnsi="Arial" w:cs="Arial"/>
          <w:sz w:val="20"/>
          <w:szCs w:val="20"/>
        </w:rPr>
        <w:tab/>
        <w:t>50.000 eurov in v teh dveh predhodnih davčnih letih v posameznem davčnem letu v skladu z zakonom, ki ureja pokojninsko in invalidsko zavarovanje, ni bil obvezno zavarovan na podlagi samozaposlitve za polni delovni čas neprekinjeno vsaj devet mesecev,</w:t>
      </w:r>
    </w:p>
    <w:p w14:paraId="088F6B5E" w14:textId="77777777" w:rsidR="00A34494" w:rsidRPr="00E9128C" w:rsidRDefault="00A34494" w:rsidP="00E9128C">
      <w:pPr>
        <w:pStyle w:val="esegmenth4"/>
        <w:spacing w:before="0" w:beforeAutospacing="0" w:after="0" w:afterAutospacing="0" w:line="260" w:lineRule="atLeast"/>
        <w:jc w:val="both"/>
        <w:rPr>
          <w:rFonts w:ascii="Arial" w:hAnsi="Arial" w:cs="Arial"/>
          <w:sz w:val="20"/>
          <w:szCs w:val="20"/>
        </w:rPr>
      </w:pPr>
      <w:r w:rsidRPr="00E9128C">
        <w:rPr>
          <w:rFonts w:ascii="Arial" w:hAnsi="Arial" w:cs="Arial"/>
          <w:sz w:val="20"/>
          <w:szCs w:val="20"/>
        </w:rPr>
        <w:t>-</w:t>
      </w:r>
      <w:r w:rsidRPr="00E9128C">
        <w:rPr>
          <w:rFonts w:ascii="Arial" w:hAnsi="Arial" w:cs="Arial"/>
          <w:sz w:val="20"/>
          <w:szCs w:val="20"/>
        </w:rPr>
        <w:tab/>
        <w:t>85.000 eurov in ne izpolnjuje pogojev iz prve in druge alineje tega odstavka,</w:t>
      </w:r>
    </w:p>
    <w:p w14:paraId="0116A09C" w14:textId="77777777" w:rsidR="00A34494" w:rsidRPr="00E9128C" w:rsidRDefault="00A34494" w:rsidP="00A34494">
      <w:pPr>
        <w:pStyle w:val="esegmenth4"/>
        <w:spacing w:before="0" w:beforeAutospacing="0" w:after="0" w:afterAutospacing="0" w:line="260" w:lineRule="atLeast"/>
        <w:ind w:left="705" w:hanging="705"/>
        <w:jc w:val="both"/>
        <w:rPr>
          <w:rFonts w:ascii="Arial" w:hAnsi="Arial" w:cs="Arial"/>
          <w:sz w:val="20"/>
          <w:szCs w:val="20"/>
        </w:rPr>
      </w:pPr>
      <w:r w:rsidRPr="00E9128C">
        <w:rPr>
          <w:rFonts w:ascii="Arial" w:hAnsi="Arial" w:cs="Arial"/>
          <w:sz w:val="20"/>
          <w:szCs w:val="20"/>
        </w:rPr>
        <w:t>-</w:t>
      </w:r>
      <w:r w:rsidRPr="00E9128C">
        <w:rPr>
          <w:rFonts w:ascii="Arial" w:hAnsi="Arial" w:cs="Arial"/>
          <w:sz w:val="20"/>
          <w:szCs w:val="20"/>
        </w:rPr>
        <w:tab/>
        <w:t>120.000 eurov na nosilca in na drugega člana kmečkega gospodinjstva, ki je vključen v obvezno pokojninsko in invalidsko zavarovanje kot kmet oziroma član kmečkega gospodinjstva, če je zavezanec iz šestega odstavka tega člena.</w:t>
      </w:r>
    </w:p>
    <w:p w14:paraId="5C1C41A2" w14:textId="77777777" w:rsidR="00A34494" w:rsidRPr="00E9128C" w:rsidRDefault="00A34494" w:rsidP="00A34494">
      <w:pPr>
        <w:pStyle w:val="esegmenth4"/>
        <w:spacing w:before="0" w:beforeAutospacing="0" w:after="0" w:afterAutospacing="0" w:line="260" w:lineRule="atLeast"/>
        <w:ind w:left="705" w:hanging="705"/>
        <w:jc w:val="both"/>
        <w:rPr>
          <w:rFonts w:ascii="Arial" w:hAnsi="Arial" w:cs="Arial"/>
          <w:sz w:val="20"/>
          <w:szCs w:val="20"/>
        </w:rPr>
      </w:pPr>
    </w:p>
    <w:p w14:paraId="430ED033" w14:textId="77777777" w:rsidR="00A34494" w:rsidRPr="00E9128C" w:rsidRDefault="00A34494" w:rsidP="00A34494">
      <w:pPr>
        <w:spacing w:after="0" w:line="260" w:lineRule="atLeast"/>
        <w:jc w:val="both"/>
        <w:rPr>
          <w:rFonts w:cs="Arial"/>
          <w:szCs w:val="20"/>
        </w:rPr>
      </w:pPr>
      <w:r w:rsidRPr="00E9128C">
        <w:rPr>
          <w:rFonts w:cs="Arial"/>
          <w:szCs w:val="20"/>
        </w:rPr>
        <w:t>(14) Pri ugotavljanju povprečja prihodkov iz dejavnosti, po pravilih o računovodenju, dveh zaporednih predhodnih davčnih let iz prejšnjega odstavka se upošteva tudi predhodno davčno leto, v katerem zavezanec ni opravljal dejavnosti, pri čemer se šteje, da so prihodki iz dejavnosti, ugotovljeni po pravilih o računovodenju, v tem davčnem letu enaki nič. Pri ugotavljanju povprečja prihodkov iz dejavnosti, po pravilih o računovodenju dveh zaporednih predhodnih davčnih let iz prejšnjega odstavka se za zavezanca iz šestega odstavka tega člena upošteva tudi predhodno davčno leto, v katerem zavezanec ni imel priglašenega ugotavljanja davčne osnove po drugem odstavku 47. člena ZDoh-2, pri čemer se šteje, da so prihodki nosilca in drugih članov kmečkega gospodinjstva iz osnovne kmetijske in osnovne gozdarske dejavnosti v tem davčnem letu enaki nič.</w:t>
      </w:r>
    </w:p>
    <w:p w14:paraId="2A560C7F" w14:textId="77777777" w:rsidR="00A34494" w:rsidRPr="00E9128C" w:rsidRDefault="00A34494" w:rsidP="00A34494">
      <w:pPr>
        <w:spacing w:after="0" w:line="260" w:lineRule="atLeast"/>
        <w:jc w:val="both"/>
        <w:rPr>
          <w:rFonts w:cs="Arial"/>
          <w:szCs w:val="20"/>
        </w:rPr>
      </w:pPr>
    </w:p>
    <w:p w14:paraId="422A210E" w14:textId="0362141E" w:rsidR="00A34494" w:rsidRPr="00E9128C" w:rsidRDefault="00A34494" w:rsidP="00A34494">
      <w:pPr>
        <w:spacing w:after="0" w:line="260" w:lineRule="atLeast"/>
        <w:jc w:val="both"/>
        <w:rPr>
          <w:rFonts w:cs="Arial"/>
          <w:szCs w:val="20"/>
        </w:rPr>
      </w:pPr>
      <w:r w:rsidRPr="00E9128C">
        <w:rPr>
          <w:rFonts w:cs="Arial"/>
          <w:szCs w:val="20"/>
        </w:rPr>
        <w:t>(15) Zavezanec, ki ugotavlja davčno osnovo z upoštevanjem normiranih odhodkov, za davčno leto v davčnem obračunu razkrije znesek prihodkov, ugotovljenih po pravilih o računovodenju, ki so doseženi s posamezno povezano osebo ali z delodajalcem, s katerim je v delovnem razmerju na podlagi pogodbe o zaposlitvi.</w:t>
      </w:r>
    </w:p>
    <w:p w14:paraId="0A1C4AB5" w14:textId="77777777" w:rsidR="00A34494" w:rsidRPr="00E9128C" w:rsidRDefault="00A34494" w:rsidP="0011743A">
      <w:pPr>
        <w:pStyle w:val="esegmenth4"/>
        <w:spacing w:before="0" w:beforeAutospacing="0" w:after="0" w:afterAutospacing="0" w:line="260" w:lineRule="atLeast"/>
        <w:jc w:val="both"/>
        <w:rPr>
          <w:rFonts w:ascii="Arial" w:hAnsi="Arial" w:cs="Arial"/>
          <w:sz w:val="20"/>
          <w:szCs w:val="20"/>
        </w:rPr>
      </w:pPr>
    </w:p>
    <w:p w14:paraId="48C453F7" w14:textId="5993DBAE" w:rsidR="00E436C1" w:rsidRDefault="00E436C1" w:rsidP="0011743A">
      <w:pPr>
        <w:pStyle w:val="esegmenth4"/>
        <w:spacing w:before="0" w:beforeAutospacing="0" w:after="0" w:afterAutospacing="0" w:line="260" w:lineRule="atLeast"/>
        <w:jc w:val="both"/>
        <w:rPr>
          <w:rFonts w:ascii="Arial" w:hAnsi="Arial" w:cs="Arial"/>
          <w:sz w:val="20"/>
          <w:szCs w:val="20"/>
        </w:rPr>
      </w:pPr>
    </w:p>
    <w:p w14:paraId="29336FBB" w14:textId="77777777" w:rsidR="00236DF6" w:rsidRDefault="00236DF6" w:rsidP="0011743A">
      <w:pPr>
        <w:pStyle w:val="esegmenth4"/>
        <w:spacing w:before="0" w:beforeAutospacing="0" w:after="0" w:afterAutospacing="0" w:line="260" w:lineRule="atLeast"/>
        <w:jc w:val="both"/>
        <w:rPr>
          <w:rFonts w:ascii="Arial" w:hAnsi="Arial" w:cs="Arial"/>
          <w:sz w:val="20"/>
          <w:szCs w:val="20"/>
        </w:rPr>
      </w:pPr>
    </w:p>
    <w:p w14:paraId="2C2AF659" w14:textId="77777777" w:rsidR="00236DF6" w:rsidRDefault="00236DF6" w:rsidP="0011743A">
      <w:pPr>
        <w:pStyle w:val="esegmenth4"/>
        <w:spacing w:before="0" w:beforeAutospacing="0" w:after="0" w:afterAutospacing="0" w:line="260" w:lineRule="atLeast"/>
        <w:jc w:val="both"/>
        <w:rPr>
          <w:rFonts w:ascii="Arial" w:hAnsi="Arial" w:cs="Arial"/>
          <w:sz w:val="20"/>
          <w:szCs w:val="20"/>
        </w:rPr>
      </w:pPr>
    </w:p>
    <w:p w14:paraId="41A9325A" w14:textId="77777777" w:rsidR="00236DF6" w:rsidRDefault="00236DF6" w:rsidP="0011743A">
      <w:pPr>
        <w:pStyle w:val="esegmenth4"/>
        <w:spacing w:before="0" w:beforeAutospacing="0" w:after="0" w:afterAutospacing="0" w:line="260" w:lineRule="atLeast"/>
        <w:jc w:val="both"/>
        <w:rPr>
          <w:rFonts w:ascii="Arial" w:hAnsi="Arial" w:cs="Arial"/>
          <w:sz w:val="20"/>
          <w:szCs w:val="20"/>
        </w:rPr>
      </w:pPr>
    </w:p>
    <w:p w14:paraId="22C892FA" w14:textId="77777777" w:rsidR="00236DF6" w:rsidRPr="00E9128C" w:rsidRDefault="00236DF6" w:rsidP="0011743A">
      <w:pPr>
        <w:pStyle w:val="esegmenth4"/>
        <w:spacing w:before="0" w:beforeAutospacing="0" w:after="0" w:afterAutospacing="0" w:line="260" w:lineRule="atLeast"/>
        <w:jc w:val="both"/>
        <w:rPr>
          <w:rFonts w:ascii="Arial" w:hAnsi="Arial" w:cs="Arial"/>
          <w:sz w:val="20"/>
          <w:szCs w:val="20"/>
        </w:rPr>
      </w:pPr>
    </w:p>
    <w:p w14:paraId="58113780" w14:textId="77777777" w:rsidR="00A34494" w:rsidRPr="00E9128C" w:rsidRDefault="00A34494" w:rsidP="00A34494">
      <w:pPr>
        <w:pStyle w:val="Odstavekseznama"/>
        <w:numPr>
          <w:ilvl w:val="0"/>
          <w:numId w:val="17"/>
        </w:numPr>
        <w:spacing w:after="0" w:line="260" w:lineRule="atLeast"/>
        <w:ind w:left="0" w:firstLine="0"/>
        <w:jc w:val="center"/>
        <w:rPr>
          <w:rFonts w:cs="Arial"/>
          <w:b/>
          <w:szCs w:val="20"/>
        </w:rPr>
      </w:pPr>
      <w:r w:rsidRPr="00E9128C">
        <w:rPr>
          <w:rFonts w:cs="Arial"/>
          <w:b/>
          <w:szCs w:val="20"/>
        </w:rPr>
        <w:lastRenderedPageBreak/>
        <w:t>člen</w:t>
      </w:r>
    </w:p>
    <w:p w14:paraId="278B165F" w14:textId="14843AA7" w:rsidR="00A34494" w:rsidRPr="00E9128C" w:rsidRDefault="00A34494" w:rsidP="00A34494">
      <w:pPr>
        <w:spacing w:after="0" w:line="260" w:lineRule="atLeast"/>
        <w:jc w:val="center"/>
        <w:rPr>
          <w:rFonts w:cs="Arial"/>
          <w:b/>
          <w:szCs w:val="20"/>
        </w:rPr>
      </w:pPr>
      <w:r w:rsidRPr="00E9128C">
        <w:rPr>
          <w:rFonts w:cs="Arial"/>
          <w:b/>
          <w:szCs w:val="20"/>
        </w:rPr>
        <w:t>(stopnja dohodnine od dohodka iz dejavnosti, ki se ne všteva v letno davčno osnovo)</w:t>
      </w:r>
    </w:p>
    <w:p w14:paraId="57072521" w14:textId="77777777" w:rsidR="00A34494" w:rsidRPr="00E9128C" w:rsidRDefault="00A34494" w:rsidP="0011743A">
      <w:pPr>
        <w:pStyle w:val="esegmenth4"/>
        <w:spacing w:before="0" w:beforeAutospacing="0" w:after="0" w:afterAutospacing="0" w:line="260" w:lineRule="atLeast"/>
        <w:jc w:val="both"/>
        <w:rPr>
          <w:rFonts w:ascii="Arial" w:hAnsi="Arial" w:cs="Arial"/>
          <w:sz w:val="20"/>
          <w:szCs w:val="20"/>
        </w:rPr>
      </w:pPr>
    </w:p>
    <w:p w14:paraId="7A9BA6A4" w14:textId="77777777" w:rsidR="00A34494" w:rsidRPr="00E9128C" w:rsidRDefault="00A34494" w:rsidP="00E9128C">
      <w:pPr>
        <w:spacing w:after="0" w:line="260" w:lineRule="atLeast"/>
        <w:jc w:val="both"/>
        <w:rPr>
          <w:rFonts w:cs="Arial"/>
          <w:szCs w:val="20"/>
        </w:rPr>
      </w:pPr>
      <w:r w:rsidRPr="00E9128C">
        <w:rPr>
          <w:rFonts w:cs="Arial"/>
          <w:szCs w:val="20"/>
        </w:rPr>
        <w:t>(1) Ne glede na 135.a člen ZDoh-2 se do ustrezne ureditve v zakonu, ki ureja dohodnino, od dohodka iz dejavnosti, ki se ne všteva v letno davčno osnovo, dohodnina za davčno leto izračuna od davčne osnove, ugotovljene v skladu z določbami III.3. poglavja ZDoh-2:</w:t>
      </w:r>
    </w:p>
    <w:p w14:paraId="4054E00F" w14:textId="77777777" w:rsidR="00A34494" w:rsidRPr="00E9128C" w:rsidRDefault="00A34494" w:rsidP="00A34494">
      <w:pPr>
        <w:numPr>
          <w:ilvl w:val="0"/>
          <w:numId w:val="22"/>
        </w:numPr>
        <w:spacing w:after="0" w:line="260" w:lineRule="atLeast"/>
        <w:jc w:val="both"/>
        <w:rPr>
          <w:rFonts w:eastAsia="Times New Roman" w:cs="Arial"/>
          <w:szCs w:val="20"/>
          <w:lang w:eastAsia="sl-SI"/>
        </w:rPr>
      </w:pPr>
      <w:r w:rsidRPr="00E9128C">
        <w:rPr>
          <w:rFonts w:eastAsia="Times New Roman" w:cs="Arial"/>
          <w:szCs w:val="20"/>
          <w:lang w:eastAsia="sl-SI"/>
        </w:rPr>
        <w:t xml:space="preserve">če je bil zavezanec v davčnem letu, za katero se ugotavlja davčna osnova, v skladu z zakonom, ki ureja pokojninsko in invalidsko zavarovanje, obvezno zavarovan na podlagi samozaposlitve za polni delovni čas neprekinjeno vsaj devet mesecev, po stopnji: </w:t>
      </w:r>
    </w:p>
    <w:p w14:paraId="13246A4E" w14:textId="77777777" w:rsidR="00A34494" w:rsidRPr="00E9128C" w:rsidRDefault="00A34494" w:rsidP="00E9128C">
      <w:pPr>
        <w:spacing w:after="0" w:line="260" w:lineRule="atLeast"/>
        <w:jc w:val="both"/>
        <w:rPr>
          <w:rFonts w:cs="Arial"/>
          <w:szCs w:val="20"/>
        </w:rPr>
      </w:pPr>
    </w:p>
    <w:tbl>
      <w:tblPr>
        <w:tblStyle w:val="Tabelamrea"/>
        <w:tblW w:w="8962" w:type="dxa"/>
        <w:tblLook w:val="04A0" w:firstRow="1" w:lastRow="0" w:firstColumn="1" w:lastColumn="0" w:noHBand="0" w:noVBand="1"/>
      </w:tblPr>
      <w:tblGrid>
        <w:gridCol w:w="5560"/>
        <w:gridCol w:w="3402"/>
      </w:tblGrid>
      <w:tr w:rsidR="00E9128C" w:rsidRPr="00E9128C" w14:paraId="1104C192" w14:textId="77777777" w:rsidTr="00E7465F">
        <w:tc>
          <w:tcPr>
            <w:tcW w:w="5560" w:type="dxa"/>
          </w:tcPr>
          <w:p w14:paraId="770EF76B" w14:textId="77777777" w:rsidR="00A34494" w:rsidRPr="00E9128C" w:rsidRDefault="00A34494" w:rsidP="00A34494">
            <w:pPr>
              <w:spacing w:line="260" w:lineRule="atLeast"/>
              <w:jc w:val="both"/>
              <w:rPr>
                <w:rFonts w:cs="Arial"/>
              </w:rPr>
            </w:pPr>
            <w:r w:rsidRPr="00E9128C">
              <w:rPr>
                <w:rFonts w:cs="Arial"/>
              </w:rPr>
              <w:t>Če znaša davčna osnova, za leto za katero se izračunava dohodnina, v eur</w:t>
            </w:r>
          </w:p>
        </w:tc>
        <w:tc>
          <w:tcPr>
            <w:tcW w:w="3402" w:type="dxa"/>
          </w:tcPr>
          <w:p w14:paraId="1436AFD9" w14:textId="77777777" w:rsidR="00A34494" w:rsidRPr="00E9128C" w:rsidRDefault="00A34494" w:rsidP="00A34494">
            <w:pPr>
              <w:spacing w:line="260" w:lineRule="atLeast"/>
              <w:jc w:val="both"/>
              <w:rPr>
                <w:rFonts w:cs="Arial"/>
              </w:rPr>
            </w:pPr>
            <w:r w:rsidRPr="00E9128C">
              <w:rPr>
                <w:rFonts w:cs="Arial"/>
              </w:rPr>
              <w:t xml:space="preserve"> znaša dohodnina v eurih</w:t>
            </w:r>
          </w:p>
        </w:tc>
      </w:tr>
      <w:tr w:rsidR="00E9128C" w:rsidRPr="00E9128C" w14:paraId="037731DD" w14:textId="77777777" w:rsidTr="00E7465F">
        <w:tc>
          <w:tcPr>
            <w:tcW w:w="5560" w:type="dxa"/>
          </w:tcPr>
          <w:p w14:paraId="7E82B82E" w14:textId="77777777" w:rsidR="00A34494" w:rsidRPr="00E9128C" w:rsidRDefault="00A34494" w:rsidP="00A34494">
            <w:pPr>
              <w:spacing w:line="260" w:lineRule="atLeast"/>
              <w:jc w:val="both"/>
              <w:rPr>
                <w:rFonts w:cs="Arial"/>
              </w:rPr>
            </w:pPr>
            <w:r w:rsidRPr="00E9128C">
              <w:rPr>
                <w:rFonts w:cs="Arial"/>
              </w:rPr>
              <w:t>nad                                                                      do</w:t>
            </w:r>
          </w:p>
        </w:tc>
        <w:tc>
          <w:tcPr>
            <w:tcW w:w="3402" w:type="dxa"/>
          </w:tcPr>
          <w:p w14:paraId="77E0BB1D" w14:textId="77777777" w:rsidR="00A34494" w:rsidRPr="00E9128C" w:rsidRDefault="00A34494" w:rsidP="00A34494">
            <w:pPr>
              <w:spacing w:line="260" w:lineRule="atLeast"/>
              <w:jc w:val="both"/>
              <w:rPr>
                <w:rFonts w:cs="Arial"/>
              </w:rPr>
            </w:pPr>
          </w:p>
        </w:tc>
      </w:tr>
      <w:tr w:rsidR="00E9128C" w:rsidRPr="00E9128C" w14:paraId="3F8F38FA" w14:textId="77777777" w:rsidTr="00E7465F">
        <w:tc>
          <w:tcPr>
            <w:tcW w:w="5560" w:type="dxa"/>
          </w:tcPr>
          <w:p w14:paraId="0EC0952C" w14:textId="77777777" w:rsidR="00A34494" w:rsidRPr="00E9128C" w:rsidRDefault="00A34494" w:rsidP="00A34494">
            <w:pPr>
              <w:spacing w:line="260" w:lineRule="atLeast"/>
              <w:jc w:val="both"/>
              <w:rPr>
                <w:rFonts w:cs="Arial"/>
              </w:rPr>
            </w:pPr>
            <w:r w:rsidRPr="00E9128C">
              <w:rPr>
                <w:rFonts w:cs="Arial"/>
              </w:rPr>
              <w:t xml:space="preserve">                                                                        72.000</w:t>
            </w:r>
          </w:p>
        </w:tc>
        <w:tc>
          <w:tcPr>
            <w:tcW w:w="3402" w:type="dxa"/>
          </w:tcPr>
          <w:p w14:paraId="0D278112" w14:textId="77777777" w:rsidR="00A34494" w:rsidRPr="00E9128C" w:rsidRDefault="00A34494" w:rsidP="00A34494">
            <w:pPr>
              <w:spacing w:line="260" w:lineRule="atLeast"/>
              <w:jc w:val="both"/>
              <w:rPr>
                <w:rFonts w:cs="Arial"/>
              </w:rPr>
            </w:pPr>
            <w:r w:rsidRPr="00E9128C">
              <w:rPr>
                <w:rFonts w:cs="Arial"/>
              </w:rPr>
              <w:t xml:space="preserve">             20 %</w:t>
            </w:r>
          </w:p>
        </w:tc>
      </w:tr>
      <w:tr w:rsidR="00E9128C" w:rsidRPr="00E9128C" w14:paraId="32AEAF95" w14:textId="77777777" w:rsidTr="00E7465F">
        <w:tc>
          <w:tcPr>
            <w:tcW w:w="5560" w:type="dxa"/>
          </w:tcPr>
          <w:p w14:paraId="74899374" w14:textId="77777777" w:rsidR="00A34494" w:rsidRPr="00E9128C" w:rsidRDefault="00A34494" w:rsidP="00A34494">
            <w:pPr>
              <w:spacing w:line="260" w:lineRule="atLeast"/>
              <w:jc w:val="both"/>
              <w:rPr>
                <w:rFonts w:cs="Arial"/>
              </w:rPr>
            </w:pPr>
            <w:r w:rsidRPr="00E9128C">
              <w:rPr>
                <w:rFonts w:cs="Arial"/>
              </w:rPr>
              <w:t xml:space="preserve">72.000                                                           </w:t>
            </w:r>
          </w:p>
        </w:tc>
        <w:tc>
          <w:tcPr>
            <w:tcW w:w="3402" w:type="dxa"/>
          </w:tcPr>
          <w:p w14:paraId="5CEAB1AA" w14:textId="77777777" w:rsidR="00A34494" w:rsidRPr="00E9128C" w:rsidRDefault="00A34494" w:rsidP="00A34494">
            <w:pPr>
              <w:spacing w:line="260" w:lineRule="atLeast"/>
              <w:jc w:val="both"/>
              <w:rPr>
                <w:rFonts w:cs="Arial"/>
              </w:rPr>
            </w:pPr>
            <w:r w:rsidRPr="00E9128C">
              <w:rPr>
                <w:rFonts w:cs="Arial"/>
              </w:rPr>
              <w:t>14.400 + 35 % nad 72.000</w:t>
            </w:r>
          </w:p>
        </w:tc>
      </w:tr>
    </w:tbl>
    <w:p w14:paraId="7292C563" w14:textId="77777777" w:rsidR="00A34494" w:rsidRPr="00E9128C" w:rsidRDefault="00A34494" w:rsidP="00E9128C">
      <w:pPr>
        <w:spacing w:after="0" w:line="260" w:lineRule="atLeast"/>
        <w:jc w:val="both"/>
        <w:rPr>
          <w:rFonts w:cs="Arial"/>
          <w:szCs w:val="20"/>
        </w:rPr>
      </w:pPr>
    </w:p>
    <w:p w14:paraId="03AB5424" w14:textId="77777777" w:rsidR="00A34494" w:rsidRPr="00E9128C" w:rsidRDefault="00A34494" w:rsidP="00A34494">
      <w:pPr>
        <w:numPr>
          <w:ilvl w:val="0"/>
          <w:numId w:val="22"/>
        </w:numPr>
        <w:spacing w:after="0" w:line="260" w:lineRule="atLeast"/>
        <w:jc w:val="both"/>
        <w:rPr>
          <w:rFonts w:eastAsia="Times New Roman" w:cs="Arial"/>
          <w:szCs w:val="20"/>
          <w:lang w:eastAsia="sl-SI"/>
        </w:rPr>
      </w:pPr>
      <w:r w:rsidRPr="00E9128C">
        <w:rPr>
          <w:rFonts w:eastAsia="Times New Roman" w:cs="Arial"/>
          <w:szCs w:val="20"/>
          <w:lang w:eastAsia="sl-SI"/>
        </w:rPr>
        <w:t xml:space="preserve">če zavezanec v davčnem letu, za katero se ugotavlja davčna osnova, v skladu z zakonom, ki ureja pokojninsko in invalidsko zavarovanje, ni bil obvezno zavarovan na podlagi samozaposlitve za polni delovni čas neprekinjeno vsaj devet mesecev, po stopnji: </w:t>
      </w:r>
    </w:p>
    <w:p w14:paraId="5EC78F37" w14:textId="77777777" w:rsidR="00A34494" w:rsidRPr="00E9128C" w:rsidRDefault="00A34494" w:rsidP="00E9128C">
      <w:pPr>
        <w:spacing w:after="0" w:line="260" w:lineRule="atLeast"/>
        <w:rPr>
          <w:rFonts w:cs="Arial"/>
          <w:szCs w:val="20"/>
        </w:rPr>
      </w:pPr>
    </w:p>
    <w:tbl>
      <w:tblPr>
        <w:tblStyle w:val="Tabelamrea"/>
        <w:tblW w:w="8962" w:type="dxa"/>
        <w:tblLook w:val="04A0" w:firstRow="1" w:lastRow="0" w:firstColumn="1" w:lastColumn="0" w:noHBand="0" w:noVBand="1"/>
      </w:tblPr>
      <w:tblGrid>
        <w:gridCol w:w="5560"/>
        <w:gridCol w:w="3402"/>
      </w:tblGrid>
      <w:tr w:rsidR="00E9128C" w:rsidRPr="00E9128C" w14:paraId="085C7649" w14:textId="77777777" w:rsidTr="00E7465F">
        <w:tc>
          <w:tcPr>
            <w:tcW w:w="5560" w:type="dxa"/>
          </w:tcPr>
          <w:p w14:paraId="28CE1C48" w14:textId="77777777" w:rsidR="00A34494" w:rsidRPr="00E9128C" w:rsidRDefault="00A34494" w:rsidP="00A34494">
            <w:pPr>
              <w:spacing w:line="260" w:lineRule="atLeast"/>
              <w:jc w:val="both"/>
              <w:rPr>
                <w:rFonts w:cs="Arial"/>
              </w:rPr>
            </w:pPr>
            <w:r w:rsidRPr="00E9128C">
              <w:rPr>
                <w:rFonts w:cs="Arial"/>
              </w:rPr>
              <w:t>Če znaša davčna osnova, za leto za katero se izračunava dohodnina, v eur</w:t>
            </w:r>
          </w:p>
        </w:tc>
        <w:tc>
          <w:tcPr>
            <w:tcW w:w="3402" w:type="dxa"/>
          </w:tcPr>
          <w:p w14:paraId="061FADD5" w14:textId="77777777" w:rsidR="00A34494" w:rsidRPr="00E9128C" w:rsidRDefault="00A34494" w:rsidP="00A34494">
            <w:pPr>
              <w:spacing w:line="260" w:lineRule="atLeast"/>
              <w:jc w:val="both"/>
              <w:rPr>
                <w:rFonts w:cs="Arial"/>
              </w:rPr>
            </w:pPr>
            <w:r w:rsidRPr="00E9128C">
              <w:rPr>
                <w:rFonts w:cs="Arial"/>
              </w:rPr>
              <w:t xml:space="preserve"> znaša dohodnina v eurih</w:t>
            </w:r>
          </w:p>
        </w:tc>
      </w:tr>
      <w:tr w:rsidR="00E9128C" w:rsidRPr="00E9128C" w14:paraId="05DD16A0" w14:textId="77777777" w:rsidTr="00E7465F">
        <w:tc>
          <w:tcPr>
            <w:tcW w:w="5560" w:type="dxa"/>
          </w:tcPr>
          <w:p w14:paraId="5E3280F2" w14:textId="77777777" w:rsidR="00A34494" w:rsidRPr="00E9128C" w:rsidRDefault="00A34494" w:rsidP="00A34494">
            <w:pPr>
              <w:spacing w:line="260" w:lineRule="atLeast"/>
              <w:jc w:val="both"/>
              <w:rPr>
                <w:rFonts w:cs="Arial"/>
              </w:rPr>
            </w:pPr>
            <w:r w:rsidRPr="00E9128C">
              <w:rPr>
                <w:rFonts w:cs="Arial"/>
              </w:rPr>
              <w:t>nad                                                                      do</w:t>
            </w:r>
          </w:p>
        </w:tc>
        <w:tc>
          <w:tcPr>
            <w:tcW w:w="3402" w:type="dxa"/>
          </w:tcPr>
          <w:p w14:paraId="5289A71E" w14:textId="77777777" w:rsidR="00A34494" w:rsidRPr="00E9128C" w:rsidRDefault="00A34494" w:rsidP="00A34494">
            <w:pPr>
              <w:spacing w:line="260" w:lineRule="atLeast"/>
              <w:jc w:val="both"/>
              <w:rPr>
                <w:rFonts w:cs="Arial"/>
              </w:rPr>
            </w:pPr>
          </w:p>
        </w:tc>
      </w:tr>
      <w:tr w:rsidR="00E9128C" w:rsidRPr="00E9128C" w14:paraId="4E4FE963" w14:textId="77777777" w:rsidTr="00E7465F">
        <w:tc>
          <w:tcPr>
            <w:tcW w:w="5560" w:type="dxa"/>
          </w:tcPr>
          <w:p w14:paraId="0DB99ABF" w14:textId="77777777" w:rsidR="00A34494" w:rsidRPr="00E9128C" w:rsidRDefault="00A34494" w:rsidP="00A34494">
            <w:pPr>
              <w:spacing w:line="260" w:lineRule="atLeast"/>
              <w:jc w:val="both"/>
              <w:rPr>
                <w:rFonts w:cs="Arial"/>
              </w:rPr>
            </w:pPr>
            <w:r w:rsidRPr="00E9128C">
              <w:rPr>
                <w:rFonts w:cs="Arial"/>
              </w:rPr>
              <w:t xml:space="preserve">                                                                        33.000</w:t>
            </w:r>
          </w:p>
        </w:tc>
        <w:tc>
          <w:tcPr>
            <w:tcW w:w="3402" w:type="dxa"/>
          </w:tcPr>
          <w:p w14:paraId="247241B8" w14:textId="77777777" w:rsidR="00A34494" w:rsidRPr="00E9128C" w:rsidRDefault="00A34494" w:rsidP="00A34494">
            <w:pPr>
              <w:spacing w:line="260" w:lineRule="atLeast"/>
              <w:jc w:val="both"/>
              <w:rPr>
                <w:rFonts w:cs="Arial"/>
              </w:rPr>
            </w:pPr>
            <w:r w:rsidRPr="00E9128C">
              <w:rPr>
                <w:rFonts w:cs="Arial"/>
              </w:rPr>
              <w:t xml:space="preserve">             20 %</w:t>
            </w:r>
          </w:p>
        </w:tc>
      </w:tr>
      <w:tr w:rsidR="00E9128C" w:rsidRPr="00E9128C" w14:paraId="07101CA1" w14:textId="77777777" w:rsidTr="00E7465F">
        <w:tc>
          <w:tcPr>
            <w:tcW w:w="5560" w:type="dxa"/>
          </w:tcPr>
          <w:p w14:paraId="6AB967FC" w14:textId="77777777" w:rsidR="00A34494" w:rsidRPr="00E9128C" w:rsidRDefault="00A34494" w:rsidP="00A34494">
            <w:pPr>
              <w:spacing w:line="260" w:lineRule="atLeast"/>
              <w:jc w:val="both"/>
              <w:rPr>
                <w:rFonts w:cs="Arial"/>
              </w:rPr>
            </w:pPr>
            <w:r w:rsidRPr="00E9128C">
              <w:rPr>
                <w:rFonts w:cs="Arial"/>
              </w:rPr>
              <w:t xml:space="preserve">33.000                                                           </w:t>
            </w:r>
          </w:p>
        </w:tc>
        <w:tc>
          <w:tcPr>
            <w:tcW w:w="3402" w:type="dxa"/>
          </w:tcPr>
          <w:p w14:paraId="65D71366" w14:textId="77777777" w:rsidR="00A34494" w:rsidRPr="00E9128C" w:rsidRDefault="00A34494" w:rsidP="00A34494">
            <w:pPr>
              <w:spacing w:line="260" w:lineRule="atLeast"/>
              <w:jc w:val="both"/>
              <w:rPr>
                <w:rFonts w:cs="Arial"/>
              </w:rPr>
            </w:pPr>
            <w:r w:rsidRPr="00E9128C">
              <w:rPr>
                <w:rFonts w:cs="Arial"/>
              </w:rPr>
              <w:t>6.600 + 35 % nad 33.000</w:t>
            </w:r>
          </w:p>
        </w:tc>
      </w:tr>
    </w:tbl>
    <w:p w14:paraId="10270789" w14:textId="77777777" w:rsidR="00A34494" w:rsidRPr="00E9128C" w:rsidRDefault="00A34494" w:rsidP="00E9128C">
      <w:pPr>
        <w:spacing w:after="0" w:line="260" w:lineRule="atLeast"/>
        <w:rPr>
          <w:rFonts w:cs="Arial"/>
          <w:szCs w:val="20"/>
        </w:rPr>
      </w:pPr>
      <w:r w:rsidRPr="00E9128C">
        <w:rPr>
          <w:rFonts w:cs="Arial"/>
          <w:szCs w:val="20"/>
        </w:rPr>
        <w:t xml:space="preserve"> </w:t>
      </w:r>
    </w:p>
    <w:p w14:paraId="4458CB57" w14:textId="46857964" w:rsidR="00A34494" w:rsidRPr="00E9128C" w:rsidRDefault="00A34494" w:rsidP="00CF2340">
      <w:pPr>
        <w:spacing w:after="0" w:line="260" w:lineRule="atLeast"/>
        <w:jc w:val="both"/>
        <w:rPr>
          <w:rFonts w:cs="Arial"/>
          <w:szCs w:val="20"/>
        </w:rPr>
      </w:pPr>
      <w:r w:rsidRPr="00E9128C">
        <w:rPr>
          <w:rFonts w:cs="Arial"/>
          <w:szCs w:val="20"/>
        </w:rPr>
        <w:t xml:space="preserve">(2) Ne glede na prejšnji odstavek se za zavezance iz šestega odstavka </w:t>
      </w:r>
      <w:r w:rsidR="00652901">
        <w:rPr>
          <w:rFonts w:cs="Arial"/>
          <w:szCs w:val="20"/>
        </w:rPr>
        <w:t>6</w:t>
      </w:r>
      <w:r w:rsidRPr="00E9128C">
        <w:rPr>
          <w:rFonts w:cs="Arial"/>
          <w:szCs w:val="20"/>
        </w:rPr>
        <w:t>. člena tega zakona dohodnina za davčno leto izračuna od davčne osnove, ugotovljene v skladu z določbami III.3. poglavja ZDoh-2, na nosilca in na drugega člana kmečkega gospodinjstva, ki je vključen v obvezno pokojninsko in invalidsko zavarovanje kot kmet oziroma član kmečkega gospodinjstva, po stopnji:</w:t>
      </w:r>
    </w:p>
    <w:p w14:paraId="61B46102" w14:textId="77777777" w:rsidR="00A34494" w:rsidRPr="00E9128C" w:rsidRDefault="00A34494" w:rsidP="00E9128C">
      <w:pPr>
        <w:spacing w:after="0" w:line="260" w:lineRule="atLeast"/>
        <w:jc w:val="both"/>
        <w:rPr>
          <w:rFonts w:cs="Arial"/>
          <w:szCs w:val="20"/>
        </w:rPr>
      </w:pPr>
    </w:p>
    <w:tbl>
      <w:tblPr>
        <w:tblStyle w:val="Tabelamrea"/>
        <w:tblW w:w="8962" w:type="dxa"/>
        <w:tblLook w:val="04A0" w:firstRow="1" w:lastRow="0" w:firstColumn="1" w:lastColumn="0" w:noHBand="0" w:noVBand="1"/>
      </w:tblPr>
      <w:tblGrid>
        <w:gridCol w:w="5560"/>
        <w:gridCol w:w="3402"/>
      </w:tblGrid>
      <w:tr w:rsidR="00E9128C" w:rsidRPr="00E9128C" w14:paraId="40FCA09E" w14:textId="77777777" w:rsidTr="00E7465F">
        <w:tc>
          <w:tcPr>
            <w:tcW w:w="5560" w:type="dxa"/>
          </w:tcPr>
          <w:p w14:paraId="1D7DA7C4" w14:textId="77777777" w:rsidR="00A34494" w:rsidRPr="00E9128C" w:rsidRDefault="00A34494" w:rsidP="00A34494">
            <w:pPr>
              <w:spacing w:line="260" w:lineRule="atLeast"/>
              <w:jc w:val="both"/>
              <w:rPr>
                <w:rFonts w:cs="Arial"/>
              </w:rPr>
            </w:pPr>
            <w:r w:rsidRPr="00E9128C">
              <w:rPr>
                <w:rFonts w:cs="Arial"/>
              </w:rPr>
              <w:t>Če znaša davčna osnova na nosilca in na drugega člana kmečkega gospodinjstva, ki je vključen v obvezno pokojninsko in invalidsko zavarovanje kot kmet oziroma član kmečkega gospodinjstva, za leto za katero se izračunava dohodnina, v eur</w:t>
            </w:r>
          </w:p>
        </w:tc>
        <w:tc>
          <w:tcPr>
            <w:tcW w:w="3402" w:type="dxa"/>
          </w:tcPr>
          <w:p w14:paraId="7899D7E7" w14:textId="77777777" w:rsidR="00A34494" w:rsidRPr="00E9128C" w:rsidRDefault="00A34494" w:rsidP="00A34494">
            <w:pPr>
              <w:spacing w:line="260" w:lineRule="atLeast"/>
              <w:jc w:val="both"/>
              <w:rPr>
                <w:rFonts w:cs="Arial"/>
              </w:rPr>
            </w:pPr>
            <w:r w:rsidRPr="00E9128C">
              <w:rPr>
                <w:rFonts w:cs="Arial"/>
              </w:rPr>
              <w:t xml:space="preserve">znaša dohodnina v eurih na nosilca in na drugega člana kmečkega gospodinjstva, ki je vključen v obvezno pokojninsko in invalidsko zavarovanje kot kmet oziroma član kmečkega gospodinjstva </w:t>
            </w:r>
          </w:p>
        </w:tc>
      </w:tr>
      <w:tr w:rsidR="00E9128C" w:rsidRPr="00E9128C" w14:paraId="5DCF9EE6" w14:textId="77777777" w:rsidTr="00E7465F">
        <w:tc>
          <w:tcPr>
            <w:tcW w:w="5560" w:type="dxa"/>
          </w:tcPr>
          <w:p w14:paraId="36AAB639" w14:textId="77777777" w:rsidR="00A34494" w:rsidRPr="00E9128C" w:rsidRDefault="00A34494" w:rsidP="00A34494">
            <w:pPr>
              <w:spacing w:line="260" w:lineRule="atLeast"/>
              <w:jc w:val="both"/>
              <w:rPr>
                <w:rFonts w:cs="Arial"/>
              </w:rPr>
            </w:pPr>
            <w:r w:rsidRPr="00E9128C">
              <w:rPr>
                <w:rFonts w:cs="Arial"/>
              </w:rPr>
              <w:t>nad                                                                      do</w:t>
            </w:r>
          </w:p>
        </w:tc>
        <w:tc>
          <w:tcPr>
            <w:tcW w:w="3402" w:type="dxa"/>
          </w:tcPr>
          <w:p w14:paraId="4E1D86F7" w14:textId="77777777" w:rsidR="00A34494" w:rsidRPr="00E9128C" w:rsidRDefault="00A34494" w:rsidP="00A34494">
            <w:pPr>
              <w:spacing w:line="260" w:lineRule="atLeast"/>
              <w:jc w:val="both"/>
              <w:rPr>
                <w:rFonts w:cs="Arial"/>
              </w:rPr>
            </w:pPr>
          </w:p>
        </w:tc>
      </w:tr>
      <w:tr w:rsidR="00E9128C" w:rsidRPr="00E9128C" w14:paraId="0483D9C5" w14:textId="77777777" w:rsidTr="00E7465F">
        <w:tc>
          <w:tcPr>
            <w:tcW w:w="5560" w:type="dxa"/>
          </w:tcPr>
          <w:p w14:paraId="010FD059" w14:textId="77777777" w:rsidR="00A34494" w:rsidRPr="00E9128C" w:rsidRDefault="00A34494" w:rsidP="00A34494">
            <w:pPr>
              <w:spacing w:line="260" w:lineRule="atLeast"/>
              <w:jc w:val="both"/>
              <w:rPr>
                <w:rFonts w:cs="Arial"/>
              </w:rPr>
            </w:pPr>
            <w:r w:rsidRPr="00E9128C">
              <w:rPr>
                <w:rFonts w:cs="Arial"/>
              </w:rPr>
              <w:t xml:space="preserve">                                                                        72.000</w:t>
            </w:r>
          </w:p>
        </w:tc>
        <w:tc>
          <w:tcPr>
            <w:tcW w:w="3402" w:type="dxa"/>
          </w:tcPr>
          <w:p w14:paraId="56B8A44C" w14:textId="77777777" w:rsidR="00A34494" w:rsidRPr="00E9128C" w:rsidRDefault="00A34494" w:rsidP="00A34494">
            <w:pPr>
              <w:spacing w:line="260" w:lineRule="atLeast"/>
              <w:jc w:val="both"/>
              <w:rPr>
                <w:rFonts w:cs="Arial"/>
              </w:rPr>
            </w:pPr>
            <w:r w:rsidRPr="00E9128C">
              <w:rPr>
                <w:rFonts w:cs="Arial"/>
              </w:rPr>
              <w:t>20 %</w:t>
            </w:r>
          </w:p>
        </w:tc>
      </w:tr>
      <w:tr w:rsidR="00E9128C" w:rsidRPr="00E9128C" w14:paraId="44573AA0" w14:textId="77777777" w:rsidTr="00E7465F">
        <w:tc>
          <w:tcPr>
            <w:tcW w:w="5560" w:type="dxa"/>
          </w:tcPr>
          <w:p w14:paraId="5146178F" w14:textId="77777777" w:rsidR="00A34494" w:rsidRPr="00E9128C" w:rsidRDefault="00A34494" w:rsidP="00A34494">
            <w:pPr>
              <w:spacing w:line="260" w:lineRule="atLeast"/>
              <w:jc w:val="both"/>
              <w:rPr>
                <w:rFonts w:cs="Arial"/>
              </w:rPr>
            </w:pPr>
            <w:r w:rsidRPr="00E9128C">
              <w:rPr>
                <w:rFonts w:cs="Arial"/>
              </w:rPr>
              <w:t xml:space="preserve">72.000                                                           </w:t>
            </w:r>
          </w:p>
        </w:tc>
        <w:tc>
          <w:tcPr>
            <w:tcW w:w="3402" w:type="dxa"/>
          </w:tcPr>
          <w:p w14:paraId="09029D3F" w14:textId="77777777" w:rsidR="00A34494" w:rsidRPr="00E9128C" w:rsidRDefault="00A34494" w:rsidP="00A34494">
            <w:pPr>
              <w:spacing w:line="260" w:lineRule="atLeast"/>
              <w:jc w:val="both"/>
              <w:rPr>
                <w:rFonts w:cs="Arial"/>
              </w:rPr>
            </w:pPr>
            <w:r w:rsidRPr="00E9128C">
              <w:rPr>
                <w:rFonts w:cs="Arial"/>
              </w:rPr>
              <w:t>14.400 + 35 % nad 72.000</w:t>
            </w:r>
          </w:p>
        </w:tc>
      </w:tr>
    </w:tbl>
    <w:p w14:paraId="6170E391" w14:textId="77777777" w:rsidR="00A34494" w:rsidRPr="00E9128C" w:rsidRDefault="00A34494" w:rsidP="00A34494">
      <w:pPr>
        <w:pStyle w:val="esegmenth4"/>
        <w:spacing w:before="0" w:beforeAutospacing="0" w:after="0" w:afterAutospacing="0" w:line="260" w:lineRule="atLeast"/>
        <w:ind w:left="705" w:hanging="705"/>
        <w:jc w:val="both"/>
        <w:rPr>
          <w:rFonts w:ascii="Arial" w:hAnsi="Arial" w:cs="Arial"/>
          <w:sz w:val="20"/>
          <w:szCs w:val="20"/>
        </w:rPr>
      </w:pPr>
    </w:p>
    <w:p w14:paraId="42D70A8A" w14:textId="77777777" w:rsidR="00A34494" w:rsidRPr="00E9128C" w:rsidRDefault="00A34494" w:rsidP="00A34494">
      <w:pPr>
        <w:pStyle w:val="esegmenth4"/>
        <w:spacing w:before="0" w:beforeAutospacing="0" w:after="0" w:afterAutospacing="0" w:line="260" w:lineRule="atLeast"/>
        <w:ind w:left="705" w:hanging="705"/>
        <w:jc w:val="both"/>
        <w:rPr>
          <w:rFonts w:ascii="Arial" w:hAnsi="Arial" w:cs="Arial"/>
          <w:sz w:val="20"/>
          <w:szCs w:val="20"/>
        </w:rPr>
      </w:pPr>
      <w:r w:rsidRPr="00E9128C">
        <w:rPr>
          <w:rFonts w:ascii="Arial" w:hAnsi="Arial" w:cs="Arial"/>
          <w:sz w:val="20"/>
          <w:szCs w:val="20"/>
        </w:rPr>
        <w:t>(3) Dohodnina, izračunana po stopnjah iz tega člena, se šteje za dokončni davek.</w:t>
      </w:r>
    </w:p>
    <w:p w14:paraId="74EAF35B" w14:textId="77777777" w:rsidR="00A34494" w:rsidRPr="00E9128C" w:rsidRDefault="00A34494" w:rsidP="0011743A">
      <w:pPr>
        <w:pStyle w:val="esegmenth4"/>
        <w:spacing w:before="0" w:beforeAutospacing="0" w:after="0" w:afterAutospacing="0" w:line="260" w:lineRule="atLeast"/>
        <w:jc w:val="both"/>
        <w:rPr>
          <w:rFonts w:ascii="Arial" w:hAnsi="Arial" w:cs="Arial"/>
          <w:sz w:val="20"/>
          <w:szCs w:val="20"/>
        </w:rPr>
      </w:pPr>
    </w:p>
    <w:p w14:paraId="1EDB75E3" w14:textId="77777777" w:rsidR="002D03CC" w:rsidRPr="00E9128C" w:rsidRDefault="002D03CC" w:rsidP="002D03CC">
      <w:pPr>
        <w:pStyle w:val="esegmenth4"/>
        <w:spacing w:before="0" w:beforeAutospacing="0" w:after="0" w:afterAutospacing="0" w:line="260" w:lineRule="atLeast"/>
        <w:jc w:val="both"/>
        <w:rPr>
          <w:rFonts w:ascii="Arial" w:hAnsi="Arial" w:cs="Arial"/>
          <w:sz w:val="20"/>
          <w:szCs w:val="20"/>
        </w:rPr>
      </w:pPr>
    </w:p>
    <w:p w14:paraId="64464347" w14:textId="77777777" w:rsidR="002D03CC" w:rsidRPr="0010541B" w:rsidRDefault="002D03CC" w:rsidP="002D03CC">
      <w:pPr>
        <w:spacing w:after="0" w:line="276" w:lineRule="auto"/>
        <w:jc w:val="center"/>
        <w:rPr>
          <w:rFonts w:cs="Arial"/>
          <w:b/>
          <w:bCs/>
          <w:szCs w:val="20"/>
        </w:rPr>
      </w:pPr>
      <w:r w:rsidRPr="0010541B">
        <w:rPr>
          <w:rFonts w:cs="Arial"/>
          <w:b/>
          <w:bCs/>
          <w:szCs w:val="20"/>
        </w:rPr>
        <w:t>IV. NADZOR IN KAZENSKE DOLOČBE</w:t>
      </w:r>
    </w:p>
    <w:p w14:paraId="7065625E" w14:textId="77777777" w:rsidR="002D03CC" w:rsidRPr="00E9128C" w:rsidRDefault="002D03CC" w:rsidP="002D03CC">
      <w:pPr>
        <w:spacing w:after="0" w:line="276" w:lineRule="auto"/>
        <w:rPr>
          <w:rFonts w:cs="Arial"/>
          <w:szCs w:val="20"/>
        </w:rPr>
      </w:pPr>
    </w:p>
    <w:p w14:paraId="7C7B9E5D" w14:textId="77777777" w:rsidR="002D03CC" w:rsidRPr="00E9128C" w:rsidRDefault="002D03CC" w:rsidP="002D03CC">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2D775D7B" w14:textId="77777777" w:rsidR="002D03CC" w:rsidRPr="00E9128C" w:rsidRDefault="002D03CC" w:rsidP="002D03CC">
      <w:pPr>
        <w:spacing w:after="0" w:line="276" w:lineRule="auto"/>
        <w:jc w:val="center"/>
        <w:rPr>
          <w:rFonts w:cs="Arial"/>
          <w:b/>
          <w:bCs/>
          <w:szCs w:val="20"/>
        </w:rPr>
      </w:pPr>
      <w:r w:rsidRPr="00E9128C">
        <w:rPr>
          <w:rFonts w:cs="Arial"/>
          <w:b/>
          <w:bCs/>
          <w:szCs w:val="20"/>
        </w:rPr>
        <w:t>(nadzor)</w:t>
      </w:r>
    </w:p>
    <w:p w14:paraId="574A0FB9" w14:textId="77777777" w:rsidR="002D03CC" w:rsidRPr="00E9128C" w:rsidRDefault="002D03CC" w:rsidP="002D03CC">
      <w:pPr>
        <w:spacing w:after="0" w:line="276" w:lineRule="auto"/>
        <w:jc w:val="center"/>
        <w:rPr>
          <w:rFonts w:cs="Arial"/>
          <w:b/>
          <w:bCs/>
          <w:szCs w:val="20"/>
        </w:rPr>
      </w:pPr>
    </w:p>
    <w:p w14:paraId="4F4A1674" w14:textId="77777777" w:rsidR="002D03CC" w:rsidRPr="00E9128C" w:rsidRDefault="002D03CC" w:rsidP="002D03CC">
      <w:pPr>
        <w:spacing w:after="0" w:line="276" w:lineRule="auto"/>
        <w:jc w:val="both"/>
        <w:rPr>
          <w:rFonts w:cs="Arial"/>
          <w:szCs w:val="20"/>
        </w:rPr>
      </w:pPr>
      <w:r w:rsidRPr="00E9128C">
        <w:rPr>
          <w:rFonts w:cs="Arial"/>
          <w:szCs w:val="20"/>
        </w:rPr>
        <w:t>(1) Nadzor nad izvajanjem tega zakona opravlja inšpektorat, pristojen za delo.</w:t>
      </w:r>
    </w:p>
    <w:p w14:paraId="684C4FB5" w14:textId="77777777" w:rsidR="002D03CC" w:rsidRPr="00E9128C" w:rsidRDefault="002D03CC" w:rsidP="002D03CC">
      <w:pPr>
        <w:spacing w:after="0" w:line="276" w:lineRule="auto"/>
        <w:jc w:val="both"/>
        <w:rPr>
          <w:rFonts w:cs="Arial"/>
          <w:szCs w:val="20"/>
        </w:rPr>
      </w:pPr>
    </w:p>
    <w:p w14:paraId="529ABE5A" w14:textId="7A4F52FC" w:rsidR="002D03CC" w:rsidRPr="00E9128C" w:rsidRDefault="002D03CC" w:rsidP="002D03CC">
      <w:pPr>
        <w:spacing w:after="0" w:line="276" w:lineRule="auto"/>
        <w:jc w:val="both"/>
        <w:rPr>
          <w:rFonts w:cs="Arial"/>
          <w:szCs w:val="20"/>
        </w:rPr>
      </w:pPr>
      <w:r w:rsidRPr="00E9128C">
        <w:rPr>
          <w:rFonts w:cs="Arial"/>
          <w:szCs w:val="20"/>
        </w:rPr>
        <w:lastRenderedPageBreak/>
        <w:t>(2) Ne glede na prejšnji odstavek Finančna uprava Republike Slovenije opravlja nadzor nad izvajanjem 4.</w:t>
      </w:r>
      <w:r>
        <w:rPr>
          <w:rFonts w:cs="Arial"/>
          <w:szCs w:val="20"/>
        </w:rPr>
        <w:t>,</w:t>
      </w:r>
      <w:r w:rsidRPr="00E9128C">
        <w:rPr>
          <w:rFonts w:cs="Arial"/>
          <w:szCs w:val="20"/>
        </w:rPr>
        <w:t xml:space="preserve"> 5.</w:t>
      </w:r>
      <w:r>
        <w:rPr>
          <w:rFonts w:cs="Arial"/>
          <w:szCs w:val="20"/>
        </w:rPr>
        <w:t>, 6. in 7.</w:t>
      </w:r>
      <w:r w:rsidRPr="00E9128C">
        <w:rPr>
          <w:rFonts w:cs="Arial"/>
          <w:szCs w:val="20"/>
        </w:rPr>
        <w:t xml:space="preserve"> člena tega zakona.</w:t>
      </w:r>
    </w:p>
    <w:p w14:paraId="1585563E" w14:textId="77777777" w:rsidR="002D03CC" w:rsidRPr="00E9128C" w:rsidRDefault="002D03CC" w:rsidP="002D03CC">
      <w:pPr>
        <w:spacing w:after="0" w:line="276" w:lineRule="auto"/>
        <w:rPr>
          <w:rFonts w:cs="Arial"/>
          <w:szCs w:val="20"/>
        </w:rPr>
      </w:pPr>
    </w:p>
    <w:p w14:paraId="38F79AA0" w14:textId="77777777" w:rsidR="002D03CC" w:rsidRPr="00E9128C" w:rsidRDefault="002D03CC" w:rsidP="002D03CC">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0DF3C13F" w14:textId="77777777" w:rsidR="002D03CC" w:rsidRPr="00E9128C" w:rsidRDefault="002D03CC" w:rsidP="002D03CC">
      <w:pPr>
        <w:spacing w:after="0" w:line="276" w:lineRule="auto"/>
        <w:jc w:val="center"/>
        <w:rPr>
          <w:rFonts w:cs="Arial"/>
          <w:b/>
          <w:bCs/>
          <w:szCs w:val="20"/>
        </w:rPr>
      </w:pPr>
      <w:r w:rsidRPr="00E9128C">
        <w:rPr>
          <w:rFonts w:cs="Arial"/>
          <w:b/>
          <w:bCs/>
          <w:szCs w:val="20"/>
        </w:rPr>
        <w:t>(kazenske določbe)</w:t>
      </w:r>
    </w:p>
    <w:p w14:paraId="5B494E8C" w14:textId="77777777" w:rsidR="002D03CC" w:rsidRPr="00E9128C" w:rsidRDefault="002D03CC" w:rsidP="002D03CC">
      <w:pPr>
        <w:spacing w:after="0" w:line="276" w:lineRule="auto"/>
        <w:rPr>
          <w:rFonts w:cs="Arial"/>
          <w:szCs w:val="20"/>
        </w:rPr>
      </w:pPr>
    </w:p>
    <w:p w14:paraId="265747B3" w14:textId="77777777" w:rsidR="002D03CC" w:rsidRPr="00E9128C" w:rsidRDefault="002D03CC" w:rsidP="002D03CC">
      <w:pPr>
        <w:spacing w:after="0" w:line="276" w:lineRule="auto"/>
        <w:jc w:val="both"/>
        <w:rPr>
          <w:rFonts w:cs="Arial"/>
          <w:szCs w:val="20"/>
        </w:rPr>
      </w:pPr>
      <w:r w:rsidRPr="00E9128C">
        <w:rPr>
          <w:rFonts w:cs="Arial"/>
          <w:szCs w:val="20"/>
        </w:rPr>
        <w:t>(1) Z globo od 3.000 do 20.000 eurov se kaznuje delodajalec – pravna oseba, samostojni podjetnik posameznik oziroma posameznik, ki samostojno opravlja dejavnost, ki ne izplača zimskega regresa:</w:t>
      </w:r>
    </w:p>
    <w:p w14:paraId="7D6654A6" w14:textId="77777777" w:rsidR="002D03CC" w:rsidRPr="00E9128C" w:rsidRDefault="002D03CC" w:rsidP="002D03CC">
      <w:pPr>
        <w:pStyle w:val="Odstavekseznama"/>
        <w:numPr>
          <w:ilvl w:val="0"/>
          <w:numId w:val="18"/>
        </w:numPr>
        <w:spacing w:after="0" w:line="276" w:lineRule="auto"/>
        <w:ind w:left="993"/>
        <w:jc w:val="both"/>
        <w:rPr>
          <w:rFonts w:cs="Arial"/>
          <w:szCs w:val="20"/>
        </w:rPr>
      </w:pPr>
      <w:r w:rsidRPr="00E9128C">
        <w:rPr>
          <w:rFonts w:cs="Arial"/>
          <w:szCs w:val="20"/>
        </w:rPr>
        <w:t>v višini iz 2. člena tega zakona,</w:t>
      </w:r>
    </w:p>
    <w:p w14:paraId="59CA4E1A" w14:textId="77777777" w:rsidR="002D03CC" w:rsidRPr="00E9128C" w:rsidRDefault="002D03CC" w:rsidP="002D03CC">
      <w:pPr>
        <w:pStyle w:val="Odstavekseznama"/>
        <w:numPr>
          <w:ilvl w:val="0"/>
          <w:numId w:val="18"/>
        </w:numPr>
        <w:spacing w:after="0" w:line="276" w:lineRule="auto"/>
        <w:ind w:left="993"/>
        <w:jc w:val="both"/>
        <w:rPr>
          <w:rFonts w:cs="Arial"/>
          <w:szCs w:val="20"/>
        </w:rPr>
      </w:pPr>
      <w:r w:rsidRPr="00E9128C">
        <w:rPr>
          <w:rFonts w:cs="Arial"/>
          <w:szCs w:val="20"/>
        </w:rPr>
        <w:t>v roku iz prvega in drugega odstavka 3. člena tega zakona,</w:t>
      </w:r>
    </w:p>
    <w:p w14:paraId="41232791" w14:textId="77777777" w:rsidR="002D03CC" w:rsidRPr="00E9128C" w:rsidRDefault="002D03CC" w:rsidP="002D03CC">
      <w:pPr>
        <w:pStyle w:val="Odstavekseznama"/>
        <w:numPr>
          <w:ilvl w:val="0"/>
          <w:numId w:val="18"/>
        </w:numPr>
        <w:spacing w:after="0" w:line="276" w:lineRule="auto"/>
        <w:ind w:left="993"/>
        <w:jc w:val="both"/>
        <w:rPr>
          <w:rFonts w:cs="Arial"/>
          <w:szCs w:val="20"/>
        </w:rPr>
      </w:pPr>
      <w:r w:rsidRPr="00E9128C">
        <w:rPr>
          <w:rFonts w:cs="Arial"/>
          <w:szCs w:val="20"/>
        </w:rPr>
        <w:t>v skladu s prvim odstavkom 10. člena tega zakona,</w:t>
      </w:r>
    </w:p>
    <w:p w14:paraId="7CB1C3A2" w14:textId="77777777" w:rsidR="002D03CC" w:rsidRPr="00E9128C" w:rsidRDefault="002D03CC" w:rsidP="002D03CC">
      <w:pPr>
        <w:pStyle w:val="Odstavekseznama"/>
        <w:numPr>
          <w:ilvl w:val="0"/>
          <w:numId w:val="18"/>
        </w:numPr>
        <w:spacing w:after="0" w:line="276" w:lineRule="auto"/>
        <w:ind w:left="993"/>
        <w:jc w:val="both"/>
        <w:rPr>
          <w:rFonts w:cs="Arial"/>
          <w:szCs w:val="20"/>
        </w:rPr>
      </w:pPr>
      <w:r w:rsidRPr="00E9128C">
        <w:rPr>
          <w:rFonts w:cs="Arial"/>
          <w:szCs w:val="20"/>
        </w:rPr>
        <w:t>v roku iz 17. člena tega zakona.</w:t>
      </w:r>
    </w:p>
    <w:p w14:paraId="4AAB1583" w14:textId="77777777" w:rsidR="002D03CC" w:rsidRPr="00E9128C" w:rsidRDefault="002D03CC" w:rsidP="002D03CC">
      <w:pPr>
        <w:spacing w:after="0" w:line="276" w:lineRule="auto"/>
        <w:jc w:val="both"/>
        <w:rPr>
          <w:rFonts w:cs="Arial"/>
          <w:szCs w:val="20"/>
        </w:rPr>
      </w:pPr>
    </w:p>
    <w:p w14:paraId="20651F94" w14:textId="77777777" w:rsidR="002D03CC" w:rsidRPr="00E9128C" w:rsidRDefault="002D03CC" w:rsidP="002D03CC">
      <w:pPr>
        <w:spacing w:after="0" w:line="276" w:lineRule="auto"/>
        <w:jc w:val="both"/>
        <w:rPr>
          <w:rFonts w:cs="Arial"/>
          <w:szCs w:val="20"/>
        </w:rPr>
      </w:pPr>
      <w:r w:rsidRPr="00E9128C">
        <w:rPr>
          <w:rFonts w:cs="Arial"/>
          <w:szCs w:val="20"/>
        </w:rPr>
        <w:t>(2) Z globo od 1.500 do 8.000 eurov se kaznuje delodajalec, ki zaposluje deset ali manj delavcev – pravna oseba, samostojni podjetnik posameznik oziroma posameznik, ki samostojno opravlja dejavnost, če stori prekršek iz prejšnjega odstavka.</w:t>
      </w:r>
    </w:p>
    <w:p w14:paraId="62793433" w14:textId="77777777" w:rsidR="002D03CC" w:rsidRPr="00E9128C" w:rsidRDefault="002D03CC" w:rsidP="002D03CC">
      <w:pPr>
        <w:spacing w:after="0" w:line="276" w:lineRule="auto"/>
        <w:jc w:val="both"/>
        <w:rPr>
          <w:rFonts w:cs="Arial"/>
          <w:szCs w:val="20"/>
        </w:rPr>
      </w:pPr>
    </w:p>
    <w:p w14:paraId="5ED474A6" w14:textId="77777777" w:rsidR="002D03CC" w:rsidRPr="00E9128C" w:rsidRDefault="002D03CC" w:rsidP="002D03CC">
      <w:pPr>
        <w:spacing w:after="0"/>
        <w:jc w:val="both"/>
      </w:pPr>
      <w:r w:rsidRPr="00E9128C">
        <w:t>(3) Z globo od 1.500 do 8.000 eurov se kaznuje odgovorna oseba neposrednega ali posrednega proračunskega uporabnika oziroma javno gospodarskega zavoda, ki državi ali občini izstavi zahtevek za vračilo stroškov zimskega regresa iz državnega proračuna v znesku, ki ne izkazuje upravičenih stroškov.</w:t>
      </w:r>
    </w:p>
    <w:p w14:paraId="178BE244" w14:textId="77777777" w:rsidR="002D03CC" w:rsidRPr="00E9128C" w:rsidRDefault="002D03CC" w:rsidP="002D03CC">
      <w:pPr>
        <w:spacing w:after="0"/>
        <w:jc w:val="both"/>
        <w:rPr>
          <w:rFonts w:cs="Arial"/>
          <w:szCs w:val="20"/>
        </w:rPr>
      </w:pPr>
    </w:p>
    <w:p w14:paraId="6C741BFF" w14:textId="77777777" w:rsidR="002D03CC" w:rsidRPr="00E9128C" w:rsidRDefault="002D03CC" w:rsidP="002D03CC">
      <w:pPr>
        <w:spacing w:after="0" w:line="276" w:lineRule="auto"/>
        <w:jc w:val="both"/>
        <w:rPr>
          <w:rFonts w:cs="Arial"/>
          <w:szCs w:val="20"/>
        </w:rPr>
      </w:pPr>
      <w:r w:rsidRPr="00E9128C">
        <w:rPr>
          <w:rFonts w:cs="Arial"/>
          <w:szCs w:val="20"/>
        </w:rPr>
        <w:t>(4) Z globo od 450 do 2.000 eurov se kaznuje odgovorna oseba delodajalca pravne osebe, samostojnega podjetnika posameznika oziroma posameznika, ki samostojno opravlja dejavnost, ter odgovorna oseba v državnem organu ali samoupravni lokalni skupnosti, če stori prekršek iz prvega odstavka tega člena.</w:t>
      </w:r>
    </w:p>
    <w:p w14:paraId="3D6308E9" w14:textId="77777777" w:rsidR="002D03CC" w:rsidRPr="00E9128C" w:rsidRDefault="002D03CC" w:rsidP="002D03CC">
      <w:pPr>
        <w:spacing w:after="0" w:line="276" w:lineRule="auto"/>
        <w:jc w:val="both"/>
        <w:rPr>
          <w:rFonts w:cs="Arial"/>
          <w:szCs w:val="20"/>
        </w:rPr>
      </w:pPr>
    </w:p>
    <w:p w14:paraId="1B59B57A" w14:textId="77777777" w:rsidR="002D03CC" w:rsidRPr="00E9128C" w:rsidRDefault="002D03CC" w:rsidP="002D03CC">
      <w:pPr>
        <w:spacing w:after="0" w:line="276" w:lineRule="auto"/>
        <w:jc w:val="both"/>
        <w:rPr>
          <w:rFonts w:cs="Arial"/>
          <w:szCs w:val="20"/>
        </w:rPr>
      </w:pPr>
      <w:r w:rsidRPr="00E9128C">
        <w:rPr>
          <w:rFonts w:cs="Arial"/>
          <w:szCs w:val="20"/>
        </w:rPr>
        <w:t>(5) Z globo od 450 do 1.200 eurov se kaznuje delodajalec posameznik, če stori prekršek iz prvega odstavka tega člena.</w:t>
      </w:r>
    </w:p>
    <w:p w14:paraId="5B93D333" w14:textId="77777777" w:rsidR="002D03CC" w:rsidRPr="00E9128C" w:rsidRDefault="002D03CC" w:rsidP="002D03CC">
      <w:pPr>
        <w:spacing w:after="0" w:line="276" w:lineRule="auto"/>
        <w:jc w:val="both"/>
        <w:rPr>
          <w:rFonts w:cs="Arial"/>
          <w:szCs w:val="20"/>
        </w:rPr>
      </w:pPr>
    </w:p>
    <w:p w14:paraId="511A291D" w14:textId="77777777" w:rsidR="002D03CC" w:rsidRPr="00E9128C" w:rsidRDefault="002D03CC" w:rsidP="002D03CC">
      <w:pPr>
        <w:spacing w:after="0" w:line="276" w:lineRule="auto"/>
        <w:jc w:val="both"/>
        <w:rPr>
          <w:rFonts w:cs="Arial"/>
          <w:szCs w:val="20"/>
        </w:rPr>
      </w:pPr>
      <w:r w:rsidRPr="00E9128C">
        <w:rPr>
          <w:rFonts w:cs="Arial"/>
          <w:szCs w:val="20"/>
        </w:rPr>
        <w:t>(6) Za prekršek iz tega člena se sme v hitrem postopku izreči globa tudi v znesku, ki je višji od najnižje predpisane globe, določene v tem členu.</w:t>
      </w:r>
    </w:p>
    <w:p w14:paraId="49D8D881" w14:textId="77777777" w:rsidR="00A34494" w:rsidRPr="00E9128C" w:rsidRDefault="00A34494" w:rsidP="0011743A">
      <w:pPr>
        <w:pStyle w:val="esegmenth4"/>
        <w:spacing w:before="0" w:beforeAutospacing="0" w:after="0" w:afterAutospacing="0" w:line="260" w:lineRule="atLeast"/>
        <w:jc w:val="both"/>
        <w:rPr>
          <w:rFonts w:ascii="Arial" w:hAnsi="Arial" w:cs="Arial"/>
          <w:b/>
          <w:bCs/>
          <w:sz w:val="20"/>
          <w:szCs w:val="20"/>
        </w:rPr>
      </w:pPr>
    </w:p>
    <w:p w14:paraId="2ED5F5BC" w14:textId="2D41EBDC" w:rsidR="0011743A" w:rsidRPr="00E9128C" w:rsidRDefault="00290887" w:rsidP="0011743A">
      <w:pPr>
        <w:pStyle w:val="esegmenth4"/>
        <w:spacing w:before="0" w:beforeAutospacing="0" w:after="0" w:afterAutospacing="0" w:line="260" w:lineRule="atLeast"/>
        <w:jc w:val="center"/>
        <w:rPr>
          <w:rFonts w:ascii="Arial" w:hAnsi="Arial" w:cs="Arial"/>
          <w:b/>
          <w:bCs/>
          <w:sz w:val="20"/>
          <w:szCs w:val="20"/>
        </w:rPr>
      </w:pPr>
      <w:r w:rsidRPr="00E9128C">
        <w:rPr>
          <w:rFonts w:ascii="Arial" w:hAnsi="Arial" w:cs="Arial"/>
          <w:b/>
          <w:bCs/>
          <w:sz w:val="20"/>
          <w:szCs w:val="20"/>
        </w:rPr>
        <w:t xml:space="preserve">V. </w:t>
      </w:r>
      <w:r w:rsidR="0011743A" w:rsidRPr="00E9128C">
        <w:rPr>
          <w:rFonts w:ascii="Arial" w:hAnsi="Arial" w:cs="Arial"/>
          <w:b/>
          <w:bCs/>
          <w:sz w:val="20"/>
          <w:szCs w:val="20"/>
        </w:rPr>
        <w:t>PREHODN</w:t>
      </w:r>
      <w:r w:rsidR="00EB0C01" w:rsidRPr="00E9128C">
        <w:rPr>
          <w:rFonts w:ascii="Arial" w:hAnsi="Arial" w:cs="Arial"/>
          <w:b/>
          <w:bCs/>
          <w:sz w:val="20"/>
          <w:szCs w:val="20"/>
        </w:rPr>
        <w:t>E</w:t>
      </w:r>
      <w:r w:rsidR="0011743A" w:rsidRPr="00E9128C">
        <w:rPr>
          <w:rFonts w:ascii="Arial" w:hAnsi="Arial" w:cs="Arial"/>
          <w:b/>
          <w:bCs/>
          <w:sz w:val="20"/>
          <w:szCs w:val="20"/>
        </w:rPr>
        <w:t xml:space="preserve"> IN KONČNA DOLOČBA</w:t>
      </w:r>
    </w:p>
    <w:p w14:paraId="61410051" w14:textId="77777777" w:rsidR="0011743A" w:rsidRPr="00E9128C" w:rsidRDefault="0011743A" w:rsidP="0011743A">
      <w:pPr>
        <w:spacing w:after="0" w:line="260" w:lineRule="atLeast"/>
        <w:rPr>
          <w:rFonts w:cs="Arial"/>
          <w:b/>
          <w:szCs w:val="20"/>
        </w:rPr>
      </w:pPr>
    </w:p>
    <w:p w14:paraId="7B264406"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63BE34D5" w14:textId="526A1FA7" w:rsidR="0011743A" w:rsidRPr="00E9128C" w:rsidRDefault="0011743A" w:rsidP="0011743A">
      <w:pPr>
        <w:spacing w:after="0" w:line="260" w:lineRule="atLeast"/>
        <w:jc w:val="center"/>
        <w:rPr>
          <w:rFonts w:cs="Arial"/>
          <w:b/>
          <w:szCs w:val="20"/>
        </w:rPr>
      </w:pPr>
      <w:r w:rsidRPr="00E9128C">
        <w:rPr>
          <w:rFonts w:cs="Arial"/>
          <w:b/>
          <w:szCs w:val="20"/>
        </w:rPr>
        <w:t>(</w:t>
      </w:r>
      <w:r w:rsidR="00CD452C" w:rsidRPr="00E9128C">
        <w:rPr>
          <w:rFonts w:cs="Arial"/>
          <w:b/>
          <w:szCs w:val="20"/>
        </w:rPr>
        <w:t>zamik</w:t>
      </w:r>
      <w:r w:rsidR="00DB260B" w:rsidRPr="00E9128C">
        <w:rPr>
          <w:rFonts w:cs="Arial"/>
          <w:b/>
          <w:szCs w:val="20"/>
        </w:rPr>
        <w:t xml:space="preserve"> </w:t>
      </w:r>
      <w:r w:rsidRPr="00E9128C">
        <w:rPr>
          <w:rFonts w:cs="Arial"/>
          <w:b/>
          <w:szCs w:val="20"/>
        </w:rPr>
        <w:t>izplačil</w:t>
      </w:r>
      <w:r w:rsidR="00AC0EEF" w:rsidRPr="00E9128C">
        <w:rPr>
          <w:rFonts w:cs="Arial"/>
          <w:b/>
          <w:szCs w:val="20"/>
        </w:rPr>
        <w:t>a</w:t>
      </w:r>
      <w:r w:rsidRPr="00E9128C">
        <w:rPr>
          <w:rFonts w:cs="Arial"/>
          <w:b/>
          <w:szCs w:val="20"/>
        </w:rPr>
        <w:t xml:space="preserve"> za leto 2025)</w:t>
      </w:r>
    </w:p>
    <w:p w14:paraId="7F63B1C5" w14:textId="56892017" w:rsidR="00F50CC9" w:rsidRPr="00E9128C" w:rsidRDefault="00F50CC9" w:rsidP="006175AE">
      <w:pPr>
        <w:spacing w:after="0" w:line="260" w:lineRule="atLeast"/>
        <w:jc w:val="both"/>
      </w:pPr>
    </w:p>
    <w:p w14:paraId="0A2CAE9E" w14:textId="0B8CE528" w:rsidR="00F50CC9" w:rsidRPr="00E9128C" w:rsidRDefault="00F50CC9" w:rsidP="006175AE">
      <w:pPr>
        <w:spacing w:after="0" w:line="260" w:lineRule="atLeast"/>
        <w:jc w:val="both"/>
      </w:pPr>
      <w:r w:rsidRPr="00E9128C">
        <w:rPr>
          <w:rFonts w:cs="Arial"/>
        </w:rPr>
        <w:t>(1) Ne glede na prvi odstavek 3. člena tega zakona lahko</w:t>
      </w:r>
      <w:r w:rsidRPr="00E9128C">
        <w:t xml:space="preserve"> delodajalec, pri katerem v letu 2025 oziroma do 31. marca 2026 ni prišlo do izplačila dobička, nakupov lastnih delnic ali lastnih poslovnih deležev, izplačil nagrad poslovodstvu oziroma dela plač za poslovno uspešnost poslovodstvu oziroma pri katerem </w:t>
      </w:r>
      <w:r w:rsidR="00632147" w:rsidRPr="00E9128C">
        <w:t>ni nastala</w:t>
      </w:r>
      <w:r w:rsidRPr="00E9128C">
        <w:t xml:space="preserve"> obveznost izplačila dobička, možnost nakupov lastnih delnic ali lastnih poslovnih deležev, obveznost izplačil nagrad poslovodstvu oziroma dela plač za poslovno uspešnost poslovodstvu v letu 2025 oziroma do 31. marca 2026, </w:t>
      </w:r>
      <w:r w:rsidR="00C045A6" w:rsidRPr="00E9128C">
        <w:t>1/4</w:t>
      </w:r>
      <w:r w:rsidR="001C0EDE" w:rsidRPr="00E9128C">
        <w:t xml:space="preserve"> </w:t>
      </w:r>
      <w:r w:rsidRPr="00E9128C">
        <w:t>zimsk</w:t>
      </w:r>
      <w:r w:rsidR="001C0EDE" w:rsidRPr="00E9128C">
        <w:t>ega</w:t>
      </w:r>
      <w:r w:rsidRPr="00E9128C">
        <w:t xml:space="preserve"> regres</w:t>
      </w:r>
      <w:r w:rsidR="00C045A6" w:rsidRPr="00E9128C">
        <w:t>a</w:t>
      </w:r>
      <w:r w:rsidRPr="00E9128C">
        <w:t xml:space="preserve"> za leto 2025 izplača </w:t>
      </w:r>
      <w:r w:rsidR="001C0EDE" w:rsidRPr="00E9128C">
        <w:t xml:space="preserve">do 18. decembra 2025, </w:t>
      </w:r>
      <w:r w:rsidR="00B87802" w:rsidRPr="00E9128C">
        <w:t>preostanek</w:t>
      </w:r>
      <w:r w:rsidR="001C0EDE" w:rsidRPr="00E9128C">
        <w:t xml:space="preserve"> pa </w:t>
      </w:r>
      <w:r w:rsidR="007D06F1">
        <w:t>najpozneje</w:t>
      </w:r>
      <w:r w:rsidRPr="00E9128C">
        <w:t xml:space="preserve"> do 31. marca 2026.</w:t>
      </w:r>
    </w:p>
    <w:p w14:paraId="74E651CD" w14:textId="77777777" w:rsidR="00F50CC9" w:rsidRPr="00E9128C" w:rsidRDefault="00F50CC9" w:rsidP="006175AE">
      <w:pPr>
        <w:spacing w:after="0" w:line="260" w:lineRule="atLeast"/>
        <w:jc w:val="both"/>
      </w:pPr>
    </w:p>
    <w:p w14:paraId="5D3A54E7" w14:textId="6E8574FB" w:rsidR="0011743A" w:rsidRPr="00E9128C" w:rsidRDefault="0011743A" w:rsidP="006175AE">
      <w:pPr>
        <w:spacing w:after="0" w:line="260" w:lineRule="atLeast"/>
        <w:jc w:val="both"/>
        <w:rPr>
          <w:rFonts w:cs="Arial"/>
        </w:rPr>
      </w:pPr>
      <w:r w:rsidRPr="00E9128C">
        <w:rPr>
          <w:rFonts w:cs="Arial"/>
        </w:rPr>
        <w:t>(2) Določba prejšnjega odstavka se ne uporablja za javni sektor.</w:t>
      </w:r>
    </w:p>
    <w:p w14:paraId="21D814B6" w14:textId="77777777" w:rsidR="0011743A" w:rsidRDefault="0011743A" w:rsidP="4C5FDD34">
      <w:pPr>
        <w:spacing w:after="0" w:line="260" w:lineRule="atLeast"/>
        <w:rPr>
          <w:rFonts w:cs="Arial"/>
          <w:b/>
          <w:bCs/>
        </w:rPr>
      </w:pPr>
    </w:p>
    <w:p w14:paraId="6687A128" w14:textId="77777777" w:rsidR="00236DF6" w:rsidRDefault="00236DF6" w:rsidP="4C5FDD34">
      <w:pPr>
        <w:spacing w:after="0" w:line="260" w:lineRule="atLeast"/>
        <w:rPr>
          <w:rFonts w:cs="Arial"/>
          <w:b/>
          <w:bCs/>
        </w:rPr>
      </w:pPr>
    </w:p>
    <w:p w14:paraId="01F5C5CE" w14:textId="77777777" w:rsidR="00236DF6" w:rsidRDefault="00236DF6" w:rsidP="4C5FDD34">
      <w:pPr>
        <w:spacing w:after="0" w:line="260" w:lineRule="atLeast"/>
        <w:rPr>
          <w:rFonts w:cs="Arial"/>
          <w:b/>
          <w:bCs/>
        </w:rPr>
      </w:pPr>
    </w:p>
    <w:p w14:paraId="66CE1F15" w14:textId="77777777" w:rsidR="00236DF6" w:rsidRDefault="00236DF6" w:rsidP="4C5FDD34">
      <w:pPr>
        <w:spacing w:after="0" w:line="260" w:lineRule="atLeast"/>
        <w:rPr>
          <w:rFonts w:cs="Arial"/>
          <w:b/>
          <w:bCs/>
        </w:rPr>
      </w:pPr>
    </w:p>
    <w:p w14:paraId="59337CB7" w14:textId="77777777" w:rsidR="00236DF6" w:rsidRPr="00E9128C" w:rsidRDefault="00236DF6" w:rsidP="4C5FDD34">
      <w:pPr>
        <w:spacing w:after="0" w:line="260" w:lineRule="atLeast"/>
        <w:rPr>
          <w:rFonts w:cs="Arial"/>
          <w:b/>
          <w:bCs/>
        </w:rPr>
      </w:pPr>
    </w:p>
    <w:p w14:paraId="5F28B6A8" w14:textId="77777777" w:rsidR="4BF8380B" w:rsidRPr="00E9128C" w:rsidRDefault="4BF8380B" w:rsidP="4C5FDD34">
      <w:pPr>
        <w:pStyle w:val="Odstavekseznama"/>
        <w:numPr>
          <w:ilvl w:val="0"/>
          <w:numId w:val="17"/>
        </w:numPr>
        <w:spacing w:after="0" w:line="260" w:lineRule="atLeast"/>
        <w:ind w:left="0" w:firstLine="0"/>
        <w:jc w:val="center"/>
        <w:rPr>
          <w:rFonts w:cs="Arial"/>
          <w:b/>
          <w:bCs/>
        </w:rPr>
      </w:pPr>
      <w:r w:rsidRPr="00E9128C">
        <w:rPr>
          <w:rFonts w:cs="Arial"/>
          <w:b/>
          <w:bCs/>
        </w:rPr>
        <w:lastRenderedPageBreak/>
        <w:t>člen</w:t>
      </w:r>
    </w:p>
    <w:p w14:paraId="56E811BE" w14:textId="75B93E8F" w:rsidR="4BF8380B" w:rsidRPr="00E9128C" w:rsidRDefault="4BF8380B" w:rsidP="4C5FDD34">
      <w:pPr>
        <w:spacing w:after="0" w:line="260" w:lineRule="atLeast"/>
        <w:jc w:val="center"/>
        <w:rPr>
          <w:rFonts w:cs="Arial"/>
          <w:b/>
          <w:bCs/>
        </w:rPr>
      </w:pPr>
      <w:r w:rsidRPr="00E9128C">
        <w:rPr>
          <w:rFonts w:cs="Arial"/>
          <w:b/>
          <w:bCs/>
        </w:rPr>
        <w:t xml:space="preserve">(izplačilo </w:t>
      </w:r>
      <w:r w:rsidR="24BDF337" w:rsidRPr="00E9128C">
        <w:rPr>
          <w:rFonts w:cs="Arial"/>
          <w:b/>
          <w:bCs/>
        </w:rPr>
        <w:t xml:space="preserve">v primeru nelikvidnosti </w:t>
      </w:r>
      <w:r w:rsidRPr="00E9128C">
        <w:rPr>
          <w:rFonts w:cs="Arial"/>
          <w:b/>
          <w:bCs/>
        </w:rPr>
        <w:t>za leto 2025)</w:t>
      </w:r>
    </w:p>
    <w:p w14:paraId="136F92D4" w14:textId="65611BE4" w:rsidR="4C5FDD34" w:rsidRPr="00E9128C" w:rsidRDefault="4C5FDD34" w:rsidP="4C5FDD34">
      <w:pPr>
        <w:spacing w:after="0" w:line="260" w:lineRule="atLeast"/>
        <w:rPr>
          <w:rFonts w:cs="Arial"/>
          <w:b/>
          <w:bCs/>
        </w:rPr>
      </w:pPr>
    </w:p>
    <w:p w14:paraId="21E2DA91" w14:textId="26CF8E1A" w:rsidR="4BF8380B" w:rsidRPr="00E9128C" w:rsidRDefault="4BF8380B" w:rsidP="00E9128C">
      <w:pPr>
        <w:spacing w:after="0" w:line="260" w:lineRule="atLeast"/>
        <w:jc w:val="both"/>
        <w:rPr>
          <w:rFonts w:cs="Arial"/>
        </w:rPr>
      </w:pPr>
      <w:r w:rsidRPr="00E9128C">
        <w:rPr>
          <w:rFonts w:cs="Arial"/>
        </w:rPr>
        <w:t xml:space="preserve">Ne glede na drugi odstavek 3. člena tega zakona </w:t>
      </w:r>
      <w:r w:rsidR="56081014" w:rsidRPr="00E9128C">
        <w:rPr>
          <w:rFonts w:cs="Arial"/>
        </w:rPr>
        <w:t xml:space="preserve">lahko delodajalec v primeru nelikvidnosti določi kasnejši rok izplačila zimskega regresa za leto 2025, vendar </w:t>
      </w:r>
      <w:r w:rsidR="007D06F1">
        <w:rPr>
          <w:rFonts w:cs="Arial"/>
        </w:rPr>
        <w:t>najpozneje</w:t>
      </w:r>
      <w:r w:rsidR="56081014" w:rsidRPr="00E9128C">
        <w:rPr>
          <w:rFonts w:cs="Arial"/>
        </w:rPr>
        <w:t xml:space="preserve"> do 31. marca </w:t>
      </w:r>
      <w:r w:rsidR="6B7C2E86" w:rsidRPr="00E9128C">
        <w:rPr>
          <w:rFonts w:cs="Arial"/>
        </w:rPr>
        <w:t>2026</w:t>
      </w:r>
      <w:r w:rsidR="56081014" w:rsidRPr="00E9128C">
        <w:rPr>
          <w:rFonts w:cs="Arial"/>
        </w:rPr>
        <w:t>.</w:t>
      </w:r>
    </w:p>
    <w:p w14:paraId="45B85972" w14:textId="322C93E5" w:rsidR="4C5FDD34" w:rsidRPr="00E9128C" w:rsidRDefault="4C5FDD34" w:rsidP="4C5FDD34">
      <w:pPr>
        <w:spacing w:after="0" w:line="260" w:lineRule="atLeast"/>
        <w:rPr>
          <w:rFonts w:cs="Arial"/>
          <w:b/>
          <w:bCs/>
        </w:rPr>
      </w:pPr>
    </w:p>
    <w:p w14:paraId="339ED19A" w14:textId="77777777" w:rsidR="00216AC3" w:rsidRPr="00E9128C" w:rsidRDefault="00216AC3" w:rsidP="0011743A">
      <w:pPr>
        <w:spacing w:after="0" w:line="260" w:lineRule="atLeast"/>
        <w:rPr>
          <w:rFonts w:cs="Arial"/>
          <w:b/>
          <w:szCs w:val="20"/>
        </w:rPr>
      </w:pPr>
    </w:p>
    <w:p w14:paraId="45CEB9EB"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6E9D2FC8" w14:textId="4B271AB8" w:rsidR="0011743A" w:rsidRPr="00E9128C" w:rsidRDefault="0011743A" w:rsidP="0011743A">
      <w:pPr>
        <w:spacing w:after="0" w:line="260" w:lineRule="atLeast"/>
        <w:jc w:val="center"/>
        <w:rPr>
          <w:rFonts w:cs="Arial"/>
          <w:b/>
          <w:szCs w:val="20"/>
        </w:rPr>
      </w:pPr>
      <w:r w:rsidRPr="00E9128C">
        <w:rPr>
          <w:rFonts w:cs="Arial"/>
          <w:b/>
          <w:szCs w:val="20"/>
        </w:rPr>
        <w:t>(</w:t>
      </w:r>
      <w:r w:rsidR="00DE6D38">
        <w:rPr>
          <w:rFonts w:cs="Arial"/>
          <w:b/>
          <w:szCs w:val="20"/>
        </w:rPr>
        <w:t>obdavčitev</w:t>
      </w:r>
      <w:r w:rsidRPr="00E9128C">
        <w:rPr>
          <w:rFonts w:cs="Arial"/>
          <w:b/>
          <w:szCs w:val="20"/>
        </w:rPr>
        <w:t xml:space="preserve"> v davčnem letu 2025)</w:t>
      </w:r>
    </w:p>
    <w:p w14:paraId="1F3F0A10" w14:textId="77777777" w:rsidR="0011743A" w:rsidRPr="00E9128C" w:rsidRDefault="0011743A" w:rsidP="0011743A">
      <w:pPr>
        <w:spacing w:after="0" w:line="260" w:lineRule="atLeast"/>
        <w:rPr>
          <w:rFonts w:cs="Arial"/>
          <w:b/>
          <w:szCs w:val="20"/>
        </w:rPr>
      </w:pPr>
    </w:p>
    <w:p w14:paraId="5071CBC6" w14:textId="08AAD7C1" w:rsidR="0011743A" w:rsidRPr="00E9128C" w:rsidRDefault="0011743A" w:rsidP="0011743A">
      <w:pPr>
        <w:spacing w:after="0" w:line="276" w:lineRule="auto"/>
        <w:jc w:val="both"/>
        <w:rPr>
          <w:rFonts w:cs="Arial"/>
          <w:szCs w:val="20"/>
        </w:rPr>
      </w:pPr>
      <w:r w:rsidRPr="00E9128C">
        <w:rPr>
          <w:rFonts w:cs="Arial"/>
          <w:szCs w:val="20"/>
        </w:rPr>
        <w:t xml:space="preserve">(1) Ne glede na </w:t>
      </w:r>
      <w:r w:rsidR="00E436C1" w:rsidRPr="00E9128C">
        <w:rPr>
          <w:rFonts w:cs="Arial"/>
          <w:szCs w:val="20"/>
        </w:rPr>
        <w:t>4</w:t>
      </w:r>
      <w:r w:rsidRPr="00E9128C">
        <w:rPr>
          <w:rFonts w:cs="Arial"/>
          <w:szCs w:val="20"/>
        </w:rPr>
        <w:t xml:space="preserve">. člen tega zakona se zimski </w:t>
      </w:r>
      <w:r w:rsidR="003141E6" w:rsidRPr="00E9128C">
        <w:rPr>
          <w:rFonts w:cs="Arial"/>
          <w:szCs w:val="20"/>
        </w:rPr>
        <w:t>regres</w:t>
      </w:r>
      <w:r w:rsidRPr="00E9128C">
        <w:rPr>
          <w:rFonts w:cs="Arial"/>
          <w:szCs w:val="20"/>
        </w:rPr>
        <w:t xml:space="preserve">, prejet v davčnem letu 2025, ne glede na 12. točko 44. člena in sedmi odstavek 109. člena ZDoh-2, v višini, določeni v skladu </w:t>
      </w:r>
      <w:r w:rsidR="002B0913" w:rsidRPr="00E9128C">
        <w:rPr>
          <w:rFonts w:cs="Arial"/>
          <w:szCs w:val="20"/>
        </w:rPr>
        <w:t>z</w:t>
      </w:r>
      <w:r w:rsidRPr="00E9128C">
        <w:rPr>
          <w:rFonts w:cs="Arial"/>
          <w:szCs w:val="20"/>
        </w:rPr>
        <w:t xml:space="preserve"> 2. člen</w:t>
      </w:r>
      <w:r w:rsidR="002B0913" w:rsidRPr="00E9128C">
        <w:rPr>
          <w:rFonts w:cs="Arial"/>
          <w:szCs w:val="20"/>
        </w:rPr>
        <w:t>om</w:t>
      </w:r>
      <w:r w:rsidRPr="00E9128C">
        <w:rPr>
          <w:rFonts w:cs="Arial"/>
          <w:szCs w:val="20"/>
        </w:rPr>
        <w:t xml:space="preserve"> tega zakona, ne všteva v davčno osnovo od dohodka iz delovnega razmerja. </w:t>
      </w:r>
    </w:p>
    <w:p w14:paraId="38A33B1B" w14:textId="77777777" w:rsidR="0011743A" w:rsidRPr="00E9128C" w:rsidRDefault="0011743A" w:rsidP="0011743A">
      <w:pPr>
        <w:pStyle w:val="Odstavekseznama"/>
        <w:spacing w:after="0" w:line="276" w:lineRule="auto"/>
        <w:ind w:left="0"/>
        <w:jc w:val="both"/>
        <w:rPr>
          <w:rFonts w:cs="Arial"/>
          <w:szCs w:val="20"/>
        </w:rPr>
      </w:pPr>
    </w:p>
    <w:p w14:paraId="691F3BEB" w14:textId="0CC490EA" w:rsidR="0011743A" w:rsidRPr="00E9128C" w:rsidRDefault="0011743A" w:rsidP="0011743A">
      <w:pPr>
        <w:pStyle w:val="Odstavekseznama"/>
        <w:spacing w:after="0" w:line="276" w:lineRule="auto"/>
        <w:ind w:left="0"/>
        <w:jc w:val="both"/>
        <w:rPr>
          <w:rFonts w:cs="Arial"/>
          <w:szCs w:val="20"/>
        </w:rPr>
      </w:pPr>
      <w:r w:rsidRPr="00E9128C">
        <w:rPr>
          <w:rFonts w:cs="Arial"/>
          <w:szCs w:val="20"/>
        </w:rPr>
        <w:t xml:space="preserve">(2) Če zimski </w:t>
      </w:r>
      <w:r w:rsidR="003141E6" w:rsidRPr="00E9128C">
        <w:rPr>
          <w:rFonts w:cs="Arial"/>
          <w:szCs w:val="20"/>
        </w:rPr>
        <w:t xml:space="preserve">regres </w:t>
      </w:r>
      <w:r w:rsidRPr="00E9128C">
        <w:rPr>
          <w:rFonts w:cs="Arial"/>
          <w:szCs w:val="20"/>
        </w:rPr>
        <w:t>presega višino</w:t>
      </w:r>
      <w:r w:rsidR="00DE6D38">
        <w:rPr>
          <w:rFonts w:cs="Arial"/>
          <w:szCs w:val="20"/>
        </w:rPr>
        <w:t xml:space="preserve"> iz </w:t>
      </w:r>
      <w:r w:rsidRPr="00E9128C">
        <w:rPr>
          <w:rFonts w:cs="Arial"/>
          <w:szCs w:val="20"/>
        </w:rPr>
        <w:t>2. člen</w:t>
      </w:r>
      <w:r w:rsidR="00DE6D38">
        <w:rPr>
          <w:rFonts w:cs="Arial"/>
          <w:szCs w:val="20"/>
        </w:rPr>
        <w:t>a</w:t>
      </w:r>
      <w:r w:rsidRPr="00E9128C">
        <w:rPr>
          <w:rFonts w:cs="Arial"/>
          <w:szCs w:val="20"/>
        </w:rPr>
        <w:t xml:space="preserve"> tega zakona, se razlika šteje za plačilo za poslovno uspešnost </w:t>
      </w:r>
      <w:r w:rsidR="00DE6D38">
        <w:rPr>
          <w:rFonts w:cs="Arial"/>
          <w:szCs w:val="20"/>
        </w:rPr>
        <w:t xml:space="preserve"> v skladu s </w:t>
      </w:r>
      <w:r w:rsidRPr="00E9128C">
        <w:rPr>
          <w:rFonts w:cs="Arial"/>
          <w:szCs w:val="20"/>
        </w:rPr>
        <w:t>pogoji in do višine</w:t>
      </w:r>
      <w:r w:rsidR="00DE6D38">
        <w:rPr>
          <w:rFonts w:cs="Arial"/>
          <w:szCs w:val="20"/>
        </w:rPr>
        <w:t xml:space="preserve"> iz </w:t>
      </w:r>
      <w:r w:rsidRPr="00E9128C">
        <w:rPr>
          <w:rFonts w:cs="Arial"/>
          <w:szCs w:val="20"/>
        </w:rPr>
        <w:t xml:space="preserve"> 12. točk</w:t>
      </w:r>
      <w:r w:rsidR="00DE6D38">
        <w:rPr>
          <w:rFonts w:cs="Arial"/>
          <w:szCs w:val="20"/>
        </w:rPr>
        <w:t xml:space="preserve">e </w:t>
      </w:r>
      <w:r w:rsidRPr="00E9128C">
        <w:rPr>
          <w:rFonts w:cs="Arial"/>
          <w:szCs w:val="20"/>
        </w:rPr>
        <w:t>prvega odstavka 44. člena ZDoh-2, uporabljajo pa se tudi šesti odstavek 41. člena, četrti odstavek 44. člena, trinajsti odstavek 127. člena ZDoh-2 in sedmi odstavek 109. člena ZDoh-2.</w:t>
      </w:r>
    </w:p>
    <w:p w14:paraId="6E4AA0A7" w14:textId="77777777" w:rsidR="0011743A" w:rsidRPr="00E9128C" w:rsidRDefault="0011743A" w:rsidP="0011743A">
      <w:pPr>
        <w:spacing w:after="0" w:line="260" w:lineRule="atLeast"/>
        <w:rPr>
          <w:rFonts w:cs="Arial"/>
          <w:b/>
          <w:szCs w:val="20"/>
        </w:rPr>
      </w:pPr>
    </w:p>
    <w:p w14:paraId="4002114B" w14:textId="77777777" w:rsidR="0011743A" w:rsidRPr="00E9128C" w:rsidRDefault="0011743A" w:rsidP="0011743A">
      <w:pPr>
        <w:spacing w:after="0" w:line="240" w:lineRule="auto"/>
        <w:rPr>
          <w:rFonts w:cs="Arial"/>
          <w:b/>
          <w:szCs w:val="20"/>
        </w:rPr>
      </w:pPr>
    </w:p>
    <w:p w14:paraId="1F264DFA"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7A647452" w14:textId="2620AA4B" w:rsidR="0011743A" w:rsidRPr="00E9128C" w:rsidRDefault="0011743A" w:rsidP="0011743A">
      <w:pPr>
        <w:spacing w:after="0" w:line="240" w:lineRule="auto"/>
        <w:jc w:val="center"/>
        <w:rPr>
          <w:rFonts w:cs="Arial"/>
          <w:b/>
          <w:bCs/>
          <w:szCs w:val="20"/>
        </w:rPr>
      </w:pPr>
      <w:r w:rsidRPr="00E9128C">
        <w:rPr>
          <w:rFonts w:cs="Arial"/>
          <w:b/>
          <w:bCs/>
          <w:szCs w:val="20"/>
        </w:rPr>
        <w:t>(</w:t>
      </w:r>
      <w:r w:rsidR="00481FDC" w:rsidRPr="00E9128C">
        <w:rPr>
          <w:rFonts w:cs="Arial"/>
          <w:b/>
          <w:bCs/>
          <w:szCs w:val="20"/>
        </w:rPr>
        <w:t>zagotavljanje sredstev v javnem sektorju v letu 2025</w:t>
      </w:r>
      <w:r w:rsidRPr="00E9128C">
        <w:rPr>
          <w:rFonts w:cs="Arial"/>
          <w:b/>
          <w:bCs/>
          <w:szCs w:val="20"/>
        </w:rPr>
        <w:t>)</w:t>
      </w:r>
    </w:p>
    <w:p w14:paraId="7ACF6572" w14:textId="77777777" w:rsidR="0011743A" w:rsidRPr="00E9128C" w:rsidRDefault="0011743A" w:rsidP="0011743A">
      <w:pPr>
        <w:spacing w:after="0" w:line="240" w:lineRule="auto"/>
        <w:rPr>
          <w:rFonts w:cs="Arial"/>
          <w:b/>
          <w:szCs w:val="20"/>
        </w:rPr>
      </w:pPr>
    </w:p>
    <w:p w14:paraId="50D06435" w14:textId="40D7933A" w:rsidR="0011743A" w:rsidRPr="00E9128C" w:rsidRDefault="00940B7D" w:rsidP="0011743A">
      <w:pPr>
        <w:spacing w:after="0" w:line="240" w:lineRule="auto"/>
        <w:jc w:val="both"/>
      </w:pPr>
      <w:r w:rsidRPr="00E9128C">
        <w:t xml:space="preserve">Sredstva za izplačilo zimskega </w:t>
      </w:r>
      <w:r w:rsidR="003141E6" w:rsidRPr="00E9128C">
        <w:t xml:space="preserve">regresa </w:t>
      </w:r>
      <w:r w:rsidR="00FC0CD2" w:rsidRPr="00E9128C">
        <w:t>v</w:t>
      </w:r>
      <w:r w:rsidRPr="00E9128C">
        <w:t xml:space="preserve"> javnem sektorju se za leto 2025 </w:t>
      </w:r>
      <w:r w:rsidR="00385C11" w:rsidRPr="00E9128C">
        <w:t>zagot</w:t>
      </w:r>
      <w:r w:rsidR="008D5702">
        <w:t>ovijo</w:t>
      </w:r>
      <w:r w:rsidRPr="00E9128C">
        <w:t xml:space="preserve"> v proračunu Republike Slovenije.</w:t>
      </w:r>
    </w:p>
    <w:p w14:paraId="48243EEB" w14:textId="77777777" w:rsidR="00940B7D" w:rsidRPr="00E9128C" w:rsidRDefault="00940B7D" w:rsidP="0011743A">
      <w:pPr>
        <w:spacing w:after="0" w:line="240" w:lineRule="auto"/>
        <w:jc w:val="both"/>
      </w:pPr>
    </w:p>
    <w:p w14:paraId="6C01863D" w14:textId="77777777" w:rsidR="0011743A" w:rsidRPr="00E9128C" w:rsidRDefault="0011743A" w:rsidP="0011743A">
      <w:pPr>
        <w:spacing w:after="0" w:line="240" w:lineRule="auto"/>
        <w:rPr>
          <w:rFonts w:cs="Arial"/>
          <w:b/>
          <w:szCs w:val="20"/>
        </w:rPr>
      </w:pPr>
    </w:p>
    <w:p w14:paraId="18468F1E"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22562ED8" w14:textId="5C8A894C" w:rsidR="0011743A" w:rsidRPr="00E9128C" w:rsidRDefault="0011743A" w:rsidP="0011743A">
      <w:pPr>
        <w:spacing w:after="0" w:line="240" w:lineRule="auto"/>
        <w:jc w:val="center"/>
        <w:rPr>
          <w:rFonts w:cs="Arial"/>
          <w:b/>
          <w:bCs/>
          <w:szCs w:val="20"/>
        </w:rPr>
      </w:pPr>
      <w:r w:rsidRPr="00E9128C">
        <w:rPr>
          <w:rFonts w:cs="Arial"/>
          <w:b/>
          <w:bCs/>
          <w:szCs w:val="20"/>
        </w:rPr>
        <w:t xml:space="preserve">(zagotavljanje sredstev </w:t>
      </w:r>
      <w:r w:rsidR="007D06F1">
        <w:rPr>
          <w:rFonts w:cs="Arial"/>
          <w:b/>
          <w:bCs/>
          <w:szCs w:val="20"/>
        </w:rPr>
        <w:t xml:space="preserve">v </w:t>
      </w:r>
      <w:r w:rsidRPr="00E9128C">
        <w:rPr>
          <w:rFonts w:cs="Arial"/>
          <w:b/>
          <w:bCs/>
          <w:szCs w:val="20"/>
        </w:rPr>
        <w:t>proračun</w:t>
      </w:r>
      <w:r w:rsidR="007D06F1">
        <w:rPr>
          <w:rFonts w:cs="Arial"/>
          <w:b/>
          <w:bCs/>
          <w:szCs w:val="20"/>
        </w:rPr>
        <w:t>u</w:t>
      </w:r>
      <w:r w:rsidRPr="00E9128C">
        <w:rPr>
          <w:rFonts w:cs="Arial"/>
          <w:b/>
          <w:bCs/>
          <w:szCs w:val="20"/>
        </w:rPr>
        <w:t xml:space="preserve"> </w:t>
      </w:r>
      <w:r w:rsidR="004B0717" w:rsidRPr="00E9128C">
        <w:rPr>
          <w:rFonts w:cs="Arial"/>
          <w:b/>
          <w:bCs/>
          <w:szCs w:val="20"/>
        </w:rPr>
        <w:t>za</w:t>
      </w:r>
      <w:r w:rsidRPr="00E9128C">
        <w:rPr>
          <w:rFonts w:cs="Arial"/>
          <w:b/>
          <w:bCs/>
          <w:szCs w:val="20"/>
        </w:rPr>
        <w:t xml:space="preserve"> let</w:t>
      </w:r>
      <w:r w:rsidR="004B0717" w:rsidRPr="00E9128C">
        <w:rPr>
          <w:rFonts w:cs="Arial"/>
          <w:b/>
          <w:bCs/>
          <w:szCs w:val="20"/>
        </w:rPr>
        <w:t>o</w:t>
      </w:r>
      <w:r w:rsidRPr="00E9128C">
        <w:rPr>
          <w:rFonts w:cs="Arial"/>
          <w:b/>
          <w:bCs/>
          <w:szCs w:val="20"/>
        </w:rPr>
        <w:t xml:space="preserve"> 2025)</w:t>
      </w:r>
    </w:p>
    <w:p w14:paraId="5F4FC95E" w14:textId="77777777" w:rsidR="0011743A" w:rsidRPr="00E9128C" w:rsidRDefault="0011743A" w:rsidP="0011743A">
      <w:pPr>
        <w:spacing w:after="0" w:line="240" w:lineRule="auto"/>
        <w:rPr>
          <w:rFonts w:cs="Arial"/>
          <w:b/>
          <w:szCs w:val="20"/>
        </w:rPr>
      </w:pPr>
    </w:p>
    <w:p w14:paraId="12ECFE22" w14:textId="21EB63B4" w:rsidR="0011743A" w:rsidRPr="00E9128C" w:rsidRDefault="0011743A" w:rsidP="0011743A">
      <w:pPr>
        <w:spacing w:after="0" w:line="240" w:lineRule="auto"/>
        <w:jc w:val="both"/>
      </w:pPr>
      <w:r w:rsidRPr="00E9128C">
        <w:t xml:space="preserve">(1) Sredstva za izplačilo zimskega </w:t>
      </w:r>
      <w:r w:rsidR="003141E6" w:rsidRPr="00E9128C">
        <w:t xml:space="preserve">regresa </w:t>
      </w:r>
      <w:r w:rsidRPr="00E9128C">
        <w:t xml:space="preserve">pri neposrednih uporabnikih državnega proračuna, </w:t>
      </w:r>
      <w:r w:rsidR="00A7079A" w:rsidRPr="00E9128C">
        <w:t xml:space="preserve">pri </w:t>
      </w:r>
      <w:r w:rsidRPr="00E9128C">
        <w:t xml:space="preserve">posrednih uporabnikih, katerih ustanovitelj je država in za delavce v javnih gospodarskih zavodih, se v letu 2025 zagotavljajo v finančnem načrtu neposrednega uporabnika proračuna, v čigar pristojnost sodi posredni uporabnik proračuna oziroma javni gospodarski zavod.  </w:t>
      </w:r>
    </w:p>
    <w:p w14:paraId="28DE0FCE" w14:textId="77777777" w:rsidR="0011743A" w:rsidRPr="00E9128C" w:rsidRDefault="0011743A" w:rsidP="0011743A">
      <w:pPr>
        <w:spacing w:after="0" w:line="240" w:lineRule="auto"/>
        <w:jc w:val="both"/>
      </w:pPr>
    </w:p>
    <w:p w14:paraId="6A11272D" w14:textId="252C549F" w:rsidR="0011743A" w:rsidRPr="00E9128C" w:rsidRDefault="0011743A" w:rsidP="0011743A">
      <w:pPr>
        <w:spacing w:after="0" w:line="240" w:lineRule="auto"/>
        <w:jc w:val="both"/>
      </w:pPr>
      <w:r w:rsidRPr="00E9128C">
        <w:t xml:space="preserve">(2) Neposredni uporabnik proračuna posrednemu uporabniku proračuna države oziroma javnemu gospodarskemu zavodu sredstva izplača na podlagi zahtevka in dokazil, iz katerih je razviden znesek zimskega </w:t>
      </w:r>
      <w:r w:rsidR="003141E6" w:rsidRPr="00E9128C">
        <w:t xml:space="preserve">regresa </w:t>
      </w:r>
      <w:r w:rsidRPr="00E9128C">
        <w:t xml:space="preserve">po </w:t>
      </w:r>
      <w:r w:rsidR="00A7079A" w:rsidRPr="00E9128C">
        <w:t xml:space="preserve">delavcu </w:t>
      </w:r>
      <w:r w:rsidRPr="00E9128C">
        <w:t>in skupni znesek izplačil pri posameznem posrednem proračunskem uporabniku proračuna oziroma pri javnem gospodarskem zavodu.</w:t>
      </w:r>
    </w:p>
    <w:p w14:paraId="2F18E548" w14:textId="77777777" w:rsidR="0011743A" w:rsidRPr="00E9128C" w:rsidRDefault="0011743A" w:rsidP="0011743A">
      <w:pPr>
        <w:spacing w:after="0" w:line="240" w:lineRule="auto"/>
        <w:jc w:val="both"/>
      </w:pPr>
    </w:p>
    <w:p w14:paraId="6920BF44" w14:textId="1B9A004F" w:rsidR="0011743A" w:rsidRPr="00E9128C" w:rsidRDefault="0011743A" w:rsidP="0011743A">
      <w:pPr>
        <w:spacing w:after="0" w:line="240" w:lineRule="auto"/>
        <w:jc w:val="both"/>
      </w:pPr>
      <w:r w:rsidRPr="00E9128C">
        <w:t xml:space="preserve">(3) Neposredni uporabnik proračuna na podlagi prejetih zahtevkov iz prejšnjega odstavka, ki mu jih posredni uporabniki in javni gospodarski zavodi posredujejo </w:t>
      </w:r>
      <w:r w:rsidR="007D06F1">
        <w:t>najpozneje</w:t>
      </w:r>
      <w:r w:rsidRPr="00E9128C">
        <w:t xml:space="preserve"> do 19. decembra 2025, povrne sredstva </w:t>
      </w:r>
      <w:r w:rsidR="007D06F1">
        <w:t>najpozneje</w:t>
      </w:r>
      <w:r w:rsidR="00A7079A" w:rsidRPr="00E9128C">
        <w:t xml:space="preserve"> </w:t>
      </w:r>
      <w:r w:rsidRPr="00E9128C">
        <w:t xml:space="preserve">do 31. decembra 2025.  </w:t>
      </w:r>
    </w:p>
    <w:p w14:paraId="285671D1" w14:textId="77777777" w:rsidR="0011743A" w:rsidRPr="00E9128C" w:rsidRDefault="0011743A" w:rsidP="0011743A">
      <w:pPr>
        <w:spacing w:after="0" w:line="240" w:lineRule="auto"/>
        <w:jc w:val="both"/>
      </w:pPr>
      <w:r w:rsidRPr="00E9128C">
        <w:t xml:space="preserve">    </w:t>
      </w:r>
    </w:p>
    <w:p w14:paraId="175917CD" w14:textId="16A0D011" w:rsidR="0011743A" w:rsidRPr="00E9128C" w:rsidRDefault="0011743A" w:rsidP="0011743A">
      <w:pPr>
        <w:spacing w:after="0" w:line="240" w:lineRule="auto"/>
        <w:jc w:val="both"/>
      </w:pPr>
      <w:r w:rsidRPr="00E9128C">
        <w:t xml:space="preserve">(4) Občinam se v letu 2025 iz proračuna povrnejo sredstva za izplačilo zimskega </w:t>
      </w:r>
      <w:r w:rsidR="003141E6" w:rsidRPr="00E9128C">
        <w:t xml:space="preserve">regresa </w:t>
      </w:r>
      <w:r w:rsidRPr="00E9128C">
        <w:t xml:space="preserve">za </w:t>
      </w:r>
      <w:r w:rsidR="005E20C2" w:rsidRPr="00E9128C">
        <w:t>delavce in funkcionarje</w:t>
      </w:r>
      <w:r w:rsidRPr="00E9128C">
        <w:t xml:space="preserve"> </w:t>
      </w:r>
      <w:r w:rsidR="007D06F1">
        <w:t xml:space="preserve">zaposlene </w:t>
      </w:r>
      <w:r w:rsidRPr="00E9128C">
        <w:t xml:space="preserve">na občini in za </w:t>
      </w:r>
      <w:r w:rsidR="00163C67" w:rsidRPr="00E9128C">
        <w:t>delavce</w:t>
      </w:r>
      <w:r w:rsidRPr="00E9128C">
        <w:t xml:space="preserve"> pri tistih posrednih uporabnikih občinskega proračuna, katerih ustanoviteljica je občina.</w:t>
      </w:r>
    </w:p>
    <w:p w14:paraId="4FF2C1C7" w14:textId="77777777" w:rsidR="0011743A" w:rsidRPr="00E9128C" w:rsidRDefault="0011743A" w:rsidP="0011743A">
      <w:pPr>
        <w:spacing w:after="0" w:line="240" w:lineRule="auto"/>
        <w:jc w:val="both"/>
      </w:pPr>
    </w:p>
    <w:p w14:paraId="2F00D2E0" w14:textId="399D972C" w:rsidR="0011743A" w:rsidRPr="00E9128C" w:rsidRDefault="0011743A" w:rsidP="0011743A">
      <w:pPr>
        <w:spacing w:after="0" w:line="240" w:lineRule="auto"/>
        <w:jc w:val="both"/>
      </w:pPr>
      <w:r w:rsidRPr="00E9128C">
        <w:t xml:space="preserve">(5) Občine na podlagi dokazil o obsegu sredstev za izplačilo zimskega </w:t>
      </w:r>
      <w:r w:rsidR="003141E6" w:rsidRPr="00E9128C">
        <w:t>regresa</w:t>
      </w:r>
      <w:r w:rsidRPr="00E9128C">
        <w:t>, ki ga posredni uporabnik proračuna občine predloži občini, posrednemu uporabniku proračuna občine povrnejo sredstva.</w:t>
      </w:r>
    </w:p>
    <w:p w14:paraId="4DA69E36" w14:textId="77777777" w:rsidR="0011743A" w:rsidRPr="00E9128C" w:rsidRDefault="0011743A" w:rsidP="0011743A">
      <w:pPr>
        <w:spacing w:after="0" w:line="240" w:lineRule="auto"/>
        <w:jc w:val="both"/>
      </w:pPr>
    </w:p>
    <w:p w14:paraId="0C10585C" w14:textId="4C695612" w:rsidR="0011743A" w:rsidRPr="00E9128C" w:rsidRDefault="0011743A" w:rsidP="0011743A">
      <w:pPr>
        <w:spacing w:after="0" w:line="240" w:lineRule="auto"/>
        <w:jc w:val="both"/>
      </w:pPr>
      <w:r w:rsidRPr="00E9128C">
        <w:t xml:space="preserve">(6) Občina ministrstvu, pristojnemu za finance, </w:t>
      </w:r>
      <w:r w:rsidR="007D06F1">
        <w:t>najpozneje</w:t>
      </w:r>
      <w:r w:rsidR="00163C67" w:rsidRPr="00E9128C">
        <w:t xml:space="preserve"> </w:t>
      </w:r>
      <w:r w:rsidRPr="00E9128C">
        <w:t xml:space="preserve">do 19. decembra 2025, pošlje zahtevek za povračilo stroškov zimskih </w:t>
      </w:r>
      <w:r w:rsidR="003141E6" w:rsidRPr="00E9128C">
        <w:t xml:space="preserve">regresov </w:t>
      </w:r>
      <w:r w:rsidRPr="00E9128C">
        <w:t xml:space="preserve">iz četrtega odstavka tega člena, ki mu priloži po delodajalcih ločene sezname </w:t>
      </w:r>
      <w:r w:rsidR="00C62FA8" w:rsidRPr="00E9128C">
        <w:t>delavcev in funkcionarjev</w:t>
      </w:r>
      <w:r w:rsidRPr="00E9128C">
        <w:t xml:space="preserve">, iz katerih je razviden znesek zimskega </w:t>
      </w:r>
      <w:r w:rsidR="003141E6" w:rsidRPr="00E9128C">
        <w:t xml:space="preserve">regresa </w:t>
      </w:r>
      <w:r w:rsidRPr="00E9128C">
        <w:t xml:space="preserve">po </w:t>
      </w:r>
      <w:r w:rsidR="002B694E" w:rsidRPr="00E9128C">
        <w:t>delavcu oziroma funkcionarju</w:t>
      </w:r>
      <w:r w:rsidRPr="00E9128C">
        <w:t xml:space="preserve"> in skupni znesek izplačil pri posameznem delodajalcu.  </w:t>
      </w:r>
    </w:p>
    <w:p w14:paraId="6A1A739F" w14:textId="77777777" w:rsidR="0011743A" w:rsidRPr="00E9128C" w:rsidRDefault="0011743A" w:rsidP="0011743A">
      <w:pPr>
        <w:spacing w:after="0" w:line="240" w:lineRule="auto"/>
        <w:jc w:val="both"/>
      </w:pPr>
    </w:p>
    <w:p w14:paraId="13D28F6E" w14:textId="00887CDF" w:rsidR="0011743A" w:rsidRPr="00E9128C" w:rsidRDefault="0011743A" w:rsidP="0011743A">
      <w:pPr>
        <w:spacing w:after="0" w:line="240" w:lineRule="auto"/>
        <w:jc w:val="both"/>
      </w:pPr>
      <w:r w:rsidRPr="00E9128C">
        <w:lastRenderedPageBreak/>
        <w:t>(7) Ministrstvo</w:t>
      </w:r>
      <w:r w:rsidR="007D06F1">
        <w:t>, pristojno</w:t>
      </w:r>
      <w:r w:rsidRPr="00E9128C">
        <w:t xml:space="preserve"> za finance, na podlagi prejetih zahtevkov iz prejšnjega odstavka, občinam povrne sredstva </w:t>
      </w:r>
      <w:r w:rsidR="007D06F1">
        <w:t>najpozneje</w:t>
      </w:r>
      <w:r w:rsidR="00413A92" w:rsidRPr="00E9128C">
        <w:t xml:space="preserve"> </w:t>
      </w:r>
      <w:r w:rsidRPr="00E9128C">
        <w:t xml:space="preserve">do 31. decembra 2025.      </w:t>
      </w:r>
    </w:p>
    <w:p w14:paraId="0FD51B52" w14:textId="77777777" w:rsidR="0011743A" w:rsidRPr="00E9128C" w:rsidRDefault="0011743A" w:rsidP="0011743A">
      <w:pPr>
        <w:spacing w:after="0" w:line="240" w:lineRule="auto"/>
        <w:jc w:val="both"/>
      </w:pPr>
    </w:p>
    <w:p w14:paraId="7D85E0A4" w14:textId="029F03E9" w:rsidR="0011743A" w:rsidRPr="00E9128C" w:rsidRDefault="0011743A" w:rsidP="0011743A">
      <w:pPr>
        <w:spacing w:after="0" w:line="240" w:lineRule="auto"/>
        <w:jc w:val="both"/>
      </w:pPr>
      <w:r w:rsidRPr="00E9128C">
        <w:t xml:space="preserve">(8) Pravice porabe za izplačilo zimskega </w:t>
      </w:r>
      <w:r w:rsidR="003141E6" w:rsidRPr="00E9128C">
        <w:t xml:space="preserve">regresa </w:t>
      </w:r>
      <w:r w:rsidRPr="00E9128C">
        <w:t>za delavce</w:t>
      </w:r>
      <w:r w:rsidR="0054310E" w:rsidRPr="00E9128C">
        <w:t xml:space="preserve"> pri posrednih uporabnikih proračuna</w:t>
      </w:r>
      <w:r w:rsidRPr="00E9128C">
        <w:t>, katerih soustanoviteljici sta država in občina, se zagotovijo v finančnem načrtu neposrednega uporabnika države, v čigar pristojnost sodi posredni uporabnik proračuna.</w:t>
      </w:r>
    </w:p>
    <w:p w14:paraId="1407FB34" w14:textId="77777777" w:rsidR="0011743A" w:rsidRPr="00E9128C" w:rsidRDefault="0011743A" w:rsidP="0011743A">
      <w:pPr>
        <w:spacing w:after="0" w:line="240" w:lineRule="auto"/>
        <w:jc w:val="both"/>
      </w:pPr>
    </w:p>
    <w:p w14:paraId="113CA4AE" w14:textId="2965C562" w:rsidR="0011743A" w:rsidRPr="00E9128C" w:rsidRDefault="0011743A" w:rsidP="0011743A">
      <w:pPr>
        <w:spacing w:after="0" w:line="240" w:lineRule="auto"/>
        <w:jc w:val="both"/>
      </w:pPr>
      <w:r w:rsidRPr="00E9128C">
        <w:t xml:space="preserve">(9) Če je več občin soustanoviteljic posrednega uporabnika proračuna občine, občine sklenejo dogovor, s katerim se določi, katera občina bo sredstva za izplačilo zimskega </w:t>
      </w:r>
      <w:r w:rsidR="003141E6" w:rsidRPr="00E9128C">
        <w:t xml:space="preserve">regresa </w:t>
      </w:r>
      <w:r w:rsidRPr="00E9128C">
        <w:t xml:space="preserve">za delavce pri posrednem uporabniku občine zagotovila, ta dogovor pa občina, ki bo sredstva posrednemu uporabniku izplačala, predloži zahtevku iz šestega odstavka tega člena. </w:t>
      </w:r>
    </w:p>
    <w:p w14:paraId="713A42AF" w14:textId="77777777" w:rsidR="00410CB4" w:rsidRPr="00E9128C" w:rsidRDefault="00410CB4" w:rsidP="0011743A">
      <w:pPr>
        <w:spacing w:after="0" w:line="240" w:lineRule="auto"/>
        <w:jc w:val="both"/>
      </w:pPr>
    </w:p>
    <w:p w14:paraId="3A15E6F5" w14:textId="77777777" w:rsidR="00451F4F" w:rsidRPr="00E9128C" w:rsidRDefault="00451F4F" w:rsidP="00410CB4">
      <w:pPr>
        <w:spacing w:after="0" w:line="240" w:lineRule="auto"/>
        <w:jc w:val="both"/>
      </w:pPr>
    </w:p>
    <w:p w14:paraId="4596BD5E"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467D13A3" w14:textId="77777777" w:rsidR="0011743A" w:rsidRPr="00E9128C" w:rsidRDefault="0011743A" w:rsidP="0011743A">
      <w:pPr>
        <w:spacing w:after="0" w:line="240" w:lineRule="auto"/>
        <w:jc w:val="center"/>
        <w:rPr>
          <w:rFonts w:cs="Arial"/>
          <w:b/>
          <w:bCs/>
          <w:szCs w:val="20"/>
        </w:rPr>
      </w:pPr>
      <w:r w:rsidRPr="00E9128C">
        <w:rPr>
          <w:rFonts w:cs="Arial"/>
          <w:b/>
          <w:bCs/>
          <w:szCs w:val="20"/>
        </w:rPr>
        <w:t>(</w:t>
      </w:r>
      <w:r w:rsidRPr="00E9128C">
        <w:rPr>
          <w:b/>
          <w:bCs/>
        </w:rPr>
        <w:t>izjema od obveznosti priprave rebalansa</w:t>
      </w:r>
      <w:r w:rsidRPr="00E9128C">
        <w:rPr>
          <w:rFonts w:cs="Arial"/>
          <w:b/>
          <w:bCs/>
          <w:szCs w:val="20"/>
        </w:rPr>
        <w:t>)</w:t>
      </w:r>
    </w:p>
    <w:p w14:paraId="47672BE1" w14:textId="77777777" w:rsidR="0011743A" w:rsidRPr="00E9128C" w:rsidRDefault="0011743A" w:rsidP="0011743A">
      <w:pPr>
        <w:spacing w:after="0" w:line="240" w:lineRule="auto"/>
        <w:rPr>
          <w:rFonts w:cs="Arial"/>
          <w:b/>
          <w:szCs w:val="20"/>
        </w:rPr>
      </w:pPr>
    </w:p>
    <w:p w14:paraId="37500D0A" w14:textId="4A73D7A0" w:rsidR="0011743A" w:rsidRPr="00E9128C" w:rsidRDefault="00B30A8C" w:rsidP="00236DF6">
      <w:pPr>
        <w:spacing w:after="0" w:line="240" w:lineRule="auto"/>
        <w:jc w:val="both"/>
        <w:rPr>
          <w:rFonts w:cs="Arial"/>
          <w:b/>
          <w:szCs w:val="20"/>
        </w:rPr>
      </w:pPr>
      <w:r w:rsidRPr="00E9128C">
        <w:t>V letu 2025 občinam, posrednim uporabnikom proračuna države oziroma občine in javnim gospodarskim zavodom, zaradi izplačila zimskega regresa in dodatno prejetih sredstev iz proračuna, ni treba pripraviti rebalansa proračuna oziroma finančnega načrta.</w:t>
      </w:r>
    </w:p>
    <w:p w14:paraId="1510FBFF" w14:textId="77777777" w:rsidR="0011743A" w:rsidRDefault="0011743A" w:rsidP="0011743A">
      <w:pPr>
        <w:spacing w:after="0" w:line="240" w:lineRule="auto"/>
        <w:rPr>
          <w:rFonts w:cs="Arial"/>
          <w:b/>
          <w:szCs w:val="20"/>
        </w:rPr>
      </w:pPr>
    </w:p>
    <w:p w14:paraId="290D2CBD" w14:textId="77777777" w:rsidR="00483B78" w:rsidRPr="00E9128C" w:rsidRDefault="00483B78" w:rsidP="0011743A">
      <w:pPr>
        <w:spacing w:after="0" w:line="240" w:lineRule="auto"/>
        <w:rPr>
          <w:rFonts w:cs="Arial"/>
          <w:b/>
          <w:szCs w:val="20"/>
        </w:rPr>
      </w:pPr>
    </w:p>
    <w:p w14:paraId="054FB505"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65A24BAD" w14:textId="77777777" w:rsidR="0011743A" w:rsidRPr="00E9128C" w:rsidRDefault="0011743A" w:rsidP="0011743A">
      <w:pPr>
        <w:spacing w:after="0" w:line="240" w:lineRule="auto"/>
        <w:jc w:val="center"/>
        <w:rPr>
          <w:rFonts w:cs="Arial"/>
          <w:b/>
          <w:bCs/>
          <w:szCs w:val="20"/>
        </w:rPr>
      </w:pPr>
      <w:r w:rsidRPr="00E9128C">
        <w:rPr>
          <w:rFonts w:cs="Arial"/>
          <w:b/>
          <w:bCs/>
          <w:szCs w:val="20"/>
        </w:rPr>
        <w:t>(uveljavljanje pravic iz javnih sredstev)</w:t>
      </w:r>
    </w:p>
    <w:p w14:paraId="1E3E2323" w14:textId="77777777" w:rsidR="0011743A" w:rsidRPr="00E9128C" w:rsidRDefault="0011743A" w:rsidP="0011743A">
      <w:pPr>
        <w:spacing w:after="0" w:line="240" w:lineRule="auto"/>
        <w:rPr>
          <w:rFonts w:cs="Arial"/>
          <w:b/>
          <w:bCs/>
          <w:szCs w:val="20"/>
        </w:rPr>
      </w:pPr>
    </w:p>
    <w:p w14:paraId="50D6AFC9" w14:textId="50BDCDAD" w:rsidR="0011743A" w:rsidRPr="00E9128C" w:rsidRDefault="0011743A" w:rsidP="0011743A">
      <w:pPr>
        <w:spacing w:after="0" w:line="240" w:lineRule="auto"/>
        <w:jc w:val="both"/>
      </w:pPr>
      <w:r w:rsidRPr="00E9128C">
        <w:t xml:space="preserve">Zimski </w:t>
      </w:r>
      <w:r w:rsidR="00AC3496" w:rsidRPr="00E9128C">
        <w:t>regres</w:t>
      </w:r>
      <w:r w:rsidRPr="00E9128C">
        <w:t xml:space="preserve">, prejet za leto 2025, se ne šteje v dohodek pri uveljavljanju pravic </w:t>
      </w:r>
      <w:r w:rsidR="00B30A8C" w:rsidRPr="00E9128C">
        <w:t>na podlagi zakona</w:t>
      </w:r>
      <w:r w:rsidRPr="00E9128C">
        <w:t xml:space="preserve">, ki ureja uveljavljanje pravic iz javnih sredstev. </w:t>
      </w:r>
    </w:p>
    <w:p w14:paraId="57228317" w14:textId="77777777" w:rsidR="0011743A" w:rsidRPr="00E9128C" w:rsidRDefault="0011743A" w:rsidP="0011743A">
      <w:pPr>
        <w:spacing w:after="0" w:line="240" w:lineRule="auto"/>
        <w:rPr>
          <w:rFonts w:cs="Arial"/>
          <w:b/>
          <w:szCs w:val="20"/>
        </w:rPr>
      </w:pPr>
    </w:p>
    <w:p w14:paraId="620BF7B9" w14:textId="77777777" w:rsidR="0011743A" w:rsidRPr="00E9128C" w:rsidRDefault="0011743A" w:rsidP="0011743A">
      <w:pPr>
        <w:spacing w:after="0" w:line="240" w:lineRule="auto"/>
        <w:rPr>
          <w:rFonts w:cs="Arial"/>
          <w:b/>
          <w:szCs w:val="20"/>
        </w:rPr>
      </w:pPr>
    </w:p>
    <w:p w14:paraId="3F5E8FC3" w14:textId="77777777"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63719BB4" w14:textId="24BCADB9" w:rsidR="000A181C" w:rsidRPr="00E9128C" w:rsidRDefault="000A181C" w:rsidP="00C97096">
      <w:pPr>
        <w:spacing w:after="0" w:line="240" w:lineRule="auto"/>
        <w:jc w:val="center"/>
        <w:rPr>
          <w:rFonts w:cs="Arial"/>
          <w:b/>
          <w:szCs w:val="20"/>
        </w:rPr>
      </w:pPr>
      <w:r w:rsidRPr="00E9128C">
        <w:rPr>
          <w:rFonts w:cs="Arial"/>
          <w:b/>
          <w:szCs w:val="20"/>
        </w:rPr>
        <w:t>(rok za izplačilo za leto 2025)</w:t>
      </w:r>
    </w:p>
    <w:p w14:paraId="2E10BB4C" w14:textId="77777777" w:rsidR="000A181C" w:rsidRPr="00E9128C" w:rsidRDefault="000A181C" w:rsidP="000A181C">
      <w:pPr>
        <w:spacing w:after="0" w:line="240" w:lineRule="auto"/>
        <w:rPr>
          <w:rFonts w:cs="Arial"/>
          <w:b/>
          <w:szCs w:val="20"/>
        </w:rPr>
      </w:pPr>
    </w:p>
    <w:p w14:paraId="36A50502" w14:textId="3D7EE5E6" w:rsidR="00C63E2C" w:rsidRPr="00E9128C" w:rsidRDefault="00DD460E" w:rsidP="00C63E2C">
      <w:pPr>
        <w:spacing w:after="0" w:line="240" w:lineRule="auto"/>
        <w:jc w:val="both"/>
      </w:pPr>
      <w:r w:rsidRPr="00E9128C">
        <w:t>Č</w:t>
      </w:r>
      <w:r w:rsidR="00C63E2C" w:rsidRPr="00E9128C">
        <w:t xml:space="preserve">e ta zakon začne veljati po </w:t>
      </w:r>
      <w:r w:rsidRPr="00E9128C">
        <w:t>18. decembru 2025,</w:t>
      </w:r>
      <w:r w:rsidR="00C63E2C" w:rsidRPr="00E9128C">
        <w:t xml:space="preserve"> se</w:t>
      </w:r>
      <w:r w:rsidRPr="00E9128C">
        <w:t xml:space="preserve">, ne glede na prvi odstavek </w:t>
      </w:r>
      <w:r w:rsidRPr="007D06F1">
        <w:t>3.</w:t>
      </w:r>
      <w:r w:rsidRPr="00E9128C">
        <w:t xml:space="preserve"> člena tega zakona,</w:t>
      </w:r>
      <w:r w:rsidR="00C63E2C" w:rsidRPr="00E9128C">
        <w:t xml:space="preserve"> zimski regres za leto 2025 izplača </w:t>
      </w:r>
      <w:r w:rsidR="007D06F1">
        <w:t>najpozneje</w:t>
      </w:r>
      <w:r w:rsidR="00C63E2C" w:rsidRPr="00E9128C">
        <w:t xml:space="preserve"> naslednji delovni dan po uveljavitvi tega zakona.</w:t>
      </w:r>
    </w:p>
    <w:p w14:paraId="513EC53E" w14:textId="77777777" w:rsidR="002730DE" w:rsidRPr="00E9128C" w:rsidRDefault="002730DE" w:rsidP="002730DE">
      <w:pPr>
        <w:spacing w:after="0" w:line="240" w:lineRule="auto"/>
        <w:jc w:val="both"/>
      </w:pPr>
    </w:p>
    <w:p w14:paraId="21AD3A04" w14:textId="77777777" w:rsidR="00E436C1" w:rsidRPr="00E9128C" w:rsidRDefault="00E436C1" w:rsidP="002730DE">
      <w:pPr>
        <w:spacing w:after="0" w:line="240" w:lineRule="auto"/>
        <w:jc w:val="both"/>
      </w:pPr>
    </w:p>
    <w:p w14:paraId="2F2A4BE8" w14:textId="77777777" w:rsidR="00647D4D" w:rsidRPr="00E9128C" w:rsidRDefault="00647D4D" w:rsidP="00647D4D">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04AECE4A" w14:textId="43359EA0" w:rsidR="00647D4D" w:rsidRPr="00E9128C" w:rsidRDefault="00647D4D" w:rsidP="00647D4D">
      <w:pPr>
        <w:spacing w:after="0" w:line="240" w:lineRule="auto"/>
        <w:jc w:val="center"/>
        <w:rPr>
          <w:rFonts w:cs="Arial"/>
          <w:b/>
          <w:szCs w:val="20"/>
        </w:rPr>
      </w:pPr>
      <w:r w:rsidRPr="00E9128C">
        <w:rPr>
          <w:rFonts w:cs="Arial"/>
          <w:b/>
          <w:szCs w:val="20"/>
        </w:rPr>
        <w:t>(zimski dodatek za uživalce pokojnin in nadomestil iz invalidskega zavarovanja)</w:t>
      </w:r>
    </w:p>
    <w:p w14:paraId="03AE7BCD" w14:textId="77777777" w:rsidR="00E436C1" w:rsidRPr="00E9128C" w:rsidRDefault="00E436C1" w:rsidP="002730DE">
      <w:pPr>
        <w:spacing w:after="0" w:line="240" w:lineRule="auto"/>
        <w:jc w:val="both"/>
      </w:pPr>
    </w:p>
    <w:p w14:paraId="744BB1FD" w14:textId="77777777" w:rsidR="003E57D3" w:rsidRDefault="003E57D3" w:rsidP="003E57D3">
      <w:pPr>
        <w:spacing w:after="0" w:line="240" w:lineRule="auto"/>
        <w:jc w:val="both"/>
      </w:pPr>
      <w:r>
        <w:t>(1) Uživalcem pokojnin in nadomestil iz invalidskega zavarovanja, ki so v skladu s 67. členom Zakona o izvrševanju proračunov Republike Slovenije za leti 2025 in 2026 (Ur.l.RS, št. 104/24), upravičeni do letnega dodatka za leto 2025, se izplača zimski dodatek za leto 2025 v višini 150 eurov.</w:t>
      </w:r>
    </w:p>
    <w:p w14:paraId="16F819AB" w14:textId="77777777" w:rsidR="003E57D3" w:rsidRDefault="003E57D3" w:rsidP="003E57D3">
      <w:pPr>
        <w:spacing w:after="0" w:line="240" w:lineRule="auto"/>
        <w:jc w:val="both"/>
      </w:pPr>
    </w:p>
    <w:p w14:paraId="46FD782F" w14:textId="0F11C1DB" w:rsidR="003E57D3" w:rsidRDefault="003E57D3" w:rsidP="003E57D3">
      <w:pPr>
        <w:spacing w:after="0" w:line="240" w:lineRule="auto"/>
        <w:jc w:val="both"/>
      </w:pPr>
      <w:r>
        <w:t xml:space="preserve">(2) Upravičencem se zimski dodatek izplača do 19. decembra 2025 oziroma v primeru naknadno priznane pravice do letnega dodatka za leto 2025 </w:t>
      </w:r>
      <w:r w:rsidR="007D06F1">
        <w:t>najpozneje</w:t>
      </w:r>
      <w:r>
        <w:t xml:space="preserve"> z izplačilom pokojnine in nadomestil za mesec maj leta 2026.</w:t>
      </w:r>
    </w:p>
    <w:p w14:paraId="04F86C5C" w14:textId="77777777" w:rsidR="003E57D3" w:rsidRDefault="003E57D3" w:rsidP="003E57D3">
      <w:pPr>
        <w:spacing w:after="0" w:line="240" w:lineRule="auto"/>
        <w:jc w:val="both"/>
      </w:pPr>
    </w:p>
    <w:p w14:paraId="4961AB43" w14:textId="77777777" w:rsidR="003E57D3" w:rsidRDefault="003E57D3" w:rsidP="003E57D3">
      <w:pPr>
        <w:spacing w:after="0" w:line="240" w:lineRule="auto"/>
        <w:jc w:val="both"/>
      </w:pPr>
      <w:r>
        <w:t>(3) Ne glede na prvi odstavek tega člena se uživalcem pokojnin ali nadomestil iz invalidskega zavarovanja, ki se jim letni dodatek izplača v sorazmernem delu, tudi zimski dodatek izplača v sorazmernem delu.</w:t>
      </w:r>
    </w:p>
    <w:p w14:paraId="42F3F8C4" w14:textId="77777777" w:rsidR="003E57D3" w:rsidRDefault="003E57D3" w:rsidP="003E57D3">
      <w:pPr>
        <w:spacing w:after="0" w:line="240" w:lineRule="auto"/>
        <w:jc w:val="both"/>
      </w:pPr>
    </w:p>
    <w:p w14:paraId="249B3F5C" w14:textId="77777777" w:rsidR="003E57D3" w:rsidRDefault="003E57D3" w:rsidP="003E57D3">
      <w:pPr>
        <w:spacing w:after="0" w:line="240" w:lineRule="auto"/>
        <w:jc w:val="both"/>
      </w:pPr>
      <w:r>
        <w:t>(4) Zimski dodatek se ne šteje v dohodek pri uveljavljanju pravic po zakonu, ki ureja uveljavljanje pravic iz javnih sredstev.</w:t>
      </w:r>
    </w:p>
    <w:p w14:paraId="72DA8330" w14:textId="77777777" w:rsidR="003E57D3" w:rsidRDefault="003E57D3" w:rsidP="003E57D3">
      <w:pPr>
        <w:spacing w:after="0" w:line="240" w:lineRule="auto"/>
        <w:jc w:val="both"/>
      </w:pPr>
    </w:p>
    <w:p w14:paraId="43E7AF50" w14:textId="77777777" w:rsidR="003E57D3" w:rsidRDefault="003E57D3" w:rsidP="003E57D3">
      <w:pPr>
        <w:spacing w:after="0" w:line="240" w:lineRule="auto"/>
        <w:jc w:val="both"/>
      </w:pPr>
      <w:r>
        <w:t xml:space="preserve">(5) Sredstva za izplačilo zimskega dodatka se zagotovijo iz proračuna Republike Slovenije, izplača pa ga Zavod za pokojninsko in invalidsko zavarovanje Slovenije.  </w:t>
      </w:r>
    </w:p>
    <w:p w14:paraId="2A3D790A" w14:textId="77777777" w:rsidR="003E57D3" w:rsidRDefault="003E57D3" w:rsidP="003E57D3">
      <w:pPr>
        <w:spacing w:after="0" w:line="240" w:lineRule="auto"/>
        <w:jc w:val="both"/>
      </w:pPr>
    </w:p>
    <w:p w14:paraId="36E34FCD" w14:textId="13593A78" w:rsidR="00647D4D" w:rsidRDefault="003E57D3" w:rsidP="003E57D3">
      <w:pPr>
        <w:spacing w:after="0" w:line="240" w:lineRule="auto"/>
        <w:jc w:val="both"/>
      </w:pPr>
      <w:r>
        <w:t>(6) Ne glede na ureditev v zakonu, ki ureja pokojninsko in invalidsko zavarovanje, se zimski dodatek v letu 2025 izplača le na podlagi tega zakona.</w:t>
      </w:r>
    </w:p>
    <w:p w14:paraId="5BB90E12" w14:textId="77777777" w:rsidR="003E57D3" w:rsidRPr="00E9128C" w:rsidRDefault="003E57D3" w:rsidP="003E57D3">
      <w:pPr>
        <w:spacing w:after="0" w:line="240" w:lineRule="auto"/>
        <w:jc w:val="both"/>
      </w:pPr>
    </w:p>
    <w:p w14:paraId="1B7AA7D8" w14:textId="77777777" w:rsidR="00647D4D" w:rsidRPr="00E9128C" w:rsidRDefault="00647D4D" w:rsidP="002730DE">
      <w:pPr>
        <w:spacing w:after="0" w:line="240" w:lineRule="auto"/>
        <w:jc w:val="both"/>
      </w:pPr>
    </w:p>
    <w:p w14:paraId="7F960EC9" w14:textId="77777777" w:rsidR="00310D10" w:rsidRPr="00E9128C" w:rsidRDefault="00310D10" w:rsidP="00310D10">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3AC223FD" w14:textId="615F9BF0" w:rsidR="00310D10" w:rsidRPr="00E9128C" w:rsidRDefault="00310D10" w:rsidP="00310D10">
      <w:pPr>
        <w:spacing w:after="0" w:line="240" w:lineRule="auto"/>
        <w:jc w:val="center"/>
        <w:rPr>
          <w:rFonts w:cs="Arial"/>
          <w:b/>
          <w:szCs w:val="20"/>
        </w:rPr>
      </w:pPr>
      <w:r w:rsidRPr="00E9128C">
        <w:rPr>
          <w:rFonts w:cs="Arial"/>
          <w:b/>
          <w:szCs w:val="20"/>
        </w:rPr>
        <w:t>(uporaba 23. člena ZDoh-2AB)</w:t>
      </w:r>
    </w:p>
    <w:p w14:paraId="44EB7B33" w14:textId="77777777" w:rsidR="00310D10" w:rsidRPr="00E9128C" w:rsidRDefault="00310D10" w:rsidP="00310D10">
      <w:pPr>
        <w:spacing w:after="0" w:line="240" w:lineRule="auto"/>
        <w:jc w:val="both"/>
      </w:pPr>
    </w:p>
    <w:p w14:paraId="073EE4CE" w14:textId="264F18CC" w:rsidR="00310D10" w:rsidRPr="00E9128C" w:rsidRDefault="00310D10" w:rsidP="002730DE">
      <w:pPr>
        <w:spacing w:after="0" w:line="240" w:lineRule="auto"/>
        <w:jc w:val="both"/>
      </w:pPr>
      <w:r w:rsidRPr="00E9128C">
        <w:t>Določba 23. člena Zakona o spremembah in dopolnitvah zakona o dohodnini (Uradni list RS št. 104/2</w:t>
      </w:r>
      <w:r w:rsidR="00894D4A">
        <w:t>4</w:t>
      </w:r>
      <w:r w:rsidRPr="00E9128C">
        <w:t>, v nadaljnjem besedilu: ZDoh-2AB) se ne uporablja za davčno leto 2026.</w:t>
      </w:r>
    </w:p>
    <w:p w14:paraId="6BAE079A" w14:textId="77777777" w:rsidR="00310D10" w:rsidRPr="00E9128C" w:rsidRDefault="00310D10" w:rsidP="002730DE">
      <w:pPr>
        <w:spacing w:after="0" w:line="240" w:lineRule="auto"/>
        <w:jc w:val="both"/>
      </w:pPr>
    </w:p>
    <w:p w14:paraId="06A8EBB7" w14:textId="77777777" w:rsidR="00353A97" w:rsidRPr="00E9128C" w:rsidRDefault="00353A97" w:rsidP="002730DE">
      <w:pPr>
        <w:spacing w:after="0" w:line="240" w:lineRule="auto"/>
        <w:jc w:val="both"/>
      </w:pPr>
    </w:p>
    <w:p w14:paraId="34718791" w14:textId="77777777" w:rsidR="00310D10" w:rsidRPr="00E9128C" w:rsidRDefault="00310D10" w:rsidP="00310D10">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026AA0F1" w14:textId="55FF9857" w:rsidR="00310D10" w:rsidRPr="00E9128C" w:rsidRDefault="00310D10" w:rsidP="00310D10">
      <w:pPr>
        <w:spacing w:after="0" w:line="240" w:lineRule="auto"/>
        <w:jc w:val="center"/>
        <w:rPr>
          <w:rFonts w:cs="Arial"/>
          <w:b/>
          <w:szCs w:val="20"/>
        </w:rPr>
      </w:pPr>
      <w:r w:rsidRPr="00E9128C">
        <w:rPr>
          <w:rFonts w:cs="Arial"/>
          <w:b/>
          <w:szCs w:val="20"/>
        </w:rPr>
        <w:t xml:space="preserve">(uporaba </w:t>
      </w:r>
      <w:r w:rsidR="00FA342B">
        <w:rPr>
          <w:rFonts w:cs="Arial"/>
          <w:b/>
          <w:szCs w:val="20"/>
        </w:rPr>
        <w:t>6</w:t>
      </w:r>
      <w:r w:rsidRPr="00E9128C">
        <w:rPr>
          <w:rFonts w:cs="Arial"/>
          <w:b/>
          <w:szCs w:val="20"/>
        </w:rPr>
        <w:t>. člena tega zakona)</w:t>
      </w:r>
    </w:p>
    <w:p w14:paraId="4E15DCAB" w14:textId="77777777" w:rsidR="00310D10" w:rsidRPr="00E9128C" w:rsidRDefault="00310D10" w:rsidP="002730DE">
      <w:pPr>
        <w:spacing w:after="0" w:line="240" w:lineRule="auto"/>
        <w:jc w:val="both"/>
      </w:pPr>
    </w:p>
    <w:p w14:paraId="046AF21A" w14:textId="14460E8C" w:rsidR="00310D10" w:rsidRPr="00E9128C" w:rsidRDefault="00310D10" w:rsidP="002730DE">
      <w:pPr>
        <w:spacing w:after="0" w:line="240" w:lineRule="auto"/>
        <w:jc w:val="both"/>
      </w:pPr>
      <w:r w:rsidRPr="00E9128C">
        <w:t xml:space="preserve">Za izvajanje določb četrtega odstavka 58. člena, 59. člena, drugega in šestega odstavka 60. člena, prvega odstavka 67. člena in drugega odstavka 68. člena ZDoh-2 se namesto določbe 48. člena ZDoh-2 uporablja določba </w:t>
      </w:r>
      <w:r w:rsidR="00FA342B">
        <w:t>6</w:t>
      </w:r>
      <w:r w:rsidRPr="00E9128C">
        <w:t>. člena tega zakona.</w:t>
      </w:r>
    </w:p>
    <w:p w14:paraId="49B7D27A" w14:textId="77777777" w:rsidR="00310D10" w:rsidRPr="00E9128C" w:rsidRDefault="00310D10" w:rsidP="002730DE">
      <w:pPr>
        <w:spacing w:after="0" w:line="240" w:lineRule="auto"/>
        <w:jc w:val="both"/>
      </w:pPr>
    </w:p>
    <w:p w14:paraId="49A6A745" w14:textId="77777777" w:rsidR="00310D10" w:rsidRPr="00E9128C" w:rsidRDefault="00310D10" w:rsidP="002730DE">
      <w:pPr>
        <w:spacing w:after="0" w:line="240" w:lineRule="auto"/>
        <w:jc w:val="both"/>
      </w:pPr>
    </w:p>
    <w:p w14:paraId="263AA470" w14:textId="3C713850" w:rsidR="00D22D07" w:rsidRPr="00E9128C" w:rsidRDefault="00D22D07" w:rsidP="00BB37FE">
      <w:pPr>
        <w:pStyle w:val="Odstavekseznama"/>
        <w:numPr>
          <w:ilvl w:val="0"/>
          <w:numId w:val="17"/>
        </w:numPr>
        <w:spacing w:after="0" w:line="260" w:lineRule="atLeast"/>
        <w:ind w:left="0" w:firstLine="0"/>
        <w:jc w:val="center"/>
        <w:rPr>
          <w:rFonts w:cs="Arial"/>
          <w:b/>
          <w:szCs w:val="20"/>
        </w:rPr>
      </w:pPr>
      <w:r w:rsidRPr="00E9128C">
        <w:rPr>
          <w:rFonts w:cs="Arial"/>
          <w:b/>
          <w:szCs w:val="20"/>
        </w:rPr>
        <w:t>člen</w:t>
      </w:r>
    </w:p>
    <w:p w14:paraId="1B912F2D" w14:textId="77777777" w:rsidR="0011743A" w:rsidRPr="00E9128C" w:rsidRDefault="0011743A" w:rsidP="0011743A">
      <w:pPr>
        <w:spacing w:after="0" w:line="240" w:lineRule="auto"/>
        <w:jc w:val="center"/>
        <w:rPr>
          <w:rFonts w:cs="Arial"/>
          <w:b/>
          <w:szCs w:val="20"/>
        </w:rPr>
      </w:pPr>
      <w:r w:rsidRPr="00E9128C">
        <w:rPr>
          <w:rFonts w:cs="Arial"/>
          <w:b/>
          <w:szCs w:val="20"/>
        </w:rPr>
        <w:t>(začetek veljavnosti)</w:t>
      </w:r>
    </w:p>
    <w:p w14:paraId="2BCB9323" w14:textId="77777777" w:rsidR="0011743A" w:rsidRPr="00032774" w:rsidRDefault="0011743A" w:rsidP="00032774">
      <w:pPr>
        <w:spacing w:after="0" w:line="260" w:lineRule="atLeast"/>
        <w:rPr>
          <w:rFonts w:cs="Arial"/>
          <w:b/>
          <w:szCs w:val="20"/>
        </w:rPr>
      </w:pPr>
    </w:p>
    <w:p w14:paraId="3BD87A02" w14:textId="2B47DACA" w:rsidR="0011743A" w:rsidRDefault="0042375E" w:rsidP="0011743A">
      <w:pPr>
        <w:spacing w:after="0" w:line="260" w:lineRule="atLeast"/>
        <w:jc w:val="both"/>
        <w:rPr>
          <w:rFonts w:cs="Arial"/>
          <w:bCs/>
          <w:szCs w:val="20"/>
        </w:rPr>
      </w:pPr>
      <w:r w:rsidRPr="00E9128C">
        <w:rPr>
          <w:rFonts w:cs="Arial"/>
          <w:bCs/>
          <w:szCs w:val="20"/>
        </w:rPr>
        <w:t xml:space="preserve">(1) </w:t>
      </w:r>
      <w:r w:rsidR="0011743A" w:rsidRPr="00E9128C">
        <w:rPr>
          <w:rFonts w:cs="Arial"/>
          <w:bCs/>
          <w:szCs w:val="20"/>
        </w:rPr>
        <w:t>Ta zakon začne veljati naslednji dan po objavi v Uradnem listu Republike Slovenije</w:t>
      </w:r>
      <w:r w:rsidR="006C4903">
        <w:rPr>
          <w:rFonts w:cs="Arial"/>
          <w:bCs/>
          <w:szCs w:val="20"/>
        </w:rPr>
        <w:t xml:space="preserve">. </w:t>
      </w:r>
    </w:p>
    <w:p w14:paraId="275F8EF1" w14:textId="77777777" w:rsidR="00710745" w:rsidRPr="00E9128C" w:rsidRDefault="00710745" w:rsidP="0011743A">
      <w:pPr>
        <w:spacing w:after="0" w:line="260" w:lineRule="atLeast"/>
        <w:jc w:val="both"/>
        <w:rPr>
          <w:rFonts w:cs="Arial"/>
          <w:bCs/>
          <w:szCs w:val="20"/>
        </w:rPr>
      </w:pPr>
    </w:p>
    <w:p w14:paraId="32A0E787" w14:textId="5BCA090F" w:rsidR="0042375E" w:rsidRPr="00E9128C" w:rsidRDefault="0042375E" w:rsidP="0011743A">
      <w:pPr>
        <w:spacing w:after="0" w:line="260" w:lineRule="atLeast"/>
        <w:jc w:val="both"/>
        <w:rPr>
          <w:rFonts w:cs="Arial"/>
          <w:bCs/>
          <w:szCs w:val="20"/>
        </w:rPr>
      </w:pPr>
      <w:r w:rsidRPr="00E9128C">
        <w:rPr>
          <w:rFonts w:cs="Arial"/>
          <w:bCs/>
          <w:szCs w:val="20"/>
        </w:rPr>
        <w:t xml:space="preserve">(2) </w:t>
      </w:r>
      <w:r w:rsidR="006C4903">
        <w:rPr>
          <w:rFonts w:cs="Arial"/>
          <w:bCs/>
          <w:szCs w:val="20"/>
        </w:rPr>
        <w:t>Določbi</w:t>
      </w:r>
      <w:r w:rsidR="006C4903" w:rsidRPr="006C4903">
        <w:rPr>
          <w:rFonts w:cs="Arial"/>
          <w:szCs w:val="20"/>
        </w:rPr>
        <w:t xml:space="preserve"> </w:t>
      </w:r>
      <w:r w:rsidR="00FA342B">
        <w:rPr>
          <w:rFonts w:cs="Arial"/>
          <w:bCs/>
          <w:szCs w:val="20"/>
        </w:rPr>
        <w:t>6</w:t>
      </w:r>
      <w:r w:rsidR="006C4903" w:rsidRPr="006C4903">
        <w:rPr>
          <w:rFonts w:cs="Arial"/>
          <w:bCs/>
          <w:szCs w:val="20"/>
        </w:rPr>
        <w:t xml:space="preserve">. in </w:t>
      </w:r>
      <w:r w:rsidR="00FA342B">
        <w:rPr>
          <w:rFonts w:cs="Arial"/>
          <w:bCs/>
          <w:szCs w:val="20"/>
        </w:rPr>
        <w:t>7</w:t>
      </w:r>
      <w:r w:rsidR="006C4903" w:rsidRPr="006C4903">
        <w:rPr>
          <w:rFonts w:cs="Arial"/>
          <w:bCs/>
          <w:szCs w:val="20"/>
        </w:rPr>
        <w:t>. člen tega zakona se uporabljata za davčna leta, ki se začnejo od vključno 1. januarja 2026.</w:t>
      </w:r>
      <w:r w:rsidR="006C4903">
        <w:rPr>
          <w:rFonts w:cs="Arial"/>
          <w:bCs/>
          <w:szCs w:val="20"/>
        </w:rPr>
        <w:t xml:space="preserve"> </w:t>
      </w:r>
      <w:r w:rsidRPr="00E9128C">
        <w:rPr>
          <w:rFonts w:cs="Arial"/>
          <w:bCs/>
          <w:szCs w:val="20"/>
        </w:rPr>
        <w:t xml:space="preserve">Do začetka uporabe </w:t>
      </w:r>
      <w:r w:rsidR="00FA342B">
        <w:rPr>
          <w:rFonts w:cs="Arial"/>
          <w:bCs/>
          <w:szCs w:val="20"/>
        </w:rPr>
        <w:t>6</w:t>
      </w:r>
      <w:r w:rsidRPr="00E9128C">
        <w:rPr>
          <w:rFonts w:cs="Arial"/>
          <w:bCs/>
          <w:szCs w:val="20"/>
        </w:rPr>
        <w:t xml:space="preserve">. in </w:t>
      </w:r>
      <w:r w:rsidR="00FA342B">
        <w:rPr>
          <w:rFonts w:cs="Arial"/>
          <w:bCs/>
          <w:szCs w:val="20"/>
        </w:rPr>
        <w:t>7</w:t>
      </w:r>
      <w:r w:rsidRPr="00E9128C">
        <w:rPr>
          <w:rFonts w:cs="Arial"/>
          <w:bCs/>
          <w:szCs w:val="20"/>
        </w:rPr>
        <w:t>. člena tega zakona se uporabljata 48. in 135.a člen Zakona o dohodnini (Uradni list RS, št. 13/11 – uradno prečiščeno besedilo, 9/11 – ZUKD-1, 9/12 – odl. US, 24/12, 30/12, 40/12 – ZUJF, 75/12, 94/12, 96/13, 29/14 – odl. US, 50/14, 23/15, 55/15, 63/16, 69/17, 21/19, 28/19, 66/19, 39/22, 132/22 – odl. US, 158/22, 131/23 – ZORZFS, 104/24, 22/25 – ZZZRO-1 in 40/25 – ZINR</w:t>
      </w:r>
      <w:r w:rsidR="006360C6" w:rsidRPr="00E9128C">
        <w:rPr>
          <w:rFonts w:cs="Arial"/>
          <w:bCs/>
          <w:szCs w:val="20"/>
        </w:rPr>
        <w:t>).</w:t>
      </w:r>
    </w:p>
    <w:p w14:paraId="7ACD85D3" w14:textId="77777777" w:rsidR="0011743A" w:rsidRPr="00E9128C" w:rsidRDefault="0011743A" w:rsidP="0011743A">
      <w:pPr>
        <w:rPr>
          <w:rFonts w:cs="Arial"/>
          <w:b/>
          <w:szCs w:val="20"/>
        </w:rPr>
      </w:pPr>
      <w:r w:rsidRPr="00E9128C">
        <w:rPr>
          <w:rFonts w:cs="Arial"/>
          <w:b/>
          <w:szCs w:val="20"/>
        </w:rPr>
        <w:br w:type="page"/>
      </w:r>
    </w:p>
    <w:p w14:paraId="393C724C" w14:textId="05B7E5C0" w:rsidR="0011743A" w:rsidRPr="00E9128C" w:rsidRDefault="0011743A" w:rsidP="005C16B4">
      <w:pPr>
        <w:pStyle w:val="Odsek"/>
        <w:spacing w:line="260" w:lineRule="exact"/>
        <w:ind w:left="1077"/>
        <w:jc w:val="both"/>
      </w:pPr>
      <w:r w:rsidRPr="00E9128C">
        <w:lastRenderedPageBreak/>
        <w:t>OBRAZLOŽITEV</w:t>
      </w:r>
      <w:r w:rsidR="00927776" w:rsidRPr="00E9128C">
        <w:t xml:space="preserve"> ČLENOV</w:t>
      </w:r>
    </w:p>
    <w:p w14:paraId="3BB8D9F4" w14:textId="77777777" w:rsidR="00927776" w:rsidRPr="00E9128C" w:rsidRDefault="00927776" w:rsidP="00927776">
      <w:pPr>
        <w:pStyle w:val="Odsek"/>
        <w:numPr>
          <w:ilvl w:val="0"/>
          <w:numId w:val="0"/>
        </w:numPr>
        <w:jc w:val="both"/>
        <w:rPr>
          <w:bCs/>
          <w:kern w:val="36"/>
          <w:sz w:val="20"/>
          <w:szCs w:val="20"/>
          <w:lang w:eastAsia="en-US"/>
        </w:rPr>
      </w:pPr>
    </w:p>
    <w:p w14:paraId="6669B53F" w14:textId="77777777" w:rsidR="0011743A" w:rsidRPr="00E9128C" w:rsidRDefault="0011743A" w:rsidP="0011743A">
      <w:pPr>
        <w:spacing w:after="0" w:line="240" w:lineRule="auto"/>
        <w:jc w:val="both"/>
        <w:rPr>
          <w:rFonts w:cs="Arial"/>
          <w:szCs w:val="20"/>
        </w:rPr>
      </w:pPr>
      <w:r w:rsidRPr="00E9128C">
        <w:rPr>
          <w:rFonts w:cs="Arial"/>
          <w:b/>
          <w:bCs/>
          <w:szCs w:val="20"/>
        </w:rPr>
        <w:t>K 1. členu</w:t>
      </w:r>
    </w:p>
    <w:p w14:paraId="005B1CD0" w14:textId="5BBF39EA" w:rsidR="0011743A" w:rsidRPr="00E9128C" w:rsidRDefault="0011743A" w:rsidP="0011743A">
      <w:pPr>
        <w:spacing w:after="0" w:line="240" w:lineRule="auto"/>
        <w:jc w:val="both"/>
        <w:rPr>
          <w:rFonts w:cs="Arial"/>
          <w:szCs w:val="20"/>
        </w:rPr>
      </w:pPr>
      <w:r w:rsidRPr="00E9128C">
        <w:rPr>
          <w:rFonts w:cs="Arial"/>
          <w:szCs w:val="20"/>
        </w:rPr>
        <w:t xml:space="preserve">S tem členom se opredeljuje vsebina zakona, ki do ureditve te pravice v zakonu, ki ureja delovna razmerja, določa pravico delavcev do zimskega </w:t>
      </w:r>
      <w:r w:rsidR="00A5115D" w:rsidRPr="00E9128C">
        <w:rPr>
          <w:rFonts w:cs="Arial"/>
          <w:szCs w:val="20"/>
        </w:rPr>
        <w:t>regresa</w:t>
      </w:r>
      <w:r w:rsidRPr="00E9128C">
        <w:rPr>
          <w:rFonts w:cs="Arial"/>
          <w:szCs w:val="20"/>
        </w:rPr>
        <w:t xml:space="preserve">. Zakon o delovnih razmerjih (Uradni list RS, št. 21/13, 78/13 – popr., 47/15 – ZZSDT, 33/16 – PZ-F, 52/16, 15/17 – odl. US, 22/19 – ZPosS, 81/19, 203/20 – ZIUPOPDVE, 119/21 – ZČmIS-A, 202/21 – odl. US, 15/22, 54/22 – ZUPŠ-1, 114/23, 136/23 – ZIUZDS in 70/25 – ZUTD-I; v nadaljnjem besedilu: ZDR-1) v okviru poglavja Plačilo za delo ureja tudi nadomestilo plače, povračila stroškov v zvezi z delom, regres za letni dopust, odpravnino ob upokojitvi, pravico do nastanitve in udeležbo pri dobičku. V skladu s prvim odstavkom 126. člena ZDR-1 je plačilo za delo po pogodbi o zaposlitvi sestavljeno iz plače, ki mora biti vedno v denarni obliki, in morebitnih drugih vrst plačil, če je tako določeno s kolektivno pogodbo. Z navedenim zakonom se uvaja nov dohodek iz delovnega razmerja – zimski </w:t>
      </w:r>
      <w:r w:rsidR="00A5115D" w:rsidRPr="00E9128C">
        <w:rPr>
          <w:rFonts w:cs="Arial"/>
          <w:szCs w:val="20"/>
        </w:rPr>
        <w:t>regres</w:t>
      </w:r>
      <w:r w:rsidRPr="00E9128C">
        <w:rPr>
          <w:rFonts w:cs="Arial"/>
          <w:szCs w:val="20"/>
        </w:rPr>
        <w:t>. S tem zakonom se ureja tudi posebna obravnava dohodka z vidika prispevkov za socialno varnost in dohodnine</w:t>
      </w:r>
      <w:r w:rsidR="003B026B" w:rsidRPr="00E9128C">
        <w:rPr>
          <w:rFonts w:cs="Arial"/>
          <w:szCs w:val="20"/>
        </w:rPr>
        <w:t>.</w:t>
      </w:r>
    </w:p>
    <w:p w14:paraId="426D12C2" w14:textId="77777777" w:rsidR="0011743A" w:rsidRPr="00E9128C" w:rsidRDefault="0011743A" w:rsidP="0011743A">
      <w:pPr>
        <w:spacing w:after="0" w:line="240" w:lineRule="auto"/>
        <w:jc w:val="both"/>
        <w:rPr>
          <w:rFonts w:cs="Arial"/>
          <w:szCs w:val="20"/>
        </w:rPr>
      </w:pPr>
    </w:p>
    <w:p w14:paraId="6D7562FC" w14:textId="3EAD5817" w:rsidR="0011743A" w:rsidRPr="00E9128C" w:rsidRDefault="0011743A" w:rsidP="0011743A">
      <w:pPr>
        <w:spacing w:after="0" w:line="240" w:lineRule="auto"/>
        <w:jc w:val="both"/>
        <w:rPr>
          <w:rFonts w:cs="Arial"/>
          <w:szCs w:val="20"/>
        </w:rPr>
      </w:pPr>
      <w:r w:rsidRPr="00E9128C">
        <w:rPr>
          <w:rFonts w:cs="Arial"/>
          <w:szCs w:val="20"/>
        </w:rPr>
        <w:t xml:space="preserve">Za </w:t>
      </w:r>
      <w:r w:rsidR="00D22D07" w:rsidRPr="00E9128C">
        <w:rPr>
          <w:rFonts w:cs="Arial"/>
          <w:szCs w:val="20"/>
        </w:rPr>
        <w:t>delavk</w:t>
      </w:r>
      <w:r w:rsidR="003B026B" w:rsidRPr="00E9128C">
        <w:rPr>
          <w:rFonts w:cs="Arial"/>
          <w:szCs w:val="20"/>
        </w:rPr>
        <w:t>o</w:t>
      </w:r>
      <w:r w:rsidR="00D22D07" w:rsidRPr="00E9128C">
        <w:rPr>
          <w:rFonts w:cs="Arial"/>
          <w:szCs w:val="20"/>
        </w:rPr>
        <w:t xml:space="preserve"> in delavca (v nadaljnjem besedilu: delavec)</w:t>
      </w:r>
      <w:r w:rsidRPr="00E9128C">
        <w:rPr>
          <w:rFonts w:cs="Arial"/>
          <w:szCs w:val="20"/>
        </w:rPr>
        <w:t xml:space="preserve"> po tem zakonu se šteje oseba iz prvega odstavka 5. člena ZDR-1.</w:t>
      </w:r>
    </w:p>
    <w:p w14:paraId="4B6342D9" w14:textId="77777777" w:rsidR="0011743A" w:rsidRPr="00E9128C" w:rsidRDefault="0011743A" w:rsidP="0011743A">
      <w:pPr>
        <w:spacing w:after="0" w:line="240" w:lineRule="auto"/>
        <w:jc w:val="both"/>
        <w:rPr>
          <w:rFonts w:cs="Arial"/>
          <w:szCs w:val="20"/>
        </w:rPr>
      </w:pPr>
    </w:p>
    <w:p w14:paraId="3A086EDA" w14:textId="6057DDAC" w:rsidR="0011743A" w:rsidRDefault="0011743A" w:rsidP="0011743A">
      <w:pPr>
        <w:suppressAutoHyphens/>
        <w:autoSpaceDN w:val="0"/>
        <w:spacing w:after="0" w:line="240" w:lineRule="auto"/>
        <w:jc w:val="both"/>
        <w:textAlignment w:val="baseline"/>
        <w:rPr>
          <w:rFonts w:cs="Arial"/>
        </w:rPr>
      </w:pPr>
      <w:r w:rsidRPr="00E9128C">
        <w:rPr>
          <w:rFonts w:cs="Arial"/>
          <w:szCs w:val="20"/>
        </w:rPr>
        <w:t>Ob tem se določa, da se določbe tega zakona</w:t>
      </w:r>
      <w:r w:rsidR="00FC0CD2" w:rsidRPr="00E9128C">
        <w:rPr>
          <w:rFonts w:cs="Arial"/>
          <w:szCs w:val="20"/>
        </w:rPr>
        <w:t xml:space="preserve"> smiselno</w:t>
      </w:r>
      <w:r w:rsidRPr="00E9128C">
        <w:rPr>
          <w:rFonts w:cs="Arial"/>
          <w:szCs w:val="20"/>
        </w:rPr>
        <w:t xml:space="preserve"> uporabljajo tudi za </w:t>
      </w:r>
      <w:r w:rsidR="00D22D07" w:rsidRPr="00E9128C">
        <w:rPr>
          <w:rFonts w:cs="Arial"/>
          <w:szCs w:val="20"/>
        </w:rPr>
        <w:t>funkcionarko in funkcionarja (v nadaljnjem besedilu: funkcionar)</w:t>
      </w:r>
      <w:r w:rsidRPr="00E9128C">
        <w:rPr>
          <w:rFonts w:cs="Arial"/>
          <w:szCs w:val="20"/>
        </w:rPr>
        <w:t>, ki prejema plačo</w:t>
      </w:r>
      <w:r w:rsidRPr="00E9128C">
        <w:rPr>
          <w:rFonts w:cs="Arial"/>
        </w:rPr>
        <w:t xml:space="preserve"> </w:t>
      </w:r>
      <w:r w:rsidRPr="00E9128C">
        <w:rPr>
          <w:rFonts w:cs="Arial"/>
          <w:szCs w:val="20"/>
        </w:rPr>
        <w:t>v skladu z Zakon</w:t>
      </w:r>
      <w:r w:rsidR="003B026B" w:rsidRPr="00E9128C">
        <w:rPr>
          <w:rFonts w:cs="Arial"/>
          <w:szCs w:val="20"/>
        </w:rPr>
        <w:t>om</w:t>
      </w:r>
      <w:r w:rsidRPr="00E9128C">
        <w:rPr>
          <w:rFonts w:cs="Arial"/>
          <w:szCs w:val="20"/>
        </w:rPr>
        <w:t xml:space="preserve"> o skupnih temeljih sistema plač v javnem sektorju (Uradni list RS, št. 95/24)</w:t>
      </w:r>
      <w:r w:rsidRPr="00E9128C">
        <w:rPr>
          <w:rFonts w:cs="Arial"/>
        </w:rPr>
        <w:t xml:space="preserve">. V skladu z zakonom, ki ureja funkcionarje, </w:t>
      </w:r>
      <w:r w:rsidR="00D22D07" w:rsidRPr="00E9128C">
        <w:rPr>
          <w:rFonts w:cs="Arial"/>
        </w:rPr>
        <w:t xml:space="preserve">mu </w:t>
      </w:r>
      <w:r w:rsidRPr="00E9128C">
        <w:rPr>
          <w:rFonts w:cs="Arial"/>
        </w:rPr>
        <w:t>namreč pripadajo prejemki in povračila stroškov v enaki višini in pod enakimi pogoji, kot to velja za javne uslužbence v državni upravi. Gre za funkcionarj</w:t>
      </w:r>
      <w:r w:rsidR="00D22D07" w:rsidRPr="00E9128C">
        <w:rPr>
          <w:rFonts w:cs="Arial"/>
        </w:rPr>
        <w:t>a</w:t>
      </w:r>
      <w:r w:rsidRPr="00E9128C">
        <w:rPr>
          <w:rFonts w:cs="Arial"/>
        </w:rPr>
        <w:t xml:space="preserve">, ki poklicno opravlja funkcijo, čas opravljanja funkcije pa se </w:t>
      </w:r>
      <w:r w:rsidR="00D22D07" w:rsidRPr="00E9128C">
        <w:rPr>
          <w:rFonts w:cs="Arial"/>
        </w:rPr>
        <w:t>mu</w:t>
      </w:r>
      <w:r w:rsidRPr="00E9128C">
        <w:rPr>
          <w:rFonts w:cs="Arial"/>
        </w:rPr>
        <w:t xml:space="preserve"> šteje v delovno in pokojninsko dobo. V času opravljanja funkcije </w:t>
      </w:r>
      <w:r w:rsidR="003B026B" w:rsidRPr="00E9128C">
        <w:rPr>
          <w:rFonts w:cs="Arial"/>
        </w:rPr>
        <w:t>je</w:t>
      </w:r>
      <w:r w:rsidRPr="00E9128C">
        <w:rPr>
          <w:rFonts w:cs="Arial"/>
        </w:rPr>
        <w:t xml:space="preserve"> socialno zavarovan po predpisih o socialnih zavarovanjih, ki veljajo za osebe v delovnem razmerju.</w:t>
      </w:r>
    </w:p>
    <w:p w14:paraId="05F09A7D" w14:textId="77777777" w:rsidR="00A25336" w:rsidRDefault="00A25336" w:rsidP="0011743A">
      <w:pPr>
        <w:suppressAutoHyphens/>
        <w:autoSpaceDN w:val="0"/>
        <w:spacing w:after="0" w:line="240" w:lineRule="auto"/>
        <w:jc w:val="both"/>
        <w:textAlignment w:val="baseline"/>
        <w:rPr>
          <w:rFonts w:cs="Arial"/>
        </w:rPr>
      </w:pPr>
    </w:p>
    <w:p w14:paraId="383A5BFE" w14:textId="55B5C664" w:rsidR="00A25336" w:rsidRPr="00E9128C" w:rsidRDefault="00A25336" w:rsidP="0011743A">
      <w:pPr>
        <w:suppressAutoHyphens/>
        <w:autoSpaceDN w:val="0"/>
        <w:spacing w:after="0" w:line="240" w:lineRule="auto"/>
        <w:jc w:val="both"/>
        <w:textAlignment w:val="baseline"/>
        <w:rPr>
          <w:rFonts w:cs="Arial"/>
        </w:rPr>
      </w:pPr>
      <w:r>
        <w:rPr>
          <w:rFonts w:cs="Arial"/>
        </w:rPr>
        <w:t xml:space="preserve">S tem zakonom se določa tudi odstop od določb </w:t>
      </w:r>
      <w:r w:rsidRPr="00A25336">
        <w:rPr>
          <w:rFonts w:cs="Arial"/>
        </w:rPr>
        <w:t>Zakona o dohodnini (Uradni list RS, št. 13/11 – uradno prečiščeno besedilo, 9/12 – odl. US, 24/12, 30/12, 40/12 – ZUJF, 75/12, 94/12, 52/13 – odl. US, 96/13, 29/14 – odl. US, 50/14, 23/15, 55/15, 63/16, 69/17, 21/19, 28/19, 66/19, 39/22, 132/22 – odl. US, 158/22, 131/23 – ZORZFS, 104/24, 22/25 – ZZZRO-1 in 40/25 – ZINR; v nadaljnjem besedilu: ZDoh-2)</w:t>
      </w:r>
      <w:r>
        <w:rPr>
          <w:rFonts w:cs="Arial"/>
        </w:rPr>
        <w:t xml:space="preserve"> </w:t>
      </w:r>
      <w:r w:rsidRPr="00A25336">
        <w:rPr>
          <w:rFonts w:cs="Arial"/>
        </w:rPr>
        <w:t>glede ugotavljanja davčne osnove z upoštevanjem normiranih odhodkov</w:t>
      </w:r>
      <w:r>
        <w:rPr>
          <w:rFonts w:cs="Arial"/>
        </w:rPr>
        <w:t>.</w:t>
      </w:r>
    </w:p>
    <w:p w14:paraId="709169E0" w14:textId="77777777" w:rsidR="0011743A" w:rsidRPr="00E9128C" w:rsidRDefault="0011743A" w:rsidP="0011743A">
      <w:pPr>
        <w:spacing w:after="0" w:line="240" w:lineRule="auto"/>
        <w:jc w:val="both"/>
        <w:rPr>
          <w:rFonts w:cs="Arial"/>
          <w:szCs w:val="20"/>
        </w:rPr>
      </w:pPr>
    </w:p>
    <w:p w14:paraId="1597978F" w14:textId="77777777" w:rsidR="0011743A" w:rsidRPr="00E9128C" w:rsidRDefault="0011743A" w:rsidP="0011743A">
      <w:pPr>
        <w:spacing w:after="0" w:line="240" w:lineRule="auto"/>
        <w:jc w:val="both"/>
        <w:rPr>
          <w:rFonts w:cs="Arial"/>
          <w:szCs w:val="20"/>
        </w:rPr>
      </w:pPr>
      <w:r w:rsidRPr="00E9128C">
        <w:rPr>
          <w:rFonts w:cs="Arial"/>
          <w:b/>
          <w:bCs/>
          <w:szCs w:val="20"/>
        </w:rPr>
        <w:t>K 2. členu</w:t>
      </w:r>
    </w:p>
    <w:p w14:paraId="739E130D" w14:textId="73446138" w:rsidR="0011743A" w:rsidRPr="00E9128C" w:rsidRDefault="0011743A" w:rsidP="0011743A">
      <w:pPr>
        <w:spacing w:after="0" w:line="240" w:lineRule="auto"/>
        <w:jc w:val="both"/>
        <w:rPr>
          <w:bCs/>
        </w:rPr>
      </w:pPr>
      <w:r w:rsidRPr="00E9128C">
        <w:rPr>
          <w:rFonts w:cs="Arial"/>
          <w:szCs w:val="20"/>
        </w:rPr>
        <w:t xml:space="preserve">S tem členom se, do ureditve v ZDR-1, določa pravico delavca do zimskega </w:t>
      </w:r>
      <w:r w:rsidR="00A5115D" w:rsidRPr="00E9128C">
        <w:rPr>
          <w:rFonts w:cs="Arial"/>
          <w:szCs w:val="20"/>
        </w:rPr>
        <w:t>regresa</w:t>
      </w:r>
      <w:r w:rsidRPr="00E9128C">
        <w:rPr>
          <w:rFonts w:cs="Arial"/>
          <w:szCs w:val="20"/>
        </w:rPr>
        <w:t xml:space="preserve">, ki pomeni novi zakonski prejemek delavca, vezan na sam status delavca. Določa se višina prejemka v višini polovice minimalne plače v Republiki Sloveniji, katero določi minister, pristojen za delo, na podlagi Zakona o minimalni plači (Uradni list RS, št. 13/10, 92/15 in 83/18; v nadaljnjem besedilu: ZMinP). Znesek minimalne plače je v skladu s 6. členom ZMinP objavljen v Uradnem listu Republike Slovenije </w:t>
      </w:r>
      <w:r w:rsidR="007D06F1">
        <w:rPr>
          <w:rFonts w:cs="Arial"/>
          <w:szCs w:val="20"/>
        </w:rPr>
        <w:t>najpozneje</w:t>
      </w:r>
      <w:r w:rsidRPr="00E9128C">
        <w:rPr>
          <w:rFonts w:cs="Arial"/>
          <w:szCs w:val="20"/>
        </w:rPr>
        <w:t xml:space="preserve"> do 31. januarja tekočega koledarskega leta.</w:t>
      </w:r>
    </w:p>
    <w:p w14:paraId="124DCC37" w14:textId="77777777" w:rsidR="0011743A" w:rsidRPr="00E9128C" w:rsidRDefault="0011743A" w:rsidP="0011743A">
      <w:pPr>
        <w:spacing w:after="0" w:line="240" w:lineRule="auto"/>
        <w:jc w:val="both"/>
        <w:rPr>
          <w:rFonts w:cs="Arial"/>
          <w:szCs w:val="20"/>
        </w:rPr>
      </w:pPr>
    </w:p>
    <w:p w14:paraId="4DA02270" w14:textId="598C4B55" w:rsidR="0011743A" w:rsidRPr="00E9128C" w:rsidRDefault="0011743A" w:rsidP="0011743A">
      <w:pPr>
        <w:spacing w:after="0" w:line="240" w:lineRule="auto"/>
        <w:jc w:val="both"/>
        <w:rPr>
          <w:rFonts w:cs="Arial"/>
          <w:szCs w:val="20"/>
        </w:rPr>
      </w:pPr>
      <w:r w:rsidRPr="00E9128C">
        <w:rPr>
          <w:rFonts w:cs="Arial"/>
          <w:szCs w:val="20"/>
        </w:rPr>
        <w:t xml:space="preserve">Izrecno se določa, da mora biti zimski </w:t>
      </w:r>
      <w:r w:rsidR="00A5115D" w:rsidRPr="00E9128C">
        <w:rPr>
          <w:rFonts w:cs="Arial"/>
          <w:szCs w:val="20"/>
        </w:rPr>
        <w:t xml:space="preserve">regres </w:t>
      </w:r>
      <w:r w:rsidRPr="00E9128C">
        <w:rPr>
          <w:rFonts w:cs="Arial"/>
          <w:szCs w:val="20"/>
        </w:rPr>
        <w:t>izplačan v denarni obliki.</w:t>
      </w:r>
    </w:p>
    <w:p w14:paraId="348C2684" w14:textId="77777777" w:rsidR="00D22D07" w:rsidRPr="00E9128C" w:rsidRDefault="00D22D07" w:rsidP="0011743A">
      <w:pPr>
        <w:spacing w:after="0" w:line="240" w:lineRule="auto"/>
        <w:jc w:val="both"/>
        <w:rPr>
          <w:rFonts w:cs="Arial"/>
          <w:szCs w:val="20"/>
        </w:rPr>
      </w:pPr>
    </w:p>
    <w:p w14:paraId="3A5ACC49" w14:textId="1AE9BB3B" w:rsidR="00D22D07" w:rsidRPr="00E9128C" w:rsidRDefault="00D22D07" w:rsidP="00D22D07">
      <w:pPr>
        <w:spacing w:after="0" w:line="240" w:lineRule="auto"/>
        <w:jc w:val="both"/>
        <w:rPr>
          <w:rFonts w:cs="Arial"/>
          <w:szCs w:val="20"/>
        </w:rPr>
      </w:pPr>
      <w:r w:rsidRPr="00E9128C">
        <w:rPr>
          <w:rFonts w:cs="Arial"/>
          <w:szCs w:val="20"/>
        </w:rPr>
        <w:t xml:space="preserve">Pravico do sorazmernega dela zimskega </w:t>
      </w:r>
      <w:r w:rsidR="00A5115D" w:rsidRPr="00E9128C">
        <w:rPr>
          <w:rFonts w:cs="Arial"/>
          <w:szCs w:val="20"/>
        </w:rPr>
        <w:t xml:space="preserve">regresa </w:t>
      </w:r>
      <w:r w:rsidRPr="00E9128C">
        <w:rPr>
          <w:rFonts w:cs="Arial"/>
          <w:szCs w:val="20"/>
        </w:rPr>
        <w:t>ima delavec, ki ima obdobje zaposlitve v koledarskem letu krajše od enega leta, ter delavec, ki ima sklenjeno pogodbo o zaposlitvi za krajši delovni čas, razen v primeru, ko dela krajši delovni čas v skladu s 67. ali 67.b členom ZDR-1.</w:t>
      </w:r>
      <w:r w:rsidRPr="00E9128C">
        <w:rPr>
          <w:rFonts w:ascii="Aptos" w:hAnsi="Aptos" w:cs="Aptos"/>
        </w:rPr>
        <w:t xml:space="preserve"> </w:t>
      </w:r>
      <w:r w:rsidRPr="00E9128C">
        <w:rPr>
          <w:rFonts w:cs="Arial"/>
          <w:szCs w:val="20"/>
        </w:rPr>
        <w:t xml:space="preserve">Za primere, ko delavec dela krajši delovni čas v posebnih primerih (t. i. posebni »part time«, ki velja za primere iz 67. člena ZDR-1) in primere, ko bo imel delavec sklenjeno pogodbo o zaposlitvi na podlagi 67.b člena ZDR-1, ki ureja krajši delovni čas delavca pred upokojitvijo (t. i. ukrep 80/90/100), se tako določa pravica do celotnega zimskega </w:t>
      </w:r>
      <w:r w:rsidR="00A5115D" w:rsidRPr="00E9128C">
        <w:rPr>
          <w:rFonts w:cs="Arial"/>
          <w:szCs w:val="20"/>
        </w:rPr>
        <w:t>regresa</w:t>
      </w:r>
      <w:r w:rsidRPr="00E9128C">
        <w:rPr>
          <w:rFonts w:cs="Arial"/>
          <w:szCs w:val="20"/>
        </w:rPr>
        <w:t>, kot če bi delal polni delovni čas.</w:t>
      </w:r>
    </w:p>
    <w:p w14:paraId="6DB32928" w14:textId="77777777" w:rsidR="00D22D07" w:rsidRPr="00E9128C" w:rsidRDefault="00D22D07" w:rsidP="0011743A">
      <w:pPr>
        <w:spacing w:after="0" w:line="240" w:lineRule="auto"/>
        <w:jc w:val="both"/>
        <w:rPr>
          <w:rFonts w:cs="Arial"/>
          <w:szCs w:val="20"/>
        </w:rPr>
      </w:pPr>
    </w:p>
    <w:p w14:paraId="5A7A8B1C" w14:textId="77777777" w:rsidR="00675CE5" w:rsidRPr="00E9128C" w:rsidRDefault="00D22D07" w:rsidP="0011743A">
      <w:pPr>
        <w:spacing w:after="0" w:line="240" w:lineRule="auto"/>
        <w:jc w:val="both"/>
        <w:rPr>
          <w:rFonts w:cs="Arial"/>
          <w:b/>
          <w:bCs/>
          <w:szCs w:val="20"/>
        </w:rPr>
      </w:pPr>
      <w:r w:rsidRPr="00E9128C">
        <w:rPr>
          <w:rFonts w:cs="Arial"/>
          <w:b/>
          <w:bCs/>
          <w:szCs w:val="20"/>
        </w:rPr>
        <w:t>K 3. členu</w:t>
      </w:r>
    </w:p>
    <w:p w14:paraId="62BD501F" w14:textId="35025DF7" w:rsidR="0011743A" w:rsidRPr="00E9128C" w:rsidRDefault="003B026B" w:rsidP="0011743A">
      <w:pPr>
        <w:spacing w:after="0" w:line="240" w:lineRule="auto"/>
        <w:jc w:val="both"/>
        <w:rPr>
          <w:rFonts w:cs="Arial"/>
          <w:szCs w:val="20"/>
        </w:rPr>
      </w:pPr>
      <w:r w:rsidRPr="00E9128C">
        <w:rPr>
          <w:rFonts w:cs="Arial"/>
          <w:szCs w:val="20"/>
        </w:rPr>
        <w:t>S tem členom se določa obveznost</w:t>
      </w:r>
      <w:bookmarkStart w:id="14" w:name="_Hlk211587238"/>
      <w:r w:rsidR="00FC0CD2" w:rsidRPr="00E9128C">
        <w:rPr>
          <w:rFonts w:cs="Arial"/>
          <w:szCs w:val="20"/>
        </w:rPr>
        <w:t xml:space="preserve"> </w:t>
      </w:r>
      <w:r w:rsidRPr="00E9128C">
        <w:rPr>
          <w:rFonts w:cs="Arial"/>
          <w:szCs w:val="20"/>
        </w:rPr>
        <w:t>d</w:t>
      </w:r>
      <w:r w:rsidR="0011743A" w:rsidRPr="00E9128C">
        <w:rPr>
          <w:rFonts w:cs="Arial"/>
          <w:szCs w:val="20"/>
        </w:rPr>
        <w:t>elodajalc</w:t>
      </w:r>
      <w:r w:rsidRPr="00E9128C">
        <w:rPr>
          <w:rFonts w:cs="Arial"/>
          <w:szCs w:val="20"/>
        </w:rPr>
        <w:t>a, da</w:t>
      </w:r>
      <w:r w:rsidR="0011743A" w:rsidRPr="00E9128C">
        <w:rPr>
          <w:rFonts w:cs="Arial"/>
          <w:szCs w:val="20"/>
        </w:rPr>
        <w:t xml:space="preserve"> zimski </w:t>
      </w:r>
      <w:r w:rsidR="00A5115D" w:rsidRPr="00E9128C">
        <w:rPr>
          <w:rFonts w:cs="Arial"/>
          <w:szCs w:val="20"/>
        </w:rPr>
        <w:t xml:space="preserve">regres </w:t>
      </w:r>
      <w:r w:rsidR="0011743A" w:rsidRPr="00E9128C">
        <w:rPr>
          <w:rFonts w:cs="Arial"/>
          <w:szCs w:val="20"/>
        </w:rPr>
        <w:t xml:space="preserve">izplača </w:t>
      </w:r>
      <w:r w:rsidR="007D06F1">
        <w:rPr>
          <w:rFonts w:cs="Arial"/>
          <w:szCs w:val="20"/>
        </w:rPr>
        <w:t>najpozneje</w:t>
      </w:r>
      <w:r w:rsidR="0011743A" w:rsidRPr="00E9128C">
        <w:rPr>
          <w:rFonts w:cs="Arial"/>
          <w:szCs w:val="20"/>
        </w:rPr>
        <w:t xml:space="preserve"> 18 dni po preteku plačilnega obdobja za izplačilo plače za mesec november tekočega koledarskega leta. Če je rok za izplačilo prejemka dela prosti dan, se zimski </w:t>
      </w:r>
      <w:r w:rsidR="00A5115D" w:rsidRPr="00E9128C">
        <w:rPr>
          <w:rFonts w:cs="Arial"/>
          <w:szCs w:val="20"/>
        </w:rPr>
        <w:t xml:space="preserve">regres </w:t>
      </w:r>
      <w:r w:rsidR="0011743A" w:rsidRPr="00E9128C">
        <w:rPr>
          <w:rFonts w:cs="Arial"/>
          <w:szCs w:val="20"/>
        </w:rPr>
        <w:t xml:space="preserve">izplača </w:t>
      </w:r>
      <w:r w:rsidR="007D06F1">
        <w:rPr>
          <w:rFonts w:cs="Arial"/>
          <w:szCs w:val="20"/>
        </w:rPr>
        <w:t>najpozneje</w:t>
      </w:r>
      <w:r w:rsidR="0011743A" w:rsidRPr="00E9128C">
        <w:rPr>
          <w:rFonts w:cs="Arial"/>
          <w:szCs w:val="20"/>
        </w:rPr>
        <w:t xml:space="preserve"> prvi naslednji delovni dan. </w:t>
      </w:r>
      <w:r w:rsidR="0011743A" w:rsidRPr="00E9128C">
        <w:t xml:space="preserve">Plačilno obdobje za izplačilo plače za mesec november se običajno konča zadnji dan novembra, torej 30. novembra, saj plačilna obdobja, za katera se izplačuje plača, ne smejo biti daljša od enega meseca. Rok za izplačilo zimskega </w:t>
      </w:r>
      <w:r w:rsidR="00A5115D" w:rsidRPr="00E9128C">
        <w:t xml:space="preserve">regresa </w:t>
      </w:r>
      <w:r w:rsidR="0011743A" w:rsidRPr="00E9128C">
        <w:t>se tako začne šteti 1. decembra in zapade v plačilo 18. decembra oziroma prvi naslednji delovni dan.</w:t>
      </w:r>
      <w:r w:rsidR="0011743A" w:rsidRPr="00E9128C">
        <w:rPr>
          <w:rFonts w:cs="Arial"/>
          <w:szCs w:val="20"/>
        </w:rPr>
        <w:t xml:space="preserve"> </w:t>
      </w:r>
      <w:bookmarkEnd w:id="14"/>
      <w:r w:rsidR="0011743A" w:rsidRPr="00E9128C">
        <w:rPr>
          <w:rFonts w:cs="Arial"/>
          <w:szCs w:val="20"/>
        </w:rPr>
        <w:t xml:space="preserve">Navedeno velja tudi v primeru, če je delavcu delovno razmerje že </w:t>
      </w:r>
      <w:r w:rsidR="0011743A" w:rsidRPr="00E9128C">
        <w:rPr>
          <w:rFonts w:cs="Arial"/>
          <w:szCs w:val="20"/>
        </w:rPr>
        <w:lastRenderedPageBreak/>
        <w:t xml:space="preserve">prenehalo med koledarskim letom. Delavec namreč pridobi pravico do zimskega </w:t>
      </w:r>
      <w:r w:rsidR="00A5115D" w:rsidRPr="00E9128C">
        <w:rPr>
          <w:rFonts w:cs="Arial"/>
          <w:szCs w:val="20"/>
        </w:rPr>
        <w:t xml:space="preserve">regresa </w:t>
      </w:r>
      <w:r w:rsidR="0011743A" w:rsidRPr="00E9128C">
        <w:rPr>
          <w:rFonts w:cs="Arial"/>
          <w:szCs w:val="20"/>
        </w:rPr>
        <w:t xml:space="preserve">s sklenitvijo delovnega razmerja in je upravičen do izplačila le-tega, ne glede na to, ali je pri delodajalcu v posameznem koledarskem letu zaposlen celotno, ali pa le del leta. V primeru, da je delavec pri delodajalcu v koledarskem letu zaposlen krajše obdobje od enega leta, mu je (vsak posamezni) delodajalec dolžan izplačati sorazmeren del zimskega </w:t>
      </w:r>
      <w:r w:rsidR="00A5115D" w:rsidRPr="00E9128C">
        <w:rPr>
          <w:rFonts w:cs="Arial"/>
          <w:szCs w:val="20"/>
        </w:rPr>
        <w:t>regresa</w:t>
      </w:r>
      <w:r w:rsidR="0011743A" w:rsidRPr="00E9128C">
        <w:rPr>
          <w:rFonts w:cs="Arial"/>
          <w:szCs w:val="20"/>
        </w:rPr>
        <w:t>.</w:t>
      </w:r>
    </w:p>
    <w:p w14:paraId="13B79FAA" w14:textId="77777777" w:rsidR="0011743A" w:rsidRPr="00E9128C" w:rsidRDefault="0011743A" w:rsidP="0011743A">
      <w:pPr>
        <w:spacing w:after="0" w:line="240" w:lineRule="auto"/>
        <w:jc w:val="both"/>
        <w:rPr>
          <w:rFonts w:cs="Arial"/>
          <w:szCs w:val="20"/>
        </w:rPr>
      </w:pPr>
    </w:p>
    <w:p w14:paraId="0674ED8A" w14:textId="397BA243" w:rsidR="0011743A" w:rsidRPr="00E9128C" w:rsidRDefault="3FBAFE90" w:rsidP="32F3F7A8">
      <w:pPr>
        <w:spacing w:after="0" w:line="240" w:lineRule="auto"/>
        <w:jc w:val="both"/>
        <w:rPr>
          <w:rFonts w:cs="Arial"/>
        </w:rPr>
      </w:pPr>
      <w:r w:rsidRPr="00E9128C">
        <w:rPr>
          <w:rFonts w:cs="Arial"/>
        </w:rPr>
        <w:t>Izjemoma,</w:t>
      </w:r>
      <w:r w:rsidR="00A5115D" w:rsidRPr="00E9128C">
        <w:rPr>
          <w:rFonts w:cs="Arial"/>
        </w:rPr>
        <w:t xml:space="preserve"> če kolektivna pogodba na ravni dejavnosti tako določa, lahko delodajalec</w:t>
      </w:r>
      <w:r w:rsidRPr="00E9128C">
        <w:rPr>
          <w:rFonts w:cs="Arial"/>
        </w:rPr>
        <w:t xml:space="preserve"> </w:t>
      </w:r>
      <w:r w:rsidR="00A5115D" w:rsidRPr="00E9128C">
        <w:rPr>
          <w:rFonts w:cs="Arial"/>
        </w:rPr>
        <w:t xml:space="preserve">v zasebnem sektorju </w:t>
      </w:r>
      <w:r w:rsidRPr="00E9128C">
        <w:rPr>
          <w:rFonts w:cs="Arial"/>
        </w:rPr>
        <w:t xml:space="preserve">v primeru nelikvidnosti, določi kasnejši rok izplačila. </w:t>
      </w:r>
      <w:bookmarkStart w:id="15" w:name="_Hlk211588218"/>
      <w:r w:rsidRPr="00E9128C">
        <w:rPr>
          <w:rFonts w:cs="Arial"/>
        </w:rPr>
        <w:t xml:space="preserve">Pojem nelikvidnosti ni delovnopravni pojem, zato </w:t>
      </w:r>
      <w:r w:rsidR="057FF287" w:rsidRPr="00E9128C">
        <w:rPr>
          <w:rFonts w:cs="Arial"/>
        </w:rPr>
        <w:t>se lahko</w:t>
      </w:r>
      <w:r w:rsidRPr="00E9128C">
        <w:rPr>
          <w:rFonts w:cs="Arial"/>
        </w:rPr>
        <w:t xml:space="preserve"> </w:t>
      </w:r>
      <w:bookmarkStart w:id="16" w:name="_Hlk211587667"/>
      <w:r w:rsidRPr="00E9128C">
        <w:rPr>
          <w:rFonts w:cs="Arial"/>
        </w:rPr>
        <w:t xml:space="preserve">pri razlagi pojma smiselno upošteva </w:t>
      </w:r>
      <w:bookmarkEnd w:id="15"/>
      <w:r w:rsidRPr="00E9128C">
        <w:rPr>
          <w:rFonts w:cs="Arial"/>
        </w:rPr>
        <w:t xml:space="preserve">insolvenčna zakonodaja, ki ureja položaj nelikvidnosti gospodarskega subjekta </w:t>
      </w:r>
      <w:bookmarkEnd w:id="16"/>
      <w:r w:rsidRPr="00E9128C">
        <w:rPr>
          <w:rFonts w:cs="Arial"/>
        </w:rPr>
        <w:t xml:space="preserve">(Zakon o finančnem poslovanju, postopkih zaradi insolventnosti in prisilnem prenehanju (Uradni list RS, št. 176/21 – uradno prečiščeno besedilo, 178/21 – popr., 196/21 – odl. US, 157/22 – odl. US, 35/23 – odl. US, 57/23 – odl. US, 102/23, 25/25 – odl. US in 40/25)). </w:t>
      </w:r>
    </w:p>
    <w:p w14:paraId="4EC98420" w14:textId="77777777" w:rsidR="0011743A" w:rsidRPr="00E9128C" w:rsidRDefault="0011743A" w:rsidP="0011743A">
      <w:pPr>
        <w:spacing w:after="0" w:line="240" w:lineRule="auto"/>
        <w:jc w:val="both"/>
        <w:rPr>
          <w:rFonts w:cs="Arial"/>
          <w:szCs w:val="20"/>
        </w:rPr>
      </w:pPr>
    </w:p>
    <w:p w14:paraId="23DE93EC" w14:textId="570CB530" w:rsidR="0011743A" w:rsidRPr="00E9128C" w:rsidRDefault="0011743A" w:rsidP="0011743A">
      <w:pPr>
        <w:spacing w:after="0" w:line="240" w:lineRule="auto"/>
        <w:jc w:val="both"/>
        <w:rPr>
          <w:rFonts w:cs="Arial"/>
          <w:szCs w:val="20"/>
        </w:rPr>
      </w:pPr>
      <w:r w:rsidRPr="00E9128C">
        <w:rPr>
          <w:rFonts w:cs="Arial"/>
          <w:szCs w:val="20"/>
        </w:rPr>
        <w:t xml:space="preserve">Možnost določitve kasnejšega roka izplačila zimskega </w:t>
      </w:r>
      <w:r w:rsidR="00A5115D" w:rsidRPr="00E9128C">
        <w:rPr>
          <w:rFonts w:cs="Arial"/>
          <w:szCs w:val="20"/>
        </w:rPr>
        <w:t xml:space="preserve">regresa </w:t>
      </w:r>
      <w:r w:rsidRPr="00E9128C">
        <w:rPr>
          <w:rFonts w:cs="Arial"/>
          <w:szCs w:val="20"/>
        </w:rPr>
        <w:t>ne bo veljala za javni sektor</w:t>
      </w:r>
      <w:r w:rsidR="00FC0CD2" w:rsidRPr="00E9128C">
        <w:rPr>
          <w:rFonts w:cs="Arial"/>
          <w:szCs w:val="20"/>
        </w:rPr>
        <w:t xml:space="preserve">, </w:t>
      </w:r>
      <w:r w:rsidR="00FC0CD2" w:rsidRPr="00E9128C">
        <w:t>kot ga opredeljuje Zakon o skupnih temeljih sistema plač v javnem sektorju (Uradni list RS, št. 95/24)</w:t>
      </w:r>
      <w:r w:rsidRPr="00E9128C">
        <w:rPr>
          <w:rFonts w:cs="Arial"/>
          <w:szCs w:val="20"/>
        </w:rPr>
        <w:t>, in sicer za:</w:t>
      </w:r>
    </w:p>
    <w:p w14:paraId="2CDD8579" w14:textId="77777777" w:rsidR="0011743A" w:rsidRPr="00E9128C" w:rsidRDefault="0011743A" w:rsidP="00BB37FE">
      <w:pPr>
        <w:pStyle w:val="Odstavekseznama"/>
        <w:numPr>
          <w:ilvl w:val="0"/>
          <w:numId w:val="16"/>
        </w:numPr>
        <w:spacing w:after="0" w:line="240" w:lineRule="auto"/>
        <w:jc w:val="both"/>
        <w:rPr>
          <w:rFonts w:cs="Arial"/>
          <w:szCs w:val="20"/>
        </w:rPr>
      </w:pPr>
      <w:r w:rsidRPr="00E9128C">
        <w:rPr>
          <w:rFonts w:cs="Arial"/>
          <w:szCs w:val="20"/>
        </w:rPr>
        <w:t>državne organe, v katerih je delodajalec Republika Slovenija in uprave samoupravnih lokalnih skupnosti, v katerih je delodajalec lokalna skupnost;</w:t>
      </w:r>
    </w:p>
    <w:p w14:paraId="49564A66" w14:textId="77777777" w:rsidR="0011743A" w:rsidRPr="00E9128C" w:rsidRDefault="0011743A" w:rsidP="00BB37FE">
      <w:pPr>
        <w:pStyle w:val="Odstavekseznama"/>
        <w:numPr>
          <w:ilvl w:val="0"/>
          <w:numId w:val="16"/>
        </w:numPr>
        <w:spacing w:after="0" w:line="240" w:lineRule="auto"/>
        <w:jc w:val="both"/>
        <w:rPr>
          <w:rFonts w:cs="Arial"/>
          <w:szCs w:val="20"/>
        </w:rPr>
      </w:pPr>
      <w:r w:rsidRPr="00E9128C">
        <w:rPr>
          <w:rFonts w:cs="Arial"/>
          <w:szCs w:val="20"/>
        </w:rPr>
        <w:t>javne agencije, javne sklade, javne zavode in javne gospodarske zavode ter druge osebe javnega prava, če so posredni uporabniki državnega proračuna ali proračuna lokalne skupnosti, v katerih je delodajalec pravna oseba, s katero je javni uslužbenec v delovnem razmerju.</w:t>
      </w:r>
    </w:p>
    <w:p w14:paraId="23761519" w14:textId="77777777" w:rsidR="0011743A" w:rsidRPr="00E9128C" w:rsidRDefault="0011743A" w:rsidP="0011743A">
      <w:pPr>
        <w:spacing w:after="0" w:line="240" w:lineRule="auto"/>
        <w:jc w:val="both"/>
        <w:rPr>
          <w:rFonts w:cs="Arial"/>
          <w:szCs w:val="20"/>
        </w:rPr>
      </w:pPr>
    </w:p>
    <w:p w14:paraId="04142971" w14:textId="2BA3DB37" w:rsidR="0011743A" w:rsidRPr="00E9128C" w:rsidRDefault="0011743A" w:rsidP="0011743A">
      <w:pPr>
        <w:spacing w:after="0" w:line="240" w:lineRule="auto"/>
        <w:jc w:val="both"/>
        <w:rPr>
          <w:rFonts w:cs="Arial"/>
          <w:b/>
          <w:bCs/>
          <w:szCs w:val="20"/>
        </w:rPr>
      </w:pPr>
      <w:r w:rsidRPr="00E9128C">
        <w:rPr>
          <w:rFonts w:cs="Arial"/>
          <w:b/>
          <w:bCs/>
          <w:szCs w:val="20"/>
        </w:rPr>
        <w:t xml:space="preserve">K </w:t>
      </w:r>
      <w:r w:rsidR="003B026B" w:rsidRPr="00E9128C">
        <w:rPr>
          <w:rFonts w:cs="Arial"/>
          <w:b/>
          <w:bCs/>
          <w:szCs w:val="20"/>
        </w:rPr>
        <w:t>4</w:t>
      </w:r>
      <w:r w:rsidRPr="00E9128C">
        <w:rPr>
          <w:rFonts w:cs="Arial"/>
          <w:b/>
          <w:bCs/>
          <w:szCs w:val="20"/>
        </w:rPr>
        <w:t>. členu</w:t>
      </w:r>
    </w:p>
    <w:p w14:paraId="148680DC" w14:textId="308E321D" w:rsidR="0011743A" w:rsidRPr="00E9128C" w:rsidRDefault="0011743A" w:rsidP="0011743A">
      <w:pPr>
        <w:spacing w:after="0" w:line="240" w:lineRule="auto"/>
        <w:jc w:val="both"/>
        <w:rPr>
          <w:rFonts w:cs="Arial"/>
          <w:szCs w:val="20"/>
        </w:rPr>
      </w:pPr>
      <w:r w:rsidRPr="00E9128C">
        <w:rPr>
          <w:rFonts w:cs="Arial"/>
          <w:szCs w:val="20"/>
        </w:rPr>
        <w:t xml:space="preserve">S tem členom se določa davčna obravnava zimskega </w:t>
      </w:r>
      <w:r w:rsidR="006B6E1C" w:rsidRPr="00E9128C">
        <w:rPr>
          <w:rFonts w:cs="Arial"/>
          <w:szCs w:val="20"/>
        </w:rPr>
        <w:t xml:space="preserve">regresa </w:t>
      </w:r>
      <w:r w:rsidRPr="00E9128C">
        <w:rPr>
          <w:rFonts w:cs="Arial"/>
          <w:szCs w:val="20"/>
        </w:rPr>
        <w:t xml:space="preserve">glede dohodnine. Zimski </w:t>
      </w:r>
      <w:r w:rsidR="006B6E1C" w:rsidRPr="00E9128C">
        <w:rPr>
          <w:rFonts w:cs="Arial"/>
          <w:szCs w:val="20"/>
        </w:rPr>
        <w:t>regres</w:t>
      </w:r>
      <w:r w:rsidRPr="00E9128C">
        <w:rPr>
          <w:rFonts w:cs="Arial"/>
          <w:szCs w:val="20"/>
        </w:rPr>
        <w:t xml:space="preserve">, ki je določen kot pravica iz delovnega razmerja, se po zakonu, ki ureja dohodnino, šteje za dohodek iz delovnega razmerja. Z obravnavanim členom se določa odstop od davčne obravnave, določene z zakonom, ki ureja dohodnino. </w:t>
      </w:r>
    </w:p>
    <w:p w14:paraId="070A433B" w14:textId="77777777" w:rsidR="0011743A" w:rsidRPr="00E9128C" w:rsidRDefault="0011743A" w:rsidP="0011743A">
      <w:pPr>
        <w:spacing w:after="0" w:line="240" w:lineRule="auto"/>
        <w:jc w:val="both"/>
        <w:rPr>
          <w:rFonts w:cs="Arial"/>
          <w:szCs w:val="20"/>
        </w:rPr>
      </w:pPr>
    </w:p>
    <w:p w14:paraId="2FC1D09A" w14:textId="4AC2E834" w:rsidR="0011743A" w:rsidRPr="00E9128C" w:rsidRDefault="0011743A" w:rsidP="0011743A">
      <w:pPr>
        <w:spacing w:after="0" w:line="240" w:lineRule="auto"/>
        <w:jc w:val="both"/>
        <w:rPr>
          <w:rFonts w:cs="Arial"/>
          <w:szCs w:val="20"/>
        </w:rPr>
      </w:pPr>
      <w:r w:rsidRPr="00E9128C">
        <w:rPr>
          <w:rFonts w:cs="Arial"/>
          <w:szCs w:val="20"/>
        </w:rPr>
        <w:t xml:space="preserve">Zimski </w:t>
      </w:r>
      <w:r w:rsidR="006B6E1C" w:rsidRPr="00E9128C">
        <w:rPr>
          <w:rFonts w:cs="Arial"/>
          <w:szCs w:val="20"/>
        </w:rPr>
        <w:t>regres</w:t>
      </w:r>
      <w:r w:rsidRPr="00E9128C">
        <w:rPr>
          <w:rFonts w:cs="Arial"/>
          <w:szCs w:val="20"/>
        </w:rPr>
        <w:t xml:space="preserve">, uveden kot pravica z delovnega razmerja s tem zakonom, se ne všteva v osnovo za dohodnino od dohodka iz delovnega razmerja do višine, določene </w:t>
      </w:r>
      <w:r w:rsidR="000836AE" w:rsidRPr="00E9128C">
        <w:rPr>
          <w:rFonts w:cs="Arial"/>
          <w:szCs w:val="20"/>
        </w:rPr>
        <w:t>z</w:t>
      </w:r>
      <w:r w:rsidRPr="00E9128C">
        <w:rPr>
          <w:rFonts w:cs="Arial"/>
          <w:szCs w:val="20"/>
        </w:rPr>
        <w:t xml:space="preserve"> 2. člen</w:t>
      </w:r>
      <w:r w:rsidR="000836AE" w:rsidRPr="00E9128C">
        <w:rPr>
          <w:rFonts w:cs="Arial"/>
          <w:szCs w:val="20"/>
        </w:rPr>
        <w:t>om</w:t>
      </w:r>
      <w:r w:rsidRPr="00E9128C">
        <w:rPr>
          <w:rFonts w:cs="Arial"/>
          <w:szCs w:val="20"/>
        </w:rPr>
        <w:t xml:space="preserve"> tega zakona (do polovice minimalne plače v Republiki Sloveniji oziroma sorazmernega dela minimalne plače v Republiki Sloveniji glede na obdobje zaposlitve v koledarskem letu ali glede na krajši delovni čas, za katerega je sklenjena pogodba o zaposlitvi). Navedena neobdavčena višina zimskega </w:t>
      </w:r>
      <w:r w:rsidR="006B6E1C" w:rsidRPr="00E9128C">
        <w:rPr>
          <w:rFonts w:cs="Arial"/>
          <w:szCs w:val="20"/>
        </w:rPr>
        <w:t xml:space="preserve">regresa </w:t>
      </w:r>
      <w:r w:rsidRPr="00E9128C">
        <w:rPr>
          <w:rFonts w:cs="Arial"/>
          <w:szCs w:val="20"/>
        </w:rPr>
        <w:t xml:space="preserve">pri posameznem davčnem zavezancu in njegovemu delodajalcu v davčnem letu skupaj z neobdavčenim plačilom za poslovno uspešnost iz 12. točke prvega odstavka 44. člena Zakona o dohodnini (Uradni list RS, št. 13/11 – uradno prečiščeno besedilo, 9/12 – odl. US, 24/12, 30/12, 40/12 – ZUJF, 75/12, 94/12, 52/13 – odl. US, 96/13, 29/14 – odl. US, 50/14, 23/15, 55/15, 63/16, 69/17, 21/19, 28/19, 66/19, 39/22, 132/22 – odl. US, 158/22, 131/23 – ZORZFS, 104/24, 22/25 – ZZZRO-1 in 40/25 – ZINR; v nadaljnjem besedilu: ZDoh-2) ne sme presegati 100 % povprečne mesečne plače zaposlenih v Sloveniji. Navedeno pomeni, da imajo plačila za poslovno uspešnost in zimski </w:t>
      </w:r>
      <w:r w:rsidR="006B6E1C" w:rsidRPr="00E9128C">
        <w:rPr>
          <w:rFonts w:cs="Arial"/>
          <w:szCs w:val="20"/>
        </w:rPr>
        <w:t xml:space="preserve">regres </w:t>
      </w:r>
      <w:r w:rsidRPr="00E9128C">
        <w:rPr>
          <w:rFonts w:cs="Arial"/>
          <w:szCs w:val="20"/>
        </w:rPr>
        <w:t xml:space="preserve">skupni limit, do katerega se ne vštevajo v davčno osnovo, pri čemer vrstni red izplačila v davčnem letu ni pomemben. Ob izplačilu plačila za poslovno uspešnost ali zimskega </w:t>
      </w:r>
      <w:r w:rsidR="006B6E1C" w:rsidRPr="00E9128C">
        <w:rPr>
          <w:rFonts w:cs="Arial"/>
          <w:szCs w:val="20"/>
        </w:rPr>
        <w:t xml:space="preserve">regresa </w:t>
      </w:r>
      <w:r w:rsidRPr="00E9128C">
        <w:rPr>
          <w:rFonts w:cs="Arial"/>
          <w:szCs w:val="20"/>
        </w:rPr>
        <w:t xml:space="preserve">v davčnem letu, pri katerem pride do preseganja, določenega limita, se razlika nad določenim limitom všteva v davčno osnovo od dohodka iz delovnega razmerja. </w:t>
      </w:r>
    </w:p>
    <w:p w14:paraId="396C7731" w14:textId="77777777" w:rsidR="0011743A" w:rsidRPr="00E9128C" w:rsidRDefault="0011743A" w:rsidP="0011743A">
      <w:pPr>
        <w:spacing w:after="0" w:line="240" w:lineRule="auto"/>
        <w:jc w:val="both"/>
        <w:rPr>
          <w:rFonts w:cs="Arial"/>
          <w:szCs w:val="20"/>
        </w:rPr>
      </w:pPr>
    </w:p>
    <w:p w14:paraId="11256513" w14:textId="7DB4A816" w:rsidR="0011743A" w:rsidRPr="00E9128C" w:rsidRDefault="0011743A" w:rsidP="0011743A">
      <w:pPr>
        <w:spacing w:after="0" w:line="240" w:lineRule="auto"/>
        <w:jc w:val="both"/>
        <w:rPr>
          <w:rFonts w:cs="Arial"/>
          <w:szCs w:val="20"/>
        </w:rPr>
      </w:pPr>
      <w:r w:rsidRPr="00E9128C">
        <w:rPr>
          <w:rFonts w:cs="Arial"/>
          <w:szCs w:val="20"/>
        </w:rPr>
        <w:t xml:space="preserve">Če delodajalec izplača zimski </w:t>
      </w:r>
      <w:r w:rsidR="006B6E1C" w:rsidRPr="00E9128C">
        <w:rPr>
          <w:rFonts w:cs="Arial"/>
          <w:szCs w:val="20"/>
        </w:rPr>
        <w:t>regres</w:t>
      </w:r>
      <w:r w:rsidRPr="00E9128C">
        <w:rPr>
          <w:rFonts w:cs="Arial"/>
          <w:szCs w:val="20"/>
        </w:rPr>
        <w:t xml:space="preserve">, ki presega minimalno višino, določeno </w:t>
      </w:r>
      <w:r w:rsidR="000836AE" w:rsidRPr="00E9128C">
        <w:rPr>
          <w:rFonts w:cs="Arial"/>
          <w:szCs w:val="20"/>
        </w:rPr>
        <w:t>z</w:t>
      </w:r>
      <w:r w:rsidRPr="00E9128C">
        <w:rPr>
          <w:rFonts w:cs="Arial"/>
          <w:szCs w:val="20"/>
        </w:rPr>
        <w:t xml:space="preserve"> 2. člen</w:t>
      </w:r>
      <w:r w:rsidR="000836AE" w:rsidRPr="00E9128C">
        <w:rPr>
          <w:rFonts w:cs="Arial"/>
          <w:szCs w:val="20"/>
        </w:rPr>
        <w:t>om</w:t>
      </w:r>
      <w:r w:rsidRPr="00E9128C">
        <w:rPr>
          <w:rFonts w:cs="Arial"/>
          <w:szCs w:val="20"/>
        </w:rPr>
        <w:t xml:space="preserve"> tega zakona, se razlika šteje za plačilo za poslovno uspešnost ob izpolnjevanju pogojev iz 12. točke prvega odstavka 44. člena ZDoh-2. Če </w:t>
      </w:r>
      <w:r w:rsidR="00C07FD0" w:rsidRPr="00E9128C">
        <w:rPr>
          <w:rFonts w:cs="Arial"/>
          <w:szCs w:val="20"/>
        </w:rPr>
        <w:t>ti</w:t>
      </w:r>
      <w:r w:rsidR="008D73A3" w:rsidRPr="00E9128C">
        <w:rPr>
          <w:rFonts w:cs="Arial"/>
          <w:szCs w:val="20"/>
        </w:rPr>
        <w:t xml:space="preserve"> </w:t>
      </w:r>
      <w:r w:rsidRPr="00E9128C">
        <w:rPr>
          <w:rFonts w:cs="Arial"/>
          <w:szCs w:val="20"/>
        </w:rPr>
        <w:t xml:space="preserve">pogoji niso izpolnjeni, se razlika všteva v davčno osnovo od dohodka iz delovnega razmerja (npr. gre že za tretje izplačilo plačila za poslovno uspešnost) oziroma se všteva v davčno osnovo od dohodka iz delovnega razmerja znesek te razlike, ki skupaj z drugimi izplačili poslovne uspešnosti in zimskim </w:t>
      </w:r>
      <w:r w:rsidR="006B6E1C" w:rsidRPr="00E9128C">
        <w:rPr>
          <w:rFonts w:cs="Arial"/>
          <w:szCs w:val="20"/>
        </w:rPr>
        <w:t xml:space="preserve">regresom </w:t>
      </w:r>
      <w:r w:rsidRPr="00E9128C">
        <w:rPr>
          <w:rFonts w:cs="Arial"/>
          <w:szCs w:val="20"/>
        </w:rPr>
        <w:t xml:space="preserve">presega skupni limit za neobdavčeno višino plačila za poslovno uspešnost in zimskega </w:t>
      </w:r>
      <w:r w:rsidR="006B6E1C" w:rsidRPr="00E9128C">
        <w:rPr>
          <w:rFonts w:cs="Arial"/>
          <w:szCs w:val="20"/>
        </w:rPr>
        <w:t>regresa</w:t>
      </w:r>
      <w:r w:rsidRPr="00E9128C">
        <w:rPr>
          <w:rFonts w:cs="Arial"/>
          <w:szCs w:val="20"/>
        </w:rPr>
        <w:t xml:space="preserve">. </w:t>
      </w:r>
    </w:p>
    <w:p w14:paraId="62A34E4F" w14:textId="77777777" w:rsidR="0011743A" w:rsidRPr="00E9128C" w:rsidRDefault="0011743A" w:rsidP="0011743A">
      <w:pPr>
        <w:spacing w:after="0" w:line="240" w:lineRule="auto"/>
        <w:jc w:val="both"/>
        <w:rPr>
          <w:rFonts w:cs="Arial"/>
          <w:szCs w:val="20"/>
        </w:rPr>
      </w:pPr>
    </w:p>
    <w:p w14:paraId="2E0026AF" w14:textId="77B537E5" w:rsidR="0011743A" w:rsidRPr="00E9128C" w:rsidRDefault="0011743A" w:rsidP="0011743A">
      <w:pPr>
        <w:spacing w:after="0" w:line="240" w:lineRule="auto"/>
        <w:jc w:val="both"/>
        <w:rPr>
          <w:rFonts w:cs="Arial"/>
          <w:szCs w:val="20"/>
        </w:rPr>
      </w:pPr>
      <w:r w:rsidRPr="00E9128C">
        <w:rPr>
          <w:rFonts w:cs="Arial"/>
          <w:szCs w:val="20"/>
        </w:rPr>
        <w:t xml:space="preserve">Povedano drugače, če zimski </w:t>
      </w:r>
      <w:r w:rsidR="006B6E1C" w:rsidRPr="00E9128C">
        <w:rPr>
          <w:rFonts w:cs="Arial"/>
          <w:szCs w:val="20"/>
        </w:rPr>
        <w:t xml:space="preserve">regres </w:t>
      </w:r>
      <w:r w:rsidRPr="00E9128C">
        <w:rPr>
          <w:rFonts w:cs="Arial"/>
          <w:szCs w:val="20"/>
        </w:rPr>
        <w:t xml:space="preserve">ne presega višine, določene </w:t>
      </w:r>
      <w:r w:rsidR="000836AE" w:rsidRPr="00E9128C">
        <w:rPr>
          <w:rFonts w:cs="Arial"/>
          <w:szCs w:val="20"/>
        </w:rPr>
        <w:t>z</w:t>
      </w:r>
      <w:r w:rsidRPr="00E9128C">
        <w:rPr>
          <w:rFonts w:cs="Arial"/>
          <w:szCs w:val="20"/>
        </w:rPr>
        <w:t xml:space="preserve"> 2. člen</w:t>
      </w:r>
      <w:r w:rsidR="000836AE" w:rsidRPr="00E9128C">
        <w:rPr>
          <w:rFonts w:cs="Arial"/>
          <w:szCs w:val="20"/>
        </w:rPr>
        <w:t xml:space="preserve">om </w:t>
      </w:r>
      <w:r w:rsidRPr="00E9128C">
        <w:rPr>
          <w:rFonts w:cs="Arial"/>
          <w:szCs w:val="20"/>
        </w:rPr>
        <w:t xml:space="preserve">tega zakona, ne gre za tretje izplačilo poslovne uspešnosti, sama višina dohodka pa se všteva v mejo, do katere se skupni dohodek iz 12. točke prvega odstavka 44. člena ZDoh-2 ne všteva v davčno osnovo. Če zimski </w:t>
      </w:r>
      <w:r w:rsidR="006B6E1C" w:rsidRPr="00E9128C">
        <w:rPr>
          <w:rFonts w:cs="Arial"/>
          <w:szCs w:val="20"/>
        </w:rPr>
        <w:t xml:space="preserve">regres </w:t>
      </w:r>
      <w:r w:rsidRPr="00E9128C">
        <w:rPr>
          <w:rFonts w:cs="Arial"/>
          <w:szCs w:val="20"/>
        </w:rPr>
        <w:t xml:space="preserve">presega navedeno višino, se v tem delu izplačilo šteje za eno od dveh dopustnih izplačil poslovne uspešnosti po 12. točki prvega odstavka 44. člena ZDoh-2. Če bi tako v tem delu zimski </w:t>
      </w:r>
      <w:r w:rsidR="006B6E1C" w:rsidRPr="00E9128C">
        <w:rPr>
          <w:rFonts w:cs="Arial"/>
          <w:szCs w:val="20"/>
        </w:rPr>
        <w:t xml:space="preserve">regres </w:t>
      </w:r>
      <w:r w:rsidRPr="00E9128C">
        <w:rPr>
          <w:rFonts w:cs="Arial"/>
          <w:szCs w:val="20"/>
        </w:rPr>
        <w:t xml:space="preserve">(v višini, ki presega višino, določeno </w:t>
      </w:r>
      <w:r w:rsidR="000836AE" w:rsidRPr="00E9128C">
        <w:rPr>
          <w:rFonts w:cs="Arial"/>
          <w:szCs w:val="20"/>
        </w:rPr>
        <w:t>z</w:t>
      </w:r>
      <w:r w:rsidRPr="00E9128C">
        <w:rPr>
          <w:rFonts w:cs="Arial"/>
          <w:szCs w:val="20"/>
        </w:rPr>
        <w:t xml:space="preserve"> 2. člen</w:t>
      </w:r>
      <w:r w:rsidR="000836AE" w:rsidRPr="00E9128C">
        <w:rPr>
          <w:rFonts w:cs="Arial"/>
          <w:szCs w:val="20"/>
        </w:rPr>
        <w:t>om</w:t>
      </w:r>
      <w:r w:rsidRPr="00E9128C">
        <w:rPr>
          <w:rFonts w:cs="Arial"/>
          <w:szCs w:val="20"/>
        </w:rPr>
        <w:t xml:space="preserve"> tega zakona) pomenil tretje izplačilo poslovne uspešnosti, se ta del ne more obravnavati v skladu z 12. točko prvega odstavka 44. člena ZDoh-2.</w:t>
      </w:r>
    </w:p>
    <w:p w14:paraId="56D8D653" w14:textId="77777777" w:rsidR="0011743A" w:rsidRPr="00E9128C" w:rsidRDefault="0011743A" w:rsidP="0011743A">
      <w:pPr>
        <w:spacing w:after="0" w:line="240" w:lineRule="auto"/>
        <w:jc w:val="both"/>
        <w:rPr>
          <w:rFonts w:cs="Arial"/>
          <w:szCs w:val="20"/>
        </w:rPr>
      </w:pPr>
    </w:p>
    <w:p w14:paraId="57A30452" w14:textId="1156519D" w:rsidR="0011743A" w:rsidRPr="00E9128C" w:rsidRDefault="00C55BED" w:rsidP="0011743A">
      <w:pPr>
        <w:spacing w:after="0" w:line="240" w:lineRule="auto"/>
        <w:jc w:val="both"/>
        <w:rPr>
          <w:rFonts w:cs="Arial"/>
          <w:szCs w:val="20"/>
        </w:rPr>
      </w:pPr>
      <w:r w:rsidRPr="00E9128C">
        <w:rPr>
          <w:rFonts w:cs="Arial"/>
          <w:szCs w:val="20"/>
        </w:rPr>
        <w:t>Z</w:t>
      </w:r>
      <w:r w:rsidR="008D73A3" w:rsidRPr="00E9128C">
        <w:rPr>
          <w:rFonts w:cs="Arial"/>
          <w:szCs w:val="20"/>
        </w:rPr>
        <w:t xml:space="preserve"> </w:t>
      </w:r>
      <w:r w:rsidR="00910E36" w:rsidRPr="00E9128C">
        <w:rPr>
          <w:rFonts w:cs="Arial"/>
          <w:szCs w:val="20"/>
        </w:rPr>
        <w:t>drugim</w:t>
      </w:r>
      <w:r w:rsidR="0011743A" w:rsidRPr="00E9128C">
        <w:rPr>
          <w:rFonts w:cs="Arial"/>
          <w:szCs w:val="20"/>
        </w:rPr>
        <w:t xml:space="preserve"> odstavkom je določeno, katere določbe ZDoh-2, ki urejajo plačila za poslovno uspešnost, se do ustrezne ureditve v zakonu, ki ureja dohodnino, uporabljajo tudi za zimski </w:t>
      </w:r>
      <w:r w:rsidR="006B6E1C" w:rsidRPr="00E9128C">
        <w:rPr>
          <w:rFonts w:cs="Arial"/>
          <w:szCs w:val="20"/>
        </w:rPr>
        <w:t>regres</w:t>
      </w:r>
      <w:r w:rsidR="0011743A" w:rsidRPr="00E9128C">
        <w:rPr>
          <w:rFonts w:cs="Arial"/>
          <w:szCs w:val="20"/>
        </w:rPr>
        <w:t xml:space="preserve">. Za zimski </w:t>
      </w:r>
      <w:r w:rsidR="006B6E1C" w:rsidRPr="00E9128C">
        <w:rPr>
          <w:rFonts w:cs="Arial"/>
          <w:szCs w:val="20"/>
        </w:rPr>
        <w:t xml:space="preserve">regres </w:t>
      </w:r>
      <w:r w:rsidR="0011743A" w:rsidRPr="00E9128C">
        <w:rPr>
          <w:rFonts w:cs="Arial"/>
          <w:szCs w:val="20"/>
        </w:rPr>
        <w:t xml:space="preserve">se uporablja šesti odstavek 41. člena ZDoh-2, ki določa, da se za dohodke iz dela plače za poslovno uspešnost in regresa za letni dopust, ki se vštevajo v davčno osnovo, davčna osnova zmanjša za sorazmerni del obveznih prispevkov za socialno varnost, ki jih mora na podlagi posebnih predpisov plačevati delojemalec, glede na delež teh dohodkov, ki se vštevajo v davčno osnovo. Nadalje se uporablja tudi četrti odstavek 44. člena ZDoh-2, ki določa, da če delodajalec med drugim izplačuje dohodke iz 12. točke prvega odstavka 44. člena ZDoh-2 (plačilo za poslovno uspešnost) v višini, ki presega znesek, naveden v navedeni točki kot neobdavčen, se znesek posameznega dohodka v delu, ki presega znesek, ki je določen kot neobdavčen, všteva v davčno osnovo dohodka iz delovnega razmerja. Določa se tudi, da se za zimski </w:t>
      </w:r>
      <w:r w:rsidR="006B6E1C" w:rsidRPr="00E9128C">
        <w:rPr>
          <w:rFonts w:cs="Arial"/>
          <w:szCs w:val="20"/>
        </w:rPr>
        <w:t xml:space="preserve">regres </w:t>
      </w:r>
      <w:r w:rsidR="0011743A" w:rsidRPr="00E9128C">
        <w:rPr>
          <w:rFonts w:cs="Arial"/>
          <w:szCs w:val="20"/>
        </w:rPr>
        <w:t>uporablja tudi trinajsti odstavek 127. člena ZDoh-2, ki med drugim določa, da če se plačilo za poslovno uspešnost izplačuje v več delih oziroma večkrat v davčnem letu, se ob izplačilu naslednjega oziroma zadnjega dela plačila za poslovno uspešnost ugotovi celotna višina plačila za poslovno uspešnost, ki se všteva v davčno osnovo, in izvrši morebitni izračun akontacije dohodnine ter morebitni poračun že plačane akontacije dohodnine od posameznih delov plačil za poslovno uspešnost v davčnem letu.</w:t>
      </w:r>
    </w:p>
    <w:p w14:paraId="23E99349" w14:textId="77777777" w:rsidR="0011743A" w:rsidRPr="00E9128C" w:rsidRDefault="0011743A" w:rsidP="0011743A">
      <w:pPr>
        <w:spacing w:after="0" w:line="240" w:lineRule="auto"/>
        <w:jc w:val="both"/>
        <w:rPr>
          <w:rFonts w:cs="Arial"/>
          <w:szCs w:val="20"/>
        </w:rPr>
      </w:pPr>
    </w:p>
    <w:p w14:paraId="52C414A9" w14:textId="20D39798" w:rsidR="0011743A" w:rsidRPr="00E9128C" w:rsidRDefault="0011743A" w:rsidP="0011743A">
      <w:pPr>
        <w:spacing w:after="0" w:line="240" w:lineRule="auto"/>
        <w:jc w:val="both"/>
        <w:rPr>
          <w:rFonts w:cs="Arial"/>
          <w:szCs w:val="20"/>
        </w:rPr>
      </w:pPr>
      <w:r w:rsidRPr="00E9128C">
        <w:rPr>
          <w:rFonts w:cs="Arial"/>
          <w:szCs w:val="20"/>
        </w:rPr>
        <w:t xml:space="preserve">S </w:t>
      </w:r>
      <w:r w:rsidR="005C3DFE" w:rsidRPr="00E9128C">
        <w:rPr>
          <w:rFonts w:cs="Arial"/>
          <w:szCs w:val="20"/>
        </w:rPr>
        <w:t>tretjim</w:t>
      </w:r>
      <w:r w:rsidRPr="00E9128C">
        <w:rPr>
          <w:rFonts w:cs="Arial"/>
          <w:szCs w:val="20"/>
        </w:rPr>
        <w:t xml:space="preserve"> odstavkom je določeno, da se do ustrezne ureditve v zakonu, ki ureja dohodnino, pri določanju letne davčne osnove v skladu s sedmim odstavkom 109. člena ZDoh-2 upošteva tudi zimski </w:t>
      </w:r>
      <w:r w:rsidR="006B6E1C" w:rsidRPr="00E9128C">
        <w:rPr>
          <w:rFonts w:cs="Arial"/>
          <w:szCs w:val="20"/>
        </w:rPr>
        <w:t>regres</w:t>
      </w:r>
      <w:r w:rsidRPr="00E9128C">
        <w:rPr>
          <w:rFonts w:cs="Arial"/>
          <w:szCs w:val="20"/>
        </w:rPr>
        <w:t xml:space="preserve">. To pomeni, da se v letno davčno osnovo od plačila za poslovno uspešnost ter od zimskega </w:t>
      </w:r>
      <w:r w:rsidR="006B6E1C" w:rsidRPr="00E9128C">
        <w:rPr>
          <w:rFonts w:cs="Arial"/>
          <w:szCs w:val="20"/>
        </w:rPr>
        <w:t xml:space="preserve">regresa </w:t>
      </w:r>
      <w:r w:rsidRPr="00E9128C">
        <w:rPr>
          <w:rFonts w:cs="Arial"/>
          <w:szCs w:val="20"/>
        </w:rPr>
        <w:t>všteva vsota teh dohodkov, ki presega 100 % povprečne letne plače zaposlenih v Sloveniji, preračunane na mesec, za leto, za katero se dohodnina odmerja, po podatkih Statističnega urada Republike Slovenije, zmanjšana za sorazmerni del prispevkov za socialno varnost, ki jih mora na podlagi posebnih predpisov plačevati delojemalec, glede na delež teh dohodkov, ki se vštevajo v davčno osnovo. V vsoto iz prejšnjega stavka se ne všteva posamezno izplačilo tega dohodka, za katerega niso izpolnjeni pogoji za davčno obravnavo po 12. točki prvega odstavka 44. člena  ZDoh-2.</w:t>
      </w:r>
    </w:p>
    <w:p w14:paraId="475979A0" w14:textId="77777777" w:rsidR="0011743A" w:rsidRPr="00E9128C" w:rsidRDefault="0011743A" w:rsidP="0011743A">
      <w:pPr>
        <w:spacing w:after="0" w:line="240" w:lineRule="auto"/>
        <w:jc w:val="both"/>
        <w:rPr>
          <w:rFonts w:cs="Arial"/>
          <w:szCs w:val="20"/>
        </w:rPr>
      </w:pPr>
    </w:p>
    <w:p w14:paraId="4E9BCDFC" w14:textId="6C4A5A0C" w:rsidR="0011743A" w:rsidRPr="00E9128C" w:rsidRDefault="0011743A" w:rsidP="0011743A">
      <w:pPr>
        <w:spacing w:after="0" w:line="240" w:lineRule="auto"/>
        <w:jc w:val="both"/>
        <w:rPr>
          <w:rFonts w:cs="Arial"/>
          <w:b/>
          <w:bCs/>
          <w:szCs w:val="20"/>
        </w:rPr>
      </w:pPr>
      <w:r w:rsidRPr="00E9128C">
        <w:rPr>
          <w:rFonts w:cs="Arial"/>
          <w:b/>
          <w:bCs/>
          <w:szCs w:val="20"/>
        </w:rPr>
        <w:t xml:space="preserve">K </w:t>
      </w:r>
      <w:r w:rsidR="000836AE" w:rsidRPr="00E9128C">
        <w:rPr>
          <w:rFonts w:cs="Arial"/>
          <w:b/>
          <w:bCs/>
          <w:szCs w:val="20"/>
        </w:rPr>
        <w:t>5</w:t>
      </w:r>
      <w:r w:rsidRPr="00E9128C">
        <w:rPr>
          <w:rFonts w:cs="Arial"/>
          <w:b/>
          <w:bCs/>
          <w:szCs w:val="20"/>
        </w:rPr>
        <w:t>. členu</w:t>
      </w:r>
    </w:p>
    <w:p w14:paraId="4A3A14BD" w14:textId="65C285C9" w:rsidR="0011743A" w:rsidRPr="00E9128C" w:rsidRDefault="0011743A" w:rsidP="0011743A">
      <w:pPr>
        <w:spacing w:after="0" w:line="240" w:lineRule="auto"/>
        <w:jc w:val="both"/>
        <w:rPr>
          <w:rFonts w:cs="Arial"/>
          <w:szCs w:val="20"/>
        </w:rPr>
      </w:pPr>
      <w:r w:rsidRPr="00E9128C">
        <w:rPr>
          <w:rFonts w:cs="Arial"/>
          <w:szCs w:val="20"/>
        </w:rPr>
        <w:t xml:space="preserve">S tem členom se ureja odstop od prvega odstavka 144. člena Zakona o pokojninskem in invalidskem zavarovanju (Uradni list RS, št. 48/22 – uradno prečiščeno besedilo, 40/23 – ZČmIS-1, 78/23 – ZORR, 84/23 – ZDOsk-1, 125/23 – odl. US in 133/23), v katerem se določa osnova za plačilo prispevkov za osebe v delovnem razmerju. Znesek zimskega </w:t>
      </w:r>
      <w:r w:rsidR="006B6E1C" w:rsidRPr="00E9128C">
        <w:rPr>
          <w:rFonts w:cs="Arial"/>
          <w:szCs w:val="20"/>
        </w:rPr>
        <w:t xml:space="preserve">regresa </w:t>
      </w:r>
      <w:r w:rsidRPr="00E9128C">
        <w:rPr>
          <w:rFonts w:cs="Arial"/>
          <w:szCs w:val="20"/>
        </w:rPr>
        <w:t xml:space="preserve">za posamezno leto, ki se ne všteva v osnovo za prispevke, tako ne sme presegati višine polovice minimalne plače v Republiki Sloveniji. </w:t>
      </w:r>
    </w:p>
    <w:p w14:paraId="313A687C" w14:textId="77777777" w:rsidR="0011743A" w:rsidRPr="00E9128C" w:rsidRDefault="0011743A" w:rsidP="0011743A">
      <w:pPr>
        <w:spacing w:after="0" w:line="240" w:lineRule="auto"/>
        <w:jc w:val="both"/>
        <w:rPr>
          <w:rFonts w:cs="Arial"/>
          <w:szCs w:val="20"/>
        </w:rPr>
      </w:pPr>
    </w:p>
    <w:p w14:paraId="28C71E03" w14:textId="77777777" w:rsidR="0011743A" w:rsidRPr="00E9128C" w:rsidRDefault="0011743A" w:rsidP="0011743A">
      <w:pPr>
        <w:spacing w:after="0" w:line="240" w:lineRule="auto"/>
        <w:jc w:val="both"/>
        <w:rPr>
          <w:rFonts w:cs="Arial"/>
          <w:szCs w:val="20"/>
        </w:rPr>
      </w:pPr>
      <w:r w:rsidRPr="00E9128C">
        <w:rPr>
          <w:rFonts w:cs="Arial"/>
          <w:szCs w:val="20"/>
        </w:rPr>
        <w:t>Sprememba pomeni spremembo za vse prispevke za socialno varnost, saj je v skladu s prvim odstavkom 50.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 10. člena Zakona o starševskem varstvu in družinskih prejemkih (Uradni list RS, št. 26/14, 90/15, 75/17 – ZUPJS-G, 14/18, 81/19, 158/20, 92/21, 153/22 in 36/25) ter 135. člena Zakona o urejanju trga dela (Uradni list RS, št. 80/10, 40/12 – ZUJF, 21/13, 63/13, 100/13, 32/14 – ZPDZC-1, 47/15 – ZZSDT, 55/17, 75/19, 11/20 – odl. US, 189/20 – ZFRO, 54/21, 172/21 – ZODPol-G, 54/22, 59/22 – odl. US, 109/23, 62/24 – ZUOPUE in 70/25) osnova za plačilo prispevkov za obveznost zdravstveno zavarovanje, za starševsko varstvo ter za primer brezposelnosti enaka osnovi za plačilo prispevkov za obvezno pokojninsko in invalidsko zavarovanje.</w:t>
      </w:r>
    </w:p>
    <w:p w14:paraId="6B037BD5" w14:textId="77777777" w:rsidR="0011743A" w:rsidRPr="00E9128C" w:rsidRDefault="0011743A" w:rsidP="0011743A">
      <w:pPr>
        <w:spacing w:after="0" w:line="240" w:lineRule="auto"/>
        <w:jc w:val="both"/>
        <w:rPr>
          <w:rFonts w:cs="Arial"/>
          <w:szCs w:val="20"/>
        </w:rPr>
      </w:pPr>
    </w:p>
    <w:p w14:paraId="6CB45ACD" w14:textId="478711ED" w:rsidR="00561C3D" w:rsidRPr="00E9128C" w:rsidRDefault="00561C3D" w:rsidP="00561C3D">
      <w:pPr>
        <w:spacing w:after="0" w:line="240" w:lineRule="auto"/>
        <w:jc w:val="both"/>
        <w:rPr>
          <w:rFonts w:cs="Arial"/>
          <w:szCs w:val="20"/>
        </w:rPr>
      </w:pPr>
      <w:r w:rsidRPr="00E9128C">
        <w:rPr>
          <w:rFonts w:cs="Arial"/>
          <w:b/>
          <w:bCs/>
          <w:szCs w:val="20"/>
        </w:rPr>
        <w:t xml:space="preserve">K </w:t>
      </w:r>
      <w:r w:rsidR="00FA342B">
        <w:rPr>
          <w:rFonts w:cs="Arial"/>
          <w:b/>
          <w:bCs/>
          <w:szCs w:val="20"/>
        </w:rPr>
        <w:t>6</w:t>
      </w:r>
      <w:r w:rsidRPr="00E9128C">
        <w:rPr>
          <w:rFonts w:cs="Arial"/>
          <w:b/>
          <w:bCs/>
          <w:szCs w:val="20"/>
        </w:rPr>
        <w:t>. členu</w:t>
      </w:r>
    </w:p>
    <w:p w14:paraId="5D230F57" w14:textId="77777777" w:rsidR="00561C3D" w:rsidRPr="00E9128C" w:rsidRDefault="00561C3D" w:rsidP="00561C3D">
      <w:pPr>
        <w:spacing w:after="0" w:line="260" w:lineRule="atLeast"/>
        <w:contextualSpacing/>
        <w:jc w:val="both"/>
        <w:rPr>
          <w:rFonts w:cs="Arial"/>
          <w:szCs w:val="20"/>
        </w:rPr>
      </w:pPr>
      <w:bookmarkStart w:id="17" w:name="_Hlk114157542"/>
      <w:r w:rsidRPr="00E9128C">
        <w:rPr>
          <w:rFonts w:cs="Arial"/>
          <w:szCs w:val="20"/>
        </w:rPr>
        <w:t>S tem členom se dela odstop od 48. člena ZDoh-2.</w:t>
      </w:r>
    </w:p>
    <w:p w14:paraId="251062CF" w14:textId="77777777" w:rsidR="00561C3D" w:rsidRPr="00E9128C" w:rsidRDefault="00561C3D" w:rsidP="00561C3D">
      <w:pPr>
        <w:spacing w:after="0" w:line="260" w:lineRule="atLeast"/>
        <w:contextualSpacing/>
        <w:jc w:val="both"/>
        <w:rPr>
          <w:rFonts w:cs="Arial"/>
          <w:szCs w:val="20"/>
        </w:rPr>
      </w:pPr>
    </w:p>
    <w:p w14:paraId="00AB6FC0" w14:textId="77777777" w:rsidR="00561C3D" w:rsidRPr="00E9128C" w:rsidRDefault="00561C3D" w:rsidP="00561C3D">
      <w:pPr>
        <w:spacing w:after="0" w:line="260" w:lineRule="atLeast"/>
        <w:contextualSpacing/>
        <w:jc w:val="both"/>
        <w:rPr>
          <w:rFonts w:cs="Arial"/>
          <w:szCs w:val="20"/>
        </w:rPr>
      </w:pPr>
      <w:r w:rsidRPr="00E9128C">
        <w:rPr>
          <w:rFonts w:cs="Arial"/>
          <w:szCs w:val="20"/>
        </w:rPr>
        <w:t>Prvi in drugi odstavek se vsebinsko glede na veljavno določbo 48. člena ZDoh-2 ne spreminjata.</w:t>
      </w:r>
    </w:p>
    <w:p w14:paraId="4BEAD657" w14:textId="77777777" w:rsidR="00561C3D" w:rsidRPr="00E9128C" w:rsidRDefault="00561C3D" w:rsidP="00561C3D">
      <w:pPr>
        <w:spacing w:after="0" w:line="260" w:lineRule="atLeast"/>
        <w:contextualSpacing/>
        <w:jc w:val="both"/>
        <w:rPr>
          <w:rFonts w:cs="Arial"/>
          <w:szCs w:val="20"/>
        </w:rPr>
      </w:pPr>
    </w:p>
    <w:p w14:paraId="0B2DAD4A" w14:textId="77777777" w:rsidR="00561C3D" w:rsidRPr="00E9128C" w:rsidRDefault="00561C3D" w:rsidP="00561C3D">
      <w:pPr>
        <w:spacing w:after="0" w:line="260" w:lineRule="atLeast"/>
        <w:contextualSpacing/>
        <w:jc w:val="both"/>
        <w:rPr>
          <w:rFonts w:cs="Arial"/>
          <w:szCs w:val="20"/>
        </w:rPr>
      </w:pPr>
      <w:r w:rsidRPr="00E9128C">
        <w:rPr>
          <w:rFonts w:cs="Arial"/>
          <w:szCs w:val="20"/>
        </w:rPr>
        <w:t xml:space="preserve">S tretjim odstavkom se dodaja dodatni pogoj za vstop v sistem ugotavljanja davčne osnove z upoštevanjem normiranih odhodkov, in sicer pogoj, da je od izstopa iz sistema ugotavljanja davčne osnove z upoštevanjem normiranih odhodkov ali od prenehanja opravljanja dejavnosti preteklo več kot pet davčnih let. Pri presoji izpolnjevanja tega pogoja se davčno leto prenehanja opravljanja dejavnosti </w:t>
      </w:r>
      <w:r w:rsidRPr="00E9128C">
        <w:rPr>
          <w:rFonts w:cs="Arial"/>
          <w:szCs w:val="20"/>
        </w:rPr>
        <w:lastRenderedPageBreak/>
        <w:t>ne upošteva. Spreminja se torej pogoj za (ponovni) vstop v sistem ugotavljanja davčne osnove z upoštevanjem normiranih odhodkov na način, da zavezanec tega sistema ne more priglasiti, če od izstopa iz sistema ugotavljanja davčne osnove z upoštevanjem normiranih odhodkov ali od prenehanja opravljanja dejavnosti ni preteklo vsaj pet davčnih let. Če je torej zavezanec izstopil iz sistema z davčnim letom 2025 (torej je z davčnim letom 2025 ugotavljal davčno osnovo od dohodka iz dejavnosti na podlagi dejanskih prihodkov in odhodkov), lahko ob izpolnjevanju drugih pogojev ponovno vstopi v sistem z davčnim letom 2030. Če je zavezanec prenehal z opravljanje dejavnosti v letu 2025, pa lahko ob izpolnjevanju drugih pogojev ponovno vstopi v sistem z davčnim letom 2031.</w:t>
      </w:r>
    </w:p>
    <w:p w14:paraId="725D9B1D" w14:textId="77777777" w:rsidR="00561C3D" w:rsidRPr="00E9128C" w:rsidRDefault="00561C3D" w:rsidP="00561C3D">
      <w:pPr>
        <w:spacing w:after="0" w:line="260" w:lineRule="atLeast"/>
        <w:contextualSpacing/>
        <w:jc w:val="both"/>
        <w:rPr>
          <w:rFonts w:cs="Arial"/>
          <w:szCs w:val="20"/>
        </w:rPr>
      </w:pPr>
    </w:p>
    <w:p w14:paraId="0C14A053" w14:textId="77777777" w:rsidR="00561C3D" w:rsidRPr="00E9128C" w:rsidRDefault="00561C3D" w:rsidP="00561C3D">
      <w:pPr>
        <w:spacing w:after="0" w:line="260" w:lineRule="atLeast"/>
        <w:contextualSpacing/>
        <w:jc w:val="both"/>
        <w:rPr>
          <w:rFonts w:cs="Arial"/>
          <w:szCs w:val="20"/>
        </w:rPr>
      </w:pPr>
      <w:r w:rsidRPr="00E9128C">
        <w:rPr>
          <w:rFonts w:cs="Arial"/>
          <w:szCs w:val="20"/>
        </w:rPr>
        <w:t xml:space="preserve">Nadalje se s spremembo tretjega odstavka zvišujeta prihodkovna pogoja za vstop v sistem ugotavljanja davčne osnove na podlagi dejanskih prihodkov in normiranih odhodkov. Za zavezanca, ki je bil v davčnem letu pred davčnim letom, v katerem želi vstopiti v sistem ugotavljanja davčne osnove z upoštevanjem normiranih odhodkov, v skladu z zakonom, ki ureja pokojninsko in invalidsko zavarovanje, obvezno zavarovan na podlagi samozaposlitve za polni delovni čas neprekinjeno vsaj devet mesecev, se prihodkovni prag dviguje s 60.000 EUR na 120.000 EUR. Za ostale zavezance (t. i. popoldance) pa se prihodkovni prag dviguje s 30.000 EUR na 50.000 EUR. </w:t>
      </w:r>
    </w:p>
    <w:p w14:paraId="0E573C23" w14:textId="77777777" w:rsidR="00561C3D" w:rsidRPr="00E9128C" w:rsidRDefault="00561C3D" w:rsidP="00561C3D">
      <w:pPr>
        <w:spacing w:after="0" w:line="260" w:lineRule="atLeast"/>
        <w:contextualSpacing/>
        <w:jc w:val="both"/>
        <w:rPr>
          <w:rFonts w:cs="Arial"/>
          <w:szCs w:val="20"/>
        </w:rPr>
      </w:pPr>
      <w:r w:rsidRPr="00E9128C">
        <w:rPr>
          <w:rFonts w:cs="Arial"/>
          <w:szCs w:val="20"/>
        </w:rPr>
        <w:t xml:space="preserve"> </w:t>
      </w:r>
    </w:p>
    <w:p w14:paraId="43AAD618" w14:textId="77777777" w:rsidR="00561C3D" w:rsidRPr="00E9128C" w:rsidRDefault="00561C3D" w:rsidP="00561C3D">
      <w:pPr>
        <w:spacing w:after="0" w:line="260" w:lineRule="atLeast"/>
        <w:contextualSpacing/>
        <w:jc w:val="both"/>
        <w:rPr>
          <w:rFonts w:cs="Arial"/>
          <w:szCs w:val="20"/>
        </w:rPr>
      </w:pPr>
      <w:r w:rsidRPr="00E9128C">
        <w:rPr>
          <w:rFonts w:cs="Arial"/>
          <w:szCs w:val="20"/>
        </w:rPr>
        <w:t>S spremembo četrtega odstavka se spreminja način obravnave zavezanca, ki v davčnem letu pred davčnim letom, s katerim želi vstopiti v sistem ugotavljanja davčne osnove z upoštevanjem normiranih odhodkov, ni opravljal dejavnosti. Pri presoji izpolnjevanja pogojev za vstop v sistem ugotavljanja davčne osnove z upoštevanjem normiranih odhodkov se za takega zavezanca šteje, da so v davčnem letu pred tem davčnim letom prihodki iz dejavnosti enaki nič. Torej se šteje, da zavezanec, ki v davčnem letu pred priglasitvijo ugotavljanja davčne osnove z upoštevanjem normiranih odhodkov ni opravljal dejavnosti, izpolnjuje prihodkovni pogoj za vstop v sistem (torej prihodkovnega pogoja ne more preseči).</w:t>
      </w:r>
    </w:p>
    <w:p w14:paraId="0BE42639" w14:textId="77777777" w:rsidR="00561C3D" w:rsidRPr="00E9128C" w:rsidRDefault="00561C3D" w:rsidP="00561C3D">
      <w:pPr>
        <w:spacing w:after="0" w:line="260" w:lineRule="atLeast"/>
        <w:contextualSpacing/>
        <w:jc w:val="both"/>
        <w:rPr>
          <w:rFonts w:cs="Arial"/>
          <w:szCs w:val="20"/>
        </w:rPr>
      </w:pPr>
    </w:p>
    <w:p w14:paraId="4A9B0178" w14:textId="77777777" w:rsidR="00561C3D" w:rsidRPr="00E9128C" w:rsidRDefault="00561C3D" w:rsidP="00561C3D">
      <w:pPr>
        <w:spacing w:after="0" w:line="260" w:lineRule="atLeast"/>
        <w:contextualSpacing/>
        <w:jc w:val="both"/>
        <w:rPr>
          <w:rFonts w:cs="Arial"/>
          <w:szCs w:val="20"/>
        </w:rPr>
      </w:pPr>
      <w:r w:rsidRPr="00E9128C">
        <w:rPr>
          <w:rFonts w:cs="Arial"/>
          <w:szCs w:val="20"/>
        </w:rPr>
        <w:t>Peti odstavek se vsebinsko glede na veljavno določbo 48. člena ZDoh-2 ne spreminja.</w:t>
      </w:r>
    </w:p>
    <w:p w14:paraId="37942B3E" w14:textId="77777777" w:rsidR="00561C3D" w:rsidRPr="00E9128C" w:rsidRDefault="00561C3D" w:rsidP="00561C3D">
      <w:pPr>
        <w:spacing w:after="0" w:line="260" w:lineRule="atLeast"/>
        <w:contextualSpacing/>
        <w:jc w:val="both"/>
        <w:rPr>
          <w:rFonts w:cs="Arial"/>
          <w:szCs w:val="20"/>
        </w:rPr>
      </w:pPr>
    </w:p>
    <w:p w14:paraId="4A4BAA69" w14:textId="77777777" w:rsidR="00561C3D" w:rsidRPr="00E9128C" w:rsidRDefault="00561C3D" w:rsidP="00561C3D">
      <w:pPr>
        <w:spacing w:after="0" w:line="260" w:lineRule="atLeast"/>
        <w:contextualSpacing/>
        <w:jc w:val="both"/>
        <w:rPr>
          <w:rFonts w:cs="Arial"/>
          <w:szCs w:val="20"/>
        </w:rPr>
      </w:pPr>
      <w:r w:rsidRPr="00E9128C">
        <w:rPr>
          <w:rFonts w:cs="Arial"/>
          <w:szCs w:val="20"/>
        </w:rPr>
        <w:t>S spremenjenim šestim odstavkom se tudi za zavezance iz 47. člena ZDoh-2 (zavezanci, ki opravljajo kmetijsko dejavnost in se prostovoljno odločijo za ugotavljanje davčne osnove na podlagi dejanskih prihodkov), dodaja dodatni pogoj za vstop v sistem ugotavljanja davčne osnove z upoštevanjem normiranih odhodkov. To je, da je od izstopa iz sistema ugotavljanja davčne osnove z upoštevanjem normiranih odhodkov ali od prenehanja ugotavljanja davčne osnove po drugem odstavku 47. člena ZDoh-2 preteklo več kot pet davčnih let. S spremembo tega odstavka pa se tudi za te zavezance zvišuje prihodkovni pogoj za vstop v sistem ugotavljanja davčne osnove z upoštevanjem normiranih odhodkov, in sicer s 60.000 EUR na 120.000 EUR na nosilca in na drugega člana kmečkega gospodinjstva, ki je vključen v obvezno pokojninsko in invalidsko zavarovanje kot kmet oziroma član kmečkega gospodarstva, v skladu z zakonom, ki ureja obvezno pokojninsko in invalidsko zavarovanje.</w:t>
      </w:r>
    </w:p>
    <w:p w14:paraId="53D56386" w14:textId="77777777" w:rsidR="00561C3D" w:rsidRPr="00E9128C" w:rsidRDefault="00561C3D" w:rsidP="00561C3D">
      <w:pPr>
        <w:spacing w:after="0" w:line="260" w:lineRule="atLeast"/>
        <w:contextualSpacing/>
        <w:jc w:val="both"/>
        <w:rPr>
          <w:rFonts w:cs="Arial"/>
          <w:szCs w:val="20"/>
        </w:rPr>
      </w:pPr>
    </w:p>
    <w:p w14:paraId="3C57DC4E" w14:textId="77777777" w:rsidR="00561C3D" w:rsidRPr="00E9128C" w:rsidRDefault="00561C3D" w:rsidP="00561C3D">
      <w:pPr>
        <w:spacing w:after="0" w:line="260" w:lineRule="atLeast"/>
        <w:contextualSpacing/>
        <w:jc w:val="both"/>
        <w:rPr>
          <w:rFonts w:cs="Arial"/>
          <w:szCs w:val="20"/>
        </w:rPr>
      </w:pPr>
      <w:r w:rsidRPr="00E9128C">
        <w:rPr>
          <w:rFonts w:cs="Arial"/>
          <w:szCs w:val="20"/>
        </w:rPr>
        <w:t>S spremembo sedmega odstavka se tudi za zavezanca iz 47. člena ZDoh-2 spreminja način obravnave zavezanca, ki v davčnem letu pred davčnim letom, s katerim želi vstopiti v sistem ugotavljanja davčne osnove z upoštevanjem normiranih odhodkov, ni imel priglašenega ugotavljanja davčne osnove po drugem odstavku 47. člena ZDoh-2. Pri presoji izpolnjevanja pogojev za vstop v sistem ugotavljanja davčne osnove z upoštevanjem normiranih odhodkov se za takega zavezanca šteje, da so v predhodnem davčnem letu pred tem davčnim letom prihodki nosilca in drugih članov kmečkega gospodinjstva iz osnovne kmetijske in osnovne gozdarske dejavnosti enaki nič. To pomeni, da se v takem primeru upoštevajo samo morebitni prihodki iz drugih dejavnosti nosilca in članov kmečkega gospodinjstva, ki so vključeni v obvezno pokojninsko in invalidsko zavarovanje kot kmet oziroma član kmečkega gospodinjstva, v skladu z zakonom, ki ureja obvezno pokojninsko in invalidsko zavarovanje.</w:t>
      </w:r>
    </w:p>
    <w:bookmarkEnd w:id="17"/>
    <w:p w14:paraId="11AB60E6" w14:textId="77777777" w:rsidR="00561C3D" w:rsidRPr="00E9128C" w:rsidRDefault="00561C3D" w:rsidP="00561C3D">
      <w:pPr>
        <w:spacing w:after="0" w:line="260" w:lineRule="atLeast"/>
        <w:contextualSpacing/>
        <w:jc w:val="both"/>
        <w:rPr>
          <w:rFonts w:cs="Arial"/>
          <w:szCs w:val="20"/>
        </w:rPr>
      </w:pPr>
    </w:p>
    <w:p w14:paraId="76B112BF" w14:textId="77777777" w:rsidR="00561C3D" w:rsidRPr="00E9128C" w:rsidRDefault="00561C3D" w:rsidP="00561C3D">
      <w:pPr>
        <w:spacing w:after="0" w:line="260" w:lineRule="atLeast"/>
        <w:contextualSpacing/>
        <w:jc w:val="both"/>
        <w:rPr>
          <w:rFonts w:cs="Arial"/>
          <w:szCs w:val="20"/>
        </w:rPr>
      </w:pPr>
      <w:r w:rsidRPr="00E9128C">
        <w:rPr>
          <w:rFonts w:cs="Arial"/>
          <w:szCs w:val="20"/>
        </w:rPr>
        <w:t xml:space="preserve">Sprememba osmega odstavka je povezana s spremembo tretjega, četrtega, šestega in sedmega  odstavka tega člena. Črta se eden izmed pogojev, pod katerim se za potrebe določanja višine prihodkov iz tretjega in šestega odstavka tega člena ne uporabljata četrti in sedmi odstavek tega člena, in sicer </w:t>
      </w:r>
      <w:r w:rsidRPr="00E9128C">
        <w:rPr>
          <w:rFonts w:cs="Arial"/>
          <w:szCs w:val="20"/>
        </w:rPr>
        <w:lastRenderedPageBreak/>
        <w:t>pogoj če je v 18. mesecih pred priglasitvijo ugotavljanja davčne osnove na podlagi dejanskih prihodkov in normiranih odhodkov zavezanec ponovno začel opravljati dejavnost, če je prenehal opravljati dejavnost v šestih mesecih pred ponovnim začetkom opravljanja dejavnosti. Navedena sprememba je, kot navedeno, posledica spremenjenih pogojev za vstop v sistem ugotavljanja davčne osnove z upoštevanjem normiranih odhodkov po spremenjenem tretjem in šestem odstavku tega člena (pet let) ter posledica spremenjenega načina presojanja prihodkovnih pogojev za vstop v sistem v primeru začetka opravljanja dejavnosti oziroma priglasitve ugotavljanja davčne osnove po drugem odstavku 47. člena ZDoh-2 (spremenjena četrti in šesti odstavek tega člena).</w:t>
      </w:r>
    </w:p>
    <w:p w14:paraId="02291643" w14:textId="77777777" w:rsidR="00561C3D" w:rsidRPr="00E9128C" w:rsidRDefault="00561C3D" w:rsidP="00561C3D">
      <w:pPr>
        <w:spacing w:after="0" w:line="260" w:lineRule="atLeast"/>
        <w:contextualSpacing/>
        <w:jc w:val="both"/>
        <w:rPr>
          <w:rFonts w:cs="Arial"/>
          <w:szCs w:val="20"/>
        </w:rPr>
      </w:pPr>
    </w:p>
    <w:p w14:paraId="7D47B8F7" w14:textId="77777777" w:rsidR="00561C3D" w:rsidRPr="00E9128C" w:rsidRDefault="00561C3D" w:rsidP="00561C3D">
      <w:pPr>
        <w:spacing w:after="0" w:line="260" w:lineRule="atLeast"/>
        <w:contextualSpacing/>
        <w:jc w:val="both"/>
        <w:rPr>
          <w:rFonts w:cs="Arial"/>
          <w:szCs w:val="20"/>
        </w:rPr>
      </w:pPr>
      <w:r w:rsidRPr="00E9128C">
        <w:rPr>
          <w:rFonts w:cs="Arial"/>
          <w:szCs w:val="20"/>
        </w:rPr>
        <w:t>Prav tako je sprememba v devetem odstavku posledica sprememb pogojev za vstop v sistem ugotavljanja davčne osnove z upoštevanjem normiranih odhodkov po spremenjenem tretjem oziroma šestem odstavku tega člena (pet let) in posledica sprememb četrtega in sedmega odstavka tega člena. V devetem odstavku se črta pogoj, da se v prihodke po tretjem oziroma šestem odstavku štejejo prihodki zavezanca, doseženi pred prenehanjem opravljanja dejavnosti.</w:t>
      </w:r>
    </w:p>
    <w:p w14:paraId="438FD784" w14:textId="77777777" w:rsidR="00561C3D" w:rsidRPr="00E9128C" w:rsidRDefault="00561C3D" w:rsidP="00561C3D">
      <w:pPr>
        <w:spacing w:after="0" w:line="260" w:lineRule="atLeast"/>
        <w:contextualSpacing/>
        <w:jc w:val="both"/>
        <w:rPr>
          <w:rFonts w:cs="Arial"/>
          <w:szCs w:val="20"/>
        </w:rPr>
      </w:pPr>
    </w:p>
    <w:p w14:paraId="004BB035" w14:textId="77777777" w:rsidR="00561C3D" w:rsidRPr="00E9128C" w:rsidRDefault="00561C3D" w:rsidP="00561C3D">
      <w:pPr>
        <w:spacing w:after="0" w:line="260" w:lineRule="atLeast"/>
        <w:contextualSpacing/>
        <w:jc w:val="both"/>
        <w:rPr>
          <w:rFonts w:cs="Arial"/>
          <w:szCs w:val="20"/>
        </w:rPr>
      </w:pPr>
      <w:r w:rsidRPr="00E9128C">
        <w:rPr>
          <w:rFonts w:cs="Arial"/>
          <w:szCs w:val="20"/>
        </w:rPr>
        <w:t>Deseti, enajsti in dvanajsti odstavki se vsebinsko glede na veljavne določbe 48. člena ZDoh-2 ne spreminjajo.</w:t>
      </w:r>
    </w:p>
    <w:p w14:paraId="72B39F24" w14:textId="77777777" w:rsidR="00561C3D" w:rsidRPr="00E9128C" w:rsidRDefault="00561C3D" w:rsidP="00561C3D">
      <w:pPr>
        <w:spacing w:after="0" w:line="260" w:lineRule="atLeast"/>
        <w:contextualSpacing/>
        <w:jc w:val="both"/>
        <w:rPr>
          <w:rFonts w:cs="Arial"/>
          <w:szCs w:val="20"/>
        </w:rPr>
      </w:pPr>
    </w:p>
    <w:p w14:paraId="6FED29A1" w14:textId="77777777" w:rsidR="00561C3D" w:rsidRPr="00E9128C" w:rsidRDefault="00561C3D" w:rsidP="00561C3D">
      <w:pPr>
        <w:spacing w:after="0" w:line="260" w:lineRule="atLeast"/>
        <w:contextualSpacing/>
        <w:jc w:val="both"/>
        <w:rPr>
          <w:rFonts w:cs="Arial"/>
          <w:szCs w:val="20"/>
        </w:rPr>
      </w:pPr>
      <w:r w:rsidRPr="00E9128C">
        <w:rPr>
          <w:rFonts w:cs="Arial"/>
          <w:szCs w:val="20"/>
        </w:rPr>
        <w:t xml:space="preserve">Dosedanji trinajsti odstavek se črta, ker določba ni več potrebna. Vsebina, da mora zavezanec vsako leto preverjati izpolnjevanje prihodkovnih pogojev tudi, ko je že v sistemu ugotavljanja davčne osnove z upoštevanjem normiranih odhodkov, je pokrita s spremenjenim dosedanjim štirinajstim odstavkom, ki postane trinajsti odstavek. </w:t>
      </w:r>
    </w:p>
    <w:p w14:paraId="7862EFF5" w14:textId="77777777" w:rsidR="00561C3D" w:rsidRPr="00E9128C" w:rsidRDefault="00561C3D" w:rsidP="00561C3D">
      <w:pPr>
        <w:spacing w:after="0" w:line="260" w:lineRule="atLeast"/>
        <w:contextualSpacing/>
        <w:jc w:val="both"/>
        <w:rPr>
          <w:rFonts w:cs="Arial"/>
          <w:szCs w:val="20"/>
        </w:rPr>
      </w:pPr>
    </w:p>
    <w:p w14:paraId="069C8E8E" w14:textId="77777777" w:rsidR="00561C3D" w:rsidRPr="00E9128C" w:rsidRDefault="00561C3D" w:rsidP="00561C3D">
      <w:pPr>
        <w:spacing w:after="0" w:line="260" w:lineRule="atLeast"/>
        <w:contextualSpacing/>
        <w:jc w:val="both"/>
        <w:rPr>
          <w:rFonts w:cs="Arial"/>
          <w:szCs w:val="20"/>
        </w:rPr>
      </w:pPr>
      <w:r w:rsidRPr="00E9128C">
        <w:rPr>
          <w:rFonts w:cs="Arial"/>
          <w:szCs w:val="20"/>
        </w:rPr>
        <w:t>S spremembo dosedanjega štirinajstega odstavka, ki je po novem trinajsti odstavek, se zvišujejo prihodkovni pogoji povprečja prihodkov dveh zaporedni predhodnih davčnih za izstop oziroma obstoj v sistemu ugotavljanja davčne osnove z upoštevanjem normiranih odhodkov. Zavezanec mora za davčno leto ugotavljati davčno osnovo na podlagi dejanskih prihodkov in odhodkov in voditi ustrezne poslovne knjige, evidence in poslovno poročilo, ki jih je dolžan voditi za ugotavljanje davčne osnove na podlagi dejanskih prihodkov in odhodkov, če povprečje prihodkov iz dejavnosti, ugotovljenih po pravilih o računovodenju, dveh zaporednih predhodnih davčnih let presega:</w:t>
      </w:r>
    </w:p>
    <w:p w14:paraId="3F159D80" w14:textId="77777777" w:rsidR="00561C3D" w:rsidRPr="00E9128C" w:rsidRDefault="00561C3D" w:rsidP="00561C3D">
      <w:pPr>
        <w:numPr>
          <w:ilvl w:val="0"/>
          <w:numId w:val="23"/>
        </w:numPr>
        <w:spacing w:after="0" w:line="260" w:lineRule="atLeast"/>
        <w:contextualSpacing/>
        <w:jc w:val="both"/>
        <w:rPr>
          <w:rFonts w:cs="Arial"/>
          <w:szCs w:val="20"/>
          <w:lang w:eastAsia="sl-SI"/>
        </w:rPr>
      </w:pPr>
      <w:r w:rsidRPr="00E9128C">
        <w:rPr>
          <w:rFonts w:cs="Arial"/>
          <w:szCs w:val="20"/>
          <w:lang w:eastAsia="sl-SI"/>
        </w:rPr>
        <w:t>120.000 EUR (prej 60.000 EUR) in je bil v teh dveh predhodnih davčnih letih v posameznem davčnem letu v skladu z zakonom, ki ureja pokojninsko in invalidsko zavarovanje, obvezno zavarovan na podlagi samozaposlitve za polni delovni čas neprekinjeno vsaj devet mesecev,</w:t>
      </w:r>
    </w:p>
    <w:p w14:paraId="3B480F04" w14:textId="77777777" w:rsidR="00561C3D" w:rsidRPr="00E9128C" w:rsidRDefault="00561C3D" w:rsidP="00561C3D">
      <w:pPr>
        <w:numPr>
          <w:ilvl w:val="0"/>
          <w:numId w:val="23"/>
        </w:numPr>
        <w:spacing w:after="0" w:line="260" w:lineRule="atLeast"/>
        <w:contextualSpacing/>
        <w:jc w:val="both"/>
        <w:rPr>
          <w:rFonts w:cs="Arial"/>
          <w:szCs w:val="20"/>
          <w:lang w:eastAsia="sl-SI"/>
        </w:rPr>
      </w:pPr>
      <w:r w:rsidRPr="00E9128C">
        <w:rPr>
          <w:rFonts w:cs="Arial"/>
          <w:szCs w:val="20"/>
          <w:lang w:eastAsia="sl-SI"/>
        </w:rPr>
        <w:t>50.000 EUR (prej 30.000 EUR) in v teh dveh predhodnih davčnih letih v posameznem davčnem letu v skladu z zakonom, ki ureja pokojninsko in invalidsko zavarovanje, ni bil obvezno zavarovan na podlagi samozaposlitve za polni delovni čas neprekinjeno vsaj devet mesecev,</w:t>
      </w:r>
    </w:p>
    <w:p w14:paraId="5674EC49" w14:textId="77777777" w:rsidR="00561C3D" w:rsidRPr="00E9128C" w:rsidRDefault="00561C3D" w:rsidP="00561C3D">
      <w:pPr>
        <w:numPr>
          <w:ilvl w:val="0"/>
          <w:numId w:val="23"/>
        </w:numPr>
        <w:spacing w:after="0" w:line="260" w:lineRule="atLeast"/>
        <w:contextualSpacing/>
        <w:jc w:val="both"/>
        <w:rPr>
          <w:rFonts w:cs="Arial"/>
          <w:szCs w:val="20"/>
          <w:lang w:eastAsia="sl-SI"/>
        </w:rPr>
      </w:pPr>
      <w:r w:rsidRPr="00E9128C">
        <w:rPr>
          <w:rFonts w:cs="Arial"/>
          <w:szCs w:val="20"/>
          <w:lang w:eastAsia="sl-SI"/>
        </w:rPr>
        <w:t>85.000 EUR (prej 45.000 EUR) in ne izpolnjuje pogojev iz prve in druge alineje tega odstavka,</w:t>
      </w:r>
    </w:p>
    <w:p w14:paraId="5E999292" w14:textId="77777777" w:rsidR="00561C3D" w:rsidRPr="00E9128C" w:rsidRDefault="00561C3D" w:rsidP="00561C3D">
      <w:pPr>
        <w:numPr>
          <w:ilvl w:val="0"/>
          <w:numId w:val="23"/>
        </w:numPr>
        <w:spacing w:after="0" w:line="260" w:lineRule="atLeast"/>
        <w:contextualSpacing/>
        <w:jc w:val="both"/>
        <w:rPr>
          <w:rFonts w:cs="Arial"/>
          <w:szCs w:val="20"/>
          <w:lang w:eastAsia="sl-SI"/>
        </w:rPr>
      </w:pPr>
      <w:r w:rsidRPr="00E9128C">
        <w:rPr>
          <w:rFonts w:cs="Arial"/>
          <w:szCs w:val="20"/>
          <w:lang w:eastAsia="sl-SI"/>
        </w:rPr>
        <w:t>120.000 EUR (prej 60.000 EUR) na nosilca in na drugega člana kmečkega gospodinjstva, ki je vključen v obvezno pokojninsko in invalidsko zavarovanje kot kmet oziroma član kmečkega gospodinjstva, če je zavezanec iz šestega odstavka tega člena.</w:t>
      </w:r>
    </w:p>
    <w:p w14:paraId="4498D403" w14:textId="77777777" w:rsidR="00561C3D" w:rsidRPr="00E9128C" w:rsidRDefault="00561C3D" w:rsidP="00561C3D">
      <w:pPr>
        <w:spacing w:after="0" w:line="260" w:lineRule="atLeast"/>
        <w:contextualSpacing/>
        <w:jc w:val="both"/>
        <w:rPr>
          <w:rFonts w:cs="Arial"/>
          <w:szCs w:val="20"/>
        </w:rPr>
      </w:pPr>
    </w:p>
    <w:p w14:paraId="360A634A" w14:textId="0086CFFE" w:rsidR="00561C3D" w:rsidRPr="00E9128C" w:rsidRDefault="00561C3D" w:rsidP="00561C3D">
      <w:pPr>
        <w:spacing w:after="0" w:line="260" w:lineRule="atLeast"/>
        <w:contextualSpacing/>
        <w:jc w:val="both"/>
        <w:rPr>
          <w:rFonts w:cs="Arial"/>
          <w:szCs w:val="20"/>
        </w:rPr>
      </w:pPr>
      <w:r w:rsidRPr="00E9128C">
        <w:rPr>
          <w:rFonts w:cs="Arial"/>
          <w:szCs w:val="20"/>
        </w:rPr>
        <w:t xml:space="preserve">Z novim štirinajstim odstavkom se določa, kako se pri presojanju izpolnjevanja pogojev za izstop oziroma obstoj v sistemu ugotavljanja davčne osnove z upoštevanjem normiranih odhodkov upošteva davčno leto, v katerem zavezanec ni opravljal dejavnosti ali ni imel priglašenega ugotavljanja davčne osnove po drugem odstavku 47. člena ZDoh-2. Pri ugotavljanju povprečja prihodkov iz dejavnosti, po pravilih o računovodenju, dveh zaporednih predhodnih davčnih let iz prejšnjega odstavka se upošteva tudi predhodno leto, v katerem zavezanec ni opravljal dejavnosti ali ni imel priglašenega ugotavljanja davčne osnove po drugem odstavku 47. člena </w:t>
      </w:r>
      <w:r w:rsidR="00B518B4">
        <w:rPr>
          <w:rFonts w:cs="Arial"/>
          <w:szCs w:val="20"/>
        </w:rPr>
        <w:t>ZDoh-2</w:t>
      </w:r>
      <w:r w:rsidRPr="00E9128C">
        <w:rPr>
          <w:rFonts w:cs="Arial"/>
          <w:szCs w:val="20"/>
        </w:rPr>
        <w:t xml:space="preserve">, pri čemer se šteje, da so prihodki iz dejavnosti, ugotovljeni po pravilih o računovodenju, v tem davčnem letu enaki nič. Primeroma to pomeni, da se izpolnjevanje pogojev za obstoj v sistemu ugotavljanja davčne osnove z upoštevanjem normiranih odhodkov opravi že tudi po prvem letu vključenosti v sistem, torej če je imel zavezanec v prvem letu vključenosti v sistem prihodke v višini npr. 150.000 EUR in je bil v tem letu tudi zavarovan za polni </w:t>
      </w:r>
      <w:r w:rsidRPr="00E9128C">
        <w:rPr>
          <w:rFonts w:cs="Arial"/>
          <w:szCs w:val="20"/>
        </w:rPr>
        <w:lastRenderedPageBreak/>
        <w:t>delovni čas, povprečje prihodkov dveh zaporednih predhodnih davčnih let znaša 75.000 EUR. Upoštevaje tretjo alinejo prejšnjega odstavka, kamor sodi tak zavezanec (prvo leto ni bil zavarovan na podlagi samostojnega opravljanja dejavnosti, torej ne izpolnjuje pogoja vključenosti v zavarovanje za polni delovni čas vsaj devet mesecev, drugo leto je bil zavarovan za polni delovni čas), izpolnjuje pogoj za obstoj v sistemu normiranih odhodkov, saj njegovo povprečje prihodkov dveh zaporednih predhodnih let ne presega 85.000 EUR. Če ta zavezanec v prvem letu poslovanja ne bi bil zavarovan za polni delovni čas, najmanj 9 mesecev, prihodkovnega pogoja ne bi izpolnil, saj bi presegel prihodkovni pogoj, določen v drugi alineji prejšnjega odstavka tega člena, ki znaša 50.000 EUR.</w:t>
      </w:r>
    </w:p>
    <w:p w14:paraId="478FCC73" w14:textId="77777777" w:rsidR="00561C3D" w:rsidRPr="00E9128C" w:rsidRDefault="00561C3D" w:rsidP="00561C3D">
      <w:pPr>
        <w:spacing w:after="0" w:line="260" w:lineRule="atLeast"/>
        <w:contextualSpacing/>
        <w:jc w:val="both"/>
        <w:rPr>
          <w:rFonts w:cs="Arial"/>
          <w:szCs w:val="20"/>
        </w:rPr>
      </w:pPr>
    </w:p>
    <w:p w14:paraId="72A324F3" w14:textId="77777777" w:rsidR="00561C3D" w:rsidRPr="00E9128C" w:rsidRDefault="00561C3D" w:rsidP="00561C3D">
      <w:pPr>
        <w:spacing w:after="0" w:line="260" w:lineRule="atLeast"/>
        <w:contextualSpacing/>
        <w:jc w:val="both"/>
        <w:rPr>
          <w:rFonts w:cs="Arial"/>
          <w:szCs w:val="20"/>
        </w:rPr>
      </w:pPr>
      <w:r w:rsidRPr="00E9128C">
        <w:rPr>
          <w:rFonts w:cs="Arial"/>
          <w:szCs w:val="20"/>
        </w:rPr>
        <w:t xml:space="preserve">Pri ugotavljanju povprečja prihodkov iz dejavnosti, po pravilih o računovodenju dveh zaporednih predhodnih davčnih let iz prejšnjega odstavka se za zavezanca, ki ima priglašeno ugotavljanje davčne osnove po drugem odstavku 47. ZDoh-2, upošteva tudi predhodno davčno leto, v katerem zavezanec ni imel priglašenega ugotavljanja davčne osnove po drugem odstavku 47. člena ZDoh-2, pri čemer se šteje, da so prihodki nosilca in drugih članov kmečkega gospodinjstva, iz osnovne kmetijske in osnovne gozdarske dejavnosti enaki nič. </w:t>
      </w:r>
    </w:p>
    <w:p w14:paraId="77CD81EC" w14:textId="77777777" w:rsidR="00561C3D" w:rsidRPr="00E9128C" w:rsidRDefault="00561C3D" w:rsidP="00561C3D">
      <w:pPr>
        <w:spacing w:after="0" w:line="260" w:lineRule="atLeast"/>
        <w:contextualSpacing/>
        <w:jc w:val="both"/>
        <w:rPr>
          <w:rFonts w:cs="Arial"/>
          <w:szCs w:val="20"/>
        </w:rPr>
      </w:pPr>
    </w:p>
    <w:p w14:paraId="21FE407C" w14:textId="77777777" w:rsidR="00561C3D" w:rsidRPr="00E9128C" w:rsidRDefault="00561C3D" w:rsidP="00561C3D">
      <w:pPr>
        <w:spacing w:after="0" w:line="260" w:lineRule="atLeast"/>
        <w:contextualSpacing/>
        <w:jc w:val="both"/>
        <w:rPr>
          <w:rFonts w:cs="Arial"/>
          <w:szCs w:val="20"/>
        </w:rPr>
      </w:pPr>
      <w:r w:rsidRPr="00E9128C">
        <w:rPr>
          <w:rFonts w:cs="Arial"/>
          <w:szCs w:val="20"/>
        </w:rPr>
        <w:t>Petnajsti odstavek se vsebinsko glede na veljavno določbo 48. člena ZDoh-2 ne spreminja.</w:t>
      </w:r>
    </w:p>
    <w:p w14:paraId="011D9A7F" w14:textId="77777777" w:rsidR="00561C3D" w:rsidRPr="00E9128C" w:rsidRDefault="00561C3D" w:rsidP="0011743A">
      <w:pPr>
        <w:spacing w:after="0" w:line="240" w:lineRule="auto"/>
        <w:jc w:val="both"/>
        <w:rPr>
          <w:rFonts w:cs="Arial"/>
          <w:szCs w:val="20"/>
        </w:rPr>
      </w:pPr>
    </w:p>
    <w:p w14:paraId="0866517C" w14:textId="22E8043C" w:rsidR="000B5DC4" w:rsidRPr="00E9128C" w:rsidRDefault="000B5DC4" w:rsidP="000B5DC4">
      <w:pPr>
        <w:spacing w:after="0" w:line="240" w:lineRule="auto"/>
        <w:jc w:val="both"/>
        <w:rPr>
          <w:rFonts w:cs="Arial"/>
          <w:szCs w:val="20"/>
        </w:rPr>
      </w:pPr>
      <w:r w:rsidRPr="00E9128C">
        <w:rPr>
          <w:rFonts w:cs="Arial"/>
          <w:b/>
          <w:bCs/>
          <w:szCs w:val="20"/>
        </w:rPr>
        <w:t xml:space="preserve">K </w:t>
      </w:r>
      <w:r w:rsidR="00FA342B">
        <w:rPr>
          <w:rFonts w:cs="Arial"/>
          <w:b/>
          <w:bCs/>
          <w:szCs w:val="20"/>
        </w:rPr>
        <w:t>7</w:t>
      </w:r>
      <w:r w:rsidRPr="00E9128C">
        <w:rPr>
          <w:rFonts w:cs="Arial"/>
          <w:b/>
          <w:bCs/>
          <w:szCs w:val="20"/>
        </w:rPr>
        <w:t>. členu</w:t>
      </w:r>
    </w:p>
    <w:p w14:paraId="18329D48" w14:textId="77777777" w:rsidR="000B5DC4" w:rsidRPr="00E9128C" w:rsidRDefault="000B5DC4" w:rsidP="000B5DC4">
      <w:pPr>
        <w:spacing w:after="0" w:line="260" w:lineRule="atLeast"/>
        <w:jc w:val="both"/>
        <w:rPr>
          <w:rFonts w:cs="Arial"/>
          <w:szCs w:val="20"/>
        </w:rPr>
      </w:pPr>
      <w:r w:rsidRPr="00E9128C">
        <w:rPr>
          <w:rFonts w:cs="Arial"/>
          <w:szCs w:val="20"/>
        </w:rPr>
        <w:t>Predlaga se sprememba davčnih stopenj dohodnine za dohodke iz dejavnosti, ki se ne vštevajo v letno davčno osnovo, torej za dohodke iz dejavnosti, za katere se davčna osnova ugotavlja na podlagi dejanskih prihodkov in normiranih odhodkov. Dohodnina se izračuna na način, da se določi posebna progresivna lestvica, in sicer:</w:t>
      </w:r>
    </w:p>
    <w:p w14:paraId="68C89098" w14:textId="77777777" w:rsidR="000B5DC4" w:rsidRPr="00E9128C" w:rsidRDefault="000B5DC4" w:rsidP="000B5DC4">
      <w:pPr>
        <w:spacing w:after="0" w:line="260" w:lineRule="atLeast"/>
        <w:ind w:left="705" w:hanging="705"/>
        <w:jc w:val="both"/>
        <w:rPr>
          <w:rFonts w:cs="Arial"/>
          <w:szCs w:val="20"/>
        </w:rPr>
      </w:pPr>
      <w:r w:rsidRPr="00E9128C">
        <w:rPr>
          <w:rFonts w:cs="Arial"/>
          <w:szCs w:val="20"/>
        </w:rPr>
        <w:t>-</w:t>
      </w:r>
      <w:r w:rsidRPr="00E9128C">
        <w:rPr>
          <w:rFonts w:cs="Arial"/>
          <w:szCs w:val="20"/>
        </w:rPr>
        <w:tab/>
        <w:t>če je bil zavezanec v davčnem letu, za katero se ugotavlja davčna osnova, v skladu z zakonom, ki ureja pokojninsko in invalidsko zavarovanje, obvezno zavarovan na podlagi samozaposlitve za polni delovni čas neprekinjeno vsaj devet mesecev, po stopnji 20 % od davčne osnove do 72.000 EUR ter od davčne osnove nad 72.000 EUR po stopnji 35 %;</w:t>
      </w:r>
    </w:p>
    <w:p w14:paraId="71601552" w14:textId="77777777" w:rsidR="000B5DC4" w:rsidRPr="00E9128C" w:rsidRDefault="000B5DC4" w:rsidP="000B5DC4">
      <w:pPr>
        <w:spacing w:after="0" w:line="260" w:lineRule="atLeast"/>
        <w:ind w:left="705" w:hanging="705"/>
        <w:jc w:val="both"/>
        <w:rPr>
          <w:rFonts w:cs="Arial"/>
          <w:szCs w:val="20"/>
        </w:rPr>
      </w:pPr>
      <w:r w:rsidRPr="00E9128C">
        <w:rPr>
          <w:rFonts w:cs="Arial"/>
          <w:szCs w:val="20"/>
        </w:rPr>
        <w:t>-</w:t>
      </w:r>
      <w:r w:rsidRPr="00E9128C">
        <w:rPr>
          <w:rFonts w:cs="Arial"/>
          <w:szCs w:val="20"/>
        </w:rPr>
        <w:tab/>
        <w:t>če zavezanec v davčnem letu, za katero se ugotavlja davčna osnova, v skladu z zakonom, ki ureja pokojninsko in invalidsko zavarovanje, ni bil obvezno zavarovan na podlagi samozaposlitve za polni delovni čas neprekinjeno vsaj devet mesecev, po stopnji 20 % od davčne osnove do 33.000 EUR ter od davčne osnove nad 33.000 EUR po stopnji 35 %.</w:t>
      </w:r>
    </w:p>
    <w:p w14:paraId="0E1EDF88" w14:textId="77777777" w:rsidR="000B5DC4" w:rsidRPr="00E9128C" w:rsidRDefault="000B5DC4" w:rsidP="000B5DC4">
      <w:pPr>
        <w:spacing w:line="276" w:lineRule="auto"/>
        <w:contextualSpacing/>
        <w:jc w:val="both"/>
        <w:rPr>
          <w:rFonts w:cs="Arial"/>
          <w:bCs/>
          <w:szCs w:val="20"/>
        </w:rPr>
      </w:pPr>
    </w:p>
    <w:p w14:paraId="517217E2" w14:textId="77777777" w:rsidR="000B5DC4" w:rsidRPr="00E9128C" w:rsidRDefault="000B5DC4" w:rsidP="000B5DC4">
      <w:pPr>
        <w:spacing w:line="276" w:lineRule="auto"/>
        <w:contextualSpacing/>
        <w:jc w:val="both"/>
        <w:rPr>
          <w:rFonts w:cs="Arial"/>
          <w:bCs/>
          <w:szCs w:val="20"/>
        </w:rPr>
      </w:pPr>
      <w:r w:rsidRPr="00E9128C">
        <w:rPr>
          <w:rFonts w:cs="Arial"/>
          <w:bCs/>
          <w:szCs w:val="20"/>
        </w:rPr>
        <w:t>Primer 1:</w:t>
      </w:r>
    </w:p>
    <w:p w14:paraId="210B0AC7"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t xml:space="preserve">T. i. polni normiranec (zavezanec, ki je bil v davčnem letu, za katerega se ugotavlja davčna osnova, v skladu z zakonom, ki ureja pokojninsko in invalidsko zavarovanje, obvezno zavarovan na podlagi samozaposlitve za polni delovni čas neprekinjeno vsaj devet mesecev), doseže 120.000 EUR prihodkov iz dejavnosti. </w:t>
      </w:r>
    </w:p>
    <w:p w14:paraId="3FA92752"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t>Izračun davčne osnove ob upoštevanju prvega odstavka 59. člena ZDoh-2 (normirani odhodki):</w:t>
      </w:r>
    </w:p>
    <w:p w14:paraId="57564303" w14:textId="32676402" w:rsidR="000B5DC4" w:rsidRPr="00E9128C" w:rsidRDefault="000B5DC4" w:rsidP="008A4972">
      <w:pPr>
        <w:pStyle w:val="Odstavekseznama"/>
        <w:numPr>
          <w:ilvl w:val="1"/>
          <w:numId w:val="27"/>
        </w:numPr>
        <w:spacing w:after="0" w:line="276" w:lineRule="auto"/>
        <w:jc w:val="both"/>
        <w:rPr>
          <w:rFonts w:cs="Arial"/>
          <w:bCs/>
          <w:szCs w:val="20"/>
        </w:rPr>
      </w:pPr>
      <w:r w:rsidRPr="00E9128C">
        <w:rPr>
          <w:rFonts w:cs="Arial"/>
          <w:bCs/>
          <w:szCs w:val="20"/>
        </w:rPr>
        <w:t>davčna osnova za prihodke do 60.000 EUR (apliciranje normiranih odhodkov v višini 80 %) = 60.000 EUR – 60.000 EUR*0,8 = 12.000 EUR</w:t>
      </w:r>
    </w:p>
    <w:p w14:paraId="2355BC35" w14:textId="018E1AA3" w:rsidR="000B5DC4" w:rsidRPr="00E9128C" w:rsidRDefault="000B5DC4" w:rsidP="008A4972">
      <w:pPr>
        <w:pStyle w:val="Odstavekseznama"/>
        <w:numPr>
          <w:ilvl w:val="1"/>
          <w:numId w:val="27"/>
        </w:numPr>
        <w:spacing w:after="0" w:line="276" w:lineRule="auto"/>
        <w:jc w:val="both"/>
        <w:rPr>
          <w:rFonts w:cs="Arial"/>
          <w:bCs/>
          <w:szCs w:val="20"/>
        </w:rPr>
      </w:pPr>
      <w:r w:rsidRPr="00E9128C">
        <w:rPr>
          <w:rFonts w:cs="Arial"/>
          <w:bCs/>
          <w:szCs w:val="20"/>
        </w:rPr>
        <w:t>davčna osnova za prihodke nad 60.000 EUR pa je zaradi normiranih odhodkov v višini 0 % identična višini prihodkov, davčna osnova za prihodke od 60.000 EUR do 120.000 EUR tako znaša 60.000 EUR.</w:t>
      </w:r>
    </w:p>
    <w:p w14:paraId="2B22093C" w14:textId="77777777" w:rsidR="000B5DC4" w:rsidRPr="00E9128C" w:rsidRDefault="000B5DC4" w:rsidP="000B5DC4">
      <w:pPr>
        <w:spacing w:line="276" w:lineRule="auto"/>
        <w:contextualSpacing/>
        <w:jc w:val="both"/>
        <w:rPr>
          <w:rFonts w:cs="Arial"/>
          <w:bCs/>
          <w:szCs w:val="20"/>
        </w:rPr>
      </w:pPr>
      <w:r w:rsidRPr="00E9128C">
        <w:rPr>
          <w:rFonts w:cs="Arial"/>
          <w:bCs/>
          <w:szCs w:val="20"/>
        </w:rPr>
        <w:t>Skupna davčna osnova = davčna osnova pod a) + davčna osnova pod b) = 12.000 EUR + 60.000 EUR = 72.000 EUR.</w:t>
      </w:r>
    </w:p>
    <w:p w14:paraId="53C8FD51" w14:textId="77777777" w:rsidR="000B5DC4" w:rsidRPr="00E9128C" w:rsidRDefault="000B5DC4" w:rsidP="000B5DC4">
      <w:pPr>
        <w:spacing w:line="276" w:lineRule="auto"/>
        <w:contextualSpacing/>
        <w:jc w:val="both"/>
        <w:rPr>
          <w:rFonts w:cs="Arial"/>
          <w:bCs/>
          <w:szCs w:val="20"/>
        </w:rPr>
      </w:pPr>
      <w:r w:rsidRPr="00E9128C">
        <w:rPr>
          <w:rFonts w:cs="Arial"/>
          <w:bCs/>
          <w:szCs w:val="20"/>
        </w:rPr>
        <w:t>Izračunana dohodnina = 72.000 EUR*0,2 = 14.400 EUR.</w:t>
      </w:r>
    </w:p>
    <w:p w14:paraId="60AAE0F1" w14:textId="77777777" w:rsidR="000B5DC4" w:rsidRPr="00E9128C" w:rsidRDefault="000B5DC4" w:rsidP="000B5DC4">
      <w:pPr>
        <w:spacing w:line="276" w:lineRule="auto"/>
        <w:contextualSpacing/>
        <w:jc w:val="both"/>
        <w:rPr>
          <w:rFonts w:cs="Arial"/>
          <w:bCs/>
          <w:szCs w:val="20"/>
        </w:rPr>
      </w:pPr>
    </w:p>
    <w:p w14:paraId="1684798F" w14:textId="77777777" w:rsidR="000B5DC4" w:rsidRPr="00E9128C" w:rsidRDefault="000B5DC4" w:rsidP="000B5DC4">
      <w:pPr>
        <w:spacing w:line="276" w:lineRule="auto"/>
        <w:contextualSpacing/>
        <w:jc w:val="both"/>
        <w:rPr>
          <w:rFonts w:cs="Arial"/>
          <w:bCs/>
          <w:szCs w:val="20"/>
        </w:rPr>
      </w:pPr>
      <w:r w:rsidRPr="00E9128C">
        <w:rPr>
          <w:rFonts w:cs="Arial"/>
          <w:bCs/>
          <w:szCs w:val="20"/>
        </w:rPr>
        <w:t>Primer 2:</w:t>
      </w:r>
    </w:p>
    <w:p w14:paraId="73382E06"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t xml:space="preserve">T. i. polni normiranec (zavezanec, ki je bil v davčnem letu, za katerega se ugotavlja davčna osnova, v skladu z zakonom, ki ureja pokojninsko in invalidsko zavarovanje, obvezno zavarovan na podlagi samozaposlitve za polni delovni čas neprekinjeno vsaj devet mesecev), doseže 200.000 EUR prihodkov iz dejavnosti. </w:t>
      </w:r>
    </w:p>
    <w:p w14:paraId="4D4A9C88"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lastRenderedPageBreak/>
        <w:t>Izračun davčne osnove ob upoštevanju prvega odstavka 59. člena ZDoh-2 (normirani odhodki):</w:t>
      </w:r>
    </w:p>
    <w:p w14:paraId="4263ED17" w14:textId="77777777" w:rsidR="000B5DC4" w:rsidRPr="00E9128C" w:rsidRDefault="000B5DC4" w:rsidP="00236DF6">
      <w:pPr>
        <w:pStyle w:val="Odstavekseznama"/>
        <w:numPr>
          <w:ilvl w:val="1"/>
          <w:numId w:val="38"/>
        </w:numPr>
        <w:spacing w:after="0" w:line="276" w:lineRule="auto"/>
        <w:jc w:val="both"/>
        <w:rPr>
          <w:rFonts w:cs="Arial"/>
          <w:bCs/>
          <w:szCs w:val="20"/>
        </w:rPr>
      </w:pPr>
      <w:r w:rsidRPr="00E9128C">
        <w:rPr>
          <w:rFonts w:cs="Arial"/>
          <w:bCs/>
          <w:szCs w:val="20"/>
        </w:rPr>
        <w:t>davčna osnova za prihodke do 60.000 EUR (apliciranje normiranih odhodkov v višini 80 %) = 60.000 EUR – 60.000 EUR*0,8 = 12.000 EUR</w:t>
      </w:r>
    </w:p>
    <w:p w14:paraId="0E8B6379" w14:textId="77777777" w:rsidR="000B5DC4" w:rsidRPr="00E9128C" w:rsidRDefault="000B5DC4" w:rsidP="00236DF6">
      <w:pPr>
        <w:pStyle w:val="Odstavekseznama"/>
        <w:numPr>
          <w:ilvl w:val="1"/>
          <w:numId w:val="38"/>
        </w:numPr>
        <w:spacing w:after="0" w:line="276" w:lineRule="auto"/>
        <w:jc w:val="both"/>
        <w:rPr>
          <w:rFonts w:cs="Arial"/>
          <w:bCs/>
          <w:szCs w:val="20"/>
        </w:rPr>
      </w:pPr>
      <w:r w:rsidRPr="00E9128C">
        <w:rPr>
          <w:rFonts w:cs="Arial"/>
          <w:bCs/>
          <w:szCs w:val="20"/>
        </w:rPr>
        <w:t>davčna osnova za prihodke nad 60.000 EUR pa je zaradi normiranih odhodkov v višini 0 % identična višini prihodkov, davčna osnova za prihodke od 60.000 EUR do 200.000 EUR tako znaša 140.000 EUR.</w:t>
      </w:r>
    </w:p>
    <w:p w14:paraId="1473E3D0" w14:textId="77777777" w:rsidR="000B5DC4" w:rsidRPr="00E9128C" w:rsidRDefault="000B5DC4" w:rsidP="000B5DC4">
      <w:pPr>
        <w:spacing w:line="276" w:lineRule="auto"/>
        <w:contextualSpacing/>
        <w:jc w:val="both"/>
        <w:rPr>
          <w:rFonts w:cs="Arial"/>
          <w:bCs/>
          <w:szCs w:val="20"/>
        </w:rPr>
      </w:pPr>
      <w:r w:rsidRPr="00E9128C">
        <w:rPr>
          <w:rFonts w:cs="Arial"/>
          <w:bCs/>
          <w:szCs w:val="20"/>
        </w:rPr>
        <w:t>Skupna davčna osnova = davčna osnova pod a) + davčna osnova pod b) = 12.000 EUR + 140.000 EUR = 152.000 EUR.</w:t>
      </w:r>
    </w:p>
    <w:p w14:paraId="3CF767A6" w14:textId="77777777" w:rsidR="000B5DC4" w:rsidRPr="00E9128C" w:rsidRDefault="000B5DC4" w:rsidP="000B5DC4">
      <w:pPr>
        <w:spacing w:line="276" w:lineRule="auto"/>
        <w:contextualSpacing/>
        <w:jc w:val="both"/>
        <w:rPr>
          <w:rFonts w:cs="Arial"/>
          <w:bCs/>
          <w:szCs w:val="20"/>
        </w:rPr>
      </w:pPr>
      <w:r w:rsidRPr="00E9128C">
        <w:rPr>
          <w:rFonts w:cs="Arial"/>
          <w:bCs/>
          <w:szCs w:val="20"/>
        </w:rPr>
        <w:t>Izračunana dohodnina = 72.000 EUR*0,2 + 80.000 EUR*0,35 = 14.400 EUR + 28.000 EUR = 42.400 EUR.</w:t>
      </w:r>
    </w:p>
    <w:p w14:paraId="7A5010E9" w14:textId="77777777" w:rsidR="000B5DC4" w:rsidRPr="00E9128C" w:rsidRDefault="000B5DC4" w:rsidP="000B5DC4">
      <w:pPr>
        <w:spacing w:line="276" w:lineRule="auto"/>
        <w:contextualSpacing/>
        <w:jc w:val="both"/>
        <w:rPr>
          <w:rFonts w:cs="Arial"/>
          <w:bCs/>
          <w:szCs w:val="20"/>
        </w:rPr>
      </w:pPr>
    </w:p>
    <w:p w14:paraId="6CA5B107" w14:textId="77777777" w:rsidR="000B5DC4" w:rsidRPr="00E9128C" w:rsidRDefault="000B5DC4" w:rsidP="000B5DC4">
      <w:pPr>
        <w:spacing w:line="276" w:lineRule="auto"/>
        <w:contextualSpacing/>
        <w:jc w:val="both"/>
        <w:rPr>
          <w:rFonts w:cs="Arial"/>
          <w:bCs/>
          <w:szCs w:val="20"/>
        </w:rPr>
      </w:pPr>
      <w:r w:rsidRPr="00E9128C">
        <w:rPr>
          <w:rFonts w:cs="Arial"/>
          <w:bCs/>
          <w:szCs w:val="20"/>
        </w:rPr>
        <w:t>Primer 3:</w:t>
      </w:r>
    </w:p>
    <w:p w14:paraId="2B855972"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t xml:space="preserve">T. i. popoldanec (zavezanec, ki v davčnem letu, za katerega se ugotavlja davčna osnova, v skladu z zakonom, ki ureja pokojninsko in invalidsko zavarovanje, ni bil obvezno zavarovan na podlagi samozaposlitve za polni delovni čas neprekinjeno vsaj devet mesecev), doseže 50.000 EUR prihodkov iz dejavnosti. </w:t>
      </w:r>
    </w:p>
    <w:p w14:paraId="35C546A7"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t>Izračun davčne osnove ob upoštevanju drugega odstavka 59. člena ZDoh-2 (normirani odhodki):</w:t>
      </w:r>
    </w:p>
    <w:p w14:paraId="6C343F25" w14:textId="77777777" w:rsidR="000B5DC4" w:rsidRPr="00E9128C" w:rsidRDefault="000B5DC4" w:rsidP="000B5DC4">
      <w:pPr>
        <w:pStyle w:val="Odstavekseznama"/>
        <w:numPr>
          <w:ilvl w:val="1"/>
          <w:numId w:val="28"/>
        </w:numPr>
        <w:spacing w:after="0" w:line="276" w:lineRule="auto"/>
        <w:jc w:val="both"/>
        <w:rPr>
          <w:rFonts w:cs="Arial"/>
          <w:bCs/>
          <w:szCs w:val="20"/>
        </w:rPr>
      </w:pPr>
      <w:r w:rsidRPr="00E9128C">
        <w:rPr>
          <w:rFonts w:cs="Arial"/>
          <w:bCs/>
          <w:szCs w:val="20"/>
        </w:rPr>
        <w:t>davčna osnova za prihodke do 12.500 EUR (apliciranje normiranih odhodkov v višini 80 %) = 12.500 EUR – 12.500 EUR*0,8 = 2.500 EUR</w:t>
      </w:r>
    </w:p>
    <w:p w14:paraId="2B675D69" w14:textId="77777777" w:rsidR="000B5DC4" w:rsidRPr="00E9128C" w:rsidRDefault="000B5DC4" w:rsidP="000B5DC4">
      <w:pPr>
        <w:pStyle w:val="Odstavekseznama"/>
        <w:numPr>
          <w:ilvl w:val="1"/>
          <w:numId w:val="28"/>
        </w:numPr>
        <w:spacing w:after="0" w:line="276" w:lineRule="auto"/>
        <w:jc w:val="both"/>
        <w:rPr>
          <w:rFonts w:cs="Arial"/>
          <w:bCs/>
          <w:szCs w:val="20"/>
        </w:rPr>
      </w:pPr>
      <w:r w:rsidRPr="00E9128C">
        <w:rPr>
          <w:rFonts w:cs="Arial"/>
          <w:bCs/>
          <w:szCs w:val="20"/>
        </w:rPr>
        <w:t>davčna osnova za prihodke nad 12.500 EUR do 30.000 EUR (apliciranje normiranih odhodkov v višini 40 %) = 17.500 EUR – 17.500*0,4 = 10.500 EUR</w:t>
      </w:r>
    </w:p>
    <w:p w14:paraId="37775F6F" w14:textId="77777777" w:rsidR="000B5DC4" w:rsidRPr="00E9128C" w:rsidRDefault="000B5DC4" w:rsidP="000B5DC4">
      <w:pPr>
        <w:pStyle w:val="Odstavekseznama"/>
        <w:numPr>
          <w:ilvl w:val="1"/>
          <w:numId w:val="28"/>
        </w:numPr>
        <w:spacing w:after="0" w:line="276" w:lineRule="auto"/>
        <w:jc w:val="both"/>
        <w:rPr>
          <w:rFonts w:cs="Arial"/>
          <w:bCs/>
          <w:szCs w:val="20"/>
        </w:rPr>
      </w:pPr>
      <w:r w:rsidRPr="00E9128C">
        <w:rPr>
          <w:rFonts w:cs="Arial"/>
          <w:bCs/>
          <w:szCs w:val="20"/>
        </w:rPr>
        <w:t>davčna osnova za prihodke nad 30.000 EUR pa je zaradi normiranih odhodkov v višini 0 % identična višini prihodkov, davčna osnova za prihodke od 30.000 EUR do 50.000 EUR tako znaša 20.000 EUR.</w:t>
      </w:r>
    </w:p>
    <w:p w14:paraId="7994FA71" w14:textId="77777777" w:rsidR="000B5DC4" w:rsidRPr="00E9128C" w:rsidRDefault="000B5DC4" w:rsidP="000B5DC4">
      <w:pPr>
        <w:spacing w:line="276" w:lineRule="auto"/>
        <w:contextualSpacing/>
        <w:jc w:val="both"/>
        <w:rPr>
          <w:rFonts w:cs="Arial"/>
          <w:bCs/>
          <w:szCs w:val="20"/>
        </w:rPr>
      </w:pPr>
      <w:r w:rsidRPr="00E9128C">
        <w:rPr>
          <w:rFonts w:cs="Arial"/>
          <w:bCs/>
          <w:szCs w:val="20"/>
        </w:rPr>
        <w:t>Skupna davčna osnova = davčna osnova pod a) + davčna osnova pod b) + davčna osnova pod c) = 2.500 EUR + 10.500 EUR + 20.000 EUR = 33.000 EUR.</w:t>
      </w:r>
    </w:p>
    <w:p w14:paraId="6358A813" w14:textId="77777777" w:rsidR="000B5DC4" w:rsidRPr="00E9128C" w:rsidRDefault="000B5DC4" w:rsidP="000B5DC4">
      <w:pPr>
        <w:spacing w:line="276" w:lineRule="auto"/>
        <w:contextualSpacing/>
        <w:jc w:val="both"/>
        <w:rPr>
          <w:rFonts w:cs="Arial"/>
          <w:bCs/>
          <w:szCs w:val="20"/>
        </w:rPr>
      </w:pPr>
      <w:r w:rsidRPr="00E9128C">
        <w:rPr>
          <w:rFonts w:cs="Arial"/>
          <w:bCs/>
          <w:szCs w:val="20"/>
        </w:rPr>
        <w:t>Izračunana dohodnina = 33.000 EUR*0,2 = 6.600 EUR.</w:t>
      </w:r>
    </w:p>
    <w:p w14:paraId="5B34D7D0" w14:textId="77777777" w:rsidR="000B5DC4" w:rsidRPr="00E9128C" w:rsidRDefault="000B5DC4" w:rsidP="000B5DC4">
      <w:pPr>
        <w:spacing w:line="276" w:lineRule="auto"/>
        <w:contextualSpacing/>
        <w:jc w:val="both"/>
        <w:rPr>
          <w:rFonts w:cs="Arial"/>
          <w:bCs/>
          <w:szCs w:val="20"/>
        </w:rPr>
      </w:pPr>
    </w:p>
    <w:p w14:paraId="15482A85" w14:textId="77777777" w:rsidR="000B5DC4" w:rsidRPr="00E9128C" w:rsidRDefault="000B5DC4" w:rsidP="000B5DC4">
      <w:pPr>
        <w:spacing w:line="276" w:lineRule="auto"/>
        <w:contextualSpacing/>
        <w:jc w:val="both"/>
        <w:rPr>
          <w:rFonts w:cs="Arial"/>
          <w:bCs/>
          <w:szCs w:val="20"/>
        </w:rPr>
      </w:pPr>
      <w:r w:rsidRPr="00E9128C">
        <w:rPr>
          <w:rFonts w:cs="Arial"/>
          <w:bCs/>
          <w:szCs w:val="20"/>
        </w:rPr>
        <w:t>Primer 4:</w:t>
      </w:r>
    </w:p>
    <w:p w14:paraId="0C93EFA2"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t xml:space="preserve">T. i. popoldanec (zavezanec, ki v davčnem letu, za katerega se ugotavlja davčna osnova, v skladu z zakonom, ki ureja pokojninsko in invalidsko zavarovanje, ni bil obvezno zavarovan na podlagi samozaposlitve za polni delovni čas neprekinjeno vsaj devet mesecev), doseže 80.000 EUR prihodkov iz dejavnosti. </w:t>
      </w:r>
    </w:p>
    <w:p w14:paraId="225CDFFD" w14:textId="77777777" w:rsidR="000B5DC4" w:rsidRPr="00E9128C" w:rsidRDefault="000B5DC4" w:rsidP="000B5DC4">
      <w:pPr>
        <w:spacing w:after="0" w:line="276" w:lineRule="auto"/>
        <w:contextualSpacing/>
        <w:jc w:val="both"/>
        <w:rPr>
          <w:rFonts w:cs="Arial"/>
          <w:bCs/>
          <w:szCs w:val="20"/>
        </w:rPr>
      </w:pPr>
      <w:r w:rsidRPr="00E9128C">
        <w:rPr>
          <w:rFonts w:cs="Arial"/>
          <w:bCs/>
          <w:szCs w:val="20"/>
        </w:rPr>
        <w:t>Izračun davčne osnove ob upoštevanju drugega odstavka 59. člena ZDoh-2 (normirani odhodki):</w:t>
      </w:r>
    </w:p>
    <w:p w14:paraId="6009A0FC" w14:textId="77777777" w:rsidR="000B5DC4" w:rsidRPr="00E9128C" w:rsidRDefault="000B5DC4" w:rsidP="000B5DC4">
      <w:pPr>
        <w:pStyle w:val="Odstavekseznama"/>
        <w:numPr>
          <w:ilvl w:val="1"/>
          <w:numId w:val="29"/>
        </w:numPr>
        <w:spacing w:after="0" w:line="276" w:lineRule="auto"/>
        <w:jc w:val="both"/>
        <w:rPr>
          <w:rFonts w:cs="Arial"/>
          <w:bCs/>
          <w:szCs w:val="20"/>
        </w:rPr>
      </w:pPr>
      <w:r w:rsidRPr="00E9128C">
        <w:rPr>
          <w:rFonts w:cs="Arial"/>
          <w:bCs/>
          <w:szCs w:val="20"/>
        </w:rPr>
        <w:t>davčna osnova za prihodke do 12.500 EUR (apliciranje normiranih odhodkov v višini 80 %) = 12.500 EUR – 12.500 EUR*0,8 = 2.500 EUR</w:t>
      </w:r>
    </w:p>
    <w:p w14:paraId="6C71C69A" w14:textId="77777777" w:rsidR="000B5DC4" w:rsidRPr="00E9128C" w:rsidRDefault="000B5DC4" w:rsidP="000B5DC4">
      <w:pPr>
        <w:pStyle w:val="Odstavekseznama"/>
        <w:numPr>
          <w:ilvl w:val="1"/>
          <w:numId w:val="29"/>
        </w:numPr>
        <w:spacing w:after="0" w:line="276" w:lineRule="auto"/>
        <w:jc w:val="both"/>
        <w:rPr>
          <w:rFonts w:cs="Arial"/>
          <w:bCs/>
          <w:szCs w:val="20"/>
        </w:rPr>
      </w:pPr>
      <w:r w:rsidRPr="00E9128C">
        <w:rPr>
          <w:rFonts w:cs="Arial"/>
          <w:bCs/>
          <w:szCs w:val="20"/>
        </w:rPr>
        <w:t>davčna osnova za prihodke nad 12.500 EUR do 30.000 EUR (apliciranje normiranih odhodkov v višini 40 %) = 17.500 EUR – 17.500*0,4 = 10.500 EUR</w:t>
      </w:r>
    </w:p>
    <w:p w14:paraId="63DCE0BA" w14:textId="77777777" w:rsidR="000B5DC4" w:rsidRPr="00E9128C" w:rsidRDefault="000B5DC4" w:rsidP="000B5DC4">
      <w:pPr>
        <w:pStyle w:val="Odstavekseznama"/>
        <w:numPr>
          <w:ilvl w:val="1"/>
          <w:numId w:val="29"/>
        </w:numPr>
        <w:spacing w:after="0" w:line="276" w:lineRule="auto"/>
        <w:jc w:val="both"/>
        <w:rPr>
          <w:rFonts w:cs="Arial"/>
          <w:bCs/>
          <w:szCs w:val="20"/>
        </w:rPr>
      </w:pPr>
      <w:r w:rsidRPr="00E9128C">
        <w:rPr>
          <w:rFonts w:cs="Arial"/>
          <w:bCs/>
          <w:szCs w:val="20"/>
        </w:rPr>
        <w:t>davčna osnova za prihodke nad 30.000 EUR pa je zaradi normiranih odhodkov v višini 0 % identična višini prihodkov, davčna osnova za prihodke od 30.000 EUR do 80.000 EUR tako znaša 50.000 EUR.</w:t>
      </w:r>
    </w:p>
    <w:p w14:paraId="2BA6373B" w14:textId="77777777" w:rsidR="000B5DC4" w:rsidRPr="00E9128C" w:rsidRDefault="000B5DC4" w:rsidP="000B5DC4">
      <w:pPr>
        <w:spacing w:line="276" w:lineRule="auto"/>
        <w:contextualSpacing/>
        <w:jc w:val="both"/>
        <w:rPr>
          <w:rFonts w:cs="Arial"/>
          <w:bCs/>
          <w:szCs w:val="20"/>
        </w:rPr>
      </w:pPr>
      <w:r w:rsidRPr="00E9128C">
        <w:rPr>
          <w:rFonts w:cs="Arial"/>
          <w:bCs/>
          <w:szCs w:val="20"/>
        </w:rPr>
        <w:t>Skupna davčna osnova = davčna osnova pod a) + davčna osnova pod b) + davčna osnova pod c) = 2.500 EUR + 10.500 EUR + 50.000 EUR = 63.000 EUR.</w:t>
      </w:r>
    </w:p>
    <w:p w14:paraId="22A1AF59" w14:textId="77777777" w:rsidR="000B5DC4" w:rsidRPr="00E9128C" w:rsidRDefault="000B5DC4" w:rsidP="000B5DC4">
      <w:pPr>
        <w:spacing w:line="276" w:lineRule="auto"/>
        <w:contextualSpacing/>
        <w:jc w:val="both"/>
        <w:rPr>
          <w:rFonts w:cs="Arial"/>
          <w:bCs/>
          <w:szCs w:val="20"/>
        </w:rPr>
      </w:pPr>
      <w:r w:rsidRPr="00E9128C">
        <w:rPr>
          <w:rFonts w:cs="Arial"/>
          <w:bCs/>
          <w:szCs w:val="20"/>
        </w:rPr>
        <w:t>Izračunana dohodnina = 33.000 EUR*0,2 + 30.000 EUR*0,35 = 6.600 EUR + 10.500 EUR = 17.100 EUR.</w:t>
      </w:r>
    </w:p>
    <w:p w14:paraId="2FD0A5CD" w14:textId="77777777" w:rsidR="000B5DC4" w:rsidRPr="00E9128C" w:rsidRDefault="000B5DC4" w:rsidP="000B5DC4">
      <w:pPr>
        <w:spacing w:after="0" w:line="260" w:lineRule="atLeast"/>
        <w:jc w:val="both"/>
        <w:rPr>
          <w:rFonts w:cs="Arial"/>
          <w:szCs w:val="20"/>
        </w:rPr>
      </w:pPr>
    </w:p>
    <w:p w14:paraId="72757359" w14:textId="0B7569F7" w:rsidR="000B5DC4" w:rsidRPr="00E9128C" w:rsidRDefault="000B5DC4" w:rsidP="000B5DC4">
      <w:pPr>
        <w:spacing w:after="0" w:line="260" w:lineRule="atLeast"/>
        <w:jc w:val="both"/>
        <w:rPr>
          <w:rFonts w:cs="Arial"/>
          <w:szCs w:val="20"/>
        </w:rPr>
      </w:pPr>
      <w:r w:rsidRPr="00E9128C">
        <w:rPr>
          <w:rFonts w:cs="Arial"/>
          <w:szCs w:val="20"/>
        </w:rPr>
        <w:t xml:space="preserve">Za zavezance iz šestega odstavka </w:t>
      </w:r>
      <w:r w:rsidR="00FA342B">
        <w:rPr>
          <w:rFonts w:cs="Arial"/>
          <w:szCs w:val="20"/>
        </w:rPr>
        <w:t>6</w:t>
      </w:r>
      <w:r w:rsidRPr="00E9128C">
        <w:rPr>
          <w:rFonts w:cs="Arial"/>
          <w:szCs w:val="20"/>
        </w:rPr>
        <w:t xml:space="preserve">. člena tega zakona (zavezanci, ki opravljajo kmetijsko dejavnost in se prostovoljno odločijo za ugotavljanje davčne osnove na podlagi dejanskih prihodkov) se dohodnina za davčno leto izračuna od davčne osnove, ugotovljene v skladu z določbami III.3. poglavja ZDoh-2, na nosilca in na drugega člana kmečkega gospodinjstva, ki je vključen v obvezno pokojninsko in invalidsko zavarovanje kot kmet oziroma član kmečkega gospodinjstva, po stopnji 20 % od davčne osnove 72.000 </w:t>
      </w:r>
      <w:r w:rsidRPr="00E9128C">
        <w:rPr>
          <w:rFonts w:cs="Arial"/>
          <w:szCs w:val="20"/>
        </w:rPr>
        <w:lastRenderedPageBreak/>
        <w:t>EUR na nosilca in člana kmečkega gospodinjstva ter od davčne osnove na nosilca in člana kmečkega gospodinjstva nad 72.000 EUR po stopnji 35 %.</w:t>
      </w:r>
    </w:p>
    <w:p w14:paraId="1ED72148" w14:textId="77777777" w:rsidR="000B5DC4" w:rsidRPr="00E9128C" w:rsidRDefault="000B5DC4" w:rsidP="000B5DC4">
      <w:pPr>
        <w:spacing w:after="0" w:line="260" w:lineRule="atLeast"/>
        <w:jc w:val="both"/>
        <w:rPr>
          <w:rFonts w:cs="Arial"/>
          <w:szCs w:val="20"/>
        </w:rPr>
      </w:pPr>
    </w:p>
    <w:p w14:paraId="3E249C0D" w14:textId="77777777" w:rsidR="000B5DC4" w:rsidRPr="00E9128C" w:rsidRDefault="000B5DC4" w:rsidP="000B5DC4">
      <w:pPr>
        <w:spacing w:after="0" w:line="260" w:lineRule="atLeast"/>
        <w:jc w:val="both"/>
        <w:rPr>
          <w:rFonts w:cs="Arial"/>
          <w:szCs w:val="20"/>
        </w:rPr>
      </w:pPr>
      <w:r w:rsidRPr="00E9128C">
        <w:rPr>
          <w:rFonts w:cs="Arial"/>
          <w:szCs w:val="20"/>
        </w:rPr>
        <w:t>Dohodnina, določena na podlagi davčne lestvice po tem členu, se šteje za dokončen davek.</w:t>
      </w:r>
    </w:p>
    <w:p w14:paraId="6AB991EB" w14:textId="77777777" w:rsidR="000B5DC4" w:rsidRDefault="000B5DC4" w:rsidP="0011743A">
      <w:pPr>
        <w:spacing w:after="0" w:line="240" w:lineRule="auto"/>
        <w:jc w:val="both"/>
        <w:rPr>
          <w:rFonts w:cs="Arial"/>
          <w:szCs w:val="20"/>
        </w:rPr>
      </w:pPr>
    </w:p>
    <w:p w14:paraId="124475C7" w14:textId="766725D3" w:rsidR="00FA342B" w:rsidRPr="00E9128C" w:rsidRDefault="00FA342B" w:rsidP="00FA342B">
      <w:pPr>
        <w:spacing w:after="0" w:line="240" w:lineRule="auto"/>
        <w:jc w:val="both"/>
        <w:rPr>
          <w:rFonts w:cs="Arial"/>
          <w:szCs w:val="20"/>
        </w:rPr>
      </w:pPr>
      <w:r w:rsidRPr="00E9128C">
        <w:rPr>
          <w:rFonts w:cs="Arial"/>
          <w:b/>
          <w:bCs/>
          <w:szCs w:val="20"/>
        </w:rPr>
        <w:t xml:space="preserve">K </w:t>
      </w:r>
      <w:r>
        <w:rPr>
          <w:rFonts w:cs="Arial"/>
          <w:b/>
          <w:bCs/>
          <w:szCs w:val="20"/>
        </w:rPr>
        <w:t>8</w:t>
      </w:r>
      <w:r w:rsidRPr="00E9128C">
        <w:rPr>
          <w:rFonts w:cs="Arial"/>
          <w:b/>
          <w:bCs/>
          <w:szCs w:val="20"/>
        </w:rPr>
        <w:t>. členu</w:t>
      </w:r>
    </w:p>
    <w:p w14:paraId="6766FB88" w14:textId="77777777" w:rsidR="00FA342B" w:rsidRPr="00E9128C" w:rsidRDefault="00FA342B" w:rsidP="00FA342B">
      <w:pPr>
        <w:spacing w:after="0" w:line="276" w:lineRule="auto"/>
        <w:jc w:val="both"/>
        <w:rPr>
          <w:rFonts w:cs="Arial"/>
          <w:szCs w:val="20"/>
        </w:rPr>
      </w:pPr>
      <w:r w:rsidRPr="00E9128C">
        <w:rPr>
          <w:rFonts w:cs="Arial"/>
          <w:szCs w:val="20"/>
        </w:rPr>
        <w:t>Nadzor nad izvajanjem tega zakona opravlja inšpektorat, pristojen za delo.</w:t>
      </w:r>
    </w:p>
    <w:p w14:paraId="74CC6FA3" w14:textId="77777777" w:rsidR="00FA342B" w:rsidRPr="00E9128C" w:rsidRDefault="00FA342B" w:rsidP="00FA342B">
      <w:pPr>
        <w:spacing w:after="0" w:line="276" w:lineRule="auto"/>
        <w:jc w:val="both"/>
        <w:rPr>
          <w:rFonts w:cs="Arial"/>
          <w:szCs w:val="20"/>
        </w:rPr>
      </w:pPr>
    </w:p>
    <w:p w14:paraId="61E3BB3F" w14:textId="6AD9060C" w:rsidR="00FA342B" w:rsidRPr="00E9128C" w:rsidRDefault="00FA342B" w:rsidP="00FA342B">
      <w:pPr>
        <w:spacing w:after="0" w:line="276" w:lineRule="auto"/>
        <w:jc w:val="both"/>
        <w:rPr>
          <w:rFonts w:cs="Arial"/>
          <w:szCs w:val="20"/>
        </w:rPr>
      </w:pPr>
      <w:r w:rsidRPr="00E9128C">
        <w:rPr>
          <w:rFonts w:cs="Arial"/>
          <w:szCs w:val="20"/>
        </w:rPr>
        <w:t>Ne glede na prejšnji odstavek Finančna uprava Republike Slovenije opravlja nadzor nad izvajanjem 4.</w:t>
      </w:r>
      <w:r>
        <w:rPr>
          <w:rFonts w:cs="Arial"/>
          <w:szCs w:val="20"/>
        </w:rPr>
        <w:t>,</w:t>
      </w:r>
      <w:r w:rsidRPr="00E9128C">
        <w:rPr>
          <w:rFonts w:cs="Arial"/>
          <w:szCs w:val="20"/>
        </w:rPr>
        <w:t xml:space="preserve"> 5.</w:t>
      </w:r>
      <w:r>
        <w:rPr>
          <w:rFonts w:cs="Arial"/>
          <w:szCs w:val="20"/>
        </w:rPr>
        <w:t xml:space="preserve">, 6. in 7. </w:t>
      </w:r>
      <w:r w:rsidRPr="00E9128C">
        <w:rPr>
          <w:rFonts w:cs="Arial"/>
          <w:szCs w:val="20"/>
        </w:rPr>
        <w:t>člena tega zakona.</w:t>
      </w:r>
    </w:p>
    <w:p w14:paraId="7893439D" w14:textId="77777777" w:rsidR="00FA342B" w:rsidRPr="00E9128C" w:rsidRDefault="00FA342B" w:rsidP="00FA342B">
      <w:pPr>
        <w:spacing w:after="0" w:line="240" w:lineRule="auto"/>
        <w:jc w:val="both"/>
        <w:rPr>
          <w:rFonts w:cs="Arial"/>
          <w:szCs w:val="20"/>
        </w:rPr>
      </w:pPr>
    </w:p>
    <w:p w14:paraId="4495D52C" w14:textId="226BCBFE" w:rsidR="00FA342B" w:rsidRPr="00E9128C" w:rsidRDefault="00FA342B" w:rsidP="00FA342B">
      <w:pPr>
        <w:spacing w:after="0" w:line="240" w:lineRule="auto"/>
        <w:jc w:val="both"/>
        <w:rPr>
          <w:rFonts w:cs="Arial"/>
          <w:szCs w:val="20"/>
        </w:rPr>
      </w:pPr>
      <w:r w:rsidRPr="00E9128C">
        <w:rPr>
          <w:rFonts w:cs="Arial"/>
          <w:b/>
          <w:bCs/>
          <w:szCs w:val="20"/>
        </w:rPr>
        <w:t>K</w:t>
      </w:r>
      <w:r w:rsidR="002A403D">
        <w:rPr>
          <w:rFonts w:cs="Arial"/>
          <w:b/>
          <w:bCs/>
          <w:szCs w:val="20"/>
        </w:rPr>
        <w:t xml:space="preserve"> </w:t>
      </w:r>
      <w:r>
        <w:rPr>
          <w:rFonts w:cs="Arial"/>
          <w:b/>
          <w:bCs/>
          <w:szCs w:val="20"/>
        </w:rPr>
        <w:t>9</w:t>
      </w:r>
      <w:r w:rsidRPr="00E9128C">
        <w:rPr>
          <w:rFonts w:cs="Arial"/>
          <w:b/>
          <w:bCs/>
          <w:szCs w:val="20"/>
        </w:rPr>
        <w:t>. členu</w:t>
      </w:r>
    </w:p>
    <w:p w14:paraId="431FCBA1" w14:textId="77777777" w:rsidR="00FA342B" w:rsidRPr="00E9128C" w:rsidRDefault="00FA342B" w:rsidP="00FA342B">
      <w:pPr>
        <w:spacing w:after="0" w:line="240" w:lineRule="auto"/>
        <w:jc w:val="both"/>
        <w:rPr>
          <w:rFonts w:cs="Arial"/>
          <w:szCs w:val="20"/>
        </w:rPr>
      </w:pPr>
      <w:r w:rsidRPr="00E9128C">
        <w:rPr>
          <w:rFonts w:cs="Arial"/>
          <w:szCs w:val="20"/>
        </w:rPr>
        <w:t>Člen določa globe za kršitev določb tega zakona.</w:t>
      </w:r>
    </w:p>
    <w:p w14:paraId="40DF3E87" w14:textId="77777777" w:rsidR="00FA342B" w:rsidRPr="00E9128C" w:rsidRDefault="00FA342B" w:rsidP="0011743A">
      <w:pPr>
        <w:spacing w:after="0" w:line="240" w:lineRule="auto"/>
        <w:jc w:val="both"/>
        <w:rPr>
          <w:rFonts w:cs="Arial"/>
          <w:szCs w:val="20"/>
        </w:rPr>
      </w:pPr>
    </w:p>
    <w:p w14:paraId="7FB285E6" w14:textId="7293510D" w:rsidR="0011743A" w:rsidRPr="00E9128C" w:rsidRDefault="0011743A" w:rsidP="0011743A">
      <w:pPr>
        <w:spacing w:after="0" w:line="240" w:lineRule="auto"/>
        <w:jc w:val="both"/>
        <w:rPr>
          <w:rFonts w:cs="Arial"/>
          <w:szCs w:val="20"/>
        </w:rPr>
      </w:pPr>
      <w:r w:rsidRPr="00E9128C">
        <w:rPr>
          <w:rFonts w:cs="Arial"/>
          <w:b/>
          <w:bCs/>
          <w:szCs w:val="20"/>
        </w:rPr>
        <w:t xml:space="preserve">K </w:t>
      </w:r>
      <w:r w:rsidR="00EE4350" w:rsidRPr="00E9128C">
        <w:rPr>
          <w:rFonts w:cs="Arial"/>
          <w:b/>
          <w:bCs/>
          <w:szCs w:val="20"/>
        </w:rPr>
        <w:t>10</w:t>
      </w:r>
      <w:r w:rsidRPr="00E9128C">
        <w:rPr>
          <w:rFonts w:cs="Arial"/>
          <w:b/>
          <w:bCs/>
          <w:szCs w:val="20"/>
        </w:rPr>
        <w:t>. členu</w:t>
      </w:r>
    </w:p>
    <w:p w14:paraId="7EC7BB91" w14:textId="237821E0" w:rsidR="0011743A" w:rsidRPr="00E9128C" w:rsidRDefault="0011743A" w:rsidP="0011743A">
      <w:pPr>
        <w:spacing w:after="0" w:line="240" w:lineRule="auto"/>
        <w:jc w:val="both"/>
        <w:rPr>
          <w:bCs/>
        </w:rPr>
      </w:pPr>
      <w:r w:rsidRPr="00E9128C">
        <w:rPr>
          <w:rFonts w:cs="Arial"/>
          <w:bCs/>
          <w:szCs w:val="20"/>
        </w:rPr>
        <w:t>S prvim odstavkom te prehodne določbe se delodajalcu</w:t>
      </w:r>
      <w:r w:rsidR="00EA31BE" w:rsidRPr="00E9128C">
        <w:rPr>
          <w:rFonts w:cs="Arial"/>
          <w:bCs/>
          <w:szCs w:val="20"/>
        </w:rPr>
        <w:t xml:space="preserve"> ob izpolnjevanju </w:t>
      </w:r>
      <w:r w:rsidR="004E2AA2" w:rsidRPr="00E9128C">
        <w:rPr>
          <w:rFonts w:cs="Arial"/>
          <w:bCs/>
          <w:szCs w:val="20"/>
        </w:rPr>
        <w:t xml:space="preserve">zakonskih pogojev omogoča </w:t>
      </w:r>
      <w:r w:rsidR="002A129F" w:rsidRPr="00E9128C">
        <w:rPr>
          <w:rFonts w:cs="Arial"/>
          <w:bCs/>
          <w:szCs w:val="20"/>
        </w:rPr>
        <w:t xml:space="preserve">kasnejši rok izplačila </w:t>
      </w:r>
      <w:r w:rsidR="00EE4350" w:rsidRPr="00E9128C">
        <w:rPr>
          <w:rFonts w:cs="Arial"/>
          <w:bCs/>
          <w:szCs w:val="20"/>
        </w:rPr>
        <w:t>3/4</w:t>
      </w:r>
      <w:r w:rsidR="002A129F" w:rsidRPr="00E9128C">
        <w:rPr>
          <w:rFonts w:cs="Arial"/>
          <w:bCs/>
          <w:szCs w:val="20"/>
        </w:rPr>
        <w:t xml:space="preserve"> višine </w:t>
      </w:r>
      <w:r w:rsidR="00E03511" w:rsidRPr="00E9128C">
        <w:rPr>
          <w:rFonts w:cs="Arial"/>
          <w:bCs/>
          <w:szCs w:val="20"/>
        </w:rPr>
        <w:t>zimskega regresa</w:t>
      </w:r>
      <w:r w:rsidR="007B626E" w:rsidRPr="00E9128C">
        <w:rPr>
          <w:rFonts w:cs="Arial"/>
          <w:bCs/>
          <w:szCs w:val="20"/>
        </w:rPr>
        <w:t xml:space="preserve"> za leto 2025. Delodajal</w:t>
      </w:r>
      <w:r w:rsidR="00060C34" w:rsidRPr="00E9128C">
        <w:rPr>
          <w:rFonts w:cs="Arial"/>
          <w:bCs/>
          <w:szCs w:val="20"/>
        </w:rPr>
        <w:t>cu</w:t>
      </w:r>
      <w:r w:rsidR="00D57615" w:rsidRPr="00E9128C">
        <w:rPr>
          <w:rFonts w:cs="Arial"/>
          <w:bCs/>
          <w:szCs w:val="20"/>
        </w:rPr>
        <w:t xml:space="preserve">, </w:t>
      </w:r>
      <w:r w:rsidR="00FE1540" w:rsidRPr="00E9128C">
        <w:rPr>
          <w:rFonts w:cs="Arial"/>
          <w:bCs/>
          <w:szCs w:val="20"/>
        </w:rPr>
        <w:t xml:space="preserve">pri katerem v letu 2025 oziroma do 31. marca 2026 ni prišlo do izplačila dobička, nakupov lastnih delnic ali lastnih poslovnih deležev, izplačil nagrad poslovodstvu oziroma dela plač za poslovno uspešnost poslovodstvu oziroma pri katerem </w:t>
      </w:r>
      <w:r w:rsidR="00632147" w:rsidRPr="00E9128C">
        <w:rPr>
          <w:rFonts w:cs="Arial"/>
          <w:bCs/>
          <w:szCs w:val="20"/>
        </w:rPr>
        <w:t>ni nastala</w:t>
      </w:r>
      <w:r w:rsidR="00FE1540" w:rsidRPr="00E9128C">
        <w:rPr>
          <w:rFonts w:cs="Arial"/>
          <w:bCs/>
          <w:szCs w:val="20"/>
        </w:rPr>
        <w:t xml:space="preserve"> obveznost izplačila dobička, možnost nakupov lastnih delnic ali lastnih poslovnih deležev, obveznost izplačil nagrad poslovodstvu oziroma dela plač za poslovno uspešnost poslovodstvu v letu 2025 oziroma do 31. marca 2026,</w:t>
      </w:r>
      <w:r w:rsidRPr="00E9128C">
        <w:rPr>
          <w:rFonts w:cs="Arial"/>
          <w:bCs/>
          <w:szCs w:val="20"/>
        </w:rPr>
        <w:t xml:space="preserve"> </w:t>
      </w:r>
      <w:r w:rsidR="00060C34" w:rsidRPr="00E9128C">
        <w:rPr>
          <w:rFonts w:cs="Arial"/>
          <w:bCs/>
          <w:szCs w:val="20"/>
        </w:rPr>
        <w:t xml:space="preserve">ta določba </w:t>
      </w:r>
      <w:r w:rsidRPr="00E9128C">
        <w:rPr>
          <w:rFonts w:cs="Arial"/>
          <w:bCs/>
          <w:szCs w:val="20"/>
        </w:rPr>
        <w:t>omogoča, da lahko</w:t>
      </w:r>
      <w:r w:rsidRPr="00E9128C">
        <w:rPr>
          <w:bCs/>
        </w:rPr>
        <w:t xml:space="preserve"> za leto 2025 izplača </w:t>
      </w:r>
      <w:r w:rsidR="00EE4350" w:rsidRPr="00E9128C">
        <w:rPr>
          <w:bCs/>
        </w:rPr>
        <w:t xml:space="preserve">1/4 </w:t>
      </w:r>
      <w:r w:rsidRPr="00E9128C">
        <w:rPr>
          <w:bCs/>
        </w:rPr>
        <w:t>zimsk</w:t>
      </w:r>
      <w:r w:rsidR="00BA7391" w:rsidRPr="00E9128C">
        <w:rPr>
          <w:bCs/>
        </w:rPr>
        <w:t>ega</w:t>
      </w:r>
      <w:r w:rsidRPr="00E9128C">
        <w:rPr>
          <w:bCs/>
        </w:rPr>
        <w:t xml:space="preserve"> </w:t>
      </w:r>
      <w:r w:rsidR="006B6E1C" w:rsidRPr="00E9128C">
        <w:rPr>
          <w:bCs/>
        </w:rPr>
        <w:t>regres</w:t>
      </w:r>
      <w:r w:rsidR="00BA7391" w:rsidRPr="00E9128C">
        <w:rPr>
          <w:bCs/>
        </w:rPr>
        <w:t>a</w:t>
      </w:r>
      <w:r w:rsidR="004E39F8" w:rsidRPr="00E9128C">
        <w:t xml:space="preserve"> do 18. decembra 2025, preostanek zimskega regresa pa </w:t>
      </w:r>
      <w:r w:rsidR="007D06F1">
        <w:t>najpozneje</w:t>
      </w:r>
      <w:r w:rsidR="004E39F8" w:rsidRPr="00E9128C">
        <w:t xml:space="preserve"> do 31. marca 2026</w:t>
      </w:r>
      <w:r w:rsidRPr="00E9128C">
        <w:t>.</w:t>
      </w:r>
      <w:r w:rsidRPr="00E9128C">
        <w:rPr>
          <w:bCs/>
        </w:rPr>
        <w:t xml:space="preserve"> Predlagana prehodna določba</w:t>
      </w:r>
      <w:r w:rsidR="00FC0CD2" w:rsidRPr="00E9128C">
        <w:rPr>
          <w:bCs/>
        </w:rPr>
        <w:t xml:space="preserve"> se</w:t>
      </w:r>
      <w:r w:rsidRPr="00E9128C">
        <w:rPr>
          <w:bCs/>
        </w:rPr>
        <w:t xml:space="preserve"> ne bo </w:t>
      </w:r>
      <w:r w:rsidR="00FC0CD2" w:rsidRPr="00E9128C">
        <w:rPr>
          <w:bCs/>
        </w:rPr>
        <w:t xml:space="preserve">uporabljala </w:t>
      </w:r>
      <w:r w:rsidRPr="00E9128C">
        <w:rPr>
          <w:bCs/>
        </w:rPr>
        <w:t>za javni sektor.</w:t>
      </w:r>
    </w:p>
    <w:p w14:paraId="4F73A2FC" w14:textId="77777777" w:rsidR="0011743A" w:rsidRPr="00E9128C" w:rsidRDefault="0011743A" w:rsidP="0011743A">
      <w:pPr>
        <w:spacing w:after="0" w:line="240" w:lineRule="auto"/>
        <w:jc w:val="both"/>
        <w:rPr>
          <w:bCs/>
        </w:rPr>
      </w:pPr>
    </w:p>
    <w:p w14:paraId="22407A63" w14:textId="5D82CC9B" w:rsidR="0011743A" w:rsidRPr="00E9128C" w:rsidRDefault="0011743A" w:rsidP="0011743A">
      <w:pPr>
        <w:spacing w:after="0" w:line="240" w:lineRule="auto"/>
        <w:jc w:val="both"/>
        <w:rPr>
          <w:rFonts w:cs="Arial"/>
          <w:b/>
          <w:bCs/>
          <w:szCs w:val="20"/>
        </w:rPr>
      </w:pPr>
      <w:r w:rsidRPr="00E9128C">
        <w:rPr>
          <w:rFonts w:cs="Arial"/>
          <w:b/>
          <w:bCs/>
          <w:szCs w:val="20"/>
        </w:rPr>
        <w:t xml:space="preserve">K </w:t>
      </w:r>
      <w:r w:rsidR="00BD7658" w:rsidRPr="00E9128C">
        <w:rPr>
          <w:rFonts w:cs="Arial"/>
          <w:b/>
          <w:bCs/>
          <w:szCs w:val="20"/>
        </w:rPr>
        <w:t>11</w:t>
      </w:r>
      <w:r w:rsidRPr="00E9128C">
        <w:rPr>
          <w:rFonts w:cs="Arial"/>
          <w:b/>
          <w:bCs/>
          <w:szCs w:val="20"/>
        </w:rPr>
        <w:t>. členu</w:t>
      </w:r>
    </w:p>
    <w:p w14:paraId="697B82E8" w14:textId="69ABEF44" w:rsidR="009637B2" w:rsidRPr="00E9128C" w:rsidRDefault="0089467A" w:rsidP="0011743A">
      <w:pPr>
        <w:spacing w:after="0" w:line="240" w:lineRule="auto"/>
        <w:jc w:val="both"/>
        <w:rPr>
          <w:rFonts w:cs="Arial"/>
          <w:szCs w:val="20"/>
        </w:rPr>
      </w:pPr>
      <w:r w:rsidRPr="00E9128C">
        <w:rPr>
          <w:rFonts w:cs="Arial"/>
          <w:szCs w:val="20"/>
        </w:rPr>
        <w:t xml:space="preserve">S prehodno določbo se za izplačilo zimskega regresa za leto 2025 določa izjema od </w:t>
      </w:r>
      <w:r w:rsidR="00017A5E" w:rsidRPr="00E9128C">
        <w:rPr>
          <w:rFonts w:cs="Arial"/>
          <w:szCs w:val="20"/>
        </w:rPr>
        <w:t xml:space="preserve">siceršnjega pravila </w:t>
      </w:r>
      <w:r w:rsidR="008C7FAD" w:rsidRPr="00E9128C">
        <w:rPr>
          <w:rFonts w:cs="Arial"/>
          <w:szCs w:val="20"/>
        </w:rPr>
        <w:t xml:space="preserve">možnosti kasnejšega izplačila zimskega regresa v primeru nelikvidnosti delodajalca, in sicer se določa, da lahko </w:t>
      </w:r>
      <w:r w:rsidR="00216E4A" w:rsidRPr="00E9128C">
        <w:rPr>
          <w:rFonts w:cs="Arial"/>
          <w:szCs w:val="20"/>
        </w:rPr>
        <w:t>delodajalec v primeru nelikvidnosti določi kasnejši rok za izplačilo zimskega regresa za leto 2025</w:t>
      </w:r>
      <w:r w:rsidR="0026369E" w:rsidRPr="00E9128C">
        <w:rPr>
          <w:rFonts w:cs="Arial"/>
          <w:szCs w:val="20"/>
        </w:rPr>
        <w:t xml:space="preserve"> do 31. marca 2026</w:t>
      </w:r>
      <w:r w:rsidR="00053708" w:rsidRPr="00E9128C">
        <w:rPr>
          <w:rFonts w:cs="Arial"/>
          <w:szCs w:val="20"/>
        </w:rPr>
        <w:t>, ne da bi moral</w:t>
      </w:r>
      <w:r w:rsidR="00F84225" w:rsidRPr="00E9128C">
        <w:rPr>
          <w:rFonts w:cs="Arial"/>
          <w:szCs w:val="20"/>
        </w:rPr>
        <w:t>o biti to dopuščeno tudi v kolektivni pogodbi na ravni dejavnosti</w:t>
      </w:r>
      <w:r w:rsidR="006F1894" w:rsidRPr="00E9128C">
        <w:rPr>
          <w:rFonts w:cs="Arial"/>
          <w:szCs w:val="20"/>
        </w:rPr>
        <w:t>, ki zavezuje delodajalca.</w:t>
      </w:r>
    </w:p>
    <w:p w14:paraId="352A2A5D" w14:textId="77777777" w:rsidR="009637B2" w:rsidRPr="00E9128C" w:rsidRDefault="009637B2" w:rsidP="0011743A">
      <w:pPr>
        <w:spacing w:after="0" w:line="240" w:lineRule="auto"/>
        <w:jc w:val="both"/>
        <w:rPr>
          <w:rFonts w:cs="Arial"/>
          <w:b/>
          <w:bCs/>
          <w:szCs w:val="20"/>
        </w:rPr>
      </w:pPr>
    </w:p>
    <w:p w14:paraId="33F2C91F" w14:textId="0796CC9E" w:rsidR="009637B2" w:rsidRPr="00E9128C" w:rsidRDefault="009637B2" w:rsidP="009637B2">
      <w:pPr>
        <w:spacing w:after="0" w:line="240" w:lineRule="auto"/>
        <w:jc w:val="both"/>
        <w:rPr>
          <w:rFonts w:cs="Arial"/>
          <w:b/>
          <w:bCs/>
          <w:szCs w:val="20"/>
        </w:rPr>
      </w:pPr>
      <w:r w:rsidRPr="00E9128C">
        <w:rPr>
          <w:rFonts w:cs="Arial"/>
          <w:b/>
          <w:bCs/>
          <w:szCs w:val="20"/>
        </w:rPr>
        <w:t>K 1</w:t>
      </w:r>
      <w:r w:rsidR="00BD7658" w:rsidRPr="00E9128C">
        <w:rPr>
          <w:rFonts w:cs="Arial"/>
          <w:b/>
          <w:bCs/>
          <w:szCs w:val="20"/>
        </w:rPr>
        <w:t>2</w:t>
      </w:r>
      <w:r w:rsidRPr="00E9128C">
        <w:rPr>
          <w:rFonts w:cs="Arial"/>
          <w:b/>
          <w:bCs/>
          <w:szCs w:val="20"/>
        </w:rPr>
        <w:t>. členu</w:t>
      </w:r>
    </w:p>
    <w:p w14:paraId="1EA3DD77" w14:textId="05E94BA6" w:rsidR="0011743A" w:rsidRPr="00E9128C" w:rsidRDefault="0011743A" w:rsidP="0011743A">
      <w:pPr>
        <w:spacing w:after="0" w:line="240" w:lineRule="auto"/>
        <w:jc w:val="both"/>
        <w:rPr>
          <w:rFonts w:cs="Arial"/>
          <w:szCs w:val="20"/>
        </w:rPr>
      </w:pPr>
      <w:r w:rsidRPr="00E9128C">
        <w:rPr>
          <w:rFonts w:cs="Arial"/>
          <w:szCs w:val="20"/>
        </w:rPr>
        <w:t xml:space="preserve">Prehodna določba predvideva, da se dohodek v obliki zimskega </w:t>
      </w:r>
      <w:r w:rsidR="009A2609" w:rsidRPr="00E9128C">
        <w:rPr>
          <w:rFonts w:cs="Arial"/>
          <w:szCs w:val="20"/>
        </w:rPr>
        <w:t>regresa</w:t>
      </w:r>
      <w:r w:rsidRPr="00E9128C">
        <w:rPr>
          <w:rFonts w:cs="Arial"/>
          <w:szCs w:val="20"/>
        </w:rPr>
        <w:t xml:space="preserve">, izplačanega v letu 2025, ki je izplačan v skladu </w:t>
      </w:r>
      <w:r w:rsidR="00C14CFC" w:rsidRPr="00E9128C">
        <w:rPr>
          <w:rFonts w:cs="Arial"/>
          <w:szCs w:val="20"/>
        </w:rPr>
        <w:t>z</w:t>
      </w:r>
      <w:r w:rsidRPr="00E9128C">
        <w:rPr>
          <w:rFonts w:cs="Arial"/>
          <w:szCs w:val="20"/>
        </w:rPr>
        <w:t xml:space="preserve"> 2. člen</w:t>
      </w:r>
      <w:r w:rsidR="00C14CFC" w:rsidRPr="00E9128C">
        <w:rPr>
          <w:rFonts w:cs="Arial"/>
          <w:szCs w:val="20"/>
        </w:rPr>
        <w:t>om</w:t>
      </w:r>
      <w:r w:rsidRPr="00E9128C">
        <w:rPr>
          <w:rFonts w:cs="Arial"/>
          <w:szCs w:val="20"/>
        </w:rPr>
        <w:t xml:space="preserve"> tega zakona, ne glede na 12. točko prvega odstavka 44. člena in sedmi odstavek 109. člena ZDoh-2, ne všteva v davčno osnovo od odhodka iz delovnega razmerja. Navedeno pomeni, da bo zavezanec, ne glede na to, ali je v davčnem letu 2025 že prejel plačilo za poslovno uspešnost v skladu z 12. točko prvega odstavka 44. člena ZDoh-2 do višine, ki se ne všteva v davčno osnovo, za zimski </w:t>
      </w:r>
      <w:r w:rsidR="0055611A" w:rsidRPr="00E9128C">
        <w:rPr>
          <w:rFonts w:cs="Arial"/>
          <w:szCs w:val="20"/>
        </w:rPr>
        <w:t>regres</w:t>
      </w:r>
      <w:r w:rsidRPr="00E9128C">
        <w:rPr>
          <w:rFonts w:cs="Arial"/>
          <w:szCs w:val="20"/>
        </w:rPr>
        <w:t>, izplačan v davčnem letu 2025 v višini polovice minimalne plače (oziroma v sorazmerno zmanjšani višini), še vedno upravičen do izvzema iz davčne osnove. Razlog za tako rešitev je v nezmožnosti prilagoditve delodajalcev glede izplačila novega obveznega dohodka v tako kratkem času.</w:t>
      </w:r>
    </w:p>
    <w:p w14:paraId="0F73EC3C" w14:textId="77777777" w:rsidR="0011743A" w:rsidRPr="00E9128C" w:rsidRDefault="0011743A" w:rsidP="0011743A">
      <w:pPr>
        <w:spacing w:after="0" w:line="240" w:lineRule="auto"/>
        <w:jc w:val="both"/>
        <w:rPr>
          <w:rFonts w:cs="Arial"/>
          <w:szCs w:val="20"/>
        </w:rPr>
      </w:pPr>
    </w:p>
    <w:p w14:paraId="6D3A70A4" w14:textId="6207CF2F" w:rsidR="0011743A" w:rsidRPr="00E9128C" w:rsidRDefault="0011743A" w:rsidP="0011743A">
      <w:pPr>
        <w:spacing w:after="0" w:line="240" w:lineRule="auto"/>
        <w:jc w:val="both"/>
        <w:rPr>
          <w:rFonts w:cs="Arial"/>
          <w:szCs w:val="20"/>
        </w:rPr>
      </w:pPr>
      <w:r w:rsidRPr="00E9128C">
        <w:rPr>
          <w:rFonts w:cs="Arial"/>
          <w:szCs w:val="20"/>
        </w:rPr>
        <w:t xml:space="preserve">Drugi odstavek predlaganega člena pa predvideva, da če zimski </w:t>
      </w:r>
      <w:r w:rsidR="0055611A" w:rsidRPr="00E9128C">
        <w:rPr>
          <w:rFonts w:cs="Arial"/>
          <w:szCs w:val="20"/>
        </w:rPr>
        <w:t xml:space="preserve">regres </w:t>
      </w:r>
      <w:r w:rsidRPr="00E9128C">
        <w:rPr>
          <w:rFonts w:cs="Arial"/>
          <w:szCs w:val="20"/>
        </w:rPr>
        <w:t xml:space="preserve">presega višino, ki je določena v skladu </w:t>
      </w:r>
      <w:r w:rsidR="00C14CFC" w:rsidRPr="00E9128C">
        <w:rPr>
          <w:rFonts w:cs="Arial"/>
          <w:szCs w:val="20"/>
        </w:rPr>
        <w:t>z</w:t>
      </w:r>
      <w:r w:rsidRPr="00E9128C">
        <w:rPr>
          <w:rFonts w:cs="Arial"/>
          <w:szCs w:val="20"/>
        </w:rPr>
        <w:t xml:space="preserve"> 2. člen</w:t>
      </w:r>
      <w:r w:rsidR="00C14CFC" w:rsidRPr="00E9128C">
        <w:rPr>
          <w:rFonts w:cs="Arial"/>
          <w:szCs w:val="20"/>
        </w:rPr>
        <w:t>om</w:t>
      </w:r>
      <w:r w:rsidRPr="00E9128C">
        <w:rPr>
          <w:rFonts w:cs="Arial"/>
          <w:szCs w:val="20"/>
        </w:rPr>
        <w:t xml:space="preserve"> tega zakona, se bo razlika štela za plačilo za poslovno uspešnost pod pogoji in do višine, kot je določeno v 12. točki prvega odstavka 44. člena ZDoh-2, uporabljajo pa se tudi šesti odstavek 41. člena, četrti odstavek 44. člena, trinajsti odstavek 127. člena ZDoh-2 in sedmi odstavek 109. člena ZDoh-2.</w:t>
      </w:r>
    </w:p>
    <w:p w14:paraId="76004247" w14:textId="77777777" w:rsidR="0011743A" w:rsidRPr="00E9128C" w:rsidRDefault="0011743A" w:rsidP="0011743A">
      <w:pPr>
        <w:spacing w:after="0" w:line="240" w:lineRule="auto"/>
        <w:jc w:val="both"/>
        <w:rPr>
          <w:rFonts w:cs="Arial"/>
          <w:szCs w:val="20"/>
        </w:rPr>
      </w:pPr>
    </w:p>
    <w:p w14:paraId="02FBA3FE" w14:textId="60A41A89" w:rsidR="0011743A" w:rsidRPr="00E9128C" w:rsidRDefault="0011743A" w:rsidP="0011743A">
      <w:pPr>
        <w:spacing w:after="0" w:line="240" w:lineRule="auto"/>
        <w:jc w:val="both"/>
        <w:rPr>
          <w:rFonts w:cs="Arial"/>
          <w:b/>
          <w:bCs/>
          <w:szCs w:val="20"/>
        </w:rPr>
      </w:pPr>
      <w:r w:rsidRPr="00E9128C">
        <w:rPr>
          <w:rFonts w:cs="Arial"/>
          <w:b/>
          <w:bCs/>
          <w:szCs w:val="20"/>
        </w:rPr>
        <w:t xml:space="preserve">K </w:t>
      </w:r>
      <w:r w:rsidR="009637B2" w:rsidRPr="00E9128C">
        <w:rPr>
          <w:rFonts w:cs="Arial"/>
          <w:b/>
          <w:bCs/>
          <w:szCs w:val="20"/>
        </w:rPr>
        <w:t>1</w:t>
      </w:r>
      <w:r w:rsidR="00B309D4" w:rsidRPr="00E9128C">
        <w:rPr>
          <w:rFonts w:cs="Arial"/>
          <w:b/>
          <w:bCs/>
          <w:szCs w:val="20"/>
        </w:rPr>
        <w:t>3</w:t>
      </w:r>
      <w:r w:rsidRPr="00E9128C">
        <w:rPr>
          <w:rFonts w:cs="Arial"/>
          <w:b/>
          <w:bCs/>
          <w:szCs w:val="20"/>
        </w:rPr>
        <w:t>. členu</w:t>
      </w:r>
    </w:p>
    <w:p w14:paraId="0ACF070A" w14:textId="59898FC6" w:rsidR="0011743A" w:rsidRPr="00E9128C" w:rsidRDefault="0011743A" w:rsidP="0011743A">
      <w:pPr>
        <w:jc w:val="both"/>
      </w:pPr>
      <w:r w:rsidRPr="00E9128C">
        <w:t xml:space="preserve">S predlagano prehodno določbo se iz razloga, ker se bodo sredstva za zimski </w:t>
      </w:r>
      <w:r w:rsidR="0055611A" w:rsidRPr="00E9128C">
        <w:t xml:space="preserve">regres </w:t>
      </w:r>
      <w:r w:rsidRPr="00E9128C">
        <w:t>zagotavljala v državnem proračuna za vse zaposlene v javnem sektorju in iz razloga, ker v zadnjem kvartalu proračunski uporabniki v svojih finančnih načrtih nimajo zagotovljen</w:t>
      </w:r>
      <w:r w:rsidR="00770D30" w:rsidRPr="00E9128C">
        <w:t>eg</w:t>
      </w:r>
      <w:r w:rsidRPr="00E9128C">
        <w:t xml:space="preserve">a zadostnega obsega sredstev za izplačilo zimskega </w:t>
      </w:r>
      <w:r w:rsidR="0055611A" w:rsidRPr="00E9128C">
        <w:t>regresa</w:t>
      </w:r>
      <w:r w:rsidRPr="00E9128C">
        <w:t xml:space="preserve">, ureja način zagotavljanja sredstev, ki bo v veljavi samo v letu 2025. Za naslednja leta bodo proračunski uporabniki sredstva načrtovali že ob pripravi njihovih finančnih načrtov. </w:t>
      </w:r>
    </w:p>
    <w:p w14:paraId="434DD437" w14:textId="77777777" w:rsidR="0011743A" w:rsidRDefault="0011743A" w:rsidP="0011743A">
      <w:pPr>
        <w:spacing w:after="0" w:line="240" w:lineRule="auto"/>
        <w:jc w:val="both"/>
        <w:rPr>
          <w:rFonts w:cs="Arial"/>
          <w:szCs w:val="20"/>
        </w:rPr>
      </w:pPr>
    </w:p>
    <w:p w14:paraId="0FAC878E" w14:textId="77777777" w:rsidR="00236DF6" w:rsidRPr="00E9128C" w:rsidRDefault="00236DF6" w:rsidP="0011743A">
      <w:pPr>
        <w:spacing w:after="0" w:line="240" w:lineRule="auto"/>
        <w:jc w:val="both"/>
        <w:rPr>
          <w:rFonts w:cs="Arial"/>
          <w:szCs w:val="20"/>
        </w:rPr>
      </w:pPr>
    </w:p>
    <w:p w14:paraId="1BD31AB0" w14:textId="56286CA7" w:rsidR="0011743A" w:rsidRPr="00E9128C" w:rsidRDefault="0011743A" w:rsidP="0011743A">
      <w:pPr>
        <w:spacing w:after="0" w:line="240" w:lineRule="auto"/>
        <w:jc w:val="both"/>
        <w:rPr>
          <w:rFonts w:cs="Arial"/>
          <w:b/>
          <w:bCs/>
          <w:szCs w:val="20"/>
        </w:rPr>
      </w:pPr>
      <w:r w:rsidRPr="00E9128C">
        <w:rPr>
          <w:rFonts w:cs="Arial"/>
          <w:b/>
          <w:bCs/>
          <w:szCs w:val="20"/>
        </w:rPr>
        <w:lastRenderedPageBreak/>
        <w:t xml:space="preserve">K </w:t>
      </w:r>
      <w:r w:rsidR="009637B2" w:rsidRPr="00E9128C">
        <w:rPr>
          <w:rFonts w:cs="Arial"/>
          <w:b/>
          <w:bCs/>
          <w:szCs w:val="20"/>
        </w:rPr>
        <w:t>1</w:t>
      </w:r>
      <w:r w:rsidR="00B309D4" w:rsidRPr="00E9128C">
        <w:rPr>
          <w:rFonts w:cs="Arial"/>
          <w:b/>
          <w:bCs/>
          <w:szCs w:val="20"/>
        </w:rPr>
        <w:t>4</w:t>
      </w:r>
      <w:r w:rsidRPr="00E9128C">
        <w:rPr>
          <w:rFonts w:cs="Arial"/>
          <w:b/>
          <w:bCs/>
          <w:szCs w:val="20"/>
        </w:rPr>
        <w:t>. členu</w:t>
      </w:r>
    </w:p>
    <w:p w14:paraId="7C1356FC" w14:textId="1CEBFDEA" w:rsidR="00246C8A" w:rsidRPr="00E9128C" w:rsidRDefault="00246C8A" w:rsidP="00246C8A">
      <w:pPr>
        <w:jc w:val="both"/>
      </w:pPr>
      <w:r w:rsidRPr="00E9128C">
        <w:t xml:space="preserve">S prvim odstavkom se določa, da se sredstva za izplačilo zimskega </w:t>
      </w:r>
      <w:r w:rsidR="0055611A" w:rsidRPr="00E9128C">
        <w:t xml:space="preserve">regresa </w:t>
      </w:r>
      <w:r w:rsidRPr="00E9128C">
        <w:t xml:space="preserve">za delavce in funkcionarje pri neposrednih uporabnikih državnega proračuna, za delavce pri posrednih uporabnikih, katerih ustanovitelj je država in za delavce v javnih gospodarskih zavodih, v letu 2025 zagotavljajo v finančnem načrtu neposrednega uporabnika državnega proračuna, v čigar pristojnost sodi posredni uporabnik državnega proračuna oziroma javni gospodarski zavod. Navedeno pomeni, da se način financiranja veže na ustanoviteljske pravice, posledično pa pomeni tudi to, da izplačilo zimskega </w:t>
      </w:r>
      <w:r w:rsidR="0055611A" w:rsidRPr="00E9128C">
        <w:t xml:space="preserve">regresa </w:t>
      </w:r>
      <w:r w:rsidRPr="00E9128C">
        <w:t>lahko odstopa od vseh področnih ureditev financiranja. Navedba, da se na državni ravni v letu 2025 sredstva za neposrednega uporabnika in vse posredne uporabnike iz njegove pristojnosti zagotavljajo v finančnem načrtu neposrednega uporabnika pomeni, da bo resorno pristojno ministrstvo moralo v svojem finančnem načrtu zagotoviti pravice porabe za sebe in vse tiste posredne proračunske uporabnike, katerih ustanovitelj je Republika Slovenije. V primeru, da sredstev neposredni uporabnik ne bo mogel zagotoviti s prerazporeditvami pravic porabe v svojem finančnem načrtu, se mu bodo sredstva razporedila iz splošne proračunske rezervacije.</w:t>
      </w:r>
    </w:p>
    <w:p w14:paraId="0CFCEBE0" w14:textId="440BE693" w:rsidR="00246C8A" w:rsidRPr="00E9128C" w:rsidRDefault="00246C8A" w:rsidP="00246C8A">
      <w:pPr>
        <w:jc w:val="both"/>
      </w:pPr>
      <w:r w:rsidRPr="00E9128C">
        <w:t xml:space="preserve">Nadalje se v drugem odstavku določa, da neposredni uporabnik državnega proračuna posrednemu uporabniku proračuna države oziroma javnemu gospodarskemu zavodu sredstva izplača na podlagi zahtevka in dokazil, iz katerih je razviden znesek zimskega </w:t>
      </w:r>
      <w:r w:rsidR="0055611A" w:rsidRPr="00E9128C">
        <w:t xml:space="preserve">regresa </w:t>
      </w:r>
      <w:r w:rsidRPr="00E9128C">
        <w:t xml:space="preserve">po delavcu in skupni znesek izplačil pri posameznem posrednem proračunskem uporabniku državnega proračuna oziroma pri javnem gospodarskem zavodu. Priprava zahtevkov, s katerimi bodo praviloma ministrstva zagotavljala sredstva svojim posrednim uporabnikom proračuna, je določena enostavno, vendar na način, da upošteva tudi možnost izplačila sorazmernega dela zimskega </w:t>
      </w:r>
      <w:r w:rsidR="0055611A" w:rsidRPr="00E9128C">
        <w:t>regresa</w:t>
      </w:r>
      <w:r w:rsidRPr="00E9128C">
        <w:t xml:space="preserve">. Iz tega razloga in z namenom kasnejšega preverjanja mora biti zahtevku priložen seznam delavcev in znesek pripadajočega namenskega prejemka za posameznega delavca. </w:t>
      </w:r>
    </w:p>
    <w:p w14:paraId="5DF19A42" w14:textId="0740BAA1" w:rsidR="00246C8A" w:rsidRPr="00E9128C" w:rsidRDefault="00246C8A" w:rsidP="00246C8A">
      <w:pPr>
        <w:jc w:val="both"/>
      </w:pPr>
      <w:r w:rsidRPr="00E9128C">
        <w:t xml:space="preserve">S tretjim odstavkom se določajo roki za posredovanje zahtevkov za povračila sredstev za zimski </w:t>
      </w:r>
      <w:r w:rsidR="0055611A" w:rsidRPr="00E9128C">
        <w:t>regres</w:t>
      </w:r>
      <w:r w:rsidRPr="00E9128C">
        <w:t xml:space="preserve">. Rok za posredovanje zahtevkov je določen na dan 19. december 2025. Proračunski uporabniki lahko zahtevek pošljejo še pred tem datumom oziroma takoj, ko imajo na razpolago točne podatke, na podlagi katerih bo zimski </w:t>
      </w:r>
      <w:r w:rsidR="0055611A" w:rsidRPr="00E9128C">
        <w:t>regres</w:t>
      </w:r>
      <w:r w:rsidR="0055611A" w:rsidRPr="00E9128C" w:rsidDel="0055611A">
        <w:t xml:space="preserve"> </w:t>
      </w:r>
      <w:r w:rsidRPr="00E9128C">
        <w:t xml:space="preserve">izplačan. Povedano drugače, za posredovanje zahtevka ni potrebno predhodno izplačilo delavcu, to se lahko izvrši kasneje, ob pogoju, da bo izplačilo delavcu enako, kot bo predstavljeno v prilogi zahtevka. V tem delu je treba opozoriti tudi, da gre za povračila, kar pomeni refundacijo , ki pa jo je mogoče izvesti zgolj znotraj proračunskega leta, ne pa tudi v prihodnjem letu. Ob upoštevanju navedenega, morajo biti vsa vračila teh sredstev izvršena </w:t>
      </w:r>
      <w:r w:rsidR="007D06F1">
        <w:t>najpozneje</w:t>
      </w:r>
      <w:r w:rsidRPr="00E9128C">
        <w:t xml:space="preserve"> do 31. decembra 2025. </w:t>
      </w:r>
    </w:p>
    <w:p w14:paraId="18B7C46C" w14:textId="2997C6E9" w:rsidR="00246C8A" w:rsidRPr="00E9128C" w:rsidRDefault="00246C8A" w:rsidP="00246C8A">
      <w:pPr>
        <w:jc w:val="both"/>
      </w:pPr>
      <w:r w:rsidRPr="00E9128C">
        <w:t xml:space="preserve">S četrtim odstavkom predlaganega člena se določa, da se občinam v letu 2025 iz državnega proračuna povrnejo sredstva za izplačilo zimskega </w:t>
      </w:r>
      <w:r w:rsidR="001B065B" w:rsidRPr="00E9128C">
        <w:t>regresa</w:t>
      </w:r>
      <w:r w:rsidR="001B065B" w:rsidRPr="00E9128C" w:rsidDel="001B065B">
        <w:t xml:space="preserve"> </w:t>
      </w:r>
      <w:r w:rsidRPr="00E9128C">
        <w:t xml:space="preserve">za delavce in funkcionarje na občini in za delavce pri tistih posrednih uporabnikih občinskega proračuna, katerih ustanoviteljica je občina. Postopek priprave zahtevkov je enak postopku na državni ravni, pri tem pa občina ustanoviteljica svojim posrednim proračunskim uporabnikom, na podlagi njihovih zahtevkov zagotovi sredstva za izplačilo zimskega </w:t>
      </w:r>
      <w:r w:rsidR="001B065B" w:rsidRPr="00E9128C">
        <w:t>regresa</w:t>
      </w:r>
      <w:r w:rsidR="001B065B" w:rsidRPr="00E9128C" w:rsidDel="001B065B">
        <w:t xml:space="preserve"> </w:t>
      </w:r>
      <w:r w:rsidRPr="00E9128C">
        <w:t xml:space="preserve">za njihove delavce, kasneje pa bo vračilo teh sredstev terjala iz državnega proračuna. </w:t>
      </w:r>
    </w:p>
    <w:p w14:paraId="5CF73308" w14:textId="01ADB370" w:rsidR="00246C8A" w:rsidRPr="00E9128C" w:rsidRDefault="00246C8A" w:rsidP="00246C8A">
      <w:pPr>
        <w:jc w:val="both"/>
      </w:pPr>
      <w:r w:rsidRPr="00E9128C">
        <w:t xml:space="preserve">Občina zahtevek za vračilo sredstev predloži ministrstvu, pristojnemu za finance, najpozneje do 19. decembra 2025. Občina pripravi le en zahtevek za vračilo stroškov zimskih </w:t>
      </w:r>
      <w:r w:rsidR="001B065B" w:rsidRPr="00E9128C">
        <w:t>regresov</w:t>
      </w:r>
      <w:r w:rsidRPr="00E9128C">
        <w:t xml:space="preserve">, tako za svoje delavce in funkcionarje, kot tudi za tiste delavce pri njenih posrednih uporabnikih proračuna, morajo pa biti tem zahtevkom priloženi seznami delavcev in funkcionarjev, ločeno po delodajalcih, hkrati pa mora biti razviden znesek zimskega </w:t>
      </w:r>
      <w:r w:rsidR="001B065B" w:rsidRPr="00E9128C">
        <w:t>regresa</w:t>
      </w:r>
      <w:r w:rsidR="001B065B" w:rsidRPr="00E9128C" w:rsidDel="001B065B">
        <w:t xml:space="preserve"> </w:t>
      </w:r>
      <w:r w:rsidRPr="00E9128C">
        <w:t xml:space="preserve">po delavcih in funkcionarjih in skupni znesek izplačil pri posameznem delodajalcu.  Ministrstvo za finance na podlagi prejetih zahtevkov iz prejšnjega odstavka občinam povrne sredstva najpozneje do 31. decembra 2025.      </w:t>
      </w:r>
    </w:p>
    <w:p w14:paraId="126DA4E8" w14:textId="7FC98C87" w:rsidR="00246C8A" w:rsidRPr="00E9128C" w:rsidRDefault="00246C8A" w:rsidP="00246C8A">
      <w:pPr>
        <w:spacing w:after="0"/>
        <w:jc w:val="both"/>
      </w:pPr>
      <w:r w:rsidRPr="00E9128C">
        <w:t xml:space="preserve">Z osmim in devetim odstavkom se določa tudi pristojnost za zagotovitev sredstev za zimski </w:t>
      </w:r>
      <w:r w:rsidR="001B065B" w:rsidRPr="00E9128C">
        <w:t xml:space="preserve">regres </w:t>
      </w:r>
      <w:r w:rsidRPr="00E9128C">
        <w:t xml:space="preserve">v primerih, kadar so različni soustanovitelji oziroma kadar je več občin soustanoviteljic enega javnega zavoda. </w:t>
      </w:r>
    </w:p>
    <w:p w14:paraId="556049EA" w14:textId="77777777" w:rsidR="00004C7F" w:rsidRDefault="00004C7F" w:rsidP="0011743A">
      <w:pPr>
        <w:spacing w:after="0"/>
        <w:jc w:val="both"/>
      </w:pPr>
    </w:p>
    <w:p w14:paraId="6C39FDE9" w14:textId="77777777" w:rsidR="00236DF6" w:rsidRDefault="00236DF6" w:rsidP="0011743A">
      <w:pPr>
        <w:spacing w:after="0"/>
        <w:jc w:val="both"/>
      </w:pPr>
    </w:p>
    <w:p w14:paraId="1F8EB809" w14:textId="77777777" w:rsidR="00236DF6" w:rsidRPr="00E9128C" w:rsidRDefault="00236DF6" w:rsidP="0011743A">
      <w:pPr>
        <w:spacing w:after="0"/>
        <w:jc w:val="both"/>
      </w:pPr>
    </w:p>
    <w:p w14:paraId="0562641E" w14:textId="77777777" w:rsidR="0011743A" w:rsidRPr="00E9128C" w:rsidRDefault="0011743A" w:rsidP="0011743A">
      <w:pPr>
        <w:spacing w:after="0" w:line="240" w:lineRule="auto"/>
        <w:jc w:val="both"/>
        <w:rPr>
          <w:rFonts w:cs="Arial"/>
          <w:szCs w:val="20"/>
        </w:rPr>
      </w:pPr>
    </w:p>
    <w:p w14:paraId="2AA77EF5" w14:textId="125E3231" w:rsidR="0011743A" w:rsidRPr="00E9128C" w:rsidRDefault="0011743A" w:rsidP="0011743A">
      <w:pPr>
        <w:spacing w:after="0" w:line="240" w:lineRule="auto"/>
        <w:jc w:val="both"/>
        <w:rPr>
          <w:rFonts w:cs="Arial"/>
          <w:b/>
          <w:bCs/>
          <w:szCs w:val="20"/>
        </w:rPr>
      </w:pPr>
      <w:r w:rsidRPr="00E9128C">
        <w:rPr>
          <w:rFonts w:cs="Arial"/>
          <w:b/>
          <w:bCs/>
          <w:szCs w:val="20"/>
        </w:rPr>
        <w:lastRenderedPageBreak/>
        <w:t xml:space="preserve">K </w:t>
      </w:r>
      <w:r w:rsidR="009637B2" w:rsidRPr="00E9128C">
        <w:rPr>
          <w:rFonts w:cs="Arial"/>
          <w:b/>
          <w:bCs/>
          <w:szCs w:val="20"/>
        </w:rPr>
        <w:t>1</w:t>
      </w:r>
      <w:r w:rsidR="00DB155D" w:rsidRPr="00E9128C">
        <w:rPr>
          <w:rFonts w:cs="Arial"/>
          <w:b/>
          <w:bCs/>
          <w:szCs w:val="20"/>
        </w:rPr>
        <w:t>5</w:t>
      </w:r>
      <w:r w:rsidRPr="00E9128C">
        <w:rPr>
          <w:rFonts w:cs="Arial"/>
          <w:b/>
          <w:bCs/>
          <w:szCs w:val="20"/>
        </w:rPr>
        <w:t>. členu</w:t>
      </w:r>
    </w:p>
    <w:p w14:paraId="76BE4F59" w14:textId="77777777" w:rsidR="0011743A" w:rsidRPr="00E9128C" w:rsidRDefault="0011743A" w:rsidP="0011743A">
      <w:pPr>
        <w:spacing w:after="0"/>
        <w:jc w:val="both"/>
      </w:pPr>
      <w:r w:rsidRPr="00E9128C">
        <w:t xml:space="preserve">S predlaganim členom se določa, da občinam, posrednim uporabnikom proračuna države oziroma občine in javnim gospodarskim zavodom, rebalansa ni potrebno pripraviti. Razlog za navedeno izjemo je predvsem v dejstvu, da se postopki ne bi mogli izpeljati do konca leta 2025. </w:t>
      </w:r>
    </w:p>
    <w:p w14:paraId="7DF6FB12" w14:textId="77777777" w:rsidR="0011743A" w:rsidRPr="00E9128C" w:rsidRDefault="0011743A" w:rsidP="0011743A">
      <w:pPr>
        <w:spacing w:after="0" w:line="240" w:lineRule="auto"/>
        <w:jc w:val="both"/>
        <w:rPr>
          <w:rFonts w:cs="Arial"/>
          <w:szCs w:val="20"/>
        </w:rPr>
      </w:pPr>
    </w:p>
    <w:p w14:paraId="45FC195C" w14:textId="42B847A2" w:rsidR="0011743A" w:rsidRPr="00E9128C" w:rsidRDefault="0011743A" w:rsidP="0011743A">
      <w:pPr>
        <w:spacing w:after="0" w:line="240" w:lineRule="auto"/>
        <w:jc w:val="both"/>
        <w:rPr>
          <w:rFonts w:cs="Arial"/>
          <w:b/>
          <w:bCs/>
          <w:szCs w:val="20"/>
        </w:rPr>
      </w:pPr>
      <w:r w:rsidRPr="00E9128C">
        <w:rPr>
          <w:rFonts w:cs="Arial"/>
          <w:b/>
          <w:bCs/>
          <w:szCs w:val="20"/>
        </w:rPr>
        <w:t>K 1</w:t>
      </w:r>
      <w:r w:rsidR="00DB155D" w:rsidRPr="00E9128C">
        <w:rPr>
          <w:rFonts w:cs="Arial"/>
          <w:b/>
          <w:bCs/>
          <w:szCs w:val="20"/>
        </w:rPr>
        <w:t>6</w:t>
      </w:r>
      <w:r w:rsidRPr="00E9128C">
        <w:rPr>
          <w:rFonts w:cs="Arial"/>
          <w:b/>
          <w:bCs/>
          <w:szCs w:val="20"/>
        </w:rPr>
        <w:t>. členu</w:t>
      </w:r>
    </w:p>
    <w:p w14:paraId="7365AFCB" w14:textId="32A0F6C8" w:rsidR="0011743A" w:rsidRPr="00E9128C" w:rsidRDefault="0011743A" w:rsidP="0011743A">
      <w:pPr>
        <w:spacing w:after="0" w:line="240" w:lineRule="auto"/>
        <w:jc w:val="both"/>
        <w:rPr>
          <w:rFonts w:cs="Arial"/>
          <w:szCs w:val="20"/>
        </w:rPr>
      </w:pPr>
      <w:r w:rsidRPr="00E9128C">
        <w:rPr>
          <w:rFonts w:cs="Arial"/>
          <w:szCs w:val="20"/>
        </w:rPr>
        <w:t xml:space="preserve">S tem členom se za zimski </w:t>
      </w:r>
      <w:r w:rsidR="00246600" w:rsidRPr="00E9128C">
        <w:rPr>
          <w:rFonts w:cs="Arial"/>
          <w:szCs w:val="20"/>
        </w:rPr>
        <w:t>regres</w:t>
      </w:r>
      <w:r w:rsidRPr="00E9128C">
        <w:rPr>
          <w:rFonts w:cs="Arial"/>
          <w:szCs w:val="20"/>
        </w:rPr>
        <w:t>, prejet za leto 2025, določa, da se ne šteje v dohodek pri uveljavljanju pravic po zakonu, ki ureja uveljavljanje pravic iz javnih sredstev.</w:t>
      </w:r>
    </w:p>
    <w:p w14:paraId="2A953C48" w14:textId="77777777" w:rsidR="002730DE" w:rsidRPr="00E9128C" w:rsidRDefault="002730DE" w:rsidP="0011743A">
      <w:pPr>
        <w:spacing w:after="0" w:line="240" w:lineRule="auto"/>
        <w:rPr>
          <w:rFonts w:cs="Arial"/>
          <w:b/>
          <w:bCs/>
          <w:szCs w:val="20"/>
        </w:rPr>
      </w:pPr>
    </w:p>
    <w:p w14:paraId="643449C9" w14:textId="642823D5" w:rsidR="002730DE" w:rsidRPr="00E9128C" w:rsidRDefault="002730DE" w:rsidP="0011743A">
      <w:pPr>
        <w:spacing w:after="0" w:line="240" w:lineRule="auto"/>
        <w:rPr>
          <w:rFonts w:cs="Arial"/>
          <w:b/>
          <w:bCs/>
          <w:szCs w:val="20"/>
        </w:rPr>
      </w:pPr>
      <w:r w:rsidRPr="00E9128C">
        <w:rPr>
          <w:rFonts w:cs="Arial"/>
          <w:b/>
          <w:bCs/>
          <w:szCs w:val="20"/>
        </w:rPr>
        <w:t>K 1</w:t>
      </w:r>
      <w:r w:rsidR="00DB155D" w:rsidRPr="00E9128C">
        <w:rPr>
          <w:rFonts w:cs="Arial"/>
          <w:b/>
          <w:bCs/>
          <w:szCs w:val="20"/>
        </w:rPr>
        <w:t>7</w:t>
      </w:r>
      <w:r w:rsidRPr="00E9128C">
        <w:rPr>
          <w:rFonts w:cs="Arial"/>
          <w:b/>
          <w:bCs/>
          <w:szCs w:val="20"/>
        </w:rPr>
        <w:t>. členu</w:t>
      </w:r>
    </w:p>
    <w:p w14:paraId="5DC84F1D" w14:textId="02757C12" w:rsidR="002730DE" w:rsidRPr="00E9128C" w:rsidRDefault="002730DE" w:rsidP="002730DE">
      <w:pPr>
        <w:spacing w:after="0" w:line="240" w:lineRule="auto"/>
        <w:jc w:val="both"/>
        <w:rPr>
          <w:rFonts w:cs="Arial"/>
          <w:szCs w:val="20"/>
        </w:rPr>
      </w:pPr>
      <w:r w:rsidRPr="00E9128C">
        <w:rPr>
          <w:rFonts w:cs="Arial"/>
          <w:szCs w:val="20"/>
        </w:rPr>
        <w:t xml:space="preserve">S tem členom se določa rok za izplačilo zimskega </w:t>
      </w:r>
      <w:r w:rsidR="00246600" w:rsidRPr="00E9128C">
        <w:t>regresa</w:t>
      </w:r>
      <w:r w:rsidR="00246600" w:rsidRPr="00E9128C" w:rsidDel="00246600">
        <w:rPr>
          <w:rFonts w:cs="Arial"/>
          <w:szCs w:val="20"/>
        </w:rPr>
        <w:t xml:space="preserve"> </w:t>
      </w:r>
      <w:r w:rsidRPr="00E9128C">
        <w:rPr>
          <w:rFonts w:cs="Arial"/>
          <w:szCs w:val="20"/>
        </w:rPr>
        <w:t xml:space="preserve">za leto 2025. Ne glede na splošno ureditev iz prvega odstavka </w:t>
      </w:r>
      <w:r w:rsidR="00940B7D" w:rsidRPr="00E9128C">
        <w:rPr>
          <w:rFonts w:cs="Arial"/>
          <w:szCs w:val="20"/>
        </w:rPr>
        <w:t>3</w:t>
      </w:r>
      <w:r w:rsidRPr="00E9128C">
        <w:rPr>
          <w:rFonts w:cs="Arial"/>
          <w:szCs w:val="20"/>
        </w:rPr>
        <w:t xml:space="preserve">. člena se določa, da mora biti zimski </w:t>
      </w:r>
      <w:r w:rsidR="00246600" w:rsidRPr="00E9128C">
        <w:rPr>
          <w:rFonts w:cs="Arial"/>
          <w:szCs w:val="20"/>
        </w:rPr>
        <w:t xml:space="preserve">regres </w:t>
      </w:r>
      <w:r w:rsidRPr="00E9128C">
        <w:rPr>
          <w:rFonts w:cs="Arial"/>
          <w:szCs w:val="20"/>
        </w:rPr>
        <w:t>izplačan najpozneje do 18. decembra 2025. Namen te določbe je zagotoviti pravočasno izplačilo prejemka upravičencem še pred koncem leta.</w:t>
      </w:r>
    </w:p>
    <w:p w14:paraId="688FEA3E" w14:textId="77777777" w:rsidR="002730DE" w:rsidRPr="00E9128C" w:rsidRDefault="002730DE" w:rsidP="002730DE">
      <w:pPr>
        <w:spacing w:after="0" w:line="240" w:lineRule="auto"/>
        <w:jc w:val="both"/>
        <w:rPr>
          <w:rFonts w:cs="Arial"/>
          <w:szCs w:val="20"/>
        </w:rPr>
      </w:pPr>
    </w:p>
    <w:p w14:paraId="61538362" w14:textId="705C97E3" w:rsidR="002730DE" w:rsidRPr="00E9128C" w:rsidRDefault="002730DE" w:rsidP="002730DE">
      <w:pPr>
        <w:spacing w:after="0" w:line="240" w:lineRule="auto"/>
        <w:jc w:val="both"/>
        <w:rPr>
          <w:rFonts w:cs="Arial"/>
          <w:szCs w:val="20"/>
        </w:rPr>
      </w:pPr>
      <w:r w:rsidRPr="00E9128C">
        <w:rPr>
          <w:rFonts w:cs="Arial"/>
          <w:szCs w:val="20"/>
        </w:rPr>
        <w:t>V primeru, da bi ta zakon začel veljati po tem datumu, se določa izjema, po kateri se izplačilo izvede najpozneje naslednji delovni dan po uveljavitvi zakona. Takšna ureditev zagotavlja, da bodo upravičenci do prejemka izplačilo prejeli v najkrajšem možnem času, ne glede na datum začetka veljavnosti zakona.</w:t>
      </w:r>
    </w:p>
    <w:p w14:paraId="4E2B064A" w14:textId="77777777" w:rsidR="002730DE" w:rsidRPr="00E9128C" w:rsidRDefault="002730DE" w:rsidP="0011743A">
      <w:pPr>
        <w:spacing w:after="0" w:line="240" w:lineRule="auto"/>
        <w:rPr>
          <w:rFonts w:cs="Arial"/>
          <w:b/>
          <w:bCs/>
          <w:szCs w:val="20"/>
        </w:rPr>
      </w:pPr>
    </w:p>
    <w:p w14:paraId="60F09CFD" w14:textId="702573CF" w:rsidR="000A181C" w:rsidRPr="00E9128C" w:rsidRDefault="000A181C" w:rsidP="008A4972">
      <w:pPr>
        <w:spacing w:after="0" w:line="240" w:lineRule="auto"/>
        <w:jc w:val="both"/>
        <w:rPr>
          <w:rFonts w:cs="Arial"/>
          <w:b/>
          <w:bCs/>
          <w:szCs w:val="20"/>
        </w:rPr>
      </w:pPr>
      <w:r w:rsidRPr="00E9128C">
        <w:rPr>
          <w:rFonts w:cs="Arial"/>
          <w:b/>
          <w:bCs/>
          <w:szCs w:val="20"/>
        </w:rPr>
        <w:t>K 1</w:t>
      </w:r>
      <w:r w:rsidR="00DB155D" w:rsidRPr="00E9128C">
        <w:rPr>
          <w:rFonts w:cs="Arial"/>
          <w:b/>
          <w:bCs/>
          <w:szCs w:val="20"/>
        </w:rPr>
        <w:t>8</w:t>
      </w:r>
      <w:r w:rsidRPr="00E9128C">
        <w:rPr>
          <w:rFonts w:cs="Arial"/>
          <w:b/>
          <w:bCs/>
          <w:szCs w:val="20"/>
        </w:rPr>
        <w:t>. členu</w:t>
      </w:r>
    </w:p>
    <w:p w14:paraId="430FEC12" w14:textId="77777777" w:rsidR="008553A0" w:rsidRPr="008553A0" w:rsidRDefault="008553A0" w:rsidP="008A4972">
      <w:pPr>
        <w:spacing w:after="0" w:line="260" w:lineRule="atLeast"/>
        <w:jc w:val="both"/>
        <w:rPr>
          <w:rFonts w:cs="Arial"/>
          <w:szCs w:val="20"/>
        </w:rPr>
      </w:pPr>
      <w:r w:rsidRPr="008553A0">
        <w:rPr>
          <w:rFonts w:cs="Arial"/>
          <w:szCs w:val="20"/>
        </w:rPr>
        <w:t xml:space="preserve">V Zakonu o spremembah in dopolnitvah Zakona o pokojninskem in invalidskem zavarovanju, EPA 2117-IX (v nadaljevanju: ZPIZ-2O), ki je bil v Državnem zboru Republike Slovenije sprejet 18. septembra 2025, vendar zaradi teka postopka za razpis naknadnega zakonodajnega referenduma še ni bil objavljen v Uradnem listu Republike Slovenije, zaradi česar še ne velja, je predvidena sistemska ureditev novega instituta zimskega dodatka za uživalce pokojnin in nadomestil iz invalidskega zavarovanja, pri čemer je bilo predvideno prvo izplačilo zimskega dodatka v višini 150 evrov že v letošnjem letu skupaj z izplačilom pokojnin in nadomestil za mesec november. </w:t>
      </w:r>
    </w:p>
    <w:p w14:paraId="54E0350C" w14:textId="77777777" w:rsidR="008553A0" w:rsidRPr="008553A0" w:rsidRDefault="008553A0" w:rsidP="008A4972">
      <w:pPr>
        <w:spacing w:after="0" w:line="260" w:lineRule="atLeast"/>
        <w:jc w:val="both"/>
        <w:rPr>
          <w:rFonts w:cs="Arial"/>
          <w:szCs w:val="20"/>
        </w:rPr>
      </w:pPr>
      <w:r w:rsidRPr="008553A0">
        <w:rPr>
          <w:rFonts w:cs="Arial"/>
          <w:szCs w:val="20"/>
        </w:rPr>
        <w:t>S tem členom se tako zaradi negotovosti uveljavitve ZPIZ-2O zagotavlja izplačilo zimskega dodatka v letu 2025 za uživalce pokojnin in nadomestil v višini, kot je bilo predvideno v ZPIZ-2O.</w:t>
      </w:r>
    </w:p>
    <w:p w14:paraId="385FE447" w14:textId="77777777" w:rsidR="008553A0" w:rsidRPr="008553A0" w:rsidRDefault="008553A0" w:rsidP="008A4972">
      <w:pPr>
        <w:spacing w:after="0" w:line="260" w:lineRule="atLeast"/>
        <w:jc w:val="both"/>
        <w:rPr>
          <w:rFonts w:cs="Arial"/>
          <w:szCs w:val="20"/>
        </w:rPr>
      </w:pPr>
      <w:r w:rsidRPr="008553A0">
        <w:rPr>
          <w:rFonts w:cs="Arial"/>
          <w:szCs w:val="20"/>
        </w:rPr>
        <w:t xml:space="preserve">Ukrep je namenjen blaženju socialne stiske, ki jo prinašajo zimski meseci. Z dodatkom se odraža načelo solidarnosti in socialne pravičnosti ter poudarja, da družba kot celota skrbi za svoje najranljivejše člane in jim zagotavlja podporo. </w:t>
      </w:r>
    </w:p>
    <w:p w14:paraId="51C5463E" w14:textId="77777777" w:rsidR="008553A0" w:rsidRPr="008553A0" w:rsidRDefault="008553A0" w:rsidP="008A4972">
      <w:pPr>
        <w:spacing w:after="0" w:line="260" w:lineRule="atLeast"/>
        <w:jc w:val="both"/>
        <w:rPr>
          <w:rFonts w:cs="Arial"/>
          <w:szCs w:val="20"/>
        </w:rPr>
      </w:pPr>
    </w:p>
    <w:p w14:paraId="1824992F" w14:textId="32AC0803" w:rsidR="008553A0" w:rsidRPr="008553A0" w:rsidRDefault="008553A0" w:rsidP="008A4972">
      <w:pPr>
        <w:spacing w:after="0" w:line="260" w:lineRule="atLeast"/>
        <w:jc w:val="both"/>
        <w:rPr>
          <w:rFonts w:cs="Arial"/>
          <w:szCs w:val="20"/>
        </w:rPr>
      </w:pPr>
      <w:r w:rsidRPr="008553A0">
        <w:rPr>
          <w:rFonts w:cs="Arial"/>
          <w:szCs w:val="20"/>
        </w:rPr>
        <w:t xml:space="preserve">Zimski dodatek se bo izplačal vsem prejemnikom, ki bodo v letu 2025 prejeli letni dodatek oz. ki se jim za tekoče leto prizna letni dodatek. Ta dodatek se bo tako izplačal do 19. decembra 2025 oziroma v primeru naknadno priznane pravice </w:t>
      </w:r>
      <w:r w:rsidR="007D06F1">
        <w:rPr>
          <w:rFonts w:cs="Arial"/>
          <w:szCs w:val="20"/>
        </w:rPr>
        <w:t>najpozneje</w:t>
      </w:r>
      <w:r w:rsidRPr="008553A0">
        <w:rPr>
          <w:rFonts w:cs="Arial"/>
          <w:szCs w:val="20"/>
        </w:rPr>
        <w:t xml:space="preserve"> skupaj z izplačilom redne pokojnine in nadomestil za mesec maj naslednjega leta.</w:t>
      </w:r>
    </w:p>
    <w:p w14:paraId="4F155FB0" w14:textId="77777777" w:rsidR="008553A0" w:rsidRPr="008553A0" w:rsidRDefault="008553A0" w:rsidP="008A4972">
      <w:pPr>
        <w:spacing w:after="0" w:line="260" w:lineRule="atLeast"/>
        <w:jc w:val="both"/>
        <w:rPr>
          <w:rFonts w:cs="Arial"/>
          <w:szCs w:val="20"/>
        </w:rPr>
      </w:pPr>
    </w:p>
    <w:p w14:paraId="0204C4F3" w14:textId="77777777" w:rsidR="008553A0" w:rsidRPr="008553A0" w:rsidRDefault="008553A0" w:rsidP="008A4972">
      <w:pPr>
        <w:spacing w:after="0" w:line="260" w:lineRule="atLeast"/>
        <w:jc w:val="both"/>
        <w:rPr>
          <w:rFonts w:cs="Arial"/>
          <w:szCs w:val="20"/>
        </w:rPr>
      </w:pPr>
      <w:r w:rsidRPr="008553A0">
        <w:rPr>
          <w:rFonts w:cs="Arial"/>
          <w:szCs w:val="20"/>
        </w:rPr>
        <w:t xml:space="preserve">Višina dodatka je enaka za vse prejemnike letnega dodatka in znaša 150 eurov. </w:t>
      </w:r>
    </w:p>
    <w:p w14:paraId="0C0441DF" w14:textId="77777777" w:rsidR="008553A0" w:rsidRPr="008553A0" w:rsidRDefault="008553A0" w:rsidP="008A4972">
      <w:pPr>
        <w:spacing w:after="0" w:line="260" w:lineRule="atLeast"/>
        <w:jc w:val="both"/>
        <w:rPr>
          <w:rFonts w:cs="Arial"/>
          <w:szCs w:val="20"/>
        </w:rPr>
      </w:pPr>
    </w:p>
    <w:p w14:paraId="1A5FC635" w14:textId="77777777" w:rsidR="008553A0" w:rsidRPr="008553A0" w:rsidRDefault="008553A0" w:rsidP="008A4972">
      <w:pPr>
        <w:spacing w:after="0" w:line="260" w:lineRule="atLeast"/>
        <w:jc w:val="both"/>
        <w:rPr>
          <w:rFonts w:cs="Arial"/>
          <w:szCs w:val="20"/>
        </w:rPr>
      </w:pPr>
      <w:r w:rsidRPr="008553A0">
        <w:rPr>
          <w:rFonts w:cs="Arial"/>
          <w:szCs w:val="20"/>
        </w:rPr>
        <w:t>Do zimskega dodatka so enako kot pri letnem dodatku v sorazmernem delu upravičeni uživalci pokojnin, ki se jim pokojnina po določbah mednarodnih pogodb izplačuje v sorazmernem delu, ter uživalci delne pokojnine ali sorazmernega dela pokojnine. Zimski dodatek se prav tako odmeri v sorazmernem delu (po dvanajstinah), če je osnovna pravica priznana tekom koledarskega leta, ali če je pravica prenehala tekom koledarskega leta. Zimski dodatek se izplača v sorazmernem delu tudi, glede na obseg krajšega delovnega časa, za katerega se izplačuje nadomestilo iz invalidskega zavarovanja.</w:t>
      </w:r>
    </w:p>
    <w:p w14:paraId="6743A094" w14:textId="77777777" w:rsidR="008553A0" w:rsidRPr="008553A0" w:rsidRDefault="008553A0" w:rsidP="008A4972">
      <w:pPr>
        <w:spacing w:after="0" w:line="260" w:lineRule="atLeast"/>
        <w:jc w:val="both"/>
        <w:rPr>
          <w:rFonts w:cs="Arial"/>
          <w:szCs w:val="20"/>
        </w:rPr>
      </w:pPr>
    </w:p>
    <w:p w14:paraId="28744DB5" w14:textId="77777777" w:rsidR="008553A0" w:rsidRPr="008553A0" w:rsidRDefault="008553A0" w:rsidP="008A4972">
      <w:pPr>
        <w:spacing w:after="0" w:line="260" w:lineRule="atLeast"/>
        <w:jc w:val="both"/>
        <w:rPr>
          <w:rFonts w:cs="Arial"/>
          <w:szCs w:val="20"/>
        </w:rPr>
      </w:pPr>
      <w:r w:rsidRPr="008553A0">
        <w:rPr>
          <w:rFonts w:cs="Arial"/>
          <w:szCs w:val="20"/>
        </w:rPr>
        <w:t xml:space="preserve">Glede na to, da namen zimskega dodatka ni izguba drugih pravic iz javnih sredstev, se s predlogom tega člena določa, da se ta ne šteje v dohodek pri ugotavljanju upravičenosti do pravic iz javnih sredstev po predpisih, ki urejajo pravice iz javnih sredstev. </w:t>
      </w:r>
    </w:p>
    <w:p w14:paraId="10D5E52F" w14:textId="77777777" w:rsidR="008553A0" w:rsidRPr="008553A0" w:rsidRDefault="008553A0" w:rsidP="008A4972">
      <w:pPr>
        <w:spacing w:after="0" w:line="260" w:lineRule="atLeast"/>
        <w:jc w:val="both"/>
        <w:rPr>
          <w:rFonts w:cs="Arial"/>
          <w:szCs w:val="20"/>
        </w:rPr>
      </w:pPr>
    </w:p>
    <w:p w14:paraId="78C5FA09" w14:textId="77777777" w:rsidR="008553A0" w:rsidRPr="008553A0" w:rsidRDefault="008553A0" w:rsidP="008A4972">
      <w:pPr>
        <w:spacing w:after="0" w:line="260" w:lineRule="atLeast"/>
        <w:jc w:val="both"/>
        <w:rPr>
          <w:rFonts w:cs="Arial"/>
          <w:szCs w:val="20"/>
        </w:rPr>
      </w:pPr>
      <w:r w:rsidRPr="008553A0">
        <w:rPr>
          <w:rFonts w:cs="Arial"/>
          <w:szCs w:val="20"/>
        </w:rPr>
        <w:t xml:space="preserve">Sredstva za zimski dodatek zagotavlja Republika Slovenija iz proračuna Republike Slovenije, upravičencem pa ga bo izplačal Zavod za pokojninsko in invalidsko zavarovanje Slovenije skupaj z izplačilom pokojnin in nadomestil iz invalidskega zavarovanja. </w:t>
      </w:r>
    </w:p>
    <w:p w14:paraId="5E1633CA" w14:textId="77777777" w:rsidR="008553A0" w:rsidRPr="008553A0" w:rsidRDefault="008553A0" w:rsidP="008A4972">
      <w:pPr>
        <w:spacing w:after="0" w:line="260" w:lineRule="atLeast"/>
        <w:jc w:val="both"/>
        <w:rPr>
          <w:rFonts w:cs="Arial"/>
          <w:szCs w:val="20"/>
        </w:rPr>
      </w:pPr>
    </w:p>
    <w:p w14:paraId="4ECADF0D" w14:textId="14CDA46D" w:rsidR="00DB155D" w:rsidRDefault="008553A0" w:rsidP="008A4972">
      <w:pPr>
        <w:spacing w:after="0" w:line="260" w:lineRule="atLeast"/>
        <w:jc w:val="both"/>
        <w:rPr>
          <w:rFonts w:cs="Arial"/>
          <w:szCs w:val="20"/>
        </w:rPr>
      </w:pPr>
      <w:r w:rsidRPr="008553A0">
        <w:rPr>
          <w:rFonts w:cs="Arial"/>
          <w:szCs w:val="20"/>
        </w:rPr>
        <w:t>V šestem odstavku se v izogib dvojnemu izplačilu ureja izplačilo zimskega dodatka za primer uveljavitve ZPIZ-2O še v letu 2025.</w:t>
      </w:r>
    </w:p>
    <w:p w14:paraId="49F13740" w14:textId="77777777" w:rsidR="008553A0" w:rsidRPr="00E9128C" w:rsidRDefault="008553A0" w:rsidP="008553A0">
      <w:pPr>
        <w:spacing w:after="0" w:line="260" w:lineRule="atLeast"/>
        <w:rPr>
          <w:rFonts w:cs="Arial"/>
          <w:szCs w:val="20"/>
        </w:rPr>
      </w:pPr>
    </w:p>
    <w:p w14:paraId="65382770" w14:textId="0725ACFB" w:rsidR="007D742F" w:rsidRPr="00E9128C" w:rsidRDefault="007D742F" w:rsidP="00E9128C">
      <w:pPr>
        <w:spacing w:after="0" w:line="260" w:lineRule="atLeast"/>
        <w:rPr>
          <w:rFonts w:cs="Arial"/>
          <w:b/>
          <w:bCs/>
          <w:szCs w:val="20"/>
        </w:rPr>
      </w:pPr>
      <w:r w:rsidRPr="00E9128C">
        <w:rPr>
          <w:rFonts w:cs="Arial"/>
          <w:b/>
          <w:bCs/>
          <w:szCs w:val="20"/>
        </w:rPr>
        <w:t>K 19. členu</w:t>
      </w:r>
    </w:p>
    <w:p w14:paraId="2EF566EE" w14:textId="75E1C03B" w:rsidR="007D742F" w:rsidRPr="00E9128C" w:rsidRDefault="007D742F" w:rsidP="00B2237F">
      <w:pPr>
        <w:spacing w:after="0" w:line="260" w:lineRule="atLeast"/>
        <w:jc w:val="both"/>
        <w:rPr>
          <w:rFonts w:cs="Arial"/>
          <w:szCs w:val="20"/>
        </w:rPr>
      </w:pPr>
      <w:r w:rsidRPr="00E9128C">
        <w:rPr>
          <w:rFonts w:cs="Arial"/>
          <w:szCs w:val="20"/>
        </w:rPr>
        <w:t>S tem členom se določi jasen odstop od določbe 23. člena Zakona o spremembah in dopolnitvah zakona o dohodnini (Uradni list RS št. 104/2</w:t>
      </w:r>
      <w:r w:rsidR="00894D4A">
        <w:rPr>
          <w:rFonts w:cs="Arial"/>
          <w:szCs w:val="20"/>
        </w:rPr>
        <w:t>4</w:t>
      </w:r>
      <w:r w:rsidRPr="00E9128C">
        <w:rPr>
          <w:rFonts w:cs="Arial"/>
          <w:szCs w:val="20"/>
        </w:rPr>
        <w:t xml:space="preserve">), ki predvideva posebno ureditev pogojev za izstop iz sistema normiranih odhodkov za leti 2025 in 2026, in sicer se navedena določba za leto 2026 ne uporablja. Za leto 2026 se za izstop oziroma obstoj v sistemu ugotavljanja davčne osnove z upoštevanjem normiranih odhodkov uporablja trinajsti odstavek </w:t>
      </w:r>
      <w:r w:rsidR="00FA342B">
        <w:rPr>
          <w:rFonts w:cs="Arial"/>
          <w:szCs w:val="20"/>
        </w:rPr>
        <w:t>6</w:t>
      </w:r>
      <w:r w:rsidRPr="00E9128C">
        <w:rPr>
          <w:rFonts w:cs="Arial"/>
          <w:szCs w:val="20"/>
        </w:rPr>
        <w:t>. člen tega zakona, torej se bodo upoštevali prihodki in drugi pogoji za davčna leta 2024 in 2025.</w:t>
      </w:r>
    </w:p>
    <w:p w14:paraId="6D545144" w14:textId="77777777" w:rsidR="00DB155D" w:rsidRPr="00E9128C" w:rsidRDefault="00DB155D" w:rsidP="00E9128C">
      <w:pPr>
        <w:spacing w:after="0" w:line="260" w:lineRule="atLeast"/>
        <w:rPr>
          <w:rFonts w:cs="Arial"/>
          <w:szCs w:val="20"/>
        </w:rPr>
      </w:pPr>
    </w:p>
    <w:p w14:paraId="06D48575" w14:textId="33B1F3AB" w:rsidR="007D742F" w:rsidRPr="00E9128C" w:rsidRDefault="007D742F" w:rsidP="00E9128C">
      <w:pPr>
        <w:spacing w:after="0" w:line="260" w:lineRule="atLeast"/>
        <w:rPr>
          <w:rFonts w:cs="Arial"/>
          <w:b/>
          <w:bCs/>
          <w:szCs w:val="20"/>
        </w:rPr>
      </w:pPr>
      <w:r w:rsidRPr="00E9128C">
        <w:rPr>
          <w:rFonts w:cs="Arial"/>
          <w:b/>
          <w:bCs/>
          <w:szCs w:val="20"/>
        </w:rPr>
        <w:t>K 20. členu</w:t>
      </w:r>
    </w:p>
    <w:p w14:paraId="79FB8B8F" w14:textId="0A2C7155" w:rsidR="00DB155D" w:rsidRPr="00E9128C" w:rsidRDefault="007D742F" w:rsidP="00E9128C">
      <w:pPr>
        <w:spacing w:after="0" w:line="260" w:lineRule="atLeast"/>
        <w:rPr>
          <w:rFonts w:cs="Arial"/>
          <w:szCs w:val="20"/>
        </w:rPr>
      </w:pPr>
      <w:r w:rsidRPr="00E9128C">
        <w:rPr>
          <w:rFonts w:cs="Arial"/>
          <w:szCs w:val="20"/>
        </w:rPr>
        <w:t xml:space="preserve">Za izvajanje določb četrtega odstavka 58. člena, 59. člena, drugega in šestega odstavka 60. člena, prvega odstavka 67. člena in drugega odstavka 68. člena ZDoh-2 se namesto določbe 48. člena ZDoh-2 uporablja določba </w:t>
      </w:r>
      <w:r w:rsidR="00FA342B">
        <w:rPr>
          <w:rFonts w:cs="Arial"/>
          <w:szCs w:val="20"/>
        </w:rPr>
        <w:t>6</w:t>
      </w:r>
      <w:r w:rsidRPr="00E9128C">
        <w:rPr>
          <w:rFonts w:cs="Arial"/>
          <w:szCs w:val="20"/>
        </w:rPr>
        <w:t>. člena tega zakona.</w:t>
      </w:r>
    </w:p>
    <w:p w14:paraId="723C681E" w14:textId="77777777" w:rsidR="007D742F" w:rsidRPr="00E9128C" w:rsidRDefault="007D742F" w:rsidP="00E9128C">
      <w:pPr>
        <w:spacing w:after="0" w:line="260" w:lineRule="atLeast"/>
        <w:rPr>
          <w:rFonts w:cs="Arial"/>
          <w:szCs w:val="20"/>
        </w:rPr>
      </w:pPr>
    </w:p>
    <w:p w14:paraId="4089DA45" w14:textId="78F2C2A3" w:rsidR="007D742F" w:rsidRPr="00E9128C" w:rsidRDefault="007D742F" w:rsidP="00E9128C">
      <w:pPr>
        <w:spacing w:after="0" w:line="260" w:lineRule="atLeast"/>
        <w:rPr>
          <w:rFonts w:cs="Arial"/>
          <w:b/>
          <w:bCs/>
          <w:szCs w:val="20"/>
        </w:rPr>
      </w:pPr>
      <w:r w:rsidRPr="00E9128C">
        <w:rPr>
          <w:rFonts w:cs="Arial"/>
          <w:b/>
          <w:bCs/>
          <w:szCs w:val="20"/>
        </w:rPr>
        <w:t>K 21. členu</w:t>
      </w:r>
    </w:p>
    <w:p w14:paraId="3C218C8D" w14:textId="605F7920" w:rsidR="00B518B4" w:rsidRDefault="0011743A" w:rsidP="00E9128C">
      <w:pPr>
        <w:spacing w:after="0" w:line="260" w:lineRule="atLeast"/>
        <w:jc w:val="both"/>
        <w:rPr>
          <w:rFonts w:cs="Arial"/>
          <w:szCs w:val="20"/>
        </w:rPr>
      </w:pPr>
      <w:r w:rsidRPr="00E9128C">
        <w:rPr>
          <w:rFonts w:cs="Arial"/>
          <w:szCs w:val="20"/>
        </w:rPr>
        <w:t>Gre za končno določbo, ki določa trenutek uveljavitve zakona (vacatio legis).</w:t>
      </w:r>
      <w:r w:rsidR="00A37B4E">
        <w:rPr>
          <w:rFonts w:cs="Arial"/>
          <w:szCs w:val="20"/>
        </w:rPr>
        <w:t xml:space="preserve"> </w:t>
      </w:r>
      <w:r w:rsidR="007D742F" w:rsidRPr="00E9128C">
        <w:rPr>
          <w:rFonts w:cs="Arial"/>
          <w:szCs w:val="20"/>
        </w:rPr>
        <w:t>Zakon začne veljati naslednji dan po objavi v Uradnem listu Republike Slovenije</w:t>
      </w:r>
      <w:r w:rsidR="00B518B4">
        <w:rPr>
          <w:rFonts w:cs="Arial"/>
          <w:szCs w:val="20"/>
        </w:rPr>
        <w:t xml:space="preserve">. </w:t>
      </w:r>
    </w:p>
    <w:p w14:paraId="34F1BF9A" w14:textId="77777777" w:rsidR="00B518B4" w:rsidRDefault="00B518B4" w:rsidP="00E9128C">
      <w:pPr>
        <w:spacing w:after="0" w:line="260" w:lineRule="atLeast"/>
        <w:jc w:val="both"/>
        <w:rPr>
          <w:rFonts w:cs="Arial"/>
          <w:szCs w:val="20"/>
        </w:rPr>
      </w:pPr>
    </w:p>
    <w:p w14:paraId="1E8CDB14" w14:textId="77777777" w:rsidR="007D742F" w:rsidRPr="00E9128C" w:rsidRDefault="007D742F" w:rsidP="00E9128C">
      <w:pPr>
        <w:spacing w:after="0" w:line="260" w:lineRule="atLeast"/>
        <w:jc w:val="both"/>
        <w:rPr>
          <w:rFonts w:cs="Arial"/>
          <w:szCs w:val="20"/>
        </w:rPr>
      </w:pPr>
      <w:r w:rsidRPr="00E9128C">
        <w:rPr>
          <w:rFonts w:cs="Arial"/>
          <w:szCs w:val="20"/>
        </w:rPr>
        <w:t>Razlog za skrajšanje vakacijskega roka z ustavno predvidenega štirinajstdnevnega roka na naslednji dan po objavi je, da mora davčna zakonodaja zaradi davčnega sistema obdavčitve dohodkov v koledarskem letu začeti veljati 1. januarja 2026, ob tem je treba do tega datuma zagotoviti tudi uveljavitev in začetek uporabe podzakonskih predpisov, potrebnih za izvajanje spremenjenih določb ZDoh-2, zato je nujna uveljavitev zakona v najkrajšem možnem času.</w:t>
      </w:r>
    </w:p>
    <w:p w14:paraId="1CBD4AE3" w14:textId="77777777" w:rsidR="007D742F" w:rsidRPr="00E9128C" w:rsidRDefault="007D742F" w:rsidP="00E9128C">
      <w:pPr>
        <w:spacing w:after="0" w:line="260" w:lineRule="atLeast"/>
        <w:jc w:val="both"/>
        <w:rPr>
          <w:rFonts w:cs="Arial"/>
          <w:szCs w:val="20"/>
        </w:rPr>
      </w:pPr>
    </w:p>
    <w:p w14:paraId="36C4B668" w14:textId="6233AAC1" w:rsidR="007D742F" w:rsidRPr="00E9128C" w:rsidRDefault="007D742F" w:rsidP="00E9128C">
      <w:pPr>
        <w:spacing w:after="0" w:line="260" w:lineRule="atLeast"/>
        <w:jc w:val="both"/>
        <w:rPr>
          <w:rFonts w:cs="Arial"/>
          <w:szCs w:val="20"/>
        </w:rPr>
      </w:pPr>
      <w:r w:rsidRPr="00E9128C">
        <w:rPr>
          <w:rFonts w:cs="Arial"/>
          <w:szCs w:val="20"/>
        </w:rPr>
        <w:t>Z drugim odstavkom se določa</w:t>
      </w:r>
      <w:r w:rsidR="00B518B4">
        <w:rPr>
          <w:rFonts w:cs="Arial"/>
          <w:szCs w:val="20"/>
        </w:rPr>
        <w:t xml:space="preserve"> začetek uporabe </w:t>
      </w:r>
      <w:r w:rsidR="00FA342B">
        <w:rPr>
          <w:rFonts w:cs="Arial"/>
          <w:szCs w:val="20"/>
        </w:rPr>
        <w:t>6</w:t>
      </w:r>
      <w:r w:rsidR="00B518B4">
        <w:rPr>
          <w:rFonts w:cs="Arial"/>
          <w:szCs w:val="20"/>
        </w:rPr>
        <w:t xml:space="preserve">. in </w:t>
      </w:r>
      <w:r w:rsidR="00FA342B">
        <w:rPr>
          <w:rFonts w:cs="Arial"/>
          <w:szCs w:val="20"/>
        </w:rPr>
        <w:t>7</w:t>
      </w:r>
      <w:r w:rsidR="00B518B4">
        <w:rPr>
          <w:rFonts w:cs="Arial"/>
          <w:szCs w:val="20"/>
        </w:rPr>
        <w:t xml:space="preserve">. člena tega zakona </w:t>
      </w:r>
      <w:r w:rsidRPr="00E9128C">
        <w:rPr>
          <w:rFonts w:cs="Arial"/>
          <w:szCs w:val="20"/>
        </w:rPr>
        <w:t xml:space="preserve"> </w:t>
      </w:r>
      <w:r w:rsidR="00B518B4">
        <w:rPr>
          <w:rFonts w:cs="Arial"/>
          <w:szCs w:val="20"/>
        </w:rPr>
        <w:t xml:space="preserve">za davčna leta, ki se začnejo od vključno 1. januarja 2026 ter </w:t>
      </w:r>
      <w:r w:rsidRPr="00E9128C">
        <w:rPr>
          <w:rFonts w:cs="Arial"/>
          <w:szCs w:val="20"/>
        </w:rPr>
        <w:t>uporaba 48. in 135.a člena Zakona o dohodnini (Uradni list RS, št. 13/11 – uradno prečiščeno besedilo, 9/11 – ZUKD-1, 9/12 – odl. US, 24/12, 30/12, 40/12 – ZUJF, 75/12, 94/12, 96/13, 29/14 – odl. US, 50/14, 23/15, 55/15, 63/16, 69/17, 21/19, 28/19, 66/19, 39/22, 132/22 – odl. US, 158/22,  131/23 – ZORZFS, 104/24, 22/25 – ZZZRO-1 in 40/25 – ZINR), veljavnih do začetka veljavnosti tega zakona, še do začetka uporabe 8. in . člena tega zakona.</w:t>
      </w:r>
    </w:p>
    <w:p w14:paraId="3CCFEBC8" w14:textId="4DFF5611" w:rsidR="00ED17AD" w:rsidRPr="00E9128C" w:rsidRDefault="00ED17AD">
      <w:pPr>
        <w:rPr>
          <w:rFonts w:eastAsia="Times New Roman" w:cs="Arial"/>
          <w:b/>
          <w:bCs/>
          <w:kern w:val="36"/>
          <w:szCs w:val="20"/>
        </w:rPr>
      </w:pPr>
      <w:r w:rsidRPr="00E9128C">
        <w:rPr>
          <w:bCs/>
          <w:kern w:val="36"/>
          <w:szCs w:val="20"/>
        </w:rPr>
        <w:br w:type="page"/>
      </w:r>
    </w:p>
    <w:p w14:paraId="28F6F03C" w14:textId="77777777" w:rsidR="00BF2DD7" w:rsidRPr="00E9128C" w:rsidRDefault="00BF2DD7" w:rsidP="00BF2DD7">
      <w:pPr>
        <w:pStyle w:val="Odsek"/>
        <w:numPr>
          <w:ilvl w:val="0"/>
          <w:numId w:val="0"/>
        </w:numPr>
        <w:jc w:val="both"/>
        <w:rPr>
          <w:bCs/>
          <w:kern w:val="36"/>
          <w:sz w:val="20"/>
          <w:szCs w:val="20"/>
          <w:lang w:eastAsia="en-US"/>
        </w:rPr>
      </w:pPr>
      <w:r w:rsidRPr="00E9128C">
        <w:rPr>
          <w:bCs/>
          <w:kern w:val="36"/>
          <w:sz w:val="20"/>
          <w:szCs w:val="20"/>
          <w:lang w:eastAsia="en-US"/>
        </w:rPr>
        <w:lastRenderedPageBreak/>
        <w:t>IV. BESEDILO ČLENOV, KI SE SPREMINJAJO</w:t>
      </w:r>
    </w:p>
    <w:p w14:paraId="246AF67B" w14:textId="77777777" w:rsidR="00BF2DD7" w:rsidRPr="00E9128C" w:rsidRDefault="00BF2DD7" w:rsidP="00BF2DD7">
      <w:pPr>
        <w:pStyle w:val="Odsek"/>
        <w:numPr>
          <w:ilvl w:val="0"/>
          <w:numId w:val="0"/>
        </w:numPr>
        <w:jc w:val="both"/>
        <w:rPr>
          <w:bCs/>
          <w:kern w:val="36"/>
          <w:sz w:val="20"/>
          <w:szCs w:val="20"/>
          <w:lang w:eastAsia="en-US"/>
        </w:rPr>
      </w:pPr>
    </w:p>
    <w:p w14:paraId="367E8781" w14:textId="77777777" w:rsidR="00BF2DD7" w:rsidRPr="00E9128C" w:rsidRDefault="00BF2DD7" w:rsidP="00BF2DD7">
      <w:pPr>
        <w:spacing w:after="0" w:line="276" w:lineRule="auto"/>
        <w:jc w:val="both"/>
        <w:rPr>
          <w:rFonts w:cs="Arial"/>
          <w:b/>
          <w:bCs/>
          <w:szCs w:val="20"/>
        </w:rPr>
      </w:pPr>
      <w:r w:rsidRPr="00E9128C">
        <w:rPr>
          <w:rFonts w:cs="Arial"/>
          <w:b/>
          <w:bCs/>
          <w:szCs w:val="20"/>
        </w:rPr>
        <w:t>1. Zakon o dohodnini (Uradni list RS, št. 13/11 – uradno prečiščeno besedilo, 9/11 – ZUKD-1, 9/12 – odl. US, 24/12, 30/12, 40/12 – ZUJF, 75/12, 94/12, 96/13, 29/14 – odl. US, 50/14, 23/15, 55/15, 63/16, 69/17, 21/19, 28/19, 66/19, 39/22, 132/22 – odl. US, 158/22,  131/23 – ZORZFS, 104/24, 22/25 – ZZZRO-1 in 40/25 – ZINR)</w:t>
      </w:r>
    </w:p>
    <w:p w14:paraId="2F2129E5" w14:textId="77777777" w:rsidR="00BF2DD7" w:rsidRPr="00E9128C" w:rsidRDefault="00BF2DD7" w:rsidP="00BF2DD7">
      <w:pPr>
        <w:spacing w:after="0" w:line="276" w:lineRule="auto"/>
        <w:jc w:val="both"/>
        <w:rPr>
          <w:rFonts w:cs="Arial"/>
          <w:b/>
          <w:bCs/>
          <w:szCs w:val="20"/>
        </w:rPr>
      </w:pPr>
    </w:p>
    <w:p w14:paraId="2650FB5A" w14:textId="77777777" w:rsidR="00BF2DD7" w:rsidRPr="00E9128C" w:rsidRDefault="00BF2DD7" w:rsidP="00BF2DD7">
      <w:pPr>
        <w:spacing w:after="0" w:line="276" w:lineRule="auto"/>
        <w:jc w:val="center"/>
        <w:rPr>
          <w:rFonts w:cs="Arial"/>
          <w:b/>
          <w:bCs/>
          <w:szCs w:val="20"/>
        </w:rPr>
      </w:pPr>
      <w:r w:rsidRPr="00E9128C">
        <w:rPr>
          <w:rFonts w:cs="Arial"/>
          <w:b/>
          <w:bCs/>
          <w:szCs w:val="20"/>
        </w:rPr>
        <w:t>48. člen</w:t>
      </w:r>
    </w:p>
    <w:p w14:paraId="0BC77847" w14:textId="77777777" w:rsidR="00BF2DD7" w:rsidRPr="00E9128C" w:rsidRDefault="00BF2DD7" w:rsidP="00BF2DD7">
      <w:pPr>
        <w:spacing w:after="0" w:line="276" w:lineRule="auto"/>
        <w:jc w:val="center"/>
        <w:rPr>
          <w:rFonts w:cs="Arial"/>
          <w:b/>
          <w:bCs/>
          <w:szCs w:val="20"/>
        </w:rPr>
      </w:pPr>
      <w:r w:rsidRPr="00E9128C">
        <w:rPr>
          <w:rFonts w:cs="Arial"/>
          <w:b/>
          <w:bCs/>
          <w:szCs w:val="20"/>
        </w:rPr>
        <w:t>(davčna osnova)</w:t>
      </w:r>
    </w:p>
    <w:p w14:paraId="7E5DE154" w14:textId="77777777" w:rsidR="00BF2DD7" w:rsidRPr="00E9128C" w:rsidRDefault="00BF2DD7" w:rsidP="00BF2DD7">
      <w:pPr>
        <w:spacing w:after="0" w:line="276" w:lineRule="auto"/>
        <w:jc w:val="both"/>
        <w:rPr>
          <w:rFonts w:cs="Arial"/>
          <w:szCs w:val="20"/>
        </w:rPr>
      </w:pPr>
    </w:p>
    <w:p w14:paraId="729A53CA" w14:textId="77777777" w:rsidR="00BF2DD7" w:rsidRPr="00E9128C" w:rsidRDefault="00BF2DD7" w:rsidP="00BF2DD7">
      <w:pPr>
        <w:spacing w:after="0" w:line="276" w:lineRule="auto"/>
        <w:jc w:val="both"/>
        <w:rPr>
          <w:rFonts w:cs="Arial"/>
          <w:szCs w:val="20"/>
        </w:rPr>
      </w:pPr>
      <w:r w:rsidRPr="00E9128C">
        <w:rPr>
          <w:rFonts w:cs="Arial"/>
          <w:szCs w:val="20"/>
        </w:rPr>
        <w:t>(1) Davčna osnova od dohodka iz dejavnosti je dobiček, ki se ugotovi kot razlika med prihodki in odhodki, doseženimi v zvezi z opravljanjem dejavnosti, če ni s tem zakonom drugače določeno.</w:t>
      </w:r>
    </w:p>
    <w:p w14:paraId="258D6B63" w14:textId="77777777" w:rsidR="00BF2DD7" w:rsidRPr="00E9128C" w:rsidRDefault="00BF2DD7" w:rsidP="00BF2DD7">
      <w:pPr>
        <w:spacing w:after="0" w:line="276" w:lineRule="auto"/>
        <w:jc w:val="both"/>
        <w:rPr>
          <w:rFonts w:cs="Arial"/>
          <w:szCs w:val="20"/>
        </w:rPr>
      </w:pPr>
      <w:r w:rsidRPr="00E9128C">
        <w:rPr>
          <w:rFonts w:cs="Arial"/>
          <w:szCs w:val="20"/>
        </w:rPr>
        <w:t>(2) Za ugotavljanje prihodkov in odhodkov se uporabljajo predpisi o obdavčitvi dohodkov pravnih oseb, če ni s tem zakonom drugače določeno.</w:t>
      </w:r>
    </w:p>
    <w:p w14:paraId="3D5D8A4F" w14:textId="77777777" w:rsidR="00BF2DD7" w:rsidRPr="00E9128C" w:rsidRDefault="00BF2DD7" w:rsidP="00BF2DD7">
      <w:pPr>
        <w:spacing w:after="0" w:line="276" w:lineRule="auto"/>
        <w:jc w:val="both"/>
        <w:rPr>
          <w:rFonts w:cs="Arial"/>
          <w:szCs w:val="20"/>
        </w:rPr>
      </w:pPr>
      <w:r w:rsidRPr="00E9128C">
        <w:rPr>
          <w:rFonts w:cs="Arial"/>
          <w:szCs w:val="20"/>
        </w:rPr>
        <w:t>(3) Zavezanec lahko pri ugotavljanju davčne osnove davčnega leta upošteva normirane odhodke v višini, določeni v 59. členu tega zakona, če priglasi ugotavljanje davčne osnove z upoštevanjem dejanskih prihodkov in normiranih odhodkov v skladu z zakonom, ki ureja davčni postopek, in pod naslednjimi pogoji:</w:t>
      </w:r>
    </w:p>
    <w:p w14:paraId="488FCE44"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če v davčnem letu pred tem davčnim letom, njegovi prihodki iz dejavnosti, ugotovljeni po pravilih o računovodenju, ne presegajo 30.000 eurov, ali</w:t>
      </w:r>
    </w:p>
    <w:p w14:paraId="4FE8F12D"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če v davčnem letu pred tem davčnim letom njegovi prihodki iz dejavnosti, ugotovljeni po pravilih o računovodenju, ne presegajo 60.000 eurov in je bil zavezanec v skladu z zakonom, ki ureja pokojninsko in invalidsko zavarovanje, obvezno zavarovan na podlagi samozaposlitve za polni delovni čas neprekinjeno vsaj devet mesecev,</w:t>
      </w:r>
    </w:p>
    <w:p w14:paraId="36792975" w14:textId="77777777" w:rsidR="00BF2DD7" w:rsidRPr="00E9128C" w:rsidRDefault="00BF2DD7" w:rsidP="00BF2DD7">
      <w:pPr>
        <w:spacing w:after="0" w:line="276" w:lineRule="auto"/>
        <w:jc w:val="both"/>
        <w:rPr>
          <w:rFonts w:cs="Arial"/>
          <w:szCs w:val="20"/>
        </w:rPr>
      </w:pPr>
      <w:r w:rsidRPr="00E9128C">
        <w:rPr>
          <w:rFonts w:cs="Arial"/>
          <w:szCs w:val="20"/>
        </w:rPr>
        <w:t>in ni z drugimi določbami tega člena ali zakonom drugače določeno.</w:t>
      </w:r>
    </w:p>
    <w:p w14:paraId="61384CBC" w14:textId="77777777" w:rsidR="00BF2DD7" w:rsidRPr="00E9128C" w:rsidRDefault="00BF2DD7" w:rsidP="00BF2DD7">
      <w:pPr>
        <w:spacing w:after="0" w:line="276" w:lineRule="auto"/>
        <w:jc w:val="both"/>
        <w:rPr>
          <w:rFonts w:cs="Arial"/>
          <w:szCs w:val="20"/>
        </w:rPr>
      </w:pPr>
      <w:r w:rsidRPr="00E9128C">
        <w:rPr>
          <w:rFonts w:cs="Arial"/>
          <w:szCs w:val="20"/>
        </w:rPr>
        <w:t>(4) Ne glede na tretji odstavek tega člena, lahko zavezanec, ki je na novo začel z opravljanjem dejavnosti, pri ugotavljanju davčne osnove v prvem davčnem letu in v drugem davčnem letu, če je začel z opravljanjem dejavnosti v zadnjih šestih mesecih prvega davčnega leta, priglasi upoštevanje normiranih odhodkov v višini, določeni v 59. členu tega zakona.</w:t>
      </w:r>
    </w:p>
    <w:p w14:paraId="47E4C354" w14:textId="77777777" w:rsidR="00BF2DD7" w:rsidRPr="00E9128C" w:rsidRDefault="00BF2DD7" w:rsidP="00BF2DD7">
      <w:pPr>
        <w:spacing w:after="0" w:line="276" w:lineRule="auto"/>
        <w:jc w:val="both"/>
        <w:rPr>
          <w:rFonts w:cs="Arial"/>
          <w:szCs w:val="20"/>
        </w:rPr>
      </w:pPr>
      <w:r w:rsidRPr="00E9128C">
        <w:rPr>
          <w:rFonts w:cs="Arial"/>
          <w:szCs w:val="20"/>
        </w:rPr>
        <w:t>(5) Za posamezno kmetijsko in dopolnilno dejavnost se sme v okviru kmečkega gospodinjstva kot zavezanec priglasiti en sam nosilec dejavnosti.</w:t>
      </w:r>
    </w:p>
    <w:p w14:paraId="2E265119" w14:textId="77777777" w:rsidR="00BF2DD7" w:rsidRPr="00E9128C" w:rsidRDefault="00BF2DD7" w:rsidP="00BF2DD7">
      <w:pPr>
        <w:spacing w:after="0" w:line="276" w:lineRule="auto"/>
        <w:jc w:val="both"/>
        <w:rPr>
          <w:rFonts w:cs="Arial"/>
          <w:szCs w:val="20"/>
        </w:rPr>
      </w:pPr>
      <w:r w:rsidRPr="00E9128C">
        <w:rPr>
          <w:rFonts w:cs="Arial"/>
          <w:szCs w:val="20"/>
        </w:rPr>
        <w:t>(6) Ne glede na tretji odstavek tega člena, lahko zavezanec iz drugega odstavka 47. člena tega zakona pri ugotavljanju davčne osnove naslednjega davčnega leta upošteva normirane odhodke v višini, določeni v 59. členu tega zakona, če priglasi ugotavljanje davčne osnove z upoštevanjem dejanskih prihodkov in normiranih odhodkov v skladu z zakonom, ki ureja davčni postopek, in njegovi prihodki iz dejavnosti, ugotovljeni po pravilih o računovodenju, v davčnem letu pred tem davčnim letom, ne presegajo 60.000 eurov na nosilca in na drugega člana kmečkega gospodinjstva, ki je vključen v obvezno pokojninsko in invalidsko zavarovanje kot kmet oziroma član kmečkega gospodarstva, v skladu z zakonom, ki ureja obvezno pokojninsko in invalidsko zavarovanje.</w:t>
      </w:r>
    </w:p>
    <w:p w14:paraId="0F01EEEC" w14:textId="77777777" w:rsidR="00BF2DD7" w:rsidRPr="00E9128C" w:rsidRDefault="00BF2DD7" w:rsidP="00BF2DD7">
      <w:pPr>
        <w:spacing w:after="0" w:line="276" w:lineRule="auto"/>
        <w:jc w:val="both"/>
        <w:rPr>
          <w:rFonts w:cs="Arial"/>
          <w:szCs w:val="20"/>
        </w:rPr>
      </w:pPr>
      <w:r w:rsidRPr="00E9128C">
        <w:rPr>
          <w:rFonts w:cs="Arial"/>
          <w:szCs w:val="20"/>
        </w:rPr>
        <w:t>(7) Ne glede na šesti odstavek tega člena, lahko zavezanec, ki je na novo priglasil ugotavljanje davčne osnove po drugem odstavku 47. člena tega zakona, pri ugotavljanju davčne osnove v prvem in drugem davčnem letu, priglasi upoštevanje normiranih odhodkov v višini, določeni v 59. členu tega zakona.</w:t>
      </w:r>
    </w:p>
    <w:p w14:paraId="5837881C" w14:textId="77777777" w:rsidR="00BF2DD7" w:rsidRPr="00E9128C" w:rsidRDefault="00BF2DD7" w:rsidP="00BF2DD7">
      <w:pPr>
        <w:spacing w:after="0" w:line="276" w:lineRule="auto"/>
        <w:jc w:val="both"/>
        <w:rPr>
          <w:rFonts w:cs="Arial"/>
          <w:szCs w:val="20"/>
        </w:rPr>
      </w:pPr>
      <w:r w:rsidRPr="00E9128C">
        <w:rPr>
          <w:rFonts w:cs="Arial"/>
          <w:szCs w:val="20"/>
        </w:rPr>
        <w:t>(8) Za potrebe določanja višine prihodkov iz tretjega in šestega odstavka tega člena se ne šteje, da je zavezanec na novo začel opravljati dejavnost, če je v 18. mesecih pred priglasitvijo ugotavljanja davčne osnove na podlagi dejanskih prihodkov in normiranih odhodkov:</w:t>
      </w:r>
    </w:p>
    <w:p w14:paraId="656D72BC" w14:textId="77777777" w:rsidR="00BF2DD7" w:rsidRPr="00E9128C" w:rsidRDefault="00BF2DD7" w:rsidP="00BF2DD7">
      <w:pPr>
        <w:spacing w:after="0" w:line="276" w:lineRule="auto"/>
        <w:jc w:val="both"/>
        <w:rPr>
          <w:rFonts w:cs="Arial"/>
          <w:szCs w:val="20"/>
        </w:rPr>
      </w:pPr>
      <w:r w:rsidRPr="00E9128C">
        <w:rPr>
          <w:rFonts w:cs="Arial"/>
          <w:szCs w:val="20"/>
        </w:rPr>
        <w:t>1. ponovno začel opravljati dejavnost, če je prenehal opravljati dejavnost v šestih mesecih pred ponovnim začetkom opravljanja dejavnosti;</w:t>
      </w:r>
    </w:p>
    <w:p w14:paraId="32D78AF6" w14:textId="77777777" w:rsidR="00BF2DD7" w:rsidRPr="00E9128C" w:rsidRDefault="00BF2DD7" w:rsidP="00BF2DD7">
      <w:pPr>
        <w:spacing w:after="0" w:line="276" w:lineRule="auto"/>
        <w:jc w:val="both"/>
        <w:rPr>
          <w:rFonts w:cs="Arial"/>
          <w:szCs w:val="20"/>
        </w:rPr>
      </w:pPr>
      <w:r w:rsidRPr="00E9128C">
        <w:rPr>
          <w:rFonts w:cs="Arial"/>
          <w:szCs w:val="20"/>
        </w:rPr>
        <w:t>2. ustanovil družbo, zavod ali primerljivo osebo po tujem pravu;</w:t>
      </w:r>
    </w:p>
    <w:p w14:paraId="11FAD217" w14:textId="77777777" w:rsidR="00BF2DD7" w:rsidRPr="00E9128C" w:rsidRDefault="00BF2DD7" w:rsidP="00BF2DD7">
      <w:pPr>
        <w:spacing w:after="0" w:line="276" w:lineRule="auto"/>
        <w:jc w:val="both"/>
        <w:rPr>
          <w:rFonts w:cs="Arial"/>
          <w:szCs w:val="20"/>
        </w:rPr>
      </w:pPr>
      <w:r w:rsidRPr="00E9128C">
        <w:rPr>
          <w:rFonts w:cs="Arial"/>
          <w:szCs w:val="20"/>
        </w:rPr>
        <w:t>3. prišlo do preoblikovanja zavezanca s prenosom dela podjetja na družbo, s pridobitvijo lastniškega deleža, ali fizično osebo, ki opravlja dejavnost, ali</w:t>
      </w:r>
    </w:p>
    <w:p w14:paraId="5E5A8436" w14:textId="77777777" w:rsidR="00BF2DD7" w:rsidRPr="00E9128C" w:rsidRDefault="00BF2DD7" w:rsidP="00BF2DD7">
      <w:pPr>
        <w:spacing w:after="0" w:line="276" w:lineRule="auto"/>
        <w:jc w:val="both"/>
        <w:rPr>
          <w:rFonts w:cs="Arial"/>
          <w:szCs w:val="20"/>
        </w:rPr>
      </w:pPr>
      <w:r w:rsidRPr="00E9128C">
        <w:rPr>
          <w:rFonts w:cs="Arial"/>
          <w:szCs w:val="20"/>
        </w:rPr>
        <w:t>4. začel opravljati dejavnost na podlagi prenosa podjetja ali dela podjetja od druge osebe.</w:t>
      </w:r>
    </w:p>
    <w:p w14:paraId="518EECE0" w14:textId="77777777" w:rsidR="00BF2DD7" w:rsidRPr="00E9128C" w:rsidRDefault="00BF2DD7" w:rsidP="00BF2DD7">
      <w:pPr>
        <w:spacing w:after="0" w:line="276" w:lineRule="auto"/>
        <w:jc w:val="both"/>
        <w:rPr>
          <w:rFonts w:cs="Arial"/>
          <w:szCs w:val="20"/>
        </w:rPr>
      </w:pPr>
      <w:r w:rsidRPr="00E9128C">
        <w:rPr>
          <w:rFonts w:cs="Arial"/>
          <w:szCs w:val="20"/>
        </w:rPr>
        <w:lastRenderedPageBreak/>
        <w:t>(9) V prihodke po tretjem in šestem odstavku tega člena se štejejo:</w:t>
      </w:r>
    </w:p>
    <w:p w14:paraId="73221E5F" w14:textId="77777777" w:rsidR="00BF2DD7" w:rsidRPr="00E9128C" w:rsidRDefault="00BF2DD7" w:rsidP="00BF2DD7">
      <w:pPr>
        <w:spacing w:after="0" w:line="276" w:lineRule="auto"/>
        <w:jc w:val="both"/>
        <w:rPr>
          <w:rFonts w:cs="Arial"/>
          <w:szCs w:val="20"/>
        </w:rPr>
      </w:pPr>
      <w:r w:rsidRPr="00E9128C">
        <w:rPr>
          <w:rFonts w:cs="Arial"/>
          <w:szCs w:val="20"/>
        </w:rPr>
        <w:t>1. v primerih iz osmega odstavka tega člena tudi:</w:t>
      </w:r>
    </w:p>
    <w:p w14:paraId="7EF409E9"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prihodki zavezanca, doseženi pred prenehanjem opravljanja dejavnosti,</w:t>
      </w:r>
    </w:p>
    <w:p w14:paraId="732D22F5"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prihodki družbe, zavoda ali primerljive osebe po tujem pravu,</w:t>
      </w:r>
    </w:p>
    <w:p w14:paraId="25A2FFD3"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prihodki osebe, ki je prevzela del podjetja zavezanca, in</w:t>
      </w:r>
    </w:p>
    <w:p w14:paraId="793D0E00"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prihodki osebe, ki je prenesla podjetje ali del podjetja na zavezanca,</w:t>
      </w:r>
    </w:p>
    <w:p w14:paraId="364F19BA" w14:textId="77777777" w:rsidR="00BF2DD7" w:rsidRPr="00E9128C" w:rsidRDefault="00BF2DD7" w:rsidP="00BF2DD7">
      <w:pPr>
        <w:spacing w:after="0" w:line="276" w:lineRule="auto"/>
        <w:jc w:val="both"/>
        <w:rPr>
          <w:rFonts w:cs="Arial"/>
          <w:szCs w:val="20"/>
        </w:rPr>
      </w:pPr>
      <w:r w:rsidRPr="00E9128C">
        <w:rPr>
          <w:rFonts w:cs="Arial"/>
          <w:szCs w:val="20"/>
        </w:rPr>
        <w:t>doseženi v obdobju iz tretjega in šestega odstavka tega člena, pri čemer se upoštevajo prihodki iz dejavnosti, ugotovljeni po pravilih o računovodenju, ter</w:t>
      </w:r>
    </w:p>
    <w:p w14:paraId="139AB4A3" w14:textId="77777777" w:rsidR="00BF2DD7" w:rsidRPr="00E9128C" w:rsidRDefault="00BF2DD7" w:rsidP="00BF2DD7">
      <w:pPr>
        <w:spacing w:after="0" w:line="276" w:lineRule="auto"/>
        <w:jc w:val="both"/>
        <w:rPr>
          <w:rFonts w:cs="Arial"/>
          <w:szCs w:val="20"/>
        </w:rPr>
      </w:pPr>
      <w:r w:rsidRPr="00E9128C">
        <w:rPr>
          <w:rFonts w:cs="Arial"/>
          <w:szCs w:val="20"/>
        </w:rPr>
        <w:t>2. prihodki iz dejavnosti povezanih oseb, razen če zavezanec dokaže, da glavni ali eden od glavnih razlogov za shemo poslovanja ni izpolnjevanje pogojev za ugotavljanje davčne osnove z upoštevanjem normiranih odhodkov.</w:t>
      </w:r>
    </w:p>
    <w:p w14:paraId="3110904E" w14:textId="77777777" w:rsidR="00BF2DD7" w:rsidRPr="00E9128C" w:rsidRDefault="00BF2DD7" w:rsidP="00BF2DD7">
      <w:pPr>
        <w:spacing w:after="0" w:line="276" w:lineRule="auto"/>
        <w:jc w:val="both"/>
        <w:rPr>
          <w:rFonts w:cs="Arial"/>
          <w:szCs w:val="20"/>
        </w:rPr>
      </w:pPr>
      <w:r w:rsidRPr="00E9128C">
        <w:rPr>
          <w:rFonts w:cs="Arial"/>
          <w:szCs w:val="20"/>
        </w:rPr>
        <w:t>(10) Za del podjetja po tem členu se šteje celota sredstev in obveznosti, ki je s poslovno organizacijskega vidika sposobna samostojno poslovati.</w:t>
      </w:r>
    </w:p>
    <w:p w14:paraId="637CD7ED" w14:textId="77777777" w:rsidR="00BF2DD7" w:rsidRPr="00E9128C" w:rsidRDefault="00BF2DD7" w:rsidP="00BF2DD7">
      <w:pPr>
        <w:spacing w:after="0" w:line="276" w:lineRule="auto"/>
        <w:jc w:val="both"/>
        <w:rPr>
          <w:rFonts w:cs="Arial"/>
          <w:szCs w:val="20"/>
        </w:rPr>
      </w:pPr>
      <w:r w:rsidRPr="00E9128C">
        <w:rPr>
          <w:rFonts w:cs="Arial"/>
          <w:szCs w:val="20"/>
        </w:rPr>
        <w:t>(11) Zavezanec mora v roku, določenim z zakonom, ki ureja davčni postopek, davčni organ obvestiti o prenehanju ugotavljanja davčne osnove z upoštevanjem normiranih odhodkov. Obvestilo učinkuje od začetka davčnega leta, za katero je davčni zavezanec obvestil davčni organ.</w:t>
      </w:r>
    </w:p>
    <w:p w14:paraId="477485E6" w14:textId="77777777" w:rsidR="00BF2DD7" w:rsidRPr="00E9128C" w:rsidRDefault="00BF2DD7" w:rsidP="00BF2DD7">
      <w:pPr>
        <w:spacing w:after="0" w:line="276" w:lineRule="auto"/>
        <w:jc w:val="both"/>
        <w:rPr>
          <w:rFonts w:cs="Arial"/>
          <w:szCs w:val="20"/>
        </w:rPr>
      </w:pPr>
      <w:r w:rsidRPr="00E9128C">
        <w:rPr>
          <w:rFonts w:cs="Arial"/>
          <w:szCs w:val="20"/>
        </w:rPr>
        <w:t>(12) Zavezanec, ki davčnemu organu predloži obvestilo iz enajstega odstavka tega člena, mora za davčno leto ugotavljati davčno osnovo na podlagi dejanskih prihodkov in odhodkov in voditi ustrezne poslovne knjige, evidence in poslovno poročilo, ki jih je dolžan voditi za ugotavljanje davčne osnove na podlagi dejanskih prihodkov in odhodkov.</w:t>
      </w:r>
    </w:p>
    <w:p w14:paraId="5C41AA7C" w14:textId="77777777" w:rsidR="00BF2DD7" w:rsidRPr="00E9128C" w:rsidRDefault="00BF2DD7" w:rsidP="00BF2DD7">
      <w:pPr>
        <w:spacing w:after="0" w:line="276" w:lineRule="auto"/>
        <w:jc w:val="both"/>
        <w:rPr>
          <w:rFonts w:cs="Arial"/>
          <w:szCs w:val="20"/>
        </w:rPr>
      </w:pPr>
      <w:r w:rsidRPr="00E9128C">
        <w:rPr>
          <w:rFonts w:cs="Arial"/>
          <w:szCs w:val="20"/>
        </w:rPr>
        <w:t>(13) Zavezanec mora ugotavljati prihodke iz tretjega ali šestega odstavka tega člena tudi za vsako naslednje davčno leto, za katero želi še naprej ugotavljati davčno osnovo z upoštevanjem dejanskih prihodkov in normiranih odhodkov.</w:t>
      </w:r>
    </w:p>
    <w:p w14:paraId="5E364065" w14:textId="77777777" w:rsidR="00BF2DD7" w:rsidRPr="00E9128C" w:rsidRDefault="00BF2DD7" w:rsidP="00BF2DD7">
      <w:pPr>
        <w:spacing w:after="0" w:line="276" w:lineRule="auto"/>
        <w:jc w:val="both"/>
        <w:rPr>
          <w:rFonts w:cs="Arial"/>
          <w:szCs w:val="20"/>
        </w:rPr>
      </w:pPr>
      <w:r w:rsidRPr="00E9128C">
        <w:rPr>
          <w:rFonts w:cs="Arial"/>
          <w:szCs w:val="20"/>
        </w:rPr>
        <w:t>(14) Ne glede na dvanajsti odstavek tega člena mora zavezanec za davčno leto ugotavljati davčno osnovo na podlagi dejanskih prihodkov in odhodkov in voditi ustrezne poslovne knjige, evidence in poslovno poročilo, ki jih je dolžan voditi za ugotavljanje davčne osnove na podlagi dejanskih prihodkov in odhodkov, če povprečje prihodkov iz dejavnosti, ugotovljenih po pravilih o računovodenju, dveh zaporednih predhodnih let presega:</w:t>
      </w:r>
    </w:p>
    <w:p w14:paraId="62514B5D"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60.000 eurov in je bil v teh dveh predhodnih letih v posameznem letu v skladu z zakonom, ki ureja pokojninsko in invalidsko zavarovanje, obvezno zavarovan na podlagi samozaposlitve za polni delovni čas neprekinjeno vsaj devet mesecev,</w:t>
      </w:r>
    </w:p>
    <w:p w14:paraId="63C52578"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30.000 eurov in v teh dveh predhodnih letih v posameznem letu v skladu z zakonom, ki ureja pokojninsko in invalidsko zavarovanje, ni bil obvezno zavarovan na podlagi samozaposlitve za polni delovni čas neprekinjeno vsaj devet mesecev,</w:t>
      </w:r>
    </w:p>
    <w:p w14:paraId="1D3B6202"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45.000 eurov in ne izpolnjuje pogojev iz prve in druge alineje tega odstavka,</w:t>
      </w:r>
    </w:p>
    <w:p w14:paraId="0A2BB268" w14:textId="77777777" w:rsidR="00BF2DD7" w:rsidRPr="00E9128C" w:rsidRDefault="00BF2DD7" w:rsidP="00BF2DD7">
      <w:pPr>
        <w:pStyle w:val="Odstavekseznama"/>
        <w:numPr>
          <w:ilvl w:val="0"/>
          <w:numId w:val="29"/>
        </w:numPr>
        <w:spacing w:after="0" w:line="276" w:lineRule="auto"/>
        <w:jc w:val="both"/>
        <w:rPr>
          <w:rFonts w:cs="Arial"/>
          <w:szCs w:val="20"/>
        </w:rPr>
      </w:pPr>
      <w:r w:rsidRPr="00E9128C">
        <w:rPr>
          <w:rFonts w:cs="Arial"/>
          <w:szCs w:val="20"/>
        </w:rPr>
        <w:t>60.000 eurov na nosilca in na drugega člana kmečkega gospodinjstva, ki je vključen v obvezno pokojninsko in invalidsko zavarovanje kot kmet oziroma član kmečkega gospodinjstva, če je zavezanec iz šestega odstavka tega člena.</w:t>
      </w:r>
    </w:p>
    <w:p w14:paraId="496804CA" w14:textId="77777777" w:rsidR="00BF2DD7" w:rsidRPr="00E9128C" w:rsidRDefault="00BF2DD7" w:rsidP="00BF2DD7">
      <w:pPr>
        <w:spacing w:after="0" w:line="276" w:lineRule="auto"/>
        <w:jc w:val="both"/>
        <w:rPr>
          <w:szCs w:val="20"/>
        </w:rPr>
      </w:pPr>
      <w:r w:rsidRPr="00E9128C">
        <w:rPr>
          <w:rFonts w:cs="Arial"/>
          <w:szCs w:val="20"/>
        </w:rPr>
        <w:t>(15) Zavezanec, ki ugotavlja davčno osnovo z upoštevanjem normiranih odhodkov, za davčno leto v davčnem obračunu razkrije znesek prihodkov, ugotovljenih po pravilih o računovodenju, ki so doseženi s posamezno povezano osebo ali z delodajalcem, s katerim je v delovnem razmerju na podlagi pogodbe o zaposlitvi.</w:t>
      </w:r>
    </w:p>
    <w:p w14:paraId="368C9E63" w14:textId="77777777" w:rsidR="00BF2DD7" w:rsidRPr="00E9128C" w:rsidRDefault="00BF2DD7" w:rsidP="00BF2DD7">
      <w:pPr>
        <w:spacing w:after="0" w:line="276" w:lineRule="auto"/>
        <w:jc w:val="center"/>
        <w:rPr>
          <w:rFonts w:eastAsia="Times New Roman" w:cs="Arial"/>
          <w:b/>
          <w:szCs w:val="20"/>
          <w:lang w:eastAsia="sl-SI"/>
        </w:rPr>
      </w:pPr>
    </w:p>
    <w:p w14:paraId="4BA5101C" w14:textId="77777777" w:rsidR="00BF2DD7" w:rsidRPr="00E9128C" w:rsidRDefault="00BF2DD7" w:rsidP="00BF2DD7">
      <w:pPr>
        <w:spacing w:after="0" w:line="276" w:lineRule="auto"/>
        <w:jc w:val="center"/>
        <w:rPr>
          <w:rFonts w:eastAsia="Times New Roman" w:cs="Arial"/>
          <w:b/>
          <w:szCs w:val="20"/>
          <w:lang w:eastAsia="sl-SI"/>
        </w:rPr>
      </w:pPr>
      <w:r w:rsidRPr="00E9128C">
        <w:rPr>
          <w:rFonts w:eastAsia="Times New Roman" w:cs="Arial"/>
          <w:b/>
          <w:szCs w:val="20"/>
          <w:lang w:eastAsia="sl-SI"/>
        </w:rPr>
        <w:t>135.a člen</w:t>
      </w:r>
    </w:p>
    <w:p w14:paraId="1667DB57" w14:textId="77777777" w:rsidR="00BF2DD7" w:rsidRPr="00E9128C" w:rsidRDefault="00BF2DD7" w:rsidP="00BF2DD7">
      <w:pPr>
        <w:spacing w:after="0" w:line="276" w:lineRule="auto"/>
        <w:jc w:val="center"/>
        <w:rPr>
          <w:rFonts w:eastAsia="Times New Roman" w:cs="Arial"/>
          <w:b/>
          <w:szCs w:val="20"/>
          <w:lang w:eastAsia="sl-SI"/>
        </w:rPr>
      </w:pPr>
      <w:r w:rsidRPr="00E9128C">
        <w:rPr>
          <w:rFonts w:eastAsia="Times New Roman" w:cs="Arial"/>
          <w:b/>
          <w:szCs w:val="20"/>
          <w:lang w:eastAsia="sl-SI"/>
        </w:rPr>
        <w:t>(stopnja dohodnine od dohodka iz dejavnosti, ki se ne všteva v letno davčno osnovo)</w:t>
      </w:r>
    </w:p>
    <w:p w14:paraId="295651ED" w14:textId="77777777" w:rsidR="00BF2DD7" w:rsidRPr="00E9128C" w:rsidRDefault="00BF2DD7" w:rsidP="00BF2DD7">
      <w:pPr>
        <w:spacing w:after="0" w:line="276" w:lineRule="auto"/>
        <w:rPr>
          <w:rFonts w:eastAsia="Times New Roman" w:cs="Arial"/>
          <w:b/>
          <w:szCs w:val="20"/>
          <w:lang w:eastAsia="sl-SI"/>
        </w:rPr>
      </w:pPr>
    </w:p>
    <w:p w14:paraId="6F91C936" w14:textId="77777777" w:rsidR="00BF2DD7" w:rsidRPr="00E9128C" w:rsidRDefault="00BF2DD7" w:rsidP="00BF2DD7">
      <w:pPr>
        <w:spacing w:after="0" w:line="276" w:lineRule="auto"/>
        <w:jc w:val="both"/>
        <w:rPr>
          <w:rFonts w:eastAsia="Times New Roman" w:cs="Arial"/>
          <w:bCs/>
          <w:szCs w:val="20"/>
          <w:lang w:eastAsia="sl-SI"/>
        </w:rPr>
      </w:pPr>
      <w:r w:rsidRPr="00E9128C">
        <w:rPr>
          <w:rFonts w:eastAsia="Times New Roman" w:cs="Arial"/>
          <w:bCs/>
          <w:szCs w:val="20"/>
          <w:lang w:eastAsia="sl-SI"/>
        </w:rPr>
        <w:t>Od dohodka iz dejavnosti, ki se ne všteva v letno davčno osnovo, se dohodnina za davčno leto izračuna od davčne osnove, ugotovljene v skladu z določbami III.3. poglavja tega zakona, po stopnji 20 % in se šteje kot dokončen davek.</w:t>
      </w:r>
    </w:p>
    <w:p w14:paraId="46E10DD5" w14:textId="77777777" w:rsidR="00BF2DD7" w:rsidRPr="00E9128C" w:rsidRDefault="00BF2DD7" w:rsidP="00BF2DD7">
      <w:pPr>
        <w:rPr>
          <w:rFonts w:eastAsia="Times New Roman" w:cs="Arial"/>
          <w:b/>
          <w:szCs w:val="20"/>
          <w:lang w:eastAsia="sl-SI"/>
        </w:rPr>
      </w:pPr>
    </w:p>
    <w:p w14:paraId="42DC8FE7" w14:textId="77777777" w:rsidR="00BF2DD7" w:rsidRPr="00E9128C" w:rsidRDefault="00BF2DD7" w:rsidP="00BF2DD7">
      <w:pPr>
        <w:rPr>
          <w:rFonts w:eastAsia="Times New Roman" w:cs="Arial"/>
          <w:b/>
          <w:szCs w:val="20"/>
          <w:lang w:eastAsia="sl-SI"/>
        </w:rPr>
      </w:pPr>
    </w:p>
    <w:p w14:paraId="22895D7F" w14:textId="77777777" w:rsidR="00BF2DD7" w:rsidRPr="00E9128C" w:rsidRDefault="00BF2DD7" w:rsidP="00BF2DD7">
      <w:pPr>
        <w:rPr>
          <w:rFonts w:cs="Arial"/>
          <w:b/>
          <w:szCs w:val="20"/>
        </w:rPr>
      </w:pPr>
      <w:r w:rsidRPr="00E9128C">
        <w:rPr>
          <w:rFonts w:eastAsia="Times New Roman" w:cs="Arial"/>
          <w:b/>
          <w:szCs w:val="20"/>
          <w:lang w:eastAsia="sl-SI"/>
        </w:rPr>
        <w:lastRenderedPageBreak/>
        <w:t>2.</w:t>
      </w:r>
      <w:r w:rsidRPr="00E9128C">
        <w:rPr>
          <w:rFonts w:cs="Arial"/>
          <w:b/>
          <w:szCs w:val="20"/>
        </w:rPr>
        <w:t xml:space="preserve"> Zakon o spremembah in dopolnitvah Zakona o dohodnini (Uradni list, št. 104/24; ZDoh-2AB)</w:t>
      </w:r>
    </w:p>
    <w:p w14:paraId="0AD49D0B" w14:textId="77777777" w:rsidR="00BF2DD7" w:rsidRPr="00E9128C" w:rsidRDefault="00BF2DD7" w:rsidP="00BF2DD7">
      <w:pPr>
        <w:spacing w:after="0"/>
        <w:jc w:val="center"/>
        <w:rPr>
          <w:rFonts w:cs="Arial"/>
          <w:b/>
          <w:szCs w:val="20"/>
        </w:rPr>
      </w:pPr>
      <w:r w:rsidRPr="00E9128C">
        <w:rPr>
          <w:rFonts w:cs="Arial"/>
          <w:b/>
          <w:szCs w:val="20"/>
        </w:rPr>
        <w:t>23. člen</w:t>
      </w:r>
    </w:p>
    <w:p w14:paraId="1999628D" w14:textId="77777777" w:rsidR="00BF2DD7" w:rsidRPr="00E9128C" w:rsidRDefault="00BF2DD7" w:rsidP="00BF2DD7">
      <w:pPr>
        <w:spacing w:after="0"/>
        <w:jc w:val="center"/>
        <w:rPr>
          <w:rFonts w:cs="Arial"/>
          <w:b/>
          <w:szCs w:val="20"/>
        </w:rPr>
      </w:pPr>
      <w:r w:rsidRPr="00E9128C">
        <w:rPr>
          <w:rFonts w:cs="Arial"/>
          <w:b/>
          <w:szCs w:val="20"/>
        </w:rPr>
        <w:t>(posebna ureditev pogojev za izstop iz sistema normiranih odhodkov za leti 2025 in 2026)</w:t>
      </w:r>
    </w:p>
    <w:p w14:paraId="2C666D80" w14:textId="77777777" w:rsidR="00BF2DD7" w:rsidRPr="00E9128C" w:rsidRDefault="00BF2DD7" w:rsidP="00BF2DD7">
      <w:pPr>
        <w:spacing w:after="0"/>
        <w:jc w:val="center"/>
        <w:rPr>
          <w:rFonts w:cs="Arial"/>
          <w:bCs/>
          <w:szCs w:val="20"/>
        </w:rPr>
      </w:pPr>
    </w:p>
    <w:p w14:paraId="70839CC4" w14:textId="77777777" w:rsidR="00BF2DD7" w:rsidRPr="00E9128C" w:rsidRDefault="00BF2DD7" w:rsidP="00BF2DD7">
      <w:pPr>
        <w:spacing w:after="0"/>
        <w:jc w:val="both"/>
        <w:rPr>
          <w:rFonts w:cs="Arial"/>
          <w:bCs/>
          <w:szCs w:val="20"/>
        </w:rPr>
      </w:pPr>
      <w:r w:rsidRPr="00E9128C">
        <w:rPr>
          <w:rFonts w:cs="Arial"/>
          <w:bCs/>
          <w:szCs w:val="20"/>
        </w:rPr>
        <w:t>Ne glede na spremenjeni štirinajsti odstavek 48. člena zakona mora zavezanec ugotavljati davčno osnovo na podlagi dejanskih prihodkov in odhodkov in voditi ustrezne poslovne knjige, evidence in poslovno poročilo, ki jih je dolžan voditi za ugotavljanje davčne osnove na podlagi dejanskih prihodkov in odhodkov:</w:t>
      </w:r>
    </w:p>
    <w:p w14:paraId="0422002C" w14:textId="77777777" w:rsidR="00BF2DD7" w:rsidRPr="00E9128C" w:rsidRDefault="00BF2DD7" w:rsidP="00BF2DD7">
      <w:pPr>
        <w:spacing w:after="0"/>
        <w:jc w:val="both"/>
        <w:rPr>
          <w:rFonts w:cs="Arial"/>
          <w:bCs/>
          <w:szCs w:val="20"/>
        </w:rPr>
      </w:pPr>
      <w:r w:rsidRPr="00E9128C">
        <w:rPr>
          <w:rFonts w:cs="Arial"/>
          <w:bCs/>
          <w:szCs w:val="20"/>
        </w:rPr>
        <w:t>a) za leto 2025: če njegovo povprečje prihodkov iz dejavnosti, ugotovljenih po pravilih o računovodenju, za leti 2023 in 2024 presega 150.000 eurov, oziroma v primeru zavezanca iz šestega odstavka 48. člena zakona, povprečje prihodkov za leti 2023 in 2024 presega 150.000 eurov na nosilca in na drugega člana kmečkega gospodinjstva, ki je vključen v obvezno pokojninsko in invalidsko zavarovanje kot kmet oziroma član kmečkega gospodinjstva;</w:t>
      </w:r>
    </w:p>
    <w:p w14:paraId="276D39EE" w14:textId="77777777" w:rsidR="00BF2DD7" w:rsidRPr="00E9128C" w:rsidRDefault="00BF2DD7" w:rsidP="00BF2DD7">
      <w:pPr>
        <w:spacing w:after="0"/>
        <w:jc w:val="both"/>
        <w:rPr>
          <w:rFonts w:cs="Arial"/>
          <w:bCs/>
          <w:szCs w:val="20"/>
        </w:rPr>
      </w:pPr>
      <w:r w:rsidRPr="00E9128C">
        <w:rPr>
          <w:rFonts w:cs="Arial"/>
          <w:bCs/>
          <w:szCs w:val="20"/>
        </w:rPr>
        <w:t>b) za leto 2026: če njegovi prihodki iz dejavnosti, ugotovljeni po pravilih o računovodenju, za leto 2025 presegajo:</w:t>
      </w:r>
    </w:p>
    <w:p w14:paraId="24541DCE" w14:textId="77777777" w:rsidR="00BF2DD7" w:rsidRPr="00E9128C" w:rsidRDefault="00BF2DD7" w:rsidP="00BF2DD7">
      <w:pPr>
        <w:spacing w:after="0"/>
        <w:jc w:val="both"/>
        <w:rPr>
          <w:rFonts w:cs="Arial"/>
          <w:bCs/>
          <w:szCs w:val="20"/>
        </w:rPr>
      </w:pPr>
      <w:r w:rsidRPr="00E9128C">
        <w:rPr>
          <w:rFonts w:cs="Arial"/>
          <w:bCs/>
          <w:szCs w:val="20"/>
        </w:rPr>
        <w:t>– 60.000 eurov in je bil v letu 2025 v skladu z zakonom, ki ureja pokojninsko in invalidsko zavarovanje, obvezno zavarovan na podlagi samozaposlitve za polni delovni čas neprekinjeno vsaj devet mesecev,</w:t>
      </w:r>
    </w:p>
    <w:p w14:paraId="4A08201B" w14:textId="77777777" w:rsidR="00BF2DD7" w:rsidRPr="00E9128C" w:rsidRDefault="00BF2DD7" w:rsidP="00BF2DD7">
      <w:pPr>
        <w:spacing w:after="0"/>
        <w:jc w:val="both"/>
        <w:rPr>
          <w:rFonts w:cs="Arial"/>
          <w:bCs/>
          <w:szCs w:val="20"/>
        </w:rPr>
      </w:pPr>
      <w:r w:rsidRPr="00E9128C">
        <w:rPr>
          <w:rFonts w:cs="Arial"/>
          <w:bCs/>
          <w:szCs w:val="20"/>
        </w:rPr>
        <w:t>– 30.000 eurov in v letu 2025 v skladu z zakonom, ki ureja pokojninsko in invalidsko zavarovanje, ni bil obvezno zavarovan na podlagi samozaposlitve za polni delovni čas neprekinjeno vsaj devet mesecev,</w:t>
      </w:r>
    </w:p>
    <w:p w14:paraId="34C49575" w14:textId="77777777" w:rsidR="00BF2DD7" w:rsidRPr="00E9128C" w:rsidRDefault="00BF2DD7" w:rsidP="00BF2DD7">
      <w:pPr>
        <w:spacing w:after="0"/>
        <w:jc w:val="both"/>
        <w:rPr>
          <w:rFonts w:cs="Arial"/>
          <w:bCs/>
          <w:szCs w:val="20"/>
        </w:rPr>
      </w:pPr>
      <w:r w:rsidRPr="00E9128C">
        <w:rPr>
          <w:rFonts w:cs="Arial"/>
          <w:bCs/>
          <w:szCs w:val="20"/>
        </w:rPr>
        <w:t>– 60.000 eurov na nosilca in na drugega člana kmečkega gospodinjstva, ki je vključen v obvezno pokojninsko in invalidsko zavarovanje kot kmet oziroma član kmečkega gospodinjstva, če je zavezanec iz šestega odstavka 48. člena zakona.</w:t>
      </w:r>
    </w:p>
    <w:p w14:paraId="74A687B0" w14:textId="77777777" w:rsidR="00BF2DD7" w:rsidRPr="00E9128C" w:rsidRDefault="00BF2DD7" w:rsidP="00BF2DD7">
      <w:pPr>
        <w:spacing w:after="0"/>
        <w:rPr>
          <w:rFonts w:eastAsia="Times New Roman" w:cs="Arial"/>
          <w:b/>
          <w:szCs w:val="20"/>
          <w:lang w:eastAsia="sl-SI"/>
        </w:rPr>
      </w:pPr>
      <w:r w:rsidRPr="00E9128C">
        <w:rPr>
          <w:rFonts w:eastAsia="Times New Roman" w:cs="Arial"/>
          <w:b/>
          <w:szCs w:val="20"/>
          <w:lang w:eastAsia="sl-SI"/>
        </w:rPr>
        <w:br w:type="page"/>
      </w:r>
    </w:p>
    <w:p w14:paraId="2154DE90" w14:textId="43E472B6" w:rsidR="0011743A" w:rsidRPr="00E9128C" w:rsidRDefault="00AB0DC8" w:rsidP="00E9128C">
      <w:pPr>
        <w:pStyle w:val="Odsek"/>
        <w:numPr>
          <w:ilvl w:val="0"/>
          <w:numId w:val="0"/>
        </w:numPr>
        <w:spacing w:line="260" w:lineRule="exact"/>
        <w:ind w:left="360"/>
        <w:jc w:val="left"/>
      </w:pPr>
      <w:r w:rsidRPr="00E9128C">
        <w:rPr>
          <w:bCs/>
          <w:kern w:val="36"/>
          <w:sz w:val="20"/>
          <w:szCs w:val="20"/>
          <w:lang w:eastAsia="en-US"/>
        </w:rPr>
        <w:lastRenderedPageBreak/>
        <w:t xml:space="preserve">V. </w:t>
      </w:r>
      <w:r w:rsidR="0011743A" w:rsidRPr="00E9128C">
        <w:t>PREDLOG, DA SE PREDLOG ZAKONA OBRAVNAVA PO NUJNEM OZIROMA SKRAJŠANEM POSTOPKU</w:t>
      </w:r>
    </w:p>
    <w:bookmarkEnd w:id="10"/>
    <w:p w14:paraId="15A6547A" w14:textId="77777777" w:rsidR="00BB049E" w:rsidRPr="00E9128C" w:rsidRDefault="00BB049E" w:rsidP="00BB049E">
      <w:pPr>
        <w:spacing w:after="0" w:line="288" w:lineRule="auto"/>
        <w:ind w:left="10" w:right="-8" w:hanging="10"/>
        <w:jc w:val="both"/>
        <w:rPr>
          <w:rFonts w:eastAsia="Times New Roman" w:cs="Arial"/>
          <w:b/>
          <w:bCs/>
          <w:kern w:val="36"/>
          <w:szCs w:val="20"/>
        </w:rPr>
      </w:pPr>
    </w:p>
    <w:p w14:paraId="290386B1" w14:textId="65B27925" w:rsidR="00BB049E" w:rsidRPr="00E9128C" w:rsidRDefault="00BB049E" w:rsidP="00BB049E">
      <w:pPr>
        <w:overflowPunct w:val="0"/>
        <w:autoSpaceDE w:val="0"/>
        <w:autoSpaceDN w:val="0"/>
        <w:adjustRightInd w:val="0"/>
        <w:spacing w:after="0" w:line="260" w:lineRule="exact"/>
        <w:jc w:val="both"/>
        <w:textAlignment w:val="baseline"/>
        <w:rPr>
          <w:rFonts w:eastAsia="Times New Roman" w:cs="Arial"/>
          <w:iCs/>
          <w:szCs w:val="20"/>
          <w:lang w:eastAsia="sl-SI"/>
        </w:rPr>
      </w:pPr>
      <w:r w:rsidRPr="00E9128C">
        <w:rPr>
          <w:rFonts w:eastAsia="Times New Roman" w:cs="Arial"/>
          <w:iCs/>
          <w:szCs w:val="20"/>
          <w:lang w:eastAsia="sl-SI"/>
        </w:rPr>
        <w:t xml:space="preserve">Vlada Republike Slovenije predlaga, da se Predlog Zakona o izplačilu zimskega </w:t>
      </w:r>
      <w:r w:rsidR="00A26A45" w:rsidRPr="00E9128C">
        <w:rPr>
          <w:rFonts w:eastAsia="Times New Roman" w:cs="Arial"/>
          <w:iCs/>
          <w:szCs w:val="20"/>
          <w:lang w:eastAsia="sl-SI"/>
        </w:rPr>
        <w:t>regresa</w:t>
      </w:r>
      <w:r w:rsidR="002F7188" w:rsidRPr="00E9128C">
        <w:t xml:space="preserve"> </w:t>
      </w:r>
      <w:r w:rsidR="002F7188" w:rsidRPr="00E9128C">
        <w:rPr>
          <w:rFonts w:eastAsia="Times New Roman" w:cs="Arial"/>
          <w:iCs/>
          <w:szCs w:val="20"/>
          <w:lang w:eastAsia="sl-SI"/>
        </w:rPr>
        <w:t>ter prenovi ugotavljanja davčne osnove z upoštevanjem normiranih odhodkov v Državnem zboru Republike Slovenije na podlagi prvega odstavka 143. člena Poslovnika državnega zbora (Uradni list RS, št. 92/07 – uradno prečiščeno besedilo, 105/10, 80/13, 38/17, 46/20, 105/21 – odl. US, 111/21, 58/23 in 35/24) obravnava po nujnem postopku, ker se le na ta način lahko zagotovi, da bo prejemek delavcem in upokojencem ter uživalcem nadomestil iz invalidskega zavarovanja izplačan še v tekočem koledarskem letu. Prav tako je treba zagotoviti, da se prenova ter prenova sistema ugotavljanja davčne osnove z upoštevanjem normiranih odhodkov uveljavi pred začetkom davčnega leta 2026.</w:t>
      </w:r>
      <w:r w:rsidR="00A26A45" w:rsidRPr="00E9128C">
        <w:rPr>
          <w:rFonts w:eastAsia="Times New Roman" w:cs="Arial"/>
          <w:iCs/>
          <w:szCs w:val="20"/>
          <w:lang w:eastAsia="sl-SI"/>
        </w:rPr>
        <w:t xml:space="preserve"> </w:t>
      </w:r>
      <w:r w:rsidRPr="00E9128C">
        <w:rPr>
          <w:rFonts w:eastAsia="Times New Roman" w:cs="Arial"/>
          <w:iCs/>
          <w:szCs w:val="20"/>
          <w:lang w:eastAsia="sl-SI"/>
        </w:rPr>
        <w:t>v Državnem zboru Republike Slovenije na podlagi prvega odstavka 143. člena Poslovnika državnega zbora (Uradni list RS, št. 92/07 – uradno prečiščeno besedilo, 105/10, 80/13, 38/17, 46/20, 105/21 – odl. US, 111/21, 58/23 in 35/24) obravnava po nujnem postopku, ker se le na ta način lahko zagotovi, da bo prejemek delavcem izplačan še v tekočem koledarskem letu.</w:t>
      </w:r>
    </w:p>
    <w:p w14:paraId="0752FAE3" w14:textId="77777777" w:rsidR="00BB049E" w:rsidRPr="00E9128C" w:rsidRDefault="00BB049E" w:rsidP="00BB049E">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3A6ED3C" w14:textId="77777777" w:rsidR="00BB049E" w:rsidRPr="00E9128C" w:rsidRDefault="00BB049E" w:rsidP="00BB049E">
      <w:pPr>
        <w:spacing w:after="0" w:line="288" w:lineRule="auto"/>
        <w:ind w:left="10" w:right="-8" w:hanging="10"/>
        <w:jc w:val="both"/>
        <w:rPr>
          <w:rFonts w:eastAsia="Times New Roman" w:cs="Arial"/>
          <w:b/>
          <w:bCs/>
          <w:kern w:val="36"/>
          <w:szCs w:val="20"/>
        </w:rPr>
      </w:pPr>
    </w:p>
    <w:p w14:paraId="65E81E31" w14:textId="0A1368AF" w:rsidR="00BB049E" w:rsidRPr="00E9128C" w:rsidRDefault="00BB049E" w:rsidP="00E9128C">
      <w:pPr>
        <w:pStyle w:val="Odsek"/>
        <w:numPr>
          <w:ilvl w:val="0"/>
          <w:numId w:val="0"/>
        </w:numPr>
        <w:spacing w:line="260" w:lineRule="exact"/>
        <w:jc w:val="left"/>
      </w:pPr>
      <w:r w:rsidRPr="00E9128C">
        <w:t>VI. PRILOGA</w:t>
      </w:r>
    </w:p>
    <w:p w14:paraId="4AD91D81" w14:textId="77E74A10" w:rsidR="002F7C39" w:rsidRPr="00E9128C" w:rsidRDefault="002F7C39" w:rsidP="00BB37FE">
      <w:pPr>
        <w:pStyle w:val="Odstavekseznama"/>
        <w:numPr>
          <w:ilvl w:val="2"/>
          <w:numId w:val="7"/>
        </w:numPr>
        <w:spacing w:after="0" w:line="288" w:lineRule="auto"/>
        <w:ind w:right="-8"/>
        <w:jc w:val="both"/>
        <w:rPr>
          <w:rFonts w:eastAsia="Times New Roman" w:cs="Arial"/>
          <w:kern w:val="36"/>
          <w:szCs w:val="20"/>
        </w:rPr>
      </w:pPr>
      <w:r w:rsidRPr="00E9128C">
        <w:rPr>
          <w:rFonts w:eastAsia="Times New Roman" w:cs="Arial"/>
          <w:kern w:val="36"/>
          <w:szCs w:val="20"/>
        </w:rPr>
        <w:t>MSP test</w:t>
      </w:r>
    </w:p>
    <w:p w14:paraId="68C146A4" w14:textId="14DB2056" w:rsidR="00FA492B" w:rsidRPr="00E9128C" w:rsidRDefault="00FA492B" w:rsidP="00EA1E8A">
      <w:pPr>
        <w:tabs>
          <w:tab w:val="left" w:pos="-1080"/>
          <w:tab w:val="left" w:pos="-720"/>
          <w:tab w:val="left" w:pos="0"/>
          <w:tab w:val="left" w:pos="990"/>
          <w:tab w:val="left" w:pos="1260"/>
        </w:tabs>
        <w:spacing w:after="0" w:line="288" w:lineRule="auto"/>
        <w:jc w:val="right"/>
        <w:outlineLvl w:val="0"/>
        <w:rPr>
          <w:rFonts w:cs="Arial"/>
          <w:bCs/>
          <w:szCs w:val="20"/>
        </w:rPr>
      </w:pPr>
    </w:p>
    <w:sectPr w:rsidR="00FA492B" w:rsidRPr="00E9128C" w:rsidSect="00BD6A1D">
      <w:headerReference w:type="first" r:id="rId15"/>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A4D2" w14:textId="77777777" w:rsidR="002D5E7A" w:rsidRDefault="002D5E7A" w:rsidP="00BD6A1D">
      <w:pPr>
        <w:spacing w:after="0" w:line="240" w:lineRule="auto"/>
      </w:pPr>
      <w:r>
        <w:separator/>
      </w:r>
    </w:p>
  </w:endnote>
  <w:endnote w:type="continuationSeparator" w:id="0">
    <w:p w14:paraId="4F7B8FD9" w14:textId="77777777" w:rsidR="002D5E7A" w:rsidRDefault="002D5E7A" w:rsidP="00BD6A1D">
      <w:pPr>
        <w:spacing w:after="0" w:line="240" w:lineRule="auto"/>
      </w:pPr>
      <w:r>
        <w:continuationSeparator/>
      </w:r>
    </w:p>
  </w:endnote>
  <w:endnote w:type="continuationNotice" w:id="1">
    <w:p w14:paraId="0AF4E516" w14:textId="77777777" w:rsidR="002D5E7A" w:rsidRDefault="002D5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2727" w14:textId="77777777" w:rsidR="002D5E7A" w:rsidRDefault="002D5E7A" w:rsidP="00BD6A1D">
      <w:pPr>
        <w:spacing w:after="0" w:line="240" w:lineRule="auto"/>
      </w:pPr>
      <w:r>
        <w:separator/>
      </w:r>
    </w:p>
  </w:footnote>
  <w:footnote w:type="continuationSeparator" w:id="0">
    <w:p w14:paraId="3F998787" w14:textId="77777777" w:rsidR="002D5E7A" w:rsidRDefault="002D5E7A" w:rsidP="00BD6A1D">
      <w:pPr>
        <w:spacing w:after="0" w:line="240" w:lineRule="auto"/>
      </w:pPr>
      <w:r>
        <w:continuationSeparator/>
      </w:r>
    </w:p>
  </w:footnote>
  <w:footnote w:type="continuationNotice" w:id="1">
    <w:p w14:paraId="60EDCC6F" w14:textId="77777777" w:rsidR="002D5E7A" w:rsidRDefault="002D5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8CE5" w14:textId="662932BB" w:rsidR="00EA35BF" w:rsidRDefault="00117A9D" w:rsidP="008A4972">
    <w:pPr>
      <w:pStyle w:val="Glava"/>
      <w:tabs>
        <w:tab w:val="clear" w:pos="4536"/>
        <w:tab w:val="clear" w:pos="9072"/>
        <w:tab w:val="left" w:pos="1995"/>
      </w:tabs>
    </w:pPr>
    <w:r w:rsidRPr="0005766B">
      <w:rPr>
        <w:rFonts w:cs="Arial"/>
        <w:b/>
        <w:noProof/>
        <w:szCs w:val="20"/>
      </w:rPr>
      <w:drawing>
        <wp:anchor distT="0" distB="0" distL="114300" distR="114300" simplePos="0" relativeHeight="251659264" behindDoc="0" locked="0" layoutInCell="1" allowOverlap="1" wp14:anchorId="298A1ED1" wp14:editId="5524D44A">
          <wp:simplePos x="0" y="0"/>
          <wp:positionH relativeFrom="page">
            <wp:posOffset>204470</wp:posOffset>
          </wp:positionH>
          <wp:positionV relativeFrom="page">
            <wp:posOffset>39370</wp:posOffset>
          </wp:positionV>
          <wp:extent cx="4321810" cy="972185"/>
          <wp:effectExtent l="0" t="0" r="2540" b="0"/>
          <wp:wrapSquare wrapText="bothSides"/>
          <wp:docPr id="2"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8A2"/>
    <w:multiLevelType w:val="hybridMultilevel"/>
    <w:tmpl w:val="6114D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75760B"/>
    <w:multiLevelType w:val="hybridMultilevel"/>
    <w:tmpl w:val="4568FEAA"/>
    <w:lvl w:ilvl="0" w:tplc="94E4942A">
      <w:start w:val="1"/>
      <w:numFmt w:val="decimal"/>
      <w:lvlText w:val="%1."/>
      <w:lvlJc w:val="left"/>
      <w:pPr>
        <w:tabs>
          <w:tab w:val="num" w:pos="360"/>
        </w:tabs>
        <w:ind w:left="190" w:firstLine="1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037169"/>
    <w:multiLevelType w:val="multilevel"/>
    <w:tmpl w:val="47AA988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77AFA"/>
    <w:multiLevelType w:val="multilevel"/>
    <w:tmpl w:val="53A44C40"/>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30E94"/>
    <w:multiLevelType w:val="hybridMultilevel"/>
    <w:tmpl w:val="0BBA2236"/>
    <w:lvl w:ilvl="0" w:tplc="E1DAFAEE">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BD1818"/>
    <w:multiLevelType w:val="hybridMultilevel"/>
    <w:tmpl w:val="EE9ED5E6"/>
    <w:lvl w:ilvl="0" w:tplc="39D292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C92D8B"/>
    <w:multiLevelType w:val="multilevel"/>
    <w:tmpl w:val="432420FE"/>
    <w:lvl w:ilvl="0">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21FF0"/>
    <w:multiLevelType w:val="multilevel"/>
    <w:tmpl w:val="432420FE"/>
    <w:lvl w:ilvl="0">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0089C"/>
    <w:multiLevelType w:val="hybridMultilevel"/>
    <w:tmpl w:val="07049D2C"/>
    <w:lvl w:ilvl="0" w:tplc="1414A5D2">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BC2CE8"/>
    <w:multiLevelType w:val="hybridMultilevel"/>
    <w:tmpl w:val="8B20D206"/>
    <w:lvl w:ilvl="0" w:tplc="66D2E04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034F47"/>
    <w:multiLevelType w:val="multilevel"/>
    <w:tmpl w:val="344CD852"/>
    <w:lvl w:ilvl="0">
      <w:start w:val="9"/>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3087B08"/>
    <w:multiLevelType w:val="multilevel"/>
    <w:tmpl w:val="868E85A6"/>
    <w:lvl w:ilvl="0">
      <w:start w:val="49"/>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8123941"/>
    <w:multiLevelType w:val="hybridMultilevel"/>
    <w:tmpl w:val="538A6FF4"/>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A522143"/>
    <w:multiLevelType w:val="hybridMultilevel"/>
    <w:tmpl w:val="6B7C0E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C30079"/>
    <w:multiLevelType w:val="hybridMultilevel"/>
    <w:tmpl w:val="ECE0CAB6"/>
    <w:lvl w:ilvl="0" w:tplc="0424000F">
      <w:start w:val="1"/>
      <w:numFmt w:val="decimal"/>
      <w:lvlText w:val="%1."/>
      <w:lvlJc w:val="left"/>
      <w:pPr>
        <w:tabs>
          <w:tab w:val="num" w:pos="360"/>
        </w:tabs>
        <w:ind w:left="360" w:hanging="360"/>
      </w:pPr>
    </w:lvl>
    <w:lvl w:ilvl="1" w:tplc="401AB356">
      <w:start w:val="2"/>
      <w:numFmt w:val="upperRoman"/>
      <w:lvlText w:val="%2."/>
      <w:lvlJc w:val="left"/>
      <w:pPr>
        <w:tabs>
          <w:tab w:val="num" w:pos="1440"/>
        </w:tabs>
        <w:ind w:left="1440" w:hanging="72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9" w15:restartNumberingAfterBreak="0">
    <w:nsid w:val="3B5B4DF2"/>
    <w:multiLevelType w:val="multilevel"/>
    <w:tmpl w:val="429CC26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74605B"/>
    <w:multiLevelType w:val="hybridMultilevel"/>
    <w:tmpl w:val="7D4E9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B50DD4"/>
    <w:multiLevelType w:val="hybridMultilevel"/>
    <w:tmpl w:val="1A84B2BA"/>
    <w:lvl w:ilvl="0" w:tplc="D4265CC4">
      <w:start w:val="9"/>
      <w:numFmt w:val="bullet"/>
      <w:lvlText w:val="−"/>
      <w:lvlJc w:val="left"/>
      <w:pPr>
        <w:ind w:left="720" w:hanging="360"/>
      </w:pPr>
      <w:rPr>
        <w:rFonts w:ascii="Calibri" w:eastAsia="Calibri" w:hAnsi="Calibri" w:cs="Calibri" w:hint="default"/>
      </w:rPr>
    </w:lvl>
    <w:lvl w:ilvl="1" w:tplc="26029726">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447A2E"/>
    <w:multiLevelType w:val="multilevel"/>
    <w:tmpl w:val="432420FE"/>
    <w:lvl w:ilvl="0">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AE26D6"/>
    <w:multiLevelType w:val="multilevel"/>
    <w:tmpl w:val="432420FE"/>
    <w:lvl w:ilvl="0">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9B3DB9"/>
    <w:multiLevelType w:val="hybridMultilevel"/>
    <w:tmpl w:val="572A4B36"/>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A606E6E8">
      <w:start w:val="6"/>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F576CF"/>
    <w:multiLevelType w:val="hybridMultilevel"/>
    <w:tmpl w:val="272AE37C"/>
    <w:lvl w:ilvl="0" w:tplc="C0A4C55A">
      <w:start w:val="1"/>
      <w:numFmt w:val="bullet"/>
      <w:lvlText w:val="–"/>
      <w:lvlJc w:val="left"/>
      <w:pPr>
        <w:ind w:left="108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7" w15:restartNumberingAfterBreak="0">
    <w:nsid w:val="4AD222F9"/>
    <w:multiLevelType w:val="hybridMultilevel"/>
    <w:tmpl w:val="A68CE2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2335E7"/>
    <w:multiLevelType w:val="hybridMultilevel"/>
    <w:tmpl w:val="2C52B88A"/>
    <w:lvl w:ilvl="0" w:tplc="BE4E31D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F267E1"/>
    <w:multiLevelType w:val="hybridMultilevel"/>
    <w:tmpl w:val="BAD8A94E"/>
    <w:lvl w:ilvl="0" w:tplc="CFE4D274">
      <w:start w:val="1"/>
      <w:numFmt w:val="bullet"/>
      <w:lvlText w:val="‒"/>
      <w:lvlJc w:val="left"/>
      <w:pPr>
        <w:ind w:left="1440" w:hanging="360"/>
      </w:pPr>
      <w:rPr>
        <w:rFonts w:ascii="Calibri" w:hAnsi="Calibri"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AAA4B5F"/>
    <w:multiLevelType w:val="hybridMultilevel"/>
    <w:tmpl w:val="A3963A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E7B2A84"/>
    <w:multiLevelType w:val="hybridMultilevel"/>
    <w:tmpl w:val="A4E68BE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F33841"/>
    <w:multiLevelType w:val="hybridMultilevel"/>
    <w:tmpl w:val="F6360974"/>
    <w:lvl w:ilvl="0" w:tplc="781E7DDC">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4152765"/>
    <w:multiLevelType w:val="hybridMultilevel"/>
    <w:tmpl w:val="76D650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2655226">
    <w:abstractNumId w:val="10"/>
  </w:num>
  <w:num w:numId="2" w16cid:durableId="1859079910">
    <w:abstractNumId w:val="29"/>
  </w:num>
  <w:num w:numId="3" w16cid:durableId="1040517367">
    <w:abstractNumId w:val="31"/>
  </w:num>
  <w:num w:numId="4" w16cid:durableId="448016183">
    <w:abstractNumId w:val="37"/>
  </w:num>
  <w:num w:numId="5" w16cid:durableId="91903435">
    <w:abstractNumId w:val="23"/>
  </w:num>
  <w:num w:numId="6" w16cid:durableId="372077662">
    <w:abstractNumId w:val="12"/>
  </w:num>
  <w:num w:numId="7" w16cid:durableId="971910718">
    <w:abstractNumId w:val="25"/>
  </w:num>
  <w:num w:numId="8" w16cid:durableId="1401640399">
    <w:abstractNumId w:val="13"/>
  </w:num>
  <w:num w:numId="9" w16cid:durableId="855460849">
    <w:abstractNumId w:val="14"/>
  </w:num>
  <w:num w:numId="10" w16cid:durableId="1685785397">
    <w:abstractNumId w:val="19"/>
  </w:num>
  <w:num w:numId="11" w16cid:durableId="1081172524">
    <w:abstractNumId w:val="26"/>
  </w:num>
  <w:num w:numId="12" w16cid:durableId="1748107533">
    <w:abstractNumId w:val="15"/>
  </w:num>
  <w:num w:numId="13" w16cid:durableId="48849736">
    <w:abstractNumId w:val="16"/>
    <w:lvlOverride w:ilvl="0">
      <w:startOverride w:val="1"/>
    </w:lvlOverride>
  </w:num>
  <w:num w:numId="14" w16cid:durableId="323238947">
    <w:abstractNumId w:val="11"/>
  </w:num>
  <w:num w:numId="15" w16cid:durableId="512689193">
    <w:abstractNumId w:val="32"/>
  </w:num>
  <w:num w:numId="16" w16cid:durableId="238180676">
    <w:abstractNumId w:val="21"/>
  </w:num>
  <w:num w:numId="17" w16cid:durableId="1820459469">
    <w:abstractNumId w:val="1"/>
  </w:num>
  <w:num w:numId="18" w16cid:durableId="1523932775">
    <w:abstractNumId w:val="30"/>
  </w:num>
  <w:num w:numId="19" w16cid:durableId="14786919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6517488">
    <w:abstractNumId w:val="8"/>
  </w:num>
  <w:num w:numId="21" w16cid:durableId="516190430">
    <w:abstractNumId w:val="28"/>
  </w:num>
  <w:num w:numId="22" w16cid:durableId="915671806">
    <w:abstractNumId w:val="3"/>
  </w:num>
  <w:num w:numId="23" w16cid:durableId="1221406628">
    <w:abstractNumId w:val="34"/>
  </w:num>
  <w:num w:numId="24" w16cid:durableId="1924142360">
    <w:abstractNumId w:val="33"/>
  </w:num>
  <w:num w:numId="25" w16cid:durableId="92016585">
    <w:abstractNumId w:val="5"/>
  </w:num>
  <w:num w:numId="26" w16cid:durableId="1222403480">
    <w:abstractNumId w:val="2"/>
  </w:num>
  <w:num w:numId="27" w16cid:durableId="1937471345">
    <w:abstractNumId w:val="7"/>
  </w:num>
  <w:num w:numId="28" w16cid:durableId="2057964891">
    <w:abstractNumId w:val="6"/>
  </w:num>
  <w:num w:numId="29" w16cid:durableId="622734750">
    <w:abstractNumId w:val="24"/>
  </w:num>
  <w:num w:numId="30" w16cid:durableId="847910036">
    <w:abstractNumId w:val="9"/>
  </w:num>
  <w:num w:numId="31" w16cid:durableId="1262492339">
    <w:abstractNumId w:val="0"/>
  </w:num>
  <w:num w:numId="32" w16cid:durableId="6371633">
    <w:abstractNumId w:val="17"/>
  </w:num>
  <w:num w:numId="33" w16cid:durableId="2140342420">
    <w:abstractNumId w:val="27"/>
  </w:num>
  <w:num w:numId="34" w16cid:durableId="2092893069">
    <w:abstractNumId w:val="4"/>
  </w:num>
  <w:num w:numId="35" w16cid:durableId="2088795055">
    <w:abstractNumId w:val="36"/>
  </w:num>
  <w:num w:numId="36" w16cid:durableId="1390112092">
    <w:abstractNumId w:val="20"/>
  </w:num>
  <w:num w:numId="37" w16cid:durableId="530073255">
    <w:abstractNumId w:val="35"/>
  </w:num>
  <w:num w:numId="38" w16cid:durableId="208255744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2"/>
    <w:rsid w:val="0000345E"/>
    <w:rsid w:val="00004C7F"/>
    <w:rsid w:val="00005D4B"/>
    <w:rsid w:val="00006A51"/>
    <w:rsid w:val="00007474"/>
    <w:rsid w:val="00010DB0"/>
    <w:rsid w:val="00015F12"/>
    <w:rsid w:val="00016653"/>
    <w:rsid w:val="00016B73"/>
    <w:rsid w:val="00017A5E"/>
    <w:rsid w:val="000220DB"/>
    <w:rsid w:val="000230D2"/>
    <w:rsid w:val="00023EFD"/>
    <w:rsid w:val="000251BD"/>
    <w:rsid w:val="000260D8"/>
    <w:rsid w:val="00026663"/>
    <w:rsid w:val="00027767"/>
    <w:rsid w:val="000310B6"/>
    <w:rsid w:val="000316B2"/>
    <w:rsid w:val="00031D62"/>
    <w:rsid w:val="00032774"/>
    <w:rsid w:val="00033B69"/>
    <w:rsid w:val="000352D3"/>
    <w:rsid w:val="000356A1"/>
    <w:rsid w:val="00035DC0"/>
    <w:rsid w:val="000370A4"/>
    <w:rsid w:val="00037137"/>
    <w:rsid w:val="00037530"/>
    <w:rsid w:val="00041646"/>
    <w:rsid w:val="0004343C"/>
    <w:rsid w:val="000437DE"/>
    <w:rsid w:val="00043EE2"/>
    <w:rsid w:val="000469EA"/>
    <w:rsid w:val="00047F8B"/>
    <w:rsid w:val="000523A3"/>
    <w:rsid w:val="00053708"/>
    <w:rsid w:val="00053AD0"/>
    <w:rsid w:val="00053C0A"/>
    <w:rsid w:val="0005538A"/>
    <w:rsid w:val="00057B98"/>
    <w:rsid w:val="00060C34"/>
    <w:rsid w:val="00060F7E"/>
    <w:rsid w:val="00063047"/>
    <w:rsid w:val="00064C6A"/>
    <w:rsid w:val="000655AC"/>
    <w:rsid w:val="00067DC4"/>
    <w:rsid w:val="00070EF5"/>
    <w:rsid w:val="00071099"/>
    <w:rsid w:val="000716E9"/>
    <w:rsid w:val="00071BD9"/>
    <w:rsid w:val="00072E58"/>
    <w:rsid w:val="00080B23"/>
    <w:rsid w:val="00081F3D"/>
    <w:rsid w:val="000836AE"/>
    <w:rsid w:val="0008543D"/>
    <w:rsid w:val="00085962"/>
    <w:rsid w:val="00086470"/>
    <w:rsid w:val="000873B4"/>
    <w:rsid w:val="00090FB7"/>
    <w:rsid w:val="00091FA5"/>
    <w:rsid w:val="00092441"/>
    <w:rsid w:val="000934DC"/>
    <w:rsid w:val="00093A72"/>
    <w:rsid w:val="00093F41"/>
    <w:rsid w:val="00094804"/>
    <w:rsid w:val="000A0AD3"/>
    <w:rsid w:val="000A181C"/>
    <w:rsid w:val="000A200B"/>
    <w:rsid w:val="000A278E"/>
    <w:rsid w:val="000A2FA7"/>
    <w:rsid w:val="000A355D"/>
    <w:rsid w:val="000A41DA"/>
    <w:rsid w:val="000A41E9"/>
    <w:rsid w:val="000A48D3"/>
    <w:rsid w:val="000A4D87"/>
    <w:rsid w:val="000A5601"/>
    <w:rsid w:val="000A6845"/>
    <w:rsid w:val="000A6883"/>
    <w:rsid w:val="000A6D92"/>
    <w:rsid w:val="000B0226"/>
    <w:rsid w:val="000B1D20"/>
    <w:rsid w:val="000B2691"/>
    <w:rsid w:val="000B2912"/>
    <w:rsid w:val="000B4182"/>
    <w:rsid w:val="000B41AF"/>
    <w:rsid w:val="000B5979"/>
    <w:rsid w:val="000B5DC4"/>
    <w:rsid w:val="000B7566"/>
    <w:rsid w:val="000C1ED9"/>
    <w:rsid w:val="000C247F"/>
    <w:rsid w:val="000C327A"/>
    <w:rsid w:val="000C35AB"/>
    <w:rsid w:val="000C5BF6"/>
    <w:rsid w:val="000C68C8"/>
    <w:rsid w:val="000C6A3D"/>
    <w:rsid w:val="000C702B"/>
    <w:rsid w:val="000C7E14"/>
    <w:rsid w:val="000D0A51"/>
    <w:rsid w:val="000D0F4D"/>
    <w:rsid w:val="000D4B53"/>
    <w:rsid w:val="000D5D7F"/>
    <w:rsid w:val="000D6646"/>
    <w:rsid w:val="000D713D"/>
    <w:rsid w:val="000D7761"/>
    <w:rsid w:val="000E0AB5"/>
    <w:rsid w:val="000E16AC"/>
    <w:rsid w:val="000E1DE5"/>
    <w:rsid w:val="000E55C2"/>
    <w:rsid w:val="000E5DB7"/>
    <w:rsid w:val="000E773D"/>
    <w:rsid w:val="000F0C59"/>
    <w:rsid w:val="000F2CE1"/>
    <w:rsid w:val="000F461B"/>
    <w:rsid w:val="000F7C21"/>
    <w:rsid w:val="001000EB"/>
    <w:rsid w:val="00102D8D"/>
    <w:rsid w:val="00103084"/>
    <w:rsid w:val="00103373"/>
    <w:rsid w:val="00103C03"/>
    <w:rsid w:val="001042A2"/>
    <w:rsid w:val="00104BE7"/>
    <w:rsid w:val="00105499"/>
    <w:rsid w:val="001058C5"/>
    <w:rsid w:val="00105F8D"/>
    <w:rsid w:val="00107679"/>
    <w:rsid w:val="001106BB"/>
    <w:rsid w:val="00111994"/>
    <w:rsid w:val="00113D22"/>
    <w:rsid w:val="00114003"/>
    <w:rsid w:val="00114BC5"/>
    <w:rsid w:val="0011743A"/>
    <w:rsid w:val="00117A9D"/>
    <w:rsid w:val="00117E5E"/>
    <w:rsid w:val="00117F19"/>
    <w:rsid w:val="001212AD"/>
    <w:rsid w:val="001215D6"/>
    <w:rsid w:val="00123A17"/>
    <w:rsid w:val="00123D1E"/>
    <w:rsid w:val="0012779D"/>
    <w:rsid w:val="00130C0B"/>
    <w:rsid w:val="00130CAC"/>
    <w:rsid w:val="00132D5C"/>
    <w:rsid w:val="00133E4A"/>
    <w:rsid w:val="00134190"/>
    <w:rsid w:val="00134D74"/>
    <w:rsid w:val="001362D8"/>
    <w:rsid w:val="00136A8E"/>
    <w:rsid w:val="00140794"/>
    <w:rsid w:val="00144C7E"/>
    <w:rsid w:val="00144D1C"/>
    <w:rsid w:val="00151F71"/>
    <w:rsid w:val="00152D3A"/>
    <w:rsid w:val="001536A5"/>
    <w:rsid w:val="0015509A"/>
    <w:rsid w:val="001566EF"/>
    <w:rsid w:val="00157660"/>
    <w:rsid w:val="00160068"/>
    <w:rsid w:val="00162323"/>
    <w:rsid w:val="00163C67"/>
    <w:rsid w:val="001657BB"/>
    <w:rsid w:val="001705F7"/>
    <w:rsid w:val="00171198"/>
    <w:rsid w:val="00171378"/>
    <w:rsid w:val="00171BC6"/>
    <w:rsid w:val="00173A3F"/>
    <w:rsid w:val="00176257"/>
    <w:rsid w:val="0017660C"/>
    <w:rsid w:val="00177722"/>
    <w:rsid w:val="00181499"/>
    <w:rsid w:val="00182281"/>
    <w:rsid w:val="001858FD"/>
    <w:rsid w:val="00185F80"/>
    <w:rsid w:val="001872B1"/>
    <w:rsid w:val="00191468"/>
    <w:rsid w:val="001930E5"/>
    <w:rsid w:val="0019363F"/>
    <w:rsid w:val="00195F0E"/>
    <w:rsid w:val="001973E4"/>
    <w:rsid w:val="001A161B"/>
    <w:rsid w:val="001A18FF"/>
    <w:rsid w:val="001A1F7D"/>
    <w:rsid w:val="001A673A"/>
    <w:rsid w:val="001A6942"/>
    <w:rsid w:val="001A6B7E"/>
    <w:rsid w:val="001A7006"/>
    <w:rsid w:val="001A7FCF"/>
    <w:rsid w:val="001B065B"/>
    <w:rsid w:val="001B168C"/>
    <w:rsid w:val="001B3B5C"/>
    <w:rsid w:val="001B4EFD"/>
    <w:rsid w:val="001B5D01"/>
    <w:rsid w:val="001C0EDE"/>
    <w:rsid w:val="001C1DA8"/>
    <w:rsid w:val="001C58B3"/>
    <w:rsid w:val="001C6E7D"/>
    <w:rsid w:val="001C7F58"/>
    <w:rsid w:val="001D3B84"/>
    <w:rsid w:val="001D4243"/>
    <w:rsid w:val="001D42A6"/>
    <w:rsid w:val="001D5E03"/>
    <w:rsid w:val="001E30A6"/>
    <w:rsid w:val="001E47FB"/>
    <w:rsid w:val="001E5463"/>
    <w:rsid w:val="001E6095"/>
    <w:rsid w:val="001E772B"/>
    <w:rsid w:val="001F1242"/>
    <w:rsid w:val="001F3A9B"/>
    <w:rsid w:val="001F3E1E"/>
    <w:rsid w:val="001F5801"/>
    <w:rsid w:val="00200A7B"/>
    <w:rsid w:val="00201360"/>
    <w:rsid w:val="00201897"/>
    <w:rsid w:val="0020222B"/>
    <w:rsid w:val="0020276A"/>
    <w:rsid w:val="00203834"/>
    <w:rsid w:val="002038DF"/>
    <w:rsid w:val="00205037"/>
    <w:rsid w:val="002050C4"/>
    <w:rsid w:val="00205A3D"/>
    <w:rsid w:val="00206EFE"/>
    <w:rsid w:val="00207033"/>
    <w:rsid w:val="0021132C"/>
    <w:rsid w:val="0021339A"/>
    <w:rsid w:val="002139CD"/>
    <w:rsid w:val="00216AC3"/>
    <w:rsid w:val="00216CAD"/>
    <w:rsid w:val="00216E4A"/>
    <w:rsid w:val="00217F88"/>
    <w:rsid w:val="00222415"/>
    <w:rsid w:val="00222A40"/>
    <w:rsid w:val="0022651E"/>
    <w:rsid w:val="0023167B"/>
    <w:rsid w:val="00231AE9"/>
    <w:rsid w:val="0023299A"/>
    <w:rsid w:val="0023479A"/>
    <w:rsid w:val="00236DF6"/>
    <w:rsid w:val="00237CA8"/>
    <w:rsid w:val="0024099B"/>
    <w:rsid w:val="00243BA1"/>
    <w:rsid w:val="002458B8"/>
    <w:rsid w:val="00246600"/>
    <w:rsid w:val="00246C8A"/>
    <w:rsid w:val="00252CBD"/>
    <w:rsid w:val="002545D8"/>
    <w:rsid w:val="00254B8A"/>
    <w:rsid w:val="00255469"/>
    <w:rsid w:val="00255497"/>
    <w:rsid w:val="00262034"/>
    <w:rsid w:val="0026369E"/>
    <w:rsid w:val="00263A02"/>
    <w:rsid w:val="00263F7B"/>
    <w:rsid w:val="00265ABD"/>
    <w:rsid w:val="00270287"/>
    <w:rsid w:val="00270DEC"/>
    <w:rsid w:val="002730DE"/>
    <w:rsid w:val="002741EC"/>
    <w:rsid w:val="00276424"/>
    <w:rsid w:val="002808C0"/>
    <w:rsid w:val="00280D65"/>
    <w:rsid w:val="00280E17"/>
    <w:rsid w:val="002813FA"/>
    <w:rsid w:val="00281FD3"/>
    <w:rsid w:val="00281FED"/>
    <w:rsid w:val="00282B9C"/>
    <w:rsid w:val="00282EDF"/>
    <w:rsid w:val="00283E8B"/>
    <w:rsid w:val="00285701"/>
    <w:rsid w:val="00285FEA"/>
    <w:rsid w:val="00286F55"/>
    <w:rsid w:val="002902AE"/>
    <w:rsid w:val="00290887"/>
    <w:rsid w:val="002928AF"/>
    <w:rsid w:val="0029373B"/>
    <w:rsid w:val="0029473E"/>
    <w:rsid w:val="002955C9"/>
    <w:rsid w:val="00295634"/>
    <w:rsid w:val="0029566A"/>
    <w:rsid w:val="00295C41"/>
    <w:rsid w:val="0029649A"/>
    <w:rsid w:val="00296A2A"/>
    <w:rsid w:val="002975CC"/>
    <w:rsid w:val="00297B7C"/>
    <w:rsid w:val="00297DBF"/>
    <w:rsid w:val="002A013F"/>
    <w:rsid w:val="002A0D94"/>
    <w:rsid w:val="002A1263"/>
    <w:rsid w:val="002A129F"/>
    <w:rsid w:val="002A15E1"/>
    <w:rsid w:val="002A2A16"/>
    <w:rsid w:val="002A403D"/>
    <w:rsid w:val="002A52A8"/>
    <w:rsid w:val="002A53BC"/>
    <w:rsid w:val="002A697A"/>
    <w:rsid w:val="002A6A54"/>
    <w:rsid w:val="002B0246"/>
    <w:rsid w:val="002B0452"/>
    <w:rsid w:val="002B0913"/>
    <w:rsid w:val="002B4B7D"/>
    <w:rsid w:val="002B694E"/>
    <w:rsid w:val="002B6E83"/>
    <w:rsid w:val="002B7659"/>
    <w:rsid w:val="002C0639"/>
    <w:rsid w:val="002C0ECF"/>
    <w:rsid w:val="002C32B9"/>
    <w:rsid w:val="002C3FBA"/>
    <w:rsid w:val="002C4185"/>
    <w:rsid w:val="002C4311"/>
    <w:rsid w:val="002C4776"/>
    <w:rsid w:val="002C5E65"/>
    <w:rsid w:val="002C6035"/>
    <w:rsid w:val="002C6D49"/>
    <w:rsid w:val="002D03CC"/>
    <w:rsid w:val="002D0E49"/>
    <w:rsid w:val="002D590A"/>
    <w:rsid w:val="002D5E7A"/>
    <w:rsid w:val="002D6D2A"/>
    <w:rsid w:val="002E151A"/>
    <w:rsid w:val="002E2F03"/>
    <w:rsid w:val="002E32ED"/>
    <w:rsid w:val="002E3A7B"/>
    <w:rsid w:val="002E579F"/>
    <w:rsid w:val="002E60C5"/>
    <w:rsid w:val="002E6F9F"/>
    <w:rsid w:val="002F1C5C"/>
    <w:rsid w:val="002F4BDE"/>
    <w:rsid w:val="002F7188"/>
    <w:rsid w:val="002F7626"/>
    <w:rsid w:val="002F7C39"/>
    <w:rsid w:val="002F7E78"/>
    <w:rsid w:val="003000D7"/>
    <w:rsid w:val="003006B7"/>
    <w:rsid w:val="0030223A"/>
    <w:rsid w:val="003045F4"/>
    <w:rsid w:val="0030553A"/>
    <w:rsid w:val="00306464"/>
    <w:rsid w:val="00306956"/>
    <w:rsid w:val="00310D10"/>
    <w:rsid w:val="003113EF"/>
    <w:rsid w:val="00312122"/>
    <w:rsid w:val="00313172"/>
    <w:rsid w:val="003132B3"/>
    <w:rsid w:val="00313DD0"/>
    <w:rsid w:val="003141E6"/>
    <w:rsid w:val="003150F0"/>
    <w:rsid w:val="00317B62"/>
    <w:rsid w:val="00321161"/>
    <w:rsid w:val="0032124D"/>
    <w:rsid w:val="0032157B"/>
    <w:rsid w:val="00321A64"/>
    <w:rsid w:val="0032406F"/>
    <w:rsid w:val="00327352"/>
    <w:rsid w:val="0032776A"/>
    <w:rsid w:val="00330CEB"/>
    <w:rsid w:val="00334783"/>
    <w:rsid w:val="003348E7"/>
    <w:rsid w:val="00335ABB"/>
    <w:rsid w:val="00335B51"/>
    <w:rsid w:val="00336BAE"/>
    <w:rsid w:val="00341409"/>
    <w:rsid w:val="00341ED5"/>
    <w:rsid w:val="0034328E"/>
    <w:rsid w:val="00343E82"/>
    <w:rsid w:val="0034457E"/>
    <w:rsid w:val="00344AFD"/>
    <w:rsid w:val="00344D41"/>
    <w:rsid w:val="0034779B"/>
    <w:rsid w:val="003478B7"/>
    <w:rsid w:val="0035085F"/>
    <w:rsid w:val="00350C99"/>
    <w:rsid w:val="00351FE8"/>
    <w:rsid w:val="00352B66"/>
    <w:rsid w:val="00352FB2"/>
    <w:rsid w:val="00353A01"/>
    <w:rsid w:val="00353A97"/>
    <w:rsid w:val="003553D3"/>
    <w:rsid w:val="0035557E"/>
    <w:rsid w:val="0035624A"/>
    <w:rsid w:val="00356624"/>
    <w:rsid w:val="0036009B"/>
    <w:rsid w:val="00361EC3"/>
    <w:rsid w:val="0036297F"/>
    <w:rsid w:val="00363341"/>
    <w:rsid w:val="0036559D"/>
    <w:rsid w:val="003666A5"/>
    <w:rsid w:val="003667ED"/>
    <w:rsid w:val="00366913"/>
    <w:rsid w:val="00372600"/>
    <w:rsid w:val="00374143"/>
    <w:rsid w:val="00374331"/>
    <w:rsid w:val="00377098"/>
    <w:rsid w:val="00377E70"/>
    <w:rsid w:val="003812A7"/>
    <w:rsid w:val="003819E1"/>
    <w:rsid w:val="003830DC"/>
    <w:rsid w:val="00383A65"/>
    <w:rsid w:val="00385254"/>
    <w:rsid w:val="00385C11"/>
    <w:rsid w:val="00387CA1"/>
    <w:rsid w:val="00392586"/>
    <w:rsid w:val="00392F8A"/>
    <w:rsid w:val="00394038"/>
    <w:rsid w:val="00394750"/>
    <w:rsid w:val="003A1030"/>
    <w:rsid w:val="003A2366"/>
    <w:rsid w:val="003A4B84"/>
    <w:rsid w:val="003A6765"/>
    <w:rsid w:val="003B026B"/>
    <w:rsid w:val="003B2DA8"/>
    <w:rsid w:val="003B2E98"/>
    <w:rsid w:val="003B47ED"/>
    <w:rsid w:val="003C03A2"/>
    <w:rsid w:val="003C0EB9"/>
    <w:rsid w:val="003C2D3D"/>
    <w:rsid w:val="003C4009"/>
    <w:rsid w:val="003C474A"/>
    <w:rsid w:val="003C5297"/>
    <w:rsid w:val="003C55F1"/>
    <w:rsid w:val="003C5DBE"/>
    <w:rsid w:val="003C6CB8"/>
    <w:rsid w:val="003D14F8"/>
    <w:rsid w:val="003D69DD"/>
    <w:rsid w:val="003D7AEB"/>
    <w:rsid w:val="003E38F8"/>
    <w:rsid w:val="003E39CB"/>
    <w:rsid w:val="003E42E3"/>
    <w:rsid w:val="003E57D3"/>
    <w:rsid w:val="003F3135"/>
    <w:rsid w:val="003F3E86"/>
    <w:rsid w:val="003F7214"/>
    <w:rsid w:val="004001ED"/>
    <w:rsid w:val="00400A84"/>
    <w:rsid w:val="004010F5"/>
    <w:rsid w:val="00402D31"/>
    <w:rsid w:val="0040347B"/>
    <w:rsid w:val="004039AD"/>
    <w:rsid w:val="00404136"/>
    <w:rsid w:val="00405D58"/>
    <w:rsid w:val="00405DD1"/>
    <w:rsid w:val="00407F4C"/>
    <w:rsid w:val="004106B9"/>
    <w:rsid w:val="00410A43"/>
    <w:rsid w:val="00410CB4"/>
    <w:rsid w:val="0041339E"/>
    <w:rsid w:val="00413A92"/>
    <w:rsid w:val="0041429A"/>
    <w:rsid w:val="0041431E"/>
    <w:rsid w:val="00414E0B"/>
    <w:rsid w:val="00415E20"/>
    <w:rsid w:val="00415FB8"/>
    <w:rsid w:val="00415FDB"/>
    <w:rsid w:val="00416596"/>
    <w:rsid w:val="004167F0"/>
    <w:rsid w:val="0042375E"/>
    <w:rsid w:val="00423E12"/>
    <w:rsid w:val="00424243"/>
    <w:rsid w:val="00424E0D"/>
    <w:rsid w:val="004264A6"/>
    <w:rsid w:val="004301D0"/>
    <w:rsid w:val="004306F3"/>
    <w:rsid w:val="00430892"/>
    <w:rsid w:val="0043352E"/>
    <w:rsid w:val="00434495"/>
    <w:rsid w:val="00436151"/>
    <w:rsid w:val="00436B70"/>
    <w:rsid w:val="00437B22"/>
    <w:rsid w:val="004407FA"/>
    <w:rsid w:val="00441CE5"/>
    <w:rsid w:val="00441E82"/>
    <w:rsid w:val="00442482"/>
    <w:rsid w:val="00443F68"/>
    <w:rsid w:val="00443FAC"/>
    <w:rsid w:val="0044637E"/>
    <w:rsid w:val="00446A55"/>
    <w:rsid w:val="00446A5F"/>
    <w:rsid w:val="00446DFC"/>
    <w:rsid w:val="00450BA6"/>
    <w:rsid w:val="00451F4F"/>
    <w:rsid w:val="004524F6"/>
    <w:rsid w:val="004526CF"/>
    <w:rsid w:val="00452B61"/>
    <w:rsid w:val="00455560"/>
    <w:rsid w:val="00457F52"/>
    <w:rsid w:val="0046158A"/>
    <w:rsid w:val="004618D9"/>
    <w:rsid w:val="004629AC"/>
    <w:rsid w:val="00462F63"/>
    <w:rsid w:val="00464CDC"/>
    <w:rsid w:val="00464FD0"/>
    <w:rsid w:val="00465007"/>
    <w:rsid w:val="00465339"/>
    <w:rsid w:val="0046655C"/>
    <w:rsid w:val="004671D6"/>
    <w:rsid w:val="00471985"/>
    <w:rsid w:val="004737A8"/>
    <w:rsid w:val="00475C77"/>
    <w:rsid w:val="00476CFE"/>
    <w:rsid w:val="004771E0"/>
    <w:rsid w:val="00480E62"/>
    <w:rsid w:val="004818F7"/>
    <w:rsid w:val="00481FDC"/>
    <w:rsid w:val="00482C2E"/>
    <w:rsid w:val="00483B78"/>
    <w:rsid w:val="00484222"/>
    <w:rsid w:val="00484FE0"/>
    <w:rsid w:val="0048639A"/>
    <w:rsid w:val="004873FB"/>
    <w:rsid w:val="00487446"/>
    <w:rsid w:val="004875BD"/>
    <w:rsid w:val="00491ECD"/>
    <w:rsid w:val="00492928"/>
    <w:rsid w:val="0049580C"/>
    <w:rsid w:val="00495E33"/>
    <w:rsid w:val="004A508F"/>
    <w:rsid w:val="004A5C09"/>
    <w:rsid w:val="004A642E"/>
    <w:rsid w:val="004A6CC4"/>
    <w:rsid w:val="004A74CC"/>
    <w:rsid w:val="004B0717"/>
    <w:rsid w:val="004B119B"/>
    <w:rsid w:val="004B34EA"/>
    <w:rsid w:val="004B4898"/>
    <w:rsid w:val="004B53D9"/>
    <w:rsid w:val="004B616B"/>
    <w:rsid w:val="004B72ED"/>
    <w:rsid w:val="004B7C5D"/>
    <w:rsid w:val="004C0C1F"/>
    <w:rsid w:val="004C5B49"/>
    <w:rsid w:val="004D0000"/>
    <w:rsid w:val="004D0D12"/>
    <w:rsid w:val="004D16D3"/>
    <w:rsid w:val="004D2EE1"/>
    <w:rsid w:val="004D424F"/>
    <w:rsid w:val="004D47EA"/>
    <w:rsid w:val="004D5B5F"/>
    <w:rsid w:val="004E0C95"/>
    <w:rsid w:val="004E1309"/>
    <w:rsid w:val="004E1F41"/>
    <w:rsid w:val="004E2438"/>
    <w:rsid w:val="004E2AA2"/>
    <w:rsid w:val="004E36CB"/>
    <w:rsid w:val="004E39F8"/>
    <w:rsid w:val="004E419B"/>
    <w:rsid w:val="004E5809"/>
    <w:rsid w:val="004E696A"/>
    <w:rsid w:val="004E79F9"/>
    <w:rsid w:val="004E7C27"/>
    <w:rsid w:val="004F01B5"/>
    <w:rsid w:val="004F1894"/>
    <w:rsid w:val="004F3EAF"/>
    <w:rsid w:val="004F7210"/>
    <w:rsid w:val="00501B78"/>
    <w:rsid w:val="00502070"/>
    <w:rsid w:val="00503E36"/>
    <w:rsid w:val="005047DD"/>
    <w:rsid w:val="0050606B"/>
    <w:rsid w:val="005103E9"/>
    <w:rsid w:val="005113DC"/>
    <w:rsid w:val="00511E81"/>
    <w:rsid w:val="00516080"/>
    <w:rsid w:val="00517027"/>
    <w:rsid w:val="0051720D"/>
    <w:rsid w:val="00517F7D"/>
    <w:rsid w:val="005304D1"/>
    <w:rsid w:val="00530740"/>
    <w:rsid w:val="0053084E"/>
    <w:rsid w:val="00530D9D"/>
    <w:rsid w:val="0053551E"/>
    <w:rsid w:val="005404B4"/>
    <w:rsid w:val="00541200"/>
    <w:rsid w:val="00541A26"/>
    <w:rsid w:val="00542A26"/>
    <w:rsid w:val="00542F8F"/>
    <w:rsid w:val="00542FBC"/>
    <w:rsid w:val="0054310E"/>
    <w:rsid w:val="00543758"/>
    <w:rsid w:val="00545CE8"/>
    <w:rsid w:val="00546279"/>
    <w:rsid w:val="00550775"/>
    <w:rsid w:val="005543A1"/>
    <w:rsid w:val="00554E6F"/>
    <w:rsid w:val="00554EE0"/>
    <w:rsid w:val="0055579A"/>
    <w:rsid w:val="0055611A"/>
    <w:rsid w:val="0055795E"/>
    <w:rsid w:val="0056065B"/>
    <w:rsid w:val="0056092E"/>
    <w:rsid w:val="00561C3D"/>
    <w:rsid w:val="00562145"/>
    <w:rsid w:val="00562155"/>
    <w:rsid w:val="005626B4"/>
    <w:rsid w:val="005628CE"/>
    <w:rsid w:val="005631BF"/>
    <w:rsid w:val="00563448"/>
    <w:rsid w:val="00564A33"/>
    <w:rsid w:val="00565BF0"/>
    <w:rsid w:val="00566CBA"/>
    <w:rsid w:val="00566E0B"/>
    <w:rsid w:val="00572D1B"/>
    <w:rsid w:val="00572E3A"/>
    <w:rsid w:val="005736CA"/>
    <w:rsid w:val="00574CB3"/>
    <w:rsid w:val="005753CA"/>
    <w:rsid w:val="00577616"/>
    <w:rsid w:val="005806CA"/>
    <w:rsid w:val="00580825"/>
    <w:rsid w:val="005815F3"/>
    <w:rsid w:val="005822A8"/>
    <w:rsid w:val="0058495E"/>
    <w:rsid w:val="00584B0F"/>
    <w:rsid w:val="00585E07"/>
    <w:rsid w:val="00591832"/>
    <w:rsid w:val="00594BAB"/>
    <w:rsid w:val="005950D8"/>
    <w:rsid w:val="0059582E"/>
    <w:rsid w:val="00596C43"/>
    <w:rsid w:val="00597972"/>
    <w:rsid w:val="00597BDE"/>
    <w:rsid w:val="005A0055"/>
    <w:rsid w:val="005A0491"/>
    <w:rsid w:val="005B0728"/>
    <w:rsid w:val="005B20BF"/>
    <w:rsid w:val="005B3E54"/>
    <w:rsid w:val="005B6D8A"/>
    <w:rsid w:val="005B7174"/>
    <w:rsid w:val="005C0301"/>
    <w:rsid w:val="005C141D"/>
    <w:rsid w:val="005C16B4"/>
    <w:rsid w:val="005C1953"/>
    <w:rsid w:val="005C3779"/>
    <w:rsid w:val="005C3D84"/>
    <w:rsid w:val="005C3DFE"/>
    <w:rsid w:val="005C5929"/>
    <w:rsid w:val="005C789B"/>
    <w:rsid w:val="005C7FAA"/>
    <w:rsid w:val="005D0B8D"/>
    <w:rsid w:val="005D11F1"/>
    <w:rsid w:val="005D1E9E"/>
    <w:rsid w:val="005D30B6"/>
    <w:rsid w:val="005D5655"/>
    <w:rsid w:val="005D5DB0"/>
    <w:rsid w:val="005D6299"/>
    <w:rsid w:val="005E050F"/>
    <w:rsid w:val="005E20C2"/>
    <w:rsid w:val="005E481A"/>
    <w:rsid w:val="005E651F"/>
    <w:rsid w:val="005F0665"/>
    <w:rsid w:val="005F0AB5"/>
    <w:rsid w:val="005F2D29"/>
    <w:rsid w:val="005F554E"/>
    <w:rsid w:val="005F5925"/>
    <w:rsid w:val="005F6B31"/>
    <w:rsid w:val="005F6B5E"/>
    <w:rsid w:val="006006CD"/>
    <w:rsid w:val="006013D5"/>
    <w:rsid w:val="00611ABD"/>
    <w:rsid w:val="00611C9F"/>
    <w:rsid w:val="0061409C"/>
    <w:rsid w:val="0061514A"/>
    <w:rsid w:val="00615B8B"/>
    <w:rsid w:val="00616B7B"/>
    <w:rsid w:val="006175AE"/>
    <w:rsid w:val="00627012"/>
    <w:rsid w:val="00632147"/>
    <w:rsid w:val="00632DFC"/>
    <w:rsid w:val="006332C6"/>
    <w:rsid w:val="00633A27"/>
    <w:rsid w:val="00633D7E"/>
    <w:rsid w:val="00635774"/>
    <w:rsid w:val="006360C6"/>
    <w:rsid w:val="00636CE6"/>
    <w:rsid w:val="0064715C"/>
    <w:rsid w:val="006472A3"/>
    <w:rsid w:val="00647D4D"/>
    <w:rsid w:val="00650B1D"/>
    <w:rsid w:val="00650CA9"/>
    <w:rsid w:val="00651036"/>
    <w:rsid w:val="00652901"/>
    <w:rsid w:val="00652C9D"/>
    <w:rsid w:val="00654D07"/>
    <w:rsid w:val="00656AB7"/>
    <w:rsid w:val="00656AF2"/>
    <w:rsid w:val="00660293"/>
    <w:rsid w:val="006628E8"/>
    <w:rsid w:val="00664213"/>
    <w:rsid w:val="006644BE"/>
    <w:rsid w:val="00666542"/>
    <w:rsid w:val="0066721E"/>
    <w:rsid w:val="00671012"/>
    <w:rsid w:val="00672DE9"/>
    <w:rsid w:val="00675CE5"/>
    <w:rsid w:val="006767C4"/>
    <w:rsid w:val="00680873"/>
    <w:rsid w:val="00680A10"/>
    <w:rsid w:val="00681489"/>
    <w:rsid w:val="00683295"/>
    <w:rsid w:val="006834B0"/>
    <w:rsid w:val="006844B2"/>
    <w:rsid w:val="00685162"/>
    <w:rsid w:val="00685F37"/>
    <w:rsid w:val="006869E1"/>
    <w:rsid w:val="00687496"/>
    <w:rsid w:val="0068756B"/>
    <w:rsid w:val="006901A0"/>
    <w:rsid w:val="00690806"/>
    <w:rsid w:val="00690E43"/>
    <w:rsid w:val="00691616"/>
    <w:rsid w:val="0069209A"/>
    <w:rsid w:val="00692BA6"/>
    <w:rsid w:val="00694D20"/>
    <w:rsid w:val="006950E4"/>
    <w:rsid w:val="00695C7D"/>
    <w:rsid w:val="00695EC3"/>
    <w:rsid w:val="00697AC1"/>
    <w:rsid w:val="00697AED"/>
    <w:rsid w:val="006A0B81"/>
    <w:rsid w:val="006A0F0A"/>
    <w:rsid w:val="006A2735"/>
    <w:rsid w:val="006A3579"/>
    <w:rsid w:val="006A369E"/>
    <w:rsid w:val="006A3A96"/>
    <w:rsid w:val="006A6B84"/>
    <w:rsid w:val="006A7EA4"/>
    <w:rsid w:val="006B026B"/>
    <w:rsid w:val="006B6E1C"/>
    <w:rsid w:val="006C04F0"/>
    <w:rsid w:val="006C26B7"/>
    <w:rsid w:val="006C2E8B"/>
    <w:rsid w:val="006C4903"/>
    <w:rsid w:val="006C4DDD"/>
    <w:rsid w:val="006C5CD3"/>
    <w:rsid w:val="006D1102"/>
    <w:rsid w:val="006D1DEA"/>
    <w:rsid w:val="006D1EC6"/>
    <w:rsid w:val="006D2817"/>
    <w:rsid w:val="006D333A"/>
    <w:rsid w:val="006D3792"/>
    <w:rsid w:val="006D48AF"/>
    <w:rsid w:val="006D5643"/>
    <w:rsid w:val="006D6241"/>
    <w:rsid w:val="006E0060"/>
    <w:rsid w:val="006E05E1"/>
    <w:rsid w:val="006E1AAF"/>
    <w:rsid w:val="006E3068"/>
    <w:rsid w:val="006E48E3"/>
    <w:rsid w:val="006F161E"/>
    <w:rsid w:val="006F1894"/>
    <w:rsid w:val="006F1DE8"/>
    <w:rsid w:val="006F26E4"/>
    <w:rsid w:val="006F4AF2"/>
    <w:rsid w:val="006F4B5D"/>
    <w:rsid w:val="006F6E40"/>
    <w:rsid w:val="00700946"/>
    <w:rsid w:val="00700B6E"/>
    <w:rsid w:val="00700E68"/>
    <w:rsid w:val="007020F2"/>
    <w:rsid w:val="0070491B"/>
    <w:rsid w:val="00704DDF"/>
    <w:rsid w:val="0070516C"/>
    <w:rsid w:val="007077A6"/>
    <w:rsid w:val="007102F1"/>
    <w:rsid w:val="00710745"/>
    <w:rsid w:val="00710FD5"/>
    <w:rsid w:val="00712590"/>
    <w:rsid w:val="00712EE1"/>
    <w:rsid w:val="0071338C"/>
    <w:rsid w:val="007135CE"/>
    <w:rsid w:val="007208EE"/>
    <w:rsid w:val="00722283"/>
    <w:rsid w:val="007227B9"/>
    <w:rsid w:val="0072392C"/>
    <w:rsid w:val="00724171"/>
    <w:rsid w:val="00725763"/>
    <w:rsid w:val="00725FFD"/>
    <w:rsid w:val="00727798"/>
    <w:rsid w:val="00731358"/>
    <w:rsid w:val="00733335"/>
    <w:rsid w:val="00733772"/>
    <w:rsid w:val="00736FA9"/>
    <w:rsid w:val="00741753"/>
    <w:rsid w:val="00742BB3"/>
    <w:rsid w:val="00743AB5"/>
    <w:rsid w:val="00746997"/>
    <w:rsid w:val="007472FB"/>
    <w:rsid w:val="0074740F"/>
    <w:rsid w:val="00747906"/>
    <w:rsid w:val="00747D51"/>
    <w:rsid w:val="00750E9B"/>
    <w:rsid w:val="0075160F"/>
    <w:rsid w:val="0075171D"/>
    <w:rsid w:val="007517FA"/>
    <w:rsid w:val="00752A4E"/>
    <w:rsid w:val="007532DA"/>
    <w:rsid w:val="00753C89"/>
    <w:rsid w:val="00753E27"/>
    <w:rsid w:val="00754A6F"/>
    <w:rsid w:val="00755AA9"/>
    <w:rsid w:val="007560F8"/>
    <w:rsid w:val="0076151F"/>
    <w:rsid w:val="00765F81"/>
    <w:rsid w:val="00766C9C"/>
    <w:rsid w:val="00766FC4"/>
    <w:rsid w:val="00767C85"/>
    <w:rsid w:val="00770D30"/>
    <w:rsid w:val="007721D3"/>
    <w:rsid w:val="00772B96"/>
    <w:rsid w:val="00773355"/>
    <w:rsid w:val="00775F55"/>
    <w:rsid w:val="0077631D"/>
    <w:rsid w:val="007825EA"/>
    <w:rsid w:val="007831A7"/>
    <w:rsid w:val="00783B1E"/>
    <w:rsid w:val="00784F8A"/>
    <w:rsid w:val="00785A61"/>
    <w:rsid w:val="00791772"/>
    <w:rsid w:val="007917F7"/>
    <w:rsid w:val="0079182D"/>
    <w:rsid w:val="00791E76"/>
    <w:rsid w:val="00792C9B"/>
    <w:rsid w:val="00792F9D"/>
    <w:rsid w:val="00793709"/>
    <w:rsid w:val="00796FA8"/>
    <w:rsid w:val="00797775"/>
    <w:rsid w:val="00797E6C"/>
    <w:rsid w:val="007A01F6"/>
    <w:rsid w:val="007A08BD"/>
    <w:rsid w:val="007A1D86"/>
    <w:rsid w:val="007A2ECD"/>
    <w:rsid w:val="007A3E6F"/>
    <w:rsid w:val="007A4B86"/>
    <w:rsid w:val="007B0006"/>
    <w:rsid w:val="007B0145"/>
    <w:rsid w:val="007B07D7"/>
    <w:rsid w:val="007B350F"/>
    <w:rsid w:val="007B3CE7"/>
    <w:rsid w:val="007B4784"/>
    <w:rsid w:val="007B4936"/>
    <w:rsid w:val="007B5944"/>
    <w:rsid w:val="007B626E"/>
    <w:rsid w:val="007B7EE6"/>
    <w:rsid w:val="007C0B3C"/>
    <w:rsid w:val="007C2FFC"/>
    <w:rsid w:val="007C5C84"/>
    <w:rsid w:val="007C78AB"/>
    <w:rsid w:val="007C7E12"/>
    <w:rsid w:val="007D06F1"/>
    <w:rsid w:val="007D09D6"/>
    <w:rsid w:val="007D0A0C"/>
    <w:rsid w:val="007D1FFC"/>
    <w:rsid w:val="007D2F24"/>
    <w:rsid w:val="007D2FDE"/>
    <w:rsid w:val="007D329E"/>
    <w:rsid w:val="007D4C46"/>
    <w:rsid w:val="007D628C"/>
    <w:rsid w:val="007D6926"/>
    <w:rsid w:val="007D6E2D"/>
    <w:rsid w:val="007D70CF"/>
    <w:rsid w:val="007D742F"/>
    <w:rsid w:val="007E2984"/>
    <w:rsid w:val="007E2FFB"/>
    <w:rsid w:val="007E4ECC"/>
    <w:rsid w:val="007E6FA3"/>
    <w:rsid w:val="007E7A89"/>
    <w:rsid w:val="007E7C56"/>
    <w:rsid w:val="007F1424"/>
    <w:rsid w:val="007F2270"/>
    <w:rsid w:val="007F2858"/>
    <w:rsid w:val="007F39BC"/>
    <w:rsid w:val="007F3D31"/>
    <w:rsid w:val="007F50D0"/>
    <w:rsid w:val="007F5210"/>
    <w:rsid w:val="0080033D"/>
    <w:rsid w:val="00801098"/>
    <w:rsid w:val="0080114A"/>
    <w:rsid w:val="0080172E"/>
    <w:rsid w:val="00801D05"/>
    <w:rsid w:val="0080485D"/>
    <w:rsid w:val="00804F47"/>
    <w:rsid w:val="008059E5"/>
    <w:rsid w:val="008077B6"/>
    <w:rsid w:val="0081068E"/>
    <w:rsid w:val="0081072E"/>
    <w:rsid w:val="00812542"/>
    <w:rsid w:val="00812F7E"/>
    <w:rsid w:val="008133FB"/>
    <w:rsid w:val="008156C4"/>
    <w:rsid w:val="00815794"/>
    <w:rsid w:val="0082208C"/>
    <w:rsid w:val="008224DC"/>
    <w:rsid w:val="00823A09"/>
    <w:rsid w:val="008257EB"/>
    <w:rsid w:val="00826273"/>
    <w:rsid w:val="008269EC"/>
    <w:rsid w:val="008320E6"/>
    <w:rsid w:val="00834496"/>
    <w:rsid w:val="008359B5"/>
    <w:rsid w:val="008400BB"/>
    <w:rsid w:val="008403E4"/>
    <w:rsid w:val="008404F5"/>
    <w:rsid w:val="00840F12"/>
    <w:rsid w:val="00842271"/>
    <w:rsid w:val="00843942"/>
    <w:rsid w:val="0084620C"/>
    <w:rsid w:val="0084675C"/>
    <w:rsid w:val="00850D20"/>
    <w:rsid w:val="008516CF"/>
    <w:rsid w:val="00852285"/>
    <w:rsid w:val="00852326"/>
    <w:rsid w:val="00852501"/>
    <w:rsid w:val="00853F6F"/>
    <w:rsid w:val="008553A0"/>
    <w:rsid w:val="00855758"/>
    <w:rsid w:val="00855965"/>
    <w:rsid w:val="00857188"/>
    <w:rsid w:val="00860090"/>
    <w:rsid w:val="00861036"/>
    <w:rsid w:val="00861EEF"/>
    <w:rsid w:val="008629C7"/>
    <w:rsid w:val="00864572"/>
    <w:rsid w:val="008655D6"/>
    <w:rsid w:val="00866674"/>
    <w:rsid w:val="008670B8"/>
    <w:rsid w:val="00871A9E"/>
    <w:rsid w:val="00872EE3"/>
    <w:rsid w:val="00873DEB"/>
    <w:rsid w:val="00874372"/>
    <w:rsid w:val="008758B5"/>
    <w:rsid w:val="0087619D"/>
    <w:rsid w:val="008771F3"/>
    <w:rsid w:val="00881F5D"/>
    <w:rsid w:val="00882078"/>
    <w:rsid w:val="00882C3C"/>
    <w:rsid w:val="008838B1"/>
    <w:rsid w:val="00890A98"/>
    <w:rsid w:val="008925D7"/>
    <w:rsid w:val="0089467A"/>
    <w:rsid w:val="00894D4A"/>
    <w:rsid w:val="0089550C"/>
    <w:rsid w:val="00895DA9"/>
    <w:rsid w:val="0089600B"/>
    <w:rsid w:val="00896C53"/>
    <w:rsid w:val="008972D8"/>
    <w:rsid w:val="008A01D8"/>
    <w:rsid w:val="008A0A2F"/>
    <w:rsid w:val="008A0A69"/>
    <w:rsid w:val="008A0E7B"/>
    <w:rsid w:val="008A1194"/>
    <w:rsid w:val="008A25A5"/>
    <w:rsid w:val="008A2809"/>
    <w:rsid w:val="008A3B8D"/>
    <w:rsid w:val="008A4972"/>
    <w:rsid w:val="008A53EF"/>
    <w:rsid w:val="008A5BCC"/>
    <w:rsid w:val="008A73B1"/>
    <w:rsid w:val="008B0C91"/>
    <w:rsid w:val="008B1171"/>
    <w:rsid w:val="008B1BEE"/>
    <w:rsid w:val="008B5786"/>
    <w:rsid w:val="008B640D"/>
    <w:rsid w:val="008B745A"/>
    <w:rsid w:val="008C0D47"/>
    <w:rsid w:val="008C78D1"/>
    <w:rsid w:val="008C79FB"/>
    <w:rsid w:val="008C7FAD"/>
    <w:rsid w:val="008D244C"/>
    <w:rsid w:val="008D2923"/>
    <w:rsid w:val="008D3C7E"/>
    <w:rsid w:val="008D4836"/>
    <w:rsid w:val="008D5702"/>
    <w:rsid w:val="008D73A3"/>
    <w:rsid w:val="008D75F0"/>
    <w:rsid w:val="008D78A8"/>
    <w:rsid w:val="008E0531"/>
    <w:rsid w:val="008E13F6"/>
    <w:rsid w:val="008E2F44"/>
    <w:rsid w:val="008E3607"/>
    <w:rsid w:val="008E3F2C"/>
    <w:rsid w:val="008E3FF7"/>
    <w:rsid w:val="008E66DE"/>
    <w:rsid w:val="008E7223"/>
    <w:rsid w:val="008E74A7"/>
    <w:rsid w:val="008E7D5F"/>
    <w:rsid w:val="008E7EE3"/>
    <w:rsid w:val="008F210F"/>
    <w:rsid w:val="008F2E5F"/>
    <w:rsid w:val="008F486E"/>
    <w:rsid w:val="008F7206"/>
    <w:rsid w:val="009002EC"/>
    <w:rsid w:val="00900E14"/>
    <w:rsid w:val="0090196F"/>
    <w:rsid w:val="00903237"/>
    <w:rsid w:val="00910E36"/>
    <w:rsid w:val="009152F5"/>
    <w:rsid w:val="009160F2"/>
    <w:rsid w:val="00917593"/>
    <w:rsid w:val="0091760F"/>
    <w:rsid w:val="00920676"/>
    <w:rsid w:val="009208B4"/>
    <w:rsid w:val="0092732F"/>
    <w:rsid w:val="00927776"/>
    <w:rsid w:val="00927A46"/>
    <w:rsid w:val="00930048"/>
    <w:rsid w:val="0093261D"/>
    <w:rsid w:val="0093289F"/>
    <w:rsid w:val="00932ECD"/>
    <w:rsid w:val="00933C2B"/>
    <w:rsid w:val="00934A91"/>
    <w:rsid w:val="00934BFC"/>
    <w:rsid w:val="00935C84"/>
    <w:rsid w:val="00940B7D"/>
    <w:rsid w:val="00942A3B"/>
    <w:rsid w:val="009455CF"/>
    <w:rsid w:val="00945EBE"/>
    <w:rsid w:val="009460EC"/>
    <w:rsid w:val="009466E1"/>
    <w:rsid w:val="00950CEF"/>
    <w:rsid w:val="00951C30"/>
    <w:rsid w:val="00952069"/>
    <w:rsid w:val="0095304B"/>
    <w:rsid w:val="00955EF1"/>
    <w:rsid w:val="00957BF2"/>
    <w:rsid w:val="00960D7B"/>
    <w:rsid w:val="00962ED5"/>
    <w:rsid w:val="00963186"/>
    <w:rsid w:val="009637B2"/>
    <w:rsid w:val="0096783A"/>
    <w:rsid w:val="009679D0"/>
    <w:rsid w:val="0097108F"/>
    <w:rsid w:val="009750C9"/>
    <w:rsid w:val="00977BE6"/>
    <w:rsid w:val="0098067D"/>
    <w:rsid w:val="009806BD"/>
    <w:rsid w:val="009806EB"/>
    <w:rsid w:val="00982A99"/>
    <w:rsid w:val="0098604B"/>
    <w:rsid w:val="00990888"/>
    <w:rsid w:val="00991473"/>
    <w:rsid w:val="00991E81"/>
    <w:rsid w:val="0099337A"/>
    <w:rsid w:val="00993DF3"/>
    <w:rsid w:val="00994792"/>
    <w:rsid w:val="00995950"/>
    <w:rsid w:val="00996CD5"/>
    <w:rsid w:val="009976D1"/>
    <w:rsid w:val="009A0932"/>
    <w:rsid w:val="009A0D3A"/>
    <w:rsid w:val="009A1574"/>
    <w:rsid w:val="009A174B"/>
    <w:rsid w:val="009A20B0"/>
    <w:rsid w:val="009A21E9"/>
    <w:rsid w:val="009A2609"/>
    <w:rsid w:val="009A2836"/>
    <w:rsid w:val="009A2A00"/>
    <w:rsid w:val="009A307B"/>
    <w:rsid w:val="009A3549"/>
    <w:rsid w:val="009A3B8A"/>
    <w:rsid w:val="009A5C0C"/>
    <w:rsid w:val="009B1D93"/>
    <w:rsid w:val="009B2063"/>
    <w:rsid w:val="009B36F6"/>
    <w:rsid w:val="009B47F7"/>
    <w:rsid w:val="009B4998"/>
    <w:rsid w:val="009C03BE"/>
    <w:rsid w:val="009C0E87"/>
    <w:rsid w:val="009C1F0A"/>
    <w:rsid w:val="009C52F2"/>
    <w:rsid w:val="009C5678"/>
    <w:rsid w:val="009C7D22"/>
    <w:rsid w:val="009D0AB8"/>
    <w:rsid w:val="009D1CD9"/>
    <w:rsid w:val="009D3F35"/>
    <w:rsid w:val="009D4137"/>
    <w:rsid w:val="009D528A"/>
    <w:rsid w:val="009D63BF"/>
    <w:rsid w:val="009E2E85"/>
    <w:rsid w:val="009E35E9"/>
    <w:rsid w:val="009E3CA8"/>
    <w:rsid w:val="009E3E69"/>
    <w:rsid w:val="009E4E73"/>
    <w:rsid w:val="009E5725"/>
    <w:rsid w:val="009E5A53"/>
    <w:rsid w:val="009E63E5"/>
    <w:rsid w:val="009E7F6A"/>
    <w:rsid w:val="009F1594"/>
    <w:rsid w:val="009F4030"/>
    <w:rsid w:val="009F47C5"/>
    <w:rsid w:val="009F4B7A"/>
    <w:rsid w:val="009F5FFF"/>
    <w:rsid w:val="009F72E0"/>
    <w:rsid w:val="00A01C13"/>
    <w:rsid w:val="00A06F18"/>
    <w:rsid w:val="00A11D54"/>
    <w:rsid w:val="00A13746"/>
    <w:rsid w:val="00A13927"/>
    <w:rsid w:val="00A14F4B"/>
    <w:rsid w:val="00A1687A"/>
    <w:rsid w:val="00A16D7D"/>
    <w:rsid w:val="00A17AD1"/>
    <w:rsid w:val="00A17B8C"/>
    <w:rsid w:val="00A17F54"/>
    <w:rsid w:val="00A17F6D"/>
    <w:rsid w:val="00A22017"/>
    <w:rsid w:val="00A2225B"/>
    <w:rsid w:val="00A224A2"/>
    <w:rsid w:val="00A2394C"/>
    <w:rsid w:val="00A23FFA"/>
    <w:rsid w:val="00A25336"/>
    <w:rsid w:val="00A26A45"/>
    <w:rsid w:val="00A26FE2"/>
    <w:rsid w:val="00A271D8"/>
    <w:rsid w:val="00A27F1A"/>
    <w:rsid w:val="00A31506"/>
    <w:rsid w:val="00A3269C"/>
    <w:rsid w:val="00A32CB9"/>
    <w:rsid w:val="00A330BC"/>
    <w:rsid w:val="00A33150"/>
    <w:rsid w:val="00A33DA4"/>
    <w:rsid w:val="00A34494"/>
    <w:rsid w:val="00A34DAE"/>
    <w:rsid w:val="00A3615B"/>
    <w:rsid w:val="00A36BD5"/>
    <w:rsid w:val="00A37B4E"/>
    <w:rsid w:val="00A409B4"/>
    <w:rsid w:val="00A41AEC"/>
    <w:rsid w:val="00A448AA"/>
    <w:rsid w:val="00A44CD2"/>
    <w:rsid w:val="00A45968"/>
    <w:rsid w:val="00A45F0E"/>
    <w:rsid w:val="00A5059B"/>
    <w:rsid w:val="00A51134"/>
    <w:rsid w:val="00A5115D"/>
    <w:rsid w:val="00A51B87"/>
    <w:rsid w:val="00A5215A"/>
    <w:rsid w:val="00A53AEE"/>
    <w:rsid w:val="00A54D11"/>
    <w:rsid w:val="00A54E64"/>
    <w:rsid w:val="00A5597C"/>
    <w:rsid w:val="00A60071"/>
    <w:rsid w:val="00A6326C"/>
    <w:rsid w:val="00A646D6"/>
    <w:rsid w:val="00A65A46"/>
    <w:rsid w:val="00A70072"/>
    <w:rsid w:val="00A7079A"/>
    <w:rsid w:val="00A70DAB"/>
    <w:rsid w:val="00A70DDB"/>
    <w:rsid w:val="00A711FA"/>
    <w:rsid w:val="00A72AE8"/>
    <w:rsid w:val="00A73CE0"/>
    <w:rsid w:val="00A74DA3"/>
    <w:rsid w:val="00A75EB1"/>
    <w:rsid w:val="00A76108"/>
    <w:rsid w:val="00A76C72"/>
    <w:rsid w:val="00A81707"/>
    <w:rsid w:val="00A82114"/>
    <w:rsid w:val="00A83104"/>
    <w:rsid w:val="00A85B00"/>
    <w:rsid w:val="00A87929"/>
    <w:rsid w:val="00A87A3D"/>
    <w:rsid w:val="00A9050A"/>
    <w:rsid w:val="00A91381"/>
    <w:rsid w:val="00A91C05"/>
    <w:rsid w:val="00A94231"/>
    <w:rsid w:val="00A955C6"/>
    <w:rsid w:val="00A96A5D"/>
    <w:rsid w:val="00A97302"/>
    <w:rsid w:val="00A974F4"/>
    <w:rsid w:val="00AA1EBF"/>
    <w:rsid w:val="00AA3805"/>
    <w:rsid w:val="00AA4B42"/>
    <w:rsid w:val="00AA4DFF"/>
    <w:rsid w:val="00AA5EBC"/>
    <w:rsid w:val="00AA61AB"/>
    <w:rsid w:val="00AA7734"/>
    <w:rsid w:val="00AA7CFE"/>
    <w:rsid w:val="00AB0DC8"/>
    <w:rsid w:val="00AB18EE"/>
    <w:rsid w:val="00AB23BA"/>
    <w:rsid w:val="00AB2A4F"/>
    <w:rsid w:val="00AB32FD"/>
    <w:rsid w:val="00AB3E5C"/>
    <w:rsid w:val="00AB62A5"/>
    <w:rsid w:val="00AC0EEF"/>
    <w:rsid w:val="00AC1561"/>
    <w:rsid w:val="00AC3496"/>
    <w:rsid w:val="00AC3FF4"/>
    <w:rsid w:val="00AC4C1A"/>
    <w:rsid w:val="00AC4C8A"/>
    <w:rsid w:val="00AC594C"/>
    <w:rsid w:val="00AD0810"/>
    <w:rsid w:val="00AD2F63"/>
    <w:rsid w:val="00AD4BAA"/>
    <w:rsid w:val="00AD7263"/>
    <w:rsid w:val="00AD7D88"/>
    <w:rsid w:val="00AD7DEF"/>
    <w:rsid w:val="00AD7FC0"/>
    <w:rsid w:val="00AE0F38"/>
    <w:rsid w:val="00AE1656"/>
    <w:rsid w:val="00AE18E8"/>
    <w:rsid w:val="00AE1CDD"/>
    <w:rsid w:val="00AE1F83"/>
    <w:rsid w:val="00AE2AC5"/>
    <w:rsid w:val="00AE2C18"/>
    <w:rsid w:val="00AE6567"/>
    <w:rsid w:val="00AE79D1"/>
    <w:rsid w:val="00AE7CD9"/>
    <w:rsid w:val="00AF0C30"/>
    <w:rsid w:val="00AF18A6"/>
    <w:rsid w:val="00AF28AC"/>
    <w:rsid w:val="00AF294C"/>
    <w:rsid w:val="00B00D40"/>
    <w:rsid w:val="00B00E6B"/>
    <w:rsid w:val="00B012E0"/>
    <w:rsid w:val="00B02574"/>
    <w:rsid w:val="00B04200"/>
    <w:rsid w:val="00B053C3"/>
    <w:rsid w:val="00B05775"/>
    <w:rsid w:val="00B063C8"/>
    <w:rsid w:val="00B0740C"/>
    <w:rsid w:val="00B07FEE"/>
    <w:rsid w:val="00B1099B"/>
    <w:rsid w:val="00B118EE"/>
    <w:rsid w:val="00B126CD"/>
    <w:rsid w:val="00B133E5"/>
    <w:rsid w:val="00B1480A"/>
    <w:rsid w:val="00B1779A"/>
    <w:rsid w:val="00B17F52"/>
    <w:rsid w:val="00B200CC"/>
    <w:rsid w:val="00B2236B"/>
    <w:rsid w:val="00B2237F"/>
    <w:rsid w:val="00B22468"/>
    <w:rsid w:val="00B224C7"/>
    <w:rsid w:val="00B24451"/>
    <w:rsid w:val="00B24F3B"/>
    <w:rsid w:val="00B30846"/>
    <w:rsid w:val="00B309D4"/>
    <w:rsid w:val="00B30A8C"/>
    <w:rsid w:val="00B33072"/>
    <w:rsid w:val="00B33D20"/>
    <w:rsid w:val="00B35482"/>
    <w:rsid w:val="00B360B0"/>
    <w:rsid w:val="00B37051"/>
    <w:rsid w:val="00B3784F"/>
    <w:rsid w:val="00B379A0"/>
    <w:rsid w:val="00B37A0E"/>
    <w:rsid w:val="00B42FCF"/>
    <w:rsid w:val="00B45A0C"/>
    <w:rsid w:val="00B45E38"/>
    <w:rsid w:val="00B47848"/>
    <w:rsid w:val="00B47C21"/>
    <w:rsid w:val="00B5120E"/>
    <w:rsid w:val="00B518B4"/>
    <w:rsid w:val="00B51A08"/>
    <w:rsid w:val="00B560BF"/>
    <w:rsid w:val="00B561A0"/>
    <w:rsid w:val="00B64567"/>
    <w:rsid w:val="00B66F0D"/>
    <w:rsid w:val="00B74247"/>
    <w:rsid w:val="00B742F3"/>
    <w:rsid w:val="00B75324"/>
    <w:rsid w:val="00B754A8"/>
    <w:rsid w:val="00B770FC"/>
    <w:rsid w:val="00B80348"/>
    <w:rsid w:val="00B80402"/>
    <w:rsid w:val="00B80ABA"/>
    <w:rsid w:val="00B824C7"/>
    <w:rsid w:val="00B83101"/>
    <w:rsid w:val="00B835A6"/>
    <w:rsid w:val="00B83C83"/>
    <w:rsid w:val="00B83CDA"/>
    <w:rsid w:val="00B84B5A"/>
    <w:rsid w:val="00B84E65"/>
    <w:rsid w:val="00B87802"/>
    <w:rsid w:val="00B93CC2"/>
    <w:rsid w:val="00B962D7"/>
    <w:rsid w:val="00B971C5"/>
    <w:rsid w:val="00B97869"/>
    <w:rsid w:val="00BA08FE"/>
    <w:rsid w:val="00BA1C5B"/>
    <w:rsid w:val="00BA22EC"/>
    <w:rsid w:val="00BA2BF5"/>
    <w:rsid w:val="00BA387D"/>
    <w:rsid w:val="00BA3AF7"/>
    <w:rsid w:val="00BA4D38"/>
    <w:rsid w:val="00BA7391"/>
    <w:rsid w:val="00BB049E"/>
    <w:rsid w:val="00BB37FE"/>
    <w:rsid w:val="00BB3C52"/>
    <w:rsid w:val="00BB65E6"/>
    <w:rsid w:val="00BB6E01"/>
    <w:rsid w:val="00BC1355"/>
    <w:rsid w:val="00BC5CC5"/>
    <w:rsid w:val="00BD0994"/>
    <w:rsid w:val="00BD0AE7"/>
    <w:rsid w:val="00BD1B5A"/>
    <w:rsid w:val="00BD1E8D"/>
    <w:rsid w:val="00BD3966"/>
    <w:rsid w:val="00BD5681"/>
    <w:rsid w:val="00BD5D3B"/>
    <w:rsid w:val="00BD6A1D"/>
    <w:rsid w:val="00BD7658"/>
    <w:rsid w:val="00BE654A"/>
    <w:rsid w:val="00BF03CA"/>
    <w:rsid w:val="00BF2DD7"/>
    <w:rsid w:val="00BF2E65"/>
    <w:rsid w:val="00BF65FE"/>
    <w:rsid w:val="00BF7F8D"/>
    <w:rsid w:val="00C045A6"/>
    <w:rsid w:val="00C0673B"/>
    <w:rsid w:val="00C06CE2"/>
    <w:rsid w:val="00C07FD0"/>
    <w:rsid w:val="00C12103"/>
    <w:rsid w:val="00C12AA2"/>
    <w:rsid w:val="00C140E7"/>
    <w:rsid w:val="00C14CFC"/>
    <w:rsid w:val="00C15673"/>
    <w:rsid w:val="00C17D1A"/>
    <w:rsid w:val="00C20762"/>
    <w:rsid w:val="00C225EE"/>
    <w:rsid w:val="00C24825"/>
    <w:rsid w:val="00C24B2C"/>
    <w:rsid w:val="00C25AEE"/>
    <w:rsid w:val="00C26525"/>
    <w:rsid w:val="00C27862"/>
    <w:rsid w:val="00C3353E"/>
    <w:rsid w:val="00C34CA0"/>
    <w:rsid w:val="00C355A9"/>
    <w:rsid w:val="00C35846"/>
    <w:rsid w:val="00C35CED"/>
    <w:rsid w:val="00C36522"/>
    <w:rsid w:val="00C37180"/>
    <w:rsid w:val="00C41268"/>
    <w:rsid w:val="00C42E74"/>
    <w:rsid w:val="00C43B67"/>
    <w:rsid w:val="00C44C5F"/>
    <w:rsid w:val="00C4527F"/>
    <w:rsid w:val="00C463C7"/>
    <w:rsid w:val="00C46FD9"/>
    <w:rsid w:val="00C4759F"/>
    <w:rsid w:val="00C51665"/>
    <w:rsid w:val="00C51FFB"/>
    <w:rsid w:val="00C53CF7"/>
    <w:rsid w:val="00C53D1E"/>
    <w:rsid w:val="00C53DF5"/>
    <w:rsid w:val="00C53ECA"/>
    <w:rsid w:val="00C5453A"/>
    <w:rsid w:val="00C5508B"/>
    <w:rsid w:val="00C55BED"/>
    <w:rsid w:val="00C55FBC"/>
    <w:rsid w:val="00C56723"/>
    <w:rsid w:val="00C62FA8"/>
    <w:rsid w:val="00C6377C"/>
    <w:rsid w:val="00C63E2C"/>
    <w:rsid w:val="00C65090"/>
    <w:rsid w:val="00C65144"/>
    <w:rsid w:val="00C6563C"/>
    <w:rsid w:val="00C67AD0"/>
    <w:rsid w:val="00C70C2C"/>
    <w:rsid w:val="00C738AF"/>
    <w:rsid w:val="00C76EEA"/>
    <w:rsid w:val="00C81CA6"/>
    <w:rsid w:val="00C854C6"/>
    <w:rsid w:val="00C879C8"/>
    <w:rsid w:val="00C90ABB"/>
    <w:rsid w:val="00C91435"/>
    <w:rsid w:val="00C92A02"/>
    <w:rsid w:val="00C933C3"/>
    <w:rsid w:val="00C93710"/>
    <w:rsid w:val="00C94055"/>
    <w:rsid w:val="00C94ECC"/>
    <w:rsid w:val="00C96B8B"/>
    <w:rsid w:val="00C97096"/>
    <w:rsid w:val="00C9741B"/>
    <w:rsid w:val="00CA4F01"/>
    <w:rsid w:val="00CA5C80"/>
    <w:rsid w:val="00CB1758"/>
    <w:rsid w:val="00CB1F91"/>
    <w:rsid w:val="00CB49B6"/>
    <w:rsid w:val="00CB5CE0"/>
    <w:rsid w:val="00CB67B9"/>
    <w:rsid w:val="00CC0B0C"/>
    <w:rsid w:val="00CC1DF2"/>
    <w:rsid w:val="00CC46BB"/>
    <w:rsid w:val="00CC5598"/>
    <w:rsid w:val="00CD02DE"/>
    <w:rsid w:val="00CD05C4"/>
    <w:rsid w:val="00CD0D96"/>
    <w:rsid w:val="00CD13A9"/>
    <w:rsid w:val="00CD452C"/>
    <w:rsid w:val="00CD587E"/>
    <w:rsid w:val="00CD612F"/>
    <w:rsid w:val="00CE675B"/>
    <w:rsid w:val="00CF2340"/>
    <w:rsid w:val="00CF398A"/>
    <w:rsid w:val="00CF46E9"/>
    <w:rsid w:val="00CF547E"/>
    <w:rsid w:val="00CF6512"/>
    <w:rsid w:val="00CF7BF5"/>
    <w:rsid w:val="00D0101D"/>
    <w:rsid w:val="00D016D9"/>
    <w:rsid w:val="00D01CC3"/>
    <w:rsid w:val="00D022A5"/>
    <w:rsid w:val="00D04881"/>
    <w:rsid w:val="00D05E13"/>
    <w:rsid w:val="00D05F7C"/>
    <w:rsid w:val="00D065CF"/>
    <w:rsid w:val="00D06888"/>
    <w:rsid w:val="00D06ED8"/>
    <w:rsid w:val="00D11AD3"/>
    <w:rsid w:val="00D124E7"/>
    <w:rsid w:val="00D1358D"/>
    <w:rsid w:val="00D154A5"/>
    <w:rsid w:val="00D15C3D"/>
    <w:rsid w:val="00D16474"/>
    <w:rsid w:val="00D16CFC"/>
    <w:rsid w:val="00D1A727"/>
    <w:rsid w:val="00D210EF"/>
    <w:rsid w:val="00D21539"/>
    <w:rsid w:val="00D21E38"/>
    <w:rsid w:val="00D225AF"/>
    <w:rsid w:val="00D22D07"/>
    <w:rsid w:val="00D23206"/>
    <w:rsid w:val="00D23E34"/>
    <w:rsid w:val="00D25CE5"/>
    <w:rsid w:val="00D25FC9"/>
    <w:rsid w:val="00D26142"/>
    <w:rsid w:val="00D27F97"/>
    <w:rsid w:val="00D27FA4"/>
    <w:rsid w:val="00D3221C"/>
    <w:rsid w:val="00D3311C"/>
    <w:rsid w:val="00D343DA"/>
    <w:rsid w:val="00D4147B"/>
    <w:rsid w:val="00D41D6F"/>
    <w:rsid w:val="00D42B9C"/>
    <w:rsid w:val="00D42B9D"/>
    <w:rsid w:val="00D448F8"/>
    <w:rsid w:val="00D44BFA"/>
    <w:rsid w:val="00D508D8"/>
    <w:rsid w:val="00D51502"/>
    <w:rsid w:val="00D54785"/>
    <w:rsid w:val="00D56167"/>
    <w:rsid w:val="00D575A9"/>
    <w:rsid w:val="00D57615"/>
    <w:rsid w:val="00D61D89"/>
    <w:rsid w:val="00D63E9B"/>
    <w:rsid w:val="00D713B2"/>
    <w:rsid w:val="00D7180C"/>
    <w:rsid w:val="00D73D11"/>
    <w:rsid w:val="00D74241"/>
    <w:rsid w:val="00D74917"/>
    <w:rsid w:val="00D80F28"/>
    <w:rsid w:val="00D83BF2"/>
    <w:rsid w:val="00D8770B"/>
    <w:rsid w:val="00D90176"/>
    <w:rsid w:val="00D91571"/>
    <w:rsid w:val="00D91990"/>
    <w:rsid w:val="00D91A28"/>
    <w:rsid w:val="00D92FA0"/>
    <w:rsid w:val="00D93CE9"/>
    <w:rsid w:val="00D94EA5"/>
    <w:rsid w:val="00D95274"/>
    <w:rsid w:val="00D95E1F"/>
    <w:rsid w:val="00D96511"/>
    <w:rsid w:val="00D975EC"/>
    <w:rsid w:val="00DA16F6"/>
    <w:rsid w:val="00DA2CE0"/>
    <w:rsid w:val="00DA3047"/>
    <w:rsid w:val="00DA37DA"/>
    <w:rsid w:val="00DA3DFA"/>
    <w:rsid w:val="00DA7DF3"/>
    <w:rsid w:val="00DB092C"/>
    <w:rsid w:val="00DB155D"/>
    <w:rsid w:val="00DB1DD4"/>
    <w:rsid w:val="00DB260B"/>
    <w:rsid w:val="00DB2A2B"/>
    <w:rsid w:val="00DB3E91"/>
    <w:rsid w:val="00DB4A53"/>
    <w:rsid w:val="00DB5094"/>
    <w:rsid w:val="00DB5C64"/>
    <w:rsid w:val="00DC0326"/>
    <w:rsid w:val="00DC0391"/>
    <w:rsid w:val="00DC1262"/>
    <w:rsid w:val="00DC1852"/>
    <w:rsid w:val="00DC1FEB"/>
    <w:rsid w:val="00DC2915"/>
    <w:rsid w:val="00DC36AB"/>
    <w:rsid w:val="00DC6D4A"/>
    <w:rsid w:val="00DC6D9D"/>
    <w:rsid w:val="00DD3A09"/>
    <w:rsid w:val="00DD460E"/>
    <w:rsid w:val="00DD56FA"/>
    <w:rsid w:val="00DD62DF"/>
    <w:rsid w:val="00DD6423"/>
    <w:rsid w:val="00DD71C5"/>
    <w:rsid w:val="00DE0215"/>
    <w:rsid w:val="00DE0454"/>
    <w:rsid w:val="00DE0D6E"/>
    <w:rsid w:val="00DE24B5"/>
    <w:rsid w:val="00DE392A"/>
    <w:rsid w:val="00DE3DBC"/>
    <w:rsid w:val="00DE4687"/>
    <w:rsid w:val="00DE4849"/>
    <w:rsid w:val="00DE5714"/>
    <w:rsid w:val="00DE6225"/>
    <w:rsid w:val="00DE6574"/>
    <w:rsid w:val="00DE6C90"/>
    <w:rsid w:val="00DE6D38"/>
    <w:rsid w:val="00DF162E"/>
    <w:rsid w:val="00DF4290"/>
    <w:rsid w:val="00DF4FE0"/>
    <w:rsid w:val="00E00063"/>
    <w:rsid w:val="00E005C2"/>
    <w:rsid w:val="00E03511"/>
    <w:rsid w:val="00E04DF6"/>
    <w:rsid w:val="00E04EF1"/>
    <w:rsid w:val="00E06B44"/>
    <w:rsid w:val="00E06DEF"/>
    <w:rsid w:val="00E06E00"/>
    <w:rsid w:val="00E11B81"/>
    <w:rsid w:val="00E1559E"/>
    <w:rsid w:val="00E1620A"/>
    <w:rsid w:val="00E21F81"/>
    <w:rsid w:val="00E23726"/>
    <w:rsid w:val="00E23F73"/>
    <w:rsid w:val="00E24658"/>
    <w:rsid w:val="00E25646"/>
    <w:rsid w:val="00E261E6"/>
    <w:rsid w:val="00E26F4E"/>
    <w:rsid w:val="00E3096F"/>
    <w:rsid w:val="00E31AEE"/>
    <w:rsid w:val="00E31D86"/>
    <w:rsid w:val="00E32969"/>
    <w:rsid w:val="00E34570"/>
    <w:rsid w:val="00E35143"/>
    <w:rsid w:val="00E35F99"/>
    <w:rsid w:val="00E364A9"/>
    <w:rsid w:val="00E3754A"/>
    <w:rsid w:val="00E436C1"/>
    <w:rsid w:val="00E456EF"/>
    <w:rsid w:val="00E5045D"/>
    <w:rsid w:val="00E51D56"/>
    <w:rsid w:val="00E54664"/>
    <w:rsid w:val="00E55816"/>
    <w:rsid w:val="00E566C6"/>
    <w:rsid w:val="00E61C6B"/>
    <w:rsid w:val="00E64055"/>
    <w:rsid w:val="00E645AC"/>
    <w:rsid w:val="00E646BD"/>
    <w:rsid w:val="00E647F4"/>
    <w:rsid w:val="00E71772"/>
    <w:rsid w:val="00E73D1A"/>
    <w:rsid w:val="00E73D20"/>
    <w:rsid w:val="00E742E6"/>
    <w:rsid w:val="00E74AEB"/>
    <w:rsid w:val="00E76977"/>
    <w:rsid w:val="00E8007B"/>
    <w:rsid w:val="00E84F59"/>
    <w:rsid w:val="00E85625"/>
    <w:rsid w:val="00E9128C"/>
    <w:rsid w:val="00E917FD"/>
    <w:rsid w:val="00E9240F"/>
    <w:rsid w:val="00E929E0"/>
    <w:rsid w:val="00E933FD"/>
    <w:rsid w:val="00E95864"/>
    <w:rsid w:val="00E95A2A"/>
    <w:rsid w:val="00E97665"/>
    <w:rsid w:val="00EA12FD"/>
    <w:rsid w:val="00EA1E8A"/>
    <w:rsid w:val="00EA31BE"/>
    <w:rsid w:val="00EA35BF"/>
    <w:rsid w:val="00EA3A2B"/>
    <w:rsid w:val="00EA7F97"/>
    <w:rsid w:val="00EB04B3"/>
    <w:rsid w:val="00EB0C01"/>
    <w:rsid w:val="00EC0ADC"/>
    <w:rsid w:val="00EC1D01"/>
    <w:rsid w:val="00ED001F"/>
    <w:rsid w:val="00ED14D0"/>
    <w:rsid w:val="00ED17AD"/>
    <w:rsid w:val="00ED1A2A"/>
    <w:rsid w:val="00ED371F"/>
    <w:rsid w:val="00ED3C98"/>
    <w:rsid w:val="00ED3EB1"/>
    <w:rsid w:val="00ED6299"/>
    <w:rsid w:val="00ED75AB"/>
    <w:rsid w:val="00ED7841"/>
    <w:rsid w:val="00EE3928"/>
    <w:rsid w:val="00EE4350"/>
    <w:rsid w:val="00EE49A6"/>
    <w:rsid w:val="00EE5BC5"/>
    <w:rsid w:val="00EE6F0D"/>
    <w:rsid w:val="00EE70CA"/>
    <w:rsid w:val="00EF006B"/>
    <w:rsid w:val="00EF01DC"/>
    <w:rsid w:val="00EF168C"/>
    <w:rsid w:val="00EF3321"/>
    <w:rsid w:val="00EF3779"/>
    <w:rsid w:val="00EF4A9E"/>
    <w:rsid w:val="00EF4C5B"/>
    <w:rsid w:val="00EF4E1D"/>
    <w:rsid w:val="00EF6184"/>
    <w:rsid w:val="00EF6986"/>
    <w:rsid w:val="00F0206A"/>
    <w:rsid w:val="00F02082"/>
    <w:rsid w:val="00F02EA5"/>
    <w:rsid w:val="00F04E3F"/>
    <w:rsid w:val="00F04E93"/>
    <w:rsid w:val="00F06F9A"/>
    <w:rsid w:val="00F11DAC"/>
    <w:rsid w:val="00F122DB"/>
    <w:rsid w:val="00F13992"/>
    <w:rsid w:val="00F1555E"/>
    <w:rsid w:val="00F15A71"/>
    <w:rsid w:val="00F16961"/>
    <w:rsid w:val="00F16E5A"/>
    <w:rsid w:val="00F17115"/>
    <w:rsid w:val="00F21295"/>
    <w:rsid w:val="00F21FB4"/>
    <w:rsid w:val="00F270F8"/>
    <w:rsid w:val="00F27137"/>
    <w:rsid w:val="00F30856"/>
    <w:rsid w:val="00F30B7A"/>
    <w:rsid w:val="00F312E1"/>
    <w:rsid w:val="00F337BA"/>
    <w:rsid w:val="00F367E2"/>
    <w:rsid w:val="00F4205D"/>
    <w:rsid w:val="00F42075"/>
    <w:rsid w:val="00F420EF"/>
    <w:rsid w:val="00F456DA"/>
    <w:rsid w:val="00F50CC9"/>
    <w:rsid w:val="00F51CC2"/>
    <w:rsid w:val="00F54213"/>
    <w:rsid w:val="00F569A3"/>
    <w:rsid w:val="00F6105B"/>
    <w:rsid w:val="00F62328"/>
    <w:rsid w:val="00F62994"/>
    <w:rsid w:val="00F64CEE"/>
    <w:rsid w:val="00F65F91"/>
    <w:rsid w:val="00F71501"/>
    <w:rsid w:val="00F71657"/>
    <w:rsid w:val="00F73985"/>
    <w:rsid w:val="00F73B93"/>
    <w:rsid w:val="00F76551"/>
    <w:rsid w:val="00F7760E"/>
    <w:rsid w:val="00F822FF"/>
    <w:rsid w:val="00F82DE5"/>
    <w:rsid w:val="00F83152"/>
    <w:rsid w:val="00F84225"/>
    <w:rsid w:val="00F842ED"/>
    <w:rsid w:val="00F84AC2"/>
    <w:rsid w:val="00F85B52"/>
    <w:rsid w:val="00F85E6A"/>
    <w:rsid w:val="00F90976"/>
    <w:rsid w:val="00F91864"/>
    <w:rsid w:val="00F95684"/>
    <w:rsid w:val="00F95C8B"/>
    <w:rsid w:val="00F97901"/>
    <w:rsid w:val="00FA0203"/>
    <w:rsid w:val="00FA1075"/>
    <w:rsid w:val="00FA342B"/>
    <w:rsid w:val="00FA3FDA"/>
    <w:rsid w:val="00FA4115"/>
    <w:rsid w:val="00FA46CA"/>
    <w:rsid w:val="00FA492B"/>
    <w:rsid w:val="00FA7CDC"/>
    <w:rsid w:val="00FB154B"/>
    <w:rsid w:val="00FB397B"/>
    <w:rsid w:val="00FB3E3E"/>
    <w:rsid w:val="00FB439C"/>
    <w:rsid w:val="00FB43B0"/>
    <w:rsid w:val="00FB4727"/>
    <w:rsid w:val="00FB4D1B"/>
    <w:rsid w:val="00FB6208"/>
    <w:rsid w:val="00FB6591"/>
    <w:rsid w:val="00FB66B8"/>
    <w:rsid w:val="00FB69FA"/>
    <w:rsid w:val="00FB6FF0"/>
    <w:rsid w:val="00FB738F"/>
    <w:rsid w:val="00FC0240"/>
    <w:rsid w:val="00FC0CD2"/>
    <w:rsid w:val="00FC0E2D"/>
    <w:rsid w:val="00FC28A2"/>
    <w:rsid w:val="00FC31C2"/>
    <w:rsid w:val="00FC4100"/>
    <w:rsid w:val="00FC6980"/>
    <w:rsid w:val="00FC7849"/>
    <w:rsid w:val="00FD1115"/>
    <w:rsid w:val="00FD2E87"/>
    <w:rsid w:val="00FD38CF"/>
    <w:rsid w:val="00FD57F9"/>
    <w:rsid w:val="00FD63B4"/>
    <w:rsid w:val="00FD6C30"/>
    <w:rsid w:val="00FD6D9C"/>
    <w:rsid w:val="00FD6F27"/>
    <w:rsid w:val="00FE0D97"/>
    <w:rsid w:val="00FE1540"/>
    <w:rsid w:val="00FE3A3A"/>
    <w:rsid w:val="00FE5B06"/>
    <w:rsid w:val="00FE7465"/>
    <w:rsid w:val="00FE7E97"/>
    <w:rsid w:val="00FF0233"/>
    <w:rsid w:val="00FF054C"/>
    <w:rsid w:val="00FF1C57"/>
    <w:rsid w:val="00FF1D3C"/>
    <w:rsid w:val="00FF2FC4"/>
    <w:rsid w:val="00FF3BC1"/>
    <w:rsid w:val="01923DB9"/>
    <w:rsid w:val="02C9D454"/>
    <w:rsid w:val="0446078F"/>
    <w:rsid w:val="04F129CB"/>
    <w:rsid w:val="057FF287"/>
    <w:rsid w:val="07D6707B"/>
    <w:rsid w:val="0CDD846C"/>
    <w:rsid w:val="0DCB7074"/>
    <w:rsid w:val="121137A2"/>
    <w:rsid w:val="153E7DBD"/>
    <w:rsid w:val="1D07128A"/>
    <w:rsid w:val="1DC8843C"/>
    <w:rsid w:val="234551C8"/>
    <w:rsid w:val="24BDF337"/>
    <w:rsid w:val="258AB9E0"/>
    <w:rsid w:val="27A3E8B6"/>
    <w:rsid w:val="28C92CAE"/>
    <w:rsid w:val="2B43209D"/>
    <w:rsid w:val="2CB72C46"/>
    <w:rsid w:val="2D9F613D"/>
    <w:rsid w:val="32F3F7A8"/>
    <w:rsid w:val="3495C904"/>
    <w:rsid w:val="35E95632"/>
    <w:rsid w:val="3E703A7D"/>
    <w:rsid w:val="3F61C59A"/>
    <w:rsid w:val="3FBAFE90"/>
    <w:rsid w:val="44EBE40E"/>
    <w:rsid w:val="44F241F2"/>
    <w:rsid w:val="4535AFED"/>
    <w:rsid w:val="45F4234B"/>
    <w:rsid w:val="46B0AECD"/>
    <w:rsid w:val="4A74AA84"/>
    <w:rsid w:val="4BD1E953"/>
    <w:rsid w:val="4BF8380B"/>
    <w:rsid w:val="4C5FDD34"/>
    <w:rsid w:val="4E72A881"/>
    <w:rsid w:val="4EC17C96"/>
    <w:rsid w:val="4F1B0586"/>
    <w:rsid w:val="4FB8ABEA"/>
    <w:rsid w:val="50AAF47A"/>
    <w:rsid w:val="517373CA"/>
    <w:rsid w:val="544C3760"/>
    <w:rsid w:val="54589403"/>
    <w:rsid w:val="56081014"/>
    <w:rsid w:val="57A1F506"/>
    <w:rsid w:val="583E0467"/>
    <w:rsid w:val="59AB88DD"/>
    <w:rsid w:val="5C0F3F94"/>
    <w:rsid w:val="5D6D1184"/>
    <w:rsid w:val="6342213B"/>
    <w:rsid w:val="63D1D4C3"/>
    <w:rsid w:val="66A7426D"/>
    <w:rsid w:val="67D44468"/>
    <w:rsid w:val="6B7C2E86"/>
    <w:rsid w:val="6D87DA97"/>
    <w:rsid w:val="6DD5D3B4"/>
    <w:rsid w:val="6F7E54CA"/>
    <w:rsid w:val="71C8AB94"/>
    <w:rsid w:val="74B4CF1B"/>
    <w:rsid w:val="784A3E66"/>
    <w:rsid w:val="7850921E"/>
    <w:rsid w:val="7BFD3C1B"/>
    <w:rsid w:val="7D7EB059"/>
  </w:rsids>
  <m:mathPr>
    <m:mathFont m:val="Cambria Math"/>
    <m:brkBin m:val="before"/>
    <m:brkBinSub m:val="--"/>
    <m:smallFrac/>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332C6"/>
    <w:rPr>
      <w:rFonts w:ascii="Arial" w:eastAsia="Calibri" w:hAnsi="Arial" w:cs="Times New Roman"/>
      <w:sz w:val="20"/>
    </w:rPr>
  </w:style>
  <w:style w:type="paragraph" w:styleId="Naslov1">
    <w:name w:val="heading 1"/>
    <w:aliases w:val="NASLOV"/>
    <w:basedOn w:val="Navaden"/>
    <w:next w:val="Navaden"/>
    <w:link w:val="Naslov1Znak"/>
    <w:autoRedefine/>
    <w:qFormat/>
    <w:rsid w:val="00B00D40"/>
    <w:pPr>
      <w:widowControl w:val="0"/>
      <w:tabs>
        <w:tab w:val="left" w:pos="360"/>
      </w:tabs>
      <w:spacing w:after="0" w:line="288" w:lineRule="auto"/>
      <w:jc w:val="both"/>
      <w:outlineLvl w:val="0"/>
    </w:pPr>
    <w:rPr>
      <w:rFonts w:eastAsia="Times New Roman" w:cs="Arial"/>
      <w:b/>
      <w:bCs/>
      <w:kern w:val="36"/>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datumtevilka">
    <w:name w:val="datum številka"/>
    <w:basedOn w:val="Navaden"/>
    <w:qFormat/>
    <w:rsid w:val="00685162"/>
    <w:pPr>
      <w:tabs>
        <w:tab w:val="left" w:pos="1701"/>
      </w:tabs>
      <w:spacing w:after="0" w:line="260" w:lineRule="exact"/>
    </w:pPr>
    <w:rPr>
      <w:rFonts w:eastAsia="Times New Roman"/>
      <w:szCs w:val="20"/>
      <w:lang w:eastAsia="sl-SI"/>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List Paragraph1,3"/>
    <w:basedOn w:val="Navaden"/>
    <w:link w:val="OdstavekseznamaZnak"/>
    <w:uiPriority w:val="34"/>
    <w:qFormat/>
    <w:rsid w:val="004D0D12"/>
    <w:pPr>
      <w:ind w:left="720"/>
      <w:contextualSpacing/>
    </w:pPr>
  </w:style>
  <w:style w:type="paragraph" w:customStyle="1" w:styleId="Neotevilenodstavek">
    <w:name w:val="Neoštevilčen odstavek"/>
    <w:basedOn w:val="Navaden"/>
    <w:link w:val="NeotevilenodstavekZnak"/>
    <w:qFormat/>
    <w:rsid w:val="00C6377C"/>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C6377C"/>
    <w:rPr>
      <w:rFonts w:ascii="Arial" w:eastAsia="Times New Roman" w:hAnsi="Arial" w:cs="Times New Roman"/>
    </w:rPr>
  </w:style>
  <w:style w:type="paragraph" w:customStyle="1" w:styleId="Naslovpredpisa">
    <w:name w:val="Naslov_predpisa"/>
    <w:basedOn w:val="Navaden"/>
    <w:link w:val="NaslovpredpisaZnak"/>
    <w:qFormat/>
    <w:rsid w:val="00EA1E8A"/>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EA1E8A"/>
    <w:rPr>
      <w:rFonts w:ascii="Arial" w:eastAsia="Times New Roman" w:hAnsi="Arial" w:cs="Times New Roman"/>
      <w:b/>
    </w:r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3 Znak"/>
    <w:link w:val="Odstavekseznama"/>
    <w:uiPriority w:val="34"/>
    <w:qFormat/>
    <w:locked/>
    <w:rsid w:val="00B00D40"/>
    <w:rPr>
      <w:rFonts w:ascii="Arial" w:eastAsia="Calibri" w:hAnsi="Arial" w:cs="Times New Roman"/>
      <w:sz w:val="20"/>
    </w:rPr>
  </w:style>
  <w:style w:type="paragraph" w:customStyle="1" w:styleId="odstavek">
    <w:name w:val="odstavek"/>
    <w:basedOn w:val="Navaden"/>
    <w:rsid w:val="00B00D40"/>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esegmenth4">
    <w:name w:val="esegment_h4"/>
    <w:basedOn w:val="Navaden"/>
    <w:rsid w:val="00B00D40"/>
    <w:pPr>
      <w:spacing w:before="100" w:beforeAutospacing="1" w:after="100" w:afterAutospacing="1" w:line="240" w:lineRule="auto"/>
    </w:pPr>
    <w:rPr>
      <w:rFonts w:ascii="Times New Roman" w:hAnsi="Times New Roman"/>
      <w:sz w:val="24"/>
      <w:szCs w:val="24"/>
      <w:lang w:eastAsia="sl-SI"/>
    </w:rPr>
  </w:style>
  <w:style w:type="character" w:customStyle="1" w:styleId="Naslov1Znak">
    <w:name w:val="Naslov 1 Znak"/>
    <w:aliases w:val="NASLOV Znak"/>
    <w:basedOn w:val="Privzetapisavaodstavka"/>
    <w:link w:val="Naslov1"/>
    <w:rsid w:val="00B00D40"/>
    <w:rPr>
      <w:rFonts w:ascii="Arial" w:eastAsia="Times New Roman" w:hAnsi="Arial" w:cs="Arial"/>
      <w:b/>
      <w:bCs/>
      <w:kern w:val="36"/>
      <w:sz w:val="20"/>
      <w:szCs w:val="20"/>
    </w:rPr>
  </w:style>
  <w:style w:type="paragraph" w:customStyle="1" w:styleId="len">
    <w:name w:val="len"/>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
    <w:name w:val="Oddelek"/>
    <w:basedOn w:val="Navaden"/>
    <w:link w:val="OddelekZnak1"/>
    <w:qFormat/>
    <w:rsid w:val="00F04E3F"/>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sz w:val="22"/>
      <w:lang w:eastAsia="sl-SI"/>
    </w:rPr>
  </w:style>
  <w:style w:type="character" w:customStyle="1" w:styleId="OddelekZnak1">
    <w:name w:val="Oddelek Znak1"/>
    <w:link w:val="Oddelek"/>
    <w:rsid w:val="00F04E3F"/>
    <w:rPr>
      <w:rFonts w:ascii="Arial" w:eastAsia="Times New Roman" w:hAnsi="Arial" w:cs="Arial"/>
      <w:b/>
      <w:lang w:eastAsia="sl-SI"/>
    </w:rPr>
  </w:style>
  <w:style w:type="character" w:customStyle="1" w:styleId="rkovnatokazaodstavkomZnak">
    <w:name w:val="Črkovna točka_za odstavkom Znak"/>
    <w:link w:val="rkovnatokazaodstavkom"/>
    <w:rsid w:val="00F04E3F"/>
    <w:rPr>
      <w:rFonts w:ascii="Arial" w:hAnsi="Arial"/>
      <w:lang w:eastAsia="sl-SI"/>
    </w:rPr>
  </w:style>
  <w:style w:type="paragraph" w:customStyle="1" w:styleId="rkovnatokazaodstavkom">
    <w:name w:val="Črkovna točka_za odstavkom"/>
    <w:basedOn w:val="Navaden"/>
    <w:link w:val="rkovnatokazaodstavkomZnak"/>
    <w:qFormat/>
    <w:rsid w:val="00F04E3F"/>
    <w:pPr>
      <w:numPr>
        <w:numId w:val="13"/>
      </w:numPr>
      <w:overflowPunct w:val="0"/>
      <w:autoSpaceDE w:val="0"/>
      <w:autoSpaceDN w:val="0"/>
      <w:adjustRightInd w:val="0"/>
      <w:spacing w:after="0" w:line="200" w:lineRule="exact"/>
      <w:jc w:val="both"/>
      <w:textAlignment w:val="baseline"/>
    </w:pPr>
    <w:rPr>
      <w:rFonts w:eastAsiaTheme="minorHAnsi" w:cstheme="minorBidi"/>
      <w:sz w:val="22"/>
      <w:lang w:eastAsia="sl-SI"/>
    </w:rPr>
  </w:style>
  <w:style w:type="paragraph" w:customStyle="1" w:styleId="Odsek">
    <w:name w:val="Odsek"/>
    <w:basedOn w:val="Oddelek"/>
    <w:link w:val="OdsekZnak"/>
    <w:qFormat/>
    <w:rsid w:val="00F04E3F"/>
    <w:pPr>
      <w:numPr>
        <w:numId w:val="1"/>
      </w:numPr>
    </w:pPr>
  </w:style>
  <w:style w:type="character" w:customStyle="1" w:styleId="OdsekZnak">
    <w:name w:val="Odsek Znak"/>
    <w:basedOn w:val="OddelekZnak1"/>
    <w:link w:val="Odsek"/>
    <w:rsid w:val="00F04E3F"/>
    <w:rPr>
      <w:rFonts w:ascii="Arial" w:eastAsia="Times New Roman" w:hAnsi="Arial" w:cs="Arial"/>
      <w:b/>
      <w:lang w:eastAsia="sl-SI"/>
    </w:rPr>
  </w:style>
  <w:style w:type="character" w:styleId="Sprotnaopomba-sklic">
    <w:name w:val="footnote reference"/>
    <w:basedOn w:val="Privzetapisavaodstavka"/>
    <w:uiPriority w:val="99"/>
    <w:semiHidden/>
    <w:unhideWhenUsed/>
    <w:rsid w:val="00285FEA"/>
    <w:rPr>
      <w:vertAlign w:val="superscript"/>
    </w:rPr>
  </w:style>
  <w:style w:type="character" w:styleId="Pripombasklic">
    <w:name w:val="annotation reference"/>
    <w:basedOn w:val="Privzetapisavaodstavka"/>
    <w:uiPriority w:val="99"/>
    <w:semiHidden/>
    <w:unhideWhenUsed/>
    <w:rsid w:val="00BB3C52"/>
    <w:rPr>
      <w:sz w:val="16"/>
      <w:szCs w:val="16"/>
    </w:rPr>
  </w:style>
  <w:style w:type="paragraph" w:styleId="Pripombabesedilo">
    <w:name w:val="annotation text"/>
    <w:basedOn w:val="Navaden"/>
    <w:link w:val="PripombabesediloZnak"/>
    <w:uiPriority w:val="99"/>
    <w:unhideWhenUsed/>
    <w:rsid w:val="00BB3C52"/>
    <w:pPr>
      <w:spacing w:line="240" w:lineRule="auto"/>
    </w:pPr>
    <w:rPr>
      <w:szCs w:val="20"/>
    </w:rPr>
  </w:style>
  <w:style w:type="character" w:customStyle="1" w:styleId="PripombabesediloZnak">
    <w:name w:val="Pripomba – besedilo Znak"/>
    <w:basedOn w:val="Privzetapisavaodstavka"/>
    <w:link w:val="Pripombabesedilo"/>
    <w:uiPriority w:val="99"/>
    <w:rsid w:val="00BB3C52"/>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B3C52"/>
    <w:rPr>
      <w:b/>
      <w:bCs/>
    </w:rPr>
  </w:style>
  <w:style w:type="character" w:customStyle="1" w:styleId="ZadevapripombeZnak">
    <w:name w:val="Zadeva pripombe Znak"/>
    <w:basedOn w:val="PripombabesediloZnak"/>
    <w:link w:val="Zadevapripombe"/>
    <w:uiPriority w:val="99"/>
    <w:semiHidden/>
    <w:rsid w:val="00BB3C52"/>
    <w:rPr>
      <w:rFonts w:ascii="Arial" w:eastAsia="Calibri" w:hAnsi="Arial" w:cs="Times New Roman"/>
      <w:b/>
      <w:bCs/>
      <w:sz w:val="20"/>
      <w:szCs w:val="20"/>
    </w:rPr>
  </w:style>
  <w:style w:type="character" w:customStyle="1" w:styleId="Nerazreenaomemba1">
    <w:name w:val="Nerazrešena omemba1"/>
    <w:basedOn w:val="Privzetapisavaodstavka"/>
    <w:uiPriority w:val="99"/>
    <w:semiHidden/>
    <w:unhideWhenUsed/>
    <w:rsid w:val="00B200CC"/>
    <w:rPr>
      <w:color w:val="605E5C"/>
      <w:shd w:val="clear" w:color="auto" w:fill="E1DFDD"/>
    </w:rPr>
  </w:style>
  <w:style w:type="paragraph" w:customStyle="1" w:styleId="Alineazaodstavkom">
    <w:name w:val="Alinea za odstavkom"/>
    <w:basedOn w:val="Navaden"/>
    <w:link w:val="AlineazaodstavkomZnak"/>
    <w:qFormat/>
    <w:rsid w:val="003E42E3"/>
    <w:pPr>
      <w:numPr>
        <w:numId w:val="15"/>
      </w:numPr>
      <w:overflowPunct w:val="0"/>
      <w:autoSpaceDE w:val="0"/>
      <w:autoSpaceDN w:val="0"/>
      <w:adjustRightInd w:val="0"/>
      <w:spacing w:after="0" w:line="200" w:lineRule="exact"/>
      <w:ind w:left="709" w:hanging="284"/>
      <w:jc w:val="both"/>
      <w:textAlignment w:val="baseline"/>
    </w:pPr>
    <w:rPr>
      <w:rFonts w:eastAsia="Times New Roman" w:cs="Arial"/>
      <w:sz w:val="22"/>
      <w:lang w:eastAsia="sl-SI"/>
    </w:rPr>
  </w:style>
  <w:style w:type="character" w:customStyle="1" w:styleId="AlineazaodstavkomZnak">
    <w:name w:val="Alinea za odstavkom Znak"/>
    <w:link w:val="Alineazaodstavkom"/>
    <w:rsid w:val="003E42E3"/>
    <w:rPr>
      <w:rFonts w:ascii="Arial" w:eastAsia="Times New Roman" w:hAnsi="Arial" w:cs="Arial"/>
      <w:lang w:eastAsia="sl-SI"/>
    </w:rPr>
  </w:style>
  <w:style w:type="paragraph" w:customStyle="1" w:styleId="Alineazatoko">
    <w:name w:val="Alinea za točko"/>
    <w:basedOn w:val="Navaden"/>
    <w:link w:val="AlineazatokoZnak"/>
    <w:qFormat/>
    <w:rsid w:val="003E42E3"/>
    <w:pPr>
      <w:tabs>
        <w:tab w:val="num" w:pos="720"/>
      </w:tabs>
      <w:overflowPunct w:val="0"/>
      <w:autoSpaceDE w:val="0"/>
      <w:autoSpaceDN w:val="0"/>
      <w:adjustRightInd w:val="0"/>
      <w:spacing w:after="0" w:line="200" w:lineRule="exact"/>
      <w:ind w:left="720" w:hanging="720"/>
      <w:jc w:val="both"/>
      <w:textAlignment w:val="baseline"/>
    </w:pPr>
    <w:rPr>
      <w:rFonts w:eastAsia="Times New Roman" w:cs="Arial"/>
      <w:sz w:val="22"/>
      <w:lang w:eastAsia="sl-SI"/>
    </w:rPr>
  </w:style>
  <w:style w:type="character" w:customStyle="1" w:styleId="AlineazatokoZnak">
    <w:name w:val="Alinea za točko Znak"/>
    <w:link w:val="Alineazatoko"/>
    <w:rsid w:val="003E42E3"/>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6D5643"/>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6D5643"/>
    <w:rPr>
      <w:rFonts w:ascii="Arial" w:eastAsia="Calibri" w:hAnsi="Arial" w:cs="Times New Roman"/>
      <w:sz w:val="20"/>
      <w:szCs w:val="20"/>
    </w:rPr>
  </w:style>
  <w:style w:type="paragraph" w:styleId="Besedilooblaka">
    <w:name w:val="Balloon Text"/>
    <w:basedOn w:val="Navaden"/>
    <w:link w:val="BesedilooblakaZnak"/>
    <w:uiPriority w:val="99"/>
    <w:semiHidden/>
    <w:unhideWhenUsed/>
    <w:rsid w:val="00E06E0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6E00"/>
    <w:rPr>
      <w:rFonts w:ascii="Segoe UI" w:eastAsia="Calibri" w:hAnsi="Segoe UI" w:cs="Segoe UI"/>
      <w:sz w:val="18"/>
      <w:szCs w:val="18"/>
    </w:rPr>
  </w:style>
  <w:style w:type="paragraph" w:styleId="Revizija">
    <w:name w:val="Revision"/>
    <w:hidden/>
    <w:uiPriority w:val="99"/>
    <w:semiHidden/>
    <w:rsid w:val="008A0E7B"/>
    <w:pPr>
      <w:spacing w:after="0" w:line="240" w:lineRule="auto"/>
    </w:pPr>
    <w:rPr>
      <w:rFonts w:ascii="Arial" w:eastAsia="Calibri" w:hAnsi="Arial" w:cs="Times New Roman"/>
      <w:sz w:val="20"/>
    </w:rPr>
  </w:style>
  <w:style w:type="character" w:styleId="Nerazreenaomemba">
    <w:name w:val="Unresolved Mention"/>
    <w:basedOn w:val="Privzetapisavaodstavka"/>
    <w:uiPriority w:val="99"/>
    <w:semiHidden/>
    <w:unhideWhenUsed/>
    <w:rsid w:val="00BB6E01"/>
    <w:rPr>
      <w:color w:val="605E5C"/>
      <w:shd w:val="clear" w:color="auto" w:fill="E1DFDD"/>
    </w:rPr>
  </w:style>
  <w:style w:type="table" w:styleId="Tabelamrea">
    <w:name w:val="Table Grid"/>
    <w:basedOn w:val="Navadnatabela"/>
    <w:uiPriority w:val="59"/>
    <w:rsid w:val="00B3784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30214">
      <w:bodyDiv w:val="1"/>
      <w:marLeft w:val="0"/>
      <w:marRight w:val="0"/>
      <w:marTop w:val="0"/>
      <w:marBottom w:val="0"/>
      <w:divBdr>
        <w:top w:val="none" w:sz="0" w:space="0" w:color="auto"/>
        <w:left w:val="none" w:sz="0" w:space="0" w:color="auto"/>
        <w:bottom w:val="none" w:sz="0" w:space="0" w:color="auto"/>
        <w:right w:val="none" w:sz="0" w:space="0" w:color="auto"/>
      </w:divBdr>
    </w:div>
    <w:div w:id="518592345">
      <w:bodyDiv w:val="1"/>
      <w:marLeft w:val="0"/>
      <w:marRight w:val="0"/>
      <w:marTop w:val="0"/>
      <w:marBottom w:val="0"/>
      <w:divBdr>
        <w:top w:val="none" w:sz="0" w:space="0" w:color="auto"/>
        <w:left w:val="none" w:sz="0" w:space="0" w:color="auto"/>
        <w:bottom w:val="none" w:sz="0" w:space="0" w:color="auto"/>
        <w:right w:val="none" w:sz="0" w:space="0" w:color="auto"/>
      </w:divBdr>
    </w:div>
    <w:div w:id="518932835">
      <w:bodyDiv w:val="1"/>
      <w:marLeft w:val="0"/>
      <w:marRight w:val="0"/>
      <w:marTop w:val="0"/>
      <w:marBottom w:val="0"/>
      <w:divBdr>
        <w:top w:val="none" w:sz="0" w:space="0" w:color="auto"/>
        <w:left w:val="none" w:sz="0" w:space="0" w:color="auto"/>
        <w:bottom w:val="none" w:sz="0" w:space="0" w:color="auto"/>
        <w:right w:val="none" w:sz="0" w:space="0" w:color="auto"/>
      </w:divBdr>
    </w:div>
    <w:div w:id="817693008">
      <w:bodyDiv w:val="1"/>
      <w:marLeft w:val="0"/>
      <w:marRight w:val="0"/>
      <w:marTop w:val="0"/>
      <w:marBottom w:val="0"/>
      <w:divBdr>
        <w:top w:val="none" w:sz="0" w:space="0" w:color="auto"/>
        <w:left w:val="none" w:sz="0" w:space="0" w:color="auto"/>
        <w:bottom w:val="none" w:sz="0" w:space="0" w:color="auto"/>
        <w:right w:val="none" w:sz="0" w:space="0" w:color="auto"/>
      </w:divBdr>
    </w:div>
    <w:div w:id="827208302">
      <w:bodyDiv w:val="1"/>
      <w:marLeft w:val="0"/>
      <w:marRight w:val="0"/>
      <w:marTop w:val="0"/>
      <w:marBottom w:val="0"/>
      <w:divBdr>
        <w:top w:val="none" w:sz="0" w:space="0" w:color="auto"/>
        <w:left w:val="none" w:sz="0" w:space="0" w:color="auto"/>
        <w:bottom w:val="none" w:sz="0" w:space="0" w:color="auto"/>
        <w:right w:val="none" w:sz="0" w:space="0" w:color="auto"/>
      </w:divBdr>
    </w:div>
    <w:div w:id="1239053826">
      <w:bodyDiv w:val="1"/>
      <w:marLeft w:val="0"/>
      <w:marRight w:val="0"/>
      <w:marTop w:val="0"/>
      <w:marBottom w:val="0"/>
      <w:divBdr>
        <w:top w:val="none" w:sz="0" w:space="0" w:color="auto"/>
        <w:left w:val="none" w:sz="0" w:space="0" w:color="auto"/>
        <w:bottom w:val="none" w:sz="0" w:space="0" w:color="auto"/>
        <w:right w:val="none" w:sz="0" w:space="0" w:color="auto"/>
      </w:divBdr>
    </w:div>
    <w:div w:id="1419788458">
      <w:bodyDiv w:val="1"/>
      <w:marLeft w:val="0"/>
      <w:marRight w:val="0"/>
      <w:marTop w:val="0"/>
      <w:marBottom w:val="0"/>
      <w:divBdr>
        <w:top w:val="none" w:sz="0" w:space="0" w:color="auto"/>
        <w:left w:val="none" w:sz="0" w:space="0" w:color="auto"/>
        <w:bottom w:val="none" w:sz="0" w:space="0" w:color="auto"/>
        <w:right w:val="none" w:sz="0" w:space="0" w:color="auto"/>
      </w:divBdr>
    </w:div>
    <w:div w:id="1462454783">
      <w:bodyDiv w:val="1"/>
      <w:marLeft w:val="0"/>
      <w:marRight w:val="0"/>
      <w:marTop w:val="0"/>
      <w:marBottom w:val="0"/>
      <w:divBdr>
        <w:top w:val="none" w:sz="0" w:space="0" w:color="auto"/>
        <w:left w:val="none" w:sz="0" w:space="0" w:color="auto"/>
        <w:bottom w:val="none" w:sz="0" w:space="0" w:color="auto"/>
        <w:right w:val="none" w:sz="0" w:space="0" w:color="auto"/>
      </w:divBdr>
    </w:div>
    <w:div w:id="1534226498">
      <w:bodyDiv w:val="1"/>
      <w:marLeft w:val="0"/>
      <w:marRight w:val="0"/>
      <w:marTop w:val="0"/>
      <w:marBottom w:val="0"/>
      <w:divBdr>
        <w:top w:val="none" w:sz="0" w:space="0" w:color="auto"/>
        <w:left w:val="none" w:sz="0" w:space="0" w:color="auto"/>
        <w:bottom w:val="none" w:sz="0" w:space="0" w:color="auto"/>
        <w:right w:val="none" w:sz="0" w:space="0" w:color="auto"/>
      </w:divBdr>
    </w:div>
    <w:div w:id="1564828616">
      <w:bodyDiv w:val="1"/>
      <w:marLeft w:val="0"/>
      <w:marRight w:val="0"/>
      <w:marTop w:val="0"/>
      <w:marBottom w:val="0"/>
      <w:divBdr>
        <w:top w:val="none" w:sz="0" w:space="0" w:color="auto"/>
        <w:left w:val="none" w:sz="0" w:space="0" w:color="auto"/>
        <w:bottom w:val="none" w:sz="0" w:space="0" w:color="auto"/>
        <w:right w:val="none" w:sz="0" w:space="0" w:color="auto"/>
      </w:divBdr>
    </w:div>
    <w:div w:id="1952321350">
      <w:bodyDiv w:val="1"/>
      <w:marLeft w:val="0"/>
      <w:marRight w:val="0"/>
      <w:marTop w:val="0"/>
      <w:marBottom w:val="0"/>
      <w:divBdr>
        <w:top w:val="none" w:sz="0" w:space="0" w:color="auto"/>
        <w:left w:val="none" w:sz="0" w:space="0" w:color="auto"/>
        <w:bottom w:val="none" w:sz="0" w:space="0" w:color="auto"/>
        <w:right w:val="none" w:sz="0" w:space="0" w:color="auto"/>
      </w:divBdr>
    </w:div>
    <w:div w:id="1965961116">
      <w:bodyDiv w:val="1"/>
      <w:marLeft w:val="0"/>
      <w:marRight w:val="0"/>
      <w:marTop w:val="0"/>
      <w:marBottom w:val="0"/>
      <w:divBdr>
        <w:top w:val="none" w:sz="0" w:space="0" w:color="auto"/>
        <w:left w:val="none" w:sz="0" w:space="0" w:color="auto"/>
        <w:bottom w:val="none" w:sz="0" w:space="0" w:color="auto"/>
        <w:right w:val="none" w:sz="0" w:space="0" w:color="auto"/>
      </w:divBdr>
    </w:div>
    <w:div w:id="19776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f.gov.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d.sigov.si\dat\MF\DSDCDJP-SSODP-Skupni\Analitski%20oddelek\DohDej\PODATKI\2024\Obra&#269;uni%20DohDej%202006-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200"/>
              <a:t>Graf 1: Število zavezancev za davek</a:t>
            </a:r>
            <a:r>
              <a:rPr lang="sl-SI" sz="1200" baseline="0"/>
              <a:t> od dohodka iz dejavnosti,</a:t>
            </a:r>
            <a:r>
              <a:rPr lang="sl-SI" sz="1200"/>
              <a:t> glede na način ugotavljanja davčne osnove, 2013-2024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Glavno!$L$87</c:f>
              <c:strCache>
                <c:ptCount val="1"/>
                <c:pt idx="0">
                  <c:v>normiranci</c:v>
                </c:pt>
              </c:strCache>
            </c:strRef>
          </c:tx>
          <c:spPr>
            <a:ln w="28575" cap="rnd">
              <a:solidFill>
                <a:schemeClr val="accent1"/>
              </a:solidFill>
              <a:round/>
            </a:ln>
            <a:effectLst/>
          </c:spPr>
          <c:marker>
            <c:symbol val="none"/>
          </c:marker>
          <c:cat>
            <c:numRef>
              <c:f>Glavno!$K$88:$K$99</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Glavno!$L$88:$L$99</c:f>
              <c:numCache>
                <c:formatCode>#,##0</c:formatCode>
                <c:ptCount val="12"/>
                <c:pt idx="0">
                  <c:v>14015</c:v>
                </c:pt>
                <c:pt idx="1">
                  <c:v>20355</c:v>
                </c:pt>
                <c:pt idx="2">
                  <c:v>29756</c:v>
                </c:pt>
                <c:pt idx="3">
                  <c:v>38387</c:v>
                </c:pt>
                <c:pt idx="4">
                  <c:v>46050</c:v>
                </c:pt>
                <c:pt idx="5">
                  <c:v>53128</c:v>
                </c:pt>
                <c:pt idx="6">
                  <c:v>60061</c:v>
                </c:pt>
                <c:pt idx="7">
                  <c:v>65460</c:v>
                </c:pt>
                <c:pt idx="8">
                  <c:v>71001</c:v>
                </c:pt>
                <c:pt idx="9">
                  <c:v>80536</c:v>
                </c:pt>
                <c:pt idx="10">
                  <c:v>85775</c:v>
                </c:pt>
                <c:pt idx="11">
                  <c:v>90340</c:v>
                </c:pt>
              </c:numCache>
            </c:numRef>
          </c:val>
          <c:smooth val="0"/>
          <c:extLst>
            <c:ext xmlns:c16="http://schemas.microsoft.com/office/drawing/2014/chart" uri="{C3380CC4-5D6E-409C-BE32-E72D297353CC}">
              <c16:uniqueId val="{00000000-EFC8-4AFB-B281-C447A441D798}"/>
            </c:ext>
          </c:extLst>
        </c:ser>
        <c:ser>
          <c:idx val="1"/>
          <c:order val="1"/>
          <c:tx>
            <c:strRef>
              <c:f>Glavno!$M$87</c:f>
              <c:strCache>
                <c:ptCount val="1"/>
                <c:pt idx="0">
                  <c:v>dejanski</c:v>
                </c:pt>
              </c:strCache>
            </c:strRef>
          </c:tx>
          <c:spPr>
            <a:ln w="28575" cap="rnd">
              <a:solidFill>
                <a:schemeClr val="accent2"/>
              </a:solidFill>
              <a:round/>
            </a:ln>
            <a:effectLst/>
          </c:spPr>
          <c:marker>
            <c:symbol val="none"/>
          </c:marker>
          <c:cat>
            <c:numRef>
              <c:f>Glavno!$K$88:$K$99</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Glavno!$M$88:$M$99</c:f>
              <c:numCache>
                <c:formatCode>#,##0</c:formatCode>
                <c:ptCount val="12"/>
                <c:pt idx="0">
                  <c:v>77463</c:v>
                </c:pt>
                <c:pt idx="1">
                  <c:v>82559</c:v>
                </c:pt>
                <c:pt idx="2">
                  <c:v>77497</c:v>
                </c:pt>
                <c:pt idx="3">
                  <c:v>71477</c:v>
                </c:pt>
                <c:pt idx="4">
                  <c:v>67879</c:v>
                </c:pt>
                <c:pt idx="5">
                  <c:v>66224</c:v>
                </c:pt>
                <c:pt idx="6">
                  <c:v>63194</c:v>
                </c:pt>
                <c:pt idx="7">
                  <c:v>61073</c:v>
                </c:pt>
                <c:pt idx="8">
                  <c:v>59411</c:v>
                </c:pt>
                <c:pt idx="9">
                  <c:v>58872</c:v>
                </c:pt>
                <c:pt idx="10">
                  <c:v>60163</c:v>
                </c:pt>
                <c:pt idx="11">
                  <c:v>60827</c:v>
                </c:pt>
              </c:numCache>
            </c:numRef>
          </c:val>
          <c:smooth val="0"/>
          <c:extLst>
            <c:ext xmlns:c16="http://schemas.microsoft.com/office/drawing/2014/chart" uri="{C3380CC4-5D6E-409C-BE32-E72D297353CC}">
              <c16:uniqueId val="{00000001-EFC8-4AFB-B281-C447A441D798}"/>
            </c:ext>
          </c:extLst>
        </c:ser>
        <c:dLbls>
          <c:showLegendKey val="0"/>
          <c:showVal val="0"/>
          <c:showCatName val="0"/>
          <c:showSerName val="0"/>
          <c:showPercent val="0"/>
          <c:showBubbleSize val="0"/>
        </c:dLbls>
        <c:smooth val="0"/>
        <c:axId val="375435704"/>
        <c:axId val="375535328"/>
      </c:lineChart>
      <c:catAx>
        <c:axId val="37543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5535328"/>
        <c:crosses val="autoZero"/>
        <c:auto val="1"/>
        <c:lblAlgn val="ctr"/>
        <c:lblOffset val="100"/>
        <c:noMultiLvlLbl val="0"/>
      </c:catAx>
      <c:valAx>
        <c:axId val="375535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5435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151a32cb-68d4-46e2-8990-209d00cbe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B7A8718914BDE4BA8300011CFAD220C" ma:contentTypeVersion="11" ma:contentTypeDescription="Ustvari nov dokument." ma:contentTypeScope="" ma:versionID="300e19618573803e77e43babec178a0e">
  <xsd:schema xmlns:xsd="http://www.w3.org/2001/XMLSchema" xmlns:xs="http://www.w3.org/2001/XMLSchema" xmlns:p="http://schemas.microsoft.com/office/2006/metadata/properties" xmlns:ns2="151a32cb-68d4-46e2-8990-209d00cbea1a" xmlns:ns3="09866c01-3f06-4d68-9fc0-9ed1e03c82b3" targetNamespace="http://schemas.microsoft.com/office/2006/metadata/properties" ma:root="true" ma:fieldsID="0b3483f2caf30ed1be45132a288684e2" ns2:_="" ns3:_="">
    <xsd:import namespace="151a32cb-68d4-46e2-8990-209d00cbea1a"/>
    <xsd:import namespace="09866c01-3f06-4d68-9fc0-9ed1e03c82b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866c01-3f06-4d68-9fc0-9ed1e03c82b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28DF00C-37CC-4DC1-9993-9DFBD21A5BBD}">
  <ds:schemaRefs>
    <ds:schemaRef ds:uri="http://schemas.microsoft.com/office/2006/metadata/properties"/>
    <ds:schemaRef ds:uri="http://schemas.microsoft.com/office/infopath/2007/PartnerControls"/>
    <ds:schemaRef ds:uri="151a32cb-68d4-46e2-8990-209d00cbea1a"/>
  </ds:schemaRefs>
</ds:datastoreItem>
</file>

<file path=customXml/itemProps2.xml><?xml version="1.0" encoding="utf-8"?>
<ds:datastoreItem xmlns:ds="http://schemas.openxmlformats.org/officeDocument/2006/customXml" ds:itemID="{5C9BC04F-50C3-45D7-8236-6D52DD02A3CD}">
  <ds:schemaRefs>
    <ds:schemaRef ds:uri="http://schemas.openxmlformats.org/officeDocument/2006/bibliography"/>
  </ds:schemaRefs>
</ds:datastoreItem>
</file>

<file path=customXml/itemProps3.xml><?xml version="1.0" encoding="utf-8"?>
<ds:datastoreItem xmlns:ds="http://schemas.openxmlformats.org/officeDocument/2006/customXml" ds:itemID="{2E00EAC2-5F0A-44E7-BE24-C954B62DA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09866c01-3f06-4d68-9fc0-9ed1e03c8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3A83C-4A41-4F51-A6E4-4C3458B83307}">
  <ds:schemaRefs>
    <ds:schemaRef ds:uri="http://schemas.microsoft.com/sharepoint/v3/contenttype/forms"/>
  </ds:schemaRefs>
</ds:datastoreItem>
</file>

<file path=customXml/itemProps5.xml><?xml version="1.0" encoding="utf-8"?>
<ds:datastoreItem xmlns:ds="http://schemas.openxmlformats.org/officeDocument/2006/customXml" ds:itemID="{DA4516E0-9808-449F-BBAE-ED944E35DA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24690</Words>
  <Characters>140735</Characters>
  <Application>Microsoft Office Word</Application>
  <DocSecurity>0</DocSecurity>
  <Lines>1172</Lines>
  <Paragraphs>330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165095</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1376321</vt:i4>
      </vt:variant>
      <vt:variant>
        <vt:i4>0</vt:i4>
      </vt:variant>
      <vt:variant>
        <vt:i4>0</vt:i4>
      </vt:variant>
      <vt:variant>
        <vt:i4>5</vt:i4>
      </vt:variant>
      <vt:variant>
        <vt:lpwstr>http://www.mddsz.gov.si/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2025-10-30T08:24:00Z</dcterms:created>
  <dcterms:modified xsi:type="dcterms:W3CDTF">2025-10-30T09:55:00Z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0x0101006B7A8718914BDE4BA8300011CFAD220C</vt:lpwstr>
  </property>
</Properties>
</file>