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7BF1" w14:textId="77777777" w:rsidR="008B7ABC" w:rsidRDefault="008B7ABC">
      <w:pPr>
        <w:spacing w:after="0" w:line="260" w:lineRule="auto"/>
        <w:rPr>
          <w:rFonts w:cs="Arial"/>
        </w:rPr>
      </w:pPr>
    </w:p>
    <w:p w14:paraId="2ED78832" w14:textId="77777777" w:rsidR="008B7ABC" w:rsidRDefault="008B7ABC">
      <w:pPr>
        <w:spacing w:after="0" w:line="260" w:lineRule="auto"/>
        <w:rPr>
          <w:rFonts w:cs="Arial"/>
        </w:rPr>
      </w:pPr>
    </w:p>
    <w:p w14:paraId="1D90B020" w14:textId="77777777" w:rsidR="008B7ABC" w:rsidRDefault="008B7ABC">
      <w:pPr>
        <w:spacing w:after="0" w:line="260" w:lineRule="auto"/>
        <w:rPr>
          <w:rFonts w:cs="Arial"/>
        </w:rPr>
      </w:pPr>
    </w:p>
    <w:p w14:paraId="52C16A74" w14:textId="77777777" w:rsidR="008B7ABC" w:rsidRDefault="008B7ABC">
      <w:pPr>
        <w:spacing w:after="0" w:line="260" w:lineRule="auto"/>
        <w:rPr>
          <w:rFonts w:cs="Arial"/>
        </w:rPr>
      </w:pPr>
    </w:p>
    <w:p w14:paraId="611DD222" w14:textId="77777777" w:rsidR="008B7ABC" w:rsidRDefault="008B7ABC">
      <w:pPr>
        <w:spacing w:after="0" w:line="260" w:lineRule="auto"/>
        <w:rPr>
          <w:rFonts w:cs="Arial"/>
        </w:rPr>
      </w:pPr>
    </w:p>
    <w:p w14:paraId="50135511" w14:textId="77777777" w:rsidR="008B7ABC" w:rsidRDefault="008B7ABC">
      <w:pPr>
        <w:spacing w:after="0" w:line="260" w:lineRule="auto"/>
        <w:rPr>
          <w:rFonts w:cs="Arial"/>
        </w:rPr>
      </w:pPr>
    </w:p>
    <w:p w14:paraId="10B34A8A" w14:textId="77777777" w:rsidR="008B7ABC" w:rsidRDefault="008B7ABC">
      <w:pPr>
        <w:spacing w:after="0" w:line="260" w:lineRule="auto"/>
        <w:rPr>
          <w:rFonts w:cs="Arial"/>
        </w:rPr>
      </w:pPr>
    </w:p>
    <w:p w14:paraId="493F500C" w14:textId="77777777" w:rsidR="008B7ABC" w:rsidRDefault="008B7ABC">
      <w:pPr>
        <w:spacing w:after="0" w:line="260" w:lineRule="auto"/>
        <w:rPr>
          <w:rFonts w:cs="Arial"/>
        </w:rPr>
      </w:pPr>
    </w:p>
    <w:p w14:paraId="1CEEB3E1" w14:textId="77777777" w:rsidR="008B7ABC" w:rsidRDefault="008B7ABC">
      <w:pPr>
        <w:spacing w:after="0" w:line="260" w:lineRule="auto"/>
        <w:rPr>
          <w:rFonts w:cs="Arial"/>
        </w:rPr>
      </w:pPr>
    </w:p>
    <w:p w14:paraId="0C777836" w14:textId="77777777" w:rsidR="008B7ABC" w:rsidRDefault="008B7ABC">
      <w:pPr>
        <w:spacing w:after="0" w:line="260" w:lineRule="auto"/>
        <w:rPr>
          <w:rFonts w:cs="Arial"/>
        </w:rPr>
      </w:pPr>
    </w:p>
    <w:p w14:paraId="5E4B6F4E" w14:textId="77777777" w:rsidR="008B7ABC" w:rsidRDefault="008B7ABC">
      <w:pPr>
        <w:spacing w:after="0" w:line="260" w:lineRule="auto"/>
        <w:rPr>
          <w:rFonts w:cs="Arial"/>
        </w:rPr>
      </w:pPr>
    </w:p>
    <w:p w14:paraId="0EF9EC50" w14:textId="77777777" w:rsidR="008B7ABC" w:rsidRDefault="008B7ABC">
      <w:pPr>
        <w:spacing w:after="0" w:line="260" w:lineRule="auto"/>
        <w:rPr>
          <w:rFonts w:cs="Arial"/>
        </w:rPr>
      </w:pPr>
    </w:p>
    <w:p w14:paraId="24EB7EE6" w14:textId="77777777" w:rsidR="008B7ABC" w:rsidRDefault="008B7ABC">
      <w:pPr>
        <w:spacing w:after="0" w:line="260" w:lineRule="auto"/>
        <w:rPr>
          <w:rFonts w:cs="Arial"/>
        </w:rPr>
      </w:pPr>
    </w:p>
    <w:p w14:paraId="796FFC1E" w14:textId="77777777" w:rsidR="008B7ABC" w:rsidRDefault="008B7ABC">
      <w:pPr>
        <w:spacing w:after="0" w:line="260" w:lineRule="auto"/>
        <w:rPr>
          <w:rFonts w:cs="Arial"/>
        </w:rPr>
      </w:pPr>
    </w:p>
    <w:p w14:paraId="5827FE70" w14:textId="77777777" w:rsidR="008B7ABC" w:rsidRDefault="00482841">
      <w:pPr>
        <w:pStyle w:val="SredinskoOdebeljeno"/>
        <w:spacing w:line="260" w:lineRule="auto"/>
      </w:pPr>
      <w:r>
        <w:t>UREDBA O SPREMEMBAH IN DOPOLNITVAH UREDBE O ODPADNI ELEKTRIČNI IN ELEKTRONSKI OPREMI</w:t>
      </w:r>
    </w:p>
    <w:p w14:paraId="1158EC20" w14:textId="77777777" w:rsidR="008B7ABC" w:rsidRDefault="008B7ABC">
      <w:pPr>
        <w:spacing w:after="0" w:line="260" w:lineRule="auto"/>
        <w:rPr>
          <w:rFonts w:cs="Arial"/>
        </w:rPr>
      </w:pPr>
    </w:p>
    <w:p w14:paraId="1B674E82" w14:textId="77777777" w:rsidR="008B7ABC" w:rsidRDefault="00482841">
      <w:pPr>
        <w:pStyle w:val="Sredinsko"/>
        <w:spacing w:line="260" w:lineRule="auto"/>
      </w:pPr>
      <w:r>
        <w:t>PREDLOG</w:t>
      </w:r>
    </w:p>
    <w:p w14:paraId="653BA49F" w14:textId="77777777" w:rsidR="008B7ABC" w:rsidRDefault="008B7ABC">
      <w:pPr>
        <w:spacing w:after="0" w:line="260" w:lineRule="auto"/>
        <w:rPr>
          <w:rFonts w:cs="Arial"/>
        </w:rPr>
      </w:pPr>
    </w:p>
    <w:p w14:paraId="3C2747F8" w14:textId="77777777" w:rsidR="008B7ABC" w:rsidRDefault="008B7ABC">
      <w:pPr>
        <w:spacing w:after="0" w:line="260" w:lineRule="auto"/>
        <w:rPr>
          <w:rFonts w:cs="Arial"/>
        </w:rPr>
      </w:pPr>
    </w:p>
    <w:p w14:paraId="4A00D7A0" w14:textId="77777777" w:rsidR="008B7ABC" w:rsidRDefault="00482841">
      <w:pPr>
        <w:pStyle w:val="Sredinsko"/>
        <w:spacing w:line="260" w:lineRule="auto"/>
      </w:pPr>
      <w:r>
        <w:t>EVA: 2025-2570-0069</w:t>
      </w:r>
    </w:p>
    <w:p w14:paraId="1D5CE97F" w14:textId="77777777" w:rsidR="008B7ABC" w:rsidRDefault="00482841">
      <w:r>
        <w:br w:type="page"/>
      </w:r>
    </w:p>
    <w:p w14:paraId="107674D9" w14:textId="77777777" w:rsidR="008B7ABC" w:rsidRDefault="00482841">
      <w:pPr>
        <w:pStyle w:val="Odebeljeno"/>
        <w:spacing w:line="260" w:lineRule="auto"/>
      </w:pPr>
      <w:r>
        <w:lastRenderedPageBreak/>
        <w:t>I.</w:t>
      </w:r>
      <w:r>
        <w:tab/>
        <w:t>UVOD</w:t>
      </w:r>
    </w:p>
    <w:p w14:paraId="2B6D55CA" w14:textId="77777777" w:rsidR="008B7ABC" w:rsidRDefault="00482841">
      <w:pPr>
        <w:pStyle w:val="Odebeljeno"/>
        <w:spacing w:line="260" w:lineRule="auto"/>
      </w:pPr>
      <w:r>
        <w:t>1.</w:t>
      </w:r>
      <w:r>
        <w:tab/>
        <w:t>Razlogi in podlage za izdajo</w:t>
      </w:r>
    </w:p>
    <w:p w14:paraId="1C80FFA0" w14:textId="77777777" w:rsidR="008B7ABC" w:rsidRDefault="008B7ABC">
      <w:pPr>
        <w:spacing w:after="0" w:line="260" w:lineRule="auto"/>
        <w:rPr>
          <w:rFonts w:cs="Arial"/>
        </w:rPr>
      </w:pPr>
    </w:p>
    <w:p w14:paraId="1BDB5D6A" w14:textId="77777777" w:rsidR="008B7ABC" w:rsidRDefault="00482841">
      <w:pPr>
        <w:spacing w:after="0" w:line="260" w:lineRule="auto"/>
      </w:pPr>
      <w:r>
        <w:t>Pravna podlaga:</w:t>
      </w:r>
    </w:p>
    <w:p w14:paraId="499B7F81" w14:textId="77777777" w:rsidR="008B7ABC" w:rsidRDefault="00482841">
      <w:pPr>
        <w:spacing w:after="0" w:line="240" w:lineRule="auto"/>
      </w:pPr>
      <w:r>
        <w:t xml:space="preserve">Pravna podlaga za sprejetje predlagane Uredbe o spremembah in dopolnitvah Uredbe o odpadni električni in elektronski opremi (v nadaljnjem besedilu: predlog uredbe) so enajsti in štirinajsti odstavek 20. člena Zakona o varstvu okolja (Uradni list RS, št. 39/06 – uradno prečiščeno besedilo, 49/06 – ZMetD, 66/06 – </w:t>
      </w:r>
      <w:proofErr w:type="spellStart"/>
      <w:r>
        <w:t>odl</w:t>
      </w:r>
      <w:proofErr w:type="spellEnd"/>
      <w:r>
        <w:t xml:space="preserve">. US, 33/07 – ZPNačrt, 57/08 – ZFO-1A, 70/08, 108/09, 108/09 – ZPNačrt-A, 48/12, 57/12, 92/13, 56/15, 102/15, 30/16, 61/17 – GZ, 21/18 – </w:t>
      </w:r>
      <w:proofErr w:type="spellStart"/>
      <w:r>
        <w:t>ZNOrg</w:t>
      </w:r>
      <w:proofErr w:type="spellEnd"/>
      <w:r>
        <w:t xml:space="preserve">, 84/18 – ZIURKOE, 158/20 in 44/22 – ZVO-2; v nadaljnjem besedilu: ZVO-1) ter šesta točka tretjega odstavka 21. člena in šesti odstavek 24. člena Zakona o varstvu okolja (Uradni list RS, št. 44/22, 18/23 – ZDU-1O, 78/23 – ZUNPEOVE, 23/24, 21/25 – ZOPVOOV in 56/25 – </w:t>
      </w:r>
      <w:proofErr w:type="spellStart"/>
      <w:r>
        <w:t>PoZ</w:t>
      </w:r>
      <w:proofErr w:type="spellEnd"/>
      <w:r>
        <w:t>; v nadaljnjem besedilu: ZVO-2) v zvezi s prvim odstavkom 264. člena ZVO-2.</w:t>
      </w:r>
    </w:p>
    <w:p w14:paraId="6D774317" w14:textId="77777777" w:rsidR="008B7ABC" w:rsidRDefault="00482841">
      <w:pPr>
        <w:spacing w:after="0" w:line="240" w:lineRule="auto"/>
      </w:pPr>
      <w:r>
        <w:t xml:space="preserve"> </w:t>
      </w:r>
    </w:p>
    <w:p w14:paraId="1355B149" w14:textId="77777777" w:rsidR="008B7ABC" w:rsidRDefault="00482841">
      <w:pPr>
        <w:spacing w:after="0" w:line="240" w:lineRule="auto"/>
      </w:pPr>
      <w:r>
        <w:t>Pravna podlaga med drugim temelji na dejstvu, da je izvajanje določb podpoglavja »Sistem PRO« ZVO-2 zaradi ustavne presoje zadržano in da se do končne odločitve Ustavnega sodišča Republike Slovenije (sklepa št. U-I-104/22-15 z dne 19. 5. 2022 in U-I-104/22-36 z dne 14. 12. 2022) uporabljajo predpisi, ki uvajajo proizvajalčevo razširjeno odgovornost (v nadaljnjem besedilu: PRO) na podlagi ZVO-1.</w:t>
      </w:r>
    </w:p>
    <w:p w14:paraId="597EEE99" w14:textId="77777777" w:rsidR="008B7ABC" w:rsidRDefault="00482841">
      <w:pPr>
        <w:spacing w:after="0" w:line="240" w:lineRule="auto"/>
      </w:pPr>
      <w:r>
        <w:rPr>
          <w:b/>
        </w:rPr>
        <w:t xml:space="preserve"> </w:t>
      </w:r>
    </w:p>
    <w:p w14:paraId="75943C72" w14:textId="77777777" w:rsidR="008B7ABC" w:rsidRDefault="00482841">
      <w:pPr>
        <w:spacing w:after="0" w:line="240" w:lineRule="auto"/>
      </w:pPr>
      <w:r>
        <w:t>Rok za sprejetje predloga uredbe in uskladitev slovenskega pravnega reda z evropskim je določen z Direktivo (EU) 2024/884 Evropskega parlamenta in Sveta z dne 13. marca 2024 o spremembi Direktive 2012/19/EU o odpadni električni in elektronski opremi (OEEO) (UL L št. 2024/884 z dne 19. 3. 2024), (v nadaljnjem besedilu: Direktiva 2024/884/EU), in sicer najpozneje do 9. oktobra 2025.</w:t>
      </w:r>
    </w:p>
    <w:p w14:paraId="52DFCB96" w14:textId="77777777" w:rsidR="008B7ABC" w:rsidRDefault="00482841">
      <w:pPr>
        <w:spacing w:after="0" w:line="240" w:lineRule="auto"/>
      </w:pPr>
      <w:r>
        <w:t xml:space="preserve"> </w:t>
      </w:r>
    </w:p>
    <w:p w14:paraId="6E92222A" w14:textId="77777777" w:rsidR="008B7ABC" w:rsidRDefault="00482841">
      <w:pPr>
        <w:spacing w:after="0" w:line="240" w:lineRule="auto"/>
      </w:pPr>
      <w:r>
        <w:t>Glavni namen predloga uredbe je ciljna sprememba Uredbe o odpadni električni in elektronski opremi (Uradni list RS, št. 55/15, 47/16, 72/18, 84/18 – ZIURKOE, 108/20 in 44/22 – ZVO-2; v nadaljnjem besedilu: uredba) za zagotovitev prenosa Direktive 2024/884/EU v pravni red Republike Slovenije.</w:t>
      </w:r>
    </w:p>
    <w:p w14:paraId="77359BF1" w14:textId="77777777" w:rsidR="008B7ABC" w:rsidRDefault="00482841">
      <w:pPr>
        <w:spacing w:after="0" w:line="240" w:lineRule="auto"/>
      </w:pPr>
      <w:r>
        <w:t xml:space="preserve"> </w:t>
      </w:r>
    </w:p>
    <w:p w14:paraId="5EAC61F6" w14:textId="77777777" w:rsidR="008B7ABC" w:rsidRDefault="00482841">
      <w:pPr>
        <w:spacing w:after="0" w:line="240" w:lineRule="auto"/>
      </w:pPr>
      <w:r>
        <w:t xml:space="preserve">Sodišče Evropske unije je 25. januarja 2022 v sodbi v zadevi C-181/20 razsodilo, da je člen 13(1) Direktive 2012/19/EU Evropskega parlamenta in Sveta z dne 4. julija 2012 o odpadni električni in elektronski opremi (OEEO) (UL L št. 197 z dne 24. 7. 2012, str. 38), nazadnje spremenjene z Direktivo 2024/884/EU, (v nadaljnjem besedilu: Direktiva 2012/19/EU) zaradi neupravičenega retroaktivnega učinka delno neveljaven. Določal je namreč finančno obveznost kritja stroškov ravnanja z odpadki iz </w:t>
      </w:r>
      <w:proofErr w:type="spellStart"/>
      <w:r>
        <w:t>fotonapetostnih</w:t>
      </w:r>
      <w:proofErr w:type="spellEnd"/>
      <w:r>
        <w:t xml:space="preserve"> modulov, danih na trg v obdobju med 14. avgustom 2005 in 12. avgustom 2012. Trinajsti avgust 2012 je datum začetka veljavnosti takratne nove Direktive 2012/19/EU, ki je nadomestila Direktivo 2002/96/ES Evropskega parlamenta in Sveta z dne 27. januarja 2003 o odpadni električni in elektronski opremi (OEEO) (UL L št. 37 z dne 13. 2. 2003, str. 24), (v nadaljnjem besedilu: Direktiva 2002/96/EU) in s katero so bili v področje uporabe dodatno vključeni tudi </w:t>
      </w:r>
      <w:proofErr w:type="spellStart"/>
      <w:r>
        <w:t>fotonapetostni</w:t>
      </w:r>
      <w:proofErr w:type="spellEnd"/>
      <w:r>
        <w:t xml:space="preserve"> moduli. Po mnenju Sodišč</w:t>
      </w:r>
      <w:r>
        <w:t xml:space="preserve">a Evropske unije je treba šteti, da se pozneje sprejeto pravilo iz člena 13(1) Direktive 2012/19/EU, v skladu s katerim morajo  stroške, povezane z ravnanjem s </w:t>
      </w:r>
      <w:proofErr w:type="spellStart"/>
      <w:r>
        <w:t>fotonapetostnimi</w:t>
      </w:r>
      <w:proofErr w:type="spellEnd"/>
      <w:r>
        <w:t xml:space="preserve"> moduli ob koncu življenjske dobe, kriti proizvajalci, četudi so bili proizvodi dani na trg v obdobju, ko je veljala prejšnja zakonodaja, uporablja retroaktivno. Zato lahko krši načelo pravne varnosti. Sodba je zahtevala nadaljnje ukrepanje s ciljno usmerjeno spremembo Direktive 2012/19/EU o odpadni električni in elektronski opremi (v</w:t>
      </w:r>
      <w:r>
        <w:t xml:space="preserve"> nadaljnjem besedilu: OEEO) in njenega člena 13(1) o kritju stroškov zbiranja in obdelave OEEO.</w:t>
      </w:r>
    </w:p>
    <w:p w14:paraId="16370C7C" w14:textId="77777777" w:rsidR="008B7ABC" w:rsidRDefault="00482841">
      <w:pPr>
        <w:spacing w:after="0" w:line="240" w:lineRule="auto"/>
      </w:pPr>
      <w:r>
        <w:t xml:space="preserve"> </w:t>
      </w:r>
    </w:p>
    <w:p w14:paraId="58E6BD06" w14:textId="77777777" w:rsidR="008B7ABC" w:rsidRDefault="00482841">
      <w:pPr>
        <w:spacing w:after="0" w:line="240" w:lineRule="auto"/>
      </w:pPr>
      <w:r>
        <w:t xml:space="preserve">Zato je bila v zvezi z navedeno sodbo Sodišča Evropske unije zaradi spoštovanja načela prepovedi povratne veljave pravnih aktov in s tem za preprečitev kršitve pravne varnosti pri izvajanju direktive sprejeta Direktiva 2024/884/EU. Z njo so bili glede na sodbo sodišča zagotovljeni spoštovanje načela prepovedi retroaktivnosti, preprečitev kršitve pravne varnosti pri izvajanju direktive in spoštovanje povezanih interesov gospodarskih subjektov za obdobje, ko se Direktiva 2012/19/EU še ni uporabljala za </w:t>
      </w:r>
      <w:proofErr w:type="spellStart"/>
      <w:r>
        <w:t>fotonapetostne</w:t>
      </w:r>
      <w:proofErr w:type="spellEnd"/>
      <w:r>
        <w:t xml:space="preserve"> module in druge proizvode, na novo vključene v njeno področje uporabe. Spremenjena direktiva torej uvaja obveznost PRO za proizvajalce </w:t>
      </w:r>
      <w:proofErr w:type="spellStart"/>
      <w:r>
        <w:t>fotonapetostnih</w:t>
      </w:r>
      <w:proofErr w:type="spellEnd"/>
      <w:r>
        <w:t xml:space="preserve"> modulov, danih na trg od 13. avgusta 2012, ko so bili </w:t>
      </w:r>
      <w:proofErr w:type="spellStart"/>
      <w:r>
        <w:t>fotonapetostni</w:t>
      </w:r>
      <w:proofErr w:type="spellEnd"/>
      <w:r>
        <w:t xml:space="preserve"> moduli vključeni v področje uporabe Direktive 2012/19/EU (in ne od 13. avgusta 2005). Tudi obveznost označevanja </w:t>
      </w:r>
      <w:proofErr w:type="spellStart"/>
      <w:r>
        <w:t>fotonapetostnih</w:t>
      </w:r>
      <w:proofErr w:type="spellEnd"/>
      <w:r>
        <w:t xml:space="preserve"> modulov se v skladu s standardom SIST EN 50419:2022 uporablja od 13. avgusta 2012, in ne od 13. avgusta 2005.</w:t>
      </w:r>
    </w:p>
    <w:p w14:paraId="26EE7010" w14:textId="77777777" w:rsidR="008B7ABC" w:rsidRDefault="00482841">
      <w:pPr>
        <w:spacing w:after="0" w:line="240" w:lineRule="auto"/>
      </w:pPr>
      <w:r>
        <w:t xml:space="preserve"> </w:t>
      </w:r>
    </w:p>
    <w:p w14:paraId="244DEA55" w14:textId="77777777" w:rsidR="008B7ABC" w:rsidRDefault="00482841">
      <w:pPr>
        <w:spacing w:after="0" w:line="240" w:lineRule="auto"/>
      </w:pPr>
      <w:r>
        <w:lastRenderedPageBreak/>
        <w:t xml:space="preserve">Proizvajalcem </w:t>
      </w:r>
      <w:proofErr w:type="spellStart"/>
      <w:r>
        <w:t>fotonapetostnih</w:t>
      </w:r>
      <w:proofErr w:type="spellEnd"/>
      <w:r>
        <w:t xml:space="preserve"> modulov se torej s to spremembo ne nalagajo nikakršne nove obveznosti, ampak se z njo jasno določa, da ta obveznost velja od 13. avgusta 2012, ko so bili v področje uporabe predpisa vključeni tudi </w:t>
      </w:r>
      <w:proofErr w:type="spellStart"/>
      <w:r>
        <w:t>fotonapetostni</w:t>
      </w:r>
      <w:proofErr w:type="spellEnd"/>
      <w:r>
        <w:t xml:space="preserve"> moduli, in ne od 13. avgusta 2005, ko je bila uveljavljena prvotna Direktiva 2002/96/EU.</w:t>
      </w:r>
    </w:p>
    <w:p w14:paraId="5C239485" w14:textId="77777777" w:rsidR="008B7ABC" w:rsidRDefault="00482841">
      <w:pPr>
        <w:spacing w:after="0" w:line="240" w:lineRule="auto"/>
      </w:pPr>
      <w:r>
        <w:t xml:space="preserve"> </w:t>
      </w:r>
    </w:p>
    <w:p w14:paraId="5C05A3C2" w14:textId="77777777" w:rsidR="008B7ABC" w:rsidRDefault="00482841">
      <w:pPr>
        <w:spacing w:after="0" w:line="240" w:lineRule="auto"/>
      </w:pPr>
      <w:r>
        <w:t>Ministrstvo, pristojno za okolje, je načrtovalo spremembo uredbe predvsem zaradi uskladitve z novimi zakonskimi podlagami glede sistema PRO v skladu z ZVO-2. Ob tem naj bi bil zagotovljen tudi prenos določb spremenjene Direktive 2012/19/EU. Vendar se zaradi postopka ustavne presoje podpoglavja »Sistem PRO« iz ZVO-2 to še ni izvedlo. Za zagotovitev prenosa Direktive 2024/884/EU (ki je spremenila Direktivo 2012/19/EU) v pravni red Republike Slovenije je ministrstvo pripravilo ciljno spremembo uredbe.</w:t>
      </w:r>
    </w:p>
    <w:p w14:paraId="5F682377" w14:textId="77777777" w:rsidR="008B7ABC" w:rsidRDefault="00482841">
      <w:pPr>
        <w:spacing w:after="0" w:line="240" w:lineRule="auto"/>
      </w:pPr>
      <w:r>
        <w:t xml:space="preserve"> </w:t>
      </w:r>
    </w:p>
    <w:p w14:paraId="39256BD7" w14:textId="77777777" w:rsidR="008B7ABC" w:rsidRDefault="00482841">
      <w:pPr>
        <w:spacing w:after="0" w:line="240" w:lineRule="auto"/>
      </w:pPr>
      <w:r>
        <w:t>Poleg navedene ciljne spremembe uredbe se z nekaterimi dodatnimi manjšimi spremembami in dopolnitvami zagotavljajo odprava nekaterih napak v uredbi, jasnejša usklajenost z Direktivo 2012/19/EU, posodobitev zahtev in s tem jasnejše zakonodajno okolje.</w:t>
      </w:r>
    </w:p>
    <w:p w14:paraId="6BA6E840" w14:textId="77777777" w:rsidR="008B7ABC" w:rsidRDefault="00482841">
      <w:pPr>
        <w:spacing w:after="0" w:line="240" w:lineRule="auto"/>
      </w:pPr>
      <w:r>
        <w:t xml:space="preserve"> </w:t>
      </w:r>
    </w:p>
    <w:p w14:paraId="7D28D496" w14:textId="77777777" w:rsidR="008B7ABC" w:rsidRDefault="00482841">
      <w:pPr>
        <w:spacing w:after="0" w:line="240" w:lineRule="auto"/>
      </w:pPr>
      <w:r>
        <w:t xml:space="preserve">                </w:t>
      </w:r>
    </w:p>
    <w:p w14:paraId="227069B7" w14:textId="77777777" w:rsidR="008B7ABC" w:rsidRDefault="008B7ABC">
      <w:pPr>
        <w:spacing w:after="0" w:line="260" w:lineRule="auto"/>
        <w:rPr>
          <w:rFonts w:cs="Arial"/>
        </w:rPr>
      </w:pPr>
    </w:p>
    <w:p w14:paraId="4D94689F" w14:textId="77777777" w:rsidR="008B7ABC" w:rsidRDefault="00482841">
      <w:pPr>
        <w:spacing w:after="0" w:line="260" w:lineRule="auto"/>
      </w:pPr>
      <w:r>
        <w:t>Rok za izdajo:</w:t>
      </w:r>
    </w:p>
    <w:p w14:paraId="517E7F1E" w14:textId="77777777" w:rsidR="008B7ABC" w:rsidRDefault="00482841">
      <w:pPr>
        <w:spacing w:after="0" w:line="240" w:lineRule="auto"/>
      </w:pPr>
      <w:r>
        <w:t>Rok za sprejetje predloga uredbe in uskladitev slovenskega pravnega reda z evropskim je določen z Direktivo (EU) 2024/884 Evropskega parlamenta in Sveta z dne 13. marca 2024 o spremembi Direktive 2012/19/EU o odpadni električni in elektronski opremi (OEEO) (UL L št. 2024/884 z dne 19. 3. 2024), (v nadaljnjem besedilu: Direktiva (EU) 2024/884), in sicer najpozneje do 9. oktobra 2025.</w:t>
      </w:r>
    </w:p>
    <w:p w14:paraId="7CDF7630" w14:textId="77777777" w:rsidR="008B7ABC" w:rsidRDefault="00482841">
      <w:pPr>
        <w:spacing w:after="0" w:line="240" w:lineRule="auto"/>
      </w:pPr>
      <w:r>
        <w:t xml:space="preserve"> </w:t>
      </w:r>
    </w:p>
    <w:p w14:paraId="23C61CE7" w14:textId="77777777" w:rsidR="008B7ABC" w:rsidRDefault="008B7ABC">
      <w:pPr>
        <w:spacing w:after="0" w:line="260" w:lineRule="auto"/>
        <w:rPr>
          <w:rFonts w:cs="Arial"/>
        </w:rPr>
      </w:pPr>
    </w:p>
    <w:p w14:paraId="024FA15D" w14:textId="77777777" w:rsidR="008B7ABC" w:rsidRDefault="00482841">
      <w:pPr>
        <w:spacing w:after="0" w:line="260" w:lineRule="auto"/>
      </w:pPr>
      <w:r>
        <w:t>Glavni razlogi za izdajo:</w:t>
      </w:r>
    </w:p>
    <w:p w14:paraId="43EE1F49" w14:textId="77777777" w:rsidR="008B7ABC" w:rsidRDefault="00482841">
      <w:pPr>
        <w:spacing w:after="0" w:line="240" w:lineRule="auto"/>
      </w:pPr>
      <w:r>
        <w:t xml:space="preserve">Ciljna sprememba uredbe je prenos Direktive 2024/884/ES in s tem odprava kršitve, uradnega opomina Evropske komisije zaradi </w:t>
      </w:r>
      <w:proofErr w:type="spellStart"/>
      <w:r>
        <w:t>nenotifikacije</w:t>
      </w:r>
      <w:proofErr w:type="spellEnd"/>
      <w:r>
        <w:t xml:space="preserve"> predpisov za prenos te direktive. </w:t>
      </w:r>
    </w:p>
    <w:p w14:paraId="21331DB3" w14:textId="77777777" w:rsidR="008B7ABC" w:rsidRDefault="008B7ABC">
      <w:pPr>
        <w:spacing w:after="0" w:line="260" w:lineRule="auto"/>
        <w:rPr>
          <w:rFonts w:cs="Arial"/>
        </w:rPr>
      </w:pPr>
    </w:p>
    <w:p w14:paraId="41070EE7" w14:textId="77777777" w:rsidR="008B7ABC" w:rsidRDefault="00482841">
      <w:pPr>
        <w:pStyle w:val="Odebeljeno"/>
        <w:spacing w:line="260" w:lineRule="auto"/>
      </w:pPr>
      <w:r>
        <w:t>2.</w:t>
      </w:r>
      <w:r>
        <w:tab/>
        <w:t>Ocena finančnih posledic predloga akta za državni proračun in druga javna finančna sredstva</w:t>
      </w:r>
    </w:p>
    <w:p w14:paraId="46D39A92" w14:textId="77777777" w:rsidR="008B7ABC" w:rsidRDefault="008B7ABC">
      <w:pPr>
        <w:spacing w:after="0" w:line="260" w:lineRule="auto"/>
        <w:rPr>
          <w:rFonts w:cs="Arial"/>
        </w:rPr>
      </w:pPr>
    </w:p>
    <w:p w14:paraId="3EDDA709" w14:textId="77777777" w:rsidR="008B7ABC" w:rsidRDefault="00482841">
      <w:pPr>
        <w:spacing w:after="0" w:line="240" w:lineRule="auto"/>
      </w:pPr>
      <w:r>
        <w:t>Predpis nima posledic na tem področju.</w:t>
      </w:r>
    </w:p>
    <w:p w14:paraId="585DCF7F" w14:textId="77777777" w:rsidR="008B7ABC" w:rsidRDefault="008B7ABC">
      <w:pPr>
        <w:spacing w:after="0" w:line="260" w:lineRule="auto"/>
        <w:rPr>
          <w:rFonts w:cs="Arial"/>
        </w:rPr>
      </w:pPr>
    </w:p>
    <w:p w14:paraId="21EE2310" w14:textId="77777777" w:rsidR="008B7ABC" w:rsidRDefault="008B7ABC">
      <w:pPr>
        <w:spacing w:after="0" w:line="260" w:lineRule="auto"/>
        <w:rPr>
          <w:rFonts w:cs="Arial"/>
        </w:rPr>
      </w:pPr>
    </w:p>
    <w:p w14:paraId="47C3F42E" w14:textId="77777777" w:rsidR="008B7ABC" w:rsidRDefault="00482841">
      <w:pPr>
        <w:pStyle w:val="Odebeljeno"/>
        <w:spacing w:line="260" w:lineRule="auto"/>
      </w:pPr>
      <w:r>
        <w:t>3.</w:t>
      </w:r>
      <w:r>
        <w:tab/>
        <w:t xml:space="preserve">Prikaz ureditve v drugih pravnih sistemih in prilagojenosti predlagane ureditve pravu </w:t>
      </w:r>
      <w:r>
        <w:t>Evropske unije</w:t>
      </w:r>
    </w:p>
    <w:p w14:paraId="437B5A9C" w14:textId="77777777" w:rsidR="008B7ABC" w:rsidRDefault="008B7ABC">
      <w:pPr>
        <w:spacing w:after="0" w:line="260" w:lineRule="auto"/>
        <w:rPr>
          <w:rFonts w:cs="Arial"/>
        </w:rPr>
      </w:pPr>
    </w:p>
    <w:p w14:paraId="6E4FDA9A" w14:textId="77777777" w:rsidR="008B7ABC" w:rsidRDefault="00482841">
      <w:pPr>
        <w:pStyle w:val="Odebeljeno"/>
        <w:spacing w:line="260" w:lineRule="auto"/>
      </w:pPr>
      <w:r>
        <w:t>3.1</w:t>
      </w:r>
      <w:r>
        <w:tab/>
        <w:t>Prikaz ureditve v drugih pravnih sistemih</w:t>
      </w:r>
    </w:p>
    <w:p w14:paraId="08822E2D" w14:textId="77777777" w:rsidR="008B7ABC" w:rsidRDefault="008B7ABC">
      <w:pPr>
        <w:spacing w:after="0" w:line="260" w:lineRule="auto"/>
        <w:rPr>
          <w:rFonts w:cs="Arial"/>
        </w:rPr>
      </w:pPr>
    </w:p>
    <w:p w14:paraId="05321AF1" w14:textId="77777777" w:rsidR="008B7ABC" w:rsidRDefault="00482841">
      <w:pPr>
        <w:spacing w:after="0" w:line="260" w:lineRule="auto"/>
      </w:pPr>
      <w:r>
        <w:t>/</w:t>
      </w:r>
    </w:p>
    <w:p w14:paraId="6E403191" w14:textId="77777777" w:rsidR="008B7ABC" w:rsidRDefault="008B7ABC">
      <w:pPr>
        <w:spacing w:after="0" w:line="260" w:lineRule="auto"/>
        <w:rPr>
          <w:rFonts w:cs="Arial"/>
        </w:rPr>
      </w:pPr>
    </w:p>
    <w:p w14:paraId="2FBA7359" w14:textId="77777777" w:rsidR="008B7ABC" w:rsidRDefault="00482841">
      <w:pPr>
        <w:pStyle w:val="Odebeljeno"/>
        <w:spacing w:line="260" w:lineRule="auto"/>
      </w:pPr>
      <w:r>
        <w:t>3.2</w:t>
      </w:r>
      <w:r>
        <w:tab/>
        <w:t>Prikaz ureditve v pravnem redu Evropske unije</w:t>
      </w:r>
    </w:p>
    <w:p w14:paraId="1EE7F7EC" w14:textId="77777777" w:rsidR="008B7ABC" w:rsidRDefault="008B7ABC">
      <w:pPr>
        <w:spacing w:after="0" w:line="260" w:lineRule="auto"/>
        <w:rPr>
          <w:rFonts w:cs="Arial"/>
        </w:rPr>
      </w:pPr>
    </w:p>
    <w:tbl>
      <w:tblPr>
        <w:tblStyle w:val="Tabelamrea"/>
        <w:tblW w:w="0" w:type="auto"/>
        <w:tblLook w:val="04A0" w:firstRow="1" w:lastRow="0" w:firstColumn="1" w:lastColumn="0" w:noHBand="0" w:noVBand="1"/>
      </w:tblPr>
      <w:tblGrid>
        <w:gridCol w:w="9062"/>
      </w:tblGrid>
      <w:tr w:rsidR="00E91806" w14:paraId="70053D53" w14:textId="77777777" w:rsidTr="00E91806">
        <w:trPr>
          <w:trHeight w:val="416"/>
        </w:trPr>
        <w:tc>
          <w:tcPr>
            <w:tcW w:w="9062" w:type="dxa"/>
            <w:tcBorders>
              <w:bottom w:val="triple" w:sz="4" w:space="0" w:color="auto"/>
            </w:tcBorders>
            <w:vAlign w:val="center"/>
          </w:tcPr>
          <w:p w14:paraId="441EE35D" w14:textId="77777777" w:rsidR="008B7ABC" w:rsidRDefault="00482841">
            <w:pPr>
              <w:jc w:val="center"/>
              <w:rPr>
                <w:b/>
              </w:rPr>
            </w:pPr>
            <w:r>
              <w:rPr>
                <w:b/>
              </w:rPr>
              <w:t>IZJAVA O SKLADNOSTI S PRAVNIM REDOM EU</w:t>
            </w:r>
          </w:p>
        </w:tc>
      </w:tr>
    </w:tbl>
    <w:p w14:paraId="140E917D" w14:textId="77777777" w:rsidR="008B7ABC" w:rsidRDefault="00482841">
      <w:pPr>
        <w:spacing w:after="0"/>
        <w:rPr>
          <w:b/>
          <w:u w:val="single"/>
        </w:rPr>
      </w:pPr>
      <w:r>
        <w:rPr>
          <w:b/>
          <w:u w:val="single"/>
        </w:rPr>
        <w:t>NASLOV PREDPISA RS</w:t>
      </w:r>
    </w:p>
    <w:p w14:paraId="0DF03776" w14:textId="77777777" w:rsidR="008B7ABC" w:rsidRDefault="008B7ABC">
      <w:pPr>
        <w:spacing w:after="0"/>
      </w:pPr>
    </w:p>
    <w:p w14:paraId="538C758B" w14:textId="77777777" w:rsidR="008B7ABC" w:rsidRDefault="00482841">
      <w:pPr>
        <w:spacing w:after="0" w:line="360" w:lineRule="auto"/>
      </w:pPr>
      <w:r>
        <w:t xml:space="preserve">Uredba o spremembah in dopolnitvah Uredbe o odpadni električni in </w:t>
      </w:r>
      <w:r>
        <w:t>elektronski opremi</w:t>
      </w:r>
    </w:p>
    <w:p w14:paraId="4E8640DE" w14:textId="77777777" w:rsidR="008B7ABC" w:rsidRDefault="008B7ABC">
      <w:pPr>
        <w:spacing w:after="0"/>
      </w:pPr>
    </w:p>
    <w:p w14:paraId="0F7369A8" w14:textId="77777777" w:rsidR="008B7ABC" w:rsidRDefault="00482841">
      <w:pPr>
        <w:spacing w:after="0"/>
        <w:rPr>
          <w:b/>
        </w:rPr>
      </w:pPr>
      <w:r>
        <w:rPr>
          <w:b/>
          <w:u w:val="single"/>
        </w:rPr>
        <w:t>EVA</w:t>
      </w:r>
    </w:p>
    <w:p w14:paraId="59A8FFD0" w14:textId="77777777" w:rsidR="008B7ABC" w:rsidRDefault="00482841">
      <w:pPr>
        <w:spacing w:after="0"/>
      </w:pPr>
      <w:r>
        <w:t>2025-2570-0069</w:t>
      </w:r>
    </w:p>
    <w:p w14:paraId="436AA7BA" w14:textId="77777777" w:rsidR="008B7ABC" w:rsidRDefault="008B7ABC">
      <w:pPr>
        <w:spacing w:after="0"/>
      </w:pPr>
    </w:p>
    <w:p w14:paraId="6DB16A40" w14:textId="77777777" w:rsidR="008B7ABC" w:rsidRDefault="00482841">
      <w:pPr>
        <w:spacing w:after="0"/>
        <w:rPr>
          <w:b/>
          <w:u w:val="single"/>
        </w:rPr>
      </w:pPr>
      <w:r>
        <w:rPr>
          <w:b/>
          <w:u w:val="single"/>
        </w:rPr>
        <w:t>AKTI EU, KATERIH PRENOS ALI IZVAJANJE SE ZAGOTAVLJA S PREDPISOM RS</w:t>
      </w:r>
    </w:p>
    <w:p w14:paraId="4A4617BB" w14:textId="77777777" w:rsidR="008B7ABC" w:rsidRDefault="008B7ABC">
      <w:pPr>
        <w:spacing w:after="0"/>
      </w:pPr>
    </w:p>
    <w:tbl>
      <w:tblPr>
        <w:tblStyle w:val="Navadnatabela11"/>
        <w:tblW w:w="8628" w:type="dxa"/>
        <w:tblInd w:w="127" w:type="dxa"/>
        <w:tblLook w:val="04A0" w:firstRow="1" w:lastRow="0" w:firstColumn="1" w:lastColumn="0" w:noHBand="0" w:noVBand="1"/>
      </w:tblPr>
      <w:tblGrid>
        <w:gridCol w:w="673"/>
        <w:gridCol w:w="1538"/>
        <w:gridCol w:w="4749"/>
        <w:gridCol w:w="1668"/>
      </w:tblGrid>
      <w:tr w:rsidR="008B7ABC" w14:paraId="37278654" w14:textId="77777777" w:rsidTr="008B7ABC">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7E092BC9" w14:textId="77777777" w:rsidR="008B7ABC" w:rsidRDefault="00482841">
            <w:pPr>
              <w:jc w:val="center"/>
              <w:rPr>
                <w:b w:val="0"/>
              </w:rPr>
            </w:pPr>
            <w:r>
              <w:lastRenderedPageBreak/>
              <w:t>Št.</w:t>
            </w:r>
          </w:p>
        </w:tc>
        <w:tc>
          <w:tcPr>
            <w:tcW w:w="1559" w:type="dxa"/>
            <w:shd w:val="clear" w:color="auto" w:fill="808080"/>
          </w:tcPr>
          <w:p w14:paraId="40E1A978" w14:textId="77777777" w:rsidR="008B7ABC" w:rsidRDefault="00482841">
            <w:pPr>
              <w:jc w:val="center"/>
              <w:rPr>
                <w:b w:val="0"/>
              </w:rPr>
            </w:pPr>
            <w:r>
              <w:t>CELEX</w:t>
            </w:r>
          </w:p>
        </w:tc>
        <w:tc>
          <w:tcPr>
            <w:tcW w:w="4816" w:type="dxa"/>
            <w:shd w:val="clear" w:color="auto" w:fill="808080"/>
          </w:tcPr>
          <w:p w14:paraId="2C2F265B" w14:textId="77777777" w:rsidR="008B7ABC" w:rsidRDefault="00482841">
            <w:pPr>
              <w:jc w:val="center"/>
              <w:rPr>
                <w:b w:val="0"/>
              </w:rPr>
            </w:pPr>
            <w:r>
              <w:t>Naslov</w:t>
            </w:r>
          </w:p>
        </w:tc>
        <w:tc>
          <w:tcPr>
            <w:tcW w:w="1559" w:type="dxa"/>
            <w:shd w:val="clear" w:color="auto" w:fill="808080"/>
          </w:tcPr>
          <w:p w14:paraId="27DF28A8" w14:textId="77777777" w:rsidR="008B7ABC" w:rsidRDefault="00482841">
            <w:pPr>
              <w:jc w:val="center"/>
            </w:pPr>
            <w:r>
              <w:t>Zadnjič spremenjen z (CELEX)</w:t>
            </w:r>
          </w:p>
        </w:tc>
      </w:tr>
      <w:tr w:rsidR="008B7ABC" w14:paraId="7A61AA6A" w14:textId="77777777" w:rsidTr="008B7ABC">
        <w:trPr>
          <w:cnfStyle w:val="000000100000" w:firstRow="0" w:lastRow="0" w:firstColumn="0" w:lastColumn="0" w:oddVBand="0" w:evenVBand="0" w:oddHBand="1" w:evenHBand="0" w:firstRowFirstColumn="0" w:firstRowLastColumn="0" w:lastRowFirstColumn="0" w:lastRowLastColumn="0"/>
        </w:trPr>
        <w:tc>
          <w:tcPr>
            <w:tcW w:w="694" w:type="dxa"/>
          </w:tcPr>
          <w:p w14:paraId="0259216E" w14:textId="77777777" w:rsidR="008B7ABC" w:rsidRDefault="00482841">
            <w:r>
              <w:t>1</w:t>
            </w:r>
          </w:p>
        </w:tc>
        <w:tc>
          <w:tcPr>
            <w:tcW w:w="1559" w:type="dxa"/>
          </w:tcPr>
          <w:p w14:paraId="3064356E" w14:textId="77777777" w:rsidR="008B7ABC" w:rsidRDefault="00482841">
            <w:r>
              <w:t>32012L0019</w:t>
            </w:r>
          </w:p>
        </w:tc>
        <w:tc>
          <w:tcPr>
            <w:tcW w:w="5099" w:type="dxa"/>
          </w:tcPr>
          <w:p w14:paraId="0F6286D9" w14:textId="77777777" w:rsidR="008B7ABC" w:rsidRDefault="00482841">
            <w:r>
              <w:t xml:space="preserve">Direktiva 2012/19/EU Evropskega parlamenta in Sveta z dne 4. julija 2012 o </w:t>
            </w:r>
            <w:r>
              <w:t>odpadni električni in elektronski opremi (OEEO)</w:t>
            </w:r>
          </w:p>
        </w:tc>
        <w:tc>
          <w:tcPr>
            <w:tcW w:w="1701" w:type="dxa"/>
          </w:tcPr>
          <w:p w14:paraId="51DBDAB1" w14:textId="77777777" w:rsidR="008B7ABC" w:rsidRDefault="008B7ABC"/>
        </w:tc>
      </w:tr>
      <w:tr w:rsidR="008B7ABC" w14:paraId="717FFE6C" w14:textId="77777777" w:rsidTr="008B7ABC">
        <w:tc>
          <w:tcPr>
            <w:tcW w:w="694" w:type="dxa"/>
          </w:tcPr>
          <w:p w14:paraId="0FD396DA" w14:textId="77777777" w:rsidR="008B7ABC" w:rsidRDefault="00482841">
            <w:r>
              <w:t>2</w:t>
            </w:r>
          </w:p>
        </w:tc>
        <w:tc>
          <w:tcPr>
            <w:tcW w:w="1559" w:type="dxa"/>
          </w:tcPr>
          <w:p w14:paraId="434EE3DD" w14:textId="77777777" w:rsidR="008B7ABC" w:rsidRDefault="00482841">
            <w:r>
              <w:t>32024L0884</w:t>
            </w:r>
          </w:p>
        </w:tc>
        <w:tc>
          <w:tcPr>
            <w:tcW w:w="5099" w:type="dxa"/>
          </w:tcPr>
          <w:p w14:paraId="448877BE" w14:textId="77777777" w:rsidR="008B7ABC" w:rsidRDefault="00482841">
            <w:r>
              <w:t>Direktiva (EU) 2024/884 Evropskega parlamenta in Sveta z dne 13. marca 2024 o spremembi Direktive 2012/19/EU o odpadni električni in elektronski opremi (OEEO)</w:t>
            </w:r>
          </w:p>
        </w:tc>
        <w:tc>
          <w:tcPr>
            <w:tcW w:w="1701" w:type="dxa"/>
          </w:tcPr>
          <w:p w14:paraId="4266816D" w14:textId="77777777" w:rsidR="008B7ABC" w:rsidRDefault="008B7ABC"/>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8B7ABC" w14:paraId="2BA89E06" w14:textId="77777777">
        <w:trPr>
          <w:trHeight w:val="452"/>
          <w:tblHeader/>
        </w:trPr>
        <w:tc>
          <w:tcPr>
            <w:tcW w:w="3529" w:type="dxa"/>
            <w:gridSpan w:val="4"/>
            <w:shd w:val="clear" w:color="auto" w:fill="808080"/>
          </w:tcPr>
          <w:p w14:paraId="56506E8B" w14:textId="77777777" w:rsidR="008B7ABC" w:rsidRDefault="00482841">
            <w:pPr>
              <w:jc w:val="center"/>
              <w:rPr>
                <w:b/>
              </w:rPr>
            </w:pPr>
            <w:r>
              <w:rPr>
                <w:b/>
              </w:rPr>
              <w:t>Predpis RS</w:t>
            </w:r>
          </w:p>
        </w:tc>
        <w:tc>
          <w:tcPr>
            <w:tcW w:w="1559" w:type="dxa"/>
            <w:vMerge w:val="restart"/>
            <w:shd w:val="clear" w:color="auto" w:fill="808080"/>
          </w:tcPr>
          <w:p w14:paraId="66ADA755" w14:textId="77777777" w:rsidR="008B7ABC" w:rsidRDefault="00482841">
            <w:pPr>
              <w:jc w:val="center"/>
              <w:rPr>
                <w:b/>
              </w:rPr>
            </w:pPr>
            <w:r>
              <w:rPr>
                <w:b/>
              </w:rPr>
              <w:t xml:space="preserve">Opomba ali CELEX </w:t>
            </w:r>
            <w:r>
              <w:rPr>
                <w:b/>
              </w:rPr>
              <w:t>akta EU predpisa</w:t>
            </w:r>
          </w:p>
        </w:tc>
        <w:tc>
          <w:tcPr>
            <w:tcW w:w="3528" w:type="dxa"/>
            <w:gridSpan w:val="4"/>
            <w:shd w:val="clear" w:color="auto" w:fill="808080"/>
          </w:tcPr>
          <w:p w14:paraId="2EF943BE" w14:textId="77777777" w:rsidR="008B7ABC" w:rsidRDefault="00482841">
            <w:pPr>
              <w:jc w:val="center"/>
              <w:rPr>
                <w:b/>
              </w:rPr>
            </w:pPr>
            <w:r>
              <w:rPr>
                <w:b/>
              </w:rPr>
              <w:t>Akt EU</w:t>
            </w:r>
          </w:p>
        </w:tc>
      </w:tr>
      <w:tr w:rsidR="008B7ABC" w14:paraId="5791AE82" w14:textId="77777777">
        <w:trPr>
          <w:trHeight w:val="250"/>
          <w:tblHeader/>
        </w:trPr>
        <w:tc>
          <w:tcPr>
            <w:tcW w:w="709" w:type="dxa"/>
            <w:tcBorders>
              <w:bottom w:val="double" w:sz="4" w:space="0" w:color="auto"/>
            </w:tcBorders>
            <w:shd w:val="clear" w:color="auto" w:fill="808080"/>
          </w:tcPr>
          <w:p w14:paraId="7EC32963" w14:textId="77777777" w:rsidR="008B7ABC" w:rsidRDefault="00482841">
            <w:r>
              <w:t>Člen</w:t>
            </w:r>
          </w:p>
        </w:tc>
        <w:tc>
          <w:tcPr>
            <w:tcW w:w="1134" w:type="dxa"/>
            <w:tcBorders>
              <w:bottom w:val="double" w:sz="4" w:space="0" w:color="auto"/>
            </w:tcBorders>
            <w:shd w:val="clear" w:color="auto" w:fill="808080"/>
          </w:tcPr>
          <w:p w14:paraId="2017B9AC" w14:textId="77777777" w:rsidR="008B7ABC" w:rsidRDefault="00482841">
            <w:r>
              <w:t>Odstavek</w:t>
            </w:r>
          </w:p>
        </w:tc>
        <w:tc>
          <w:tcPr>
            <w:tcW w:w="851" w:type="dxa"/>
            <w:tcBorders>
              <w:bottom w:val="double" w:sz="4" w:space="0" w:color="auto"/>
            </w:tcBorders>
            <w:shd w:val="clear" w:color="auto" w:fill="808080"/>
          </w:tcPr>
          <w:p w14:paraId="493AB4F4" w14:textId="77777777" w:rsidR="008B7ABC" w:rsidRDefault="00482841">
            <w:r>
              <w:t>Točka</w:t>
            </w:r>
          </w:p>
        </w:tc>
        <w:tc>
          <w:tcPr>
            <w:tcW w:w="850" w:type="dxa"/>
            <w:tcBorders>
              <w:bottom w:val="double" w:sz="4" w:space="0" w:color="auto"/>
            </w:tcBorders>
            <w:shd w:val="clear" w:color="auto" w:fill="808080"/>
          </w:tcPr>
          <w:p w14:paraId="6C3CDAB1" w14:textId="77777777" w:rsidR="008B7ABC" w:rsidRDefault="00482841">
            <w:r>
              <w:t>Alinea</w:t>
            </w:r>
          </w:p>
        </w:tc>
        <w:tc>
          <w:tcPr>
            <w:tcW w:w="1985" w:type="dxa"/>
            <w:vMerge/>
            <w:tcBorders>
              <w:bottom w:val="double" w:sz="4" w:space="0" w:color="auto"/>
            </w:tcBorders>
            <w:shd w:val="clear" w:color="auto" w:fill="808080"/>
          </w:tcPr>
          <w:p w14:paraId="759EA146" w14:textId="77777777" w:rsidR="008B7ABC" w:rsidRDefault="008B7ABC">
            <w:pPr>
              <w:rPr>
                <w:b/>
              </w:rPr>
            </w:pPr>
          </w:p>
        </w:tc>
        <w:tc>
          <w:tcPr>
            <w:tcW w:w="709" w:type="dxa"/>
            <w:tcBorders>
              <w:bottom w:val="double" w:sz="4" w:space="0" w:color="auto"/>
            </w:tcBorders>
            <w:shd w:val="clear" w:color="auto" w:fill="808080"/>
          </w:tcPr>
          <w:p w14:paraId="619DE6B3" w14:textId="77777777" w:rsidR="008B7ABC" w:rsidRDefault="00482841">
            <w:r>
              <w:t>Člen</w:t>
            </w:r>
          </w:p>
        </w:tc>
        <w:tc>
          <w:tcPr>
            <w:tcW w:w="1134" w:type="dxa"/>
            <w:tcBorders>
              <w:bottom w:val="double" w:sz="4" w:space="0" w:color="auto"/>
            </w:tcBorders>
            <w:shd w:val="clear" w:color="auto" w:fill="808080"/>
          </w:tcPr>
          <w:p w14:paraId="01A84D01" w14:textId="77777777" w:rsidR="008B7ABC" w:rsidRDefault="00482841">
            <w:r>
              <w:t>Odstavek</w:t>
            </w:r>
          </w:p>
        </w:tc>
        <w:tc>
          <w:tcPr>
            <w:tcW w:w="851" w:type="dxa"/>
            <w:tcBorders>
              <w:bottom w:val="double" w:sz="4" w:space="0" w:color="auto"/>
            </w:tcBorders>
            <w:shd w:val="clear" w:color="auto" w:fill="808080"/>
          </w:tcPr>
          <w:p w14:paraId="309EC906" w14:textId="77777777" w:rsidR="008B7ABC" w:rsidRDefault="00482841">
            <w:r>
              <w:t>Točka</w:t>
            </w:r>
          </w:p>
        </w:tc>
        <w:tc>
          <w:tcPr>
            <w:tcW w:w="850" w:type="dxa"/>
            <w:tcBorders>
              <w:bottom w:val="double" w:sz="4" w:space="0" w:color="auto"/>
            </w:tcBorders>
            <w:shd w:val="clear" w:color="auto" w:fill="808080"/>
          </w:tcPr>
          <w:p w14:paraId="5692C4B8" w14:textId="77777777" w:rsidR="008B7ABC" w:rsidRDefault="00482841">
            <w:r>
              <w:t>Alinea</w:t>
            </w:r>
          </w:p>
        </w:tc>
      </w:tr>
      <w:tr w:rsidR="008B7ABC" w14:paraId="7262EEE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0835A" w14:textId="77777777" w:rsidR="008B7ABC" w:rsidRDefault="00482841">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1BCA2B"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7AF7B"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83F60D"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830792"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64462"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A1CF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741B9"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11D03" w14:textId="77777777" w:rsidR="008B7ABC" w:rsidRDefault="008B7ABC">
            <w:pPr>
              <w:jc w:val="center"/>
            </w:pPr>
          </w:p>
        </w:tc>
      </w:tr>
      <w:tr w:rsidR="008B7ABC" w14:paraId="55B5A04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31211" w14:textId="77777777" w:rsidR="008B7ABC" w:rsidRDefault="00482841">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8F868"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E8CA5"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5647C4"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C2263"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0174B"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A5E3B"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DC9F0"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8C11F" w14:textId="77777777" w:rsidR="008B7ABC" w:rsidRDefault="008B7ABC">
            <w:pPr>
              <w:jc w:val="center"/>
            </w:pPr>
          </w:p>
        </w:tc>
      </w:tr>
      <w:tr w:rsidR="008B7ABC" w14:paraId="085EBAC1"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35BE0" w14:textId="77777777" w:rsidR="008B7ABC" w:rsidRDefault="00482841">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8792A"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CD2376"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65297"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B33EA" w14:textId="77777777" w:rsidR="008B7ABC" w:rsidRDefault="008B7ABC">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34F4E"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B63F1F"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075A8"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E8F5D" w14:textId="77777777" w:rsidR="008B7ABC" w:rsidRDefault="008B7ABC">
            <w:pPr>
              <w:jc w:val="center"/>
            </w:pPr>
          </w:p>
        </w:tc>
      </w:tr>
      <w:tr w:rsidR="008B7ABC" w14:paraId="41E7E7AA"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F3B08" w14:textId="77777777" w:rsidR="008B7ABC" w:rsidRDefault="00482841">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86F3B" w14:textId="77777777" w:rsidR="008B7ABC" w:rsidRDefault="00482841">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015A8"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BA52C"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C6C56" w14:textId="77777777" w:rsidR="008B7ABC" w:rsidRDefault="00482841">
            <w:pPr>
              <w:jc w:val="center"/>
            </w:pPr>
            <w:r>
              <w:t>32024L0884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519E6" w14:textId="77777777" w:rsidR="008B7ABC" w:rsidRDefault="00482841">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F73BB" w14:textId="77777777" w:rsidR="008B7ABC" w:rsidRDefault="00482841">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7AB58"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7523B6" w14:textId="77777777" w:rsidR="008B7ABC" w:rsidRDefault="008B7ABC">
            <w:pPr>
              <w:jc w:val="center"/>
            </w:pPr>
          </w:p>
        </w:tc>
      </w:tr>
      <w:tr w:rsidR="008B7ABC" w14:paraId="3C2F8FD9"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F49FC" w14:textId="77777777" w:rsidR="008B7ABC" w:rsidRDefault="00482841">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63198"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98789"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15B39"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58C58" w14:textId="77777777" w:rsidR="008B7ABC" w:rsidRDefault="008B7ABC">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608BA"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98BAD"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07052"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1D906" w14:textId="77777777" w:rsidR="008B7ABC" w:rsidRDefault="008B7ABC">
            <w:pPr>
              <w:jc w:val="center"/>
            </w:pPr>
          </w:p>
        </w:tc>
      </w:tr>
      <w:tr w:rsidR="008B7ABC" w14:paraId="2202955B"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AE5B6A" w14:textId="77777777" w:rsidR="008B7ABC" w:rsidRDefault="00482841">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5B458" w14:textId="77777777" w:rsidR="008B7ABC" w:rsidRDefault="00482841">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46EB5"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7EE52"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AE8E18" w14:textId="77777777" w:rsidR="008B7ABC" w:rsidRDefault="00482841">
            <w:pPr>
              <w:jc w:val="center"/>
            </w:pPr>
            <w:r>
              <w:t>32012L0019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8DDB13" w14:textId="77777777" w:rsidR="008B7ABC" w:rsidRDefault="00482841">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A5620" w14:textId="77777777" w:rsidR="008B7ABC" w:rsidRDefault="00482841">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6C498"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0D32F" w14:textId="77777777" w:rsidR="008B7ABC" w:rsidRDefault="008B7ABC">
            <w:pPr>
              <w:jc w:val="center"/>
            </w:pPr>
          </w:p>
        </w:tc>
      </w:tr>
      <w:tr w:rsidR="008B7ABC" w14:paraId="028F671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89175" w14:textId="77777777" w:rsidR="008B7ABC" w:rsidRDefault="00482841">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127B2"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CAA9C"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9FF70"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91A37" w14:textId="77777777" w:rsidR="008B7ABC" w:rsidRDefault="00482841">
            <w:pPr>
              <w:jc w:val="center"/>
            </w:pPr>
            <w:r>
              <w:t xml:space="preserve">Ni </w:t>
            </w:r>
            <w:r>
              <w:t>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FA878"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EBA11"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4FA0A"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91FA3" w14:textId="77777777" w:rsidR="008B7ABC" w:rsidRDefault="008B7ABC">
            <w:pPr>
              <w:jc w:val="center"/>
            </w:pPr>
          </w:p>
        </w:tc>
      </w:tr>
      <w:tr w:rsidR="008B7ABC" w14:paraId="74065060"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1A927" w14:textId="77777777" w:rsidR="008B7ABC" w:rsidRDefault="00482841">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731CED"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9A62F"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93D1A"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9FB2B" w14:textId="77777777" w:rsidR="008B7ABC" w:rsidRDefault="008B7ABC">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569AD"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3EF83"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82A04"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0A27B" w14:textId="77777777" w:rsidR="008B7ABC" w:rsidRDefault="008B7ABC">
            <w:pPr>
              <w:jc w:val="center"/>
            </w:pPr>
          </w:p>
        </w:tc>
      </w:tr>
      <w:tr w:rsidR="008B7ABC" w14:paraId="4105E30C"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67148" w14:textId="77777777" w:rsidR="008B7ABC" w:rsidRDefault="00482841">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49B1D" w14:textId="77777777" w:rsidR="008B7ABC" w:rsidRDefault="00482841">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F9E12"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0002A"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E32D30" w14:textId="77777777" w:rsidR="008B7ABC" w:rsidRDefault="00482841">
            <w:pPr>
              <w:jc w:val="center"/>
            </w:pPr>
            <w:r>
              <w:t>32024L0884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973CA" w14:textId="77777777" w:rsidR="008B7ABC" w:rsidRDefault="00482841">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BCEB2" w14:textId="77777777" w:rsidR="008B7ABC" w:rsidRDefault="00482841">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6552FC" w14:textId="77777777" w:rsidR="008B7ABC" w:rsidRDefault="00482841">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D82F5" w14:textId="77777777" w:rsidR="008B7ABC" w:rsidRDefault="008B7ABC">
            <w:pPr>
              <w:jc w:val="center"/>
            </w:pPr>
          </w:p>
        </w:tc>
      </w:tr>
      <w:tr w:rsidR="008B7ABC" w14:paraId="5C38A9C8"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4085F" w14:textId="77777777" w:rsidR="008B7ABC" w:rsidRDefault="00482841">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1E326" w14:textId="77777777" w:rsidR="008B7ABC" w:rsidRDefault="00482841">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42351"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B8D3A"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85C9C1" w14:textId="77777777" w:rsidR="008B7ABC" w:rsidRDefault="00482841">
            <w:pPr>
              <w:jc w:val="center"/>
            </w:pPr>
            <w:r>
              <w:t>32024L0884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99C94F" w14:textId="77777777" w:rsidR="008B7ABC" w:rsidRDefault="00482841">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C8729" w14:textId="77777777" w:rsidR="008B7ABC" w:rsidRDefault="00482841">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9F0DC"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9EDE8" w14:textId="77777777" w:rsidR="008B7ABC" w:rsidRDefault="008B7ABC">
            <w:pPr>
              <w:jc w:val="center"/>
            </w:pPr>
          </w:p>
        </w:tc>
      </w:tr>
      <w:tr w:rsidR="008B7ABC" w14:paraId="276CF07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648F5" w14:textId="77777777" w:rsidR="008B7ABC" w:rsidRDefault="00482841">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996AD"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431E"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98852"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FBB5B"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37EC9"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B387A3"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74EE8"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AFA31" w14:textId="77777777" w:rsidR="008B7ABC" w:rsidRDefault="008B7ABC">
            <w:pPr>
              <w:jc w:val="center"/>
            </w:pPr>
          </w:p>
        </w:tc>
      </w:tr>
      <w:tr w:rsidR="008B7ABC" w14:paraId="34D573A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519D5C" w14:textId="77777777" w:rsidR="008B7ABC" w:rsidRDefault="00482841">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E98A1"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239E6"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3E520"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29DBC9"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17BB9"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4298B"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CAA251"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2020D" w14:textId="77777777" w:rsidR="008B7ABC" w:rsidRDefault="008B7ABC">
            <w:pPr>
              <w:jc w:val="center"/>
            </w:pPr>
          </w:p>
        </w:tc>
      </w:tr>
      <w:tr w:rsidR="008B7ABC" w14:paraId="40F63B4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C3B492" w14:textId="77777777" w:rsidR="008B7ABC" w:rsidRDefault="00482841">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3477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6965"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79F925"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7D5C9"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15596"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D45F8"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1F2D7"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E0157" w14:textId="77777777" w:rsidR="008B7ABC" w:rsidRDefault="008B7ABC">
            <w:pPr>
              <w:jc w:val="center"/>
            </w:pPr>
          </w:p>
        </w:tc>
      </w:tr>
      <w:tr w:rsidR="008B7ABC" w14:paraId="784CA96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CD002" w14:textId="77777777" w:rsidR="008B7ABC" w:rsidRDefault="00482841">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4C5ED"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EFD7"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2BD4E"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954E01" w14:textId="77777777" w:rsidR="008B7ABC" w:rsidRDefault="00482841">
            <w:pPr>
              <w:jc w:val="center"/>
            </w:pPr>
            <w:r>
              <w:t xml:space="preserve">Ni </w:t>
            </w:r>
            <w:r>
              <w:t>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E28CC"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FE8E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27F5F6"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13AFD0" w14:textId="77777777" w:rsidR="008B7ABC" w:rsidRDefault="008B7ABC">
            <w:pPr>
              <w:jc w:val="center"/>
            </w:pPr>
          </w:p>
        </w:tc>
      </w:tr>
      <w:tr w:rsidR="008B7ABC" w14:paraId="2CC84D6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BFBE2" w14:textId="77777777" w:rsidR="008B7ABC" w:rsidRDefault="00482841">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AE5B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C7F4B"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C2ED8"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6E030F"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85A8D"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68FB0"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3432E"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5194B" w14:textId="77777777" w:rsidR="008B7ABC" w:rsidRDefault="008B7ABC">
            <w:pPr>
              <w:jc w:val="center"/>
            </w:pPr>
          </w:p>
        </w:tc>
      </w:tr>
      <w:tr w:rsidR="008B7ABC" w14:paraId="47E7F99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F401E" w14:textId="77777777" w:rsidR="008B7ABC" w:rsidRDefault="00482841">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B797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0B243"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385DC" w14:textId="77777777" w:rsidR="008B7ABC" w:rsidRDefault="008B7ABC">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C33ABD" w14:textId="77777777" w:rsidR="008B7ABC" w:rsidRDefault="00482841">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3B21" w14:textId="77777777" w:rsidR="008B7ABC" w:rsidRDefault="008B7ABC">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62BFE" w14:textId="77777777" w:rsidR="008B7ABC" w:rsidRDefault="008B7ABC">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2824B" w14:textId="77777777" w:rsidR="008B7ABC" w:rsidRDefault="008B7ABC">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D5AFA" w14:textId="77777777" w:rsidR="008B7ABC" w:rsidRDefault="008B7ABC">
            <w:pPr>
              <w:jc w:val="center"/>
            </w:pPr>
          </w:p>
        </w:tc>
      </w:tr>
    </w:tbl>
    <w:p w14:paraId="295F0EB7" w14:textId="77777777" w:rsidR="008B7ABC" w:rsidRDefault="008B7ABC">
      <w:pPr>
        <w:spacing w:after="0"/>
        <w:rPr>
          <w:b/>
        </w:rPr>
      </w:pPr>
    </w:p>
    <w:p w14:paraId="3EC45BCC" w14:textId="77777777" w:rsidR="008B7ABC" w:rsidRDefault="008B7ABC">
      <w:pPr>
        <w:spacing w:after="0" w:line="260" w:lineRule="auto"/>
        <w:rPr>
          <w:rFonts w:cs="Arial"/>
        </w:rPr>
      </w:pPr>
    </w:p>
    <w:p w14:paraId="0E02685F" w14:textId="77777777" w:rsidR="008B7ABC" w:rsidRDefault="00482841">
      <w:pPr>
        <w:pStyle w:val="SrajckaNaslovZamik"/>
        <w:spacing w:line="260" w:lineRule="auto"/>
      </w:pPr>
      <w:r>
        <w:t>3.3</w:t>
      </w:r>
      <w:r>
        <w:tab/>
        <w:t>Prikaz ureditve v posameznih državah članicah Evropske unije</w:t>
      </w:r>
    </w:p>
    <w:p w14:paraId="0D6AAE07" w14:textId="77777777" w:rsidR="008B7ABC" w:rsidRDefault="008B7ABC">
      <w:pPr>
        <w:spacing w:after="0" w:line="260" w:lineRule="auto"/>
        <w:rPr>
          <w:rFonts w:cs="Arial"/>
        </w:rPr>
      </w:pPr>
    </w:p>
    <w:p w14:paraId="50A2E7C8" w14:textId="77777777" w:rsidR="008B7ABC" w:rsidRDefault="00482841">
      <w:pPr>
        <w:spacing w:after="0" w:line="260" w:lineRule="auto"/>
      </w:pPr>
      <w:r>
        <w:lastRenderedPageBreak/>
        <w:t>/</w:t>
      </w:r>
    </w:p>
    <w:p w14:paraId="14A2C810" w14:textId="77777777" w:rsidR="008B7ABC" w:rsidRDefault="008B7ABC">
      <w:pPr>
        <w:spacing w:after="0" w:line="260" w:lineRule="auto"/>
        <w:rPr>
          <w:rFonts w:cs="Arial"/>
        </w:rPr>
      </w:pPr>
    </w:p>
    <w:p w14:paraId="43E1D093" w14:textId="77777777" w:rsidR="008B7ABC" w:rsidRDefault="00482841">
      <w:pPr>
        <w:pStyle w:val="Odebeljeno"/>
        <w:spacing w:line="260" w:lineRule="auto"/>
      </w:pPr>
      <w:r>
        <w:t>4.</w:t>
      </w:r>
      <w:r>
        <w:tab/>
        <w:t>Presoja posledic</w:t>
      </w:r>
    </w:p>
    <w:p w14:paraId="490B6B2C" w14:textId="77777777" w:rsidR="008B7ABC" w:rsidRDefault="00482841">
      <w:pPr>
        <w:pStyle w:val="Odebeljeno"/>
        <w:spacing w:line="260" w:lineRule="auto"/>
      </w:pPr>
      <w:r>
        <w:t>4.1</w:t>
      </w:r>
      <w:r>
        <w:tab/>
        <w:t xml:space="preserve">Presoja </w:t>
      </w:r>
      <w:r>
        <w:t>administrativnih posledic</w:t>
      </w:r>
    </w:p>
    <w:p w14:paraId="561B53AB" w14:textId="77777777" w:rsidR="008B7ABC" w:rsidRDefault="008B7ABC">
      <w:pPr>
        <w:spacing w:after="0" w:line="260" w:lineRule="auto"/>
        <w:rPr>
          <w:rFonts w:cs="Arial"/>
        </w:rPr>
      </w:pPr>
    </w:p>
    <w:p w14:paraId="7165BB68" w14:textId="77777777" w:rsidR="008B7ABC" w:rsidRDefault="00482841">
      <w:pPr>
        <w:spacing w:after="0" w:line="240" w:lineRule="auto"/>
      </w:pPr>
      <w:r>
        <w:t>Predpis nima posledic na tem področju.</w:t>
      </w:r>
    </w:p>
    <w:p w14:paraId="66D38163" w14:textId="77777777" w:rsidR="008B7ABC" w:rsidRDefault="008B7ABC">
      <w:pPr>
        <w:spacing w:after="0" w:line="260" w:lineRule="auto"/>
        <w:rPr>
          <w:rFonts w:cs="Arial"/>
        </w:rPr>
      </w:pPr>
    </w:p>
    <w:p w14:paraId="5B178F80" w14:textId="77777777" w:rsidR="008B7ABC" w:rsidRDefault="008B7ABC">
      <w:pPr>
        <w:spacing w:after="0" w:line="260" w:lineRule="auto"/>
        <w:rPr>
          <w:rFonts w:cs="Arial"/>
        </w:rPr>
      </w:pPr>
    </w:p>
    <w:p w14:paraId="31E907DA" w14:textId="77777777" w:rsidR="008B7ABC" w:rsidRDefault="00482841">
      <w:pPr>
        <w:pStyle w:val="Odebeljeno"/>
        <w:spacing w:line="260" w:lineRule="auto"/>
      </w:pPr>
      <w:r>
        <w:t>4.2</w:t>
      </w:r>
      <w:r>
        <w:tab/>
        <w:t>Presoja posledic za okolje, vključno s prostorskimi in varstvenimi vidiki</w:t>
      </w:r>
    </w:p>
    <w:p w14:paraId="53DF14AE" w14:textId="77777777" w:rsidR="008B7ABC" w:rsidRDefault="008B7ABC">
      <w:pPr>
        <w:spacing w:after="0" w:line="260" w:lineRule="auto"/>
        <w:rPr>
          <w:rFonts w:cs="Arial"/>
        </w:rPr>
      </w:pPr>
    </w:p>
    <w:p w14:paraId="302932ED" w14:textId="77777777" w:rsidR="008B7ABC" w:rsidRDefault="00482841">
      <w:pPr>
        <w:pStyle w:val="Odebeljeno"/>
        <w:spacing w:line="260" w:lineRule="auto"/>
        <w:ind w:left="360" w:hanging="360"/>
      </w:pPr>
      <w:r>
        <w:t>a)</w:t>
      </w:r>
      <w:r>
        <w:tab/>
        <w:t>Predpis ima učinek na preprečevanje odpadkov (količinsko in kakovostno) in ravnanje z njimi.</w:t>
      </w:r>
    </w:p>
    <w:p w14:paraId="37936E2A" w14:textId="77777777" w:rsidR="008B7ABC" w:rsidRDefault="008B7ABC">
      <w:pPr>
        <w:spacing w:after="0" w:line="260" w:lineRule="auto"/>
        <w:rPr>
          <w:rFonts w:cs="Arial"/>
        </w:rPr>
      </w:pPr>
    </w:p>
    <w:p w14:paraId="2DF60059" w14:textId="77777777" w:rsidR="008B7ABC" w:rsidRDefault="00482841">
      <w:pPr>
        <w:pStyle w:val="Odebeljeno"/>
        <w:spacing w:line="260" w:lineRule="auto"/>
        <w:ind w:left="720" w:hanging="360"/>
      </w:pPr>
      <w:r>
        <w:t>–</w:t>
      </w:r>
      <w:r>
        <w:tab/>
      </w:r>
      <w:r>
        <w:t>Predpis ima pozitiven učinek na preprečevanje odpadkov in ravnanje z odpadki.</w:t>
      </w:r>
    </w:p>
    <w:p w14:paraId="51782DEC" w14:textId="77777777" w:rsidR="008B7ABC" w:rsidRDefault="008B7ABC">
      <w:pPr>
        <w:spacing w:after="0" w:line="260" w:lineRule="auto"/>
        <w:rPr>
          <w:rFonts w:cs="Arial"/>
        </w:rPr>
      </w:pPr>
    </w:p>
    <w:p w14:paraId="0A869D8A" w14:textId="77777777" w:rsidR="008B7ABC" w:rsidRDefault="00482841">
      <w:pPr>
        <w:spacing w:after="0" w:line="240" w:lineRule="auto"/>
        <w:ind w:left="720"/>
      </w:pPr>
      <w:r>
        <w:br/>
      </w:r>
    </w:p>
    <w:p w14:paraId="695672B3" w14:textId="77777777" w:rsidR="008B7ABC" w:rsidRDefault="00482841">
      <w:pPr>
        <w:spacing w:after="0" w:line="240" w:lineRule="auto"/>
        <w:ind w:left="720"/>
      </w:pPr>
      <w:r>
        <w:t>Uredba o odpadni električni in elektronski opremi (Uradni list RS, št. 55/15, 47/16, 72/18, 84/18 – ZIURKOE, 108/20 in 44/22 – ZVO-2) predstavlja temeljni predpis, ki v Sloveniji ureja celoten tok OEEO – od preventive do zbiranja, obdelave in poročanja. Njegov vpliv je izrazito usmerjen v krepitev krožnega gospodarstva, zmanjševanje količin nastalih odpadkov ter izboljšanje kakovosti ravnanja z njimi.</w:t>
      </w:r>
    </w:p>
    <w:p w14:paraId="347B2661" w14:textId="77777777" w:rsidR="008B7ABC" w:rsidRDefault="00482841">
      <w:pPr>
        <w:spacing w:after="0" w:line="240" w:lineRule="auto"/>
        <w:ind w:left="720"/>
      </w:pPr>
      <w:r>
        <w:t>Predlagana uredba neposredno ne uvaja novih ukrepov za zmanjšanje nastajanja odpadkov, vendar posredno prispeva k temu, ker:</w:t>
      </w:r>
    </w:p>
    <w:p w14:paraId="737C198C" w14:textId="77777777" w:rsidR="008B7ABC" w:rsidRDefault="00482841">
      <w:pPr>
        <w:spacing w:after="0" w:line="240" w:lineRule="auto"/>
        <w:ind w:left="1174"/>
      </w:pPr>
      <w:r>
        <w:t xml:space="preserve">- izboljšuje sledljivost opreme z jasnejšim označevanjem </w:t>
      </w:r>
      <w:proofErr w:type="spellStart"/>
      <w:r>
        <w:t>fotonapetostnih</w:t>
      </w:r>
      <w:proofErr w:type="spellEnd"/>
      <w:r>
        <w:t xml:space="preserve"> modulov in nove EEO skladno z Direktivo (EU) 2024/885, kar omogoča učinkovitejše ravnanje in zmanjševanje odpadkov,</w:t>
      </w:r>
    </w:p>
    <w:p w14:paraId="7AED068B" w14:textId="77777777" w:rsidR="008B7ABC" w:rsidRDefault="00482841">
      <w:pPr>
        <w:spacing w:after="0" w:line="240" w:lineRule="auto"/>
        <w:ind w:left="1174"/>
      </w:pPr>
      <w:r>
        <w:t>- jasno opredeljuje, na katero odpadno električno in elektronsko opremo se nanašajo finančne obveznosti proizvajalcev v zvezi s to opremo,</w:t>
      </w:r>
    </w:p>
    <w:p w14:paraId="7220F7E8" w14:textId="77777777" w:rsidR="008B7ABC" w:rsidRDefault="00482841">
      <w:pPr>
        <w:spacing w:after="0" w:line="240" w:lineRule="auto"/>
        <w:ind w:left="1174"/>
      </w:pPr>
      <w:r>
        <w:t>- jasno postavlja pravila za izračun mase električne in elektronske opreme, ki je bila letno dana na trg in za izračun ciljnih količin odpadne električne in elektronske opreme v posameznem koledarskem letu,</w:t>
      </w:r>
    </w:p>
    <w:p w14:paraId="75D37165" w14:textId="77777777" w:rsidR="008B7ABC" w:rsidRDefault="00482841">
      <w:pPr>
        <w:spacing w:after="0" w:line="240" w:lineRule="auto"/>
        <w:ind w:left="1174"/>
      </w:pPr>
      <w:r>
        <w:t>- posodablja in razširja standarde obdelave odpadne električne in elektronske opreme, kar izboljšuje kakovost recikliranja in predelave ter zmanjšuje količino odpadkov, ki končajo v odstranjevanju,</w:t>
      </w:r>
    </w:p>
    <w:p w14:paraId="4BB2221B" w14:textId="77777777" w:rsidR="008B7ABC" w:rsidRDefault="00482841">
      <w:pPr>
        <w:spacing w:after="0" w:line="240" w:lineRule="auto"/>
        <w:ind w:left="1174"/>
      </w:pPr>
      <w:r>
        <w:t>- omogoča lažje vodenje evidenc proizvajalcev (npr. posodobitve po uradni dolžnosti), kar izboljšuje učinkovitost in nadzor nad sistemom.</w:t>
      </w:r>
    </w:p>
    <w:p w14:paraId="0BD34DBD" w14:textId="77777777" w:rsidR="008B7ABC" w:rsidRDefault="008B7ABC">
      <w:pPr>
        <w:spacing w:after="0" w:line="240" w:lineRule="auto"/>
        <w:ind w:left="720"/>
      </w:pPr>
    </w:p>
    <w:p w14:paraId="4459FCAA" w14:textId="77777777" w:rsidR="008B7ABC" w:rsidRDefault="008B7ABC">
      <w:pPr>
        <w:spacing w:after="0" w:line="260" w:lineRule="auto"/>
        <w:rPr>
          <w:rFonts w:cs="Arial"/>
        </w:rPr>
      </w:pPr>
    </w:p>
    <w:p w14:paraId="4B3ED7A7" w14:textId="77777777" w:rsidR="008B7ABC" w:rsidRDefault="00482841">
      <w:pPr>
        <w:pStyle w:val="Odebeljeno"/>
        <w:spacing w:line="260" w:lineRule="auto"/>
      </w:pPr>
      <w:r>
        <w:t>4.3</w:t>
      </w:r>
      <w:r>
        <w:tab/>
        <w:t>Presoja posledic za gospodarstvo</w:t>
      </w:r>
    </w:p>
    <w:p w14:paraId="44E40FF6" w14:textId="77777777" w:rsidR="008B7ABC" w:rsidRDefault="008B7ABC">
      <w:pPr>
        <w:spacing w:after="0" w:line="260" w:lineRule="auto"/>
        <w:rPr>
          <w:rFonts w:cs="Arial"/>
        </w:rPr>
      </w:pPr>
    </w:p>
    <w:p w14:paraId="7C453897" w14:textId="77777777" w:rsidR="008B7ABC" w:rsidRDefault="00482841">
      <w:pPr>
        <w:spacing w:after="0" w:line="240" w:lineRule="auto"/>
      </w:pPr>
      <w:r>
        <w:t>Predpis nima posledic na tem področju.</w:t>
      </w:r>
    </w:p>
    <w:p w14:paraId="0698EC19" w14:textId="77777777" w:rsidR="008B7ABC" w:rsidRDefault="008B7ABC">
      <w:pPr>
        <w:spacing w:after="0" w:line="260" w:lineRule="auto"/>
        <w:rPr>
          <w:rFonts w:cs="Arial"/>
        </w:rPr>
      </w:pPr>
    </w:p>
    <w:p w14:paraId="33A63CA5" w14:textId="77777777" w:rsidR="008B7ABC" w:rsidRDefault="008B7ABC">
      <w:pPr>
        <w:spacing w:after="0" w:line="260" w:lineRule="auto"/>
        <w:rPr>
          <w:rFonts w:cs="Arial"/>
        </w:rPr>
      </w:pPr>
    </w:p>
    <w:p w14:paraId="0B715D50" w14:textId="77777777" w:rsidR="008B7ABC" w:rsidRDefault="00482841">
      <w:pPr>
        <w:pStyle w:val="Odebeljeno"/>
        <w:spacing w:line="260" w:lineRule="auto"/>
      </w:pPr>
      <w:r>
        <w:t>4.4</w:t>
      </w:r>
      <w:r>
        <w:tab/>
        <w:t>Presoja posledic za socialno področje</w:t>
      </w:r>
    </w:p>
    <w:p w14:paraId="17157199" w14:textId="77777777" w:rsidR="008B7ABC" w:rsidRDefault="008B7ABC">
      <w:pPr>
        <w:spacing w:after="0" w:line="260" w:lineRule="auto"/>
        <w:rPr>
          <w:rFonts w:cs="Arial"/>
        </w:rPr>
      </w:pPr>
    </w:p>
    <w:p w14:paraId="2CB3C284" w14:textId="77777777" w:rsidR="008B7ABC" w:rsidRDefault="00482841">
      <w:pPr>
        <w:spacing w:after="0" w:line="240" w:lineRule="auto"/>
      </w:pPr>
      <w:r>
        <w:t>Predpis nima posledic na tem področju.</w:t>
      </w:r>
    </w:p>
    <w:p w14:paraId="073A03D2" w14:textId="77777777" w:rsidR="008B7ABC" w:rsidRDefault="008B7ABC">
      <w:pPr>
        <w:spacing w:after="0" w:line="260" w:lineRule="auto"/>
        <w:rPr>
          <w:rFonts w:cs="Arial"/>
        </w:rPr>
      </w:pPr>
    </w:p>
    <w:p w14:paraId="57B135CD" w14:textId="77777777" w:rsidR="008B7ABC" w:rsidRDefault="008B7ABC">
      <w:pPr>
        <w:spacing w:after="0" w:line="260" w:lineRule="auto"/>
        <w:rPr>
          <w:rFonts w:cs="Arial"/>
        </w:rPr>
      </w:pPr>
    </w:p>
    <w:p w14:paraId="4469E140" w14:textId="77777777" w:rsidR="008B7ABC" w:rsidRDefault="00482841">
      <w:pPr>
        <w:pStyle w:val="Odebeljeno"/>
        <w:spacing w:line="260" w:lineRule="auto"/>
      </w:pPr>
      <w:r>
        <w:t>4.5</w:t>
      </w:r>
      <w:r>
        <w:tab/>
        <w:t>Presoja posledic za dokumente razvojnega načrtovanja</w:t>
      </w:r>
    </w:p>
    <w:p w14:paraId="2CF31DAE" w14:textId="77777777" w:rsidR="008B7ABC" w:rsidRDefault="008B7ABC">
      <w:pPr>
        <w:spacing w:after="0" w:line="260" w:lineRule="auto"/>
        <w:rPr>
          <w:rFonts w:cs="Arial"/>
        </w:rPr>
      </w:pPr>
    </w:p>
    <w:p w14:paraId="05C6765B" w14:textId="77777777" w:rsidR="008B7ABC" w:rsidRDefault="00482841">
      <w:pPr>
        <w:spacing w:after="0" w:line="240" w:lineRule="auto"/>
      </w:pPr>
      <w:r>
        <w:t>Predpis nima posledic na tem področju.</w:t>
      </w:r>
    </w:p>
    <w:p w14:paraId="29B721E1" w14:textId="77777777" w:rsidR="008B7ABC" w:rsidRDefault="008B7ABC">
      <w:pPr>
        <w:spacing w:after="0" w:line="260" w:lineRule="auto"/>
        <w:rPr>
          <w:rFonts w:cs="Arial"/>
        </w:rPr>
      </w:pPr>
    </w:p>
    <w:p w14:paraId="719B7DA4" w14:textId="77777777" w:rsidR="008B7ABC" w:rsidRDefault="008B7ABC">
      <w:pPr>
        <w:spacing w:after="0" w:line="260" w:lineRule="auto"/>
        <w:rPr>
          <w:rFonts w:cs="Arial"/>
        </w:rPr>
      </w:pPr>
    </w:p>
    <w:p w14:paraId="752FF2AA" w14:textId="77777777" w:rsidR="008B7ABC" w:rsidRDefault="00482841">
      <w:pPr>
        <w:pStyle w:val="Odebeljeno"/>
        <w:spacing w:line="260" w:lineRule="auto"/>
      </w:pPr>
      <w:r>
        <w:t>4.6</w:t>
      </w:r>
      <w:r>
        <w:tab/>
        <w:t>Presoja posledic za druga področja</w:t>
      </w:r>
    </w:p>
    <w:p w14:paraId="4B7D47C9" w14:textId="77777777" w:rsidR="008B7ABC" w:rsidRDefault="008B7ABC">
      <w:pPr>
        <w:spacing w:after="0" w:line="260" w:lineRule="auto"/>
        <w:rPr>
          <w:rFonts w:cs="Arial"/>
        </w:rPr>
      </w:pPr>
    </w:p>
    <w:p w14:paraId="2037D6BE" w14:textId="77777777" w:rsidR="008B7ABC" w:rsidRDefault="00482841">
      <w:pPr>
        <w:spacing w:after="0" w:line="240" w:lineRule="auto"/>
      </w:pPr>
      <w:r>
        <w:t>Predpis nima posledic na tem področju.</w:t>
      </w:r>
    </w:p>
    <w:p w14:paraId="19360002" w14:textId="77777777" w:rsidR="008B7ABC" w:rsidRDefault="008B7ABC">
      <w:pPr>
        <w:spacing w:after="0" w:line="260" w:lineRule="auto"/>
        <w:rPr>
          <w:rFonts w:cs="Arial"/>
        </w:rPr>
      </w:pPr>
    </w:p>
    <w:p w14:paraId="47AAFD0E" w14:textId="77777777" w:rsidR="008B7ABC" w:rsidRDefault="008B7ABC">
      <w:pPr>
        <w:spacing w:after="0" w:line="260" w:lineRule="auto"/>
        <w:rPr>
          <w:rFonts w:cs="Arial"/>
        </w:rPr>
      </w:pPr>
    </w:p>
    <w:p w14:paraId="05BAE1FF" w14:textId="77777777" w:rsidR="008B7ABC" w:rsidRDefault="00482841">
      <w:pPr>
        <w:pStyle w:val="Odebeljeno"/>
        <w:spacing w:line="260" w:lineRule="auto"/>
      </w:pPr>
      <w:r>
        <w:t>4.7</w:t>
      </w:r>
      <w:r>
        <w:tab/>
        <w:t>Izvajanje sprejetega predpisa</w:t>
      </w:r>
    </w:p>
    <w:p w14:paraId="6D7CBA4B" w14:textId="77777777" w:rsidR="008B7ABC" w:rsidRDefault="008B7ABC">
      <w:pPr>
        <w:spacing w:after="0" w:line="260" w:lineRule="auto"/>
        <w:rPr>
          <w:rFonts w:cs="Arial"/>
        </w:rPr>
      </w:pPr>
    </w:p>
    <w:p w14:paraId="6503B419" w14:textId="77777777" w:rsidR="008B7ABC" w:rsidRDefault="00482841">
      <w:pPr>
        <w:spacing w:after="0" w:line="240" w:lineRule="auto"/>
      </w:pPr>
      <w:r>
        <w:t xml:space="preserve">Predpis bo objavljen v Uradnem listu Republike Slovenije. Po potrebi bo o tem objavljena tudi medijski zapis. </w:t>
      </w:r>
    </w:p>
    <w:p w14:paraId="5A210FCD" w14:textId="77777777" w:rsidR="008B7ABC" w:rsidRDefault="00482841">
      <w:pPr>
        <w:spacing w:after="0" w:line="240" w:lineRule="auto"/>
        <w:jc w:val="left"/>
      </w:pPr>
      <w:r>
        <w:t xml:space="preserve">Takoj po objavi sprejete uredbe v Uradnem listu Republike Slovenije bo ta predpis notificiran Evropski komisiji z vnosom besedila predpisa, vseh relevantnih podatkov tega predpisa ter korelacijske tabele v </w:t>
      </w:r>
      <w:proofErr w:type="spellStart"/>
      <w:r>
        <w:t>notifikacijsko</w:t>
      </w:r>
      <w:proofErr w:type="spellEnd"/>
      <w:r>
        <w:t xml:space="preserve"> bazo Evropske komisije (THEMIS).</w:t>
      </w:r>
    </w:p>
    <w:p w14:paraId="41681AD1" w14:textId="77777777" w:rsidR="008B7ABC" w:rsidRDefault="008B7ABC">
      <w:pPr>
        <w:spacing w:after="0" w:line="260" w:lineRule="auto"/>
        <w:rPr>
          <w:rFonts w:cs="Arial"/>
        </w:rPr>
      </w:pPr>
    </w:p>
    <w:p w14:paraId="51D99A9E" w14:textId="77777777" w:rsidR="008B7ABC" w:rsidRDefault="00482841">
      <w:pPr>
        <w:pStyle w:val="Odebeljeno"/>
        <w:spacing w:line="260" w:lineRule="auto"/>
      </w:pPr>
      <w:r>
        <w:t>5.</w:t>
      </w:r>
      <w:r>
        <w:tab/>
        <w:t>Prikaz sodelovanja javnosti</w:t>
      </w:r>
    </w:p>
    <w:p w14:paraId="240D7F4F" w14:textId="77777777" w:rsidR="008B7ABC" w:rsidRDefault="008B7ABC">
      <w:pPr>
        <w:spacing w:after="0" w:line="260" w:lineRule="auto"/>
        <w:rPr>
          <w:rFonts w:cs="Arial"/>
        </w:rPr>
      </w:pPr>
    </w:p>
    <w:p w14:paraId="34D9C05C" w14:textId="77777777" w:rsidR="008B7ABC" w:rsidRDefault="00482841">
      <w:pPr>
        <w:spacing w:after="0" w:line="260" w:lineRule="auto"/>
      </w:pPr>
      <w:r>
        <w:t>Gradivo je bilo predmet sodelovanja z javnostjo.</w:t>
      </w:r>
    </w:p>
    <w:p w14:paraId="20B547EA" w14:textId="77777777" w:rsidR="008B7ABC" w:rsidRDefault="008B7ABC">
      <w:pPr>
        <w:spacing w:after="0" w:line="260" w:lineRule="auto"/>
        <w:rPr>
          <w:rFonts w:cs="Arial"/>
        </w:rPr>
      </w:pPr>
    </w:p>
    <w:p w14:paraId="6594A237" w14:textId="77777777" w:rsidR="008B7ABC" w:rsidRDefault="00482841">
      <w:pPr>
        <w:spacing w:after="0" w:line="260" w:lineRule="auto"/>
      </w:pPr>
      <w:r>
        <w:t xml:space="preserve">Datum objave na portalu </w:t>
      </w:r>
      <w:proofErr w:type="spellStart"/>
      <w:r>
        <w:t>eDemokracija</w:t>
      </w:r>
      <w:proofErr w:type="spellEnd"/>
      <w:r>
        <w:t>:</w:t>
      </w:r>
    </w:p>
    <w:p w14:paraId="121FF964" w14:textId="77777777" w:rsidR="008B7ABC" w:rsidRDefault="00482841">
      <w:pPr>
        <w:spacing w:after="0" w:line="260" w:lineRule="auto"/>
      </w:pPr>
      <w:r>
        <w:t>12. 12. 2025</w:t>
      </w:r>
    </w:p>
    <w:p w14:paraId="6FAF29E5" w14:textId="77777777" w:rsidR="008B7ABC" w:rsidRDefault="008B7ABC">
      <w:pPr>
        <w:spacing w:after="0" w:line="260" w:lineRule="auto"/>
        <w:rPr>
          <w:rFonts w:cs="Arial"/>
        </w:rPr>
      </w:pPr>
    </w:p>
    <w:p w14:paraId="2DE73BB7" w14:textId="77777777" w:rsidR="008B7ABC" w:rsidRDefault="00482841">
      <w:pPr>
        <w:spacing w:after="0" w:line="260" w:lineRule="auto"/>
      </w:pPr>
      <w:r>
        <w:t>Na gradivo so bila podana mnenja, predlogi in pripombe.</w:t>
      </w:r>
    </w:p>
    <w:p w14:paraId="1AEAA955" w14:textId="77777777" w:rsidR="008B7ABC" w:rsidRDefault="008B7ABC">
      <w:pPr>
        <w:spacing w:after="0" w:line="260" w:lineRule="auto"/>
        <w:rPr>
          <w:rFonts w:cs="Arial"/>
        </w:rPr>
      </w:pPr>
    </w:p>
    <w:p w14:paraId="376EF127" w14:textId="77777777" w:rsidR="008B7ABC" w:rsidRDefault="00482841">
      <w:pPr>
        <w:spacing w:after="0" w:line="260" w:lineRule="auto"/>
      </w:pPr>
      <w:r>
        <w:t>V razpravo vključeni subjekti:</w:t>
      </w:r>
    </w:p>
    <w:p w14:paraId="362645C0" w14:textId="77777777" w:rsidR="008B7ABC" w:rsidRDefault="00482841">
      <w:pPr>
        <w:spacing w:after="0" w:line="240" w:lineRule="auto"/>
      </w:pPr>
      <w:r>
        <w:t>Agencija Republike Slovenije za okolje</w:t>
      </w:r>
    </w:p>
    <w:p w14:paraId="754EB5C2" w14:textId="77777777" w:rsidR="008B7ABC" w:rsidRDefault="008B7ABC">
      <w:pPr>
        <w:spacing w:after="0" w:line="260" w:lineRule="auto"/>
        <w:rPr>
          <w:rFonts w:cs="Arial"/>
        </w:rPr>
      </w:pPr>
    </w:p>
    <w:p w14:paraId="679FB99A" w14:textId="77777777" w:rsidR="008B7ABC" w:rsidRDefault="00482841">
      <w:pPr>
        <w:spacing w:after="0" w:line="260" w:lineRule="auto"/>
      </w:pPr>
      <w:r>
        <w:t>Obrazložitev upoštevanja mnenj, predlogov in pripomb v razpravo vključenih subjektov:</w:t>
      </w:r>
    </w:p>
    <w:p w14:paraId="75A038F6" w14:textId="77777777" w:rsidR="008B7ABC" w:rsidRDefault="00482841">
      <w:pPr>
        <w:spacing w:after="0" w:line="240" w:lineRule="auto"/>
      </w:pPr>
      <w:r>
        <w:t xml:space="preserve"> </w:t>
      </w:r>
    </w:p>
    <w:p w14:paraId="1EB6246A" w14:textId="77777777" w:rsidR="008B7ABC" w:rsidRDefault="00482841">
      <w:pPr>
        <w:spacing w:after="0" w:line="240" w:lineRule="auto"/>
      </w:pPr>
      <w:r>
        <w:t xml:space="preserve">Ministrstvo za okolje, podnebje in energijo je pregledalo in obravnavalo vse podane pripombe in jih v največji možni meri upoštevalo, če so bile strokovno utemeljene ter niso bile v nasprotju s pravnim redom Republike Slovenije in EU, s sistemskimi rešitvami predloga uredbe ter se niso nanašale na sistemsko ureditev proizvajalčeve razširjene odgovornosti. </w:t>
      </w:r>
    </w:p>
    <w:p w14:paraId="4C9FB17A" w14:textId="77777777" w:rsidR="008B7ABC" w:rsidRDefault="00482841">
      <w:pPr>
        <w:spacing w:after="0" w:line="240" w:lineRule="auto"/>
      </w:pPr>
      <w:r>
        <w:t xml:space="preserve"> </w:t>
      </w:r>
    </w:p>
    <w:p w14:paraId="25686D4A" w14:textId="77777777" w:rsidR="008B7ABC" w:rsidRDefault="00482841">
      <w:pPr>
        <w:spacing w:after="0" w:line="240" w:lineRule="auto"/>
      </w:pPr>
      <w:r>
        <w:t>Ministrstvo za okolje, podnebje in energijo v nadaljevanju podaja obrazložitve na pripombe in predloge, ki jih ni moglo upoštevati:</w:t>
      </w:r>
    </w:p>
    <w:p w14:paraId="32356CCD" w14:textId="77777777" w:rsidR="008B7ABC" w:rsidRDefault="00482841">
      <w:pPr>
        <w:spacing w:after="0" w:line="240" w:lineRule="auto"/>
      </w:pPr>
      <w:r>
        <w:t>-        v zvezi s pripombo, da naj predlog uredbe naslovi tudi uvoženo blago, to blago ustrezno vsebuje že veljavna uredba ter predlog spremembe 2. točke 3. člena predloga uredbe,</w:t>
      </w:r>
    </w:p>
    <w:p w14:paraId="469BC1CC" w14:textId="77777777" w:rsidR="008B7ABC" w:rsidRDefault="00482841">
      <w:pPr>
        <w:spacing w:after="0" w:line="240" w:lineRule="auto"/>
      </w:pPr>
      <w:r>
        <w:t>-        v zvezi s pripombo, da predlog uredbe ne more urejati področja za nazaj, Ministrstvo za okolje, podnebje in energijo pojasnjuje, da je Sodišče Evropske unije je 25. januarja 2022 v sodbi v zadevi C-181/20 razsodilo, da je člen 13(1) Direktive 2012/19/EU Evropskega parlamenta in Sveta z dne 4. julija 2012 o odpadni električni in elektronski opremi (OEEO) (UL L št. 197 z dne 24. 7. 2012, str. 38), nazadnje spremenjene z Direktivo 2024/884/EU, (v nadaljnjem besedilu: Direktiva 2012/19/EU) zaradi neupr</w:t>
      </w:r>
      <w:r>
        <w:t xml:space="preserve">avičenega retroaktivnega učinka delno neveljaven. Določal je namreč finančno obveznost kritja stroškov ravnanja z odpadki iz </w:t>
      </w:r>
      <w:proofErr w:type="spellStart"/>
      <w:r>
        <w:t>fotonapetostnih</w:t>
      </w:r>
      <w:proofErr w:type="spellEnd"/>
      <w:r>
        <w:t xml:space="preserve"> modulov, danih na trg v obdobju od 13. avgusta 2005 do 13. avgusta 2012. Trinajsti avgust 2012 je datum začetka veljavnosti takratne nove Direktive 2012/19/EU, ki je nadomestila Direktivo 2002/96/ES Evropskega parlamenta in Sveta z dne 27. januarja 2003 o odpadni električni in elektronski opremi (OEEO) (UL L št. 37 z dne 13. 2. 2003, str. 24; v nadaljnjem besedilu: Dir</w:t>
      </w:r>
      <w:r>
        <w:t xml:space="preserve">ektiva 2002/96/EU) in s katero so bili v področje uporabe dodatno vključeni tudi </w:t>
      </w:r>
      <w:proofErr w:type="spellStart"/>
      <w:r>
        <w:t>fotonapetostni</w:t>
      </w:r>
      <w:proofErr w:type="spellEnd"/>
      <w:r>
        <w:t xml:space="preserve"> moduli. Po mnenju Sodišča Evropske unije je treba šteti, da se pozneje sprejeto pravilo iz člena 13(1) Direktive 2012/19/EU, v skladu s katerim morajo stroške, povezane z ravnanjem s </w:t>
      </w:r>
      <w:proofErr w:type="spellStart"/>
      <w:r>
        <w:t>fotonapetostnimi</w:t>
      </w:r>
      <w:proofErr w:type="spellEnd"/>
      <w:r>
        <w:t xml:space="preserve"> moduli ob koncu njihovega časa trajanja, kriti proizvajalci, četudi so bili proizvodi dani na trg v obdobju, ko je veljala prejšnja zakonodaja, uporablja retroaktivno. Zato lahko krši načelo pravne varnosti. Sodba je</w:t>
      </w:r>
      <w:r>
        <w:t xml:space="preserve"> zahtevala nadaljnje ukrepanje s ciljno usmerjeno spremembo Direktive 2012/19/EU o odpadni električni in elektronski opremi (v nadaljnjem besedilu: OEEO) in njenega člena 13(1) o kritju stroškov zbiranja in obdelave OEEO. Zato je bila v zvezi z navedeno sodbo Sodišča Evropske unije zaradi spoštovanja načela </w:t>
      </w:r>
      <w:proofErr w:type="spellStart"/>
      <w:r>
        <w:t>neretroaktivnosti</w:t>
      </w:r>
      <w:proofErr w:type="spellEnd"/>
      <w:r>
        <w:t xml:space="preserve"> in s tem za preprečitev kršitve pravne varnosti pri izvajanju direktive sprejeta Direktiva 2024/884/EU. Z njo so bili glede na sodbo sodišča zagotovljeni spoštovanje načela </w:t>
      </w:r>
      <w:proofErr w:type="spellStart"/>
      <w:r>
        <w:lastRenderedPageBreak/>
        <w:t>neretroaktiv</w:t>
      </w:r>
      <w:r>
        <w:t>nosti</w:t>
      </w:r>
      <w:proofErr w:type="spellEnd"/>
      <w:r>
        <w:t xml:space="preserve">, preprečitev kršitve pravne varnosti pri izvajanju direktive in spoštovanje povezanih interesov gospodarskih subjektov za obdobje, ko se Direktiva 2012/19/EU še ni uporabljala za </w:t>
      </w:r>
      <w:proofErr w:type="spellStart"/>
      <w:r>
        <w:t>fotonapetostne</w:t>
      </w:r>
      <w:proofErr w:type="spellEnd"/>
      <w:r>
        <w:t xml:space="preserve"> module in druge proizvode, na novo vključene v njeno področje uporabe. Spremenjena direktiva torej uvaja obveznost PRO za proizvajalce </w:t>
      </w:r>
      <w:proofErr w:type="spellStart"/>
      <w:r>
        <w:t>fotonapetostnih</w:t>
      </w:r>
      <w:proofErr w:type="spellEnd"/>
      <w:r>
        <w:t xml:space="preserve"> modulov, danih na trg od 13. avgusta 2012, ko so bili </w:t>
      </w:r>
      <w:proofErr w:type="spellStart"/>
      <w:r>
        <w:t>fotonapetostni</w:t>
      </w:r>
      <w:proofErr w:type="spellEnd"/>
      <w:r>
        <w:t xml:space="preserve"> moduli vključeni v področje uporabe Direktive 2012/19/EU (in ne od 13. avgusta 2005). Tudi o</w:t>
      </w:r>
      <w:r>
        <w:t xml:space="preserve">bveznost označevanja </w:t>
      </w:r>
      <w:proofErr w:type="spellStart"/>
      <w:r>
        <w:t>fotonapetostnih</w:t>
      </w:r>
      <w:proofErr w:type="spellEnd"/>
      <w:r>
        <w:t xml:space="preserve"> modulov se v skladu s standardom SIST EN 50419:2022 uporablja od 13. avgusta 2012, in ne od 13. avgusta 2005. Proizvajalcem </w:t>
      </w:r>
      <w:proofErr w:type="spellStart"/>
      <w:r>
        <w:t>fotonapetostnih</w:t>
      </w:r>
      <w:proofErr w:type="spellEnd"/>
      <w:r>
        <w:t xml:space="preserve"> modulov se torej s to spremembo ne nalagajo nikakršne nove obveznosti, ampak se z njo jasno določa, da ta obveznost velja od 13. avgusta 2012, ko so bili v področje uporabe predpisa vključeni tudi </w:t>
      </w:r>
      <w:proofErr w:type="spellStart"/>
      <w:r>
        <w:t>fotonapetostni</w:t>
      </w:r>
      <w:proofErr w:type="spellEnd"/>
      <w:r>
        <w:t xml:space="preserve"> moduli, in ne od 13. avgusta 2005, ko je bila uveljavljena prvotna Direktiva 2002/96/EU,</w:t>
      </w:r>
    </w:p>
    <w:p w14:paraId="60669A55" w14:textId="77777777" w:rsidR="008B7ABC" w:rsidRDefault="00482841">
      <w:pPr>
        <w:spacing w:after="0" w:line="240" w:lineRule="auto"/>
      </w:pPr>
      <w:r>
        <w:t xml:space="preserve">-        v zvezi s predlogi za dopolnitev predloga uredbe glede izravnave obveznosti proizvajalcev glede deležev, obveščanja javnosti, delitve zbranih količin iz zbirno – predelovalne skupine 4, jasnejše opredelitve končnega uporabnika, proizvajalčeve razširjene odgovornosti v primeru prodaje prek spletnih platform, izdelave obveznih navodil za postopke priprave OEEO za ponovno uporabo, razširitve definicije proizvajalca na pridobivanje EEO za potrebe opravljanja svoje dejavnosti iz drugih držav, spremembe </w:t>
      </w:r>
      <w:r>
        <w:t>predloga uredbe glede možnosti izločanja in prevzemanja OEEO s strani pripravljavca za ponovno uporabo, zbiranja OEEO v okviru sistemov, ki so jih vzpostavili proizvajalci, črtanja omejitev glede prevzemanja starih bremen, predloga, da se pripravi metodologija v zvezi s stroški izvajalca gospodarske javne službe zbiranja določenih vrst komunalnih odpadkov glede ravnanja z OEEO, črtanja nepridobitnosti izvajanja skupnih načrtov za ravnanje z OEEO, sprememb sestavin in izvajanja skupnih načrtov ravnanja z OEE</w:t>
      </w:r>
      <w:r>
        <w:t xml:space="preserve">O, črtanja določb v zvezi z zagotavljanjem finančnega jamstva ter dopolnitvijo v zvezi s podrazredi EEO gre za predloge sistemskih sprememb in dopolnitev, ki niso predmet ciljnega predloga uredbe zaradi odprave kršitve, ker Direktiva 2024/884/EU v slovenski pravni red še ni bila prenesena, oziroma popravkov manjših neskladnosti (osnutek predloga uredbe je bil v predhodno seznanitev vključen tudi v odgovor Republike Slovenije Evropski komisiji na uradni opomin zaradi </w:t>
      </w:r>
      <w:proofErr w:type="spellStart"/>
      <w:r>
        <w:t>nenotifikacije</w:t>
      </w:r>
      <w:proofErr w:type="spellEnd"/>
      <w:r>
        <w:t xml:space="preserve"> predpisov za prenos Direkt</w:t>
      </w:r>
      <w:r>
        <w:t>ive (EU) 2024/884 Evropskega parlamenta in Sveta z dne 13. marca 2024 o spremembi Direktive 2012/19/EU o odpadni električni in elektronski opremi (OEEO) v pravni red Republike Slovenije (kršitev št. 2025/0364, dopis Evropske komisije št. C(2025)7700/26 z dne 20. 11. 2025)).</w:t>
      </w:r>
    </w:p>
    <w:p w14:paraId="5B3B85F2" w14:textId="77777777" w:rsidR="008B7ABC" w:rsidRDefault="00482841">
      <w:pPr>
        <w:spacing w:after="0" w:line="240" w:lineRule="auto"/>
      </w:pPr>
      <w:r>
        <w:t xml:space="preserve"> </w:t>
      </w:r>
    </w:p>
    <w:p w14:paraId="158E714E" w14:textId="77777777" w:rsidR="008B7ABC" w:rsidRDefault="00482841">
      <w:pPr>
        <w:spacing w:after="0" w:line="240" w:lineRule="auto"/>
      </w:pPr>
      <w:r>
        <w:t xml:space="preserve"> </w:t>
      </w:r>
    </w:p>
    <w:p w14:paraId="149D6F64" w14:textId="77777777" w:rsidR="008B7ABC" w:rsidRDefault="008B7ABC">
      <w:pPr>
        <w:spacing w:after="0" w:line="260" w:lineRule="auto"/>
        <w:rPr>
          <w:rFonts w:cs="Arial"/>
        </w:rPr>
      </w:pPr>
    </w:p>
    <w:p w14:paraId="76C70FB0" w14:textId="77777777" w:rsidR="008B7ABC" w:rsidRDefault="00482841">
      <w:pPr>
        <w:spacing w:after="0" w:line="260" w:lineRule="auto"/>
      </w:pPr>
      <w:r>
        <w:t>Poročilo o sodelovanju z javnostjo:</w:t>
      </w:r>
    </w:p>
    <w:p w14:paraId="4DB1D443" w14:textId="77777777" w:rsidR="008B7ABC" w:rsidRDefault="00482841">
      <w:pPr>
        <w:spacing w:after="0" w:line="240" w:lineRule="auto"/>
      </w:pPr>
      <w:r>
        <w:t>Predlog uredbe je bil objavljen na portalu E-demokracija med 12.12.2025 in 12.1.2026.</w:t>
      </w:r>
    </w:p>
    <w:p w14:paraId="3A28FBF6" w14:textId="77777777" w:rsidR="008B7ABC" w:rsidRDefault="00482841">
      <w:pPr>
        <w:spacing w:after="0" w:line="240" w:lineRule="auto"/>
      </w:pPr>
      <w:r>
        <w:t xml:space="preserve"> </w:t>
      </w:r>
    </w:p>
    <w:p w14:paraId="5156DC3D" w14:textId="77777777" w:rsidR="008B7ABC" w:rsidRDefault="00482841">
      <w:pPr>
        <w:spacing w:after="0" w:line="240" w:lineRule="auto"/>
      </w:pPr>
      <w:r>
        <w:t>Pripombe k predlogu uredbe so podali predstavniki strokovne in zainteresirane javnosti (</w:t>
      </w:r>
      <w:proofErr w:type="spellStart"/>
      <w:r>
        <w:t>Trigana</w:t>
      </w:r>
      <w:proofErr w:type="spellEnd"/>
      <w:r>
        <w:t xml:space="preserve"> d.o.o., </w:t>
      </w:r>
      <w:proofErr w:type="spellStart"/>
      <w:r>
        <w:t>Interzero</w:t>
      </w:r>
      <w:proofErr w:type="spellEnd"/>
      <w:r>
        <w:t xml:space="preserve"> d.o.o., ZEOS d.o.o.), organ v sestavi Ministrstva za okolje, podnebje in energijo (Agencija Republike Slovenije za okolje) ter posamezniki.</w:t>
      </w:r>
    </w:p>
    <w:p w14:paraId="0C4C0221" w14:textId="77777777" w:rsidR="008B7ABC" w:rsidRDefault="00482841">
      <w:pPr>
        <w:spacing w:after="0" w:line="240" w:lineRule="auto"/>
      </w:pPr>
      <w:r>
        <w:t>Ministrstvo za okolje, podnebje in energijo je pregledalo in obravnavalo vse podane pripombe in jih v največji možni meri upoštevalo, če so bile strokovno utemeljene ter niso bile v nasprotju s pravnim redom Republike Slovenije in EU, s sistemskimi rešitvami predloga uredbe ter se niso nanašale na sistemsko ureditev proizvajalčeve razširjene odgovornosti. Tako so bili upoštevani predlogi sklicev na relevantne predpise, ki urejajo pravila za izračun podatkov o minimalnih stopnjah ločenega zbiranja ter sporoč</w:t>
      </w:r>
      <w:r>
        <w:t xml:space="preserve">anje podatkov o EEO in ravnanju z OEEO Evropski komisiji. Dodane so bile določbe glede načina izračunavanja teh podatkov. V izogib napačnemu razumevanju je bilo dopolnjeno izrazoslovje v prilogi 4 temeljne uredbe. </w:t>
      </w:r>
    </w:p>
    <w:p w14:paraId="5AFA6A07" w14:textId="77777777" w:rsidR="008B7ABC" w:rsidRDefault="00482841">
      <w:pPr>
        <w:spacing w:after="0" w:line="240" w:lineRule="auto"/>
      </w:pPr>
      <w:r>
        <w:t>Ministrstvo za okolje, podnebje in energijo v nadaljevanju podaja obrazložitve na pripombe in predloge, ki jih ni moglo upoštevati:</w:t>
      </w:r>
    </w:p>
    <w:p w14:paraId="53C277AB" w14:textId="77777777" w:rsidR="008B7ABC" w:rsidRDefault="00482841">
      <w:pPr>
        <w:spacing w:after="0" w:line="240" w:lineRule="auto"/>
      </w:pPr>
      <w:r>
        <w:t>-        v zvezi s pripombo, da naj predlog uredbe naslovi tudi uvoženo blago, to blago ustrezno vsebuje že veljavna uredba ter predlog spremembe 2. točke 3. člena predloga uredbe,</w:t>
      </w:r>
    </w:p>
    <w:p w14:paraId="6675AEE4" w14:textId="77777777" w:rsidR="008B7ABC" w:rsidRDefault="00482841">
      <w:pPr>
        <w:spacing w:after="0" w:line="240" w:lineRule="auto"/>
      </w:pPr>
      <w:r>
        <w:t>-        v zvezi s pripombo, da predlog uredbe ne more urejati področja za nazaj, Ministrstvo za okolje, podnebje in energijo pojasnjuje, da je Sodišče Evropske unije je 25. januarja 2022 v sodbi v zadevi C-181/20 razsodilo, da je člen 13(1) Direktive 2012/19/EU Evropskega parlamenta in Sveta z dne 4. julija 2012 o odpadni električni in elektronski opremi (OEEO) (UL L št. 197 z dne 24. 7. 2012, str. 38), nazadnje spremenjene z Direktivo 2024/884/EU, (v nadaljnjem besedilu: Direktiva 2012/19/EU) zaradi neupr</w:t>
      </w:r>
      <w:r>
        <w:t xml:space="preserve">avičenega retroaktivnega učinka delno neveljaven. Določal je namreč finančno obveznost kritja stroškov ravnanja z odpadki iz </w:t>
      </w:r>
      <w:proofErr w:type="spellStart"/>
      <w:r>
        <w:t>fotonapetostnih</w:t>
      </w:r>
      <w:proofErr w:type="spellEnd"/>
      <w:r>
        <w:t xml:space="preserve"> modulov, danih na trg v obdobju od 13. avgusta 2005 do </w:t>
      </w:r>
      <w:r>
        <w:lastRenderedPageBreak/>
        <w:t>13. avgusta 2012. Trinajsti avgust 2012 je datum začetka veljavnosti takratne nove Direktive 2012/19/EU, ki je nadomestila Direktivo 2002/96/ES Evropskega parlamenta in Sveta z dne 27. januarja 2003 o odpadni električni in elektronski opremi (OEEO) (UL L št. 37 z dne 13. 2. 2003, str. 24; v nadaljnjem besedilu: Dir</w:t>
      </w:r>
      <w:r>
        <w:t xml:space="preserve">ektiva 2002/96/EU) in s katero so bili v področje uporabe dodatno vključeni tudi </w:t>
      </w:r>
      <w:proofErr w:type="spellStart"/>
      <w:r>
        <w:t>fotonapetostni</w:t>
      </w:r>
      <w:proofErr w:type="spellEnd"/>
      <w:r>
        <w:t xml:space="preserve"> moduli. Po mnenju Sodišča Evropske unije je treba šteti, da se pozneje sprejeto pravilo iz člena 13(1) Direktive 2012/19/EU, v skladu s katerim morajo stroške, povezane z ravnanjem s </w:t>
      </w:r>
      <w:proofErr w:type="spellStart"/>
      <w:r>
        <w:t>fotonapetostnimi</w:t>
      </w:r>
      <w:proofErr w:type="spellEnd"/>
      <w:r>
        <w:t xml:space="preserve"> moduli ob koncu njihovega časa trajanja, kriti proizvajalci, četudi so bili proizvodi dani na trg v obdobju, ko je veljala prejšnja zakonodaja, uporablja retroaktivno. Zato lahko krši načelo pravne varnosti. Sodba je</w:t>
      </w:r>
      <w:r>
        <w:t xml:space="preserve"> zahtevala nadaljnje ukrepanje s ciljno usmerjeno spremembo Direktive 2012/19/EU o odpadni električni in elektronski opremi (v nadaljnjem besedilu: OEEO) in njenega člena 13(1) o kritju stroškov zbiranja in obdelave OEEO. Zato je bila v zvezi z navedeno sodbo Sodišča Evropske unije zaradi spoštovanja načela </w:t>
      </w:r>
      <w:proofErr w:type="spellStart"/>
      <w:r>
        <w:t>neretroaktivnosti</w:t>
      </w:r>
      <w:proofErr w:type="spellEnd"/>
      <w:r>
        <w:t xml:space="preserve"> in s tem za preprečitev kršitve pravne varnosti pri izvajanju direktive sprejeta Direktiva 2024/884/EU. Z njo so bili glede na sodbo sodišča zagotovljeni spoštovanje načela </w:t>
      </w:r>
      <w:proofErr w:type="spellStart"/>
      <w:r>
        <w:t>neretroaktiv</w:t>
      </w:r>
      <w:r>
        <w:t>nosti</w:t>
      </w:r>
      <w:proofErr w:type="spellEnd"/>
      <w:r>
        <w:t xml:space="preserve">, preprečitev kršitve pravne varnosti pri izvajanju direktive in spoštovanje povezanih interesov gospodarskih subjektov za obdobje, ko se Direktiva 2012/19/EU še ni uporabljala za </w:t>
      </w:r>
      <w:proofErr w:type="spellStart"/>
      <w:r>
        <w:t>fotonapetostne</w:t>
      </w:r>
      <w:proofErr w:type="spellEnd"/>
      <w:r>
        <w:t xml:space="preserve"> module in druge proizvode, na novo vključene v njeno področje uporabe. Spremenjena direktiva torej uvaja obveznost PRO za proizvajalce </w:t>
      </w:r>
      <w:proofErr w:type="spellStart"/>
      <w:r>
        <w:t>fotonapetostnih</w:t>
      </w:r>
      <w:proofErr w:type="spellEnd"/>
      <w:r>
        <w:t xml:space="preserve"> modulov, danih na trg od 13. avgusta 2012, ko so bili </w:t>
      </w:r>
      <w:proofErr w:type="spellStart"/>
      <w:r>
        <w:t>fotonapetostni</w:t>
      </w:r>
      <w:proofErr w:type="spellEnd"/>
      <w:r>
        <w:t xml:space="preserve"> moduli vključeni v področje uporabe Direktive 2012/19/EU (in ne od 13. avgusta 2005). Tudi o</w:t>
      </w:r>
      <w:r>
        <w:t xml:space="preserve">bveznost označevanja </w:t>
      </w:r>
      <w:proofErr w:type="spellStart"/>
      <w:r>
        <w:t>fotonapetostnih</w:t>
      </w:r>
      <w:proofErr w:type="spellEnd"/>
      <w:r>
        <w:t xml:space="preserve"> modulov se v skladu s standardom SIST EN 50419:2022 uporablja od 13. avgusta 2012, in ne od 13. avgusta 2005. Proizvajalcem </w:t>
      </w:r>
      <w:proofErr w:type="spellStart"/>
      <w:r>
        <w:t>fotonapetostnih</w:t>
      </w:r>
      <w:proofErr w:type="spellEnd"/>
      <w:r>
        <w:t xml:space="preserve"> modulov se torej s to spremembo ne nalagajo nikakršne nove obveznosti, ampak se z njo jasno določa, da ta obveznost velja od 13. avgusta 2012, ko so bili v področje uporabe predpisa vključeni tudi </w:t>
      </w:r>
      <w:proofErr w:type="spellStart"/>
      <w:r>
        <w:t>fotonapetostni</w:t>
      </w:r>
      <w:proofErr w:type="spellEnd"/>
      <w:r>
        <w:t xml:space="preserve"> moduli, in ne od 13. avgusta 2005, ko je bila uveljavljena prvotna Direktiva 2002/96/EU,</w:t>
      </w:r>
    </w:p>
    <w:p w14:paraId="4BC33D84" w14:textId="77777777" w:rsidR="008B7ABC" w:rsidRDefault="00482841">
      <w:pPr>
        <w:spacing w:after="0" w:line="240" w:lineRule="auto"/>
      </w:pPr>
      <w:r>
        <w:t xml:space="preserve">-        v zvezi s predlogi za dopolnitev predloga uredbe glede izravnave obveznosti proizvajalcev glede deležev, obveščanja javnosti, delitve zbranih količin iz zbirno – predelovalne skupine 4, jasnejše opredelitve končnega uporabnika, proizvajalčeve razširjene odgovornosti v primeru prodaje prek spletnih platform, izdelave obveznih navodil za postopke priprave OEEO za ponovno uporabo, razširitve definicije proizvajalca na pridobivanje EEO za potrebe opravljanja svoje dejavnosti iz drugih držav, spremembe </w:t>
      </w:r>
      <w:r>
        <w:t>predloga uredbe glede možnosti izločanja in prevzemanja OEEO s strani pripravljavca za ponovno uporabo, zbiranja OEEO v okviru sistemov, ki so jih vzpostavili proizvajalci, črtanja omejitev glede prevzemanja starih bremen, predloga, da se pripravi metodologija v zvezi s stroški izvajalca gospodarske javne službe zbiranja določenih vrst komunalnih odpadkov glede ravnanja z OEEO, črtanja nepridobitnosti izvajanja skupnih načrtov za ravnanje z OEEO, sprememb sestavin in izvajanja skupnih načrtov ravnanja z OEE</w:t>
      </w:r>
      <w:r>
        <w:t xml:space="preserve">O, črtanja določb v zvezi z zagotavljanjem finančnega jamstva ter dopolnitvijo v zvezi s podrazredi EEO gre za predloge sistemskih sprememb in dopolnitev, ki niso predmet ciljnega predloga uredbe zaradi odprave kršitve, ker Direktiva 2024/884/EU v slovenski pravni red še ni bila prenesena, oziroma popravkov manjših neskladnosti (osnutek predloga uredbe je bil v predhodno seznanitev vključen tudi v odgovor Republike Slovenije Evropski komisiji na uradni opomin zaradi </w:t>
      </w:r>
      <w:proofErr w:type="spellStart"/>
      <w:r>
        <w:t>nenotifikacije</w:t>
      </w:r>
      <w:proofErr w:type="spellEnd"/>
      <w:r>
        <w:t xml:space="preserve"> predpisov za prenos Direkt</w:t>
      </w:r>
      <w:r>
        <w:t>ive (EU) 2024/884 Evropskega parlamenta in Sveta z dne 13. marca 2024 o spremembi Direktive 2012/19/EU o odpadni električni in elektronski opremi (OEEO) v pravni red Republike Slovenije (kršitev št. 2025/0364, dopis Evropske komisije št. C(2025)7700/26 z dne 20. 11. 2025)).</w:t>
      </w:r>
    </w:p>
    <w:p w14:paraId="1C1BBEE2" w14:textId="77777777" w:rsidR="008B7ABC" w:rsidRDefault="00482841">
      <w:pPr>
        <w:spacing w:after="0" w:line="240" w:lineRule="auto"/>
      </w:pPr>
      <w:r>
        <w:t xml:space="preserve"> </w:t>
      </w:r>
    </w:p>
    <w:p w14:paraId="6F7693FA" w14:textId="77777777" w:rsidR="008B7ABC" w:rsidRDefault="00482841">
      <w:pPr>
        <w:spacing w:after="0" w:line="240" w:lineRule="auto"/>
      </w:pPr>
      <w:r>
        <w:t>Ne glede na navedeno pa se je Ministrstvo za okolje, podnebje in energijo s pripombami seznanilo in jih bo preučilo pri nadaljnji(h) vsebinski(h) spremembi(-ah).</w:t>
      </w:r>
    </w:p>
    <w:p w14:paraId="3317E0A5" w14:textId="77777777" w:rsidR="008B7ABC" w:rsidRDefault="00482841">
      <w:pPr>
        <w:spacing w:after="0" w:line="240" w:lineRule="auto"/>
      </w:pPr>
      <w:r>
        <w:t xml:space="preserve"> </w:t>
      </w:r>
    </w:p>
    <w:p w14:paraId="3611F97A" w14:textId="77777777" w:rsidR="008B7ABC" w:rsidRDefault="00482841">
      <w:pPr>
        <w:spacing w:after="0" w:line="240" w:lineRule="auto"/>
      </w:pPr>
      <w:r>
        <w:t xml:space="preserve">                </w:t>
      </w:r>
    </w:p>
    <w:p w14:paraId="6A9C877F" w14:textId="77777777" w:rsidR="008B7ABC" w:rsidRDefault="00482841">
      <w:pPr>
        <w:spacing w:after="0" w:line="240" w:lineRule="auto"/>
      </w:pPr>
      <w:r>
        <w:t xml:space="preserve"> Enako pojasnilo vsebuje že splošna obrazložitev predloga uredbe.</w:t>
      </w:r>
    </w:p>
    <w:p w14:paraId="12070C99" w14:textId="77777777" w:rsidR="008B7ABC" w:rsidRDefault="008B7ABC">
      <w:pPr>
        <w:spacing w:after="0" w:line="260" w:lineRule="auto"/>
        <w:rPr>
          <w:rFonts w:cs="Arial"/>
        </w:rPr>
      </w:pPr>
    </w:p>
    <w:p w14:paraId="337B0DEB" w14:textId="77777777" w:rsidR="008B7ABC" w:rsidRDefault="00482841">
      <w:r>
        <w:br w:type="page"/>
      </w:r>
    </w:p>
    <w:p w14:paraId="12D1BD07" w14:textId="77777777" w:rsidR="008B7ABC" w:rsidRDefault="00482841">
      <w:pPr>
        <w:pStyle w:val="Odebeljeno"/>
        <w:spacing w:line="260" w:lineRule="auto"/>
      </w:pPr>
      <w:r>
        <w:lastRenderedPageBreak/>
        <w:t>II.</w:t>
      </w:r>
      <w:r>
        <w:tab/>
        <w:t>BESEDILO ČLENOV</w:t>
      </w:r>
    </w:p>
    <w:p w14:paraId="134D620E" w14:textId="77777777" w:rsidR="008B7ABC" w:rsidRDefault="00482841">
      <w:pPr>
        <w:pStyle w:val="Odstavek"/>
        <w:spacing w:line="260" w:lineRule="auto"/>
      </w:pPr>
      <w:r>
        <w:t xml:space="preserve">Na podlagi enajstega in štirinajstega odstavka 20. člena Zakona o varstvu okolja (Uradni list RS, št. 39/06 – uradno prečiščeno besedilo, 49/06 – ZMetD, 66/06 – </w:t>
      </w:r>
      <w:proofErr w:type="spellStart"/>
      <w:r>
        <w:t>odl</w:t>
      </w:r>
      <w:proofErr w:type="spellEnd"/>
      <w:r>
        <w:t xml:space="preserve">. US, 33/07 – ZPNačrt, 57/08 – ZFO-1A, 70/08, 108/09, 108/09 – ZPNačrt-A, 48/12, 57/12, 92/13, 56/15, 102/15, 30/16, 61/17 – GZ, 21/18 – </w:t>
      </w:r>
      <w:proofErr w:type="spellStart"/>
      <w:r>
        <w:t>ZNOrg</w:t>
      </w:r>
      <w:proofErr w:type="spellEnd"/>
      <w:r>
        <w:t xml:space="preserve">, 84/18 – ZIURKOE, 158/20 in 44/22 – ZVO-2) ter šeste točke tretjega odstavka 21. člena in šestega odstavka 24. člena Zakona o varstvu okolja (Uradni list RS, št. 44/22, 18/23 – ZDU-1O, 78/23 – ZUNPEOVE, 23/24, 21/25 – ZOPVOOV in 56/25 – </w:t>
      </w:r>
      <w:proofErr w:type="spellStart"/>
      <w:r>
        <w:t>PoZ</w:t>
      </w:r>
      <w:proofErr w:type="spellEnd"/>
      <w:r>
        <w:t>) v zvezi s prvim odstavkom 264. člena Zakona o varstvu okolja (Uradni list RS, št. 44/22) Vlada Republike Slovenije izdaja</w:t>
      </w:r>
    </w:p>
    <w:p w14:paraId="1AB76285" w14:textId="77777777" w:rsidR="008B7ABC" w:rsidRDefault="008B7ABC">
      <w:pPr>
        <w:spacing w:after="0" w:line="260" w:lineRule="auto"/>
        <w:rPr>
          <w:rFonts w:cs="Arial"/>
        </w:rPr>
      </w:pPr>
    </w:p>
    <w:p w14:paraId="084B3AF9" w14:textId="77777777" w:rsidR="008B7ABC" w:rsidRDefault="00482841">
      <w:pPr>
        <w:pStyle w:val="Naslov1"/>
        <w:spacing w:line="260" w:lineRule="auto"/>
      </w:pPr>
      <w:r>
        <w:t>Uredbo o spremembah in dopolnitvah Uredbe o odpadni električni in elektronski opremi</w:t>
      </w:r>
    </w:p>
    <w:p w14:paraId="49220DD7" w14:textId="77777777" w:rsidR="008B7ABC" w:rsidRDefault="00482841">
      <w:pPr>
        <w:pStyle w:val="len"/>
        <w:spacing w:line="260" w:lineRule="auto"/>
      </w:pPr>
      <w:r>
        <w:t>1. člen</w:t>
      </w:r>
    </w:p>
    <w:p w14:paraId="3A79D177" w14:textId="77777777" w:rsidR="008B7ABC" w:rsidRDefault="008B7ABC">
      <w:pPr>
        <w:spacing w:after="0" w:line="260" w:lineRule="auto"/>
        <w:rPr>
          <w:rFonts w:cs="Arial"/>
        </w:rPr>
      </w:pPr>
    </w:p>
    <w:p w14:paraId="6E658C55" w14:textId="77777777" w:rsidR="008B7ABC" w:rsidRDefault="00482841">
      <w:pPr>
        <w:spacing w:after="0" w:line="260" w:lineRule="auto"/>
      </w:pPr>
      <w:r>
        <w:tab/>
        <w:t>Uredbi o odpadni električni in elektronski opremi (Uradni list RS, št. 55/15, 47/16, 72/18, 84/18 – ZIURKOE, 108/20 in 44/22 – ZVO-2 , v nadaljnjem besedilu: uredba) se 1. člen spremeni tako, da se glasi:</w:t>
      </w:r>
    </w:p>
    <w:p w14:paraId="48C58B5E" w14:textId="77777777" w:rsidR="008B7ABC" w:rsidRDefault="008B7ABC">
      <w:pPr>
        <w:spacing w:after="0" w:line="260" w:lineRule="auto"/>
        <w:rPr>
          <w:rFonts w:cs="Arial"/>
        </w:rPr>
      </w:pPr>
    </w:p>
    <w:p w14:paraId="5D8083F7" w14:textId="77777777" w:rsidR="008B7ABC" w:rsidRDefault="008B7ABC">
      <w:pPr>
        <w:spacing w:after="0" w:line="260" w:lineRule="auto"/>
        <w:rPr>
          <w:rFonts w:cs="Arial"/>
        </w:rPr>
      </w:pPr>
    </w:p>
    <w:p w14:paraId="26538D5F" w14:textId="77777777" w:rsidR="008B7ABC" w:rsidRDefault="00482841">
      <w:pPr>
        <w:pStyle w:val="lennaslov"/>
        <w:spacing w:line="260" w:lineRule="auto"/>
      </w:pPr>
      <w:r>
        <w:t>»1. člen</w:t>
      </w:r>
      <w:r>
        <w:br/>
        <w:t>(vsebina in namen)</w:t>
      </w:r>
      <w:r>
        <w:br/>
      </w:r>
    </w:p>
    <w:p w14:paraId="6E634BE7" w14:textId="77777777" w:rsidR="008B7ABC" w:rsidRDefault="008B7ABC">
      <w:pPr>
        <w:spacing w:after="0" w:line="260" w:lineRule="auto"/>
        <w:rPr>
          <w:rFonts w:cs="Arial"/>
        </w:rPr>
      </w:pPr>
    </w:p>
    <w:p w14:paraId="7263C750" w14:textId="77777777" w:rsidR="008B7ABC" w:rsidRDefault="00482841">
      <w:pPr>
        <w:spacing w:after="0" w:line="260" w:lineRule="auto"/>
      </w:pPr>
      <w:r>
        <w:tab/>
        <w:t>(1) Ta uredba določa pravila ravnanja z odpadno električno in elektronsko opremo v skladu z:</w:t>
      </w:r>
    </w:p>
    <w:p w14:paraId="78E24590" w14:textId="77777777" w:rsidR="008B7ABC" w:rsidRDefault="00482841">
      <w:pPr>
        <w:spacing w:after="0" w:line="260" w:lineRule="auto"/>
      </w:pPr>
      <w:r>
        <w:tab/>
        <w:t>- Direktivo 2012/19/EU Evropskega parlamenta in Sveta z dne 4. julija 2012 o odpadni električni in elektronski opremi (OEEO) (UL L št. 197 z dne 24. 7. 2012, str. 38), nazadnje spremenjeno z Direktivo (EU) 2024/884 Evropskega parlamenta in Sveta z dne 13. marca 2024 o spremembi Direktive 2012/19/EU o odpadni električni in elektronski opremi (OEEO) (UL L št. 2024/884 z dne 19. 3. 2024),</w:t>
      </w:r>
    </w:p>
    <w:p w14:paraId="1B93AF1C" w14:textId="77777777" w:rsidR="008B7ABC" w:rsidRDefault="00482841">
      <w:pPr>
        <w:spacing w:after="0" w:line="260" w:lineRule="auto"/>
      </w:pPr>
      <w:r>
        <w:tab/>
        <w:t>- Izvedbeno uredbo Komisije (EU) 2019/290 z dne 19. februarja 2019 o vzpostavitvi formata za registracijo in poročanje v register za proizvajalce električne in elektronske opreme (UL L št. 48 z dne 20. 2. 2019, str. 6; v nadaljnjem besedilu: Izvedbena uredba 2019/290/EU),</w:t>
      </w:r>
    </w:p>
    <w:p w14:paraId="0BB17A26" w14:textId="77777777" w:rsidR="008B7ABC" w:rsidRDefault="00482841">
      <w:pPr>
        <w:spacing w:after="0" w:line="260" w:lineRule="auto"/>
      </w:pPr>
      <w:r>
        <w:tab/>
        <w:t>- Izvedbeno uredbo Komisije (EU) 2017/699 z dne 18. aprila 2017 o določitvi skupne metodologije za izračun teže električne in elektronske opreme (EEO), dane v promet v posamezni državi članici, in skupne metodologije za izračun količine odpadne električne in elektronske opreme (OEEO), izražene v teži, nastale v posamezni državi članici (UL L št. 103 z dne 19. 4. 2017, str. 17; v nadaljnjem besedilu: Izvedbena uredba Komisije (EU) 2017/699) in</w:t>
      </w:r>
    </w:p>
    <w:p w14:paraId="32A7C764" w14:textId="77777777" w:rsidR="008B7ABC" w:rsidRDefault="00482841">
      <w:pPr>
        <w:spacing w:after="0" w:line="260" w:lineRule="auto"/>
      </w:pPr>
      <w:r>
        <w:tab/>
        <w:t>- Izvedbenim sklepom Komisije (EU) 2019/2193 z dne 17. decembra 2019 o določitvi pravil za izračun, preverjanje in sporočanje podatkov ter vzpostavitvi oblik podatkov za namene Direktive 2012/19/EU Evropskega parlamenta in Sveta o odpadni električni in elektronski opremi (OEEO) (UL L št. 330 z dne 20. 12. 2019, str. 72), nazadnje popravljenim s Popravkom (UL L št. 9 z dne 15. 1. 2020, str. 73; v nadaljnjem besedilu: Izvedbeni sklep Komisije (EU) 2019/2193).</w:t>
      </w:r>
    </w:p>
    <w:p w14:paraId="69991B05" w14:textId="77777777" w:rsidR="008B7ABC" w:rsidRDefault="008B7ABC">
      <w:pPr>
        <w:spacing w:after="0" w:line="260" w:lineRule="auto"/>
        <w:rPr>
          <w:rFonts w:cs="Arial"/>
        </w:rPr>
      </w:pPr>
    </w:p>
    <w:p w14:paraId="31AE8AE6" w14:textId="77777777" w:rsidR="008B7ABC" w:rsidRDefault="00482841">
      <w:pPr>
        <w:spacing w:after="0" w:line="260" w:lineRule="auto"/>
      </w:pPr>
      <w:r>
        <w:tab/>
        <w:t>(2) Ta uredba z namenom prispevanja k trajnostnemu razvoju določa preprečevanje ali zmanjševanje škodljivih vplivov nastajanja odpadne električne in elektronske opreme ter ravnanja z njo zaradi varstva okolja in varovanja človekovega zdravja ter zmanjševanja celotnega vpliva uporabe naravnih virov in izboljšanja učinkovitosti njihove uporabe v skladu s 1. in 4. členom Direktive 2008/98/ES Evropskega parlamenta in Sveta z dne 19. novembra 2008 o odpadkih in razveljavitvi nekaterih direktiv (UL L št. 312 z d</w:t>
      </w:r>
      <w:r>
        <w:t>ne 22. 11. 2008, str. 3), nazadnje spremenjene z Direktivo (EU) 2025/1892 Evropskega parlamenta in Sveta z dne 10. septembra 2025 o spremembi Direktive 2008/98/ES o odpadkih (UL L št. 2025/1892 z dne 26. 9. 2025).«. </w:t>
      </w:r>
    </w:p>
    <w:p w14:paraId="10136B9B" w14:textId="77777777" w:rsidR="008B7ABC" w:rsidRDefault="00482841">
      <w:pPr>
        <w:pStyle w:val="len"/>
        <w:spacing w:line="260" w:lineRule="auto"/>
      </w:pPr>
      <w:r>
        <w:lastRenderedPageBreak/>
        <w:t>2. člen</w:t>
      </w:r>
    </w:p>
    <w:p w14:paraId="5413C8D0" w14:textId="77777777" w:rsidR="008B7ABC" w:rsidRDefault="008B7ABC">
      <w:pPr>
        <w:spacing w:after="0" w:line="260" w:lineRule="auto"/>
        <w:rPr>
          <w:rFonts w:cs="Arial"/>
        </w:rPr>
      </w:pPr>
    </w:p>
    <w:p w14:paraId="160BB38C" w14:textId="77777777" w:rsidR="008B7ABC" w:rsidRDefault="00482841">
      <w:pPr>
        <w:spacing w:after="0" w:line="260" w:lineRule="auto"/>
      </w:pPr>
      <w:r>
        <w:tab/>
      </w:r>
      <w:r>
        <w:t>V 3. členu se 2. točka spremeni tako, da se glasi:</w:t>
      </w:r>
    </w:p>
    <w:p w14:paraId="59F3CF7C" w14:textId="77777777" w:rsidR="008B7ABC" w:rsidRDefault="008B7ABC">
      <w:pPr>
        <w:spacing w:after="0" w:line="260" w:lineRule="auto"/>
        <w:rPr>
          <w:rFonts w:cs="Arial"/>
        </w:rPr>
      </w:pPr>
    </w:p>
    <w:p w14:paraId="796BA8C7" w14:textId="77777777" w:rsidR="008B7ABC" w:rsidRDefault="00482841">
      <w:pPr>
        <w:pStyle w:val="tevilnatoka"/>
        <w:spacing w:after="0" w:line="260" w:lineRule="auto"/>
      </w:pPr>
      <w:r>
        <w:tab/>
        <w:t>»2. dati na trg je omogočiti, da je proizvod prvič dostopen na trgu Republike Slovenije (v nadaljnjem besedilu: RS);«.</w:t>
      </w:r>
    </w:p>
    <w:p w14:paraId="3236C73D" w14:textId="77777777" w:rsidR="008B7ABC" w:rsidRDefault="00482841">
      <w:pPr>
        <w:pStyle w:val="len"/>
        <w:spacing w:line="260" w:lineRule="auto"/>
      </w:pPr>
      <w:r>
        <w:t>3. člen</w:t>
      </w:r>
    </w:p>
    <w:p w14:paraId="7A864D31" w14:textId="77777777" w:rsidR="008B7ABC" w:rsidRDefault="008B7ABC">
      <w:pPr>
        <w:spacing w:after="0" w:line="260" w:lineRule="auto"/>
        <w:rPr>
          <w:rFonts w:cs="Arial"/>
        </w:rPr>
      </w:pPr>
    </w:p>
    <w:p w14:paraId="0D4C4F6F" w14:textId="77777777" w:rsidR="008B7ABC" w:rsidRDefault="00482841">
      <w:pPr>
        <w:spacing w:after="0" w:line="260" w:lineRule="auto"/>
      </w:pPr>
      <w:r>
        <w:tab/>
        <w:t>V 5. členu se za drugim odstavkom dodata nova tretji in četrti odstavek, ki se glasita:</w:t>
      </w:r>
      <w:r>
        <w:br/>
      </w:r>
    </w:p>
    <w:p w14:paraId="439007E7" w14:textId="77777777" w:rsidR="008B7ABC" w:rsidRDefault="008B7ABC">
      <w:pPr>
        <w:spacing w:after="0" w:line="260" w:lineRule="auto"/>
        <w:rPr>
          <w:rFonts w:cs="Arial"/>
        </w:rPr>
      </w:pPr>
    </w:p>
    <w:p w14:paraId="078BF3B3" w14:textId="77777777" w:rsidR="008B7ABC" w:rsidRDefault="008B7ABC">
      <w:pPr>
        <w:spacing w:after="0" w:line="260" w:lineRule="auto"/>
        <w:rPr>
          <w:rFonts w:cs="Arial"/>
        </w:rPr>
      </w:pPr>
    </w:p>
    <w:p w14:paraId="1F10D825" w14:textId="77777777" w:rsidR="008B7ABC" w:rsidRDefault="00482841">
      <w:pPr>
        <w:spacing w:after="0" w:line="260" w:lineRule="auto"/>
      </w:pPr>
      <w:r>
        <w:tab/>
        <w:t xml:space="preserve">»(3) Ne glede na prejšnji odstavek mora proizvajalec v skladu s tem členom označiti </w:t>
      </w:r>
      <w:proofErr w:type="spellStart"/>
      <w:r>
        <w:t>fotonapetostne</w:t>
      </w:r>
      <w:proofErr w:type="spellEnd"/>
      <w:r>
        <w:t xml:space="preserve"> module, dane na trg od 13. avgusta 2012.</w:t>
      </w:r>
    </w:p>
    <w:p w14:paraId="6440CD2B" w14:textId="77777777" w:rsidR="008B7ABC" w:rsidRDefault="008B7ABC">
      <w:pPr>
        <w:spacing w:after="0" w:line="260" w:lineRule="auto"/>
        <w:rPr>
          <w:rFonts w:cs="Arial"/>
        </w:rPr>
      </w:pPr>
    </w:p>
    <w:p w14:paraId="250BE0A3" w14:textId="77777777" w:rsidR="008B7ABC" w:rsidRDefault="00482841">
      <w:pPr>
        <w:spacing w:after="0" w:line="260" w:lineRule="auto"/>
      </w:pPr>
      <w:r>
        <w:tab/>
        <w:t> (4) Ne glede na drugi odstavek tega člena mora proizvajalec v skladu s tem členom označiti EEO, dano na trg od 15. avgusta 2018, ki se uvršča v razrede iz priloge 1 te uredbe in se ni uvrščala v razrede iz priloge 3 te uredbe.«.  </w:t>
      </w:r>
    </w:p>
    <w:p w14:paraId="53B583E9" w14:textId="77777777" w:rsidR="008B7ABC" w:rsidRDefault="008B7ABC">
      <w:pPr>
        <w:spacing w:after="0" w:line="260" w:lineRule="auto"/>
        <w:rPr>
          <w:rFonts w:cs="Arial"/>
        </w:rPr>
      </w:pPr>
    </w:p>
    <w:p w14:paraId="75927269" w14:textId="77777777" w:rsidR="008B7ABC" w:rsidRDefault="00482841">
      <w:pPr>
        <w:spacing w:after="0" w:line="260" w:lineRule="auto"/>
      </w:pPr>
      <w:r>
        <w:tab/>
        <w:t>V dosedanjem tretjem odstavku, ki postane peti odstavek, se besedilo »prejšnjega odstavka« nadomesti z besedilom »drugega odstavka tega člena«. </w:t>
      </w:r>
    </w:p>
    <w:p w14:paraId="0E3C0E26" w14:textId="77777777" w:rsidR="008B7ABC" w:rsidRDefault="008B7ABC">
      <w:pPr>
        <w:spacing w:after="0" w:line="260" w:lineRule="auto"/>
        <w:rPr>
          <w:rFonts w:cs="Arial"/>
        </w:rPr>
      </w:pPr>
    </w:p>
    <w:p w14:paraId="30F77FC7" w14:textId="77777777" w:rsidR="008B7ABC" w:rsidRDefault="00482841">
      <w:pPr>
        <w:spacing w:after="0" w:line="260" w:lineRule="auto"/>
      </w:pPr>
      <w:r>
        <w:tab/>
        <w:t>Dosedanji četrti odstavek postane šesti odstavek.</w:t>
      </w:r>
    </w:p>
    <w:p w14:paraId="21EDC312" w14:textId="77777777" w:rsidR="008B7ABC" w:rsidRDefault="008B7ABC">
      <w:pPr>
        <w:spacing w:after="0" w:line="260" w:lineRule="auto"/>
        <w:rPr>
          <w:rFonts w:cs="Arial"/>
        </w:rPr>
      </w:pPr>
    </w:p>
    <w:p w14:paraId="396151D8" w14:textId="77777777" w:rsidR="008B7ABC" w:rsidRDefault="00482841">
      <w:pPr>
        <w:pStyle w:val="len"/>
        <w:spacing w:line="260" w:lineRule="auto"/>
      </w:pPr>
      <w:r>
        <w:t>4. člen</w:t>
      </w:r>
    </w:p>
    <w:p w14:paraId="658DB02C" w14:textId="77777777" w:rsidR="008B7ABC" w:rsidRDefault="008B7ABC">
      <w:pPr>
        <w:spacing w:after="0" w:line="260" w:lineRule="auto"/>
        <w:rPr>
          <w:rFonts w:cs="Arial"/>
        </w:rPr>
      </w:pPr>
    </w:p>
    <w:p w14:paraId="07AC669F" w14:textId="77777777" w:rsidR="008B7ABC" w:rsidRDefault="00482841">
      <w:pPr>
        <w:spacing w:after="0" w:line="260" w:lineRule="auto"/>
      </w:pPr>
      <w:r>
        <w:tab/>
        <w:t>V 8. členu se v prvem odstavku v 3. točki za besedilom »v predhodnih treh letih, ali« doda beseda »alternativno«.</w:t>
      </w:r>
    </w:p>
    <w:p w14:paraId="7BE9A50B" w14:textId="77777777" w:rsidR="008B7ABC" w:rsidRDefault="008B7ABC">
      <w:pPr>
        <w:spacing w:after="0" w:line="260" w:lineRule="auto"/>
        <w:rPr>
          <w:rFonts w:cs="Arial"/>
        </w:rPr>
      </w:pPr>
    </w:p>
    <w:p w14:paraId="4D6D9B8B" w14:textId="77777777" w:rsidR="008B7ABC" w:rsidRDefault="00482841">
      <w:pPr>
        <w:spacing w:after="0" w:line="260" w:lineRule="auto"/>
      </w:pPr>
      <w:r>
        <w:tab/>
        <w:t>Drugi odstavek se spremeni tako, da se glasi:</w:t>
      </w:r>
    </w:p>
    <w:p w14:paraId="00F509C7" w14:textId="77777777" w:rsidR="008B7ABC" w:rsidRDefault="008B7ABC">
      <w:pPr>
        <w:spacing w:after="0" w:line="260" w:lineRule="auto"/>
        <w:rPr>
          <w:rFonts w:cs="Arial"/>
        </w:rPr>
      </w:pPr>
    </w:p>
    <w:p w14:paraId="5384C872" w14:textId="77777777" w:rsidR="008B7ABC" w:rsidRDefault="008B7ABC">
      <w:pPr>
        <w:spacing w:after="0" w:line="260" w:lineRule="auto"/>
        <w:rPr>
          <w:rFonts w:cs="Arial"/>
        </w:rPr>
      </w:pPr>
    </w:p>
    <w:p w14:paraId="280A9D40" w14:textId="77777777" w:rsidR="008B7ABC" w:rsidRDefault="00482841">
      <w:pPr>
        <w:spacing w:after="0" w:line="260" w:lineRule="auto"/>
      </w:pPr>
      <w:r>
        <w:tab/>
        <w:t>»(2) Masa EEO, ki je bila letno dana na trg v RS, se izračuna v skladu s tretjim odstavkom 49. člena te uredbe. Povprečna masa EEO, ki je bila letno dana na trg v RS v predhodnih treh letih, se izračuna kot aritmetično povprečje vseh treh mas EEO.«.</w:t>
      </w:r>
    </w:p>
    <w:p w14:paraId="3A3F6B67" w14:textId="77777777" w:rsidR="008B7ABC" w:rsidRDefault="008B7ABC">
      <w:pPr>
        <w:spacing w:after="0" w:line="260" w:lineRule="auto"/>
        <w:rPr>
          <w:rFonts w:cs="Arial"/>
        </w:rPr>
      </w:pPr>
    </w:p>
    <w:p w14:paraId="2E082F60" w14:textId="77777777" w:rsidR="008B7ABC" w:rsidRDefault="00482841">
      <w:pPr>
        <w:spacing w:after="0" w:line="260" w:lineRule="auto"/>
      </w:pPr>
      <w:r>
        <w:tab/>
      </w:r>
      <w:r>
        <w:t> Doda se novi, tretji odstavek, ki se glasi:</w:t>
      </w:r>
    </w:p>
    <w:p w14:paraId="0B0E515E" w14:textId="77777777" w:rsidR="008B7ABC" w:rsidRDefault="008B7ABC">
      <w:pPr>
        <w:spacing w:after="0" w:line="260" w:lineRule="auto"/>
        <w:rPr>
          <w:rFonts w:cs="Arial"/>
        </w:rPr>
      </w:pPr>
    </w:p>
    <w:p w14:paraId="3F542E4F" w14:textId="77777777" w:rsidR="008B7ABC" w:rsidRDefault="008B7ABC">
      <w:pPr>
        <w:spacing w:after="0" w:line="260" w:lineRule="auto"/>
        <w:rPr>
          <w:rFonts w:cs="Arial"/>
        </w:rPr>
      </w:pPr>
    </w:p>
    <w:p w14:paraId="1B815828" w14:textId="77777777" w:rsidR="008B7ABC" w:rsidRDefault="00482841">
      <w:pPr>
        <w:spacing w:after="0" w:line="260" w:lineRule="auto"/>
      </w:pPr>
      <w:r>
        <w:tab/>
        <w:t>»(3) Masa OEEO, ki letno nastane na območju RS, se izračuna na podlagi metodologije v skladu s prilogo II Izvedbene uredbe Komisije (EU) 2017/699.«. </w:t>
      </w:r>
    </w:p>
    <w:p w14:paraId="4C1FA6A3" w14:textId="77777777" w:rsidR="008B7ABC" w:rsidRDefault="00482841">
      <w:pPr>
        <w:pStyle w:val="len"/>
        <w:spacing w:line="260" w:lineRule="auto"/>
      </w:pPr>
      <w:r>
        <w:t>5. člen</w:t>
      </w:r>
    </w:p>
    <w:p w14:paraId="75488637" w14:textId="77777777" w:rsidR="008B7ABC" w:rsidRDefault="008B7ABC">
      <w:pPr>
        <w:spacing w:after="0" w:line="260" w:lineRule="auto"/>
        <w:rPr>
          <w:rFonts w:cs="Arial"/>
        </w:rPr>
      </w:pPr>
    </w:p>
    <w:p w14:paraId="7A51E55C" w14:textId="77777777" w:rsidR="008B7ABC" w:rsidRDefault="00482841">
      <w:pPr>
        <w:spacing w:after="0" w:line="260" w:lineRule="auto"/>
      </w:pPr>
      <w:r>
        <w:tab/>
        <w:t>V 16. členu se v šestem odstavku besedilo »s splošnimi« nadomesti s črko »z«, besedilo »SIST EN 50574-1 in SIST EN 50574-2« pa nadomesti z besedilom »SIST EN 50625-2-4, SIST EN 50625-3-1, SIST EN 50625-3-2, SIST EN 50625-3-3, SIST EN 50625-3-4 in SIST EN 50625-3«. </w:t>
      </w:r>
    </w:p>
    <w:p w14:paraId="32D90484" w14:textId="77777777" w:rsidR="008B7ABC" w:rsidRDefault="008B7ABC">
      <w:pPr>
        <w:spacing w:after="0" w:line="260" w:lineRule="auto"/>
        <w:rPr>
          <w:rFonts w:cs="Arial"/>
        </w:rPr>
      </w:pPr>
    </w:p>
    <w:p w14:paraId="4A8F0CCD" w14:textId="77777777" w:rsidR="008B7ABC" w:rsidRDefault="00482841">
      <w:pPr>
        <w:spacing w:after="0" w:line="260" w:lineRule="auto"/>
      </w:pPr>
      <w:r>
        <w:tab/>
        <w:t>Za šestim odstavkom se doda nov sedmi odstavek, ki se glasi:</w:t>
      </w:r>
    </w:p>
    <w:p w14:paraId="6CEAEDEF" w14:textId="77777777" w:rsidR="008B7ABC" w:rsidRDefault="008B7ABC">
      <w:pPr>
        <w:spacing w:after="0" w:line="260" w:lineRule="auto"/>
        <w:rPr>
          <w:rFonts w:cs="Arial"/>
        </w:rPr>
      </w:pPr>
    </w:p>
    <w:p w14:paraId="0BB6E562" w14:textId="77777777" w:rsidR="008B7ABC" w:rsidRDefault="008B7ABC">
      <w:pPr>
        <w:spacing w:after="0" w:line="260" w:lineRule="auto"/>
        <w:rPr>
          <w:rFonts w:cs="Arial"/>
        </w:rPr>
      </w:pPr>
    </w:p>
    <w:p w14:paraId="028AA850" w14:textId="77777777" w:rsidR="008B7ABC" w:rsidRDefault="00482841">
      <w:pPr>
        <w:spacing w:after="0" w:line="260" w:lineRule="auto"/>
      </w:pPr>
      <w:r>
        <w:tab/>
        <w:t>»(7) Priprava OEEO za ponovno uporabo se mora izvajati v skladu z zahtevami iz standarda SIST EN 50614.«. </w:t>
      </w:r>
    </w:p>
    <w:p w14:paraId="1C67B206" w14:textId="77777777" w:rsidR="008B7ABC" w:rsidRDefault="008B7ABC">
      <w:pPr>
        <w:spacing w:after="0" w:line="260" w:lineRule="auto"/>
        <w:rPr>
          <w:rFonts w:cs="Arial"/>
        </w:rPr>
      </w:pPr>
    </w:p>
    <w:p w14:paraId="5125430F" w14:textId="77777777" w:rsidR="008B7ABC" w:rsidRDefault="00482841">
      <w:pPr>
        <w:spacing w:after="0" w:line="260" w:lineRule="auto"/>
      </w:pPr>
      <w:r>
        <w:tab/>
        <w:t>Dosedanji sedmi do deveti odstavek postanejo osmi do deseti odstavek.</w:t>
      </w:r>
    </w:p>
    <w:p w14:paraId="1D8A6DBE" w14:textId="77777777" w:rsidR="008B7ABC" w:rsidRDefault="008B7ABC">
      <w:pPr>
        <w:spacing w:after="0" w:line="260" w:lineRule="auto"/>
        <w:rPr>
          <w:rFonts w:cs="Arial"/>
        </w:rPr>
      </w:pPr>
    </w:p>
    <w:p w14:paraId="62A0DCF3" w14:textId="77777777" w:rsidR="008B7ABC" w:rsidRDefault="00482841">
      <w:pPr>
        <w:pStyle w:val="len"/>
        <w:spacing w:line="260" w:lineRule="auto"/>
      </w:pPr>
      <w:r>
        <w:t>6. člen</w:t>
      </w:r>
    </w:p>
    <w:p w14:paraId="504948B1" w14:textId="77777777" w:rsidR="008B7ABC" w:rsidRDefault="008B7ABC">
      <w:pPr>
        <w:spacing w:after="0" w:line="260" w:lineRule="auto"/>
        <w:rPr>
          <w:rFonts w:cs="Arial"/>
        </w:rPr>
      </w:pPr>
    </w:p>
    <w:p w14:paraId="26769627" w14:textId="77777777" w:rsidR="008B7ABC" w:rsidRDefault="00482841">
      <w:pPr>
        <w:spacing w:after="0" w:line="260" w:lineRule="auto"/>
      </w:pPr>
      <w:r>
        <w:tab/>
      </w:r>
      <w:r>
        <w:t>V 17. členu se drugi odstavek spremeni tako, da se glasi:</w:t>
      </w:r>
    </w:p>
    <w:p w14:paraId="2E6B2691" w14:textId="77777777" w:rsidR="008B7ABC" w:rsidRDefault="008B7ABC">
      <w:pPr>
        <w:spacing w:after="0" w:line="260" w:lineRule="auto"/>
        <w:rPr>
          <w:rFonts w:cs="Arial"/>
        </w:rPr>
      </w:pPr>
    </w:p>
    <w:p w14:paraId="5FB35EB1" w14:textId="77777777" w:rsidR="008B7ABC" w:rsidRDefault="008B7ABC">
      <w:pPr>
        <w:spacing w:after="0" w:line="260" w:lineRule="auto"/>
        <w:rPr>
          <w:rFonts w:cs="Arial"/>
        </w:rPr>
      </w:pPr>
    </w:p>
    <w:p w14:paraId="7F449A38" w14:textId="77777777" w:rsidR="008B7ABC" w:rsidRDefault="00482841">
      <w:pPr>
        <w:spacing w:after="0" w:line="260" w:lineRule="auto"/>
      </w:pPr>
      <w:r>
        <w:tab/>
        <w:t xml:space="preserve">»(2) Proizvajalec mora na svoje stroške zagotavljati zbiranje OEEO in obdelavo vse zbrane OEEO v skladu s to uredbo, in sicer za:  a) OEEO, ki nastaja iz EEO, ki se uvršča v razrede iz priloge 3 te uredbe in dane na trg po 13. avgustu 2005, b) OEEO, ki nastaja iz </w:t>
      </w:r>
      <w:proofErr w:type="spellStart"/>
      <w:r>
        <w:t>fotonapetostnih</w:t>
      </w:r>
      <w:proofErr w:type="spellEnd"/>
      <w:r>
        <w:t xml:space="preserve"> modulov, danih na trg od 13. avgusta 2012, c) OEEO, ki nastaja iz EEO, ki se uvršča v razrede iz priloge 1 te uredbe in se ni uvrščala v razrede iz priloge 3 te uredbe, dane na trg od 15. avgusta 2018.«. </w:t>
      </w:r>
    </w:p>
    <w:p w14:paraId="05DD4218" w14:textId="77777777" w:rsidR="008B7ABC" w:rsidRDefault="008B7ABC">
      <w:pPr>
        <w:spacing w:after="0" w:line="260" w:lineRule="auto"/>
        <w:rPr>
          <w:rFonts w:cs="Arial"/>
        </w:rPr>
      </w:pPr>
    </w:p>
    <w:p w14:paraId="143D4DFD" w14:textId="77777777" w:rsidR="008B7ABC" w:rsidRDefault="00482841">
      <w:pPr>
        <w:spacing w:after="0" w:line="260" w:lineRule="auto"/>
      </w:pPr>
      <w:r>
        <w:tab/>
        <w:t xml:space="preserve">V tretjem odstavku se za besedilom »tudi na stara bremena,« doda besedilo »razen na </w:t>
      </w:r>
      <w:proofErr w:type="spellStart"/>
      <w:r>
        <w:t>fotonapetostne</w:t>
      </w:r>
      <w:proofErr w:type="spellEnd"/>
      <w:r>
        <w:t xml:space="preserve"> module,«.</w:t>
      </w:r>
    </w:p>
    <w:p w14:paraId="0EE5B064" w14:textId="77777777" w:rsidR="008B7ABC" w:rsidRDefault="008B7ABC">
      <w:pPr>
        <w:spacing w:after="0" w:line="260" w:lineRule="auto"/>
        <w:rPr>
          <w:rFonts w:cs="Arial"/>
        </w:rPr>
      </w:pPr>
    </w:p>
    <w:p w14:paraId="1CAC98C3" w14:textId="77777777" w:rsidR="008B7ABC" w:rsidRDefault="00482841">
      <w:pPr>
        <w:pStyle w:val="len"/>
        <w:spacing w:line="260" w:lineRule="auto"/>
      </w:pPr>
      <w:r>
        <w:t>7. člen</w:t>
      </w:r>
    </w:p>
    <w:p w14:paraId="246D3FAB" w14:textId="77777777" w:rsidR="008B7ABC" w:rsidRDefault="008B7ABC">
      <w:pPr>
        <w:spacing w:after="0" w:line="260" w:lineRule="auto"/>
        <w:rPr>
          <w:rFonts w:cs="Arial"/>
        </w:rPr>
      </w:pPr>
    </w:p>
    <w:p w14:paraId="0E3039E6" w14:textId="77777777" w:rsidR="008B7ABC" w:rsidRDefault="00482841">
      <w:pPr>
        <w:spacing w:after="0" w:line="260" w:lineRule="auto"/>
      </w:pPr>
      <w:r>
        <w:tab/>
        <w:t>V 44. členu se v šestem odstavku za besedo »Ministrstvo« doda besedilo »po uradni dolžnosti ali«. </w:t>
      </w:r>
    </w:p>
    <w:p w14:paraId="6B29D790" w14:textId="77777777" w:rsidR="008B7ABC" w:rsidRDefault="008B7ABC">
      <w:pPr>
        <w:spacing w:after="0" w:line="260" w:lineRule="auto"/>
        <w:rPr>
          <w:rFonts w:cs="Arial"/>
        </w:rPr>
      </w:pPr>
    </w:p>
    <w:p w14:paraId="3F3F9331" w14:textId="77777777" w:rsidR="008B7ABC" w:rsidRDefault="00482841">
      <w:pPr>
        <w:spacing w:after="0" w:line="260" w:lineRule="auto"/>
      </w:pPr>
      <w:r>
        <w:tab/>
        <w:t>Za šestim odstavkom se doda nov sedmi odstavek, ki se glasi:</w:t>
      </w:r>
    </w:p>
    <w:p w14:paraId="04FE9D97" w14:textId="77777777" w:rsidR="008B7ABC" w:rsidRDefault="008B7ABC">
      <w:pPr>
        <w:spacing w:after="0" w:line="260" w:lineRule="auto"/>
        <w:rPr>
          <w:rFonts w:cs="Arial"/>
        </w:rPr>
      </w:pPr>
    </w:p>
    <w:p w14:paraId="36F054B7" w14:textId="77777777" w:rsidR="008B7ABC" w:rsidRDefault="008B7ABC">
      <w:pPr>
        <w:spacing w:after="0" w:line="260" w:lineRule="auto"/>
        <w:rPr>
          <w:rFonts w:cs="Arial"/>
        </w:rPr>
      </w:pPr>
    </w:p>
    <w:p w14:paraId="3CEEC66C" w14:textId="77777777" w:rsidR="008B7ABC" w:rsidRDefault="00482841">
      <w:pPr>
        <w:spacing w:after="0" w:line="260" w:lineRule="auto"/>
      </w:pPr>
      <w:r>
        <w:tab/>
        <w:t>»(7) Ne glede na prejšnji odstavek ministrstvo v evidenci iz prvega odstavka tega člena po uradni dolžnosti spremeni podatek o nosilcu skupnega načrta na podlagi spremembe skupnega načrta iz 31. člena te uredbe, če se ta sprememba nanaša na pristop proizvajalca k skupnemu načrtu, izstop proizvajalca iz skupnega načrta ali prestop proizvajalca iz enega skupnega načrta v drugi skupni načrt.«. </w:t>
      </w:r>
    </w:p>
    <w:p w14:paraId="2F3F0430" w14:textId="77777777" w:rsidR="008B7ABC" w:rsidRDefault="008B7ABC">
      <w:pPr>
        <w:spacing w:after="0" w:line="260" w:lineRule="auto"/>
        <w:rPr>
          <w:rFonts w:cs="Arial"/>
        </w:rPr>
      </w:pPr>
    </w:p>
    <w:p w14:paraId="1F906EF2" w14:textId="77777777" w:rsidR="008B7ABC" w:rsidRDefault="00482841">
      <w:pPr>
        <w:spacing w:after="0" w:line="260" w:lineRule="auto"/>
      </w:pPr>
      <w:r>
        <w:tab/>
        <w:t>Dosedanja sedmi in osmi odstavek postaneta osmi in deveti odstavek. </w:t>
      </w:r>
    </w:p>
    <w:p w14:paraId="02FCF4A9" w14:textId="77777777" w:rsidR="008B7ABC" w:rsidRDefault="008B7ABC">
      <w:pPr>
        <w:spacing w:after="0" w:line="260" w:lineRule="auto"/>
        <w:rPr>
          <w:rFonts w:cs="Arial"/>
        </w:rPr>
      </w:pPr>
    </w:p>
    <w:p w14:paraId="3D42BA75" w14:textId="77777777" w:rsidR="008B7ABC" w:rsidRDefault="00482841">
      <w:pPr>
        <w:pStyle w:val="len"/>
        <w:spacing w:line="260" w:lineRule="auto"/>
      </w:pPr>
      <w:r>
        <w:t>8. člen</w:t>
      </w:r>
    </w:p>
    <w:p w14:paraId="43F7E3C9" w14:textId="77777777" w:rsidR="008B7ABC" w:rsidRDefault="008B7ABC">
      <w:pPr>
        <w:spacing w:after="0" w:line="260" w:lineRule="auto"/>
        <w:rPr>
          <w:rFonts w:cs="Arial"/>
        </w:rPr>
      </w:pPr>
    </w:p>
    <w:p w14:paraId="17EA793A" w14:textId="77777777" w:rsidR="008B7ABC" w:rsidRDefault="00482841">
      <w:pPr>
        <w:spacing w:after="0" w:line="260" w:lineRule="auto"/>
      </w:pPr>
      <w:r>
        <w:tab/>
        <w:t>49. člen se spremeni tako, da se glasi:</w:t>
      </w:r>
    </w:p>
    <w:p w14:paraId="19396C6E" w14:textId="77777777" w:rsidR="008B7ABC" w:rsidRDefault="008B7ABC">
      <w:pPr>
        <w:spacing w:after="0" w:line="260" w:lineRule="auto"/>
        <w:rPr>
          <w:rFonts w:cs="Arial"/>
        </w:rPr>
      </w:pPr>
    </w:p>
    <w:p w14:paraId="4B0180F1" w14:textId="77777777" w:rsidR="008B7ABC" w:rsidRDefault="008B7ABC">
      <w:pPr>
        <w:spacing w:after="0" w:line="260" w:lineRule="auto"/>
        <w:rPr>
          <w:rFonts w:cs="Arial"/>
        </w:rPr>
      </w:pPr>
    </w:p>
    <w:p w14:paraId="13BC743F" w14:textId="77777777" w:rsidR="008B7ABC" w:rsidRDefault="00482841">
      <w:pPr>
        <w:pStyle w:val="lennaslov"/>
        <w:spacing w:line="260" w:lineRule="auto"/>
      </w:pPr>
      <w:r>
        <w:t>»49. člen</w:t>
      </w:r>
      <w:r>
        <w:br/>
        <w:t>(poročanje o EEO, dani na trg, in o ravnanju z OEEO)</w:t>
      </w:r>
    </w:p>
    <w:p w14:paraId="3FC44E6F" w14:textId="77777777" w:rsidR="008B7ABC" w:rsidRDefault="008B7ABC">
      <w:pPr>
        <w:spacing w:after="0" w:line="260" w:lineRule="auto"/>
        <w:rPr>
          <w:rFonts w:cs="Arial"/>
        </w:rPr>
      </w:pPr>
    </w:p>
    <w:p w14:paraId="6901BEFB" w14:textId="77777777" w:rsidR="008B7ABC" w:rsidRDefault="00482841">
      <w:pPr>
        <w:spacing w:after="0" w:line="260" w:lineRule="auto"/>
      </w:pPr>
      <w:r>
        <w:lastRenderedPageBreak/>
        <w:tab/>
        <w:t>(1) Ministrstvo za vsako koledarsko leto sporoči Evropski komisiji podatke o EEO, dani na trg v RS, in o ravnanju z OEEO ter jim priloži poročilo o preverjanju kakovosti podatkov. Podatke in poročilo sporoči v obliki, določeni z Izvedbenim sklepom Komisije (EU) 2019/2193. </w:t>
      </w:r>
    </w:p>
    <w:p w14:paraId="0308880B" w14:textId="77777777" w:rsidR="008B7ABC" w:rsidRDefault="008B7ABC">
      <w:pPr>
        <w:spacing w:after="0" w:line="260" w:lineRule="auto"/>
        <w:rPr>
          <w:rFonts w:cs="Arial"/>
        </w:rPr>
      </w:pPr>
    </w:p>
    <w:p w14:paraId="7957ADD6" w14:textId="77777777" w:rsidR="008B7ABC" w:rsidRDefault="00482841">
      <w:pPr>
        <w:spacing w:after="0" w:line="260" w:lineRule="auto"/>
      </w:pPr>
      <w:r>
        <w:tab/>
        <w:t>(2) Ministrstvo podatke iz prejšnjega odstavka sporoči elektronsko v osemnajstih mesecih po izteku leta, za katero se podatki zbirajo.</w:t>
      </w:r>
    </w:p>
    <w:p w14:paraId="33B4F284" w14:textId="77777777" w:rsidR="008B7ABC" w:rsidRDefault="008B7ABC">
      <w:pPr>
        <w:spacing w:after="0" w:line="260" w:lineRule="auto"/>
        <w:rPr>
          <w:rFonts w:cs="Arial"/>
        </w:rPr>
      </w:pPr>
    </w:p>
    <w:p w14:paraId="3FC8819A" w14:textId="77777777" w:rsidR="008B7ABC" w:rsidRDefault="00482841">
      <w:pPr>
        <w:spacing w:after="0" w:line="260" w:lineRule="auto"/>
      </w:pPr>
      <w:r>
        <w:tab/>
        <w:t xml:space="preserve">(3) Masa EEO , ki je bila letno dana na trg v RS, se izračuna po metodologiji iz prvega odstavka 3. člena Izvedbene uredbe Komisije (EU) 2017/699. Za izračun podatkov o masi EEO, ki je bila letno dana na trg v RS, se upoštevajo podatki, pridobljeni v skladu s predpisom, ki ureja </w:t>
      </w:r>
      <w:proofErr w:type="spellStart"/>
      <w:r>
        <w:t>okoljsko</w:t>
      </w:r>
      <w:proofErr w:type="spellEnd"/>
      <w:r>
        <w:t xml:space="preserve"> dajatev za onesnaževanje okolja zaradi nastajanja OEEO.</w:t>
      </w:r>
    </w:p>
    <w:p w14:paraId="0A20CE03" w14:textId="77777777" w:rsidR="008B7ABC" w:rsidRDefault="008B7ABC">
      <w:pPr>
        <w:spacing w:after="0" w:line="260" w:lineRule="auto"/>
        <w:rPr>
          <w:rFonts w:cs="Arial"/>
        </w:rPr>
      </w:pPr>
    </w:p>
    <w:p w14:paraId="278BED22" w14:textId="77777777" w:rsidR="008B7ABC" w:rsidRDefault="00482841">
      <w:pPr>
        <w:spacing w:after="0" w:line="260" w:lineRule="auto"/>
      </w:pPr>
      <w:r>
        <w:tab/>
        <w:t>(4) Če se količina OEEO, ki jo je treba zbrati v posameznem koledarskem letu v skladu s 3. točko prvega odstavka 8. člena te uredbe, izračuna na podlagi podatkov o masi OEEO, nastali letno na območju RS, ministrstvo za to koledarsko leto namesto podatkov o EEO, dani na trg v RS, Evropski komisiji sporoči podatke o OEEO, nastali na območju RS, v rokih in na način, določen v drugem odstavku tega člena, ter jim priloži poročilo o preverjanju kakovosti podatkov. Podatke in poročilo iz prejšnjega stavka sporoči</w:t>
      </w:r>
      <w:r>
        <w:t xml:space="preserve"> v obliki, določeni z Izvedbenim sklepom Komisije (EU) 2019/2193. (5) Za izračun mase OEEO, pripravljene za ponovno uporabo, ter maso reciklirane, predelane in obdelane OEEO se upoštevajo podatki, ki se zbirajo v skladu s tem predpisom in predpisom, ki ureja odpadke.«. </w:t>
      </w:r>
    </w:p>
    <w:p w14:paraId="3E14F2FD" w14:textId="77777777" w:rsidR="008B7ABC" w:rsidRDefault="00482841">
      <w:pPr>
        <w:pStyle w:val="len"/>
        <w:spacing w:line="260" w:lineRule="auto"/>
      </w:pPr>
      <w:r>
        <w:t>9. člen</w:t>
      </w:r>
    </w:p>
    <w:p w14:paraId="44BAB23F" w14:textId="77777777" w:rsidR="008B7ABC" w:rsidRDefault="008B7ABC">
      <w:pPr>
        <w:spacing w:after="0" w:line="260" w:lineRule="auto"/>
        <w:rPr>
          <w:rFonts w:cs="Arial"/>
        </w:rPr>
      </w:pPr>
    </w:p>
    <w:p w14:paraId="4954E8A9" w14:textId="77777777" w:rsidR="008B7ABC" w:rsidRDefault="00482841">
      <w:pPr>
        <w:spacing w:after="0" w:line="260" w:lineRule="auto"/>
      </w:pPr>
      <w:r>
        <w:tab/>
        <w:t>V 56. členu se v tretjem in četrtem odstavku beseda »zbiralec« nadomesti z besedilom »pooblaščeni zastopnik«.</w:t>
      </w:r>
    </w:p>
    <w:p w14:paraId="596E8A10" w14:textId="77777777" w:rsidR="008B7ABC" w:rsidRDefault="008B7ABC">
      <w:pPr>
        <w:spacing w:after="0" w:line="260" w:lineRule="auto"/>
        <w:rPr>
          <w:rFonts w:cs="Arial"/>
        </w:rPr>
      </w:pPr>
    </w:p>
    <w:p w14:paraId="00B36C85" w14:textId="77777777" w:rsidR="008B7ABC" w:rsidRDefault="00482841">
      <w:pPr>
        <w:pStyle w:val="len"/>
        <w:spacing w:line="260" w:lineRule="auto"/>
      </w:pPr>
      <w:r>
        <w:t>10. člen</w:t>
      </w:r>
    </w:p>
    <w:p w14:paraId="7E56E296" w14:textId="77777777" w:rsidR="008B7ABC" w:rsidRDefault="008B7ABC">
      <w:pPr>
        <w:spacing w:after="0" w:line="260" w:lineRule="auto"/>
        <w:rPr>
          <w:rFonts w:cs="Arial"/>
        </w:rPr>
      </w:pPr>
    </w:p>
    <w:p w14:paraId="663F7E24" w14:textId="77777777" w:rsidR="008B7ABC" w:rsidRDefault="00482841">
      <w:pPr>
        <w:spacing w:after="0" w:line="260" w:lineRule="auto"/>
      </w:pPr>
      <w:r>
        <w:tab/>
      </w:r>
      <w:r>
        <w:t>V prilogi 1 uredbe se v 4. točki točke pod b. besedilo »</w:t>
      </w:r>
      <w:proofErr w:type="spellStart"/>
      <w:r>
        <w:t>fotovoltaični</w:t>
      </w:r>
      <w:proofErr w:type="spellEnd"/>
      <w:r>
        <w:t xml:space="preserve"> paneli« nadomesti z besedilom »</w:t>
      </w:r>
      <w:proofErr w:type="spellStart"/>
      <w:r>
        <w:t>fotonapetostni</w:t>
      </w:r>
      <w:proofErr w:type="spellEnd"/>
      <w:r>
        <w:t xml:space="preserve"> moduli«.</w:t>
      </w:r>
    </w:p>
    <w:p w14:paraId="2CD714CE" w14:textId="77777777" w:rsidR="008B7ABC" w:rsidRDefault="008B7ABC">
      <w:pPr>
        <w:spacing w:after="0" w:line="260" w:lineRule="auto"/>
        <w:rPr>
          <w:rFonts w:cs="Arial"/>
        </w:rPr>
      </w:pPr>
    </w:p>
    <w:p w14:paraId="5245E1A0" w14:textId="77777777" w:rsidR="008B7ABC" w:rsidRDefault="00482841">
      <w:pPr>
        <w:spacing w:after="0" w:line="260" w:lineRule="auto"/>
      </w:pPr>
      <w:r>
        <w:tab/>
        <w:t>V 5. točki se besedilo »</w:t>
      </w:r>
      <w:proofErr w:type="spellStart"/>
      <w:r>
        <w:t>fotonapetostnimi</w:t>
      </w:r>
      <w:proofErr w:type="spellEnd"/>
      <w:r>
        <w:t xml:space="preserve"> paneli« nadomesti z besedilom »</w:t>
      </w:r>
      <w:proofErr w:type="spellStart"/>
      <w:r>
        <w:t>fotonapetostnimi</w:t>
      </w:r>
      <w:proofErr w:type="spellEnd"/>
      <w:r>
        <w:t xml:space="preserve"> moduli«.</w:t>
      </w:r>
    </w:p>
    <w:p w14:paraId="5DED9934" w14:textId="77777777" w:rsidR="008B7ABC" w:rsidRDefault="008B7ABC">
      <w:pPr>
        <w:spacing w:after="0" w:line="260" w:lineRule="auto"/>
        <w:rPr>
          <w:rFonts w:cs="Arial"/>
        </w:rPr>
      </w:pPr>
    </w:p>
    <w:p w14:paraId="7F1B572C" w14:textId="77777777" w:rsidR="008B7ABC" w:rsidRDefault="00482841">
      <w:pPr>
        <w:pStyle w:val="len"/>
        <w:spacing w:line="260" w:lineRule="auto"/>
      </w:pPr>
      <w:r>
        <w:t>11. člen</w:t>
      </w:r>
    </w:p>
    <w:p w14:paraId="56EC39C8" w14:textId="77777777" w:rsidR="008B7ABC" w:rsidRDefault="008B7ABC">
      <w:pPr>
        <w:spacing w:after="0" w:line="260" w:lineRule="auto"/>
        <w:rPr>
          <w:rFonts w:cs="Arial"/>
        </w:rPr>
      </w:pPr>
    </w:p>
    <w:p w14:paraId="3F717ECE" w14:textId="77777777" w:rsidR="008B7ABC" w:rsidRDefault="00482841">
      <w:pPr>
        <w:spacing w:after="0" w:line="260" w:lineRule="auto"/>
      </w:pPr>
      <w:r>
        <w:tab/>
        <w:t>V prilogi 4 uredbe se v naslovu za besedo »OEEO« doda besedilo: »ZA PREVZEMANJE PRI IZVAJALCIH JAVNE SLUŽBE«. </w:t>
      </w:r>
    </w:p>
    <w:p w14:paraId="001A73D1" w14:textId="77777777" w:rsidR="008B7ABC" w:rsidRDefault="008B7ABC">
      <w:pPr>
        <w:spacing w:after="0" w:line="260" w:lineRule="auto"/>
        <w:rPr>
          <w:rFonts w:cs="Arial"/>
        </w:rPr>
      </w:pPr>
    </w:p>
    <w:p w14:paraId="11D9B746" w14:textId="77777777" w:rsidR="008B7ABC" w:rsidRDefault="00482841">
      <w:pPr>
        <w:spacing w:after="0" w:line="260" w:lineRule="auto"/>
      </w:pPr>
      <w:r>
        <w:tab/>
        <w:t>Besedilo »Zbirno-predelovalne skupine OEEO so« se nadomesti z besedilom »Zbirno-predelovalne skupine OEEO za prevzemanje pri izvajalcu javne službe so«. </w:t>
      </w:r>
    </w:p>
    <w:p w14:paraId="6858C18F" w14:textId="77777777" w:rsidR="008B7ABC" w:rsidRDefault="008B7ABC">
      <w:pPr>
        <w:spacing w:after="0" w:line="260" w:lineRule="auto"/>
        <w:rPr>
          <w:rFonts w:cs="Arial"/>
        </w:rPr>
      </w:pPr>
    </w:p>
    <w:p w14:paraId="30067DF2" w14:textId="77777777" w:rsidR="008B7ABC" w:rsidRDefault="00482841">
      <w:pPr>
        <w:pStyle w:val="Poglavje"/>
        <w:spacing w:line="260" w:lineRule="auto"/>
      </w:pPr>
      <w:proofErr w:type="spellStart"/>
      <w:r>
        <w:t>KONČNa</w:t>
      </w:r>
      <w:proofErr w:type="spellEnd"/>
      <w:r>
        <w:t xml:space="preserve"> </w:t>
      </w:r>
      <w:proofErr w:type="spellStart"/>
      <w:r>
        <w:t>DOLOČBa</w:t>
      </w:r>
      <w:proofErr w:type="spellEnd"/>
    </w:p>
    <w:p w14:paraId="041A87A8" w14:textId="77777777" w:rsidR="008B7ABC" w:rsidRDefault="00482841">
      <w:pPr>
        <w:pStyle w:val="len"/>
        <w:spacing w:line="260" w:lineRule="auto"/>
      </w:pPr>
      <w:r>
        <w:t>12. člen</w:t>
      </w:r>
    </w:p>
    <w:p w14:paraId="08D2EA3D" w14:textId="77777777" w:rsidR="008B7ABC" w:rsidRDefault="00482841">
      <w:pPr>
        <w:pStyle w:val="lennaslov"/>
        <w:spacing w:line="260" w:lineRule="auto"/>
      </w:pPr>
      <w:r>
        <w:lastRenderedPageBreak/>
        <w:t>(začetek veljavnosti)</w:t>
      </w:r>
    </w:p>
    <w:p w14:paraId="1E70CE19" w14:textId="77777777" w:rsidR="008B7ABC" w:rsidRDefault="008B7ABC">
      <w:pPr>
        <w:spacing w:after="0" w:line="260" w:lineRule="auto"/>
        <w:rPr>
          <w:rFonts w:cs="Arial"/>
        </w:rPr>
      </w:pPr>
    </w:p>
    <w:p w14:paraId="689F67CD" w14:textId="77777777" w:rsidR="008B7ABC" w:rsidRDefault="00482841">
      <w:pPr>
        <w:spacing w:after="0" w:line="260" w:lineRule="auto"/>
      </w:pPr>
      <w:r>
        <w:tab/>
        <w:t>Ta uredba začne veljati naslednji dan po objavi v Uradnem listu Republike Slovenije.</w:t>
      </w:r>
    </w:p>
    <w:p w14:paraId="465E11B1" w14:textId="77777777" w:rsidR="008B7ABC" w:rsidRDefault="008B7ABC">
      <w:pPr>
        <w:spacing w:after="0" w:line="260" w:lineRule="auto"/>
        <w:rPr>
          <w:rFonts w:cs="Arial"/>
        </w:rPr>
      </w:pPr>
    </w:p>
    <w:p w14:paraId="21D9948F" w14:textId="77777777" w:rsidR="008B7ABC" w:rsidRDefault="008B7ABC">
      <w:pPr>
        <w:spacing w:after="0" w:line="260" w:lineRule="auto"/>
        <w:rPr>
          <w:rFonts w:cs="Arial"/>
        </w:rPr>
      </w:pPr>
    </w:p>
    <w:p w14:paraId="332502F3" w14:textId="77777777" w:rsidR="008B7ABC" w:rsidRDefault="00482841">
      <w:pPr>
        <w:spacing w:after="0" w:line="260" w:lineRule="auto"/>
      </w:pPr>
      <w:r>
        <w:t xml:space="preserve">Št. [/2025] </w:t>
      </w:r>
    </w:p>
    <w:p w14:paraId="2DEEE551" w14:textId="77777777" w:rsidR="008B7ABC" w:rsidRDefault="008B7ABC">
      <w:pPr>
        <w:spacing w:after="0" w:line="260" w:lineRule="auto"/>
        <w:rPr>
          <w:rFonts w:cs="Arial"/>
        </w:rPr>
      </w:pPr>
    </w:p>
    <w:p w14:paraId="40E02161" w14:textId="77777777" w:rsidR="008B7ABC" w:rsidRDefault="00482841">
      <w:pPr>
        <w:spacing w:after="0" w:line="260" w:lineRule="auto"/>
      </w:pPr>
      <w:r>
        <w:t>Ljubljana, dne </w:t>
      </w:r>
    </w:p>
    <w:p w14:paraId="716D4E9E" w14:textId="77777777" w:rsidR="008B7ABC" w:rsidRDefault="008B7ABC">
      <w:pPr>
        <w:spacing w:after="0" w:line="260" w:lineRule="auto"/>
        <w:rPr>
          <w:rFonts w:cs="Arial"/>
        </w:rPr>
      </w:pPr>
    </w:p>
    <w:p w14:paraId="096DEF13" w14:textId="77777777" w:rsidR="008B7ABC" w:rsidRDefault="00482841">
      <w:pPr>
        <w:spacing w:after="0" w:line="260" w:lineRule="auto"/>
      </w:pPr>
      <w:r>
        <w:t>EVA 2025-2570-0069</w:t>
      </w:r>
    </w:p>
    <w:p w14:paraId="59796020" w14:textId="77777777" w:rsidR="008B7ABC" w:rsidRDefault="008B7ABC">
      <w:pPr>
        <w:spacing w:after="0" w:line="260" w:lineRule="auto"/>
        <w:rPr>
          <w:rFonts w:cs="Arial"/>
        </w:rPr>
      </w:pPr>
    </w:p>
    <w:p w14:paraId="39627580" w14:textId="77777777" w:rsidR="00482841" w:rsidRDefault="00482841">
      <w:pPr>
        <w:pStyle w:val="Podpisnik"/>
        <w:spacing w:line="260" w:lineRule="auto"/>
      </w:pPr>
      <w:r>
        <w:t xml:space="preserve">Vlada Republike Slovenije </w:t>
      </w:r>
      <w:r>
        <w:br/>
        <w:t xml:space="preserve">dr. Robert Golob </w:t>
      </w:r>
    </w:p>
    <w:p w14:paraId="20699C9E" w14:textId="6ABEEBA1" w:rsidR="008B7ABC" w:rsidRDefault="00482841">
      <w:pPr>
        <w:pStyle w:val="Podpisnik"/>
        <w:spacing w:line="260" w:lineRule="auto"/>
      </w:pPr>
      <w:r>
        <w:t xml:space="preserve"> predsednik </w:t>
      </w:r>
    </w:p>
    <w:p w14:paraId="0EAA2FF2" w14:textId="77777777" w:rsidR="008B7ABC" w:rsidRDefault="00482841">
      <w:r>
        <w:br w:type="page"/>
      </w:r>
    </w:p>
    <w:p w14:paraId="31FE0286" w14:textId="77777777" w:rsidR="008B7ABC" w:rsidRDefault="00482841">
      <w:pPr>
        <w:pStyle w:val="Odebeljeno"/>
        <w:spacing w:line="260" w:lineRule="auto"/>
      </w:pPr>
      <w:r>
        <w:lastRenderedPageBreak/>
        <w:t>III.</w:t>
      </w:r>
      <w:r>
        <w:tab/>
        <w:t>OBRAZLOŽITEV</w:t>
      </w:r>
    </w:p>
    <w:p w14:paraId="78B39D93" w14:textId="77777777" w:rsidR="008B7ABC" w:rsidRDefault="008B7ABC">
      <w:pPr>
        <w:spacing w:after="0" w:line="260" w:lineRule="auto"/>
        <w:rPr>
          <w:rFonts w:cs="Arial"/>
        </w:rPr>
      </w:pPr>
    </w:p>
    <w:p w14:paraId="1DB11ADF" w14:textId="77777777" w:rsidR="008B7ABC" w:rsidRDefault="00482841">
      <w:pPr>
        <w:pStyle w:val="Odebeljeno"/>
        <w:spacing w:line="260" w:lineRule="auto"/>
      </w:pPr>
      <w:r>
        <w:t>K 1. členu:</w:t>
      </w:r>
    </w:p>
    <w:p w14:paraId="2E60AA44" w14:textId="77777777" w:rsidR="008B7ABC" w:rsidRDefault="00482841">
      <w:pPr>
        <w:spacing w:after="0" w:line="240" w:lineRule="auto"/>
      </w:pPr>
      <w:r>
        <w:t>Predlog uredbe zagotavlja ažurno stanje glede navajanja zakonodaje (Evropske unije), v skladu s katero uredba določa pravila ravnanja z OEEO.</w:t>
      </w:r>
    </w:p>
    <w:p w14:paraId="4D70B098" w14:textId="77777777" w:rsidR="008B7ABC" w:rsidRDefault="008B7ABC">
      <w:pPr>
        <w:spacing w:after="0" w:line="260" w:lineRule="auto"/>
        <w:rPr>
          <w:rFonts w:cs="Arial"/>
        </w:rPr>
      </w:pPr>
    </w:p>
    <w:p w14:paraId="77339267" w14:textId="77777777" w:rsidR="008B7ABC" w:rsidRDefault="00482841">
      <w:pPr>
        <w:pStyle w:val="Odebeljeno"/>
        <w:spacing w:line="260" w:lineRule="auto"/>
      </w:pPr>
      <w:r>
        <w:t>K 2. členu:</w:t>
      </w:r>
    </w:p>
    <w:p w14:paraId="10847BCC" w14:textId="77777777" w:rsidR="008B7ABC" w:rsidRDefault="00482841">
      <w:pPr>
        <w:spacing w:after="0" w:line="240" w:lineRule="auto"/>
      </w:pPr>
      <w:r>
        <w:t>V skladu z Direktivo 2012/19/EU je ustrezno opredeljen izraz »dajanje na trg«, z navezavo na v 5. točki 3. člena uredbe opredeljeni izraz zagotavljanja »dostopnosti na trgu«.</w:t>
      </w:r>
    </w:p>
    <w:p w14:paraId="458DF6AF" w14:textId="77777777" w:rsidR="008B7ABC" w:rsidRDefault="008B7ABC">
      <w:pPr>
        <w:spacing w:after="0" w:line="260" w:lineRule="auto"/>
        <w:rPr>
          <w:rFonts w:cs="Arial"/>
        </w:rPr>
      </w:pPr>
    </w:p>
    <w:p w14:paraId="723D6C8A" w14:textId="77777777" w:rsidR="008B7ABC" w:rsidRDefault="00482841">
      <w:pPr>
        <w:pStyle w:val="Odebeljeno"/>
        <w:spacing w:line="260" w:lineRule="auto"/>
      </w:pPr>
      <w:r>
        <w:t>K 3. členu:</w:t>
      </w:r>
    </w:p>
    <w:p w14:paraId="3979E996" w14:textId="77777777" w:rsidR="008B7ABC" w:rsidRDefault="00482841">
      <w:pPr>
        <w:spacing w:after="0" w:line="240" w:lineRule="auto"/>
      </w:pPr>
      <w:r>
        <w:t xml:space="preserve">Kot posledica sprememb Direktive 2012/19/EU se jasno časovno opredeli začetek obveznosti označevanja za </w:t>
      </w:r>
      <w:proofErr w:type="spellStart"/>
      <w:r>
        <w:t>fotonapetostne</w:t>
      </w:r>
      <w:proofErr w:type="spellEnd"/>
      <w:r>
        <w:t xml:space="preserve"> module in EEO s področja uporabe predpisa, ki velja od leta 2018 in se ni uvrščala v področje uporabe predpisa pred tem.</w:t>
      </w:r>
    </w:p>
    <w:p w14:paraId="1502F849" w14:textId="77777777" w:rsidR="008B7ABC" w:rsidRDefault="008B7ABC">
      <w:pPr>
        <w:spacing w:after="0" w:line="260" w:lineRule="auto"/>
        <w:rPr>
          <w:rFonts w:cs="Arial"/>
        </w:rPr>
      </w:pPr>
    </w:p>
    <w:p w14:paraId="2DFBC55D" w14:textId="77777777" w:rsidR="008B7ABC" w:rsidRDefault="00482841">
      <w:pPr>
        <w:pStyle w:val="Odebeljeno"/>
        <w:spacing w:line="260" w:lineRule="auto"/>
      </w:pPr>
      <w:r>
        <w:t>K 4. členu:</w:t>
      </w:r>
    </w:p>
    <w:p w14:paraId="2ECF4725" w14:textId="77777777" w:rsidR="008B7ABC" w:rsidRDefault="00482841">
      <w:pPr>
        <w:spacing w:after="0" w:line="240" w:lineRule="auto"/>
      </w:pPr>
      <w:r>
        <w:t xml:space="preserve"> </w:t>
      </w:r>
    </w:p>
    <w:p w14:paraId="60E91F6B" w14:textId="77777777" w:rsidR="008B7ABC" w:rsidRDefault="00482841">
      <w:pPr>
        <w:spacing w:after="0" w:line="240" w:lineRule="auto"/>
      </w:pPr>
      <w:r>
        <w:t>Besedilo 8. člena uredbe glede stopnje zbiranja OEEO je usklajeno z Direktivo 2012/19/EU in drugo s tem povezano sekundarno zakonodajo Evropske unije.</w:t>
      </w:r>
    </w:p>
    <w:p w14:paraId="6A6748ED" w14:textId="77777777" w:rsidR="008B7ABC" w:rsidRDefault="008B7ABC">
      <w:pPr>
        <w:spacing w:after="0" w:line="260" w:lineRule="auto"/>
        <w:rPr>
          <w:rFonts w:cs="Arial"/>
        </w:rPr>
      </w:pPr>
    </w:p>
    <w:p w14:paraId="17658C02" w14:textId="77777777" w:rsidR="008B7ABC" w:rsidRDefault="00482841">
      <w:pPr>
        <w:pStyle w:val="Odebeljeno"/>
        <w:spacing w:line="260" w:lineRule="auto"/>
      </w:pPr>
      <w:r>
        <w:t>K 5. členu:</w:t>
      </w:r>
    </w:p>
    <w:p w14:paraId="2DB8EF63" w14:textId="77777777" w:rsidR="008B7ABC" w:rsidRDefault="00482841">
      <w:pPr>
        <w:spacing w:after="0" w:line="240" w:lineRule="auto"/>
      </w:pPr>
      <w:r>
        <w:t>Zahteve za obdelavo OEEO v 16. členu uredbe, ki ga dopolnjuje 6. člen predloga uredbe, so dopolnjene z upoštevanjem najnovejših standardov SIST EN, povezanih z obdelavo OEEO in pripravo za ponovno uporabo OEEO.</w:t>
      </w:r>
    </w:p>
    <w:p w14:paraId="2AC46775" w14:textId="77777777" w:rsidR="008B7ABC" w:rsidRDefault="008B7ABC">
      <w:pPr>
        <w:spacing w:after="0" w:line="260" w:lineRule="auto"/>
        <w:rPr>
          <w:rFonts w:cs="Arial"/>
        </w:rPr>
      </w:pPr>
    </w:p>
    <w:p w14:paraId="4BC1B9B6" w14:textId="77777777" w:rsidR="008B7ABC" w:rsidRDefault="00482841">
      <w:pPr>
        <w:pStyle w:val="Odebeljeno"/>
        <w:spacing w:line="260" w:lineRule="auto"/>
      </w:pPr>
      <w:r>
        <w:t>K 6. členu:</w:t>
      </w:r>
    </w:p>
    <w:p w14:paraId="61FE5C86" w14:textId="77777777" w:rsidR="008B7ABC" w:rsidRDefault="00482841">
      <w:pPr>
        <w:spacing w:after="0" w:line="240" w:lineRule="auto"/>
      </w:pPr>
      <w:r>
        <w:t xml:space="preserve">Ta člen predloga uredbe dopolnjuje 17. člen uredbe. Časovno se jasno določa začetek finančne obveznosti proizvajalca EEO glede na uveljavljeno področje uporabe predpisa oziroma vrsto EEO, ki se uvršča v področje uporabe predpisa, ter posebej za </w:t>
      </w:r>
      <w:proofErr w:type="spellStart"/>
      <w:r>
        <w:t>fotonapetostne</w:t>
      </w:r>
      <w:proofErr w:type="spellEnd"/>
      <w:r>
        <w:t xml:space="preserve"> module. Iz obveznosti glede starih bremen (OEEO, nastala iz EEO, dane na trg pred 13. avgustom 2005) se jasno izloča obveznost glede </w:t>
      </w:r>
      <w:proofErr w:type="spellStart"/>
      <w:r>
        <w:t>fotonapetostnih</w:t>
      </w:r>
      <w:proofErr w:type="spellEnd"/>
      <w:r>
        <w:t xml:space="preserve"> modulov.</w:t>
      </w:r>
    </w:p>
    <w:p w14:paraId="76305F9C" w14:textId="77777777" w:rsidR="008B7ABC" w:rsidRDefault="008B7ABC">
      <w:pPr>
        <w:spacing w:after="0" w:line="260" w:lineRule="auto"/>
        <w:rPr>
          <w:rFonts w:cs="Arial"/>
        </w:rPr>
      </w:pPr>
    </w:p>
    <w:p w14:paraId="38D0E932" w14:textId="77777777" w:rsidR="008B7ABC" w:rsidRDefault="00482841">
      <w:pPr>
        <w:pStyle w:val="Odebeljeno"/>
        <w:spacing w:line="260" w:lineRule="auto"/>
      </w:pPr>
      <w:r>
        <w:t>K 7. členu:</w:t>
      </w:r>
    </w:p>
    <w:p w14:paraId="418EF104" w14:textId="77777777" w:rsidR="008B7ABC" w:rsidRDefault="00482841">
      <w:pPr>
        <w:spacing w:after="0" w:line="240" w:lineRule="auto"/>
      </w:pPr>
      <w:r>
        <w:t>Z namenom poenostavitve in večje učinkovitosti upravnih postopkov v zvezi z vodenjem evidence proizvajalcev EEO ter medsebojne usklajenosti uradnih evidenc sprememba 44. člena uredbe omogoča spremembo nekaterih podatkov v evidenci proizvajalcev po uradni dolžnosti.</w:t>
      </w:r>
    </w:p>
    <w:p w14:paraId="23C0F5BB" w14:textId="77777777" w:rsidR="008B7ABC" w:rsidRDefault="008B7ABC">
      <w:pPr>
        <w:spacing w:after="0" w:line="260" w:lineRule="auto"/>
        <w:rPr>
          <w:rFonts w:cs="Arial"/>
        </w:rPr>
      </w:pPr>
    </w:p>
    <w:p w14:paraId="3C9FC127" w14:textId="77777777" w:rsidR="008B7ABC" w:rsidRDefault="00482841">
      <w:pPr>
        <w:pStyle w:val="Odebeljeno"/>
        <w:spacing w:line="260" w:lineRule="auto"/>
      </w:pPr>
      <w:r>
        <w:t>K 8. členu:</w:t>
      </w:r>
    </w:p>
    <w:p w14:paraId="57C1D42D" w14:textId="77777777" w:rsidR="008B7ABC" w:rsidRDefault="00482841">
      <w:pPr>
        <w:spacing w:after="0" w:line="240" w:lineRule="auto"/>
      </w:pPr>
      <w:r>
        <w:t>49. člen uredbe je ažuriran s sklicem na ustrezno sekundarno zakonodajo Evropske unije, ki določa način poročanja Evropski komisiji o ravnanju z OEEO.</w:t>
      </w:r>
    </w:p>
    <w:p w14:paraId="41F5A87A" w14:textId="77777777" w:rsidR="008B7ABC" w:rsidRDefault="008B7ABC">
      <w:pPr>
        <w:spacing w:after="0" w:line="260" w:lineRule="auto"/>
        <w:rPr>
          <w:rFonts w:cs="Arial"/>
        </w:rPr>
      </w:pPr>
    </w:p>
    <w:p w14:paraId="084D19E7" w14:textId="77777777" w:rsidR="008B7ABC" w:rsidRDefault="00482841">
      <w:pPr>
        <w:pStyle w:val="Odebeljeno"/>
        <w:spacing w:line="260" w:lineRule="auto"/>
      </w:pPr>
      <w:r>
        <w:t>K 9. členu:</w:t>
      </w:r>
    </w:p>
    <w:p w14:paraId="10E774A2" w14:textId="77777777" w:rsidR="008B7ABC" w:rsidRDefault="00482841">
      <w:pPr>
        <w:spacing w:after="0" w:line="240" w:lineRule="auto"/>
      </w:pPr>
      <w:r>
        <w:t>V tretjem in četrtem odstavku 56. člena uredbe se odpravi napaka; navedeni prekrški se namreč nanašajo na pooblaščenega zastopnika, in ne na zbiralca.</w:t>
      </w:r>
    </w:p>
    <w:p w14:paraId="1A7229CB" w14:textId="77777777" w:rsidR="008B7ABC" w:rsidRDefault="008B7ABC">
      <w:pPr>
        <w:spacing w:after="0" w:line="260" w:lineRule="auto"/>
        <w:rPr>
          <w:rFonts w:cs="Arial"/>
        </w:rPr>
      </w:pPr>
    </w:p>
    <w:p w14:paraId="28BA1A67" w14:textId="77777777" w:rsidR="008B7ABC" w:rsidRDefault="00482841">
      <w:pPr>
        <w:pStyle w:val="Odebeljeno"/>
        <w:spacing w:line="260" w:lineRule="auto"/>
      </w:pPr>
      <w:r>
        <w:t>K 10. členu:</w:t>
      </w:r>
    </w:p>
    <w:p w14:paraId="0693AA1A" w14:textId="77777777" w:rsidR="008B7ABC" w:rsidRDefault="00482841">
      <w:pPr>
        <w:spacing w:after="0" w:line="240" w:lineRule="auto"/>
      </w:pPr>
      <w:r>
        <w:t>V prilogi 1 uredbe se besedilo »</w:t>
      </w:r>
      <w:proofErr w:type="spellStart"/>
      <w:r>
        <w:t>fotovoltaični</w:t>
      </w:r>
      <w:proofErr w:type="spellEnd"/>
      <w:r>
        <w:t xml:space="preserve"> paneli« uskladi z besedilom členov uredbe »</w:t>
      </w:r>
      <w:proofErr w:type="spellStart"/>
      <w:r>
        <w:t>fotonapetostni</w:t>
      </w:r>
      <w:proofErr w:type="spellEnd"/>
      <w:r>
        <w:t xml:space="preserve"> moduli«.</w:t>
      </w:r>
    </w:p>
    <w:p w14:paraId="69F16243" w14:textId="77777777" w:rsidR="008B7ABC" w:rsidRDefault="008B7ABC">
      <w:pPr>
        <w:spacing w:after="0" w:line="260" w:lineRule="auto"/>
        <w:rPr>
          <w:rFonts w:cs="Arial"/>
        </w:rPr>
      </w:pPr>
    </w:p>
    <w:p w14:paraId="6C5394BB" w14:textId="77777777" w:rsidR="008B7ABC" w:rsidRDefault="00482841">
      <w:pPr>
        <w:pStyle w:val="Odebeljeno"/>
        <w:spacing w:line="260" w:lineRule="auto"/>
      </w:pPr>
      <w:r>
        <w:t>K 11. členu:</w:t>
      </w:r>
    </w:p>
    <w:p w14:paraId="5D7DB574" w14:textId="77777777" w:rsidR="008B7ABC" w:rsidRDefault="00482841">
      <w:pPr>
        <w:spacing w:after="0" w:line="240" w:lineRule="auto"/>
      </w:pPr>
      <w:r>
        <w:t>Priloga 4 uredbe je s tem členom predloga uredbe usklajena z drugim odstavkom 13. člena uredbe, in sicer z namenom razjasnitve, da gre za prevzemanje OEEO pri izvajalcu občinske javne službe zbiranja komunalnih odpadkov.</w:t>
      </w:r>
    </w:p>
    <w:p w14:paraId="3AA71628" w14:textId="77777777" w:rsidR="008B7ABC" w:rsidRDefault="008B7ABC">
      <w:pPr>
        <w:spacing w:after="0" w:line="260" w:lineRule="auto"/>
        <w:rPr>
          <w:rFonts w:cs="Arial"/>
        </w:rPr>
      </w:pPr>
    </w:p>
    <w:p w14:paraId="3709CF67" w14:textId="77777777" w:rsidR="008B7ABC" w:rsidRDefault="00482841">
      <w:pPr>
        <w:pStyle w:val="Odebeljeno"/>
        <w:spacing w:line="260" w:lineRule="auto"/>
      </w:pPr>
      <w:r>
        <w:lastRenderedPageBreak/>
        <w:t>K 12. členu:</w:t>
      </w:r>
    </w:p>
    <w:p w14:paraId="0E667837" w14:textId="77777777" w:rsidR="008B7ABC" w:rsidRDefault="00482841">
      <w:pPr>
        <w:spacing w:after="0" w:line="240" w:lineRule="auto"/>
      </w:pPr>
      <w:r>
        <w:t>Ta člen določa začetek veljavnosti te uredbe.</w:t>
      </w:r>
    </w:p>
    <w:p w14:paraId="0C1E88A3" w14:textId="77777777" w:rsidR="008B7ABC" w:rsidRDefault="008B7ABC">
      <w:pPr>
        <w:spacing w:after="0" w:line="260" w:lineRule="auto"/>
        <w:rPr>
          <w:rFonts w:cs="Arial"/>
        </w:rPr>
      </w:pPr>
    </w:p>
    <w:p w14:paraId="0A6C809A" w14:textId="77777777" w:rsidR="008B7ABC" w:rsidRDefault="00482841">
      <w:r>
        <w:br w:type="page"/>
      </w:r>
    </w:p>
    <w:p w14:paraId="7F8E4DF0" w14:textId="77777777" w:rsidR="008B7ABC" w:rsidRDefault="00482841">
      <w:pPr>
        <w:pStyle w:val="Odebeljeno"/>
        <w:spacing w:line="260" w:lineRule="auto"/>
      </w:pPr>
      <w:r>
        <w:lastRenderedPageBreak/>
        <w:t>IV.</w:t>
      </w:r>
      <w:r>
        <w:tab/>
        <w:t>PRILOGE</w:t>
      </w:r>
    </w:p>
    <w:p w14:paraId="1150E0A8" w14:textId="77777777" w:rsidR="008B7ABC" w:rsidRDefault="008B7ABC">
      <w:pPr>
        <w:spacing w:after="0" w:line="260" w:lineRule="auto"/>
        <w:rPr>
          <w:rFonts w:cs="Arial"/>
        </w:rPr>
      </w:pPr>
    </w:p>
    <w:p w14:paraId="66C7593B" w14:textId="77777777" w:rsidR="008B7ABC" w:rsidRDefault="00482841">
      <w:pPr>
        <w:spacing w:after="0" w:line="240" w:lineRule="auto"/>
      </w:pPr>
      <w:r>
        <w:t>Priloge niso priložene.</w:t>
      </w:r>
    </w:p>
    <w:sectPr w:rsidR="008B7AB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7BB2" w14:textId="77777777" w:rsidR="00482841" w:rsidRDefault="00482841">
      <w:pPr>
        <w:spacing w:after="0" w:line="240" w:lineRule="auto"/>
      </w:pPr>
      <w:r>
        <w:separator/>
      </w:r>
    </w:p>
  </w:endnote>
  <w:endnote w:type="continuationSeparator" w:id="0">
    <w:p w14:paraId="4FFBEE34" w14:textId="77777777" w:rsidR="00482841" w:rsidRDefault="0048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27E" w14:textId="77777777" w:rsidR="008B7ABC" w:rsidRDefault="00482841">
    <w:r>
      <w:rPr>
        <w:i/>
        <w:sz w:val="16"/>
      </w:rPr>
      <w:t>Ustvarjeno v MOPED-DOCS, 03. 02. 2026 07:58:11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ACDC" w14:textId="77777777" w:rsidR="00482841" w:rsidRDefault="00482841">
      <w:pPr>
        <w:spacing w:after="0" w:line="240" w:lineRule="auto"/>
      </w:pPr>
      <w:r>
        <w:separator/>
      </w:r>
    </w:p>
  </w:footnote>
  <w:footnote w:type="continuationSeparator" w:id="0">
    <w:p w14:paraId="4089E6C0" w14:textId="77777777" w:rsidR="00482841" w:rsidRDefault="004828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C"/>
    <w:rsid w:val="00482841"/>
    <w:rsid w:val="0049253E"/>
    <w:rsid w:val="008B7A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67FB"/>
  <w15:docId w15:val="{EEC953CF-0E73-4523-ADEA-B1788EA2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5184</Words>
  <Characters>29553</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Polanc</dc:creator>
  <cp:lastModifiedBy>Eva Polanc</cp:lastModifiedBy>
  <cp:revision>2</cp:revision>
  <dcterms:created xsi:type="dcterms:W3CDTF">2026-02-03T08:04:00Z</dcterms:created>
  <dcterms:modified xsi:type="dcterms:W3CDTF">2026-02-03T08:04:00Z</dcterms:modified>
</cp:coreProperties>
</file>