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SPREMEMBAH IN DOPOLNITVI UREDBE O NAGRADI IN PRIZNANJIH ZA PROSTOVOLJSTVO</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2026-3130-0009</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jc w:val="both"/>
      </w:pPr>
      <w:r>
        <w:t>Pravna podlaga za spremembo višine državne nagrade in priznanja za prostovoljstvo je deveti in deseti odstavek 43. člena Zakonu o prostovoljstvu (Uradni list RS, št. 10/11, 16/11 – popr. in 82/15), ki Vladi RS daje pooblastilo, da z Uredbo o podelitvi državnih priznanj na področju prostovoljstva (Uradni list RS, št. 62/11 inj 29/16 – v nadaljevanju: uredba) uredi način podeljevanja in višino nagrade. Višina nagrade je določena v 3. členu uredbe, zato se sprememba zneska izvede s spremembo uredbe na podlagi zakonskega pooblastila. Predlagana uskladitev predstavlja izvrševanje zakonskega pooblastila ter ohranitev realne vrednosti nagrade in priznanja glede na dolgo časovno obdobje od  začetka veljavnosti predmetne uredbe.</w:t>
      </w:r>
    </w:p>
    <w:p>
      <w:pPr>
        <w:spacing w:after="0" w:line="260" w:lineRule="auto"/>
        <w:rPr>
          <w:rFonts w:ascii="Arial" w:hAnsi="Arial" w:cs="Arial"/>
        </w:rPr>
      </w:pPr>
    </w:p>
    <w:p>
      <w:pPr>
        <w:spacing w:after="0" w:line="260" w:lineRule="auto"/>
      </w:pPr>
      <w:r>
        <w:t>Rok za izdajo:</w:t>
      </w:r>
    </w:p>
    <w:p>
      <w:pPr>
        <w:spacing w:after="0" w:line="240" w:lineRule="auto"/>
      </w:pPr>
      <w:r>
        <w:t>Ni roka.</w:t>
      </w:r>
    </w:p>
    <w:p>
      <w:pPr>
        <w:spacing w:after="0" w:line="260" w:lineRule="auto"/>
        <w:rPr>
          <w:rFonts w:ascii="Arial" w:hAnsi="Arial" w:cs="Arial"/>
        </w:rPr>
      </w:pPr>
    </w:p>
    <w:p>
      <w:pPr>
        <w:spacing w:after="0" w:line="260" w:lineRule="auto"/>
      </w:pPr>
      <w:r>
        <w:t>Glavni razlogi za izdajo:</w:t>
      </w:r>
    </w:p>
    <w:p>
      <w:pPr>
        <w:spacing w:after="0" w:line="240" w:lineRule="auto"/>
        <w:jc w:val="both"/>
      </w:pPr>
      <w:r>
        <w:t>Predlagano spremembo višine državne nagrade in priznanja za prostovoljstvo je predlagal Odbor Republike Slovenije za podelitev državnih priznanj na področju prostovoljstva zaradi prilagoditve nominalne višine nagrade gospodarskim in družbenim spremembam. Zneska, določena v uredbi, nista bila spremenjena od leta 2011, zaradi česar realna vrednost nagrade ni več ustrezna. Prilagoditev bo zagotovila, da ostane nagrada dostojna in primerna v danih gospodarskih in družbenih razmerah. Višina nagrade se spremeni iz 3.000 EUR na 4.800 EUR, priznanja pa iz 1.000 EUR na 1.600 EUR.</w:t>
      </w:r>
    </w:p>
    <w:p>
      <w:pPr>
        <w:spacing w:after="0" w:line="240" w:lineRule="auto"/>
        <w:jc w:val="both"/>
      </w:pPr>
      <w:r>
        <w:t xml:space="preserve"> </w:t>
      </w:r>
    </w:p>
    <w:p>
      <w:pPr>
        <w:spacing w:after="0" w:line="240" w:lineRule="auto"/>
        <w:jc w:val="left"/>
      </w:pPr>
      <w:r>
        <w:t>Poleg tega se v uredbi dopolni člen glede meril in števila opravljenih prostovoljskih ur. Število opravljenih prostovoljskih ur za prostovoljske organizacije je po predlagani spremembi višje kot za posamezne prostovoljce in je preračunano glede na povprečno število opravljenih prostovoljskih ur v prostovoljskih organizacijah v posameznem letu. Pri tem so zaradi statistične obdelave in realnega podatka opravljenih prostovoljskih ur izvzete tri organizacije, ki opravijo največje število ur v posameznem letu. Povprečno število prostovoljskih ur je preračunano glede na uradne podatke iz Skupnega poročila o prostovoljstvu za leto 2024 in po novem znaša 2.400 ur na leto (prej 120 ur na leto).</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portalu eDemokracija:</w:t>
      </w:r>
    </w:p>
    <w:p>
      <w:pPr>
        <w:spacing w:after="0" w:line="260" w:lineRule="auto"/>
      </w:pPr>
      <w:r>
        <w:t>27. 1. 2026</w:t>
      </w:r>
    </w:p>
    <w:p>
      <w:pPr>
        <w:spacing w:after="0" w:line="260" w:lineRule="auto"/>
        <w:rPr>
          <w:rFonts w:ascii="Arial" w:hAnsi="Arial" w:cs="Arial"/>
        </w:rPr>
      </w:pPr>
    </w:p>
    <w:p>
      <w:pPr>
        <w:spacing w:after="0" w:line="260" w:lineRule="auto"/>
      </w:pPr>
      <w:r>
        <w:t>Na gradivo niso bila podana mnenja, predlogi in pripombe.</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desetega odstavka 43. člena Zakona o prostovoljstvu (Uradni list RS, št.10/11, 16/11 &lt; popr. in 82/15) Vlada Republike Slovenije izdaja</w:t>
      </w:r>
    </w:p>
    <w:p>
      <w:pPr>
        <w:spacing w:after="0" w:line="260" w:lineRule="auto"/>
        <w:rPr>
          <w:rFonts w:ascii="Arial" w:hAnsi="Arial" w:cs="Arial"/>
        </w:rPr>
      </w:pPr>
    </w:p>
    <w:p>
      <w:pPr>
        <w:pStyle w:val="Naslov1"/>
        <w:spacing w:after="0" w:line="260" w:lineRule="auto"/>
      </w:pPr>
      <w:r>
        <w:t>Uredbo o spremembah in dopolnitvi Uredbe o nagradi in priznanjih za prostovoljstvo</w:t>
      </w:r>
    </w:p>
    <w:p>
      <w:pPr>
        <w:pStyle w:val="len"/>
        <w:spacing w:after="0" w:line="260" w:lineRule="auto"/>
      </w:pPr>
      <w:r>
        <w:t>1. člen</w:t>
      </w:r>
    </w:p>
    <w:p>
      <w:pPr>
        <w:spacing w:after="0" w:line="260" w:lineRule="auto"/>
        <w:rPr>
          <w:rFonts w:ascii="Arial" w:hAnsi="Arial" w:cs="Arial"/>
        </w:rPr>
      </w:pPr>
    </w:p>
    <w:p>
      <w:pPr>
        <w:spacing w:after="0" w:line="260" w:lineRule="auto"/>
      </w:pPr>
      <w:r>
        <w:tab/>
      </w:r>
      <w:r>
        <w:t xml:space="preserve"> V Uredbi o nagradi in priznanjih za prostovoljstvo (Uradni list RS, št. 62/11 in 29/16) se v 3. členu tretji odstavek spremeni tako, da se glasi: </w:t>
      </w:r>
    </w:p>
    <w:p>
      <w:pPr>
        <w:spacing w:after="0" w:line="260" w:lineRule="auto"/>
        <w:rPr>
          <w:rFonts w:ascii="Arial" w:hAnsi="Arial" w:cs="Arial"/>
        </w:rPr>
      </w:pPr>
    </w:p>
    <w:p>
      <w:pPr>
        <w:spacing w:after="0" w:line="260" w:lineRule="auto"/>
        <w:rPr>
          <w:rFonts w:ascii="Arial" w:hAnsi="Arial" w:cs="Arial"/>
        </w:rPr>
      </w:pPr>
    </w:p>
    <w:p>
      <w:pPr>
        <w:spacing w:after="0" w:line="260" w:lineRule="auto"/>
      </w:pPr>
      <w:r>
        <w:tab/>
      </w:r>
      <w:r>
        <w:t>»(3) Ne glede na določbo prejšnjega odstavka denarni znesek finančne nagrade za prejemnika nagrade ne sme presegati 4.800 eurov, za prejemnika priznanja pa 1.600 eurov.«. </w:t>
      </w:r>
    </w:p>
    <w:p>
      <w:pPr>
        <w:pStyle w:val="len"/>
        <w:spacing w:after="0" w:line="260" w:lineRule="auto"/>
      </w:pPr>
      <w:r>
        <w:t>2. člen</w:t>
      </w:r>
    </w:p>
    <w:p>
      <w:pPr>
        <w:spacing w:after="0" w:line="260" w:lineRule="auto"/>
        <w:rPr>
          <w:rFonts w:ascii="Arial" w:hAnsi="Arial" w:cs="Arial"/>
        </w:rPr>
      </w:pPr>
    </w:p>
    <w:p>
      <w:pPr>
        <w:spacing w:after="0" w:line="260" w:lineRule="auto"/>
      </w:pPr>
      <w:r>
        <w:tab/>
      </w:r>
      <w:r>
        <w:t>V 8. členu se v besedilu člena, ki se označi kot prvi odstavek, druga alineja spremeni tako, da se glasi:</w:t>
      </w:r>
    </w:p>
    <w:p>
      <w:pPr>
        <w:spacing w:after="0" w:line="260" w:lineRule="auto"/>
        <w:rPr>
          <w:rFonts w:ascii="Arial" w:hAnsi="Arial" w:cs="Arial"/>
        </w:rPr>
      </w:pPr>
    </w:p>
    <w:p>
      <w:pPr>
        <w:spacing w:after="0" w:line="260" w:lineRule="auto"/>
      </w:pPr>
      <w:r>
        <w:tab/>
      </w:r>
      <w:r>
        <w:t>»– število opravljenih prostovoljskih ur, ki je za prostovoljca najmanj 120 ur letno, za prostovoljsko organizacijo pa najmanj 2.400 ur letno,«. </w:t>
      </w:r>
    </w:p>
    <w:p>
      <w:pPr>
        <w:spacing w:after="0" w:line="260" w:lineRule="auto"/>
        <w:rPr>
          <w:rFonts w:ascii="Arial" w:hAnsi="Arial" w:cs="Arial"/>
        </w:rPr>
      </w:pPr>
    </w:p>
    <w:p>
      <w:pPr>
        <w:spacing w:after="0" w:line="260" w:lineRule="auto"/>
      </w:pPr>
      <w:r>
        <w:tab/>
      </w:r>
      <w:r>
        <w:t>Za prvim odstavkom se doda nov, drugi odstavek, ki se glasi:</w:t>
      </w:r>
    </w:p>
    <w:p>
      <w:pPr>
        <w:spacing w:after="0" w:line="260" w:lineRule="auto"/>
        <w:rPr>
          <w:rFonts w:ascii="Arial" w:hAnsi="Arial" w:cs="Arial"/>
        </w:rPr>
      </w:pPr>
    </w:p>
    <w:p>
      <w:pPr>
        <w:spacing w:after="0" w:line="260" w:lineRule="auto"/>
        <w:rPr>
          <w:rFonts w:ascii="Arial" w:hAnsi="Arial" w:cs="Arial"/>
        </w:rPr>
      </w:pPr>
    </w:p>
    <w:p>
      <w:pPr>
        <w:spacing w:after="0" w:line="260" w:lineRule="auto"/>
      </w:pPr>
      <w:r>
        <w:tab/>
      </w:r>
      <w:r>
        <w:t>»(2) Ne glede na drugo alinejo prejšnjega odstavka v primeru nepredvidljivih osebnih okoliščin, kot je bolezen, invalidnost ali prometna nesreča, prostovoljcu v desetletnem obdobju ni treba izkazati opravljenih 120 prostovoljskih ur letno, vendar največ dvakrat v tem obdobju. V primeru nepredvidljivih zunanjih okoliščin, kot je epidemija ali naravna nesreča večjih razsežnosti, se obdobje trajanja teh okoliščin izvzame iz desetletnega obdobja, pri čemer se glede na trajanje okoliščin preračuna potrebno število opravljenih prostovoljskih ur na prostovoljca in prostovoljsko organizacijo.«. </w:t>
      </w:r>
    </w:p>
    <w:p>
      <w:pPr>
        <w:pStyle w:val="Poglavje"/>
        <w:spacing w:after="0" w:line="260" w:lineRule="auto"/>
      </w:pPr>
      <w:r>
        <w:t>KONČNA DOLOČBA</w:t>
      </w:r>
    </w:p>
    <w:p>
      <w:pPr>
        <w:pStyle w:val="len"/>
        <w:spacing w:after="0" w:line="260" w:lineRule="auto"/>
      </w:pPr>
      <w:r>
        <w:t>3. člen</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Predlagano spremembo višine državne nagrade in priznanja za prostovoljstvo je sprejel odbor za podelitev državnih priznanj na področju prostovoljstva zaradi prilagoditve nominalne višine nagrade gospodarskim in družbenim spremembam. Zneska, določena v Uredbi o nagradi in priznanjih za prostovoljstvo (Uradni list RS, št. 62/11 in 29/16), nista bila spremenjena od leta 2011, zaradi česar realna vrednost nagrade ni več ustrezna. Na podlagi prilagoditve nagrada lahko ostane dostojna in primerna v danih gospodarskih in družbenih razmerah. Višina nagrade se spremeni s 3.000 EUR na 4.800 EUR, višina priznanja pa s 1.000 EUR na 1.600 EUR.</w:t>
      </w:r>
    </w:p>
    <w:p>
      <w:pPr>
        <w:spacing w:after="0" w:line="260" w:lineRule="auto"/>
        <w:rPr>
          <w:rFonts w:ascii="Arial" w:hAnsi="Arial" w:cs="Arial"/>
        </w:rPr>
      </w:pPr>
    </w:p>
    <w:p>
      <w:pPr>
        <w:pStyle w:val="Odebeljeno"/>
        <w:spacing w:after="0" w:line="260" w:lineRule="auto"/>
      </w:pPr>
      <w:r>
        <w:t>K 2. členu:</w:t>
      </w:r>
    </w:p>
    <w:p>
      <w:pPr>
        <w:spacing w:after="0" w:line="240" w:lineRule="auto"/>
      </w:pPr>
      <w:r>
        <w:t>Člen se dopolni glede meril in števila opravljenih prostovoljskih ur v prostovoljskih organizacijah. Število opravljenih prostovoljskih ur za prostovoljske organizacije je po predlagani spremembi višje kot za posamezne prostovoljce in je preračunano glede na povprečno število opravljenih prostovoljskih ur v prostovoljskih organizacijah v posameznem letu. Pri tem so zaradi statistične obdelave in realnega podatka opravljenih prostovoljskih ur izvzete tri organizacije, ki opravijo največje število prostovoljskih ur v posameznem letu. Povprečno število prostovoljskih ur je preračunano glede na uradne podatke iz Skupnega poročila o prostovoljstvu za leto 2024 in po novem znaša 2.400 ur na leto (prej 120 ur na leto).</w:t>
      </w:r>
    </w:p>
    <w:p>
      <w:pPr>
        <w:spacing w:after="0" w:line="240" w:lineRule="auto"/>
      </w:pPr>
      <w:r>
        <w:t xml:space="preserve"> </w:t>
      </w:r>
    </w:p>
    <w:p>
      <w:pPr>
        <w:spacing w:after="0" w:line="240" w:lineRule="auto"/>
      </w:pPr>
      <w:r>
        <w:t>Kot izjema so dodane nepredvidljive osebne okoliščine prostovoljca (bolezen, invalidnost, prometna nesreča itd.), ki lahko vplivajo na opravljeno število prostovoljskih ur največ dve leti v neprekinjenem desetletnem obdobju. Dodana je tudi izjema za prostovoljce in prostovoljke organizacije, če pride do nepredvidljivih zunanjih oziroma objektivnih okoliščin oziroma razmer (epidemija, naravne nesreče itd.). Kot bolezen ali prometna nesreča se pri presoji upošteva hujša bolezen ali hujša prometna nesreča, ki ima za posledico nezmožnost opravljanja prostovoljskega dela v daljšem obdobju.</w:t>
      </w:r>
    </w:p>
    <w:p>
      <w:pPr>
        <w:spacing w:after="0" w:line="260" w:lineRule="auto"/>
        <w:rPr>
          <w:rFonts w:ascii="Arial" w:hAnsi="Arial" w:cs="Arial"/>
        </w:rPr>
      </w:pPr>
    </w:p>
    <w:p>
      <w:pPr>
        <w:pStyle w:val="Odebeljeno"/>
        <w:spacing w:after="0" w:line="260" w:lineRule="auto"/>
      </w:pPr>
      <w:r>
        <w:t>K 3. členu:</w:t>
      </w:r>
    </w:p>
    <w:p>
      <w:pPr>
        <w:spacing w:after="0" w:line="240" w:lineRule="auto"/>
      </w:pPr>
      <w:r>
        <w:t>Uredba začne veljati petnajsti dan po objavi.</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ab/>
      </w:r>
      <w:r>
        <w:t>-</w:t>
      </w:r>
    </w:p>
    <w:p>
      <w:pPr>
        <w:spacing w:after="0" w:line="260" w:lineRule="auto"/>
      </w:pPr>
      <w:r>
        <w:tab/>
      </w:r>
      <w:r>
        <w:t>-</w:t>
      </w:r>
    </w:p>
    <w:p>
      <w:pPr>
        <w:spacing w:after="0" w:line="260" w:lineRule="auto"/>
      </w:pPr>
      <w:r>
        <w:tab/>
      </w:r>
      <w:r>
        <w:t>-</w:t>
      </w:r>
    </w:p>
    <w:p>
      <w:pPr>
        <w:spacing w:after="0" w:line="260" w:lineRule="auto"/>
      </w:pPr>
      <w:r>
        <w:tab/>
      </w:r>
      <w:r>
        <w:t>-</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13. 03. 2026 13:44:44</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