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1D4E" w14:textId="085FB2B3" w:rsidR="00AA1E0A" w:rsidRPr="00AA1E0A" w:rsidRDefault="00B569E2" w:rsidP="00434379">
      <w:pPr>
        <w:tabs>
          <w:tab w:val="left" w:pos="142"/>
        </w:tabs>
        <w:spacing w:after="0" w:line="240" w:lineRule="auto"/>
        <w:jc w:val="right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  <w:noProof/>
        </w:rPr>
        <w:drawing>
          <wp:anchor distT="0" distB="0" distL="114300" distR="114300" simplePos="0" relativeHeight="251658240" behindDoc="0" locked="0" layoutInCell="1" allowOverlap="1" wp14:anchorId="038A16B7" wp14:editId="243291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33693535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E36A7" w14:textId="1CCC3178" w:rsidR="00AA1E0A" w:rsidRDefault="00AA1E0A" w:rsidP="00003D9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5A5B38" w14:textId="77777777" w:rsidR="00B569E2" w:rsidRPr="000C7B1F" w:rsidRDefault="00B569E2" w:rsidP="00B569E2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0C7B1F">
        <w:rPr>
          <w:rFonts w:cs="Arial"/>
          <w:sz w:val="16"/>
          <w:lang w:val="sl-SI"/>
        </w:rPr>
        <w:t xml:space="preserve">Župančičeva ulica 3, </w:t>
      </w:r>
      <w:proofErr w:type="spellStart"/>
      <w:r w:rsidRPr="000C7B1F">
        <w:rPr>
          <w:rFonts w:cs="Arial"/>
          <w:sz w:val="16"/>
          <w:lang w:val="sl-SI"/>
        </w:rPr>
        <w:t>p.p</w:t>
      </w:r>
      <w:proofErr w:type="spellEnd"/>
      <w:r w:rsidRPr="000C7B1F">
        <w:rPr>
          <w:rFonts w:cs="Arial"/>
          <w:sz w:val="16"/>
          <w:lang w:val="sl-SI"/>
        </w:rPr>
        <w:t>. 644a, 1001 Ljubljana</w:t>
      </w:r>
      <w:r w:rsidRPr="000C7B1F">
        <w:rPr>
          <w:rFonts w:cs="Arial"/>
          <w:sz w:val="16"/>
          <w:lang w:val="sl-SI"/>
        </w:rPr>
        <w:tab/>
        <w:t>T: 01-369-6600</w:t>
      </w:r>
    </w:p>
    <w:p w14:paraId="776A5BCA" w14:textId="77777777" w:rsidR="00B569E2" w:rsidRPr="000C7B1F" w:rsidRDefault="00B569E2" w:rsidP="00B569E2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0C7B1F">
        <w:rPr>
          <w:rFonts w:cs="Arial"/>
          <w:sz w:val="16"/>
          <w:lang w:val="sl-SI"/>
        </w:rPr>
        <w:tab/>
        <w:t>F: 01-369-6609</w:t>
      </w:r>
    </w:p>
    <w:p w14:paraId="46505CAD" w14:textId="77777777" w:rsidR="00B569E2" w:rsidRPr="000C7B1F" w:rsidRDefault="00B569E2" w:rsidP="00B569E2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0C7B1F">
        <w:rPr>
          <w:rFonts w:cs="Arial"/>
          <w:sz w:val="16"/>
          <w:lang w:val="sl-SI"/>
        </w:rPr>
        <w:tab/>
        <w:t>E: gp.mf@gov.si</w:t>
      </w:r>
    </w:p>
    <w:p w14:paraId="14004246" w14:textId="77777777" w:rsidR="00B569E2" w:rsidRPr="000C7B1F" w:rsidRDefault="00B569E2" w:rsidP="00B569E2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0C7B1F">
        <w:rPr>
          <w:rFonts w:cs="Arial"/>
          <w:sz w:val="16"/>
          <w:lang w:val="sl-SI"/>
        </w:rPr>
        <w:tab/>
        <w:t>www.mf.gov.si</w:t>
      </w:r>
    </w:p>
    <w:p w14:paraId="6046C8AD" w14:textId="77777777" w:rsidR="00AA1E0A" w:rsidRDefault="00AA1E0A" w:rsidP="006D6DB7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00A0653" w14:textId="77777777" w:rsidR="00434379" w:rsidRDefault="00434379" w:rsidP="006D6DB7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74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485"/>
        <w:gridCol w:w="483"/>
        <w:gridCol w:w="483"/>
        <w:gridCol w:w="1593"/>
        <w:gridCol w:w="1110"/>
        <w:gridCol w:w="369"/>
        <w:gridCol w:w="369"/>
        <w:gridCol w:w="368"/>
        <w:gridCol w:w="1582"/>
      </w:tblGrid>
      <w:tr w:rsidR="004C26A6" w:rsidRPr="00C56B64" w14:paraId="46B6DDBD" w14:textId="77777777" w:rsidTr="004D646C">
        <w:trPr>
          <w:gridAfter w:val="3"/>
          <w:wAfter w:w="2855" w:type="dxa"/>
          <w:trHeight w:val="152"/>
        </w:trPr>
        <w:tc>
          <w:tcPr>
            <w:tcW w:w="0" w:type="auto"/>
            <w:gridSpan w:val="7"/>
          </w:tcPr>
          <w:p w14:paraId="7FD91991" w14:textId="27080BEE" w:rsidR="004C26A6" w:rsidRPr="00C56B64" w:rsidRDefault="004C26A6" w:rsidP="006D7925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 xml:space="preserve">Številka: </w:t>
            </w:r>
            <w:r w:rsidR="00895ACA" w:rsidRPr="00895ACA">
              <w:rPr>
                <w:sz w:val="20"/>
                <w:szCs w:val="20"/>
              </w:rPr>
              <w:t>4103-2/2025/80</w:t>
            </w:r>
          </w:p>
        </w:tc>
      </w:tr>
      <w:tr w:rsidR="004C26A6" w:rsidRPr="00C56B64" w14:paraId="01986750" w14:textId="77777777" w:rsidTr="004D646C">
        <w:trPr>
          <w:gridAfter w:val="3"/>
          <w:wAfter w:w="2855" w:type="dxa"/>
          <w:trHeight w:val="152"/>
        </w:trPr>
        <w:tc>
          <w:tcPr>
            <w:tcW w:w="0" w:type="auto"/>
            <w:gridSpan w:val="7"/>
          </w:tcPr>
          <w:p w14:paraId="7065847B" w14:textId="49ABB697" w:rsidR="004C26A6" w:rsidRPr="00C56B64" w:rsidRDefault="004C26A6" w:rsidP="004D646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 xml:space="preserve">Ljubljana, </w:t>
            </w:r>
            <w:r w:rsidR="006D7925">
              <w:rPr>
                <w:sz w:val="20"/>
                <w:szCs w:val="20"/>
              </w:rPr>
              <w:t>16</w:t>
            </w:r>
            <w:r w:rsidRPr="00C56B64">
              <w:rPr>
                <w:sz w:val="20"/>
                <w:szCs w:val="20"/>
              </w:rPr>
              <w:t>.</w:t>
            </w:r>
            <w:r w:rsidR="0012356B">
              <w:rPr>
                <w:sz w:val="20"/>
                <w:szCs w:val="20"/>
              </w:rPr>
              <w:t xml:space="preserve"> </w:t>
            </w:r>
            <w:r w:rsidRPr="00C56B64">
              <w:rPr>
                <w:sz w:val="20"/>
                <w:szCs w:val="20"/>
              </w:rPr>
              <w:t>4.</w:t>
            </w:r>
            <w:r w:rsidR="0012356B">
              <w:rPr>
                <w:sz w:val="20"/>
                <w:szCs w:val="20"/>
              </w:rPr>
              <w:t xml:space="preserve"> </w:t>
            </w:r>
            <w:r w:rsidRPr="00C56B64">
              <w:rPr>
                <w:sz w:val="20"/>
                <w:szCs w:val="20"/>
              </w:rPr>
              <w:t>2025</w:t>
            </w:r>
          </w:p>
        </w:tc>
      </w:tr>
      <w:tr w:rsidR="004C26A6" w:rsidRPr="00C56B64" w14:paraId="3818EF66" w14:textId="77777777" w:rsidTr="004D646C">
        <w:trPr>
          <w:gridAfter w:val="3"/>
          <w:wAfter w:w="2855" w:type="dxa"/>
          <w:trHeight w:val="273"/>
        </w:trPr>
        <w:tc>
          <w:tcPr>
            <w:tcW w:w="0" w:type="auto"/>
            <w:gridSpan w:val="7"/>
          </w:tcPr>
          <w:p w14:paraId="4EC008A8" w14:textId="4A14981A" w:rsidR="004C26A6" w:rsidRPr="00C56B64" w:rsidRDefault="004C26A6" w:rsidP="004D646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4C26A6" w:rsidRPr="00C56B64" w14:paraId="4F2CDE5D" w14:textId="77777777" w:rsidTr="004D646C">
        <w:trPr>
          <w:gridAfter w:val="3"/>
          <w:wAfter w:w="2855" w:type="dxa"/>
          <w:trHeight w:val="561"/>
        </w:trPr>
        <w:tc>
          <w:tcPr>
            <w:tcW w:w="0" w:type="auto"/>
            <w:gridSpan w:val="7"/>
          </w:tcPr>
          <w:p w14:paraId="2FA4DD3E" w14:textId="77777777" w:rsidR="004C26A6" w:rsidRPr="00C56B64" w:rsidRDefault="004C26A6" w:rsidP="004D646C">
            <w:pPr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62C86E69" w14:textId="77777777" w:rsidR="004C26A6" w:rsidRPr="00C56B64" w:rsidRDefault="00B569E2" w:rsidP="004D646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C26A6" w:rsidRPr="00C56B64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3E4098A6" w14:textId="77777777" w:rsidR="004C26A6" w:rsidRPr="00C56B64" w:rsidRDefault="004C26A6" w:rsidP="004D64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A6" w:rsidRPr="00C56B64" w14:paraId="58E1C9CA" w14:textId="77777777" w:rsidTr="004D646C">
        <w:trPr>
          <w:trHeight w:val="345"/>
        </w:trPr>
        <w:tc>
          <w:tcPr>
            <w:tcW w:w="0" w:type="auto"/>
            <w:gridSpan w:val="10"/>
          </w:tcPr>
          <w:p w14:paraId="075B6942" w14:textId="77777777" w:rsidR="004C26A6" w:rsidRPr="00C56B64" w:rsidRDefault="004C26A6" w:rsidP="004D646C">
            <w:pPr>
              <w:pStyle w:val="Naslovpredpisa"/>
              <w:tabs>
                <w:tab w:val="left" w:pos="1036"/>
              </w:tabs>
              <w:spacing w:before="0" w:after="0" w:line="260" w:lineRule="exact"/>
              <w:ind w:left="1036" w:hanging="992"/>
              <w:jc w:val="both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  <w:lang w:eastAsia="en-US"/>
              </w:rPr>
              <w:t>ZADEVA:</w:t>
            </w:r>
            <w:r w:rsidRPr="00C56B64">
              <w:rPr>
                <w:sz w:val="20"/>
                <w:szCs w:val="20"/>
                <w:lang w:eastAsia="en-US"/>
              </w:rPr>
              <w:tab/>
              <w:t>Odprtje proračunske postavke in zagotovitev pravic porabe pri Ministrstvu za naravne vire in prostor – predlog za obravnavo</w:t>
            </w:r>
          </w:p>
        </w:tc>
      </w:tr>
      <w:tr w:rsidR="004C26A6" w:rsidRPr="00C56B64" w14:paraId="52B4C87D" w14:textId="77777777" w:rsidTr="004D646C">
        <w:trPr>
          <w:trHeight w:val="152"/>
        </w:trPr>
        <w:tc>
          <w:tcPr>
            <w:tcW w:w="0" w:type="auto"/>
            <w:gridSpan w:val="10"/>
          </w:tcPr>
          <w:p w14:paraId="690728CA" w14:textId="77777777" w:rsidR="004C26A6" w:rsidRPr="00C56B64" w:rsidRDefault="004C26A6" w:rsidP="004D646C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1. Predlog sklepov vlade:</w:t>
            </w:r>
          </w:p>
        </w:tc>
      </w:tr>
      <w:tr w:rsidR="004C26A6" w:rsidRPr="00C56B64" w14:paraId="51656AAC" w14:textId="77777777" w:rsidTr="004D646C">
        <w:trPr>
          <w:trHeight w:val="152"/>
        </w:trPr>
        <w:tc>
          <w:tcPr>
            <w:tcW w:w="0" w:type="auto"/>
            <w:gridSpan w:val="10"/>
          </w:tcPr>
          <w:p w14:paraId="47C79515" w14:textId="7C0043A2" w:rsidR="004C26A6" w:rsidRPr="00C56B64" w:rsidRDefault="00216AB2" w:rsidP="004D646C">
            <w:pPr>
              <w:pStyle w:val="podpisi"/>
              <w:jc w:val="both"/>
              <w:rPr>
                <w:rFonts w:cs="Arial"/>
                <w:szCs w:val="20"/>
                <w:lang w:val="sl-SI" w:bidi="en-US"/>
              </w:rPr>
            </w:pPr>
            <w:r w:rsidRPr="00C56B64">
              <w:rPr>
                <w:rFonts w:cs="Arial"/>
                <w:szCs w:val="20"/>
                <w:lang w:val="sl-SI" w:bidi="en-US"/>
              </w:rPr>
              <w:t xml:space="preserve">Na podlagi </w:t>
            </w:r>
            <w:r w:rsidR="00D974EC" w:rsidRPr="00C56B64">
              <w:rPr>
                <w:rFonts w:cs="Arial"/>
                <w:szCs w:val="20"/>
                <w:lang w:val="sl-SI" w:bidi="en-US"/>
              </w:rPr>
              <w:t xml:space="preserve">10. </w:t>
            </w:r>
            <w:r w:rsidRPr="00C56B64">
              <w:rPr>
                <w:rFonts w:cs="Arial"/>
                <w:szCs w:val="20"/>
                <w:lang w:val="sl-SI" w:bidi="en-US"/>
              </w:rPr>
              <w:t>člena Zakona o izvrševanju proračunov Republike Slovenije za leti 2025 in 2026 (Uradni list RS, št. 104/24) je Vlada Republike Slovenije na seji dne ...... pod točko ….. sprejela naslednji</w:t>
            </w:r>
          </w:p>
          <w:p w14:paraId="33C02FBF" w14:textId="77777777" w:rsidR="00216AB2" w:rsidRPr="00C56B64" w:rsidRDefault="00216AB2" w:rsidP="004D646C">
            <w:pPr>
              <w:pStyle w:val="podpisi"/>
              <w:jc w:val="center"/>
              <w:rPr>
                <w:rFonts w:cs="Arial"/>
                <w:szCs w:val="20"/>
                <w:lang w:val="sl-SI" w:bidi="en-US"/>
              </w:rPr>
            </w:pPr>
          </w:p>
          <w:p w14:paraId="4EAF21D1" w14:textId="1307F7F5" w:rsidR="004C26A6" w:rsidRPr="00C56B64" w:rsidRDefault="004C26A6" w:rsidP="004D646C">
            <w:pPr>
              <w:pStyle w:val="podpisi"/>
              <w:jc w:val="center"/>
              <w:rPr>
                <w:rFonts w:cs="Arial"/>
                <w:szCs w:val="20"/>
                <w:lang w:val="sl-SI" w:bidi="en-US"/>
              </w:rPr>
            </w:pPr>
            <w:r w:rsidRPr="00C56B64">
              <w:rPr>
                <w:rFonts w:cs="Arial"/>
                <w:szCs w:val="20"/>
                <w:lang w:val="sl-SI" w:bidi="en-US"/>
              </w:rPr>
              <w:t>SKLEP</w:t>
            </w:r>
          </w:p>
          <w:p w14:paraId="2FB12AF0" w14:textId="77777777" w:rsidR="004C26A6" w:rsidRPr="00C56B64" w:rsidRDefault="004C26A6" w:rsidP="004D646C">
            <w:pPr>
              <w:pStyle w:val="podpisi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3AC91520" w14:textId="350D65D7" w:rsidR="004C26A6" w:rsidRPr="00C56B64" w:rsidRDefault="004C26A6" w:rsidP="004C26A6">
            <w:pPr>
              <w:pStyle w:val="podpisi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both"/>
              <w:rPr>
                <w:rFonts w:cs="Arial"/>
                <w:szCs w:val="20"/>
                <w:lang w:val="sl-SI" w:bidi="en-US"/>
              </w:rPr>
            </w:pPr>
            <w:r w:rsidRPr="00C56B64">
              <w:rPr>
                <w:rFonts w:cs="Arial"/>
                <w:szCs w:val="20"/>
                <w:lang w:val="sl-SI" w:bidi="en-US"/>
              </w:rPr>
              <w:t>Pri proračunskemu uporabniku 2560 Ministrstvo za naravne vire in prostor se v okviru glavnega programa 1201 - Urejanje sistema in podporne dejavnosti na področju energetike in podprograma 120101 - Urejanje in razvoj na področju energetike odpre proračunska postavka:</w:t>
            </w:r>
          </w:p>
          <w:p w14:paraId="4F3C4198" w14:textId="77777777" w:rsidR="004C26A6" w:rsidRPr="00C56B64" w:rsidRDefault="004C26A6" w:rsidP="004D646C">
            <w:pPr>
              <w:pStyle w:val="podpisi"/>
              <w:tabs>
                <w:tab w:val="left" w:pos="284"/>
              </w:tabs>
              <w:ind w:left="284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55AD3D4F" w14:textId="77777777" w:rsidR="004C26A6" w:rsidRPr="00C56B64" w:rsidRDefault="004C26A6" w:rsidP="004C26A6">
            <w:pPr>
              <w:pStyle w:val="podpisi"/>
              <w:numPr>
                <w:ilvl w:val="0"/>
                <w:numId w:val="15"/>
              </w:numPr>
              <w:tabs>
                <w:tab w:val="clear" w:pos="3402"/>
                <w:tab w:val="left" w:pos="426"/>
              </w:tabs>
              <w:jc w:val="both"/>
              <w:rPr>
                <w:rFonts w:cs="Arial"/>
                <w:szCs w:val="20"/>
                <w:lang w:val="sl-SI" w:bidi="en-US"/>
              </w:rPr>
            </w:pPr>
            <w:r w:rsidRPr="00C56B64">
              <w:rPr>
                <w:rFonts w:cs="Arial"/>
                <w:szCs w:val="20"/>
                <w:lang w:val="sl-SI" w:bidi="en-US"/>
              </w:rPr>
              <w:t>230073 – Finančni nadzor rudarskih odločb</w:t>
            </w:r>
          </w:p>
          <w:p w14:paraId="7215D869" w14:textId="77777777" w:rsidR="004C26A6" w:rsidRPr="00C56B64" w:rsidRDefault="004C26A6" w:rsidP="004D646C">
            <w:pPr>
              <w:pStyle w:val="podpisi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4B1C36BF" w14:textId="008902FB" w:rsidR="004C26A6" w:rsidRPr="00C56B64" w:rsidRDefault="004C26A6" w:rsidP="004C26A6">
            <w:pPr>
              <w:pStyle w:val="podpisi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both"/>
              <w:rPr>
                <w:rFonts w:cs="Arial"/>
                <w:szCs w:val="20"/>
                <w:lang w:val="sl-SI" w:bidi="en-US"/>
              </w:rPr>
            </w:pPr>
            <w:r w:rsidRPr="00C56B64">
              <w:rPr>
                <w:rFonts w:cs="Arial"/>
                <w:szCs w:val="20"/>
                <w:lang w:val="sl-SI" w:bidi="en-US"/>
              </w:rPr>
              <w:t>Sredstva za pokrivanje obveznosti iz prejšnje točke tega sklepa se v letu 202</w:t>
            </w:r>
            <w:r w:rsidR="00D974EC" w:rsidRPr="00C56B64">
              <w:rPr>
                <w:rFonts w:cs="Arial"/>
                <w:szCs w:val="20"/>
                <w:lang w:val="sl-SI" w:bidi="en-US"/>
              </w:rPr>
              <w:t>5</w:t>
            </w:r>
            <w:r w:rsidRPr="00C56B64">
              <w:rPr>
                <w:rFonts w:cs="Arial"/>
                <w:szCs w:val="20"/>
                <w:lang w:val="sl-SI" w:bidi="en-US"/>
              </w:rPr>
              <w:t xml:space="preserve"> zagotovijo s prerazporeditvijo pravic porabe v okviru finančnega načrta Ministrstva za naravne vire in prostor v višini </w:t>
            </w:r>
            <w:r w:rsidR="00751A66">
              <w:rPr>
                <w:rFonts w:cs="Arial"/>
                <w:szCs w:val="20"/>
                <w:lang w:val="sl-SI" w:bidi="en-US"/>
              </w:rPr>
              <w:t>20.</w:t>
            </w:r>
            <w:r w:rsidR="00751A66" w:rsidRPr="00751A66">
              <w:rPr>
                <w:rFonts w:cs="Arial"/>
                <w:szCs w:val="20"/>
                <w:lang w:val="sl-SI" w:bidi="en-US"/>
              </w:rPr>
              <w:t>000</w:t>
            </w:r>
            <w:r w:rsidRPr="00751A66">
              <w:rPr>
                <w:rFonts w:cs="Arial"/>
                <w:szCs w:val="20"/>
                <w:lang w:val="sl-SI" w:bidi="en-US"/>
              </w:rPr>
              <w:t xml:space="preserve">,00 EUR, </w:t>
            </w:r>
            <w:r w:rsidRPr="00C56B64">
              <w:rPr>
                <w:rFonts w:cs="Arial"/>
                <w:szCs w:val="20"/>
                <w:lang w:val="sl-SI" w:bidi="en-US"/>
              </w:rPr>
              <w:t xml:space="preserve">s postavke </w:t>
            </w:r>
            <w:r w:rsidR="00D974EC" w:rsidRPr="00C56B64">
              <w:rPr>
                <w:rFonts w:cs="Arial"/>
                <w:szCs w:val="20"/>
                <w:lang w:val="sl-SI" w:bidi="en-US"/>
              </w:rPr>
              <w:t>231735 Sofinanciranje dejavnosti Nacionalnega geološkega zavoda</w:t>
            </w:r>
            <w:r w:rsidR="005C32D6" w:rsidRPr="00C56B64">
              <w:rPr>
                <w:rFonts w:cs="Arial"/>
                <w:szCs w:val="20"/>
                <w:lang w:val="sl-SI" w:bidi="en-US"/>
              </w:rPr>
              <w:t>.</w:t>
            </w:r>
          </w:p>
          <w:p w14:paraId="146D07F1" w14:textId="77777777" w:rsidR="004C26A6" w:rsidRPr="00C56B64" w:rsidRDefault="004C26A6" w:rsidP="004D646C">
            <w:pPr>
              <w:pStyle w:val="podpisi"/>
              <w:tabs>
                <w:tab w:val="left" w:pos="284"/>
              </w:tabs>
              <w:jc w:val="both"/>
              <w:rPr>
                <w:rFonts w:cs="Arial"/>
                <w:szCs w:val="20"/>
                <w:highlight w:val="yellow"/>
                <w:lang w:val="sl-SI" w:bidi="en-US"/>
              </w:rPr>
            </w:pPr>
          </w:p>
          <w:p w14:paraId="35D67820" w14:textId="77777777" w:rsidR="004C26A6" w:rsidRPr="00C56B64" w:rsidRDefault="004C26A6" w:rsidP="004D646C">
            <w:pPr>
              <w:pStyle w:val="podpisi"/>
              <w:tabs>
                <w:tab w:val="left" w:pos="284"/>
              </w:tabs>
              <w:ind w:left="284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7FCB39B7" w14:textId="77777777" w:rsidR="004C26A6" w:rsidRPr="00C56B64" w:rsidRDefault="004C26A6" w:rsidP="004D646C">
            <w:pPr>
              <w:pStyle w:val="podpisi"/>
              <w:tabs>
                <w:tab w:val="left" w:pos="284"/>
              </w:tabs>
              <w:ind w:left="284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3272165F" w14:textId="77777777" w:rsidR="004C26A6" w:rsidRPr="00C56B64" w:rsidRDefault="004C26A6" w:rsidP="004D646C">
            <w:pPr>
              <w:autoSpaceDE w:val="0"/>
              <w:autoSpaceDN w:val="0"/>
              <w:ind w:left="34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                                       </w:t>
            </w:r>
            <w:r w:rsidRPr="00C56B64">
              <w:rPr>
                <w:rFonts w:ascii="Arial" w:hAnsi="Arial" w:cs="Arial"/>
                <w:color w:val="000000"/>
                <w:sz w:val="20"/>
                <w:szCs w:val="20"/>
              </w:rPr>
              <w:t xml:space="preserve">Barbara Kolenko </w:t>
            </w:r>
            <w:proofErr w:type="spellStart"/>
            <w:r w:rsidRPr="00C56B64">
              <w:rPr>
                <w:rFonts w:ascii="Arial" w:hAnsi="Arial" w:cs="Arial"/>
                <w:color w:val="000000"/>
                <w:sz w:val="20"/>
                <w:szCs w:val="20"/>
              </w:rPr>
              <w:t>Helbl</w:t>
            </w:r>
            <w:proofErr w:type="spellEnd"/>
          </w:p>
          <w:p w14:paraId="5DD0FBC6" w14:textId="451D6066" w:rsidR="004C26A6" w:rsidRPr="00C56B64" w:rsidRDefault="004C26A6" w:rsidP="004D646C">
            <w:pPr>
              <w:tabs>
                <w:tab w:val="left" w:pos="5103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56B64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                                                 Generalna sekretarka</w:t>
            </w:r>
            <w:r w:rsidR="00216AB2" w:rsidRPr="00C56B64">
              <w:rPr>
                <w:rFonts w:ascii="Arial" w:hAnsi="Arial" w:cs="Arial"/>
                <w:iCs/>
                <w:sz w:val="20"/>
                <w:szCs w:val="20"/>
              </w:rPr>
              <w:t xml:space="preserve"> Vlade RS</w:t>
            </w:r>
          </w:p>
          <w:p w14:paraId="01F24D68" w14:textId="77777777" w:rsidR="004C26A6" w:rsidRPr="00C56B64" w:rsidRDefault="004C26A6" w:rsidP="004D646C">
            <w:pPr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C56B64">
              <w:rPr>
                <w:rFonts w:ascii="Arial" w:eastAsia="Batang" w:hAnsi="Arial" w:cs="Arial"/>
                <w:sz w:val="20"/>
                <w:szCs w:val="20"/>
                <w:lang w:eastAsia="ko-KR"/>
              </w:rPr>
              <w:t>Sklep prejmejo:</w:t>
            </w:r>
          </w:p>
          <w:p w14:paraId="47902EDA" w14:textId="77777777" w:rsidR="004C26A6" w:rsidRPr="00C56B64" w:rsidRDefault="004C26A6" w:rsidP="004C26A6">
            <w:pPr>
              <w:numPr>
                <w:ilvl w:val="0"/>
                <w:numId w:val="13"/>
              </w:numPr>
              <w:spacing w:after="0" w:line="260" w:lineRule="exact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C56B64">
              <w:rPr>
                <w:rFonts w:ascii="Arial" w:eastAsia="Batang" w:hAnsi="Arial" w:cs="Arial"/>
                <w:sz w:val="20"/>
                <w:szCs w:val="20"/>
                <w:lang w:eastAsia="ko-KR"/>
              </w:rPr>
              <w:t>Ministrstvo za finance</w:t>
            </w:r>
          </w:p>
          <w:p w14:paraId="01623126" w14:textId="77777777" w:rsidR="004C26A6" w:rsidRPr="00C56B64" w:rsidRDefault="004C26A6" w:rsidP="004C26A6">
            <w:pPr>
              <w:numPr>
                <w:ilvl w:val="0"/>
                <w:numId w:val="13"/>
              </w:numPr>
              <w:spacing w:after="0" w:line="260" w:lineRule="exact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C56B64">
              <w:rPr>
                <w:rFonts w:ascii="Arial" w:eastAsia="Batang" w:hAnsi="Arial" w:cs="Arial"/>
                <w:sz w:val="20"/>
                <w:szCs w:val="20"/>
                <w:lang w:eastAsia="ko-KR"/>
              </w:rPr>
              <w:t>Ministrstvo za naravne vire in prostor</w:t>
            </w:r>
          </w:p>
          <w:p w14:paraId="2F044204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4C26A6" w:rsidRPr="00C56B64" w14:paraId="10357DC7" w14:textId="77777777" w:rsidTr="004D646C">
        <w:trPr>
          <w:trHeight w:val="152"/>
        </w:trPr>
        <w:tc>
          <w:tcPr>
            <w:tcW w:w="0" w:type="auto"/>
            <w:gridSpan w:val="10"/>
          </w:tcPr>
          <w:p w14:paraId="3ABA17F2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56B64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4C26A6" w:rsidRPr="00C56B64" w14:paraId="43639015" w14:textId="77777777" w:rsidTr="004D646C">
        <w:trPr>
          <w:trHeight w:val="152"/>
        </w:trPr>
        <w:tc>
          <w:tcPr>
            <w:tcW w:w="0" w:type="auto"/>
            <w:gridSpan w:val="10"/>
          </w:tcPr>
          <w:p w14:paraId="6F26ED1E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/</w:t>
            </w:r>
          </w:p>
        </w:tc>
      </w:tr>
      <w:tr w:rsidR="004C26A6" w:rsidRPr="00C56B64" w14:paraId="2C49E8FD" w14:textId="77777777" w:rsidTr="004D646C">
        <w:trPr>
          <w:trHeight w:val="152"/>
        </w:trPr>
        <w:tc>
          <w:tcPr>
            <w:tcW w:w="0" w:type="auto"/>
            <w:gridSpan w:val="10"/>
          </w:tcPr>
          <w:p w14:paraId="5D9B5CF4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56B64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4C26A6" w:rsidRPr="00C56B64" w14:paraId="1D30E617" w14:textId="77777777" w:rsidTr="004D646C">
        <w:trPr>
          <w:trHeight w:val="152"/>
        </w:trPr>
        <w:tc>
          <w:tcPr>
            <w:tcW w:w="0" w:type="auto"/>
            <w:gridSpan w:val="10"/>
          </w:tcPr>
          <w:p w14:paraId="2A7BFE6A" w14:textId="77777777" w:rsidR="004C26A6" w:rsidRPr="00E0047C" w:rsidRDefault="004C26A6" w:rsidP="00E0047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0047C">
              <w:rPr>
                <w:sz w:val="20"/>
                <w:szCs w:val="20"/>
              </w:rPr>
              <w:t>mag. Mojca Pirnat, generalna direktorica</w:t>
            </w:r>
          </w:p>
          <w:p w14:paraId="71DBED70" w14:textId="77777777" w:rsidR="004C26A6" w:rsidRPr="00E0047C" w:rsidRDefault="004C26A6" w:rsidP="00E0047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0047C">
              <w:rPr>
                <w:sz w:val="20"/>
                <w:szCs w:val="20"/>
              </w:rPr>
              <w:t xml:space="preserve">Simona Poljanšek, mag., vodja Sektorja za proračun </w:t>
            </w:r>
          </w:p>
        </w:tc>
      </w:tr>
      <w:tr w:rsidR="004C26A6" w:rsidRPr="00C56B64" w14:paraId="748146A2" w14:textId="77777777" w:rsidTr="004D646C">
        <w:trPr>
          <w:trHeight w:val="152"/>
        </w:trPr>
        <w:tc>
          <w:tcPr>
            <w:tcW w:w="0" w:type="auto"/>
            <w:gridSpan w:val="10"/>
          </w:tcPr>
          <w:p w14:paraId="77F7B254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56B64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C56B64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C26A6" w:rsidRPr="00C56B64" w14:paraId="2520A286" w14:textId="77777777" w:rsidTr="004D646C">
        <w:trPr>
          <w:trHeight w:val="152"/>
        </w:trPr>
        <w:tc>
          <w:tcPr>
            <w:tcW w:w="0" w:type="auto"/>
            <w:gridSpan w:val="10"/>
          </w:tcPr>
          <w:p w14:paraId="1E7FBA73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56B64">
              <w:rPr>
                <w:b/>
                <w:sz w:val="20"/>
                <w:szCs w:val="20"/>
              </w:rPr>
              <w:lastRenderedPageBreak/>
              <w:t>4. Predstavniki vlade, ki bodo sodelovali pri delu državnega zbora:</w:t>
            </w:r>
          </w:p>
        </w:tc>
      </w:tr>
      <w:tr w:rsidR="004C26A6" w:rsidRPr="00C56B64" w14:paraId="7265AD5C" w14:textId="77777777" w:rsidTr="004D646C">
        <w:trPr>
          <w:trHeight w:val="152"/>
        </w:trPr>
        <w:tc>
          <w:tcPr>
            <w:tcW w:w="0" w:type="auto"/>
            <w:gridSpan w:val="10"/>
          </w:tcPr>
          <w:p w14:paraId="7007B2DD" w14:textId="77777777" w:rsidR="004C26A6" w:rsidRPr="00C56B64" w:rsidRDefault="004C26A6" w:rsidP="004D646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56B64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4C26A6" w:rsidRPr="00C56B64" w14:paraId="11597645" w14:textId="77777777" w:rsidTr="004D646C">
        <w:trPr>
          <w:trHeight w:val="152"/>
        </w:trPr>
        <w:tc>
          <w:tcPr>
            <w:tcW w:w="0" w:type="auto"/>
            <w:gridSpan w:val="10"/>
          </w:tcPr>
          <w:p w14:paraId="7632AE66" w14:textId="3D59475B" w:rsidR="004C26A6" w:rsidRPr="00E0047C" w:rsidRDefault="004C26A6" w:rsidP="00805BFF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Vladi Republike Slovenije se na podlagi 10. člena ZIPRS2</w:t>
            </w:r>
            <w:r w:rsidR="003523AC" w:rsidRPr="00C56B64">
              <w:rPr>
                <w:sz w:val="20"/>
                <w:szCs w:val="20"/>
              </w:rPr>
              <w:t>5</w:t>
            </w:r>
            <w:r w:rsidRPr="00C56B64">
              <w:rPr>
                <w:sz w:val="20"/>
                <w:szCs w:val="20"/>
              </w:rPr>
              <w:t>2</w:t>
            </w:r>
            <w:r w:rsidR="003523AC" w:rsidRPr="00C56B64">
              <w:rPr>
                <w:sz w:val="20"/>
                <w:szCs w:val="20"/>
              </w:rPr>
              <w:t>6</w:t>
            </w:r>
            <w:r w:rsidRPr="00C56B64">
              <w:rPr>
                <w:sz w:val="20"/>
                <w:szCs w:val="20"/>
              </w:rPr>
              <w:t xml:space="preserve"> predlaga, da se pri proračunskem uporabniku 2560 Ministrstvo za naravne vire in prostor odpre proračunska postavka </w:t>
            </w:r>
            <w:r w:rsidR="00013A69">
              <w:rPr>
                <w:sz w:val="20"/>
                <w:szCs w:val="20"/>
              </w:rPr>
              <w:t xml:space="preserve">230073 </w:t>
            </w:r>
            <w:r w:rsidRPr="00C56B64">
              <w:rPr>
                <w:sz w:val="20"/>
                <w:szCs w:val="20"/>
              </w:rPr>
              <w:t>Finančni nadzor rudarskih odločb. Ob pripravi sprememb proračuna za leto 202</w:t>
            </w:r>
            <w:r w:rsidR="003523AC" w:rsidRPr="00C56B64">
              <w:rPr>
                <w:sz w:val="20"/>
                <w:szCs w:val="20"/>
              </w:rPr>
              <w:t>5</w:t>
            </w:r>
            <w:r w:rsidRPr="00C56B64">
              <w:rPr>
                <w:sz w:val="20"/>
                <w:szCs w:val="20"/>
              </w:rPr>
              <w:t xml:space="preserve"> in predloga proračuna za leto 202</w:t>
            </w:r>
            <w:r w:rsidR="003523AC" w:rsidRPr="00C56B64">
              <w:rPr>
                <w:sz w:val="20"/>
                <w:szCs w:val="20"/>
              </w:rPr>
              <w:t>6</w:t>
            </w:r>
            <w:r w:rsidRPr="00C56B64">
              <w:rPr>
                <w:sz w:val="20"/>
                <w:szCs w:val="20"/>
              </w:rPr>
              <w:t xml:space="preserve"> </w:t>
            </w:r>
            <w:r w:rsidR="00805BFF">
              <w:rPr>
                <w:sz w:val="20"/>
                <w:szCs w:val="20"/>
              </w:rPr>
              <w:t xml:space="preserve">MNVP </w:t>
            </w:r>
            <w:r w:rsidRPr="00C56B64">
              <w:rPr>
                <w:sz w:val="20"/>
                <w:szCs w:val="20"/>
              </w:rPr>
              <w:t>omenjen</w:t>
            </w:r>
            <w:r w:rsidR="00805BFF">
              <w:rPr>
                <w:sz w:val="20"/>
                <w:szCs w:val="20"/>
              </w:rPr>
              <w:t>e</w:t>
            </w:r>
            <w:r w:rsidRPr="00C56B64">
              <w:rPr>
                <w:sz w:val="20"/>
                <w:szCs w:val="20"/>
              </w:rPr>
              <w:t xml:space="preserve"> proračunsk</w:t>
            </w:r>
            <w:r w:rsidR="00805BFF">
              <w:rPr>
                <w:sz w:val="20"/>
                <w:szCs w:val="20"/>
              </w:rPr>
              <w:t>e</w:t>
            </w:r>
            <w:r w:rsidRPr="00C56B64">
              <w:rPr>
                <w:sz w:val="20"/>
                <w:szCs w:val="20"/>
              </w:rPr>
              <w:t xml:space="preserve"> postavk</w:t>
            </w:r>
            <w:r w:rsidR="003B589C">
              <w:rPr>
                <w:sz w:val="20"/>
                <w:szCs w:val="20"/>
              </w:rPr>
              <w:t>e</w:t>
            </w:r>
            <w:r w:rsidRPr="00C56B64">
              <w:rPr>
                <w:sz w:val="20"/>
                <w:szCs w:val="20"/>
              </w:rPr>
              <w:t xml:space="preserve"> ni vključ</w:t>
            </w:r>
            <w:r w:rsidR="00805BFF">
              <w:rPr>
                <w:sz w:val="20"/>
                <w:szCs w:val="20"/>
              </w:rPr>
              <w:t>il</w:t>
            </w:r>
            <w:r w:rsidR="00013A69">
              <w:rPr>
                <w:sz w:val="20"/>
                <w:szCs w:val="20"/>
              </w:rPr>
              <w:t xml:space="preserve"> v finančni načrt</w:t>
            </w:r>
            <w:r w:rsidRPr="00C56B64">
              <w:rPr>
                <w:sz w:val="20"/>
                <w:szCs w:val="20"/>
              </w:rPr>
              <w:t xml:space="preserve">. </w:t>
            </w:r>
            <w:r w:rsidRPr="00E0047C">
              <w:rPr>
                <w:sz w:val="20"/>
                <w:szCs w:val="20"/>
              </w:rPr>
              <w:t xml:space="preserve">Sredstva bodo zagotovljena </w:t>
            </w:r>
            <w:r w:rsidR="003523AC" w:rsidRPr="00E0047C">
              <w:rPr>
                <w:sz w:val="20"/>
                <w:szCs w:val="20"/>
              </w:rPr>
              <w:t xml:space="preserve">v skladu z </w:t>
            </w:r>
            <w:r w:rsidR="00C56B64" w:rsidRPr="00E0047C">
              <w:rPr>
                <w:sz w:val="20"/>
                <w:szCs w:val="20"/>
              </w:rPr>
              <w:t xml:space="preserve">24. členom </w:t>
            </w:r>
            <w:r w:rsidR="003523AC" w:rsidRPr="00E0047C">
              <w:rPr>
                <w:sz w:val="20"/>
                <w:szCs w:val="20"/>
              </w:rPr>
              <w:t xml:space="preserve">ZIPRS2526 </w:t>
            </w:r>
            <w:r w:rsidRPr="00E0047C">
              <w:rPr>
                <w:sz w:val="20"/>
                <w:szCs w:val="20"/>
              </w:rPr>
              <w:t xml:space="preserve">s prerazporeditvijo iz proračunske postavke </w:t>
            </w:r>
            <w:r w:rsidR="003523AC" w:rsidRPr="00C56B64">
              <w:rPr>
                <w:sz w:val="20"/>
                <w:szCs w:val="20"/>
              </w:rPr>
              <w:t>231735 Sofinanciranje dejavnosti Nacionalnega geološkega zavoda</w:t>
            </w:r>
            <w:r w:rsidRPr="00C56B64">
              <w:rPr>
                <w:sz w:val="20"/>
                <w:szCs w:val="20"/>
              </w:rPr>
              <w:t>.</w:t>
            </w:r>
          </w:p>
        </w:tc>
      </w:tr>
      <w:tr w:rsidR="004C26A6" w:rsidRPr="00C56B64" w14:paraId="134C6EB0" w14:textId="77777777" w:rsidTr="004D646C">
        <w:trPr>
          <w:trHeight w:val="152"/>
        </w:trPr>
        <w:tc>
          <w:tcPr>
            <w:tcW w:w="0" w:type="auto"/>
            <w:gridSpan w:val="10"/>
          </w:tcPr>
          <w:p w14:paraId="301AE83E" w14:textId="77777777" w:rsidR="004C26A6" w:rsidRPr="00C56B64" w:rsidRDefault="004C26A6" w:rsidP="004D646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56B64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4C26A6" w:rsidRPr="00C56B64" w14:paraId="60EC4623" w14:textId="77777777" w:rsidTr="004D646C">
        <w:trPr>
          <w:trHeight w:val="152"/>
        </w:trPr>
        <w:tc>
          <w:tcPr>
            <w:tcW w:w="0" w:type="auto"/>
            <w:gridSpan w:val="2"/>
          </w:tcPr>
          <w:p w14:paraId="763F1972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C56B64">
              <w:rPr>
                <w:i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4169" w:type="dxa"/>
            <w:gridSpan w:val="7"/>
          </w:tcPr>
          <w:p w14:paraId="6DC01D80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color w:val="000000"/>
                <w:sz w:val="20"/>
                <w:szCs w:val="20"/>
              </w:rPr>
            </w:pPr>
            <w:r w:rsidRPr="00C56B64">
              <w:rPr>
                <w:color w:val="000000"/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17" w:type="dxa"/>
            <w:vAlign w:val="center"/>
          </w:tcPr>
          <w:p w14:paraId="7E38B7B3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751A66">
              <w:rPr>
                <w:iCs/>
                <w:sz w:val="20"/>
                <w:szCs w:val="20"/>
              </w:rPr>
              <w:t>NE</w:t>
            </w:r>
          </w:p>
        </w:tc>
      </w:tr>
      <w:tr w:rsidR="004C26A6" w:rsidRPr="00C56B64" w14:paraId="790B5E37" w14:textId="77777777" w:rsidTr="004D646C">
        <w:trPr>
          <w:trHeight w:val="152"/>
        </w:trPr>
        <w:tc>
          <w:tcPr>
            <w:tcW w:w="0" w:type="auto"/>
            <w:gridSpan w:val="2"/>
          </w:tcPr>
          <w:p w14:paraId="634B8D25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4169" w:type="dxa"/>
            <w:gridSpan w:val="7"/>
          </w:tcPr>
          <w:p w14:paraId="6472BBE0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17" w:type="dxa"/>
            <w:vAlign w:val="center"/>
          </w:tcPr>
          <w:p w14:paraId="209E6EBF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0E51E42E" w14:textId="77777777" w:rsidTr="004D646C">
        <w:trPr>
          <w:trHeight w:val="152"/>
        </w:trPr>
        <w:tc>
          <w:tcPr>
            <w:tcW w:w="0" w:type="auto"/>
            <w:gridSpan w:val="2"/>
          </w:tcPr>
          <w:p w14:paraId="442A5319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4169" w:type="dxa"/>
            <w:gridSpan w:val="7"/>
          </w:tcPr>
          <w:p w14:paraId="26C2CE4F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17" w:type="dxa"/>
            <w:vAlign w:val="center"/>
          </w:tcPr>
          <w:p w14:paraId="1A717994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45F683D2" w14:textId="77777777" w:rsidTr="004D646C">
        <w:trPr>
          <w:trHeight w:val="152"/>
        </w:trPr>
        <w:tc>
          <w:tcPr>
            <w:tcW w:w="0" w:type="auto"/>
            <w:gridSpan w:val="2"/>
          </w:tcPr>
          <w:p w14:paraId="76AB8223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4169" w:type="dxa"/>
            <w:gridSpan w:val="7"/>
          </w:tcPr>
          <w:p w14:paraId="2CAC7938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gospodarstvo, zlasti</w:t>
            </w:r>
            <w:r w:rsidRPr="00C56B64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17" w:type="dxa"/>
            <w:vAlign w:val="center"/>
          </w:tcPr>
          <w:p w14:paraId="6FB32099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7C52AB1F" w14:textId="77777777" w:rsidTr="004D646C">
        <w:trPr>
          <w:trHeight w:val="152"/>
        </w:trPr>
        <w:tc>
          <w:tcPr>
            <w:tcW w:w="0" w:type="auto"/>
            <w:gridSpan w:val="2"/>
          </w:tcPr>
          <w:p w14:paraId="1D2BDB0B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4169" w:type="dxa"/>
            <w:gridSpan w:val="7"/>
          </w:tcPr>
          <w:p w14:paraId="367F00F9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56B64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17" w:type="dxa"/>
            <w:vAlign w:val="center"/>
          </w:tcPr>
          <w:p w14:paraId="41553157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73BEE875" w14:textId="77777777" w:rsidTr="004D646C">
        <w:trPr>
          <w:trHeight w:val="152"/>
        </w:trPr>
        <w:tc>
          <w:tcPr>
            <w:tcW w:w="0" w:type="auto"/>
            <w:gridSpan w:val="2"/>
          </w:tcPr>
          <w:p w14:paraId="0A7BC046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4169" w:type="dxa"/>
            <w:gridSpan w:val="7"/>
          </w:tcPr>
          <w:p w14:paraId="488BE238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56B64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17" w:type="dxa"/>
            <w:vAlign w:val="center"/>
          </w:tcPr>
          <w:p w14:paraId="39725F4D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773F7871" w14:textId="77777777" w:rsidTr="004D646C">
        <w:trPr>
          <w:trHeight w:val="152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DE8C863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4169" w:type="dxa"/>
            <w:gridSpan w:val="7"/>
            <w:tcBorders>
              <w:bottom w:val="single" w:sz="4" w:space="0" w:color="auto"/>
            </w:tcBorders>
          </w:tcPr>
          <w:p w14:paraId="665C6FC7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56B64">
              <w:rPr>
                <w:bCs/>
                <w:sz w:val="20"/>
                <w:szCs w:val="20"/>
              </w:rPr>
              <w:t>dokumente razvojnega načrtovanja:</w:t>
            </w:r>
          </w:p>
          <w:p w14:paraId="03392234" w14:textId="77777777" w:rsidR="004C26A6" w:rsidRPr="00C56B64" w:rsidRDefault="004C26A6" w:rsidP="004C26A6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56B64">
              <w:rPr>
                <w:bCs/>
                <w:sz w:val="20"/>
                <w:szCs w:val="20"/>
              </w:rPr>
              <w:t>nacionalne dokumente razvojnega načrtovanja</w:t>
            </w:r>
          </w:p>
          <w:p w14:paraId="41E1D080" w14:textId="77777777" w:rsidR="004C26A6" w:rsidRPr="00C56B64" w:rsidRDefault="004C26A6" w:rsidP="004C26A6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56B64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0F088D68" w14:textId="77777777" w:rsidR="004C26A6" w:rsidRPr="00C56B64" w:rsidRDefault="004C26A6" w:rsidP="004C26A6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56B64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56257D29" w14:textId="77777777" w:rsidR="004C26A6" w:rsidRPr="00C56B64" w:rsidRDefault="004C26A6" w:rsidP="004D646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62E5DF5C" w14:textId="77777777" w:rsidTr="004D646C">
        <w:trPr>
          <w:trHeight w:val="152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C21" w14:textId="77777777" w:rsidR="004C26A6" w:rsidRPr="00C56B64" w:rsidRDefault="004C26A6" w:rsidP="004D646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56B64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66CD092D" w14:textId="77777777" w:rsidR="004C26A6" w:rsidRPr="00C56B64" w:rsidRDefault="004C26A6" w:rsidP="004D646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rFonts w:cs="Arial"/>
                <w:b w:val="0"/>
                <w:bCs/>
                <w:sz w:val="20"/>
                <w:szCs w:val="20"/>
                <w:lang w:val="sl-SI" w:eastAsia="sl-SI"/>
              </w:rPr>
            </w:pPr>
            <w:r w:rsidRPr="00C56B64">
              <w:rPr>
                <w:rFonts w:cs="Arial"/>
                <w:b w:val="0"/>
                <w:bCs/>
                <w:sz w:val="20"/>
                <w:szCs w:val="20"/>
                <w:lang w:val="sl-SI" w:eastAsia="sl-SI"/>
              </w:rPr>
              <w:t>/</w:t>
            </w:r>
          </w:p>
        </w:tc>
      </w:tr>
      <w:tr w:rsidR="004C26A6" w:rsidRPr="00C56B64" w14:paraId="2565A664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B6A85C" w14:textId="77777777" w:rsidR="004C26A6" w:rsidRPr="00C56B64" w:rsidRDefault="004C26A6" w:rsidP="004D646C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C56B64" w:rsidRPr="00C56B64" w14:paraId="0B77277E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36B" w14:textId="77777777" w:rsidR="004C26A6" w:rsidRPr="00C56B64" w:rsidRDefault="004C26A6" w:rsidP="004D646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9896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EBA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666A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944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C56B64" w:rsidRPr="00C56B64" w14:paraId="2050FAFC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D2AE" w14:textId="77777777" w:rsidR="004C26A6" w:rsidRPr="00C56B64" w:rsidRDefault="004C26A6" w:rsidP="004D646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6B6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C56B6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56B64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491C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039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EBB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7DF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C56B64" w:rsidRPr="00C56B64" w14:paraId="079A7180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4846" w14:textId="77777777" w:rsidR="004C26A6" w:rsidRPr="00C56B64" w:rsidRDefault="004C26A6" w:rsidP="004D646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6B6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C56B6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56B64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26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2DAF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36B1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ECE9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C56B64" w:rsidRPr="00C56B64" w14:paraId="5C3C01AD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095" w14:textId="77777777" w:rsidR="004C26A6" w:rsidRPr="00C56B64" w:rsidRDefault="004C26A6" w:rsidP="004D646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6B6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C56B6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56B64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01B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F578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D622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DFB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B64" w:rsidRPr="00C56B64" w14:paraId="3B010A47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2C3C" w14:textId="77777777" w:rsidR="004C26A6" w:rsidRPr="00C56B64" w:rsidRDefault="004C26A6" w:rsidP="004D646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6B6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C56B6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56B64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9DE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99A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527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2974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B64" w:rsidRPr="00C56B64" w14:paraId="40D92BD9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60B" w14:textId="77777777" w:rsidR="004C26A6" w:rsidRPr="00C56B64" w:rsidRDefault="004C26A6" w:rsidP="004D646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6B6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C56B6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56B64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6C13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B10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FE3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098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4C26A6" w:rsidRPr="00C56B64" w14:paraId="0A8424E9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73FB7F" w14:textId="77777777" w:rsidR="004C26A6" w:rsidRPr="00C56B64" w:rsidRDefault="004C26A6" w:rsidP="004D646C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4C26A6" w:rsidRPr="00C56B64" w14:paraId="39BE7A14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88B618" w14:textId="77777777" w:rsidR="004C26A6" w:rsidRPr="00C56B64" w:rsidRDefault="004C26A6" w:rsidP="004D646C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4C26A6" w:rsidRPr="00C56B64" w14:paraId="76DD2805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366B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88F4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C990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79BE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575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C26A6" w:rsidRPr="00C56B64" w14:paraId="71CF6465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54506" w14:textId="77777777" w:rsidR="004C26A6" w:rsidRPr="00C56B64" w:rsidRDefault="004C26A6" w:rsidP="004D646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6B64">
              <w:rPr>
                <w:rFonts w:ascii="Arial" w:hAnsi="Arial" w:cs="Arial"/>
                <w:color w:val="000000"/>
                <w:sz w:val="20"/>
                <w:szCs w:val="20"/>
              </w:rPr>
              <w:t>2560 Ministrstvo za naravne vire in prostor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BEBC" w14:textId="77777777" w:rsidR="004C26A6" w:rsidRPr="00C56B64" w:rsidRDefault="004C26A6" w:rsidP="004D646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2560-23-0001 – Materialni stroški  - narava, prostor rudarstvo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1E0B" w14:textId="77777777" w:rsidR="004C26A6" w:rsidRPr="00C56B64" w:rsidRDefault="004C26A6" w:rsidP="004D646C">
            <w:pPr>
              <w:rPr>
                <w:rFonts w:ascii="Arial" w:hAnsi="Arial" w:cs="Arial"/>
                <w:iCs/>
                <w:color w:val="FF0000"/>
                <w:sz w:val="20"/>
                <w:szCs w:val="20"/>
                <w:highlight w:val="yellow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230073 – Finančni nadzor rudarskih odločb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46DA2" w14:textId="77777777" w:rsidR="004C26A6" w:rsidRPr="00C56B64" w:rsidRDefault="004C26A6" w:rsidP="004D64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B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E870A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0</w:t>
            </w:r>
          </w:p>
        </w:tc>
      </w:tr>
      <w:tr w:rsidR="004C26A6" w:rsidRPr="00C56B64" w14:paraId="07579702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67C2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B10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49A2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4C26A6" w:rsidRPr="00C56B64" w14:paraId="751F3F46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48E252" w14:textId="77777777" w:rsidR="004C26A6" w:rsidRPr="00C56B64" w:rsidRDefault="004C26A6" w:rsidP="004D646C">
            <w:pPr>
              <w:widowControl w:val="0"/>
              <w:tabs>
                <w:tab w:val="left" w:pos="234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4C26A6" w:rsidRPr="00C56B64" w14:paraId="3EED344C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851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6E0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1C35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867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EBD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C26A6" w:rsidRPr="00C56B64" w14:paraId="5076FA74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2712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2560 Ministrstvo za naravne vire in prostor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0F5" w14:textId="77777777" w:rsidR="00460641" w:rsidRPr="00460641" w:rsidRDefault="00460641" w:rsidP="0046064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41">
              <w:rPr>
                <w:rFonts w:ascii="Arial" w:hAnsi="Arial" w:cs="Arial"/>
                <w:sz w:val="20"/>
                <w:szCs w:val="20"/>
              </w:rPr>
              <w:t>2430-17-0013</w:t>
            </w:r>
          </w:p>
          <w:p w14:paraId="6073A0C0" w14:textId="3E2230F4" w:rsidR="004C26A6" w:rsidRPr="00C56B64" w:rsidRDefault="00460641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41">
              <w:rPr>
                <w:rFonts w:ascii="Arial" w:hAnsi="Arial" w:cs="Arial"/>
                <w:sz w:val="20"/>
                <w:szCs w:val="20"/>
              </w:rPr>
              <w:t>Financiranje rudarske javne službe in sofinanciranje Geološkega zavoda Republike Slovenije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CF7" w14:textId="293BA196" w:rsidR="004C26A6" w:rsidRPr="00C56B64" w:rsidRDefault="00751A66" w:rsidP="004D646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bidi="en-US"/>
              </w:rPr>
              <w:t>231735 Sofinanciranje dejavnosti Nacionalnega geološkega zavoda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A0E" w14:textId="63E3B67C" w:rsidR="004C26A6" w:rsidRPr="00C56B64" w:rsidRDefault="00460641" w:rsidP="004D646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  <w:r w:rsidR="004C26A6" w:rsidRPr="00C56B64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FB42" w14:textId="77777777" w:rsidR="004C26A6" w:rsidRPr="00C56B64" w:rsidRDefault="004C26A6" w:rsidP="004D646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C26A6" w:rsidRPr="00C56B64" w14:paraId="7EF929C2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0822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1F1" w14:textId="7F7555C1" w:rsidR="004C26A6" w:rsidRPr="00C56B64" w:rsidRDefault="004C26A6" w:rsidP="004D646C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  <w:t>‬</w:t>
            </w:r>
            <w:r w:rsidR="00460641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20.000</w:t>
            </w:r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,00 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927B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C26A6" w:rsidRPr="00C56B64" w14:paraId="73DC41B6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C3F6B5" w14:textId="77777777" w:rsidR="004C26A6" w:rsidRPr="00C56B64" w:rsidRDefault="004C26A6" w:rsidP="004D646C">
            <w:pPr>
              <w:widowControl w:val="0"/>
              <w:tabs>
                <w:tab w:val="left" w:pos="234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4C26A6" w:rsidRPr="00C56B64" w14:paraId="2A8D25D4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D9A7" w14:textId="77777777" w:rsidR="004C26A6" w:rsidRPr="00C56B64" w:rsidRDefault="004C26A6" w:rsidP="004D646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C34C" w14:textId="77777777" w:rsidR="004C26A6" w:rsidRPr="00C56B64" w:rsidRDefault="004C26A6" w:rsidP="004D646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F61A" w14:textId="77777777" w:rsidR="004C26A6" w:rsidRPr="00C56B64" w:rsidRDefault="004C26A6" w:rsidP="004D646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C26A6" w:rsidRPr="00C56B64" w14:paraId="3D917E5D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FC74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97BA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8D23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C26A6" w:rsidRPr="00C56B64" w14:paraId="238B6C7E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7900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A5DB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686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C26A6" w:rsidRPr="00C56B64" w14:paraId="03AD56C2" w14:textId="77777777" w:rsidTr="004D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EE3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E63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603A" w14:textId="77777777" w:rsidR="004C26A6" w:rsidRPr="00C56B64" w:rsidRDefault="004C26A6" w:rsidP="004D646C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4C26A6" w:rsidRPr="00C56B64" w14:paraId="3F7BD5F9" w14:textId="77777777" w:rsidTr="004D646C">
        <w:trPr>
          <w:trHeight w:val="2017"/>
        </w:trPr>
        <w:tc>
          <w:tcPr>
            <w:tcW w:w="0" w:type="auto"/>
            <w:gridSpan w:val="10"/>
          </w:tcPr>
          <w:p w14:paraId="2BE6011B" w14:textId="77777777" w:rsidR="004C26A6" w:rsidRPr="00C56B64" w:rsidRDefault="004C26A6" w:rsidP="004D646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53E3A" w14:textId="77777777" w:rsidR="004C26A6" w:rsidRPr="00C56B64" w:rsidRDefault="004C26A6" w:rsidP="004D646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56B64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76F1139B" w14:textId="77777777" w:rsidR="004C26A6" w:rsidRPr="00C56B64" w:rsidRDefault="004C26A6" w:rsidP="004C26A6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198A07AA" w14:textId="77777777" w:rsidR="004C26A6" w:rsidRPr="00C56B64" w:rsidRDefault="004C26A6" w:rsidP="004D646C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5F54BD07" w14:textId="77777777" w:rsidR="004C26A6" w:rsidRPr="00C56B64" w:rsidRDefault="004C26A6" w:rsidP="004C26A6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50E49F31" w14:textId="77777777" w:rsidR="004C26A6" w:rsidRPr="00C56B64" w:rsidRDefault="004C26A6" w:rsidP="004C26A6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6DBBF8FC" w14:textId="77777777" w:rsidR="004C26A6" w:rsidRPr="00C56B64" w:rsidRDefault="004C26A6" w:rsidP="004C26A6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5F4BC1BF" w14:textId="77777777" w:rsidR="004C26A6" w:rsidRPr="00C56B64" w:rsidRDefault="004C26A6" w:rsidP="004D646C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854B34B" w14:textId="77777777" w:rsidR="004C26A6" w:rsidRPr="00C56B64" w:rsidRDefault="004C26A6" w:rsidP="004C26A6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46F4E90" w14:textId="77777777" w:rsidR="004C26A6" w:rsidRPr="00C56B64" w:rsidRDefault="004C26A6" w:rsidP="004D646C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D25D024" w14:textId="77777777" w:rsidR="004C26A6" w:rsidRPr="00C56B64" w:rsidRDefault="004C26A6" w:rsidP="004D646C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C56B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C56B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4EAEC926" w14:textId="77777777" w:rsidR="004C26A6" w:rsidRPr="00C56B64" w:rsidRDefault="004C26A6" w:rsidP="004D646C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22678901" w14:textId="77777777" w:rsidR="004C26A6" w:rsidRPr="00C56B64" w:rsidRDefault="004C26A6" w:rsidP="004C26A6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78FFA8CD" w14:textId="77777777" w:rsidR="004C26A6" w:rsidRPr="00C56B64" w:rsidRDefault="004C26A6" w:rsidP="004C26A6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02FBBE95" w14:textId="77777777" w:rsidR="004C26A6" w:rsidRPr="00C56B64" w:rsidRDefault="004C26A6" w:rsidP="004C26A6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ECB0238" w14:textId="77777777" w:rsidR="004C26A6" w:rsidRPr="00C56B64" w:rsidRDefault="004C26A6" w:rsidP="004D646C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</w:t>
            </w: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 xml:space="preserve">ukrep, je treba izpolniti tudi točko </w:t>
            </w:r>
            <w:proofErr w:type="spellStart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1D20D8A5" w14:textId="77777777" w:rsidR="004C26A6" w:rsidRPr="00C56B64" w:rsidRDefault="004C26A6" w:rsidP="004D646C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C56B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C56B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1023E233" w14:textId="77777777" w:rsidR="004C26A6" w:rsidRPr="00C56B64" w:rsidRDefault="004C26A6" w:rsidP="004D646C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4BA9711B" w14:textId="77777777" w:rsidR="004C26A6" w:rsidRPr="00C56B64" w:rsidRDefault="004C26A6" w:rsidP="004D646C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C56B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C56B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E64E396" w14:textId="77777777" w:rsidR="004C26A6" w:rsidRPr="00C56B64" w:rsidRDefault="004C26A6" w:rsidP="004D646C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4C26A6" w:rsidRPr="00C56B64" w14:paraId="31D6190E" w14:textId="77777777" w:rsidTr="004D646C">
        <w:trPr>
          <w:trHeight w:val="552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B31" w14:textId="77777777" w:rsidR="004C26A6" w:rsidRPr="00C56B64" w:rsidRDefault="004C26A6" w:rsidP="004D64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B64">
              <w:rPr>
                <w:rFonts w:ascii="Arial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1B9EB017" w14:textId="7C8B0D37" w:rsidR="004C26A6" w:rsidRPr="00C56B64" w:rsidRDefault="004C26A6" w:rsidP="004D64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Finančni nadzor rudarskih odločb se ocenjuje finančne posledice v </w:t>
            </w:r>
            <w:r w:rsidR="00956D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okvirni </w:t>
            </w: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višini </w:t>
            </w:r>
            <w:r w:rsidR="00460641">
              <w:rPr>
                <w:rFonts w:ascii="Arial" w:hAnsi="Arial" w:cs="Arial"/>
                <w:sz w:val="20"/>
                <w:szCs w:val="20"/>
                <w:lang w:eastAsia="sl-SI"/>
              </w:rPr>
              <w:t>20.000</w:t>
            </w: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,00 EUR na letni ravni</w:t>
            </w:r>
            <w:r w:rsidR="00956D79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Pravice porabe na proračunski postavk</w:t>
            </w:r>
            <w:r w:rsidR="00956D79">
              <w:rPr>
                <w:rFonts w:ascii="Arial" w:hAnsi="Arial" w:cs="Arial"/>
                <w:sz w:val="20"/>
                <w:szCs w:val="20"/>
                <w:lang w:eastAsia="sl-SI"/>
              </w:rPr>
              <w:t>i</w:t>
            </w: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se bodo </w:t>
            </w:r>
            <w:r w:rsidRPr="00013A69">
              <w:rPr>
                <w:rFonts w:ascii="Arial" w:hAnsi="Arial" w:cs="Arial"/>
                <w:sz w:val="20"/>
                <w:szCs w:val="20"/>
                <w:lang w:eastAsia="sl-SI"/>
              </w:rPr>
              <w:t xml:space="preserve">skladno s </w:t>
            </w:r>
            <w:r w:rsidR="00460641" w:rsidRPr="00013A69">
              <w:rPr>
                <w:rFonts w:ascii="Arial" w:hAnsi="Arial" w:cs="Arial"/>
                <w:sz w:val="20"/>
                <w:szCs w:val="20"/>
                <w:lang w:eastAsia="sl-SI"/>
              </w:rPr>
              <w:t>24</w:t>
            </w:r>
            <w:r w:rsidRPr="00013A69">
              <w:rPr>
                <w:rFonts w:ascii="Arial" w:hAnsi="Arial" w:cs="Arial"/>
                <w:sz w:val="20"/>
                <w:szCs w:val="20"/>
                <w:lang w:eastAsia="sl-SI"/>
              </w:rPr>
              <w:t>. členom ZIPRS2</w:t>
            </w:r>
            <w:r w:rsidR="00460641" w:rsidRPr="00013A69"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  <w:r w:rsidRPr="00013A69"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  <w:r w:rsidR="00460641" w:rsidRPr="00013A69">
              <w:rPr>
                <w:rFonts w:ascii="Arial" w:hAnsi="Arial" w:cs="Arial"/>
                <w:sz w:val="20"/>
                <w:szCs w:val="20"/>
                <w:lang w:eastAsia="sl-SI"/>
              </w:rPr>
              <w:t>6</w:t>
            </w:r>
            <w:r w:rsidRPr="00013A6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zagotovile s prerazporeditvijo sredstev v okviru finančnega načrta Ministrstva za naravne vire in prostor in sicer iz proračunske postavke </w:t>
            </w:r>
            <w:r w:rsidR="00D9094D" w:rsidRPr="00C56B64">
              <w:rPr>
                <w:rFonts w:ascii="Arial" w:hAnsi="Arial" w:cs="Arial"/>
                <w:sz w:val="20"/>
                <w:szCs w:val="20"/>
                <w:lang w:bidi="en-US"/>
              </w:rPr>
              <w:t>231735 Sofinanciranje dejavnosti Nacionalnega geološkega zavoda</w:t>
            </w:r>
            <w:r w:rsidRPr="00C56B64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4C26A6" w:rsidRPr="00C56B64" w14:paraId="7DC8BB68" w14:textId="77777777" w:rsidTr="004D646C">
        <w:trPr>
          <w:trHeight w:val="392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F87C" w14:textId="77777777" w:rsidR="004C26A6" w:rsidRPr="00C56B64" w:rsidRDefault="004C26A6" w:rsidP="004D64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B64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4C26A6" w:rsidRPr="00C56B64" w14:paraId="6862A80E" w14:textId="77777777" w:rsidTr="004D646C">
        <w:trPr>
          <w:trHeight w:val="152"/>
        </w:trPr>
        <w:tc>
          <w:tcPr>
            <w:tcW w:w="0" w:type="auto"/>
            <w:gridSpan w:val="8"/>
          </w:tcPr>
          <w:p w14:paraId="18CA897B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2D090189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pristojnosti občin,</w:t>
            </w:r>
          </w:p>
          <w:p w14:paraId="4D8CB40B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delovanje občin,</w:t>
            </w:r>
          </w:p>
          <w:p w14:paraId="29E3EA95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0" w:type="auto"/>
            <w:gridSpan w:val="2"/>
          </w:tcPr>
          <w:p w14:paraId="27AB0EC7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4D05A0CC" w14:textId="77777777" w:rsidTr="004D646C">
        <w:trPr>
          <w:trHeight w:val="289"/>
        </w:trPr>
        <w:tc>
          <w:tcPr>
            <w:tcW w:w="0" w:type="auto"/>
            <w:gridSpan w:val="10"/>
          </w:tcPr>
          <w:p w14:paraId="2BD61108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4E58219E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Skupnosti občin Slovenije SOS: DA/NE</w:t>
            </w:r>
          </w:p>
          <w:p w14:paraId="260E8FB4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Združenju občin Slovenije ZOS: DA/NE</w:t>
            </w:r>
          </w:p>
          <w:p w14:paraId="17ABB60C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Združenju mestnih občin Slovenije ZMOS: DA/NE</w:t>
            </w:r>
          </w:p>
          <w:p w14:paraId="3173B30B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EA867D1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5DA386F4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v celoti,</w:t>
            </w:r>
          </w:p>
          <w:p w14:paraId="657D2A29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večinoma,</w:t>
            </w:r>
          </w:p>
          <w:p w14:paraId="0DC759D7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delno,</w:t>
            </w:r>
          </w:p>
          <w:p w14:paraId="33CE32A5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niso bili upoštevani.</w:t>
            </w:r>
          </w:p>
          <w:p w14:paraId="0879BDDC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41755333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Bistveni predlogi in pripombe, ki niso bili upoštevani.</w:t>
            </w:r>
          </w:p>
        </w:tc>
      </w:tr>
      <w:tr w:rsidR="004C26A6" w:rsidRPr="00C56B64" w14:paraId="6AB48E59" w14:textId="77777777" w:rsidTr="004D646C">
        <w:trPr>
          <w:trHeight w:val="152"/>
        </w:trPr>
        <w:tc>
          <w:tcPr>
            <w:tcW w:w="0" w:type="auto"/>
            <w:gridSpan w:val="10"/>
            <w:vAlign w:val="center"/>
          </w:tcPr>
          <w:p w14:paraId="6BF680B5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C56B64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4C26A6" w:rsidRPr="00C56B64" w14:paraId="548D23BC" w14:textId="77777777" w:rsidTr="004D646C">
        <w:trPr>
          <w:trHeight w:val="152"/>
        </w:trPr>
        <w:tc>
          <w:tcPr>
            <w:tcW w:w="0" w:type="auto"/>
            <w:gridSpan w:val="8"/>
          </w:tcPr>
          <w:p w14:paraId="2BC5CA12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0" w:type="auto"/>
            <w:gridSpan w:val="2"/>
          </w:tcPr>
          <w:p w14:paraId="5DE5D0EE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43B28BCF" w14:textId="77777777" w:rsidTr="004D646C">
        <w:trPr>
          <w:trHeight w:val="152"/>
        </w:trPr>
        <w:tc>
          <w:tcPr>
            <w:tcW w:w="0" w:type="auto"/>
            <w:gridSpan w:val="10"/>
          </w:tcPr>
          <w:p w14:paraId="45A0C501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4C26A6" w:rsidRPr="00C56B64" w14:paraId="5696F0E1" w14:textId="77777777" w:rsidTr="004D646C">
        <w:trPr>
          <w:trHeight w:val="152"/>
        </w:trPr>
        <w:tc>
          <w:tcPr>
            <w:tcW w:w="0" w:type="auto"/>
            <w:gridSpan w:val="10"/>
          </w:tcPr>
          <w:p w14:paraId="33AA52E0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(Če je odgovor DA, navedite:</w:t>
            </w:r>
          </w:p>
          <w:p w14:paraId="283A2A93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Datum objave: ………</w:t>
            </w:r>
          </w:p>
          <w:p w14:paraId="5A802304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00CC3396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 xml:space="preserve">nevladne organizacije, </w:t>
            </w:r>
          </w:p>
          <w:p w14:paraId="34E3C0E2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predstavniki zainteresirane javnosti,</w:t>
            </w:r>
          </w:p>
          <w:p w14:paraId="206B6B35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predstavniki strokovne javnosti.</w:t>
            </w:r>
          </w:p>
          <w:p w14:paraId="53FC8BB5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.</w:t>
            </w:r>
          </w:p>
          <w:p w14:paraId="1A8890D6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lastRenderedPageBreak/>
              <w:t xml:space="preserve">Mnenja, predlogi in pripombe z navedbo predlagateljev </w:t>
            </w:r>
            <w:r w:rsidRPr="00C56B64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C56B64">
              <w:rPr>
                <w:iCs/>
                <w:sz w:val="20"/>
                <w:szCs w:val="20"/>
              </w:rPr>
              <w:t>):</w:t>
            </w:r>
          </w:p>
          <w:p w14:paraId="04291718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767B3C9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Upoštevani so bili:</w:t>
            </w:r>
          </w:p>
          <w:p w14:paraId="2068E51D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v celoti,</w:t>
            </w:r>
          </w:p>
          <w:p w14:paraId="732A3AC3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večinoma,</w:t>
            </w:r>
          </w:p>
          <w:p w14:paraId="361D31A4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delno,</w:t>
            </w:r>
          </w:p>
          <w:p w14:paraId="19064283" w14:textId="77777777" w:rsidR="004C26A6" w:rsidRPr="00C56B64" w:rsidRDefault="004C26A6" w:rsidP="004C26A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niso bili upoštevani.</w:t>
            </w:r>
          </w:p>
          <w:p w14:paraId="20325E94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7631614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3F52CD97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6A5E8E7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Poročilo je bilo dano ……………..</w:t>
            </w:r>
          </w:p>
          <w:p w14:paraId="05E4D7F6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73DBD61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56B64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</w:tc>
      </w:tr>
      <w:tr w:rsidR="004C26A6" w:rsidRPr="00C56B64" w14:paraId="3FD65E89" w14:textId="77777777" w:rsidTr="004D646C">
        <w:trPr>
          <w:trHeight w:val="152"/>
        </w:trPr>
        <w:tc>
          <w:tcPr>
            <w:tcW w:w="0" w:type="auto"/>
            <w:gridSpan w:val="8"/>
            <w:vAlign w:val="center"/>
          </w:tcPr>
          <w:p w14:paraId="77A3BBE1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56B64">
              <w:rPr>
                <w:b/>
                <w:sz w:val="20"/>
                <w:szCs w:val="20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0" w:type="auto"/>
            <w:gridSpan w:val="2"/>
            <w:vAlign w:val="center"/>
          </w:tcPr>
          <w:p w14:paraId="5F6BA644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10F39E8A" w14:textId="77777777" w:rsidTr="004D646C">
        <w:trPr>
          <w:trHeight w:val="152"/>
        </w:trPr>
        <w:tc>
          <w:tcPr>
            <w:tcW w:w="0" w:type="auto"/>
            <w:gridSpan w:val="8"/>
            <w:vAlign w:val="center"/>
          </w:tcPr>
          <w:p w14:paraId="1DF593D3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C56B64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0" w:type="auto"/>
            <w:gridSpan w:val="2"/>
            <w:vAlign w:val="center"/>
          </w:tcPr>
          <w:p w14:paraId="7134C843" w14:textId="77777777" w:rsidR="004C26A6" w:rsidRPr="00C56B64" w:rsidRDefault="004C26A6" w:rsidP="004D646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>NE</w:t>
            </w:r>
          </w:p>
        </w:tc>
      </w:tr>
      <w:tr w:rsidR="004C26A6" w:rsidRPr="00C56B64" w14:paraId="39441F79" w14:textId="77777777" w:rsidTr="004D646C">
        <w:trPr>
          <w:trHeight w:val="152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D2B2" w14:textId="77777777" w:rsidR="004C26A6" w:rsidRPr="00C56B64" w:rsidRDefault="004C26A6" w:rsidP="004D646C">
            <w:pPr>
              <w:pStyle w:val="Poglavje"/>
              <w:widowControl w:val="0"/>
              <w:tabs>
                <w:tab w:val="center" w:pos="6088"/>
              </w:tabs>
              <w:jc w:val="left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ab/>
              <w:t>mag. Saša Jazbec</w:t>
            </w:r>
          </w:p>
          <w:p w14:paraId="7940EA33" w14:textId="77777777" w:rsidR="004C26A6" w:rsidRPr="00C56B64" w:rsidRDefault="004C26A6" w:rsidP="004D646C">
            <w:pPr>
              <w:pStyle w:val="Poglavje"/>
              <w:widowControl w:val="0"/>
              <w:tabs>
                <w:tab w:val="center" w:pos="6088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56B64">
              <w:rPr>
                <w:sz w:val="20"/>
                <w:szCs w:val="20"/>
              </w:rPr>
              <w:tab/>
              <w:t>državna sekretarka</w:t>
            </w:r>
          </w:p>
          <w:p w14:paraId="4A65AA53" w14:textId="77777777" w:rsidR="004C26A6" w:rsidRPr="00C56B64" w:rsidRDefault="004C26A6" w:rsidP="004D646C">
            <w:pPr>
              <w:pStyle w:val="Poglavje"/>
              <w:widowControl w:val="0"/>
              <w:tabs>
                <w:tab w:val="center" w:pos="6371"/>
              </w:tabs>
              <w:spacing w:before="0" w:after="0" w:line="260" w:lineRule="exact"/>
              <w:ind w:left="-150"/>
              <w:rPr>
                <w:sz w:val="20"/>
                <w:szCs w:val="20"/>
              </w:rPr>
            </w:pPr>
          </w:p>
        </w:tc>
      </w:tr>
    </w:tbl>
    <w:p w14:paraId="05783F53" w14:textId="77777777" w:rsidR="004C26A6" w:rsidRPr="000C7B1F" w:rsidRDefault="004C26A6" w:rsidP="004C26A6">
      <w:pPr>
        <w:keepLines/>
        <w:framePr w:w="9962" w:wrap="auto" w:hAnchor="text" w:x="1300"/>
        <w:rPr>
          <w:rFonts w:cs="Arial"/>
          <w:szCs w:val="20"/>
        </w:rPr>
        <w:sectPr w:rsidR="004C26A6" w:rsidRPr="000C7B1F" w:rsidSect="004C26A6">
          <w:headerReference w:type="default" r:id="rId13"/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712208E0" w14:textId="77777777" w:rsidR="004C26A6" w:rsidRPr="00D9094D" w:rsidRDefault="004C26A6" w:rsidP="004C26A6">
      <w:pPr>
        <w:ind w:left="7788"/>
        <w:jc w:val="right"/>
        <w:rPr>
          <w:rFonts w:ascii="Arial" w:hAnsi="Arial" w:cs="Arial"/>
          <w:b/>
          <w:sz w:val="20"/>
          <w:szCs w:val="20"/>
        </w:rPr>
      </w:pPr>
      <w:r w:rsidRPr="00D9094D">
        <w:rPr>
          <w:rFonts w:ascii="Arial" w:hAnsi="Arial" w:cs="Arial"/>
          <w:b/>
          <w:bCs/>
          <w:sz w:val="20"/>
          <w:szCs w:val="20"/>
        </w:rPr>
        <w:lastRenderedPageBreak/>
        <w:tab/>
      </w:r>
      <w:r w:rsidRPr="00D9094D">
        <w:rPr>
          <w:rFonts w:ascii="Arial" w:hAnsi="Arial" w:cs="Arial"/>
          <w:b/>
          <w:sz w:val="20"/>
          <w:szCs w:val="20"/>
        </w:rPr>
        <w:t>PREDLOG</w:t>
      </w:r>
    </w:p>
    <w:p w14:paraId="41BB5C48" w14:textId="77777777" w:rsidR="004C26A6" w:rsidRPr="00D9094D" w:rsidRDefault="004C26A6" w:rsidP="004C26A6">
      <w:pPr>
        <w:ind w:left="7788"/>
        <w:jc w:val="right"/>
        <w:rPr>
          <w:rFonts w:ascii="Arial" w:hAnsi="Arial" w:cs="Arial"/>
          <w:b/>
          <w:sz w:val="20"/>
          <w:szCs w:val="20"/>
        </w:rPr>
      </w:pPr>
    </w:p>
    <w:p w14:paraId="4BD00701" w14:textId="7D86EC92" w:rsidR="004C26A6" w:rsidRPr="00D9094D" w:rsidRDefault="004C26A6" w:rsidP="004C26A6">
      <w:pPr>
        <w:pStyle w:val="podpisi"/>
        <w:jc w:val="both"/>
        <w:rPr>
          <w:rFonts w:cs="Arial"/>
          <w:szCs w:val="20"/>
          <w:lang w:val="sl-SI" w:bidi="en-US"/>
        </w:rPr>
      </w:pPr>
      <w:r w:rsidRPr="00D9094D">
        <w:rPr>
          <w:rFonts w:cs="Arial"/>
          <w:szCs w:val="20"/>
          <w:lang w:val="sl-SI" w:bidi="en-US"/>
        </w:rPr>
        <w:t>Vlada Republike Slovenije je na podlagi 10. Zakona o izvrševanju proračunov Republike Slovenije za leti 202</w:t>
      </w:r>
      <w:r w:rsidR="00FA7383">
        <w:rPr>
          <w:rFonts w:cs="Arial"/>
          <w:szCs w:val="20"/>
          <w:lang w:val="sl-SI" w:bidi="en-US"/>
        </w:rPr>
        <w:t>5</w:t>
      </w:r>
      <w:r w:rsidRPr="00D9094D">
        <w:rPr>
          <w:rFonts w:cs="Arial"/>
          <w:szCs w:val="20"/>
          <w:lang w:val="sl-SI" w:bidi="en-US"/>
        </w:rPr>
        <w:t xml:space="preserve"> in 202</w:t>
      </w:r>
      <w:r w:rsidR="00FA7383">
        <w:rPr>
          <w:rFonts w:cs="Arial"/>
          <w:szCs w:val="20"/>
          <w:lang w:val="sl-SI" w:bidi="en-US"/>
        </w:rPr>
        <w:t>6</w:t>
      </w:r>
      <w:r w:rsidRPr="00D9094D">
        <w:rPr>
          <w:rFonts w:cs="Arial"/>
          <w:szCs w:val="20"/>
          <w:lang w:val="sl-SI" w:bidi="en-US"/>
        </w:rPr>
        <w:t xml:space="preserve"> </w:t>
      </w:r>
      <w:r w:rsidR="00FA7383" w:rsidRPr="00C56B64">
        <w:rPr>
          <w:rFonts w:cs="Arial"/>
          <w:szCs w:val="20"/>
          <w:lang w:val="sl-SI" w:bidi="en-US"/>
        </w:rPr>
        <w:t xml:space="preserve">(Uradni list RS, št. 104/24) </w:t>
      </w:r>
      <w:r w:rsidRPr="00D9094D">
        <w:rPr>
          <w:rFonts w:cs="Arial"/>
          <w:szCs w:val="20"/>
          <w:lang w:val="sl-SI" w:bidi="en-US"/>
        </w:rPr>
        <w:t>na seji......., dne......... sprejela naslednji</w:t>
      </w:r>
    </w:p>
    <w:p w14:paraId="06A98AD5" w14:textId="77777777" w:rsidR="004C26A6" w:rsidRPr="00D9094D" w:rsidRDefault="004C26A6" w:rsidP="004C26A6">
      <w:pPr>
        <w:pStyle w:val="podpisi"/>
        <w:jc w:val="both"/>
        <w:rPr>
          <w:rFonts w:cs="Arial"/>
          <w:szCs w:val="20"/>
          <w:lang w:val="sl-SI" w:bidi="en-US"/>
        </w:rPr>
      </w:pPr>
    </w:p>
    <w:p w14:paraId="313FBC36" w14:textId="77777777" w:rsidR="004C26A6" w:rsidRPr="00D9094D" w:rsidRDefault="004C26A6" w:rsidP="004C26A6">
      <w:pPr>
        <w:pStyle w:val="podpisi"/>
        <w:jc w:val="center"/>
        <w:rPr>
          <w:rFonts w:cs="Arial"/>
          <w:szCs w:val="20"/>
          <w:lang w:val="sl-SI" w:bidi="en-US"/>
        </w:rPr>
      </w:pPr>
      <w:r w:rsidRPr="00D9094D">
        <w:rPr>
          <w:rFonts w:cs="Arial"/>
          <w:szCs w:val="20"/>
          <w:lang w:val="sl-SI" w:bidi="en-US"/>
        </w:rPr>
        <w:t>SKLEP</w:t>
      </w:r>
    </w:p>
    <w:p w14:paraId="75242B3F" w14:textId="77777777" w:rsidR="004C26A6" w:rsidRPr="00D9094D" w:rsidRDefault="004C26A6" w:rsidP="004C26A6">
      <w:pPr>
        <w:pStyle w:val="podpisi"/>
        <w:jc w:val="both"/>
        <w:rPr>
          <w:rFonts w:cs="Arial"/>
          <w:szCs w:val="20"/>
          <w:lang w:val="sl-SI" w:bidi="en-US"/>
        </w:rPr>
      </w:pPr>
    </w:p>
    <w:p w14:paraId="079C029B" w14:textId="5E5F54DA" w:rsidR="004C26A6" w:rsidRPr="00D9094D" w:rsidRDefault="004C26A6" w:rsidP="004C26A6">
      <w:pPr>
        <w:pStyle w:val="podpisi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Arial"/>
          <w:szCs w:val="20"/>
          <w:lang w:val="sl-SI" w:bidi="en-US"/>
        </w:rPr>
      </w:pPr>
      <w:r w:rsidRPr="00D9094D">
        <w:rPr>
          <w:rFonts w:cs="Arial"/>
          <w:szCs w:val="20"/>
          <w:lang w:val="sl-SI" w:bidi="en-US"/>
        </w:rPr>
        <w:t>Pri proračunskemu uporabniku 2560 Ministrstvo za naravne vire in prostor se v okviru glavnega programa 1201 - Urejanje sistema in podporne dejavnosti na področju energetike in podprograma 120101 - Urejanje in razvoj na področju energetike odpre proračunska postavka:</w:t>
      </w:r>
    </w:p>
    <w:p w14:paraId="071CAB62" w14:textId="77777777" w:rsidR="004C26A6" w:rsidRPr="00D9094D" w:rsidRDefault="004C26A6" w:rsidP="004C26A6">
      <w:pPr>
        <w:pStyle w:val="podpisi"/>
        <w:tabs>
          <w:tab w:val="left" w:pos="284"/>
        </w:tabs>
        <w:ind w:left="284"/>
        <w:jc w:val="both"/>
        <w:rPr>
          <w:rFonts w:cs="Arial"/>
          <w:szCs w:val="20"/>
          <w:lang w:val="sl-SI" w:bidi="en-US"/>
        </w:rPr>
      </w:pPr>
    </w:p>
    <w:p w14:paraId="71E7957B" w14:textId="77777777" w:rsidR="004C26A6" w:rsidRPr="00D9094D" w:rsidRDefault="004C26A6" w:rsidP="004C26A6">
      <w:pPr>
        <w:pStyle w:val="podpisi"/>
        <w:numPr>
          <w:ilvl w:val="0"/>
          <w:numId w:val="15"/>
        </w:numPr>
        <w:tabs>
          <w:tab w:val="clear" w:pos="3402"/>
          <w:tab w:val="left" w:pos="426"/>
        </w:tabs>
        <w:jc w:val="both"/>
        <w:rPr>
          <w:rFonts w:cs="Arial"/>
          <w:szCs w:val="20"/>
          <w:lang w:val="sl-SI" w:bidi="en-US"/>
        </w:rPr>
      </w:pPr>
      <w:r w:rsidRPr="00D9094D">
        <w:rPr>
          <w:rFonts w:cs="Arial"/>
          <w:szCs w:val="20"/>
          <w:lang w:val="sl-SI" w:bidi="en-US"/>
        </w:rPr>
        <w:t>230073 – Finančni nadzor rudarskih odločb</w:t>
      </w:r>
    </w:p>
    <w:p w14:paraId="5C5E8971" w14:textId="77777777" w:rsidR="004C26A6" w:rsidRPr="00D9094D" w:rsidRDefault="004C26A6" w:rsidP="004C26A6">
      <w:pPr>
        <w:pStyle w:val="podpisi"/>
        <w:jc w:val="both"/>
        <w:rPr>
          <w:rFonts w:cs="Arial"/>
          <w:szCs w:val="20"/>
          <w:lang w:val="sl-SI" w:bidi="en-US"/>
        </w:rPr>
      </w:pPr>
    </w:p>
    <w:p w14:paraId="31CB9456" w14:textId="304A7C44" w:rsidR="004C26A6" w:rsidRPr="00D9094D" w:rsidRDefault="004C26A6" w:rsidP="004C26A6">
      <w:pPr>
        <w:pStyle w:val="podpisi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Arial"/>
          <w:szCs w:val="20"/>
          <w:lang w:val="sl-SI" w:bidi="en-US"/>
        </w:rPr>
      </w:pPr>
      <w:r w:rsidRPr="00D9094D">
        <w:rPr>
          <w:rFonts w:cs="Arial"/>
          <w:szCs w:val="20"/>
          <w:lang w:val="sl-SI" w:bidi="en-US"/>
        </w:rPr>
        <w:t>Sredstva za pokrivanje obveznosti iz prejšnje točke tega sklepa se v letu 202</w:t>
      </w:r>
      <w:r w:rsidR="00FA7383">
        <w:rPr>
          <w:rFonts w:cs="Arial"/>
          <w:szCs w:val="20"/>
          <w:lang w:val="sl-SI" w:bidi="en-US"/>
        </w:rPr>
        <w:t>5</w:t>
      </w:r>
      <w:r w:rsidRPr="00D9094D">
        <w:rPr>
          <w:rFonts w:cs="Arial"/>
          <w:szCs w:val="20"/>
          <w:lang w:val="sl-SI" w:bidi="en-US"/>
        </w:rPr>
        <w:t xml:space="preserve"> zagotovijo s prerazporeditvijo pravic porabe v okviru finančnega načrta Ministrstva za naravne vire in prostor v višini </w:t>
      </w:r>
      <w:r w:rsidR="00FA7383">
        <w:rPr>
          <w:rFonts w:cs="Arial"/>
          <w:szCs w:val="20"/>
          <w:lang w:val="sl-SI" w:bidi="en-US"/>
        </w:rPr>
        <w:t>20.000</w:t>
      </w:r>
      <w:r w:rsidRPr="00D9094D">
        <w:rPr>
          <w:rFonts w:cs="Arial"/>
          <w:szCs w:val="20"/>
          <w:lang w:val="sl-SI" w:bidi="en-US"/>
        </w:rPr>
        <w:t xml:space="preserve">,00 EUR, s postavke </w:t>
      </w:r>
      <w:r w:rsidR="00FA7383" w:rsidRPr="00C56B64">
        <w:rPr>
          <w:rFonts w:cs="Arial"/>
          <w:szCs w:val="20"/>
          <w:lang w:val="sl-SI" w:bidi="en-US"/>
        </w:rPr>
        <w:t>231735 Sofinanciranje dejavnosti Nacionalnega geološkega zavoda</w:t>
      </w:r>
      <w:r w:rsidRPr="00D9094D">
        <w:rPr>
          <w:rFonts w:cs="Arial"/>
          <w:szCs w:val="20"/>
          <w:lang w:val="sl-SI" w:bidi="en-US"/>
        </w:rPr>
        <w:t>.</w:t>
      </w:r>
    </w:p>
    <w:p w14:paraId="53933C20" w14:textId="77777777" w:rsidR="00895ACA" w:rsidRDefault="00895ACA" w:rsidP="00895ACA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5F472F04" w14:textId="2611717B" w:rsidR="00895ACA" w:rsidRDefault="004C26A6" w:rsidP="00895ACA">
      <w:pPr>
        <w:autoSpaceDE w:val="0"/>
        <w:autoSpaceDN w:val="0"/>
        <w:ind w:left="4254"/>
        <w:jc w:val="center"/>
        <w:rPr>
          <w:rFonts w:ascii="Arial" w:hAnsi="Arial" w:cs="Arial"/>
          <w:iCs/>
          <w:sz w:val="20"/>
          <w:szCs w:val="20"/>
        </w:rPr>
      </w:pPr>
      <w:r w:rsidRPr="00D9094D">
        <w:rPr>
          <w:rFonts w:ascii="Arial" w:hAnsi="Arial" w:cs="Arial"/>
          <w:color w:val="000000"/>
          <w:sz w:val="20"/>
          <w:szCs w:val="20"/>
        </w:rPr>
        <w:t xml:space="preserve">Barbara Kolenko </w:t>
      </w:r>
      <w:proofErr w:type="spellStart"/>
      <w:r w:rsidRPr="00D9094D">
        <w:rPr>
          <w:rFonts w:ascii="Arial" w:hAnsi="Arial" w:cs="Arial"/>
          <w:color w:val="000000"/>
          <w:sz w:val="20"/>
          <w:szCs w:val="20"/>
        </w:rPr>
        <w:t>Helbl</w:t>
      </w:r>
      <w:proofErr w:type="spellEnd"/>
    </w:p>
    <w:p w14:paraId="1A543B0A" w14:textId="50D5685C" w:rsidR="004C26A6" w:rsidRPr="00D9094D" w:rsidRDefault="004C26A6" w:rsidP="00895ACA">
      <w:pPr>
        <w:autoSpaceDE w:val="0"/>
        <w:autoSpaceDN w:val="0"/>
        <w:ind w:left="4254"/>
        <w:jc w:val="center"/>
        <w:rPr>
          <w:rFonts w:ascii="Arial" w:hAnsi="Arial" w:cs="Arial"/>
          <w:iCs/>
          <w:sz w:val="20"/>
          <w:szCs w:val="20"/>
        </w:rPr>
      </w:pPr>
      <w:r w:rsidRPr="00D9094D">
        <w:rPr>
          <w:rFonts w:ascii="Arial" w:hAnsi="Arial" w:cs="Arial"/>
          <w:iCs/>
          <w:sz w:val="20"/>
          <w:szCs w:val="20"/>
        </w:rPr>
        <w:t>Generalna</w:t>
      </w:r>
      <w:r w:rsidR="00895ACA">
        <w:rPr>
          <w:rFonts w:ascii="Arial" w:hAnsi="Arial" w:cs="Arial"/>
          <w:iCs/>
          <w:sz w:val="20"/>
          <w:szCs w:val="20"/>
        </w:rPr>
        <w:t xml:space="preserve"> </w:t>
      </w:r>
      <w:r w:rsidRPr="00D9094D">
        <w:rPr>
          <w:rFonts w:ascii="Arial" w:hAnsi="Arial" w:cs="Arial"/>
          <w:iCs/>
          <w:sz w:val="20"/>
          <w:szCs w:val="20"/>
        </w:rPr>
        <w:t>sekretarka</w:t>
      </w:r>
    </w:p>
    <w:p w14:paraId="2C69B0CC" w14:textId="77777777" w:rsidR="004C26A6" w:rsidRPr="00D9094D" w:rsidRDefault="004C26A6" w:rsidP="004C26A6">
      <w:pPr>
        <w:rPr>
          <w:rFonts w:ascii="Arial" w:eastAsia="Batang" w:hAnsi="Arial" w:cs="Arial"/>
          <w:sz w:val="20"/>
          <w:szCs w:val="20"/>
          <w:lang w:eastAsia="ko-KR"/>
        </w:rPr>
      </w:pPr>
    </w:p>
    <w:p w14:paraId="6DB0447E" w14:textId="77777777" w:rsidR="004C26A6" w:rsidRPr="00D9094D" w:rsidRDefault="004C26A6" w:rsidP="004C26A6">
      <w:pPr>
        <w:rPr>
          <w:rFonts w:ascii="Arial" w:eastAsia="Batang" w:hAnsi="Arial" w:cs="Arial"/>
          <w:sz w:val="20"/>
          <w:szCs w:val="20"/>
          <w:lang w:eastAsia="ko-KR"/>
        </w:rPr>
      </w:pPr>
    </w:p>
    <w:p w14:paraId="1E40936E" w14:textId="77777777" w:rsidR="004C26A6" w:rsidRPr="00D9094D" w:rsidRDefault="004C26A6" w:rsidP="004C26A6">
      <w:pPr>
        <w:rPr>
          <w:rFonts w:ascii="Arial" w:eastAsia="Batang" w:hAnsi="Arial" w:cs="Arial"/>
          <w:sz w:val="20"/>
          <w:szCs w:val="20"/>
          <w:lang w:eastAsia="ko-KR"/>
        </w:rPr>
      </w:pPr>
      <w:r w:rsidRPr="00D9094D">
        <w:rPr>
          <w:rFonts w:ascii="Arial" w:eastAsia="Batang" w:hAnsi="Arial" w:cs="Arial"/>
          <w:sz w:val="20"/>
          <w:szCs w:val="20"/>
          <w:lang w:eastAsia="ko-KR"/>
        </w:rPr>
        <w:t>Sklep prejmejo:</w:t>
      </w:r>
    </w:p>
    <w:p w14:paraId="2E64ADF7" w14:textId="77777777" w:rsidR="004C26A6" w:rsidRPr="00D9094D" w:rsidRDefault="004C26A6" w:rsidP="004C26A6">
      <w:pPr>
        <w:numPr>
          <w:ilvl w:val="0"/>
          <w:numId w:val="13"/>
        </w:numPr>
        <w:spacing w:after="0" w:line="260" w:lineRule="exact"/>
        <w:rPr>
          <w:rFonts w:ascii="Arial" w:eastAsia="Batang" w:hAnsi="Arial" w:cs="Arial"/>
          <w:b/>
          <w:bCs/>
          <w:sz w:val="20"/>
          <w:szCs w:val="20"/>
          <w:lang w:eastAsia="ko-KR"/>
        </w:rPr>
      </w:pPr>
      <w:r w:rsidRPr="00D9094D">
        <w:rPr>
          <w:rFonts w:ascii="Arial" w:eastAsia="Batang" w:hAnsi="Arial" w:cs="Arial"/>
          <w:sz w:val="20"/>
          <w:szCs w:val="20"/>
          <w:lang w:eastAsia="ko-KR"/>
        </w:rPr>
        <w:t>Ministrstvo za finance</w:t>
      </w:r>
    </w:p>
    <w:p w14:paraId="6772AFC0" w14:textId="77777777" w:rsidR="004C26A6" w:rsidRPr="00D9094D" w:rsidRDefault="004C26A6" w:rsidP="004C26A6">
      <w:pPr>
        <w:numPr>
          <w:ilvl w:val="0"/>
          <w:numId w:val="13"/>
        </w:numPr>
        <w:spacing w:after="0" w:line="260" w:lineRule="exact"/>
        <w:rPr>
          <w:rFonts w:ascii="Arial" w:eastAsia="Batang" w:hAnsi="Arial" w:cs="Arial"/>
          <w:b/>
          <w:bCs/>
          <w:sz w:val="20"/>
          <w:szCs w:val="20"/>
          <w:lang w:eastAsia="ko-KR"/>
        </w:rPr>
      </w:pPr>
      <w:r w:rsidRPr="00D9094D">
        <w:rPr>
          <w:rFonts w:ascii="Arial" w:eastAsia="Batang" w:hAnsi="Arial" w:cs="Arial"/>
          <w:sz w:val="20"/>
          <w:szCs w:val="20"/>
          <w:lang w:eastAsia="ko-KR"/>
        </w:rPr>
        <w:t>Ministrstvo za naravne vire in prostor</w:t>
      </w:r>
    </w:p>
    <w:p w14:paraId="1D960B75" w14:textId="10363E9D" w:rsidR="004C26A6" w:rsidRPr="00BA49F2" w:rsidRDefault="004C26A6" w:rsidP="00BA49F2">
      <w:pPr>
        <w:jc w:val="center"/>
        <w:rPr>
          <w:rFonts w:ascii="Arial" w:eastAsia="Batang" w:hAnsi="Arial" w:cs="Arial"/>
          <w:b/>
          <w:bCs/>
          <w:sz w:val="20"/>
          <w:szCs w:val="20"/>
          <w:lang w:eastAsia="ko-KR"/>
        </w:rPr>
      </w:pPr>
      <w:r w:rsidRPr="000C7B1F">
        <w:rPr>
          <w:rFonts w:eastAsia="Batang" w:cs="Arial"/>
          <w:b/>
          <w:bCs/>
          <w:lang w:eastAsia="ko-KR"/>
        </w:rPr>
        <w:br w:type="page"/>
      </w:r>
      <w:r w:rsidRPr="00D9094D">
        <w:rPr>
          <w:rFonts w:ascii="Arial" w:eastAsia="Batang" w:hAnsi="Arial" w:cs="Arial"/>
          <w:b/>
          <w:bCs/>
          <w:sz w:val="20"/>
          <w:szCs w:val="20"/>
          <w:lang w:eastAsia="ko-KR"/>
        </w:rPr>
        <w:lastRenderedPageBreak/>
        <w:t>OBRAZLOŽITEV</w:t>
      </w:r>
      <w:bookmarkStart w:id="0" w:name="_Hlk94875805"/>
    </w:p>
    <w:bookmarkEnd w:id="0"/>
    <w:p w14:paraId="20425A01" w14:textId="44442804" w:rsidR="004C26A6" w:rsidRPr="00D9094D" w:rsidRDefault="00341361" w:rsidP="004C26A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41361">
        <w:rPr>
          <w:rFonts w:ascii="Arial" w:hAnsi="Arial" w:cs="Arial"/>
          <w:sz w:val="20"/>
          <w:szCs w:val="20"/>
        </w:rPr>
        <w:t>Na podlagi 52</w:t>
      </w:r>
      <w:r>
        <w:rPr>
          <w:rFonts w:ascii="Arial" w:hAnsi="Arial" w:cs="Arial"/>
          <w:sz w:val="20"/>
          <w:szCs w:val="20"/>
        </w:rPr>
        <w:t xml:space="preserve">. do </w:t>
      </w:r>
      <w:r w:rsidRPr="00341361">
        <w:rPr>
          <w:rFonts w:ascii="Arial" w:hAnsi="Arial" w:cs="Arial"/>
          <w:sz w:val="20"/>
          <w:szCs w:val="20"/>
        </w:rPr>
        <w:t xml:space="preserve">54. člena Zakona o rudarstvu, Uredbe o rudarski </w:t>
      </w:r>
      <w:proofErr w:type="spellStart"/>
      <w:r w:rsidRPr="00341361">
        <w:rPr>
          <w:rFonts w:ascii="Arial" w:hAnsi="Arial" w:cs="Arial"/>
          <w:sz w:val="20"/>
          <w:szCs w:val="20"/>
        </w:rPr>
        <w:t>koncesnini</w:t>
      </w:r>
      <w:proofErr w:type="spellEnd"/>
      <w:r w:rsidRPr="00341361">
        <w:rPr>
          <w:rFonts w:ascii="Arial" w:hAnsi="Arial" w:cs="Arial"/>
          <w:sz w:val="20"/>
          <w:szCs w:val="20"/>
        </w:rPr>
        <w:t xml:space="preserve"> in sredstvih za sanacijo ter Odloka o določitvi vrednosti točke za odmero rudarske </w:t>
      </w:r>
      <w:proofErr w:type="spellStart"/>
      <w:r w:rsidRPr="00341361">
        <w:rPr>
          <w:rFonts w:ascii="Arial" w:hAnsi="Arial" w:cs="Arial"/>
          <w:sz w:val="20"/>
          <w:szCs w:val="20"/>
        </w:rPr>
        <w:t>koncesnine</w:t>
      </w:r>
      <w:proofErr w:type="spellEnd"/>
      <w:r w:rsidRPr="003413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</w:t>
      </w:r>
      <w:r w:rsidR="004C26A6" w:rsidRPr="00D9094D">
        <w:rPr>
          <w:rFonts w:ascii="Arial" w:hAnsi="Arial" w:cs="Arial"/>
          <w:sz w:val="20"/>
          <w:szCs w:val="20"/>
        </w:rPr>
        <w:t xml:space="preserve">redlaga odprtje integralne proračunske postavke 230073 Finančni nadzor rudarskih odločb pri proračunskemu uporabniku Ministrstvo za naravne vire in prostor, v okviru katere so predvidena sredstva za </w:t>
      </w:r>
      <w:r w:rsidR="00956D79">
        <w:rPr>
          <w:rFonts w:ascii="Arial" w:hAnsi="Arial" w:cs="Arial"/>
          <w:sz w:val="20"/>
          <w:szCs w:val="20"/>
        </w:rPr>
        <w:t xml:space="preserve">nadzor nad plačevanjem odmerjenih sredstev za rudarsko </w:t>
      </w:r>
      <w:proofErr w:type="spellStart"/>
      <w:r w:rsidR="00956D79">
        <w:rPr>
          <w:rFonts w:ascii="Arial" w:hAnsi="Arial" w:cs="Arial"/>
          <w:sz w:val="20"/>
          <w:szCs w:val="20"/>
        </w:rPr>
        <w:t>koncesnino</w:t>
      </w:r>
      <w:proofErr w:type="spellEnd"/>
      <w:r w:rsidR="00956D79">
        <w:rPr>
          <w:rFonts w:ascii="Arial" w:hAnsi="Arial" w:cs="Arial"/>
          <w:sz w:val="20"/>
          <w:szCs w:val="20"/>
        </w:rPr>
        <w:t xml:space="preserve"> in sredstev za sanacijo ter ostalih terjatev v </w:t>
      </w:r>
      <w:r w:rsidR="00D55345">
        <w:rPr>
          <w:rFonts w:ascii="Arial" w:hAnsi="Arial" w:cs="Arial"/>
          <w:sz w:val="20"/>
          <w:szCs w:val="20"/>
        </w:rPr>
        <w:t>zv</w:t>
      </w:r>
      <w:r w:rsidR="00956D79">
        <w:rPr>
          <w:rFonts w:ascii="Arial" w:hAnsi="Arial" w:cs="Arial"/>
          <w:sz w:val="20"/>
          <w:szCs w:val="20"/>
        </w:rPr>
        <w:t>ezi z izkoriščanjem mineralnih surovin, pozivanje neplačnikov k plačilu in izvajanje postopka e-izvršb.</w:t>
      </w:r>
    </w:p>
    <w:p w14:paraId="4D8469AF" w14:textId="4F155C3E" w:rsidR="004C26A6" w:rsidRPr="00D9094D" w:rsidRDefault="00A549CF" w:rsidP="004C26A6">
      <w:pPr>
        <w:jc w:val="both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MNVP i</w:t>
      </w:r>
      <w:r w:rsidR="004C26A6" w:rsidRPr="00D9094D">
        <w:rPr>
          <w:rFonts w:ascii="Arial" w:hAnsi="Arial" w:cs="Arial"/>
          <w:sz w:val="20"/>
          <w:szCs w:val="20"/>
          <w:lang w:bidi="en-US"/>
        </w:rPr>
        <w:t>ntegraln</w:t>
      </w:r>
      <w:r>
        <w:rPr>
          <w:rFonts w:ascii="Arial" w:hAnsi="Arial" w:cs="Arial"/>
          <w:sz w:val="20"/>
          <w:szCs w:val="20"/>
          <w:lang w:bidi="en-US"/>
        </w:rPr>
        <w:t>e</w:t>
      </w:r>
      <w:r w:rsidR="004C26A6" w:rsidRPr="00D9094D">
        <w:rPr>
          <w:rFonts w:ascii="Arial" w:hAnsi="Arial" w:cs="Arial"/>
          <w:sz w:val="20"/>
          <w:szCs w:val="20"/>
          <w:lang w:bidi="en-US"/>
        </w:rPr>
        <w:t xml:space="preserve"> proračunsk</w:t>
      </w:r>
      <w:r>
        <w:rPr>
          <w:rFonts w:ascii="Arial" w:hAnsi="Arial" w:cs="Arial"/>
          <w:sz w:val="20"/>
          <w:szCs w:val="20"/>
          <w:lang w:bidi="en-US"/>
        </w:rPr>
        <w:t xml:space="preserve">e </w:t>
      </w:r>
      <w:r w:rsidR="004C26A6" w:rsidRPr="00D9094D">
        <w:rPr>
          <w:rFonts w:ascii="Arial" w:hAnsi="Arial" w:cs="Arial"/>
          <w:sz w:val="20"/>
          <w:szCs w:val="20"/>
          <w:lang w:bidi="en-US"/>
        </w:rPr>
        <w:t>postavk</w:t>
      </w:r>
      <w:r>
        <w:rPr>
          <w:rFonts w:ascii="Arial" w:hAnsi="Arial" w:cs="Arial"/>
          <w:sz w:val="20"/>
          <w:szCs w:val="20"/>
          <w:lang w:bidi="en-US"/>
        </w:rPr>
        <w:t>e</w:t>
      </w:r>
      <w:r w:rsidR="004C26A6" w:rsidRPr="00D9094D">
        <w:rPr>
          <w:rFonts w:ascii="Arial" w:hAnsi="Arial" w:cs="Arial"/>
          <w:sz w:val="20"/>
          <w:szCs w:val="20"/>
          <w:lang w:bidi="en-US"/>
        </w:rPr>
        <w:t xml:space="preserve"> ob pripravi sprememb proračuna za leto 202</w:t>
      </w:r>
      <w:r w:rsidR="00FA7383">
        <w:rPr>
          <w:rFonts w:ascii="Arial" w:hAnsi="Arial" w:cs="Arial"/>
          <w:sz w:val="20"/>
          <w:szCs w:val="20"/>
          <w:lang w:bidi="en-US"/>
        </w:rPr>
        <w:t>5</w:t>
      </w:r>
      <w:r w:rsidR="004C26A6" w:rsidRPr="00D9094D">
        <w:rPr>
          <w:rFonts w:ascii="Arial" w:hAnsi="Arial" w:cs="Arial"/>
          <w:sz w:val="20"/>
          <w:szCs w:val="20"/>
          <w:lang w:bidi="en-US"/>
        </w:rPr>
        <w:t xml:space="preserve"> in predloga proračuna za leto 202</w:t>
      </w:r>
      <w:r>
        <w:rPr>
          <w:rFonts w:ascii="Arial" w:hAnsi="Arial" w:cs="Arial"/>
          <w:sz w:val="20"/>
          <w:szCs w:val="20"/>
          <w:lang w:bidi="en-US"/>
        </w:rPr>
        <w:t xml:space="preserve">6 </w:t>
      </w:r>
      <w:r w:rsidR="004C26A6" w:rsidRPr="00D9094D">
        <w:rPr>
          <w:rFonts w:ascii="Arial" w:hAnsi="Arial" w:cs="Arial"/>
          <w:sz w:val="20"/>
          <w:szCs w:val="20"/>
          <w:lang w:bidi="en-US"/>
        </w:rPr>
        <w:t xml:space="preserve">ni načrtoval, zato jo je </w:t>
      </w:r>
      <w:r w:rsidR="00956D79">
        <w:rPr>
          <w:rFonts w:ascii="Arial" w:hAnsi="Arial" w:cs="Arial"/>
          <w:sz w:val="20"/>
          <w:szCs w:val="20"/>
          <w:lang w:bidi="en-US"/>
        </w:rPr>
        <w:t>potrebno</w:t>
      </w:r>
      <w:r w:rsidR="004C26A6" w:rsidRPr="00D9094D">
        <w:rPr>
          <w:rFonts w:ascii="Arial" w:hAnsi="Arial" w:cs="Arial"/>
          <w:sz w:val="20"/>
          <w:szCs w:val="20"/>
          <w:lang w:bidi="en-US"/>
        </w:rPr>
        <w:t xml:space="preserve"> odpreti </w:t>
      </w:r>
      <w:r w:rsidR="00341361">
        <w:rPr>
          <w:rFonts w:ascii="Arial" w:hAnsi="Arial" w:cs="Arial"/>
          <w:sz w:val="20"/>
          <w:szCs w:val="20"/>
          <w:lang w:bidi="en-US"/>
        </w:rPr>
        <w:t xml:space="preserve">tekom izvrševanja </w:t>
      </w:r>
      <w:r w:rsidR="00E0047C">
        <w:rPr>
          <w:rFonts w:ascii="Arial" w:hAnsi="Arial" w:cs="Arial"/>
          <w:sz w:val="20"/>
          <w:szCs w:val="20"/>
          <w:lang w:bidi="en-US"/>
        </w:rPr>
        <w:t>proračun</w:t>
      </w:r>
      <w:r w:rsidR="00341361">
        <w:rPr>
          <w:rFonts w:ascii="Arial" w:hAnsi="Arial" w:cs="Arial"/>
          <w:sz w:val="20"/>
          <w:szCs w:val="20"/>
          <w:lang w:bidi="en-US"/>
        </w:rPr>
        <w:t>a</w:t>
      </w:r>
      <w:r w:rsidR="00E0047C">
        <w:rPr>
          <w:rFonts w:ascii="Arial" w:hAnsi="Arial" w:cs="Arial"/>
          <w:sz w:val="20"/>
          <w:szCs w:val="20"/>
          <w:lang w:bidi="en-US"/>
        </w:rPr>
        <w:t xml:space="preserve"> za leto 2025</w:t>
      </w:r>
      <w:r w:rsidR="004C26A6" w:rsidRPr="00D9094D">
        <w:rPr>
          <w:rFonts w:ascii="Arial" w:hAnsi="Arial" w:cs="Arial"/>
          <w:sz w:val="20"/>
          <w:szCs w:val="20"/>
          <w:lang w:bidi="en-US"/>
        </w:rPr>
        <w:t>.</w:t>
      </w:r>
      <w:r w:rsidR="00E0047C">
        <w:rPr>
          <w:rFonts w:ascii="Arial" w:hAnsi="Arial" w:cs="Arial"/>
          <w:sz w:val="20"/>
          <w:szCs w:val="20"/>
          <w:lang w:bidi="en-US"/>
        </w:rPr>
        <w:t xml:space="preserve"> O odprtju integralnih postavk odloča vlada.</w:t>
      </w:r>
    </w:p>
    <w:p w14:paraId="1A1A0684" w14:textId="07C801D5" w:rsidR="004C26A6" w:rsidRDefault="004C26A6" w:rsidP="00FA738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9094D">
        <w:rPr>
          <w:rFonts w:ascii="Arial" w:hAnsi="Arial" w:cs="Arial"/>
          <w:bCs/>
          <w:sz w:val="20"/>
          <w:szCs w:val="20"/>
        </w:rPr>
        <w:t>Sredstva</w:t>
      </w:r>
      <w:r w:rsidRPr="00D9094D">
        <w:rPr>
          <w:rFonts w:ascii="Arial" w:hAnsi="Arial" w:cs="Arial"/>
          <w:bCs/>
          <w:color w:val="000000"/>
          <w:sz w:val="20"/>
          <w:szCs w:val="20"/>
        </w:rPr>
        <w:t xml:space="preserve"> v višini </w:t>
      </w:r>
      <w:r w:rsidR="00FA7383">
        <w:rPr>
          <w:rFonts w:ascii="Arial" w:hAnsi="Arial" w:cs="Arial"/>
          <w:sz w:val="20"/>
          <w:szCs w:val="20"/>
          <w:lang w:eastAsia="sl-SI"/>
        </w:rPr>
        <w:t>20.000</w:t>
      </w:r>
      <w:r w:rsidRPr="00D9094D">
        <w:rPr>
          <w:rFonts w:ascii="Arial" w:hAnsi="Arial" w:cs="Arial"/>
          <w:sz w:val="20"/>
          <w:szCs w:val="20"/>
          <w:lang w:eastAsia="sl-SI"/>
        </w:rPr>
        <w:t>,00 EUR</w:t>
      </w:r>
      <w:r w:rsidRPr="00D9094D">
        <w:rPr>
          <w:rFonts w:ascii="Arial" w:hAnsi="Arial" w:cs="Arial"/>
          <w:bCs/>
          <w:color w:val="000000"/>
          <w:sz w:val="20"/>
          <w:szCs w:val="20"/>
        </w:rPr>
        <w:t xml:space="preserve"> bodo zagotovljena s prerazporeditvijo iz proračunske postavke </w:t>
      </w:r>
      <w:r w:rsidR="00FA7383" w:rsidRPr="00C56B64">
        <w:rPr>
          <w:rFonts w:ascii="Arial" w:hAnsi="Arial" w:cs="Arial"/>
          <w:sz w:val="20"/>
          <w:szCs w:val="20"/>
          <w:lang w:bidi="en-US"/>
        </w:rPr>
        <w:t>231735 Sofinanciranje dejavnosti Nacionalnega geološkega zavoda</w:t>
      </w:r>
      <w:r w:rsidR="00FA7383">
        <w:rPr>
          <w:rFonts w:ascii="Arial" w:hAnsi="Arial" w:cs="Arial"/>
          <w:sz w:val="20"/>
          <w:szCs w:val="20"/>
          <w:lang w:bidi="en-US"/>
        </w:rPr>
        <w:t>.</w:t>
      </w:r>
    </w:p>
    <w:p w14:paraId="76FC883A" w14:textId="77777777" w:rsidR="004C26A6" w:rsidRDefault="004C26A6" w:rsidP="006D6DB7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4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99FD" w14:textId="77777777" w:rsidR="00D55345" w:rsidRDefault="00D55345">
      <w:pPr>
        <w:spacing w:after="0" w:line="240" w:lineRule="auto"/>
      </w:pPr>
      <w:r>
        <w:separator/>
      </w:r>
    </w:p>
  </w:endnote>
  <w:endnote w:type="continuationSeparator" w:id="0">
    <w:p w14:paraId="504C9144" w14:textId="77777777" w:rsidR="00D55345" w:rsidRDefault="00D5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2940" w14:textId="77777777" w:rsidR="00D55345" w:rsidRDefault="00D55345">
      <w:pPr>
        <w:spacing w:after="0" w:line="240" w:lineRule="auto"/>
      </w:pPr>
      <w:r>
        <w:separator/>
      </w:r>
    </w:p>
  </w:footnote>
  <w:footnote w:type="continuationSeparator" w:id="0">
    <w:p w14:paraId="34654822" w14:textId="77777777" w:rsidR="00D55345" w:rsidRDefault="00D5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16B8" w14:textId="77777777" w:rsidR="00FA7383" w:rsidRDefault="00FA7383">
    <w:pPr>
      <w:pStyle w:val="Glava"/>
    </w:pPr>
  </w:p>
  <w:p w14:paraId="562F5A92" w14:textId="77777777" w:rsidR="00FA7383" w:rsidRDefault="00FA7383">
    <w:pPr>
      <w:pStyle w:val="Glava"/>
    </w:pPr>
  </w:p>
  <w:p w14:paraId="71B2890C" w14:textId="77777777" w:rsidR="00FA7383" w:rsidRDefault="00FA738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D92" w14:textId="77777777" w:rsidR="00FA7383" w:rsidRPr="00E21FF9" w:rsidRDefault="00FA7383" w:rsidP="005F456B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1547AFFB" w14:textId="77777777" w:rsidR="00FA7383" w:rsidRPr="008F3500" w:rsidRDefault="00FA7383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AB5"/>
    <w:multiLevelType w:val="hybridMultilevel"/>
    <w:tmpl w:val="9B220184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F93AA9"/>
    <w:multiLevelType w:val="hybridMultilevel"/>
    <w:tmpl w:val="36CC9AA6"/>
    <w:lvl w:ilvl="0" w:tplc="FD22A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86BA6"/>
    <w:multiLevelType w:val="hybridMultilevel"/>
    <w:tmpl w:val="3FD66A12"/>
    <w:lvl w:ilvl="0" w:tplc="83F011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483A"/>
    <w:multiLevelType w:val="hybridMultilevel"/>
    <w:tmpl w:val="B20CE7CC"/>
    <w:lvl w:ilvl="0" w:tplc="E7240F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851A3F"/>
    <w:multiLevelType w:val="hybridMultilevel"/>
    <w:tmpl w:val="41246754"/>
    <w:lvl w:ilvl="0" w:tplc="83F011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3394A"/>
    <w:multiLevelType w:val="hybridMultilevel"/>
    <w:tmpl w:val="8E0019C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F4D47"/>
    <w:multiLevelType w:val="hybridMultilevel"/>
    <w:tmpl w:val="8E0019C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478BA"/>
    <w:multiLevelType w:val="hybridMultilevel"/>
    <w:tmpl w:val="94A60858"/>
    <w:lvl w:ilvl="0" w:tplc="83F011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410F2"/>
    <w:multiLevelType w:val="hybridMultilevel"/>
    <w:tmpl w:val="9AEA9CA0"/>
    <w:lvl w:ilvl="0" w:tplc="549072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92919">
    <w:abstractNumId w:val="5"/>
  </w:num>
  <w:num w:numId="2" w16cid:durableId="115681155">
    <w:abstractNumId w:val="4"/>
  </w:num>
  <w:num w:numId="3" w16cid:durableId="2075155228">
    <w:abstractNumId w:val="11"/>
  </w:num>
  <w:num w:numId="4" w16cid:durableId="673261777">
    <w:abstractNumId w:val="7"/>
  </w:num>
  <w:num w:numId="5" w16cid:durableId="761102123">
    <w:abstractNumId w:val="0"/>
  </w:num>
  <w:num w:numId="6" w16cid:durableId="1523589102">
    <w:abstractNumId w:val="2"/>
  </w:num>
  <w:num w:numId="7" w16cid:durableId="711728468">
    <w:abstractNumId w:val="6"/>
  </w:num>
  <w:num w:numId="8" w16cid:durableId="732385997">
    <w:abstractNumId w:val="12"/>
  </w:num>
  <w:num w:numId="9" w16cid:durableId="1095784062">
    <w:abstractNumId w:val="13"/>
  </w:num>
  <w:num w:numId="10" w16cid:durableId="2059622889">
    <w:abstractNumId w:val="15"/>
  </w:num>
  <w:num w:numId="11" w16cid:durableId="53745719">
    <w:abstractNumId w:val="8"/>
  </w:num>
  <w:num w:numId="12" w16cid:durableId="488055235">
    <w:abstractNumId w:val="3"/>
  </w:num>
  <w:num w:numId="13" w16cid:durableId="429157044">
    <w:abstractNumId w:val="1"/>
  </w:num>
  <w:num w:numId="14" w16cid:durableId="400520238">
    <w:abstractNumId w:val="9"/>
  </w:num>
  <w:num w:numId="15" w16cid:durableId="859588612">
    <w:abstractNumId w:val="14"/>
  </w:num>
  <w:num w:numId="16" w16cid:durableId="789131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99"/>
    <w:rsid w:val="00003D99"/>
    <w:rsid w:val="000049C1"/>
    <w:rsid w:val="00013A69"/>
    <w:rsid w:val="000452CB"/>
    <w:rsid w:val="00047E76"/>
    <w:rsid w:val="000869D2"/>
    <w:rsid w:val="00090B5A"/>
    <w:rsid w:val="000A2E69"/>
    <w:rsid w:val="000B6F0D"/>
    <w:rsid w:val="000D567C"/>
    <w:rsid w:val="000E291D"/>
    <w:rsid w:val="00107561"/>
    <w:rsid w:val="001214E7"/>
    <w:rsid w:val="00121AA3"/>
    <w:rsid w:val="0012356B"/>
    <w:rsid w:val="001255B5"/>
    <w:rsid w:val="001272C6"/>
    <w:rsid w:val="00132334"/>
    <w:rsid w:val="001433FE"/>
    <w:rsid w:val="00146646"/>
    <w:rsid w:val="001474AD"/>
    <w:rsid w:val="0016307E"/>
    <w:rsid w:val="00165B49"/>
    <w:rsid w:val="00171DCC"/>
    <w:rsid w:val="0018489F"/>
    <w:rsid w:val="001851E5"/>
    <w:rsid w:val="00186E8E"/>
    <w:rsid w:val="001A4C27"/>
    <w:rsid w:val="001A6BFB"/>
    <w:rsid w:val="001B09BD"/>
    <w:rsid w:val="001C3A16"/>
    <w:rsid w:val="0020420C"/>
    <w:rsid w:val="00216AB2"/>
    <w:rsid w:val="002567D5"/>
    <w:rsid w:val="00262463"/>
    <w:rsid w:val="0026404E"/>
    <w:rsid w:val="002B7B48"/>
    <w:rsid w:val="002C64D0"/>
    <w:rsid w:val="002D46AA"/>
    <w:rsid w:val="003111BC"/>
    <w:rsid w:val="003238EC"/>
    <w:rsid w:val="00330A02"/>
    <w:rsid w:val="00341361"/>
    <w:rsid w:val="003523AC"/>
    <w:rsid w:val="00352E3E"/>
    <w:rsid w:val="0036079D"/>
    <w:rsid w:val="00360CC0"/>
    <w:rsid w:val="00397417"/>
    <w:rsid w:val="003B589C"/>
    <w:rsid w:val="003C6164"/>
    <w:rsid w:val="003D19AF"/>
    <w:rsid w:val="003E507A"/>
    <w:rsid w:val="004061CC"/>
    <w:rsid w:val="0043173E"/>
    <w:rsid w:val="00434379"/>
    <w:rsid w:val="00460641"/>
    <w:rsid w:val="0046470C"/>
    <w:rsid w:val="00471500"/>
    <w:rsid w:val="00485275"/>
    <w:rsid w:val="00487789"/>
    <w:rsid w:val="004878D1"/>
    <w:rsid w:val="004B2553"/>
    <w:rsid w:val="004B6966"/>
    <w:rsid w:val="004C26A6"/>
    <w:rsid w:val="004E48FA"/>
    <w:rsid w:val="00572F5F"/>
    <w:rsid w:val="00573222"/>
    <w:rsid w:val="00575EB4"/>
    <w:rsid w:val="00581891"/>
    <w:rsid w:val="00584A3A"/>
    <w:rsid w:val="005C32D6"/>
    <w:rsid w:val="005C6924"/>
    <w:rsid w:val="005D204B"/>
    <w:rsid w:val="005E0CA9"/>
    <w:rsid w:val="005E116B"/>
    <w:rsid w:val="00603409"/>
    <w:rsid w:val="00603EBF"/>
    <w:rsid w:val="00634B09"/>
    <w:rsid w:val="00653CC4"/>
    <w:rsid w:val="00655245"/>
    <w:rsid w:val="006826C8"/>
    <w:rsid w:val="0069451E"/>
    <w:rsid w:val="006A05E9"/>
    <w:rsid w:val="006B0C13"/>
    <w:rsid w:val="006D6DB7"/>
    <w:rsid w:val="006D7925"/>
    <w:rsid w:val="00724120"/>
    <w:rsid w:val="00726522"/>
    <w:rsid w:val="00751A66"/>
    <w:rsid w:val="00752A01"/>
    <w:rsid w:val="00755393"/>
    <w:rsid w:val="00755895"/>
    <w:rsid w:val="007700B4"/>
    <w:rsid w:val="00782D99"/>
    <w:rsid w:val="00796DF1"/>
    <w:rsid w:val="007A1E50"/>
    <w:rsid w:val="007C2792"/>
    <w:rsid w:val="007C3E0A"/>
    <w:rsid w:val="007C4BEF"/>
    <w:rsid w:val="007C6F5D"/>
    <w:rsid w:val="007D57A9"/>
    <w:rsid w:val="0080404C"/>
    <w:rsid w:val="00805BFF"/>
    <w:rsid w:val="00810592"/>
    <w:rsid w:val="00826A06"/>
    <w:rsid w:val="00870195"/>
    <w:rsid w:val="00871374"/>
    <w:rsid w:val="008828FD"/>
    <w:rsid w:val="008945BD"/>
    <w:rsid w:val="00895ACA"/>
    <w:rsid w:val="008A18C2"/>
    <w:rsid w:val="008B15EE"/>
    <w:rsid w:val="008C1826"/>
    <w:rsid w:val="008D674B"/>
    <w:rsid w:val="008D696C"/>
    <w:rsid w:val="008E55CE"/>
    <w:rsid w:val="009006EF"/>
    <w:rsid w:val="009022A5"/>
    <w:rsid w:val="00914ED0"/>
    <w:rsid w:val="00941EA1"/>
    <w:rsid w:val="00943E23"/>
    <w:rsid w:val="00956D79"/>
    <w:rsid w:val="0096795E"/>
    <w:rsid w:val="00976622"/>
    <w:rsid w:val="0098291F"/>
    <w:rsid w:val="009951F5"/>
    <w:rsid w:val="009D177D"/>
    <w:rsid w:val="009E1327"/>
    <w:rsid w:val="00A00CF1"/>
    <w:rsid w:val="00A2410D"/>
    <w:rsid w:val="00A35441"/>
    <w:rsid w:val="00A462F0"/>
    <w:rsid w:val="00A50775"/>
    <w:rsid w:val="00A523D5"/>
    <w:rsid w:val="00A549CF"/>
    <w:rsid w:val="00A90A06"/>
    <w:rsid w:val="00AA1E0A"/>
    <w:rsid w:val="00AA5058"/>
    <w:rsid w:val="00AC5A8D"/>
    <w:rsid w:val="00AE4C82"/>
    <w:rsid w:val="00B07499"/>
    <w:rsid w:val="00B450B5"/>
    <w:rsid w:val="00B47A20"/>
    <w:rsid w:val="00B539F1"/>
    <w:rsid w:val="00B569E2"/>
    <w:rsid w:val="00B632E1"/>
    <w:rsid w:val="00B8224F"/>
    <w:rsid w:val="00BA2F7F"/>
    <w:rsid w:val="00BA49F2"/>
    <w:rsid w:val="00BB6DC1"/>
    <w:rsid w:val="00BD1316"/>
    <w:rsid w:val="00BD2490"/>
    <w:rsid w:val="00BF0531"/>
    <w:rsid w:val="00C20189"/>
    <w:rsid w:val="00C3013E"/>
    <w:rsid w:val="00C32B0A"/>
    <w:rsid w:val="00C364F1"/>
    <w:rsid w:val="00C41879"/>
    <w:rsid w:val="00C53B82"/>
    <w:rsid w:val="00C56B64"/>
    <w:rsid w:val="00C574C6"/>
    <w:rsid w:val="00C61360"/>
    <w:rsid w:val="00D04771"/>
    <w:rsid w:val="00D27FEC"/>
    <w:rsid w:val="00D330F3"/>
    <w:rsid w:val="00D3582A"/>
    <w:rsid w:val="00D35FF6"/>
    <w:rsid w:val="00D40285"/>
    <w:rsid w:val="00D55345"/>
    <w:rsid w:val="00D57787"/>
    <w:rsid w:val="00D64982"/>
    <w:rsid w:val="00D71F00"/>
    <w:rsid w:val="00D9094D"/>
    <w:rsid w:val="00D974EC"/>
    <w:rsid w:val="00DA3443"/>
    <w:rsid w:val="00DE2B8A"/>
    <w:rsid w:val="00DF445F"/>
    <w:rsid w:val="00E0047C"/>
    <w:rsid w:val="00E22805"/>
    <w:rsid w:val="00E24E57"/>
    <w:rsid w:val="00E40D8C"/>
    <w:rsid w:val="00E52497"/>
    <w:rsid w:val="00E54B4A"/>
    <w:rsid w:val="00E8125B"/>
    <w:rsid w:val="00EA7AE1"/>
    <w:rsid w:val="00EB717B"/>
    <w:rsid w:val="00EC1FD9"/>
    <w:rsid w:val="00EC5C9A"/>
    <w:rsid w:val="00ED799B"/>
    <w:rsid w:val="00EE4155"/>
    <w:rsid w:val="00EE5A7D"/>
    <w:rsid w:val="00EF29EB"/>
    <w:rsid w:val="00F05374"/>
    <w:rsid w:val="00F06F02"/>
    <w:rsid w:val="00F15830"/>
    <w:rsid w:val="00F43C53"/>
    <w:rsid w:val="00F85AC5"/>
    <w:rsid w:val="00FA70F8"/>
    <w:rsid w:val="00FA7383"/>
    <w:rsid w:val="00F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B11967"/>
  <w15:docId w15:val="{D8025A38-EEBF-44BF-9EB9-F53AC3EA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3D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279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8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4C26A6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4C26A6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4C26A6"/>
    <w:rPr>
      <w:color w:val="0000FF"/>
      <w:u w:val="single"/>
    </w:rPr>
  </w:style>
  <w:style w:type="paragraph" w:customStyle="1" w:styleId="podpisi">
    <w:name w:val="podpisi"/>
    <w:basedOn w:val="Navaden"/>
    <w:uiPriority w:val="99"/>
    <w:qFormat/>
    <w:rsid w:val="004C26A6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4C26A6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4C26A6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4C26A6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C26A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4C26A6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4C26A6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C26A6"/>
    <w:rPr>
      <w:rFonts w:ascii="Arial" w:eastAsia="Times New Roman" w:hAnsi="Arial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gs@gov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9" ma:contentTypeDescription="Ustvari nov dokument." ma:contentTypeScope="" ma:versionID="a42c0fb61a195cbf5cac5a03429ff8ab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11d006bb1e959abe0d0fefc0d22e39c3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Podro_x010d_je" minOccurs="0"/>
                <xsd:element ref="ns2:Zapored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dro_x010d_je" ma:index="23" nillable="true" ma:displayName="Področje" ma:internalName="Podro_x010d_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lužba za splošne zadeve in informatiko"/>
                    <xsd:enumeration value="Služba za kadrovske zadeve"/>
                    <xsd:enumeration value="Služba za finančne zadeve"/>
                    <xsd:enumeration value="Služba za upravne zadeve"/>
                    <xsd:enumeration value="Služba za pravne zadeve in javna naročila"/>
                    <xsd:enumeration value="Kabinet ministra"/>
                    <xsd:enumeration value="Sekretariat"/>
                  </xsd:restriction>
                </xsd:simpleType>
              </xsd:element>
            </xsd:sequence>
          </xsd:extension>
        </xsd:complexContent>
      </xsd:complexType>
    </xsd:element>
    <xsd:element name="Zaporedje" ma:index="24" nillable="true" ma:displayName="Zaporedje" ma:decimals="0" ma:format="Dropdown" ma:internalName="Zaporedj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2023-01-05T09:18:15+00:00</Datum_x0020_objave>
    <TaxCatchAll xmlns="c692225b-96e9-4b86-aa9e-be5af81d02ac" xsi:nil="true"/>
    <Podro_x010d_je xmlns="6174e623-3132-4682-8312-93ae023b49b3" xsi:nil="true"/>
    <Zaporedje xmlns="6174e623-3132-4682-8312-93ae023b49b3" xsi:nil="true"/>
  </documentManagement>
</p:properties>
</file>

<file path=customXml/itemProps1.xml><?xml version="1.0" encoding="utf-8"?>
<ds:datastoreItem xmlns:ds="http://schemas.openxmlformats.org/officeDocument/2006/customXml" ds:itemID="{6510CB4A-2197-4429-AA07-75936962C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796E7-C7F5-4F44-9A15-BB2D621BC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E794A-B63F-4AF9-9EE9-C8939AC5E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218EF-A7F3-4ADB-8C37-F784F99B9D1D}">
  <ds:schemaRefs>
    <ds:schemaRef ds:uri="http://purl.org/dc/dcmitype/"/>
    <ds:schemaRef ds:uri="http://schemas.microsoft.com/office/infopath/2007/PartnerControls"/>
    <ds:schemaRef ds:uri="6174e623-3132-4682-8312-93ae023b49b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c692225b-96e9-4b86-aa9e-be5af81d02a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 Butala</dc:creator>
  <cp:lastModifiedBy>Marija Podlipnik</cp:lastModifiedBy>
  <cp:revision>3</cp:revision>
  <cp:lastPrinted>2025-04-03T07:16:00Z</cp:lastPrinted>
  <dcterms:created xsi:type="dcterms:W3CDTF">2025-04-18T09:02:00Z</dcterms:created>
  <dcterms:modified xsi:type="dcterms:W3CDTF">2025-04-18T09:22:00Z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