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pStyle w:val="SredinskoOdebeljeno"/>
        <w:spacing w:after="0" w:line="260" w:lineRule="auto"/>
      </w:pPr>
      <w:r>
        <w:t>UREDBA O PRAVILIH ZA IZVAJANJE TEHNIČNEGA IN FINANČNEGA NADZORA NAD IZVAJANJEM PROGRAMOV POSTOPNEGA ZAPIRANJA PREMOGOVNIKA VELENJE</w:t>
      </w:r>
    </w:p>
    <w:p>
      <w:pPr>
        <w:spacing w:after="0" w:line="260" w:lineRule="auto"/>
        <w:rPr>
          <w:rFonts w:ascii="Arial" w:hAnsi="Arial" w:cs="Arial"/>
        </w:rPr>
      </w:pPr>
    </w:p>
    <w:p>
      <w:pPr>
        <w:pStyle w:val="Sredinsko"/>
        <w:spacing w:after="0" w:line="260" w:lineRule="auto"/>
      </w:pPr>
      <w:r>
        <w:t>PREDLOG</w:t>
      </w:r>
    </w:p>
    <w:p>
      <w:pPr>
        <w:spacing w:after="0" w:line="260" w:lineRule="auto"/>
        <w:rPr>
          <w:rFonts w:ascii="Arial" w:hAnsi="Arial" w:cs="Arial"/>
        </w:rPr>
      </w:pPr>
    </w:p>
    <w:p>
      <w:pPr>
        <w:spacing w:after="0" w:line="260" w:lineRule="auto"/>
        <w:rPr>
          <w:rFonts w:ascii="Arial" w:hAnsi="Arial" w:cs="Arial"/>
        </w:rPr>
      </w:pPr>
    </w:p>
    <w:p>
      <w:pPr>
        <w:pStyle w:val="Sredinsko"/>
        <w:spacing w:after="0" w:line="260" w:lineRule="auto"/>
      </w:pPr>
      <w:r>
        <w:t>EVA: 2026-2560-0016</w:t>
      </w:r>
    </w:p>
    <w:p>
      <w:r>
        <w:br w:type="page"/>
      </w:r>
    </w:p>
    <w:p>
      <w:pPr>
        <w:pStyle w:val="Odebeljeno"/>
        <w:spacing w:after="0" w:line="260" w:lineRule="auto"/>
      </w:pPr>
      <w:r>
        <w:t>I.</w:t>
      </w:r>
      <w:r>
        <w:tab/>
      </w:r>
      <w:r>
        <w:t>UVOD</w:t>
      </w:r>
    </w:p>
    <w:p>
      <w:pPr>
        <w:pStyle w:val="Odebeljeno"/>
        <w:spacing w:after="0" w:line="260" w:lineRule="auto"/>
      </w:pPr>
      <w:r>
        <w:t>1.</w:t>
      </w:r>
      <w:r>
        <w:tab/>
      </w:r>
      <w:r>
        <w:t>Razlogi in podlage za izdajo</w:t>
      </w:r>
    </w:p>
    <w:p>
      <w:pPr>
        <w:spacing w:after="0" w:line="260" w:lineRule="auto"/>
        <w:rPr>
          <w:rFonts w:ascii="Arial" w:hAnsi="Arial" w:cs="Arial"/>
        </w:rPr>
      </w:pPr>
    </w:p>
    <w:p>
      <w:pPr>
        <w:spacing w:after="0" w:line="260" w:lineRule="auto"/>
      </w:pPr>
      <w:r>
        <w:t>Pravna podlaga:</w:t>
      </w:r>
    </w:p>
    <w:p>
      <w:pPr>
        <w:spacing w:after="0" w:line="240" w:lineRule="auto"/>
      </w:pPr>
      <w:r>
        <w:t xml:space="preserve">Osmi odstavek 5. člena Zakona o postopnem zapiranju Premogovnika Velenje (Uradni list RS, št. 12/2026):  </w:t>
      </w:r>
    </w:p>
    <w:p>
      <w:pPr>
        <w:spacing w:after="0" w:line="240" w:lineRule="auto"/>
      </w:pPr>
      <w:r>
        <w:t>(8) Vlada Republike Slovenije podrobneje določi pravila za izvajanje tehničnega in finančnega nadzora, s katerimi določi zlasti: obseg in vsebino nalog nadzora, ki obsega predvsem nadzor nad skladnostjo izvajanja del s programi, tehnično dokumentacijo, nadzor nad kakovostjo in količino izvedenih del ter nadzor nad namensko in gospodarno porabo sredstev; podrobnejše pogoje glede strokovne usposobljenosti, neodvisnosti in preprečevanja nasprotja interesov za izvajalca nadzora; način izvajanja nadzora, obveznosti poročanja ministrstvu, pristojnemu za rudarstvo, in sodelovanje z rudarsko inšpekcijo. Stroški nadzora se krijejo iz proračunskih sredstev vsakokratnega podrobnejšega programa postopnega zapiranja Premogovnika Velenje.</w:t>
      </w:r>
    </w:p>
    <w:p>
      <w:pPr>
        <w:spacing w:after="0" w:line="240" w:lineRule="auto"/>
      </w:pPr>
      <w:r>
        <w:t xml:space="preserve"> </w:t>
      </w:r>
    </w:p>
    <w:p>
      <w:pPr>
        <w:spacing w:after="0" w:line="240" w:lineRule="auto"/>
      </w:pPr>
      <w:r>
        <w:t>V povezavi s 4. odstavkom 21. člena Zakona o postopnem zapiranju Premogovnika Velenje (Uradni list RS, št. 12/2026):</w:t>
      </w:r>
    </w:p>
    <w:p>
      <w:pPr>
        <w:spacing w:after="0" w:line="240" w:lineRule="auto"/>
      </w:pPr>
      <w:r>
        <w:t>(4) Vlada Republike Slovenije akt iz osmega odstavka 5. člena tega zakona sprejme v treh mesecih po uveljavitvi tega zakona.</w:t>
      </w:r>
    </w:p>
    <w:p>
      <w:pPr>
        <w:spacing w:after="0" w:line="260" w:lineRule="auto"/>
        <w:rPr>
          <w:rFonts w:ascii="Arial" w:hAnsi="Arial" w:cs="Arial"/>
        </w:rPr>
      </w:pPr>
    </w:p>
    <w:p>
      <w:pPr>
        <w:spacing w:after="0" w:line="260" w:lineRule="auto"/>
      </w:pPr>
      <w:r>
        <w:t>Rok za izdajo:</w:t>
      </w:r>
    </w:p>
    <w:p>
      <w:pPr>
        <w:spacing w:after="0" w:line="240" w:lineRule="auto"/>
      </w:pPr>
      <w:r>
        <w:t>Tri mesece po uveljavitvi Zakona o postopnem zapiranju Premogovnika Velenje (Uradni list RS, št. 12/2026) (uveljavljen 4. 3. 2026), torej 3. 6. 2026.</w:t>
      </w:r>
    </w:p>
    <w:p>
      <w:pPr>
        <w:spacing w:after="0" w:line="260" w:lineRule="auto"/>
        <w:rPr>
          <w:rFonts w:ascii="Arial" w:hAnsi="Arial" w:cs="Arial"/>
        </w:rPr>
      </w:pPr>
    </w:p>
    <w:p>
      <w:pPr>
        <w:spacing w:after="0" w:line="260" w:lineRule="auto"/>
      </w:pPr>
      <w:r>
        <w:t>Glavni razlogi za izdajo:</w:t>
      </w:r>
    </w:p>
    <w:p>
      <w:pPr>
        <w:spacing w:after="0" w:line="240" w:lineRule="auto"/>
      </w:pPr>
      <w:r>
        <w:t>Izpolnitev obveznosti po 8. odstavku 5. člena ZPZPV.</w:t>
      </w:r>
    </w:p>
    <w:p>
      <w:pPr>
        <w:spacing w:after="0" w:line="260" w:lineRule="auto"/>
        <w:rPr>
          <w:rFonts w:ascii="Arial" w:hAnsi="Arial" w:cs="Arial"/>
        </w:rPr>
      </w:pPr>
    </w:p>
    <w:p>
      <w:pPr>
        <w:pStyle w:val="Odebeljeno"/>
        <w:spacing w:after="0" w:line="260" w:lineRule="auto"/>
      </w:pPr>
      <w:r>
        <w:t>2.</w:t>
      </w:r>
      <w:r>
        <w:tab/>
      </w:r>
      <w:r>
        <w:t>Ocena finančnih posledic predloga akta za državni proračun in druga javna finančna sredstva</w:t>
      </w:r>
    </w:p>
    <w:p>
      <w:pPr>
        <w:spacing w:after="0" w:line="260" w:lineRule="auto"/>
        <w:rPr>
          <w:rFonts w:ascii="Arial" w:hAnsi="Arial" w:cs="Arial"/>
        </w:rPr>
      </w:pPr>
    </w:p>
    <w:p>
      <w:pPr>
        <w:spacing w:after="0" w:line="260" w:lineRule="auto"/>
      </w:pPr>
      <w:r>
        <w:t>Presoja posledic je bila opravljena ob sprejemanju zakona, ki je podlaga za izdajo tega predloga.</w:t>
      </w:r>
    </w:p>
    <w:p>
      <w:pPr>
        <w:spacing w:after="0" w:line="260" w:lineRule="auto"/>
        <w:rPr>
          <w:rFonts w:ascii="Arial" w:hAnsi="Arial" w:cs="Arial"/>
        </w:rPr>
      </w:pPr>
    </w:p>
    <w:p>
      <w:pPr>
        <w:pStyle w:val="Odebeljeno"/>
        <w:spacing w:after="0" w:line="260" w:lineRule="auto"/>
      </w:pPr>
      <w:r>
        <w:t>3.</w:t>
      </w:r>
      <w:r>
        <w:tab/>
      </w:r>
      <w:r>
        <w:t>Prikaz ureditve v drugih pravnih sistemih in prilagojenosti predlagane ureditve pravu Evropske unije</w:t>
      </w:r>
    </w:p>
    <w:p>
      <w:pPr>
        <w:spacing w:after="0" w:line="260" w:lineRule="auto"/>
        <w:rPr>
          <w:rFonts w:ascii="Arial" w:hAnsi="Arial" w:cs="Arial"/>
        </w:rPr>
      </w:pPr>
    </w:p>
    <w:p>
      <w:pPr>
        <w:pStyle w:val="Odebeljeno"/>
        <w:spacing w:after="0" w:line="260" w:lineRule="auto"/>
      </w:pPr>
      <w:r>
        <w:t>3.1</w:t>
      </w:r>
      <w:r>
        <w:tab/>
      </w:r>
      <w:r>
        <w:t>Prikaz ureditve v drugih pravnih sistemih</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3.2</w:t>
      </w:r>
      <w:r>
        <w:tab/>
      </w:r>
      <w:r>
        <w:t>Prikaz ureditve v pravnem redu Evropske unije</w:t>
      </w:r>
    </w:p>
    <w:p>
      <w:pPr>
        <w:spacing w:after="0" w:line="260" w:lineRule="auto"/>
        <w:rPr>
          <w:rFonts w:ascii="Arial" w:hAnsi="Arial" w:cs="Arial"/>
        </w:rPr>
      </w:pPr>
    </w:p>
    <w:p>
      <w:pPr>
        <w:spacing w:after="0" w:line="260" w:lineRule="auto"/>
      </w:pPr>
      <w:r>
        <w:t>Predlog ni predmet usklajevanja s pravnim redom EU.</w:t>
      </w:r>
    </w:p>
    <w:p>
      <w:pPr>
        <w:spacing w:after="0" w:line="260" w:lineRule="auto"/>
        <w:rPr>
          <w:rFonts w:ascii="Arial" w:hAnsi="Arial" w:cs="Arial"/>
        </w:rPr>
      </w:pPr>
    </w:p>
    <w:p>
      <w:pPr>
        <w:pStyle w:val="SrajckaNaslovZamik"/>
        <w:spacing w:after="0" w:line="260" w:lineRule="auto"/>
      </w:pPr>
      <w:r>
        <w:t>3.3</w:t>
      </w:r>
      <w:r>
        <w:tab/>
      </w:r>
      <w:r>
        <w:t>Prikaz ureditve v posameznih državah članicah Evropske unije</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4.</w:t>
      </w:r>
      <w:r>
        <w:tab/>
      </w:r>
      <w:r>
        <w:t>Presoja posledic</w:t>
      </w:r>
    </w:p>
    <w:p>
      <w:pPr>
        <w:spacing w:after="0" w:line="260" w:lineRule="auto"/>
        <w:rPr>
          <w:rFonts w:ascii="Arial" w:hAnsi="Arial" w:cs="Arial"/>
        </w:rPr>
      </w:pPr>
    </w:p>
    <w:p>
      <w:pPr>
        <w:spacing w:after="0" w:line="260" w:lineRule="auto"/>
      </w:pPr>
      <w:r>
        <w:t>Presoja posledic je bila opravljena ob sprejemanju zakona, ki je podlaga za izdajo tega predloga.</w:t>
      </w:r>
    </w:p>
    <w:p>
      <w:pPr>
        <w:spacing w:after="0" w:line="260" w:lineRule="auto"/>
        <w:rPr>
          <w:rFonts w:ascii="Arial" w:hAnsi="Arial" w:cs="Arial"/>
        </w:rPr>
      </w:pPr>
    </w:p>
    <w:p>
      <w:pPr>
        <w:pStyle w:val="Odebeljeno"/>
        <w:spacing w:after="0" w:line="260" w:lineRule="auto"/>
      </w:pPr>
      <w:r>
        <w:t>5.</w:t>
      </w:r>
      <w:r>
        <w:tab/>
      </w:r>
      <w:r>
        <w:t>Prikaz sodelovanja javnosti</w:t>
      </w:r>
    </w:p>
    <w:p>
      <w:pPr>
        <w:spacing w:after="0" w:line="260" w:lineRule="auto"/>
        <w:rPr>
          <w:rFonts w:ascii="Arial" w:hAnsi="Arial" w:cs="Arial"/>
        </w:rPr>
      </w:pPr>
    </w:p>
    <w:p>
      <w:pPr>
        <w:spacing w:after="0" w:line="260" w:lineRule="auto"/>
      </w:pPr>
      <w:r>
        <w:t>Gradivo je bilo predmet sodelovanja z javnostjo.</w:t>
      </w:r>
    </w:p>
    <w:p>
      <w:pPr>
        <w:spacing w:after="0" w:line="260" w:lineRule="auto"/>
        <w:rPr>
          <w:rFonts w:ascii="Arial" w:hAnsi="Arial" w:cs="Arial"/>
        </w:rPr>
      </w:pPr>
    </w:p>
    <w:p>
      <w:pPr>
        <w:spacing w:after="0" w:line="260" w:lineRule="auto"/>
      </w:pPr>
      <w:r>
        <w:t>Datum objave na portalu eDemokracija:</w:t>
      </w:r>
    </w:p>
    <w:p>
      <w:pPr>
        <w:spacing w:after="0" w:line="260" w:lineRule="auto"/>
      </w:pPr>
      <w:r>
        <w:t>20. 2. 2026</w:t>
      </w:r>
    </w:p>
    <w:p>
      <w:pPr>
        <w:spacing w:after="0" w:line="260" w:lineRule="auto"/>
        <w:rPr>
          <w:rFonts w:ascii="Arial" w:hAnsi="Arial" w:cs="Arial"/>
        </w:rPr>
      </w:pPr>
    </w:p>
    <w:p>
      <w:pPr>
        <w:spacing w:after="0" w:line="260" w:lineRule="auto"/>
      </w:pPr>
      <w:r>
        <w:t>Na gradivo niso bila podana mnenja, predlogi in pripombe.</w:t>
      </w:r>
    </w:p>
    <w:p>
      <w:pPr>
        <w:spacing w:after="0" w:line="260" w:lineRule="auto"/>
        <w:rPr>
          <w:rFonts w:ascii="Arial" w:hAnsi="Arial" w:cs="Arial"/>
        </w:rPr>
      </w:pPr>
    </w:p>
    <w:p>
      <w:r>
        <w:br w:type="page"/>
      </w:r>
    </w:p>
    <w:p>
      <w:pPr>
        <w:pStyle w:val="Odebeljeno"/>
        <w:spacing w:after="0" w:line="260" w:lineRule="auto"/>
      </w:pPr>
      <w:r>
        <w:t>II.</w:t>
      </w:r>
      <w:r>
        <w:tab/>
      </w:r>
      <w:r>
        <w:t>BESEDILO ČLENOV</w:t>
      </w:r>
    </w:p>
    <w:p>
      <w:pPr>
        <w:pStyle w:val="Odstavek"/>
        <w:spacing w:after="0" w:line="260" w:lineRule="auto"/>
      </w:pPr>
      <w:r>
        <w:t>Na podlagi osmega odstavka 5. člena Zakona o postopnem zapiranju Premogovnika Velenje (Uradni list RS, št. 12/26) Vlada Republike Slovenije izdaja</w:t>
      </w:r>
    </w:p>
    <w:p>
      <w:pPr>
        <w:spacing w:after="0" w:line="260" w:lineRule="auto"/>
        <w:rPr>
          <w:rFonts w:ascii="Arial" w:hAnsi="Arial" w:cs="Arial"/>
        </w:rPr>
      </w:pPr>
    </w:p>
    <w:p>
      <w:pPr>
        <w:pStyle w:val="Naslov1"/>
        <w:spacing w:after="0" w:line="260" w:lineRule="auto"/>
      </w:pPr>
      <w:r>
        <w:t>Uredbo o pravilih za izvajanje tehničnega in finančnega nadzora nad izvajanjem programov postopnega zapiranja Premogovnika Velenje</w:t>
      </w:r>
    </w:p>
    <w:p>
      <w:pPr>
        <w:pStyle w:val="len"/>
        <w:spacing w:after="0" w:line="260" w:lineRule="auto"/>
      </w:pPr>
      <w:r>
        <w:t>1. člen</w:t>
      </w:r>
    </w:p>
    <w:p>
      <w:pPr>
        <w:pStyle w:val="lennaslov"/>
        <w:spacing w:after="0" w:line="260" w:lineRule="auto"/>
      </w:pPr>
      <w:r>
        <w:t>(vsebina)</w:t>
      </w:r>
    </w:p>
    <w:p>
      <w:pPr>
        <w:spacing w:after="0" w:line="260" w:lineRule="auto"/>
        <w:rPr>
          <w:rFonts w:ascii="Arial" w:hAnsi="Arial" w:cs="Arial"/>
        </w:rPr>
      </w:pPr>
    </w:p>
    <w:p>
      <w:pPr>
        <w:spacing w:after="0" w:line="260" w:lineRule="auto"/>
      </w:pPr>
      <w:r>
        <w:tab/>
      </w:r>
      <w:r>
        <w:t>Ta uredba določa:</w:t>
      </w:r>
    </w:p>
    <w:p>
      <w:pPr>
        <w:spacing w:after="0" w:line="260" w:lineRule="auto"/>
      </w:pPr>
      <w:r>
        <w:tab/>
      </w:r>
      <w:r>
        <w:t xml:space="preserve">– </w:t>
      </w:r>
      <w:r>
        <w:t>obseg storitev tehnično tehnološkega, finančnega, kadrovsko socialnega in davčno ekonomskega nadzora nad izvajanjem programov postopnega zapiranja Premogovnika Velenje,</w:t>
      </w:r>
    </w:p>
    <w:p>
      <w:pPr>
        <w:spacing w:after="0" w:line="260" w:lineRule="auto"/>
      </w:pPr>
      <w:r>
        <w:tab/>
      </w:r>
      <w:r>
        <w:t xml:space="preserve">– </w:t>
      </w:r>
      <w:r>
        <w:t>organizacijo in način opravljanja nadzora in</w:t>
      </w:r>
    </w:p>
    <w:p>
      <w:pPr>
        <w:spacing w:after="0" w:line="260" w:lineRule="auto"/>
      </w:pPr>
      <w:r>
        <w:tab/>
      </w:r>
      <w:r>
        <w:t xml:space="preserve">– </w:t>
      </w:r>
      <w:r>
        <w:t>način kritja stroškov izvajanja nadzora nad porabo proračunskih in lastnih sredstev, ki se zagotavljajo na podlagi Zakona o postopnem zapiranju Premogovnika Velenje (Uradni list RS, št. 12/26; v nadaljnjem besedilu: ZPZPV) ali so določena v programih postopnega zapiranja Premogovnika Velenje.</w:t>
      </w:r>
    </w:p>
    <w:p>
      <w:pPr>
        <w:pStyle w:val="len"/>
        <w:spacing w:after="0" w:line="260" w:lineRule="auto"/>
      </w:pPr>
      <w:r>
        <w:t>2. člen</w:t>
      </w:r>
    </w:p>
    <w:p>
      <w:pPr>
        <w:pStyle w:val="lennaslov"/>
        <w:spacing w:after="0" w:line="260" w:lineRule="auto"/>
      </w:pPr>
      <w:r>
        <w:t>(obseg storitev nadzora)</w:t>
      </w:r>
    </w:p>
    <w:p>
      <w:pPr>
        <w:spacing w:after="0" w:line="260" w:lineRule="auto"/>
        <w:rPr>
          <w:rFonts w:ascii="Arial" w:hAnsi="Arial" w:cs="Arial"/>
        </w:rPr>
      </w:pPr>
    </w:p>
    <w:p>
      <w:pPr>
        <w:spacing w:after="0" w:line="260" w:lineRule="auto"/>
      </w:pPr>
      <w:r>
        <w:tab/>
      </w:r>
      <w:r>
        <w:t>Storitve nadzora  , ki jih izvaja izvajalec nadzora iz 3. člena te uredbe,  obsegajo nadzor nad izvajanjem tehničnih, tehnoloških, finančnih, kadrovsko‑socialnih in davčno‑ekonomskih zahtev programa postopnega zapiranja Premogovnika Velenje ter podrobnejših programov zapiranja, zlasti:</w:t>
      </w:r>
    </w:p>
    <w:p>
      <w:pPr>
        <w:spacing w:after="0" w:line="260" w:lineRule="auto"/>
      </w:pPr>
      <w:r>
        <w:tab/>
      </w:r>
      <w:r>
        <w:t xml:space="preserve">1. </w:t>
      </w:r>
      <w:r>
        <w:t>nadzor nad pripravo in sprejemljivostjo tehnične dokumentacije, potrebne za izvajanje vseh zapiralnih del, vključno s preverjanjem popolnosti, skladnosti ter usklajenosti z ZPZPV in programi zapiranja;</w:t>
      </w:r>
    </w:p>
    <w:p>
      <w:pPr>
        <w:spacing w:after="0" w:line="260" w:lineRule="auto"/>
      </w:pPr>
      <w:r>
        <w:tab/>
      </w:r>
      <w:r>
        <w:t xml:space="preserve">2. </w:t>
      </w:r>
      <w:r>
        <w:t>nadzor nad dejanskim izvajanjem vseh zapiralnih del na terenu, z ugotavljanjem skladnosti izvedenih aktivnosti s tehnično dokumentacijo, pogoji dovoljenj ter programi postopnega zapiranja;</w:t>
      </w:r>
    </w:p>
    <w:p>
      <w:pPr>
        <w:spacing w:after="0" w:line="260" w:lineRule="auto"/>
      </w:pPr>
      <w:r>
        <w:tab/>
      </w:r>
      <w:r>
        <w:t xml:space="preserve">3. </w:t>
      </w:r>
      <w:r>
        <w:t>nadzor nad tem ali se dela izvajajo v skladu s sprejetim programom postopnega zapiranja Premogovnika Velenje za obdobje do 2045 ter s podrobnejšimi programi postopnega zapiranja Premogovnika Velenje za naslednji dve leti, in ali se dela izvajajo skladno z dokumentacijo, za katero je bilo izdano dovoljenje;</w:t>
      </w:r>
    </w:p>
    <w:p>
      <w:pPr>
        <w:spacing w:after="0" w:line="260" w:lineRule="auto"/>
      </w:pPr>
      <w:r>
        <w:tab/>
      </w:r>
      <w:r>
        <w:t xml:space="preserve">4. </w:t>
      </w:r>
      <w:r>
        <w:t>nadzor nad količinami porabljenega, dobavljenega in obračunanega materiala ter opravljenih del, vključno s preverjanjem utemeljenosti in skladnosti s pogodbenimi določbami;</w:t>
      </w:r>
    </w:p>
    <w:p>
      <w:pPr>
        <w:spacing w:after="0" w:line="260" w:lineRule="auto"/>
      </w:pPr>
      <w:r>
        <w:tab/>
      </w:r>
      <w:r>
        <w:t xml:space="preserve">5. </w:t>
      </w:r>
      <w:r>
        <w:t>nadzor nad kakovostjo materialov in opravljenih del, zlasti z vidika izpolnjevanja tehničnih standardov, tehničnih specifikacij in zahtev iz programov zapiranja;</w:t>
      </w:r>
    </w:p>
    <w:p>
      <w:pPr>
        <w:spacing w:after="0" w:line="260" w:lineRule="auto"/>
      </w:pPr>
      <w:r>
        <w:tab/>
      </w:r>
      <w:r>
        <w:t xml:space="preserve">6. </w:t>
      </w:r>
      <w:r>
        <w:t>nadzor nad časovno dinamiko izvajanja del, preverjanje upoštevanja terminskih planov ter ocena tveganj za zamude in razlogov zanje;</w:t>
      </w:r>
    </w:p>
    <w:p>
      <w:pPr>
        <w:spacing w:after="0" w:line="260" w:lineRule="auto"/>
      </w:pPr>
      <w:r>
        <w:tab/>
      </w:r>
      <w:r>
        <w:t xml:space="preserve">7. </w:t>
      </w:r>
      <w:r>
        <w:t>nadzor nad izvajanjem kadrovsko‑socialnih ukrepov, določenih v ZPZPV in programih zapiranja, vključno s preverjanjem izpolnjevanja obveznosti do zaposlenih in prestrukturiranja;</w:t>
      </w:r>
    </w:p>
    <w:p>
      <w:pPr>
        <w:spacing w:after="0" w:line="260" w:lineRule="auto"/>
      </w:pPr>
      <w:r>
        <w:tab/>
      </w:r>
      <w:r>
        <w:t xml:space="preserve">8. </w:t>
      </w:r>
      <w:r>
        <w:t>nadzor nad davčno‑ekonomskimi elementi izvedbe programa, vključno z namensko, gospodarno in učinkovito rabo proračunskih in lastnih sredstev ter preverjanjem ustreznosti stroškovnih utemeljitev;</w:t>
      </w:r>
    </w:p>
    <w:p>
      <w:pPr>
        <w:spacing w:after="0" w:line="260" w:lineRule="auto"/>
      </w:pPr>
      <w:r>
        <w:tab/>
      </w:r>
      <w:r>
        <w:t xml:space="preserve">9. </w:t>
      </w:r>
      <w:r>
        <w:t>nadzor nad pravilnim ločenim računovodskim evidentiranjem zapiralnih in drugih aktivnosti, skladno z ZPZPV ter potrjenimi sodili za razmejevanje skupnih stroškov iz tretjega odstavka 5. člena ZPZPV;</w:t>
      </w:r>
    </w:p>
    <w:p>
      <w:pPr>
        <w:spacing w:after="0" w:line="260" w:lineRule="auto"/>
      </w:pPr>
      <w:r>
        <w:tab/>
      </w:r>
      <w:r>
        <w:t xml:space="preserve">10. </w:t>
      </w:r>
      <w:r>
        <w:t>potrjevanje izstavljenih obračunskih situacij za črpanje proračunskih sredstev ter priprava letnega poročila o opravljenih zapiralnih delih, pri čemer potrjena obračunska situacija predstavlja analitično podlago za plačilo in mora biti skladna z zahtevami iz ZPZPV;</w:t>
      </w:r>
    </w:p>
    <w:p>
      <w:pPr>
        <w:spacing w:after="0" w:line="260" w:lineRule="auto"/>
      </w:pPr>
      <w:r>
        <w:tab/>
      </w:r>
      <w:r>
        <w:t xml:space="preserve">11. </w:t>
      </w:r>
      <w:r>
        <w:t>opravljanje drugih storitev nadzora, ki jih lahko ministrstvo, pristojno za rudarstvo, in izvajalec nadzora dodatno določita v pogodbi ali njenih aneksih, kadar so potrebne za izvajanje učinkovitega in celovitega nadzora po ZPZPV.</w:t>
      </w:r>
    </w:p>
    <w:p>
      <w:pPr>
        <w:pStyle w:val="len"/>
        <w:spacing w:after="0" w:line="260" w:lineRule="auto"/>
      </w:pPr>
      <w:r>
        <w:t>3. člen</w:t>
      </w:r>
    </w:p>
    <w:p>
      <w:pPr>
        <w:pStyle w:val="lennaslov"/>
        <w:spacing w:after="0" w:line="260" w:lineRule="auto"/>
      </w:pPr>
      <w:r>
        <w:t>(izvajanje nadzora)</w:t>
      </w:r>
    </w:p>
    <w:p>
      <w:pPr>
        <w:spacing w:after="0" w:line="260" w:lineRule="auto"/>
        <w:rPr>
          <w:rFonts w:ascii="Arial" w:hAnsi="Arial" w:cs="Arial"/>
        </w:rPr>
      </w:pPr>
    </w:p>
    <w:p>
      <w:pPr>
        <w:spacing w:after="0" w:line="260" w:lineRule="auto"/>
      </w:pPr>
      <w:r>
        <w:tab/>
      </w:r>
      <w:r>
        <w:t xml:space="preserve">(1) </w:t>
      </w:r>
      <w:r>
        <w:t>Na mednarodni javni razpis za izbor neodvisne strokovne institucije za izvajanje nadzora, ki ga v skladu s sedmim odstavkom 5. člena ZPZPV izvede ministrstvo, pristojno za rudarstvo, se lahko s skupno ponudbo prijavijo tudi neodvisne strokovne institucije, ki so posamezno usposobljene le za izvajanje tehničnega oziroma finančnega nadzora.</w:t>
      </w:r>
    </w:p>
    <w:p>
      <w:pPr>
        <w:spacing w:after="0" w:line="260" w:lineRule="auto"/>
        <w:rPr>
          <w:rFonts w:ascii="Arial" w:hAnsi="Arial" w:cs="Arial"/>
        </w:rPr>
      </w:pPr>
    </w:p>
    <w:p>
      <w:pPr>
        <w:spacing w:after="0" w:line="260" w:lineRule="auto"/>
      </w:pPr>
      <w:r>
        <w:tab/>
      </w:r>
      <w:r>
        <w:t xml:space="preserve">(2) </w:t>
      </w:r>
      <w:r>
        <w:t>Izbrani izvajalec z ministrstvom, pristojnim za rudarstvo, sklene pogodbo za izvajanje nadzora za celotno programsko obdobje zapiranja. V okviru te pogodbe se za vsako proračunsko leto sklepajo aneksi s podrobnejšimi opisi nalog in del ter z opredelitvijo dinamike in višine letnih stroškov nadzora. Skupna vsota zneskov, določenih v letnih aneksih, ne sme preseči cene storitev nadzora, določene v osnovni pogodbi. Izvajalec mora vzpostaviti notranje mehanizme za preprečevanje nasprotja interesov, vključno z obveznostjo pridobivanja pisnih izjav strokovnjakov, vzpostavitvijo notranjih nadzornih mehanizmov ter postopki izločitve posameznih strokovnjakov v primeru tveganja za nasprotje interesov.</w:t>
      </w:r>
    </w:p>
    <w:p>
      <w:pPr>
        <w:spacing w:after="0" w:line="260" w:lineRule="auto"/>
        <w:rPr>
          <w:rFonts w:ascii="Arial" w:hAnsi="Arial" w:cs="Arial"/>
        </w:rPr>
      </w:pPr>
    </w:p>
    <w:p>
      <w:pPr>
        <w:spacing w:after="0" w:line="260" w:lineRule="auto"/>
      </w:pPr>
      <w:r>
        <w:tab/>
      </w:r>
      <w:r>
        <w:t xml:space="preserve">(3) </w:t>
      </w:r>
      <w:r>
        <w:t>Izvajalec nadzora mora pri izvajanju tehničnega nadzora sodelovati z rudarsko inšpekcijo ter ji omogočiti vpogled v ugotovitve in dokumentacijo nadzora.</w:t>
      </w:r>
    </w:p>
    <w:p>
      <w:pPr>
        <w:spacing w:after="0" w:line="260" w:lineRule="auto"/>
        <w:rPr>
          <w:rFonts w:ascii="Arial" w:hAnsi="Arial" w:cs="Arial"/>
        </w:rPr>
      </w:pPr>
    </w:p>
    <w:p>
      <w:pPr>
        <w:spacing w:after="0" w:line="260" w:lineRule="auto"/>
      </w:pPr>
      <w:r>
        <w:tab/>
      </w:r>
      <w:r>
        <w:t xml:space="preserve">(4) </w:t>
      </w:r>
      <w:r>
        <w:t>Sestavni del storitev nadzora je tudi zaključno poročilo ob koncu programskega obdobja zapiranja, ki ga pripravi izvajalec storitev nadzora. Izvajalec najpozneje do 1. maja tekočega leta pripravi in ministrstvu, pristojnemu za rudarstvo, pošlje tudi letno poročilo o izvedenem nadzoru nad zapiralnimi in drugimi aktivnostmi za preteklo poslovno leto.</w:t>
      </w:r>
    </w:p>
    <w:p>
      <w:pPr>
        <w:pStyle w:val="len"/>
        <w:spacing w:after="0" w:line="260" w:lineRule="auto"/>
      </w:pPr>
      <w:r>
        <w:t>4. člen</w:t>
      </w:r>
    </w:p>
    <w:p>
      <w:pPr>
        <w:pStyle w:val="lennaslov"/>
        <w:spacing w:after="0" w:line="260" w:lineRule="auto"/>
      </w:pPr>
      <w:r>
        <w:t>(pogoji za izvajalca nadzora)</w:t>
      </w:r>
    </w:p>
    <w:p>
      <w:pPr>
        <w:spacing w:after="0" w:line="260" w:lineRule="auto"/>
        <w:rPr>
          <w:rFonts w:ascii="Arial" w:hAnsi="Arial" w:cs="Arial"/>
        </w:rPr>
      </w:pPr>
    </w:p>
    <w:p>
      <w:pPr>
        <w:spacing w:after="0" w:line="260" w:lineRule="auto"/>
      </w:pPr>
      <w:r>
        <w:tab/>
      </w:r>
      <w:r>
        <w:t xml:space="preserve">(1) </w:t>
      </w:r>
      <w:r>
        <w:t>Izvajalec nadzora mora:</w:t>
      </w:r>
      <w:r>
        <w:br/>
      </w:r>
    </w:p>
    <w:p>
      <w:pPr>
        <w:spacing w:after="0" w:line="260" w:lineRule="auto"/>
      </w:pPr>
      <w:r>
        <w:tab/>
      </w:r>
      <w:r>
        <w:t xml:space="preserve">– </w:t>
      </w:r>
      <w:r>
        <w:t>biti neodvisna strokovna institucija. Strokovnjaki izvajalca nadzora morajo imeti ustrezno strokovno usposobljenost in pooblastila za izvajanje storitev v skladu z zakonom, ki ureja rudarstvo, zakonom, ki ureja graditev objektov, ustrezna znanja in izkušnje s področja finančnega nadzora podjetij ter z ustreznimi kadrovskimi, socialnimi, ekonomskimi in davčnimi znanji, potrebnimi za izvedbo nadzora;</w:t>
      </w:r>
    </w:p>
    <w:p>
      <w:pPr>
        <w:spacing w:after="0" w:line="260" w:lineRule="auto"/>
      </w:pPr>
      <w:r>
        <w:tab/>
      </w:r>
      <w:r>
        <w:t xml:space="preserve">– </w:t>
      </w:r>
      <w:r>
        <w:t>izkazati strokovno usposobljenost z dokazili o izobrazbi in izkušnjah strokovnjakov, ki pokrivajo tehnično-tehnološko, finančno, kadrovsko-socialno in davčno-ekonomsko področje;</w:t>
      </w:r>
    </w:p>
    <w:p>
      <w:pPr>
        <w:spacing w:after="0" w:line="260" w:lineRule="auto"/>
      </w:pPr>
      <w:r>
        <w:tab/>
      </w:r>
      <w:r>
        <w:t xml:space="preserve">– </w:t>
      </w:r>
      <w:r>
        <w:t>izkazati neodvisnost z dokazili o odsotnosti poslovnih, pogodbenih, upravljavskih ali lastniških povezav s Premogovnikom Velenje in njegovimi odvisnimi družbami.</w:t>
      </w:r>
    </w:p>
    <w:p>
      <w:pPr>
        <w:spacing w:after="0" w:line="260" w:lineRule="auto"/>
        <w:rPr>
          <w:rFonts w:ascii="Arial" w:hAnsi="Arial" w:cs="Arial"/>
        </w:rPr>
      </w:pPr>
    </w:p>
    <w:p>
      <w:pPr>
        <w:spacing w:after="0" w:line="260" w:lineRule="auto"/>
      </w:pPr>
      <w:r>
        <w:tab/>
      </w:r>
      <w:r>
        <w:t xml:space="preserve">(2) </w:t>
      </w:r>
      <w:r>
        <w:t>Izvajalec nadzora ne sme:</w:t>
      </w:r>
      <w:r>
        <w:br/>
      </w:r>
    </w:p>
    <w:p>
      <w:pPr>
        <w:spacing w:after="0" w:line="260" w:lineRule="auto"/>
      </w:pPr>
      <w:r>
        <w:tab/>
      </w:r>
      <w:r>
        <w:t xml:space="preserve">– </w:t>
      </w:r>
      <w:r>
        <w:t>biti v programskem obdobju nadzora hkrati izvajalec drugih storitev za Premogovnik Velenje ali njegove odvisne družbe, ki niso določene s pogodbo o nadzoru, njegov podizvajalec ali dobavitelj ter mora izkazati neodvisnost;</w:t>
      </w:r>
    </w:p>
    <w:p>
      <w:pPr>
        <w:spacing w:after="0" w:line="260" w:lineRule="auto"/>
      </w:pPr>
      <w:r>
        <w:tab/>
      </w:r>
      <w:r>
        <w:t xml:space="preserve">– </w:t>
      </w:r>
      <w:r>
        <w:t>opravljati dejavnosti, ki bi lahko povzročila nasprotje interesov ali vplivala na njegovo neodvisnost, zlasti dejavnosti, ki bi ustvarile poslovno, pogodbeno ali organizacijsko odvisnost od Premogovnika Velenje ali njegovih odvisnih družb;</w:t>
      </w:r>
    </w:p>
    <w:p>
      <w:pPr>
        <w:spacing w:after="0" w:line="260" w:lineRule="auto"/>
      </w:pPr>
      <w:r>
        <w:tab/>
      </w:r>
      <w:r>
        <w:t xml:space="preserve">– </w:t>
      </w:r>
      <w:r>
        <w:t>imeti nobenega neposrednega ali posrednega interesa pri poslovanju Premogovnika Velenje in njegovih odvisnih družb, pri izvajanju programa zapiranja ali v povezavi z njegovim zapiranjem.</w:t>
      </w:r>
    </w:p>
    <w:p>
      <w:pPr>
        <w:spacing w:after="0" w:line="260" w:lineRule="auto"/>
        <w:rPr>
          <w:rFonts w:ascii="Arial" w:hAnsi="Arial" w:cs="Arial"/>
        </w:rPr>
      </w:pPr>
    </w:p>
    <w:p>
      <w:pPr>
        <w:spacing w:after="0" w:line="260" w:lineRule="auto"/>
      </w:pPr>
      <w:r>
        <w:tab/>
      </w:r>
      <w:r>
        <w:t xml:space="preserve">(3) </w:t>
      </w:r>
      <w:r>
        <w:t>Določbe tega člena se smiselno uporabljajo tudi za z izvajalcem nadzora povezane osebe, vključno z njegovimi lastniki, člani organov vodenja ali nadzora, odvisnimi družbami, povezanimi podjetji, podizvajalci ter drugimi osebami, s katerimi ima izvajalec poslovne, pogodbene ali upravljavske povezave, ki bi lahko vplivale na njegovo neodvisnost pri izvajanju nadzora.</w:t>
      </w:r>
    </w:p>
    <w:p>
      <w:pPr>
        <w:pStyle w:val="len"/>
        <w:spacing w:after="0" w:line="260" w:lineRule="auto"/>
      </w:pPr>
      <w:r>
        <w:t>5. člen</w:t>
      </w:r>
    </w:p>
    <w:p>
      <w:pPr>
        <w:pStyle w:val="lennaslov"/>
        <w:spacing w:after="0" w:line="260" w:lineRule="auto"/>
      </w:pPr>
      <w:r>
        <w:t>(sodelovanje izvajalca nadzora in Premogovnika Velenje)</w:t>
      </w:r>
    </w:p>
    <w:p>
      <w:pPr>
        <w:spacing w:after="0" w:line="260" w:lineRule="auto"/>
        <w:rPr>
          <w:rFonts w:ascii="Arial" w:hAnsi="Arial" w:cs="Arial"/>
        </w:rPr>
      </w:pPr>
    </w:p>
    <w:p>
      <w:pPr>
        <w:spacing w:after="0" w:line="260" w:lineRule="auto"/>
      </w:pPr>
      <w:r>
        <w:tab/>
      </w:r>
      <w:r>
        <w:t xml:space="preserve">(1) </w:t>
      </w:r>
      <w:r>
        <w:t>Premogovnik Velenje mora izvajalcu nadzora omogočiti dostop do vseh podatkov, evidenc in dokumentacije, ki so nujno potrebni za izvajanje nadzora v skladu z ZPZPV in to uredbo, ter mu omogočiti ogled objektov in naprav, v obsegu, ki je potreben za učinkovito izvedbo nadzora.</w:t>
      </w:r>
    </w:p>
    <w:p>
      <w:pPr>
        <w:spacing w:after="0" w:line="260" w:lineRule="auto"/>
        <w:rPr>
          <w:rFonts w:ascii="Arial" w:hAnsi="Arial" w:cs="Arial"/>
        </w:rPr>
      </w:pPr>
    </w:p>
    <w:p>
      <w:pPr>
        <w:spacing w:after="0" w:line="260" w:lineRule="auto"/>
      </w:pPr>
      <w:r>
        <w:tab/>
      </w:r>
      <w:r>
        <w:t xml:space="preserve">(2) </w:t>
      </w:r>
      <w:r>
        <w:t>Premogovnik Velenje mora izvajalcu nadzora omogočiti sodelovanje svojih strokovnih služb v obsegu, ki je nujen za razjasnitev tehničnih, tehnoloških in varnostnih vprašanj, povezanih z nadzorom, kadar to zahteva izvajalec nadzora.</w:t>
      </w:r>
    </w:p>
    <w:p>
      <w:pPr>
        <w:spacing w:after="0" w:line="260" w:lineRule="auto"/>
        <w:rPr>
          <w:rFonts w:ascii="Arial" w:hAnsi="Arial" w:cs="Arial"/>
        </w:rPr>
      </w:pPr>
    </w:p>
    <w:p>
      <w:pPr>
        <w:spacing w:after="0" w:line="260" w:lineRule="auto"/>
      </w:pPr>
      <w:r>
        <w:tab/>
      </w:r>
      <w:r>
        <w:t xml:space="preserve">(3) </w:t>
      </w:r>
      <w:r>
        <w:t>Zagotavljanje pogojev iz prvega in drugega odstavka tega člena ne sme povzročiti dodatnih stroškov Premogovniku Velenje.</w:t>
      </w:r>
    </w:p>
    <w:p>
      <w:pPr>
        <w:pStyle w:val="Poglavje"/>
        <w:spacing w:after="0" w:line="260" w:lineRule="auto"/>
      </w:pPr>
      <w:r>
        <w:t>PREHODNA IN KONČNA DOLOČBA</w:t>
      </w:r>
    </w:p>
    <w:p>
      <w:pPr>
        <w:pStyle w:val="len"/>
        <w:spacing w:after="0" w:line="260" w:lineRule="auto"/>
      </w:pPr>
      <w:r>
        <w:t>6. člen</w:t>
      </w:r>
    </w:p>
    <w:p>
      <w:pPr>
        <w:pStyle w:val="lennaslov"/>
        <w:spacing w:after="0" w:line="260" w:lineRule="auto"/>
      </w:pPr>
      <w:r>
        <w:t>(izvedba javnega razpisa)</w:t>
      </w:r>
    </w:p>
    <w:p>
      <w:pPr>
        <w:spacing w:after="0" w:line="260" w:lineRule="auto"/>
        <w:rPr>
          <w:rFonts w:ascii="Arial" w:hAnsi="Arial" w:cs="Arial"/>
        </w:rPr>
      </w:pPr>
    </w:p>
    <w:p>
      <w:pPr>
        <w:spacing w:after="0" w:line="260" w:lineRule="auto"/>
      </w:pPr>
      <w:r>
        <w:tab/>
      </w:r>
      <w:r>
        <w:t>Ministrstvo, pristojno za rudarstvo, izvede javni razpis, izbere izvajalca nadzora in z njim sklene pogodbo o izvajanju nadzora v treh mesecih po uveljavitvi te uredbe.</w:t>
      </w:r>
    </w:p>
    <w:p>
      <w:pPr>
        <w:pStyle w:val="len"/>
        <w:spacing w:after="0" w:line="260" w:lineRule="auto"/>
      </w:pPr>
      <w:r>
        <w:t>7. člen</w:t>
      </w:r>
    </w:p>
    <w:p>
      <w:pPr>
        <w:pStyle w:val="lennaslov"/>
        <w:spacing w:after="0" w:line="260" w:lineRule="auto"/>
      </w:pPr>
      <w:r>
        <w:t>(začetek veljavnosti)</w:t>
      </w:r>
    </w:p>
    <w:p>
      <w:pPr>
        <w:spacing w:after="0" w:line="260" w:lineRule="auto"/>
        <w:rPr>
          <w:rFonts w:ascii="Arial" w:hAnsi="Arial" w:cs="Arial"/>
        </w:rPr>
      </w:pPr>
    </w:p>
    <w:p>
      <w:pPr>
        <w:spacing w:after="0" w:line="260" w:lineRule="auto"/>
      </w:pPr>
      <w:r>
        <w:tab/>
      </w:r>
      <w:r>
        <w:t>Ta uredba začne veljati naslednji dan po objavi v Uradnem listu Republike Slovenije.</w:t>
      </w:r>
    </w:p>
    <w:p>
      <w:r>
        <w:br w:type="page"/>
      </w:r>
    </w:p>
    <w:p>
      <w:pPr>
        <w:pStyle w:val="Odebeljeno"/>
        <w:spacing w:after="0" w:line="260" w:lineRule="auto"/>
      </w:pPr>
      <w:r>
        <w:t>III.</w:t>
      </w:r>
      <w:r>
        <w:tab/>
      </w:r>
      <w:r>
        <w:t>OBRAZLOŽITEV</w:t>
      </w:r>
    </w:p>
    <w:p>
      <w:pPr>
        <w:spacing w:after="0" w:line="260" w:lineRule="auto"/>
        <w:rPr>
          <w:rFonts w:ascii="Arial" w:hAnsi="Arial" w:cs="Arial"/>
        </w:rPr>
      </w:pPr>
    </w:p>
    <w:p>
      <w:pPr>
        <w:pStyle w:val="Odebeljeno"/>
        <w:spacing w:after="0" w:line="260" w:lineRule="auto"/>
      </w:pPr>
      <w:r>
        <w:t>K 1. členu:</w:t>
      </w:r>
    </w:p>
    <w:p>
      <w:pPr>
        <w:spacing w:after="0" w:line="240" w:lineRule="auto"/>
        <w:jc w:val="both"/>
      </w:pPr>
      <w:r>
        <w:t xml:space="preserve">Prvi člen določa predmet urejanja uredbe ter povzema zakonsko pooblastilo iz osmega odstavka 5. člena Zakona o postopnem zapiranju Premogovnika Velenje (Uradni list RS, št. 12/26, v nadaljnjem besedilu: zakon), na podlagi katerega Vlada Republike Slovenije sprejme ta podzakonski akt. </w:t>
      </w:r>
    </w:p>
    <w:p>
      <w:pPr>
        <w:spacing w:after="0" w:line="240" w:lineRule="auto"/>
        <w:jc w:val="both"/>
      </w:pPr>
      <w:r>
        <w:t xml:space="preserve"> </w:t>
      </w:r>
    </w:p>
    <w:p>
      <w:pPr>
        <w:spacing w:after="0" w:line="240" w:lineRule="auto"/>
        <w:jc w:val="both"/>
      </w:pPr>
      <w:r>
        <w:t xml:space="preserve">Obseg področij nadzora se nanaša na vsa vsebinska področja, ki jih je zakon določil kot obvezna, ter vključuje tudi način kritja stroškov nadzora pri porabi proračunskih in lastnih sredstev. </w:t>
      </w:r>
    </w:p>
    <w:p>
      <w:pPr>
        <w:spacing w:after="0" w:line="240" w:lineRule="auto"/>
      </w:pPr>
      <w:r>
        <w:t xml:space="preserve"> </w:t>
      </w:r>
    </w:p>
    <w:p>
      <w:pPr>
        <w:spacing w:after="0" w:line="260" w:lineRule="auto"/>
        <w:rPr>
          <w:rFonts w:ascii="Arial" w:hAnsi="Arial" w:cs="Arial"/>
        </w:rPr>
      </w:pPr>
    </w:p>
    <w:p>
      <w:pPr>
        <w:pStyle w:val="Odebeljeno"/>
        <w:spacing w:after="0" w:line="260" w:lineRule="auto"/>
      </w:pPr>
      <w:r>
        <w:t>K 2. členu:</w:t>
      </w:r>
    </w:p>
    <w:p>
      <w:pPr>
        <w:spacing w:after="0" w:line="240" w:lineRule="auto"/>
        <w:jc w:val="both"/>
      </w:pPr>
      <w:r>
        <w:t>Drugi člen ureja podroben obseg nalog izvajalca nadzora in s tem podrobno operacionalizira vse obveznosti, ki jih zakon določa glede nadzora nad izvajanjem programa postopnega zapiranja Premogovnika Velenje ter podrobnejših programov zapiranja in porabo proračunskih sredstev.</w:t>
      </w:r>
    </w:p>
    <w:p>
      <w:pPr>
        <w:spacing w:after="0" w:line="240" w:lineRule="auto"/>
        <w:jc w:val="left"/>
      </w:pPr>
      <w:r>
        <w:t xml:space="preserve"> </w:t>
      </w:r>
    </w:p>
    <w:p>
      <w:pPr>
        <w:spacing w:after="0" w:line="240" w:lineRule="auto"/>
        <w:jc w:val="both"/>
      </w:pPr>
      <w:r>
        <w:t>Uredba določa naloge storitve nadzora skladno z osmim odstavkom 5. člena zakona in jih podrobneje operacionalizira z operativnimi elementi, potrebnimi za učinkovito izvajanje nadzora (npr. potrditev obračunskih situacij, spremljanje terminskih planov, priprava letnih poročil, nadzor nad sodili za razmejevanje stroškov).</w:t>
      </w:r>
    </w:p>
    <w:p>
      <w:pPr>
        <w:spacing w:after="0" w:line="240" w:lineRule="auto"/>
        <w:jc w:val="both"/>
      </w:pPr>
      <w:r>
        <w:t xml:space="preserve"> </w:t>
      </w:r>
    </w:p>
    <w:p>
      <w:pPr>
        <w:spacing w:after="0" w:line="240" w:lineRule="auto"/>
        <w:jc w:val="both"/>
      </w:pPr>
      <w:r>
        <w:t xml:space="preserve"> </w:t>
      </w:r>
    </w:p>
    <w:p>
      <w:pPr>
        <w:spacing w:after="0" w:line="260" w:lineRule="auto"/>
        <w:rPr>
          <w:rFonts w:ascii="Arial" w:hAnsi="Arial" w:cs="Arial"/>
        </w:rPr>
      </w:pPr>
    </w:p>
    <w:p>
      <w:pPr>
        <w:pStyle w:val="Odebeljeno"/>
        <w:spacing w:after="0" w:line="260" w:lineRule="auto"/>
      </w:pPr>
      <w:r>
        <w:t>K 3. členu:</w:t>
      </w:r>
    </w:p>
    <w:p>
      <w:pPr>
        <w:spacing w:after="0" w:line="240" w:lineRule="auto"/>
        <w:jc w:val="both"/>
      </w:pPr>
      <w:r>
        <w:t>Ta člen operacionalizira ureditev iz sedmega odstavka 5. člena zakona o tem, da nadzor opravlja neodvisna strokovna institucija, izbrana na mednarodnem javnem razpisu s strani ministrstva, pristojnega za rudarstvo. Omogoča, da se na javni razpis prijavi s skupno ponudbo več neodvisnih institucij, če je ena specializirana za tehnični nadzor, druga pa za finančni ali socialni nadzor. Razlog za to je multidisciplinarnost nadzora, dejstvo, da ena sama institucija redko razpolaga z vsemi potrebnimi strokovnjaki (rudarska stroka, geomehanika, gradbeništvo, finance, računovodstvo, državna pomoč, prava državnih pomoči, socialna politika) in povečana strokovnost zaradi povezovanja najboljših strokovnih kapacitet. Ta določba povečuje kakovost nadzora ter omogoča, da institucije, ki so vrhunske le na posameznih področjih, sodelujejo v enotnem nadzornem mehanizmu.</w:t>
      </w:r>
    </w:p>
    <w:p>
      <w:pPr>
        <w:spacing w:after="0" w:line="240" w:lineRule="auto"/>
        <w:jc w:val="both"/>
      </w:pPr>
      <w:r>
        <w:t xml:space="preserve"> </w:t>
      </w:r>
    </w:p>
    <w:p>
      <w:pPr>
        <w:spacing w:after="0" w:line="240" w:lineRule="auto"/>
        <w:jc w:val="both"/>
      </w:pPr>
      <w:r>
        <w:t xml:space="preserve">Izbrani izvajalec sklene pogodbo za z razpisom določeno obdobje skladno z zakonodajo o javnem naročanju. Člen določa, da se za vsako proračunsko leto sklene letni aneks, ki vsebuje: podrobnejši opis nalog za tekoče leto, časovno dinamiko izvajanja nalog, višino letnih stroškov nadzora. Določba o letnih aneksih opredeljuje podrobnejše opise nalog in ne posega v bistvene elemente razpisanih obveznosti, temveč zagotavlja jasnost letne dinamike in nudi jasno finančno strukturo ter doslednosti s pravili javnega naročanja. Letni aneksi so namenjeni zgolj operativni razčlenitvi nalog, časovni razporeditvi, finančnemu razmejevanju in ne posegajo v bistvene elemente pogodbe, ki so določeni v postopku javnega naročanja. </w:t>
      </w:r>
    </w:p>
    <w:p>
      <w:pPr>
        <w:spacing w:after="0" w:line="240" w:lineRule="auto"/>
        <w:jc w:val="both"/>
      </w:pPr>
      <w:r>
        <w:t xml:space="preserve"> </w:t>
      </w:r>
    </w:p>
    <w:p>
      <w:pPr>
        <w:spacing w:after="0" w:line="240" w:lineRule="auto"/>
        <w:jc w:val="both"/>
      </w:pPr>
      <w:r>
        <w:t>Člen določa, da mora pogodba vsebovati tudi mehanizme za preprečevanje nasprotja interesov, kar izhaja iz osmega odstavka 5. člena zakona, ki zahteva popolno neodvisnost izvajalca nadzora. To vključuje obveznost izjav o neodvisnosti, notranje nadzorne mehanizme izvajalca, postopke izločitve strokovnjakov ob zaznavi tveganja konflikta interesov, prepoved poslovnih, pogodbenih ali lastniških povezav z družbo Premogovnik Velenje, ki so določeni v 4. členu uredbe in se uporabljajo tako v času izbora, kot v času celotnega pogodbenega sodelovanja.</w:t>
      </w:r>
    </w:p>
    <w:p>
      <w:pPr>
        <w:spacing w:after="0" w:line="240" w:lineRule="auto"/>
        <w:jc w:val="both"/>
      </w:pPr>
      <w:r>
        <w:t xml:space="preserve"> </w:t>
      </w:r>
    </w:p>
    <w:p>
      <w:pPr>
        <w:spacing w:after="0" w:line="240" w:lineRule="auto"/>
        <w:jc w:val="both"/>
      </w:pPr>
      <w:r>
        <w:t>Stroški nadzora se krijejo iz sredstev, namenjenih za izvajanje programa zapiranja, kot to določa osmi odstavek 5. člena zakona. To pomeni, da uredba ne ustvarja novih obveznosti za državni proračun, stroški nadzora so neposredno vključeni v stroške zapiralnih del, sredstva so predvidena v dvoletnih podrobnejših programih zapiranja (določba osmega odstavka 5. člena zakona). Takšen model financiranja omogoča transparentnost in nadzor nad namensko porabo sredstev.</w:t>
      </w:r>
    </w:p>
    <w:p>
      <w:pPr>
        <w:spacing w:after="0" w:line="240" w:lineRule="auto"/>
        <w:jc w:val="both"/>
      </w:pPr>
      <w:r>
        <w:t xml:space="preserve"> </w:t>
      </w:r>
    </w:p>
    <w:p>
      <w:pPr>
        <w:spacing w:after="0" w:line="240" w:lineRule="auto"/>
        <w:jc w:val="both"/>
      </w:pPr>
      <w:r>
        <w:t>Člen določa obveznost izvajalca nadzora, da sodeluje z rudarsko inšpekcijo, ji omogoča vpogled v dokumentacijo in delitev ugotovitev. To temelji na zakonski ureditvi nadzora nad izvajanjem rudarskih del, potrebi po usklajevanju tehnično-tehnoloških ugotovitev nadzorne institucije in državnega nadzornega organa. S tem se vzpostavlja sinergija med strokovnim neodvisnim nadzorom izvajalca in državnim inšpekcijskim nadzorom, kar zagotavlja višjo raven varnosti in zakonitosti izvedenih zapiralnih del.</w:t>
      </w:r>
    </w:p>
    <w:p>
      <w:pPr>
        <w:spacing w:after="0" w:line="240" w:lineRule="auto"/>
        <w:jc w:val="both"/>
      </w:pPr>
      <w:r>
        <w:t xml:space="preserve"> </w:t>
      </w:r>
    </w:p>
    <w:p>
      <w:pPr>
        <w:spacing w:after="0" w:line="240" w:lineRule="auto"/>
        <w:jc w:val="both"/>
      </w:pPr>
      <w:r>
        <w:t>Letno poročilo je temelj za izvajanje 7. člena ZPZPV, ki določa, da mora ministrstvo do konca maja Vladi RS predložiti poročilo o izvajanju zakona za preteklo leto, ki vključuje natančne podatke o izvedbi zapiralnih del in drugih ukrepov. Predstavlja temeljni dokument za poročanje Vladi RS in odločanje o nadaljnjih aktivnostih, potrjevanje podrobnejših programov, preverjanje namenske porabe sredstev.</w:t>
      </w:r>
    </w:p>
    <w:p>
      <w:pPr>
        <w:spacing w:after="0" w:line="240" w:lineRule="auto"/>
        <w:jc w:val="both"/>
      </w:pPr>
      <w:r>
        <w:t xml:space="preserve"> </w:t>
      </w:r>
    </w:p>
    <w:p>
      <w:pPr>
        <w:spacing w:after="0" w:line="240" w:lineRule="auto"/>
        <w:jc w:val="both"/>
      </w:pPr>
      <w:r>
        <w:t>Po koncu programskega obdobja zapiranja izvajalec pripravi še zaključni pregled vseh ugotovitev. To poročilo je ključno za oceno celotne uspešnosti zapiralnih del, potrditev pravilnosti porabe sredstev za celotno obdobje in zaključek postopkov nadzora pred likvidacijo družbe.</w:t>
      </w:r>
    </w:p>
    <w:p>
      <w:pPr>
        <w:spacing w:after="0" w:line="240" w:lineRule="auto"/>
        <w:jc w:val="both"/>
      </w:pPr>
      <w:r>
        <w:t xml:space="preserve"> </w:t>
      </w:r>
    </w:p>
    <w:p>
      <w:pPr>
        <w:spacing w:after="0" w:line="240" w:lineRule="auto"/>
        <w:jc w:val="both"/>
      </w:pPr>
      <w:r>
        <w:t xml:space="preserve"> </w:t>
      </w:r>
    </w:p>
    <w:p>
      <w:pPr>
        <w:spacing w:after="0" w:line="260" w:lineRule="auto"/>
        <w:rPr>
          <w:rFonts w:ascii="Arial" w:hAnsi="Arial" w:cs="Arial"/>
        </w:rPr>
      </w:pPr>
    </w:p>
    <w:p>
      <w:pPr>
        <w:pStyle w:val="Odebeljeno"/>
        <w:spacing w:after="0" w:line="260" w:lineRule="auto"/>
      </w:pPr>
      <w:r>
        <w:t>K 4. členu:</w:t>
      </w:r>
    </w:p>
    <w:p>
      <w:pPr>
        <w:spacing w:after="0" w:line="240" w:lineRule="auto"/>
      </w:pPr>
      <w:r>
        <w:t xml:space="preserve">Namen člena je zagotoviti strokovno neodvisnost in objektivnost izvajalca nadzora, kar je ključno zaradi proračunskega financiranja, neodvisnosti delovanja in zagotavljanja transparentnosti in integritete poslovanja. Zakonsko podlago predstavlja osmi odstavek 5. člena zakona, ki Vladi RS nalaga, da določi podrobnejše pogoje glede strokovne usposobljenosti in neodvisnosti izvajalca nadzora. Določa stroge pogoje za izvajalca nadzora, s poudarkom na strokovni usposobljenosti in predvsem na zagotavljanju popolne neodvisnosti ter preprečevanju nasprotja interesov. </w:t>
      </w:r>
    </w:p>
    <w:p>
      <w:pPr>
        <w:spacing w:after="0" w:line="240" w:lineRule="auto"/>
        <w:jc w:val="left"/>
      </w:pPr>
      <w:r>
        <w:br/>
      </w:r>
      <w:r>
        <w:t>Določbe o zahtevani usposobljenosti strokovnjakov, dokazilih ter organizacijskih mehanizmih za zagotavljanje neodvisnosti so oblikovane tako, da so pogoji določeni natančno in ne splošno. Zato so v členu jasno navedeni: zahtevana strokovna področja, dokazila o usposobljenosti, zahteve glede neodvisnosti in preprečevanja nasprotja interesov ter razširitev teh zahtev na povezane osebe.</w:t>
      </w:r>
    </w:p>
    <w:p>
      <w:pPr>
        <w:spacing w:after="0" w:line="240" w:lineRule="auto"/>
        <w:jc w:val="left"/>
      </w:pPr>
      <w:r>
        <w:br/>
      </w:r>
      <w:r>
        <w:t>Odstavek 1: Opredeljuje pozitivne pogoje. Izvajalec mora biti neodvisna strokovna institucija z ustreznimi znanji in pooblastili, ki pokrivajo vsa področja nadzora. Operacionalizacija zakonske zahteve je zahteva, da mora izvajalec vzpostaviti in izkazati notranje mehanizme za preprečevanje nasprotja interesov (npr. pisne izjave strokovnjakov, postopki za izločitev), s čimer se zagotavlja proaktivno upravljanje tveganj za integriteto nadzora.</w:t>
      </w:r>
      <w:r>
        <w:br/>
      </w:r>
      <w:r>
        <w:t xml:space="preserve"> </w:t>
      </w:r>
    </w:p>
    <w:p>
      <w:pPr>
        <w:spacing w:after="0" w:line="240" w:lineRule="auto"/>
      </w:pPr>
      <w:r>
        <w:t>Odstavek 2: Določa negativne pogoje in nezdružljivost. Izvajalcu nadzora je izrecno prepovedano, da bi v programskem obdobju opravljal kakršnekoli druge storitve za Premogovnik Velenje ali bil njegov dobavitelj/podizvajalec. S tem se preprečuje vsakršna poslovna ali finančna prepletenost, ki bi lahko ogrozila objektivnost nadzora. Negativni pogoji (prepoved izvajanja drugih storitev, neposreden ali posreden interes) sledijo načelu, da mora biti izvajalec nadzora popolnoma neodvisen od Premogovnika Velenje in povezanih družb.</w:t>
      </w:r>
    </w:p>
    <w:p>
      <w:pPr>
        <w:spacing w:after="0" w:line="240" w:lineRule="auto"/>
      </w:pPr>
      <w:r>
        <w:t xml:space="preserve"> </w:t>
      </w:r>
    </w:p>
    <w:p>
      <w:pPr>
        <w:spacing w:after="0" w:line="240" w:lineRule="auto"/>
        <w:jc w:val="left"/>
      </w:pPr>
      <w:r>
        <w:t>Odstavek 3: Ta določba preprečuje morebiten obid pravil o neodvisnosti. Vse zahteve in prepovedi iz tega člena se smiselno uporabljajo tudi za vse povezane osebe izvajalca nadzora (lastnike, vodstvo, odvisne družbe, podizvajalce). S tem se zagotavlja, da nasprotje interesov ne more nastati posredno preko povezanih subjektov.</w:t>
      </w:r>
      <w:r>
        <w:br/>
      </w:r>
      <w:r>
        <w:t xml:space="preserve"> </w:t>
      </w:r>
    </w:p>
    <w:p>
      <w:pPr>
        <w:spacing w:after="0" w:line="260" w:lineRule="auto"/>
        <w:rPr>
          <w:rFonts w:ascii="Arial" w:hAnsi="Arial" w:cs="Arial"/>
        </w:rPr>
      </w:pPr>
    </w:p>
    <w:p>
      <w:pPr>
        <w:pStyle w:val="Odebeljeno"/>
        <w:spacing w:after="0" w:line="260" w:lineRule="auto"/>
      </w:pPr>
      <w:r>
        <w:t>K 5. členu:</w:t>
      </w:r>
    </w:p>
    <w:p>
      <w:pPr>
        <w:spacing w:after="0" w:line="240" w:lineRule="auto"/>
      </w:pPr>
      <w:r>
        <w:t>Člen nalaga Premogovniku Velenje obveznost sodelovanja z izvajalcem nadzora. Premogovnik mu mora omogočiti dostop do vseh potrebnih podatkov, dokumentacije in objektov ter zagotoviti sodelovanje strokovnih služb. Tretji odstavek izrecno določa, da mora Premogovnik Velenje te pogoje zagotoviti brezplačno, saj gre za izpolnjevanje zakonske obveznosti in ne za tržno storitev.</w:t>
      </w:r>
    </w:p>
    <w:p>
      <w:pPr>
        <w:spacing w:after="0" w:line="240" w:lineRule="auto"/>
        <w:jc w:val="left"/>
      </w:pPr>
      <w:r>
        <w:br/>
      </w:r>
      <w:r>
        <w:t>Ta člen določa obveznosti Premogovnika Velenje pri omogočanju izvajanja neodvisnega nadzora. Zakonsko podlago predstavlja sedmi odstavek 5. člena zakona ter dejstvo, da je za učinkovito izvajanje nadzora nujen dostop do dokumentacije, podatkov in objektov.</w:t>
      </w:r>
    </w:p>
    <w:p>
      <w:pPr>
        <w:spacing w:after="0" w:line="240" w:lineRule="auto"/>
        <w:jc w:val="left"/>
      </w:pPr>
      <w:r>
        <w:br/>
      </w:r>
      <w:r>
        <w:t xml:space="preserve">Uredba določa le tiste obveznosti Premogovnika Velenje, ki so nujno potrebne za izvedbo zakonsko določenega nadzora. Določbe o dostopu do objektov, dokumentacije in sodelovanja strokovnih služb ne presegajo zakonskega okvira, ker nadzor nad izvajanjem programa brez teh elementov ne bi bil mogoč. Prav tako je določeno, da Premogovniku Velenje zaradi aktivnosti v tem členu ne nastajajo dodatni stroški, saj se uredba ne sme razlagati kot podlaga za dodatne finančne obveznosti brez zakonske podlage. </w:t>
      </w:r>
      <w:r>
        <w:br/>
      </w:r>
      <w:r>
        <w:t xml:space="preserve"> </w:t>
      </w:r>
    </w:p>
    <w:p>
      <w:pPr>
        <w:spacing w:after="0" w:line="260" w:lineRule="auto"/>
        <w:rPr>
          <w:rFonts w:ascii="Arial" w:hAnsi="Arial" w:cs="Arial"/>
        </w:rPr>
      </w:pPr>
    </w:p>
    <w:p>
      <w:pPr>
        <w:pStyle w:val="Odebeljeno"/>
        <w:spacing w:after="0" w:line="260" w:lineRule="auto"/>
      </w:pPr>
      <w:r>
        <w:t>K 6. členu:</w:t>
      </w:r>
    </w:p>
    <w:p>
      <w:pPr>
        <w:spacing w:after="0" w:line="240" w:lineRule="auto"/>
      </w:pPr>
      <w:r>
        <w:t>Ta določba določa izvedbo mednarodnega javnega razpisa v treh mesecih po uveljavitvi uredbe. Podlaga je četrti odstavek 21. člena zakona, ki zahteva sprejem podzakonskega akta v treh mesecih po uveljavitvi zakona, ter sedmi in osmi odstavek 5. člena zakona, ki določata obveznost vzpostavitve nadzornega mehanizma.</w:t>
      </w:r>
    </w:p>
    <w:p>
      <w:pPr>
        <w:spacing w:after="0" w:line="240" w:lineRule="auto"/>
        <w:jc w:val="left"/>
      </w:pPr>
      <w:r>
        <w:br/>
      </w:r>
      <w:r>
        <w:t>Rok omogoča pravočasno vzpostavitev nadzorne funkcije pred začetkom izvajanja dvoletnih programov zapiranja, kar je nujno za zagotavljanje zakonitosti porabe proračunskih sredstev.</w:t>
      </w:r>
      <w:r>
        <w:br/>
      </w:r>
      <w:r>
        <w:t xml:space="preserve"> </w:t>
      </w:r>
    </w:p>
    <w:p>
      <w:pPr>
        <w:spacing w:after="0" w:line="240" w:lineRule="auto"/>
        <w:jc w:val="both"/>
      </w:pPr>
      <w:r>
        <w:t xml:space="preserve"> </w:t>
      </w:r>
    </w:p>
    <w:p>
      <w:pPr>
        <w:spacing w:after="0" w:line="260" w:lineRule="auto"/>
        <w:rPr>
          <w:rFonts w:ascii="Arial" w:hAnsi="Arial" w:cs="Arial"/>
        </w:rPr>
      </w:pPr>
    </w:p>
    <w:p>
      <w:pPr>
        <w:pStyle w:val="Odebeljeno"/>
        <w:spacing w:after="0" w:line="260" w:lineRule="auto"/>
      </w:pPr>
      <w:r>
        <w:t>K 7. členu:</w:t>
      </w:r>
    </w:p>
    <w:p>
      <w:pPr>
        <w:spacing w:after="0" w:line="240" w:lineRule="auto"/>
        <w:jc w:val="both"/>
      </w:pPr>
      <w:r>
        <w:t>Sedmi člen določa način in čas začetka veljavnosti uredbe.  Uredba mora biti skladno z določbami 21. člena zakona sprejeta do 3. 6. 2026.</w:t>
      </w:r>
    </w:p>
    <w:p>
      <w:pPr>
        <w:spacing w:after="0" w:line="240" w:lineRule="auto"/>
        <w:jc w:val="both"/>
      </w:pPr>
      <w:r>
        <w:t xml:space="preserve"> </w:t>
      </w:r>
    </w:p>
    <w:p>
      <w:pPr>
        <w:spacing w:after="0" w:line="240" w:lineRule="auto"/>
        <w:jc w:val="both"/>
      </w:pPr>
      <w:r>
        <w:t>Ker zakon ne določa posebnega roka za uveljavitev podzakonskega akta, se uporabi najpogostejša nomotehnična rešitev: uredba začne veljati naslednji dan po objavi v Uradnem listu Republike Slovenije.</w:t>
      </w:r>
    </w:p>
    <w:p>
      <w:pPr>
        <w:spacing w:after="0" w:line="240" w:lineRule="auto"/>
        <w:jc w:val="both"/>
      </w:pPr>
      <w:r>
        <w:t xml:space="preserve"> </w:t>
      </w:r>
    </w:p>
    <w:p>
      <w:pPr>
        <w:spacing w:after="0" w:line="240" w:lineRule="auto"/>
        <w:jc w:val="both"/>
      </w:pPr>
      <w:r>
        <w:t>To omogoča hitro operativnost uredbe in pravočasno vzpostavitev sistema nadzora, ki je ključen za izvajanje celotnega zakonskega režima.</w:t>
      </w:r>
    </w:p>
    <w:p>
      <w:pPr>
        <w:spacing w:after="0" w:line="260" w:lineRule="auto"/>
        <w:rPr>
          <w:rFonts w:ascii="Arial" w:hAnsi="Arial" w:cs="Arial"/>
        </w:rPr>
      </w:pPr>
    </w:p>
    <w:p>
      <w:r>
        <w:br w:type="page"/>
      </w:r>
    </w:p>
    <w:p>
      <w:pPr>
        <w:pStyle w:val="Odebeljeno"/>
        <w:spacing w:after="0" w:line="260" w:lineRule="auto"/>
      </w:pPr>
      <w:r>
        <w:t>IV.</w:t>
      </w:r>
      <w:r>
        <w:tab/>
      </w:r>
      <w:r>
        <w:t>PRILOGE</w:t>
      </w:r>
    </w:p>
    <w:p>
      <w:pPr>
        <w:spacing w:after="0" w:line="260" w:lineRule="auto"/>
        <w:rPr>
          <w:rFonts w:ascii="Arial" w:hAnsi="Arial" w:cs="Arial"/>
        </w:rPr>
      </w:pPr>
    </w:p>
    <w:p>
      <w:pPr>
        <w:spacing w:after="0" w:line="260" w:lineRule="auto"/>
      </w:pPr>
      <w:r>
        <w:t>Priloge niso priložene.</w:t>
      </w:r>
    </w:p>
    <w:sectPr>
      <w:foot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i/>
        <w:sz w:val="16"/>
      </w:rPr>
      <w:t>Ustvarjeno v MOPED-DOCS, 07. 04. 2026 16:21:03</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DefaultParagraphFont"/>
    <w:link w:val="Header"/>
    <w:uiPriority w:val="99"/>
    <w:rsid w:val="00945425"/>
  </w:style>
  <w:style w:type="paragraph" w:styleId="Footer">
    <w:name w:val="footer"/>
    <w:basedOn w:val="Normal"/>
    <w:link w:val="NogaZnak"/>
    <w:uiPriority w:val="99"/>
    <w:unhideWhenUsed/>
    <w:rsid w:val="00945425"/>
    <w:pPr>
      <w:tabs>
        <w:tab w:val="center" w:pos="4536"/>
        <w:tab w:val="right" w:pos="9072"/>
      </w:tabs>
      <w:spacing w:after="0" w:line="240" w:lineRule="auto"/>
    </w:pPr>
  </w:style>
  <w:style w:type="character" w:customStyle="1" w:styleId="NogaZnak">
    <w:name w:val="Noga Znak"/>
    <w:basedOn w:val="DefaultParagraphFont"/>
    <w:link w:val="Footer"/>
    <w:uiPriority w:val="99"/>
    <w:rsid w:val="00945425"/>
  </w:style>
  <w:style w:type="table" w:styleId="TableGrid">
    <w:name w:val="Table Grid"/>
    <w:basedOn w:val="TableNormal"/>
    <w:uiPriority w:val="39"/>
    <w:rsid w:val="000E3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before="0" w:after="0" w:line="260" w:lineRule="exact"/>
      <w:ind w:left="3969"/>
      <w:jc w:val="center"/>
    </w:pPr>
    <w:rPr>
      <w:b w:val="0"/>
    </w:r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4101</Words>
  <Characters>23382</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zorc</cp:lastModifiedBy>
  <cp:revision>3</cp:revision>
  <dcterms:created xsi:type="dcterms:W3CDTF">2019-02-01T07:54:00Z</dcterms:created>
  <dcterms:modified xsi:type="dcterms:W3CDTF">2019-02-01T08:06:00Z</dcterms:modified>
</cp:coreProperties>
</file>