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C18" w14:textId="77777777" w:rsidR="00425EDB" w:rsidRDefault="00425EDB">
      <w:pPr>
        <w:spacing w:after="0" w:line="260" w:lineRule="auto"/>
        <w:rPr>
          <w:rFonts w:cs="Arial"/>
        </w:rPr>
      </w:pPr>
    </w:p>
    <w:p w14:paraId="6205BDD9" w14:textId="77777777" w:rsidR="00425EDB" w:rsidRDefault="00425EDB">
      <w:pPr>
        <w:spacing w:after="0" w:line="260" w:lineRule="auto"/>
        <w:rPr>
          <w:rFonts w:cs="Arial"/>
        </w:rPr>
      </w:pPr>
    </w:p>
    <w:p w14:paraId="11511277" w14:textId="77777777" w:rsidR="00425EDB" w:rsidRDefault="00425EDB">
      <w:pPr>
        <w:spacing w:after="0" w:line="260" w:lineRule="auto"/>
        <w:rPr>
          <w:rFonts w:cs="Arial"/>
        </w:rPr>
      </w:pPr>
    </w:p>
    <w:p w14:paraId="6E3E1088" w14:textId="77777777" w:rsidR="00425EDB" w:rsidRDefault="00425EDB">
      <w:pPr>
        <w:spacing w:after="0" w:line="260" w:lineRule="auto"/>
        <w:rPr>
          <w:rFonts w:cs="Arial"/>
        </w:rPr>
      </w:pPr>
    </w:p>
    <w:p w14:paraId="5E0D1F2D" w14:textId="77777777" w:rsidR="00425EDB" w:rsidRDefault="00000000">
      <w:pPr>
        <w:pStyle w:val="Odebeljeno"/>
        <w:spacing w:line="260" w:lineRule="auto"/>
      </w:pPr>
      <w:r>
        <w:t>GENERALNI SEKRETARIAT VLADE</w:t>
      </w:r>
    </w:p>
    <w:p w14:paraId="3871DF3C" w14:textId="77777777" w:rsidR="00425EDB" w:rsidRDefault="00000000">
      <w:pPr>
        <w:pStyle w:val="Odebeljeno"/>
        <w:spacing w:line="260" w:lineRule="auto"/>
      </w:pPr>
      <w:r>
        <w:t>REPUBLIKE SLOVENIJE</w:t>
      </w:r>
    </w:p>
    <w:p w14:paraId="038DCB21" w14:textId="77777777" w:rsidR="00425EDB" w:rsidRDefault="00000000">
      <w:pPr>
        <w:pStyle w:val="Odebeljeno"/>
        <w:spacing w:line="260" w:lineRule="auto"/>
      </w:pPr>
      <w:r>
        <w:t>gp.gs@gov.si</w:t>
      </w:r>
    </w:p>
    <w:p w14:paraId="71B66BA8" w14:textId="77777777" w:rsidR="00425EDB" w:rsidRDefault="00425EDB">
      <w:pPr>
        <w:spacing w:after="0" w:line="260" w:lineRule="auto"/>
        <w:rPr>
          <w:rFonts w:cs="Arial"/>
        </w:rPr>
      </w:pPr>
    </w:p>
    <w:p w14:paraId="7E4CEE7C" w14:textId="77777777" w:rsidR="00425EDB" w:rsidRDefault="00425EDB">
      <w:pPr>
        <w:spacing w:after="0" w:line="260" w:lineRule="auto"/>
        <w:rPr>
          <w:rFonts w:cs="Arial"/>
        </w:rPr>
      </w:pPr>
    </w:p>
    <w:p w14:paraId="6865FEF5" w14:textId="77777777" w:rsidR="00425EDB" w:rsidRDefault="00425EDB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25EDB" w14:paraId="30187C7D" w14:textId="77777777">
        <w:tc>
          <w:tcPr>
            <w:tcW w:w="1500" w:type="dxa"/>
          </w:tcPr>
          <w:p w14:paraId="2BF2FD35" w14:textId="77777777" w:rsidR="00425EDB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3E8ABEE" w14:textId="3673C8E3" w:rsidR="00425EDB" w:rsidRDefault="00AE3161">
            <w:pPr>
              <w:spacing w:after="0" w:line="260" w:lineRule="auto"/>
            </w:pPr>
            <w:r>
              <w:t>007-39/2026-34</w:t>
            </w:r>
          </w:p>
        </w:tc>
      </w:tr>
      <w:tr w:rsidR="00425EDB" w14:paraId="0E494B13" w14:textId="77777777">
        <w:tc>
          <w:tcPr>
            <w:tcW w:w="1500" w:type="dxa"/>
          </w:tcPr>
          <w:p w14:paraId="366C95A3" w14:textId="77777777" w:rsidR="00425EDB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EB559F7" w14:textId="77777777" w:rsidR="00425EDB" w:rsidRDefault="00000000">
            <w:pPr>
              <w:spacing w:after="0" w:line="260" w:lineRule="auto"/>
            </w:pPr>
            <w:r>
              <w:t>07. 04. 2026</w:t>
            </w:r>
          </w:p>
        </w:tc>
      </w:tr>
      <w:tr w:rsidR="00425EDB" w14:paraId="667A8E89" w14:textId="77777777">
        <w:tc>
          <w:tcPr>
            <w:tcW w:w="1500" w:type="dxa"/>
          </w:tcPr>
          <w:p w14:paraId="2CD1D293" w14:textId="77777777" w:rsidR="00425EDB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8880D80" w14:textId="77777777" w:rsidR="00425EDB" w:rsidRDefault="00000000">
            <w:pPr>
              <w:spacing w:after="0" w:line="260" w:lineRule="auto"/>
            </w:pPr>
            <w:r>
              <w:t>2026-2560-0016</w:t>
            </w:r>
          </w:p>
        </w:tc>
      </w:tr>
    </w:tbl>
    <w:p w14:paraId="06BB0FF7" w14:textId="77777777" w:rsidR="00425EDB" w:rsidRDefault="00425EDB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25EDB" w14:paraId="1EBBC38C" w14:textId="77777777">
        <w:tc>
          <w:tcPr>
            <w:tcW w:w="1500" w:type="dxa"/>
          </w:tcPr>
          <w:p w14:paraId="51602350" w14:textId="77777777" w:rsidR="00425EDB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703790D2" w14:textId="77777777" w:rsidR="00425EDB" w:rsidRDefault="00000000">
            <w:pPr>
              <w:pStyle w:val="Odebeljeno"/>
              <w:spacing w:line="260" w:lineRule="auto"/>
            </w:pPr>
            <w:r>
              <w:t>Uredba o pravilih za izvajanje tehničnega in finančnega nadzora nad izvajanjem programov postopnega zapiranja Premogovnika Velenje – predlog za obravnavo</w:t>
            </w:r>
          </w:p>
        </w:tc>
      </w:tr>
    </w:tbl>
    <w:p w14:paraId="2449A40F" w14:textId="77777777" w:rsidR="00425EDB" w:rsidRDefault="00425EDB">
      <w:pPr>
        <w:spacing w:after="0" w:line="260" w:lineRule="auto"/>
        <w:rPr>
          <w:rFonts w:cs="Arial"/>
        </w:rPr>
      </w:pPr>
    </w:p>
    <w:p w14:paraId="382790E4" w14:textId="77777777" w:rsidR="00425EDB" w:rsidRDefault="00425EDB">
      <w:pPr>
        <w:spacing w:after="0" w:line="260" w:lineRule="auto"/>
        <w:rPr>
          <w:rFonts w:cs="Arial"/>
        </w:rPr>
      </w:pPr>
    </w:p>
    <w:p w14:paraId="60EE5291" w14:textId="77777777" w:rsidR="00425EDB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31E2796A" w14:textId="77777777" w:rsidR="00425EDB" w:rsidRDefault="00425EDB">
      <w:pPr>
        <w:spacing w:after="0" w:line="260" w:lineRule="auto"/>
        <w:rPr>
          <w:rFonts w:cs="Arial"/>
        </w:rPr>
      </w:pPr>
    </w:p>
    <w:p w14:paraId="5858B132" w14:textId="77777777" w:rsidR="00425EDB" w:rsidRDefault="00000000">
      <w:pPr>
        <w:spacing w:after="0" w:line="240" w:lineRule="auto"/>
      </w:pPr>
      <w:r>
        <w:t>Na podlagi osmega odstavka 5. člena Zakona o postopnem zapiranju Premogovnika Velenje (Uradni list RS, št. 12/26) je Vlada Republike Slovenije na … seji dne … pod točko ... sprejela</w:t>
      </w:r>
    </w:p>
    <w:p w14:paraId="5D92B543" w14:textId="77777777" w:rsidR="00425EDB" w:rsidRDefault="00000000">
      <w:pPr>
        <w:spacing w:after="0" w:line="240" w:lineRule="auto"/>
        <w:jc w:val="center"/>
      </w:pPr>
      <w:r>
        <w:br/>
        <w:t>SKLEP:</w:t>
      </w:r>
    </w:p>
    <w:p w14:paraId="6040ACF8" w14:textId="77777777" w:rsidR="00425EDB" w:rsidRDefault="00000000">
      <w:pPr>
        <w:spacing w:after="0" w:line="240" w:lineRule="auto"/>
        <w:jc w:val="center"/>
      </w:pPr>
      <w:r>
        <w:t xml:space="preserve"> </w:t>
      </w:r>
    </w:p>
    <w:p w14:paraId="2C3899EF" w14:textId="77777777" w:rsidR="00425EDB" w:rsidRDefault="00000000">
      <w:pPr>
        <w:spacing w:after="0" w:line="240" w:lineRule="auto"/>
      </w:pPr>
      <w:r>
        <w:t>Vlada Republike Slovenije je izdala Uredbo o pravilih za izvajanje tehničnega in finančnega nadzora nad izvajanjem programov postopnega zapiranja Premogovnika Velenje in jo objavi v Uradnem listu Republike Slovenije.</w:t>
      </w:r>
    </w:p>
    <w:p w14:paraId="127638A0" w14:textId="77777777" w:rsidR="00425EDB" w:rsidRDefault="00000000">
      <w:pPr>
        <w:spacing w:after="0" w:line="240" w:lineRule="auto"/>
        <w:jc w:val="center"/>
      </w:pPr>
      <w:r>
        <w:br/>
      </w:r>
      <w:r>
        <w:br/>
        <w:t>Barbara Kolenko Helbl</w:t>
      </w:r>
      <w:r>
        <w:br/>
        <w:t>generalna sekretarka</w:t>
      </w:r>
      <w:r>
        <w:br/>
        <w:t xml:space="preserve">                                          </w:t>
      </w:r>
    </w:p>
    <w:p w14:paraId="5C66FA96" w14:textId="77777777" w:rsidR="00425EDB" w:rsidRDefault="00000000">
      <w:pPr>
        <w:spacing w:after="0" w:line="240" w:lineRule="auto"/>
      </w:pPr>
      <w:r>
        <w:t>Prejmejo:</w:t>
      </w:r>
    </w:p>
    <w:p w14:paraId="75A829A0" w14:textId="77777777" w:rsidR="00425EDB" w:rsidRDefault="00000000">
      <w:pPr>
        <w:spacing w:after="0" w:line="240" w:lineRule="auto"/>
        <w:ind w:left="454"/>
      </w:pPr>
      <w:r>
        <w:t>- Ministrstvo za naravne vire in prostor</w:t>
      </w:r>
    </w:p>
    <w:p w14:paraId="4F51D6DC" w14:textId="77777777" w:rsidR="00425EDB" w:rsidRDefault="00000000">
      <w:pPr>
        <w:spacing w:after="0" w:line="240" w:lineRule="auto"/>
        <w:ind w:left="454"/>
      </w:pPr>
      <w:r>
        <w:t>- Ministrstvo za delo, družino, socialne zadeve in enake možnosti</w:t>
      </w:r>
    </w:p>
    <w:p w14:paraId="11AC99F4" w14:textId="77777777" w:rsidR="00425EDB" w:rsidRDefault="00000000">
      <w:pPr>
        <w:spacing w:after="0" w:line="240" w:lineRule="auto"/>
        <w:ind w:left="454"/>
      </w:pPr>
      <w:r>
        <w:t>- Ministrstvo za okolje, podnebje in energijo</w:t>
      </w:r>
    </w:p>
    <w:p w14:paraId="259AEBED" w14:textId="77777777" w:rsidR="00425EDB" w:rsidRDefault="00000000">
      <w:pPr>
        <w:spacing w:after="0" w:line="240" w:lineRule="auto"/>
        <w:ind w:left="454"/>
      </w:pPr>
      <w:r>
        <w:t>- Služba Vlade Republike Slovenije za zakonodajo</w:t>
      </w:r>
    </w:p>
    <w:p w14:paraId="4359A51C" w14:textId="77777777" w:rsidR="00425EDB" w:rsidRDefault="00000000">
      <w:pPr>
        <w:spacing w:after="0" w:line="240" w:lineRule="auto"/>
        <w:ind w:left="454"/>
      </w:pPr>
      <w:r>
        <w:t>- Urad Vlade Republike Slovenije za komuniciranje</w:t>
      </w:r>
    </w:p>
    <w:p w14:paraId="611FFDFC" w14:textId="77777777" w:rsidR="00425EDB" w:rsidRDefault="00425EDB">
      <w:pPr>
        <w:spacing w:after="0" w:line="260" w:lineRule="auto"/>
        <w:rPr>
          <w:rFonts w:cs="Arial"/>
        </w:rPr>
      </w:pPr>
    </w:p>
    <w:p w14:paraId="235F8C15" w14:textId="77777777" w:rsidR="00425EDB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38DCBCF" w14:textId="77777777" w:rsidR="00425EDB" w:rsidRDefault="00425EDB">
      <w:pPr>
        <w:spacing w:after="0" w:line="260" w:lineRule="auto"/>
        <w:rPr>
          <w:rFonts w:cs="Arial"/>
        </w:rPr>
      </w:pPr>
    </w:p>
    <w:p w14:paraId="11D0974C" w14:textId="77777777" w:rsidR="00425EDB" w:rsidRDefault="00000000">
      <w:pPr>
        <w:spacing w:after="0" w:line="260" w:lineRule="auto"/>
      </w:pPr>
      <w:r>
        <w:t>/</w:t>
      </w:r>
    </w:p>
    <w:p w14:paraId="0A4902F3" w14:textId="77777777" w:rsidR="00425EDB" w:rsidRDefault="00425EDB">
      <w:pPr>
        <w:spacing w:after="0" w:line="260" w:lineRule="auto"/>
        <w:rPr>
          <w:rFonts w:cs="Arial"/>
        </w:rPr>
      </w:pPr>
    </w:p>
    <w:p w14:paraId="2E02CA91" w14:textId="77777777" w:rsidR="00425EDB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3C21EF8C" w14:textId="77777777" w:rsidR="00425EDB" w:rsidRDefault="00425EDB">
      <w:pPr>
        <w:spacing w:after="0" w:line="260" w:lineRule="auto"/>
        <w:rPr>
          <w:rFonts w:cs="Arial"/>
        </w:rPr>
      </w:pPr>
    </w:p>
    <w:p w14:paraId="7CEFA3A6" w14:textId="77777777" w:rsidR="00425EDB" w:rsidRDefault="00000000">
      <w:pPr>
        <w:spacing w:after="0" w:line="240" w:lineRule="auto"/>
        <w:ind w:left="454"/>
      </w:pPr>
      <w:r>
        <w:t>- Jože Novak, minister, Ministrstvo za naravne vire in prostor,</w:t>
      </w:r>
    </w:p>
    <w:p w14:paraId="106616B0" w14:textId="77777777" w:rsidR="00425EDB" w:rsidRDefault="00000000">
      <w:pPr>
        <w:spacing w:after="0" w:line="240" w:lineRule="auto"/>
        <w:ind w:left="454"/>
      </w:pPr>
      <w:r>
        <w:t>- mag. Miran Gajšek, državni sekretar, Ministrstvo za naravne vire in prostor,</w:t>
      </w:r>
    </w:p>
    <w:p w14:paraId="37810952" w14:textId="77777777" w:rsidR="00425EDB" w:rsidRDefault="00000000">
      <w:pPr>
        <w:spacing w:after="0" w:line="240" w:lineRule="auto"/>
        <w:ind w:left="454"/>
      </w:pPr>
      <w:r>
        <w:t>- dr. Katarina Zeiler Grozni, generalna direktorica Direktorata za naravo, Ministrstvo za naravne vire in prostor,</w:t>
      </w:r>
    </w:p>
    <w:p w14:paraId="6C4F6F25" w14:textId="77777777" w:rsidR="00425EDB" w:rsidRDefault="00000000">
      <w:pPr>
        <w:spacing w:after="0" w:line="240" w:lineRule="auto"/>
        <w:ind w:left="454"/>
      </w:pPr>
      <w:r>
        <w:t>- Jurij Crnkovič, vodja Sektorja za rudarstvo, Direktorat za naravo, Ministrstvo za naravne vire in prostor,</w:t>
      </w:r>
    </w:p>
    <w:p w14:paraId="3E67CEE9" w14:textId="77777777" w:rsidR="00425EDB" w:rsidRDefault="00000000">
      <w:pPr>
        <w:spacing w:after="0" w:line="240" w:lineRule="auto"/>
        <w:ind w:left="454"/>
      </w:pPr>
      <w:r>
        <w:lastRenderedPageBreak/>
        <w:t>- Mitja Kapus, podsekretar, Sektor za rudarstvo, Direktorat za naravo, Ministrstvo za naravne vire in prostor,</w:t>
      </w:r>
    </w:p>
    <w:p w14:paraId="2F798CD9" w14:textId="77777777" w:rsidR="00425EDB" w:rsidRDefault="00000000">
      <w:pPr>
        <w:spacing w:after="0" w:line="240" w:lineRule="auto"/>
        <w:ind w:left="454"/>
      </w:pPr>
      <w:r>
        <w:t>- mag. Mojca Štritof Brus, namestnica generalne sekretarke, Ministrstvo za naravne vire in prostor;</w:t>
      </w:r>
    </w:p>
    <w:p w14:paraId="651D3041" w14:textId="77777777" w:rsidR="00425EDB" w:rsidRDefault="00425EDB">
      <w:pPr>
        <w:spacing w:after="0" w:line="260" w:lineRule="auto"/>
        <w:rPr>
          <w:rFonts w:cs="Arial"/>
        </w:rPr>
      </w:pPr>
    </w:p>
    <w:p w14:paraId="2BD11C22" w14:textId="77777777" w:rsidR="00425EDB" w:rsidRDefault="0000000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10311B1F" w14:textId="77777777" w:rsidR="00425EDB" w:rsidRDefault="00425EDB">
      <w:pPr>
        <w:spacing w:after="0" w:line="260" w:lineRule="auto"/>
        <w:rPr>
          <w:rFonts w:cs="Arial"/>
        </w:rPr>
      </w:pPr>
    </w:p>
    <w:p w14:paraId="46EA34C6" w14:textId="77777777" w:rsidR="00425EDB" w:rsidRDefault="00000000">
      <w:pPr>
        <w:spacing w:after="0" w:line="240" w:lineRule="auto"/>
      </w:pPr>
      <w:r>
        <w:t>Pri pripravi predpisa ni sodeloval zunanji strokovnjak oziroma pravna oseba.</w:t>
      </w:r>
    </w:p>
    <w:p w14:paraId="21F778D5" w14:textId="77777777" w:rsidR="00425EDB" w:rsidRDefault="00425EDB">
      <w:pPr>
        <w:spacing w:after="0" w:line="260" w:lineRule="auto"/>
        <w:rPr>
          <w:rFonts w:cs="Arial"/>
        </w:rPr>
      </w:pPr>
    </w:p>
    <w:p w14:paraId="2DE3423F" w14:textId="77777777" w:rsidR="00425EDB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02712D94" w14:textId="77777777" w:rsidR="00425EDB" w:rsidRDefault="00425EDB">
      <w:pPr>
        <w:spacing w:after="0" w:line="260" w:lineRule="auto"/>
        <w:rPr>
          <w:rFonts w:cs="Arial"/>
        </w:rPr>
      </w:pPr>
    </w:p>
    <w:p w14:paraId="4AEE2D34" w14:textId="77777777" w:rsidR="00425EDB" w:rsidRDefault="00000000">
      <w:pPr>
        <w:spacing w:after="0" w:line="260" w:lineRule="auto"/>
      </w:pPr>
      <w:r>
        <w:t>/</w:t>
      </w:r>
    </w:p>
    <w:p w14:paraId="2E4904B4" w14:textId="77777777" w:rsidR="00425EDB" w:rsidRDefault="00425EDB">
      <w:pPr>
        <w:spacing w:after="0" w:line="260" w:lineRule="auto"/>
        <w:rPr>
          <w:rFonts w:cs="Arial"/>
        </w:rPr>
      </w:pPr>
    </w:p>
    <w:p w14:paraId="42462B95" w14:textId="77777777" w:rsidR="00425EDB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1902C3D4" w14:textId="77777777" w:rsidR="00425EDB" w:rsidRDefault="00425EDB">
      <w:pPr>
        <w:spacing w:after="0" w:line="260" w:lineRule="auto"/>
        <w:rPr>
          <w:rFonts w:cs="Arial"/>
        </w:rPr>
      </w:pPr>
    </w:p>
    <w:p w14:paraId="1A1F678C" w14:textId="77777777" w:rsidR="00425EDB" w:rsidRDefault="00000000">
      <w:pPr>
        <w:spacing w:after="0" w:line="240" w:lineRule="auto"/>
      </w:pPr>
      <w:r>
        <w:t>Predlog Uredbe določa celovit, strokoven in neodvisen okvir nadzora nad izvajanjem programov postopnega zapiranja Premogovnika Velenje, kot to zahteva Zakon o postopnem zapiranju Premogovnika Velenje (Uradni list RS, št. 12/26; v nadaljnjem besedilu: ZPZPV). Namen uredbe je zagotoviti pregledno, zakonito in učinkovito izvajanje vseh tehničnih, finančnih in socialnih vidikov zapiranja, ki bo trajalo do leta 2045.</w:t>
      </w:r>
    </w:p>
    <w:p w14:paraId="41D41CEF" w14:textId="77777777" w:rsidR="00425EDB" w:rsidRDefault="00000000">
      <w:pPr>
        <w:spacing w:after="0" w:line="240" w:lineRule="auto"/>
        <w:jc w:val="left"/>
      </w:pPr>
      <w:r>
        <w:br/>
        <w:t>Uredba podrobno ureja:</w:t>
      </w:r>
    </w:p>
    <w:p w14:paraId="0166C3B6" w14:textId="77777777" w:rsidR="00425EDB" w:rsidRDefault="00000000">
      <w:pPr>
        <w:spacing w:after="0" w:line="240" w:lineRule="auto"/>
        <w:jc w:val="left"/>
      </w:pPr>
      <w:r>
        <w:t>- obseg tehničnega, tehnološkega, finančnega, kadrovsko‑socialnega in davčno‑ekonomskega nadzora,</w:t>
      </w:r>
      <w:r>
        <w:br/>
        <w:t>- način organizacije in poročanja izvajalca nadzora ter njegovo sodelovanje z rudarsko inšpekcijo,</w:t>
      </w:r>
      <w:r>
        <w:br/>
        <w:t>- pogoje strokovne usposobljenosti in neodvisnosti izvajalca,</w:t>
      </w:r>
      <w:r>
        <w:br/>
        <w:t>- financiranje nadzora iz sredstev programov zapiranja,</w:t>
      </w:r>
      <w:r>
        <w:br/>
        <w:t>- obveznosti Premogovnika Velenje pri omogočanju nadzora,</w:t>
      </w:r>
      <w:r>
        <w:br/>
        <w:t>- izvedbo mednarodnega javnega razpisa za izbor izvajalca.</w:t>
      </w:r>
    </w:p>
    <w:p w14:paraId="5E6ECA26" w14:textId="77777777" w:rsidR="00425EDB" w:rsidRDefault="00000000">
      <w:pPr>
        <w:spacing w:after="0" w:line="240" w:lineRule="auto"/>
      </w:pPr>
      <w:r>
        <w:t xml:space="preserve"> </w:t>
      </w:r>
    </w:p>
    <w:p w14:paraId="5B4DF403" w14:textId="77777777" w:rsidR="00425EDB" w:rsidRDefault="00000000">
      <w:pPr>
        <w:spacing w:after="0" w:line="240" w:lineRule="auto"/>
        <w:jc w:val="left"/>
      </w:pPr>
      <w:r>
        <w:t>Uredba predstavlja podzakonski akt za izvajanje ZPZPV. Z njim se celovito operacionalizirajo zakonske določbe, pri čemer se ne uvajajo nove obveznosti, temveč se zakonske določbe natančno razčlenijo in dopolnijo z operativnimi, organizacijskimi in terminskimi pravili, potrebnimi za učinkovito in transparentno izvajanje nadzora nad postopnim zapiranjem rudnika.</w:t>
      </w:r>
      <w:r>
        <w:br/>
        <w:t xml:space="preserve"> </w:t>
      </w:r>
    </w:p>
    <w:p w14:paraId="58970515" w14:textId="77777777" w:rsidR="00425EDB" w:rsidRDefault="00425EDB">
      <w:pPr>
        <w:spacing w:after="0" w:line="260" w:lineRule="auto"/>
        <w:rPr>
          <w:rFonts w:cs="Arial"/>
        </w:rPr>
      </w:pPr>
    </w:p>
    <w:p w14:paraId="34AAE958" w14:textId="77777777" w:rsidR="00425EDB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BC6B255" w14:textId="77777777" w:rsidR="00425EDB" w:rsidRDefault="00425EDB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425EDB" w14:paraId="1EC5D90A" w14:textId="77777777">
        <w:tc>
          <w:tcPr>
            <w:tcW w:w="1276" w:type="dxa"/>
          </w:tcPr>
          <w:p w14:paraId="30B426CB" w14:textId="77777777" w:rsidR="00425EDB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0A411144" w14:textId="77777777" w:rsidR="00425EDB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D40172B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25EDB" w14:paraId="601B2D82" w14:textId="77777777">
        <w:tc>
          <w:tcPr>
            <w:tcW w:w="1276" w:type="dxa"/>
          </w:tcPr>
          <w:p w14:paraId="27241765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2EA25176" w14:textId="77777777" w:rsidR="00425EDB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241BF88E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25EDB" w14:paraId="08E34805" w14:textId="77777777">
        <w:tc>
          <w:tcPr>
            <w:tcW w:w="1276" w:type="dxa"/>
          </w:tcPr>
          <w:p w14:paraId="0DADD0D6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603157D7" w14:textId="77777777" w:rsidR="00425EDB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6003B27D" w14:textId="77777777" w:rsidR="00425EDB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425EDB" w14:paraId="5FD02032" w14:textId="77777777">
        <w:tc>
          <w:tcPr>
            <w:tcW w:w="1276" w:type="dxa"/>
          </w:tcPr>
          <w:p w14:paraId="124E9CCB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CE1DB54" w14:textId="77777777" w:rsidR="00425EDB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2FA81F93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25EDB" w14:paraId="28A96964" w14:textId="77777777">
        <w:tc>
          <w:tcPr>
            <w:tcW w:w="1276" w:type="dxa"/>
          </w:tcPr>
          <w:p w14:paraId="4E6FF72E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86A7175" w14:textId="77777777" w:rsidR="00425EDB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68F75DC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25EDB" w14:paraId="467B6655" w14:textId="77777777">
        <w:tc>
          <w:tcPr>
            <w:tcW w:w="1276" w:type="dxa"/>
          </w:tcPr>
          <w:p w14:paraId="063CED76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6A6E69F5" w14:textId="77777777" w:rsidR="00425EDB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28E3CEA5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425EDB" w14:paraId="7EBE7000" w14:textId="77777777">
        <w:tc>
          <w:tcPr>
            <w:tcW w:w="1276" w:type="dxa"/>
          </w:tcPr>
          <w:p w14:paraId="0711B548" w14:textId="77777777" w:rsidR="00425EDB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4D643BEF" w14:textId="77777777" w:rsidR="00425EDB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195C232F" w14:textId="77777777" w:rsidR="00425EDB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6ADBBD76" w14:textId="77777777" w:rsidR="00425EDB" w:rsidRDefault="00425EDB">
      <w:pPr>
        <w:spacing w:after="0" w:line="260" w:lineRule="auto"/>
        <w:rPr>
          <w:rFonts w:cs="Arial"/>
        </w:rPr>
      </w:pPr>
    </w:p>
    <w:p w14:paraId="0B0055AD" w14:textId="77777777" w:rsidR="00425EDB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26E3806D" w14:textId="77777777" w:rsidR="00425EDB" w:rsidRDefault="00425EDB">
      <w:pPr>
        <w:spacing w:after="0" w:line="260" w:lineRule="auto"/>
        <w:rPr>
          <w:rFonts w:cs="Arial"/>
        </w:rPr>
      </w:pPr>
    </w:p>
    <w:p w14:paraId="00C2A061" w14:textId="77777777" w:rsidR="00425EDB" w:rsidRDefault="00000000">
      <w:pPr>
        <w:spacing w:after="0" w:line="260" w:lineRule="auto"/>
      </w:pPr>
      <w:r>
        <w:t>Presoja posledic je bila opravljena ob sprejemanju zakona, ki je podlaga za izdajo tega predloga.</w:t>
      </w:r>
    </w:p>
    <w:p w14:paraId="458F675B" w14:textId="77777777" w:rsidR="00425EDB" w:rsidRDefault="00425EDB">
      <w:pPr>
        <w:spacing w:after="0" w:line="260" w:lineRule="auto"/>
        <w:rPr>
          <w:rFonts w:cs="Arial"/>
        </w:rPr>
      </w:pPr>
    </w:p>
    <w:p w14:paraId="297CD7CA" w14:textId="77777777" w:rsidR="00425EDB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356F3B7F" w14:textId="77777777" w:rsidR="00425EDB" w:rsidRDefault="00425EDB">
      <w:pPr>
        <w:spacing w:after="0" w:line="260" w:lineRule="auto"/>
        <w:rPr>
          <w:rFonts w:cs="Arial"/>
        </w:rPr>
      </w:pPr>
    </w:p>
    <w:p w14:paraId="074A4C2F" w14:textId="77777777" w:rsidR="00425EDB" w:rsidRDefault="00000000">
      <w:pPr>
        <w:spacing w:after="0" w:line="260" w:lineRule="auto"/>
      </w:pPr>
      <w:r>
        <w:t>Vsebina gradiva ne vpliva pristojnosti, delovanje oziroma financiranje občin.</w:t>
      </w:r>
    </w:p>
    <w:p w14:paraId="485960C5" w14:textId="77777777" w:rsidR="00425EDB" w:rsidRDefault="00425EDB">
      <w:pPr>
        <w:spacing w:after="0" w:line="260" w:lineRule="auto"/>
        <w:rPr>
          <w:rFonts w:cs="Arial"/>
        </w:rPr>
      </w:pPr>
    </w:p>
    <w:p w14:paraId="27E23A2A" w14:textId="77777777" w:rsidR="00425EDB" w:rsidRDefault="00000000">
      <w:pPr>
        <w:spacing w:after="0" w:line="260" w:lineRule="auto"/>
      </w:pPr>
      <w:r>
        <w:t>Gradivo ni bilo poslano v mnenje Skupnosti občin Slovenije (SOS).</w:t>
      </w:r>
    </w:p>
    <w:p w14:paraId="2CDE1382" w14:textId="77777777" w:rsidR="00425EDB" w:rsidRDefault="00425EDB">
      <w:pPr>
        <w:spacing w:after="0" w:line="260" w:lineRule="auto"/>
        <w:rPr>
          <w:rFonts w:cs="Arial"/>
        </w:rPr>
      </w:pPr>
    </w:p>
    <w:p w14:paraId="5E9F292F" w14:textId="77777777" w:rsidR="00425EDB" w:rsidRDefault="00000000">
      <w:pPr>
        <w:spacing w:after="0" w:line="260" w:lineRule="auto"/>
      </w:pPr>
      <w:r>
        <w:t>Gradivo ni bilo poslano v mnenje Združenju občin Slovenije (ZOS).</w:t>
      </w:r>
    </w:p>
    <w:p w14:paraId="1AFBCA71" w14:textId="77777777" w:rsidR="00425EDB" w:rsidRDefault="00425EDB">
      <w:pPr>
        <w:spacing w:after="0" w:line="260" w:lineRule="auto"/>
        <w:rPr>
          <w:rFonts w:cs="Arial"/>
        </w:rPr>
      </w:pPr>
    </w:p>
    <w:p w14:paraId="489206C6" w14:textId="77777777" w:rsidR="00425EDB" w:rsidRDefault="00000000">
      <w:pPr>
        <w:spacing w:after="0" w:line="260" w:lineRule="auto"/>
      </w:pPr>
      <w:r>
        <w:t>Gradivo ni bilo poslano v mnenje Združenju mestnih občin Slovenije (ZMOS).</w:t>
      </w:r>
    </w:p>
    <w:p w14:paraId="251ABCD6" w14:textId="77777777" w:rsidR="00425EDB" w:rsidRDefault="00425EDB">
      <w:pPr>
        <w:spacing w:after="0" w:line="260" w:lineRule="auto"/>
        <w:rPr>
          <w:rFonts w:cs="Arial"/>
        </w:rPr>
      </w:pPr>
    </w:p>
    <w:p w14:paraId="0DCB2E98" w14:textId="77777777" w:rsidR="00425EDB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46C73052" w14:textId="77777777" w:rsidR="00425EDB" w:rsidRDefault="00425EDB">
      <w:pPr>
        <w:spacing w:after="0" w:line="260" w:lineRule="auto"/>
        <w:rPr>
          <w:rFonts w:cs="Arial"/>
        </w:rPr>
      </w:pPr>
    </w:p>
    <w:p w14:paraId="62958EFB" w14:textId="77777777" w:rsidR="00425EDB" w:rsidRDefault="00000000">
      <w:pPr>
        <w:spacing w:after="0" w:line="260" w:lineRule="auto"/>
      </w:pPr>
      <w:r>
        <w:t>Gradivo je bilo predmet sodelovanja z javnostjo.</w:t>
      </w:r>
    </w:p>
    <w:p w14:paraId="1E9B212E" w14:textId="77777777" w:rsidR="00425EDB" w:rsidRDefault="00425EDB">
      <w:pPr>
        <w:spacing w:after="0" w:line="260" w:lineRule="auto"/>
        <w:rPr>
          <w:rFonts w:cs="Arial"/>
        </w:rPr>
      </w:pPr>
    </w:p>
    <w:p w14:paraId="4054AE10" w14:textId="77777777" w:rsidR="00425EDB" w:rsidRDefault="00000000">
      <w:pPr>
        <w:spacing w:after="0" w:line="260" w:lineRule="auto"/>
      </w:pPr>
      <w:r>
        <w:t>Datum objave na spletni strani:</w:t>
      </w:r>
    </w:p>
    <w:p w14:paraId="0BA6792D" w14:textId="77777777" w:rsidR="00425EDB" w:rsidRDefault="00000000">
      <w:pPr>
        <w:spacing w:after="0" w:line="260" w:lineRule="auto"/>
      </w:pPr>
      <w:r>
        <w:t>20. 2. 2026</w:t>
      </w:r>
    </w:p>
    <w:p w14:paraId="0C837344" w14:textId="77777777" w:rsidR="00425EDB" w:rsidRDefault="00425EDB">
      <w:pPr>
        <w:spacing w:after="0" w:line="260" w:lineRule="auto"/>
        <w:rPr>
          <w:rFonts w:cs="Arial"/>
        </w:rPr>
      </w:pPr>
    </w:p>
    <w:p w14:paraId="29E9A8DC" w14:textId="77777777" w:rsidR="00425EDB" w:rsidRDefault="00000000">
      <w:pPr>
        <w:spacing w:after="0" w:line="260" w:lineRule="auto"/>
      </w:pPr>
      <w:r>
        <w:t>Na gradivo niso bila podana mnenja, predlogi in pripombe.</w:t>
      </w:r>
    </w:p>
    <w:p w14:paraId="03FFB965" w14:textId="77777777" w:rsidR="00425EDB" w:rsidRDefault="00425EDB">
      <w:pPr>
        <w:spacing w:after="0" w:line="260" w:lineRule="auto"/>
        <w:rPr>
          <w:rFonts w:cs="Arial"/>
        </w:rPr>
      </w:pPr>
    </w:p>
    <w:p w14:paraId="04781762" w14:textId="77777777" w:rsidR="00425EDB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0E25CD37" w14:textId="77777777" w:rsidR="00425EDB" w:rsidRDefault="00425EDB">
      <w:pPr>
        <w:spacing w:after="0" w:line="260" w:lineRule="auto"/>
        <w:rPr>
          <w:rFonts w:cs="Arial"/>
        </w:rPr>
      </w:pPr>
    </w:p>
    <w:p w14:paraId="5B3E7CD0" w14:textId="77777777" w:rsidR="00425EDB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07471C7F" w14:textId="77777777" w:rsidR="00425EDB" w:rsidRDefault="00425EDB">
      <w:pPr>
        <w:spacing w:after="0" w:line="260" w:lineRule="auto"/>
        <w:rPr>
          <w:rFonts w:cs="Arial"/>
        </w:rPr>
      </w:pPr>
    </w:p>
    <w:p w14:paraId="4E1CDAF3" w14:textId="77777777" w:rsidR="00425EDB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4087990" w14:textId="77777777" w:rsidR="00425EDB" w:rsidRDefault="00425EDB">
      <w:pPr>
        <w:spacing w:after="0" w:line="260" w:lineRule="auto"/>
        <w:rPr>
          <w:rFonts w:cs="Arial"/>
        </w:rPr>
      </w:pPr>
    </w:p>
    <w:p w14:paraId="142C68A0" w14:textId="77777777" w:rsidR="00425EDB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06B67767" w14:textId="77777777" w:rsidR="00425EDB" w:rsidRDefault="00425EDB">
      <w:pPr>
        <w:spacing w:after="0" w:line="260" w:lineRule="auto"/>
        <w:rPr>
          <w:rFonts w:cs="Arial"/>
        </w:rPr>
      </w:pPr>
    </w:p>
    <w:p w14:paraId="210F6384" w14:textId="77777777" w:rsidR="00425EDB" w:rsidRDefault="00000000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78B35C79" w14:textId="74F2C6E5" w:rsidR="00425EDB" w:rsidRDefault="00AE3161">
      <w:pPr>
        <w:spacing w:after="0" w:line="260" w:lineRule="exact"/>
        <w:ind w:left="3969"/>
        <w:jc w:val="center"/>
      </w:pPr>
      <w:r>
        <w:t xml:space="preserve">JOŽE NOVAK </w:t>
      </w:r>
    </w:p>
    <w:p w14:paraId="462A04F6" w14:textId="584CFF72" w:rsidR="00AE3161" w:rsidRDefault="00AE3161">
      <w:pPr>
        <w:spacing w:after="0" w:line="260" w:lineRule="exact"/>
        <w:ind w:left="3969"/>
        <w:jc w:val="center"/>
      </w:pPr>
      <w:r>
        <w:t>MINISTER</w:t>
      </w:r>
    </w:p>
    <w:sectPr w:rsidR="00AE3161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0109" w14:textId="77777777" w:rsidR="006E1733" w:rsidRDefault="006E1733">
      <w:pPr>
        <w:spacing w:after="0" w:line="240" w:lineRule="auto"/>
      </w:pPr>
      <w:r>
        <w:separator/>
      </w:r>
    </w:p>
  </w:endnote>
  <w:endnote w:type="continuationSeparator" w:id="0">
    <w:p w14:paraId="68191DEE" w14:textId="77777777" w:rsidR="006E1733" w:rsidRDefault="006E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04A7" w14:textId="77777777" w:rsidR="00425EDB" w:rsidRDefault="00000000">
    <w:r>
      <w:rPr>
        <w:i/>
        <w:sz w:val="16"/>
      </w:rPr>
      <w:t>Ustvarjeno v MOPED-DOCS, 07. 04. 2026 16:21:03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768A" w14:textId="77777777" w:rsidR="006E1733" w:rsidRDefault="006E1733">
      <w:pPr>
        <w:spacing w:after="0" w:line="240" w:lineRule="auto"/>
      </w:pPr>
      <w:r>
        <w:separator/>
      </w:r>
    </w:p>
  </w:footnote>
  <w:footnote w:type="continuationSeparator" w:id="0">
    <w:p w14:paraId="422B3FF1" w14:textId="77777777" w:rsidR="006E1733" w:rsidRDefault="006E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A088" w14:textId="77777777" w:rsidR="00945425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F54C7CB" wp14:editId="7281C448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491961C4" w14:textId="77777777" w:rsidR="000E33E4" w:rsidRPr="000E33E4" w:rsidRDefault="00000000">
    <w:pPr>
      <w:pStyle w:val="Glava"/>
      <w:jc w:val="left"/>
      <w:rPr>
        <w:b/>
      </w:rPr>
    </w:pPr>
    <w:r w:rsidRPr="000E33E4">
      <w:rPr>
        <w:b/>
      </w:rPr>
      <w:t>MINISTRSTVO ZA NARAVNE VIRE IN</w:t>
    </w:r>
    <w:r w:rsidRPr="000E33E4">
      <w:rPr>
        <w:b/>
      </w:rPr>
      <w:br/>
      <w:t>PROSTOR</w:t>
    </w:r>
  </w:p>
  <w:p w14:paraId="6DC8664E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425EDB" w14:paraId="59386ED6" w14:textId="77777777" w:rsidTr="000E33E4">
      <w:tc>
        <w:tcPr>
          <w:tcW w:w="5102" w:type="dxa"/>
        </w:tcPr>
        <w:p w14:paraId="3C09B0D4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48 1000 Ljubljana</w:t>
          </w:r>
        </w:p>
      </w:tc>
      <w:tc>
        <w:tcPr>
          <w:tcW w:w="3826" w:type="dxa"/>
        </w:tcPr>
        <w:p w14:paraId="5AD17D78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70 00</w:t>
          </w:r>
        </w:p>
        <w:p w14:paraId="31C7573C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gp.mnvp@gov.si</w:t>
            </w:r>
          </w:hyperlink>
        </w:p>
        <w:p w14:paraId="476A6F30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https://www.gov.si/drzavni-organi/ministrstva/ministrstvo-za-naravne-vire-in-prostor/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DB"/>
    <w:rsid w:val="000E33E4"/>
    <w:rsid w:val="001C566E"/>
    <w:rsid w:val="00425EDB"/>
    <w:rsid w:val="00427243"/>
    <w:rsid w:val="006E1733"/>
    <w:rsid w:val="00945425"/>
    <w:rsid w:val="0096422C"/>
    <w:rsid w:val="00A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926"/>
  <w15:docId w15:val="{A0A9CAB3-11ED-4A8F-A69E-510F3C5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Mojca Štritof Brus</cp:lastModifiedBy>
  <cp:revision>4</cp:revision>
  <dcterms:created xsi:type="dcterms:W3CDTF">2019-02-01T07:54:00Z</dcterms:created>
  <dcterms:modified xsi:type="dcterms:W3CDTF">2026-04-07T14:23:00Z</dcterms:modified>
</cp:coreProperties>
</file>