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356F2" w14:textId="55155D61" w:rsidR="002A3E84" w:rsidRPr="0045615D" w:rsidRDefault="0045615D" w:rsidP="0045615D">
      <w:pPr>
        <w:pStyle w:val="TechnicalBlock"/>
        <w:ind w:left="-1134" w:right="-1134"/>
      </w:pPr>
      <w:bookmarkStart w:id="0" w:name="DW_BM_COVERPAGE"/>
      <w:r>
        <w:pict w14:anchorId="2B46C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ocument Cover Page.&#10;Document Number: 11521/1/22 REV 1.&#10;Subject Codes: ENER 377 ENV 766 CLIMA 378 IND 300 RECH 452 COMPET 620 ECOFIN 752.&#10;Heading: REPORT.&#10;Originator: General Secretariat of the Council.&#10;Recipient: Permanent Representatives Committee (Part 1).&#10;Subject: Proposal for a COUNCIL REGULATION on coordinated demand reduction measures for gas.&#10;Commission Document Number: Not Set.&#10;Preceeding Document Number: Not Set.&#10;Location: Brussels.&#10;Date: 22 July 2022.&#10;Interinstitutional Files: 2022/0225(NLE).&#10;Institutional Framework: Council of the European Union.&#10;Language: EN.&#10;Distribution Code: PUBLIC.&#10;GUID: 5204760097360228681_0" style="width:568.5pt;height:363.75pt">
            <v:imagedata r:id="rId8" o:title=""/>
          </v:shape>
        </w:pict>
      </w:r>
      <w:bookmarkEnd w:id="0"/>
    </w:p>
    <w:p w14:paraId="69DC6E36" w14:textId="77777777" w:rsidR="00374C9E" w:rsidRDefault="00374C9E" w:rsidP="00374C9E">
      <w:pPr>
        <w:pStyle w:val="Heading123"/>
      </w:pPr>
      <w:r>
        <w:t>INTRODUCTION</w:t>
      </w:r>
    </w:p>
    <w:p w14:paraId="716BBC84" w14:textId="3021D884" w:rsidR="001B06CF" w:rsidRPr="00664875" w:rsidRDefault="001B06CF" w:rsidP="001B06CF">
      <w:pPr>
        <w:pStyle w:val="Point1231"/>
      </w:pPr>
      <w:r w:rsidRPr="00664875">
        <w:t>On the 30 and 31 May 2022 the European Council called for improvement of the gas markets, in particular through coordinated European contingency plan, which should ensure that major supply disruptions are mitigated.</w:t>
      </w:r>
    </w:p>
    <w:p w14:paraId="2240146B" w14:textId="19FF09B0" w:rsidR="001B06CF" w:rsidRPr="001B06CF" w:rsidRDefault="001B06CF" w:rsidP="001B06CF">
      <w:pPr>
        <w:pStyle w:val="Point1231"/>
        <w:rPr>
          <w:rFonts w:asciiTheme="majorBidi" w:hAnsiTheme="majorBidi" w:cstheme="majorBidi"/>
        </w:rPr>
      </w:pPr>
      <w:r w:rsidRPr="00664875">
        <w:t>On the 20 July 2022 the Commission presented the proposal for a Council Regulation on coordinated demand reduction measures for gas as a part of the Communication from the Commission “Save gas for a safe winter“. This proposal is based on Article 122 of the Treaty on the Functioning of the European Union (TFEU) and proposes to set a target for all Member States to reduce gas demand by 15% between 1 August 2022 and 31 March 2023.</w:t>
      </w:r>
    </w:p>
    <w:p w14:paraId="06C63C67" w14:textId="001AE569" w:rsidR="00374C9E" w:rsidRDefault="00374C9E" w:rsidP="00374C9E">
      <w:pPr>
        <w:pStyle w:val="Heading123"/>
      </w:pPr>
      <w:r>
        <w:br w:type="page"/>
      </w:r>
      <w:r>
        <w:lastRenderedPageBreak/>
        <w:t>STATE OF PLAY</w:t>
      </w:r>
    </w:p>
    <w:p w14:paraId="599218E5" w14:textId="3AE5CEDE" w:rsidR="001B06CF" w:rsidRPr="00664875" w:rsidRDefault="001B06CF" w:rsidP="001B06CF">
      <w:pPr>
        <w:pStyle w:val="Point1231"/>
      </w:pPr>
      <w:r w:rsidRPr="00664875">
        <w:t xml:space="preserve">The proposal was presented to the Coreper on 20 July and to the Working Party on Energy on 22 July. </w:t>
      </w:r>
    </w:p>
    <w:p w14:paraId="67BD1ED1" w14:textId="4181CBB6" w:rsidR="001B06CF" w:rsidRPr="001B06CF" w:rsidRDefault="001B06CF" w:rsidP="001B06CF">
      <w:pPr>
        <w:pStyle w:val="Point1231"/>
      </w:pPr>
      <w:r w:rsidRPr="001B06CF">
        <w:rPr>
          <w:rFonts w:asciiTheme="majorBidi" w:hAnsiTheme="majorBidi" w:cstheme="majorBidi"/>
          <w:szCs w:val="24"/>
        </w:rPr>
        <w:t>During these meetings, the Presidency was able to note that the Member States supported the need to ensure security of supply before the next winter and guarantee enough natural gas supplies for the next heating season. Nevertheless, for some Member States, the speed of the negotiation process, as well as the ambition of the proposal were problematic.</w:t>
      </w:r>
    </w:p>
    <w:p w14:paraId="5E3523F6" w14:textId="3D4D0146" w:rsidR="001B06CF" w:rsidRPr="00664875" w:rsidRDefault="001B06CF" w:rsidP="001B06CF">
      <w:pPr>
        <w:pStyle w:val="Point1231"/>
      </w:pPr>
      <w:r>
        <w:t>C</w:t>
      </w:r>
      <w:r w:rsidRPr="00664875">
        <w:t xml:space="preserve">oncerning the Declaration of a Union alert in Article 4, the discussion focused mainly on the competences of the Commission and the Council, whereas the Member states asked for a stronger role of the Council in the process of declaration of a Union alert. In this context the delegations put forward several alternative proposals with a view to better balance the competences of the Council and the Commission. </w:t>
      </w:r>
    </w:p>
    <w:p w14:paraId="3C632F3C" w14:textId="37866671" w:rsidR="001B06CF" w:rsidRPr="00664875" w:rsidRDefault="001B06CF" w:rsidP="001B06CF">
      <w:pPr>
        <w:pStyle w:val="Point1231"/>
      </w:pPr>
      <w:r>
        <w:t xml:space="preserve">It </w:t>
      </w:r>
      <w:r w:rsidRPr="00664875">
        <w:t>t was further noted that some of the provisions, especially the term “implementation period” in Article 5, paragraph 2 did not provide enough clarity regarding the methodology used for calculating the reduction of the demand.</w:t>
      </w:r>
    </w:p>
    <w:p w14:paraId="69B391FD" w14:textId="77777777" w:rsidR="003F291D" w:rsidRDefault="001B06CF" w:rsidP="003F291D">
      <w:pPr>
        <w:pStyle w:val="Point1231"/>
      </w:pPr>
      <w:r>
        <w:t>T</w:t>
      </w:r>
      <w:r w:rsidRPr="00664875">
        <w:t>he Member states also expressed that it was not clear enough, how the demand reductions, that were achieved before the declaration of the Union alert, will be taken into account in Article 5, paragraph 2.</w:t>
      </w:r>
    </w:p>
    <w:p w14:paraId="39633D84" w14:textId="77777777" w:rsidR="003F291D" w:rsidRPr="003F291D" w:rsidRDefault="003F291D" w:rsidP="003F291D">
      <w:pPr>
        <w:pStyle w:val="Point1231"/>
      </w:pPr>
      <w:r w:rsidRPr="003F291D">
        <w:rPr>
          <w:rFonts w:asciiTheme="majorBidi" w:hAnsiTheme="majorBidi" w:cstheme="majorBidi"/>
          <w:szCs w:val="24"/>
        </w:rPr>
        <w:t>Several Member States expressed their concerns about the security of electricity supply in case their transmission system is desynchronised from a third country and if at the same time the obligations referred to in Article 5, paragraph 2 apply. At the same time the Member States expressed their dissatisfaction with the derogation proposed by the Commission in the original text.</w:t>
      </w:r>
    </w:p>
    <w:p w14:paraId="4DA7B8CC" w14:textId="177CBAE5" w:rsidR="003F291D" w:rsidRPr="003F291D" w:rsidRDefault="00457855" w:rsidP="003F291D">
      <w:pPr>
        <w:pStyle w:val="Point1231"/>
      </w:pPr>
      <w:r>
        <w:rPr>
          <w:rFonts w:asciiTheme="majorBidi" w:hAnsiTheme="majorBidi" w:cstheme="majorBidi"/>
          <w:szCs w:val="24"/>
        </w:rPr>
        <w:br w:type="page"/>
      </w:r>
      <w:r w:rsidR="003F291D" w:rsidRPr="003F291D">
        <w:rPr>
          <w:rFonts w:asciiTheme="majorBidi" w:hAnsiTheme="majorBidi" w:cstheme="majorBidi"/>
          <w:szCs w:val="24"/>
        </w:rPr>
        <w:lastRenderedPageBreak/>
        <w:t>To reflect Member States’ concerns in Article 4, the Presidency has proposed in the revised document 11521/1/22 REV 1 to strengthen the role of the Council in the process of activating the Union alert. Based on the proposed wording, the Council, on a proposal from the Commission, may declare the Union alert. The Commission shall present the proposal to the Council if requested by 5 Member States. Therefore, the Council is empowered to declare the Union alert level by qualified majority vote.</w:t>
      </w:r>
    </w:p>
    <w:p w14:paraId="637A8B57" w14:textId="77777777" w:rsidR="003F291D" w:rsidRPr="003F291D" w:rsidRDefault="003F291D" w:rsidP="003F291D">
      <w:pPr>
        <w:pStyle w:val="Point1231"/>
      </w:pPr>
      <w:r w:rsidRPr="003F291D">
        <w:rPr>
          <w:rFonts w:asciiTheme="majorBidi" w:hAnsiTheme="majorBidi" w:cstheme="majorBidi"/>
          <w:szCs w:val="24"/>
        </w:rPr>
        <w:t>To reflect the uncertainty of methodology used to count the demand reduction, the Presidency proposed to change the term “implementation period” to “reduction period” as it better reflects its meaning.</w:t>
      </w:r>
    </w:p>
    <w:p w14:paraId="240E9FF9" w14:textId="77777777" w:rsidR="003F291D" w:rsidRPr="003F291D" w:rsidRDefault="003F291D" w:rsidP="003F291D">
      <w:pPr>
        <w:pStyle w:val="Point1231"/>
      </w:pPr>
      <w:r w:rsidRPr="003F291D">
        <w:rPr>
          <w:rFonts w:asciiTheme="majorBidi" w:hAnsiTheme="majorBidi" w:cstheme="majorBidi"/>
          <w:szCs w:val="24"/>
        </w:rPr>
        <w:t xml:space="preserve">The Presidency made some changes in order to take into account all the demand reductions made in time between the end of the “comparison period” and the activation of Union alert. Namely, in Article 5, paragraph 2, the words “voluntary” and “implementation” were deleted. </w:t>
      </w:r>
    </w:p>
    <w:p w14:paraId="777DBC31" w14:textId="77777777" w:rsidR="003F291D" w:rsidRPr="003F291D" w:rsidRDefault="003F291D" w:rsidP="003F291D">
      <w:pPr>
        <w:pStyle w:val="Point1231"/>
      </w:pPr>
      <w:r w:rsidRPr="003F291D">
        <w:rPr>
          <w:rFonts w:asciiTheme="majorBidi" w:hAnsiTheme="majorBidi" w:cstheme="majorBidi"/>
          <w:szCs w:val="24"/>
        </w:rPr>
        <w:t>The Presidency reflected the concerns of Member States regarding security of electricity supply in case of desynchronization from an electricity system of a third country. The derogation has been added from obligations referred to in Article 5, paragraph 2 for countries that are only synchronised with the electricity system of a third country in case their systems are desynchronised. The original derogation presented by the Commission has been deleted as it was rejected by several Member States.</w:t>
      </w:r>
    </w:p>
    <w:p w14:paraId="4F9CCDBA" w14:textId="77777777" w:rsidR="003F291D" w:rsidRPr="003F291D" w:rsidRDefault="003F291D" w:rsidP="003F291D">
      <w:pPr>
        <w:pStyle w:val="Point1231"/>
      </w:pPr>
      <w:r w:rsidRPr="003F291D">
        <w:rPr>
          <w:rFonts w:asciiTheme="majorBidi" w:hAnsiTheme="majorBidi" w:cstheme="majorBidi"/>
          <w:szCs w:val="24"/>
        </w:rPr>
        <w:t>Several minor wording changes and additions were made to enhance clarity of the text in the Articles 5 and 6, especially, regarding adding several cross-references or moving of review clause from Article 9, paragraph 2 to a new Article 8a and the Presidency also deleted the term “market based” in Article 6, paragraph 1, subparagraph (b) as it was not clear how the term would apply.</w:t>
      </w:r>
    </w:p>
    <w:p w14:paraId="44FF4D2C" w14:textId="624D6EB4" w:rsidR="003F291D" w:rsidRPr="003F291D" w:rsidRDefault="003F291D" w:rsidP="003F291D">
      <w:pPr>
        <w:pStyle w:val="Point1231"/>
      </w:pPr>
      <w:r w:rsidRPr="003F291D">
        <w:rPr>
          <w:rFonts w:asciiTheme="majorBidi" w:hAnsiTheme="majorBidi" w:cstheme="majorBidi"/>
          <w:szCs w:val="24"/>
        </w:rPr>
        <w:t xml:space="preserve">In Article 9, it has been clarified, that the Regulation shall apply one year after its entry into force, instead of two years, as this was not in line with the rest of the provisions in the text. </w:t>
      </w:r>
    </w:p>
    <w:p w14:paraId="2072857E" w14:textId="38AED254" w:rsidR="00374C9E" w:rsidRDefault="00457855" w:rsidP="00374C9E">
      <w:pPr>
        <w:pStyle w:val="Heading123"/>
      </w:pPr>
      <w:r>
        <w:br w:type="page"/>
      </w:r>
      <w:r w:rsidR="00374C9E">
        <w:lastRenderedPageBreak/>
        <w:t>QUESTIONS TO THE DELEGATIONS</w:t>
      </w:r>
    </w:p>
    <w:p w14:paraId="5DC4D616" w14:textId="15D05489" w:rsidR="002A3E84" w:rsidRDefault="003F291D" w:rsidP="003F291D">
      <w:pPr>
        <w:pStyle w:val="Point1231"/>
        <w:numPr>
          <w:ilvl w:val="0"/>
          <w:numId w:val="0"/>
        </w:numPr>
        <w:ind w:left="1134"/>
      </w:pPr>
      <w:r w:rsidRPr="00664875">
        <w:t xml:space="preserve">In light of the discussions held so far in Coreper on Wednesday and the working party earlier today and taking into account the revisions presented to the Coreper today in the </w:t>
      </w:r>
      <w:r w:rsidRPr="003F291D">
        <w:t xml:space="preserve">document </w:t>
      </w:r>
      <w:r>
        <w:t>11521/1/22 REV 1</w:t>
      </w:r>
      <w:r w:rsidRPr="003F291D">
        <w:t>, the</w:t>
      </w:r>
      <w:r w:rsidRPr="00664875">
        <w:t xml:space="preserve"> Presidency would like to ask the delegations to comment on the revised text.</w:t>
      </w:r>
    </w:p>
    <w:p w14:paraId="7447B9D9" w14:textId="77777777" w:rsidR="00457855" w:rsidRPr="002A3E84" w:rsidRDefault="00457855" w:rsidP="00457855">
      <w:pPr>
        <w:pStyle w:val="FinalLine"/>
      </w:pPr>
    </w:p>
    <w:p w14:paraId="54770939" w14:textId="7DFEEFE6" w:rsidR="002A3E84" w:rsidRDefault="002A3E84" w:rsidP="002A3E84">
      <w:pPr>
        <w:pStyle w:val="Rfrenceinterinstitutionnelle"/>
      </w:pPr>
    </w:p>
    <w:p w14:paraId="38464211" w14:textId="77777777" w:rsidR="00457855" w:rsidRPr="00457855" w:rsidRDefault="00457855" w:rsidP="00457855">
      <w:pPr>
        <w:pStyle w:val="Statut"/>
        <w:sectPr w:rsidR="00457855" w:rsidRPr="00457855" w:rsidSect="00374C9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pgMar w:top="624" w:right="1134" w:bottom="1134" w:left="1134" w:header="567" w:footer="567" w:gutter="0"/>
          <w:pgNumType w:start="1"/>
          <w:cols w:space="708"/>
          <w:titlePg/>
          <w:docGrid w:linePitch="360"/>
        </w:sectPr>
      </w:pPr>
    </w:p>
    <w:p w14:paraId="43EECEBC" w14:textId="62F918F7" w:rsidR="00731D55" w:rsidRDefault="00731D55" w:rsidP="00731D55">
      <w:pPr>
        <w:pStyle w:val="Annex"/>
      </w:pPr>
      <w:r>
        <w:t>ANNEX</w:t>
      </w:r>
    </w:p>
    <w:p w14:paraId="6333B374" w14:textId="202EF161" w:rsidR="001013C9" w:rsidRDefault="00AA4E6F" w:rsidP="002A3E84">
      <w:pPr>
        <w:pStyle w:val="Rfrenceinterinstitutionnelle"/>
        <w:rPr>
          <w:noProof/>
        </w:rPr>
      </w:pPr>
      <w:r w:rsidRPr="00AA4E6F">
        <w:t>2022/0225 (NLE)</w:t>
      </w:r>
    </w:p>
    <w:p w14:paraId="51785DCE" w14:textId="1D9B72D9" w:rsidR="00B748AE" w:rsidRPr="006F770D" w:rsidRDefault="002A2E56" w:rsidP="002A2E56">
      <w:pPr>
        <w:pStyle w:val="Statut"/>
        <w:rPr>
          <w:noProof/>
        </w:rPr>
      </w:pPr>
      <w:r w:rsidRPr="002A2E56">
        <w:rPr>
          <w:noProof/>
        </w:rPr>
        <w:t>Proposal for a</w:t>
      </w:r>
    </w:p>
    <w:p w14:paraId="11B37A8F" w14:textId="2E29D68E" w:rsidR="00B748AE" w:rsidRPr="006F770D" w:rsidRDefault="002A2E56" w:rsidP="002A2E56">
      <w:pPr>
        <w:pStyle w:val="Typedudocument"/>
        <w:rPr>
          <w:noProof/>
        </w:rPr>
      </w:pPr>
      <w:r w:rsidRPr="002A2E56">
        <w:rPr>
          <w:noProof/>
        </w:rPr>
        <w:t>COUNCIL REGULATION</w:t>
      </w:r>
    </w:p>
    <w:p w14:paraId="2D7187CF" w14:textId="3AD8B69F" w:rsidR="00B748AE" w:rsidRPr="006F770D" w:rsidRDefault="002A2E56" w:rsidP="002A2E56">
      <w:pPr>
        <w:pStyle w:val="Titreobjet"/>
        <w:rPr>
          <w:noProof/>
        </w:rPr>
      </w:pPr>
      <w:r w:rsidRPr="002A2E56">
        <w:rPr>
          <w:noProof/>
        </w:rPr>
        <w:t>on coordinated demand reduction measures for gas</w:t>
      </w:r>
    </w:p>
    <w:p w14:paraId="7773CB17" w14:textId="77777777" w:rsidR="00B748AE" w:rsidRPr="006F770D" w:rsidRDefault="00B748AE" w:rsidP="00AC24BA">
      <w:pPr>
        <w:pStyle w:val="Institutionquiagit"/>
        <w:rPr>
          <w:noProof/>
        </w:rPr>
      </w:pPr>
      <w:r w:rsidRPr="006F770D">
        <w:rPr>
          <w:noProof/>
        </w:rPr>
        <w:t>THE COUNCIL OF THE EUROPEAN UNION,</w:t>
      </w:r>
    </w:p>
    <w:p w14:paraId="304328B8" w14:textId="77777777" w:rsidR="00B748AE" w:rsidRPr="006F770D" w:rsidRDefault="5C1E558A" w:rsidP="00AC24BA">
      <w:pPr>
        <w:rPr>
          <w:noProof/>
        </w:rPr>
      </w:pPr>
      <w:r>
        <w:rPr>
          <w:noProof/>
        </w:rPr>
        <w:t>Having regard to the Treaty on the Functioning of the European U</w:t>
      </w:r>
      <w:r w:rsidR="02DE8AB1">
        <w:rPr>
          <w:noProof/>
        </w:rPr>
        <w:t xml:space="preserve">nion, and in particular Article 122(1) </w:t>
      </w:r>
      <w:r>
        <w:rPr>
          <w:noProof/>
        </w:rPr>
        <w:t>thereof,</w:t>
      </w:r>
    </w:p>
    <w:p w14:paraId="1B7DDBF6" w14:textId="77777777" w:rsidR="00B748AE" w:rsidRPr="006F770D" w:rsidRDefault="00B748AE" w:rsidP="00AC24BA">
      <w:pPr>
        <w:rPr>
          <w:noProof/>
        </w:rPr>
      </w:pPr>
      <w:r w:rsidRPr="006F770D">
        <w:rPr>
          <w:noProof/>
        </w:rPr>
        <w:t>Having regard to the propos</w:t>
      </w:r>
      <w:r w:rsidR="007E3A02">
        <w:rPr>
          <w:noProof/>
        </w:rPr>
        <w:t>al from the European Commission</w:t>
      </w:r>
      <w:r w:rsidRPr="006F770D">
        <w:rPr>
          <w:noProof/>
        </w:rPr>
        <w:t>,</w:t>
      </w:r>
    </w:p>
    <w:p w14:paraId="466C19EC" w14:textId="77777777" w:rsidR="00B748AE" w:rsidRPr="006F770D" w:rsidRDefault="00B748AE" w:rsidP="00AC24BA">
      <w:pPr>
        <w:rPr>
          <w:noProof/>
        </w:rPr>
      </w:pPr>
      <w:r w:rsidRPr="006F770D">
        <w:rPr>
          <w:noProof/>
        </w:rPr>
        <w:t>Whereas:</w:t>
      </w:r>
    </w:p>
    <w:p w14:paraId="3C2B5D5C" w14:textId="529EA149" w:rsidR="00B748AE" w:rsidRPr="00A146F8" w:rsidRDefault="00B02985" w:rsidP="00B02985">
      <w:pPr>
        <w:pStyle w:val="ManualConsidrant"/>
        <w:rPr>
          <w:noProof/>
          <w:lang w:val="en-IE"/>
        </w:rPr>
      </w:pPr>
      <w:r w:rsidRPr="00B02985">
        <w:t>(1)</w:t>
      </w:r>
      <w:r w:rsidRPr="00B02985">
        <w:tab/>
      </w:r>
      <w:r w:rsidR="02DE8AB1" w:rsidRPr="00A146F8">
        <w:rPr>
          <w:noProof/>
          <w:lang w:val="en-IE"/>
        </w:rPr>
        <w:t xml:space="preserve">The Russian Federation, the Union’s main external gas supplier, has started a military aggression against Ukraine, a Contracting Party of the Energy Community. The escalation of the Russian military aggression against Ukraine since February 2022 has led to </w:t>
      </w:r>
      <w:r w:rsidR="02DE8AB1" w:rsidRPr="00A146F8">
        <w:rPr>
          <w:noProof/>
        </w:rPr>
        <w:t xml:space="preserve">gas supplies declining markedly, in a deliberate attempt to </w:t>
      </w:r>
      <w:r w:rsidR="02DE8AB1" w:rsidRPr="00965CC7">
        <w:rPr>
          <w:noProof/>
          <w:lang w:val="en-IE"/>
        </w:rPr>
        <w:t>use gas as a political weapon</w:t>
      </w:r>
      <w:r w:rsidR="02DE8AB1" w:rsidRPr="00A146F8">
        <w:rPr>
          <w:noProof/>
        </w:rPr>
        <w:t>. Pipeline flows of gas from Russia through Belarus have stopped and supplies through Ukraine have steadily decreased. Overall flows from Russia are now less than 30% of the average of 2016-2021. </w:t>
      </w:r>
      <w:r w:rsidR="02DE8AB1" w:rsidRPr="00A146F8">
        <w:rPr>
          <w:noProof/>
          <w:lang w:val="en-IE"/>
        </w:rPr>
        <w:t>This supply reduction has led to historically high and volatile energy prices, contributing to inflation and creating a risk of further economic downturn in Europe</w:t>
      </w:r>
      <w:r w:rsidR="02DE8AB1" w:rsidRPr="00965CC7">
        <w:rPr>
          <w:noProof/>
          <w:lang w:val="en-IE"/>
        </w:rPr>
        <w:t>.</w:t>
      </w:r>
    </w:p>
    <w:p w14:paraId="66A9581A" w14:textId="0BEE088F" w:rsidR="009025C2" w:rsidRDefault="00731D55" w:rsidP="00B02985">
      <w:pPr>
        <w:pStyle w:val="ManualConsidrant"/>
        <w:rPr>
          <w:noProof/>
        </w:rPr>
      </w:pPr>
      <w:r>
        <w:br w:type="page"/>
      </w:r>
      <w:r w:rsidR="00B02985" w:rsidRPr="00B02985">
        <w:t>(2)</w:t>
      </w:r>
      <w:r w:rsidR="00B02985" w:rsidRPr="00B02985">
        <w:tab/>
      </w:r>
      <w:r w:rsidR="02DE8AB1" w:rsidRPr="33DA50C2">
        <w:rPr>
          <w:noProof/>
          <w:lang w:val="en-IE"/>
        </w:rPr>
        <w:t>Against this background, the Union has developed the REPowerEU Plan on 18 May 2022</w:t>
      </w:r>
      <w:r w:rsidR="00FA2B8F" w:rsidRPr="33DA50C2">
        <w:rPr>
          <w:rStyle w:val="FootnoteReference"/>
          <w:noProof/>
          <w:lang w:val="en-IE"/>
        </w:rPr>
        <w:footnoteReference w:id="2"/>
      </w:r>
      <w:r w:rsidR="02DE8AB1" w:rsidRPr="33DA50C2">
        <w:rPr>
          <w:noProof/>
          <w:lang w:val="en-IE"/>
        </w:rPr>
        <w:t xml:space="preserve"> with the aim to end the Union's dependence on Russian fossil fuels, as soon as possible and at the latest by 2027. To achieve this, the REPowerEU Plan sets out measures related to energy savings and energy efficiency and proposes an accelerated roll-out of clean energy to replace fossil fuels in homes, industry and power generation</w:t>
      </w:r>
      <w:r w:rsidR="5C1E558A" w:rsidRPr="006F770D">
        <w:rPr>
          <w:noProof/>
        </w:rPr>
        <w:t>.</w:t>
      </w:r>
    </w:p>
    <w:p w14:paraId="09A5DACE" w14:textId="5DE043A8" w:rsidR="00FA2B8F" w:rsidRPr="00A146F8" w:rsidRDefault="00B02985" w:rsidP="009025C2">
      <w:pPr>
        <w:pStyle w:val="ManualConsidrant"/>
        <w:rPr>
          <w:noProof/>
          <w:lang w:val="en-IE"/>
        </w:rPr>
      </w:pPr>
      <w:r w:rsidRPr="00B02985">
        <w:t>(3)</w:t>
      </w:r>
      <w:r w:rsidRPr="00B02985">
        <w:tab/>
      </w:r>
      <w:r w:rsidR="02DE8AB1" w:rsidRPr="36321620">
        <w:rPr>
          <w:noProof/>
          <w:lang w:val="en-IE"/>
        </w:rPr>
        <w:t>The Union has taken further measures to increase its preparedness against gas supply disruptions. Regulation (EU) 2022/1032 of the European Parliament and of the Council</w:t>
      </w:r>
      <w:r w:rsidR="00FA2B8F" w:rsidRPr="36321620">
        <w:rPr>
          <w:rStyle w:val="FootnoteReference"/>
          <w:noProof/>
          <w:lang w:val="en-IE"/>
        </w:rPr>
        <w:footnoteReference w:id="3"/>
      </w:r>
      <w:r w:rsidR="02DE8AB1" w:rsidRPr="36321620">
        <w:rPr>
          <w:noProof/>
          <w:lang w:val="en-IE"/>
        </w:rPr>
        <w:t xml:space="preserve"> was adopted to ensure the filling of underground storage sites for the coming winter.</w:t>
      </w:r>
    </w:p>
    <w:p w14:paraId="3AC7BFE4" w14:textId="350EC0ED" w:rsidR="00FA2B8F" w:rsidRPr="00A146F8" w:rsidRDefault="00B02985" w:rsidP="00B02985">
      <w:pPr>
        <w:pStyle w:val="ManualConsidrant"/>
        <w:rPr>
          <w:rFonts w:asciiTheme="minorHAnsi" w:hAnsiTheme="minorHAnsi"/>
          <w:noProof/>
          <w:lang w:val="en-IE"/>
        </w:rPr>
      </w:pPr>
      <w:r w:rsidRPr="00B02985">
        <w:t>(4)</w:t>
      </w:r>
      <w:r w:rsidRPr="00B02985">
        <w:tab/>
      </w:r>
      <w:r w:rsidR="02DE8AB1" w:rsidRPr="36321620">
        <w:rPr>
          <w:noProof/>
          <w:lang w:val="en-IE"/>
        </w:rPr>
        <w:t>Furthermore, in February 2022 and in May 2022</w:t>
      </w:r>
      <w:r w:rsidR="36321620" w:rsidRPr="36321620">
        <w:rPr>
          <w:noProof/>
          <w:lang w:val="en-IE"/>
        </w:rPr>
        <w:t xml:space="preserve"> </w:t>
      </w:r>
      <w:r w:rsidR="02DE8AB1" w:rsidRPr="36321620">
        <w:rPr>
          <w:noProof/>
          <w:lang w:val="en-IE"/>
        </w:rPr>
        <w:t>the Commission carried out in-depth reviews of all national emergency plans and has also carried out in-depth monitoring of the security of supply situation. The measures taken since February 2022 were designed to be able to fully phase-out from Russian gas by 2027, and to reduce the risks stemming from a further major supply disruption.</w:t>
      </w:r>
    </w:p>
    <w:p w14:paraId="1C196A5E" w14:textId="5717546D" w:rsidR="00FA2B8F" w:rsidRPr="00FA2B8F" w:rsidRDefault="00B02985" w:rsidP="00B02985">
      <w:pPr>
        <w:pStyle w:val="ManualConsidrant"/>
        <w:rPr>
          <w:rStyle w:val="normaltextrun"/>
          <w:noProof/>
        </w:rPr>
      </w:pPr>
      <w:r w:rsidRPr="00B02985">
        <w:rPr>
          <w:rStyle w:val="normaltextrun"/>
        </w:rPr>
        <w:t>(5)</w:t>
      </w:r>
      <w:r w:rsidRPr="00B02985">
        <w:rPr>
          <w:rStyle w:val="normaltextrun"/>
        </w:rPr>
        <w:tab/>
      </w:r>
      <w:r w:rsidR="02DE8AB1" w:rsidRPr="36321620">
        <w:rPr>
          <w:noProof/>
          <w:lang w:val="en-IE"/>
        </w:rPr>
        <w:t xml:space="preserve">However, the recent escalation of disruptions of gas supply from Russia </w:t>
      </w:r>
      <w:r w:rsidR="02DE8AB1" w:rsidRPr="36321620">
        <w:rPr>
          <w:rFonts w:eastAsia="Times New Roman"/>
          <w:noProof/>
          <w:lang w:val="en-IE"/>
        </w:rPr>
        <w:t>points to a significant</w:t>
      </w:r>
      <w:r w:rsidR="02DE8AB1" w:rsidRPr="36321620">
        <w:rPr>
          <w:noProof/>
          <w:lang w:val="en-IE"/>
        </w:rPr>
        <w:t xml:space="preserve"> risk that a complete halt of Russian gas supplies may materialise in the near future, in an abrupt and unilateral way. </w:t>
      </w:r>
      <w:r w:rsidR="02DE8AB1" w:rsidRPr="36321620">
        <w:rPr>
          <w:rStyle w:val="normaltextrun"/>
          <w:noProof/>
          <w:lang w:val="en-IE"/>
        </w:rPr>
        <w:t>The Union should therefore anticipate such a risk and prepare, in a spirit of solidarity, for the possibility of a full disruption of gas supplies from Russia, at any moment. Immediate proactive action is necessary to anticipate further disruptive actions and strengthen the resilience of the Union to future shocks. Coordinated action at Union level can avoid serious harm to the economy and citizens resulting from a possible gas supply interruption,</w:t>
      </w:r>
    </w:p>
    <w:p w14:paraId="16125824" w14:textId="2955926F" w:rsidR="00FA2B8F" w:rsidRDefault="00731D55" w:rsidP="00B02985">
      <w:pPr>
        <w:pStyle w:val="ManualConsidrant"/>
        <w:rPr>
          <w:noProof/>
        </w:rPr>
      </w:pPr>
      <w:r>
        <w:br w:type="page"/>
      </w:r>
      <w:r w:rsidR="00B02985" w:rsidRPr="00B02985">
        <w:t>(6)</w:t>
      </w:r>
      <w:r w:rsidR="00B02985" w:rsidRPr="00B02985">
        <w:tab/>
      </w:r>
      <w:r w:rsidR="02DE8AB1">
        <w:rPr>
          <w:noProof/>
        </w:rPr>
        <w:t>The current legal framework for security of gas supply set by Regulation (EU) 2017/1938</w:t>
      </w:r>
      <w:r w:rsidR="00FA2B8F" w:rsidRPr="33DA50C2">
        <w:rPr>
          <w:rStyle w:val="FootnoteReference"/>
          <w:noProof/>
        </w:rPr>
        <w:footnoteReference w:id="4"/>
      </w:r>
      <w:r w:rsidR="02DE8AB1">
        <w:rPr>
          <w:noProof/>
        </w:rPr>
        <w:t xml:space="preserve"> does not adequately address disruptions of a major gas supplier of more than 30 days</w:t>
      </w:r>
      <w:r w:rsidR="02DE8AB1" w:rsidRPr="36321620">
        <w:rPr>
          <w:rFonts w:eastAsia="Times New Roman"/>
          <w:noProof/>
        </w:rPr>
        <w:t xml:space="preserve">. </w:t>
      </w:r>
      <w:r w:rsidR="02DE8AB1">
        <w:rPr>
          <w:noProof/>
        </w:rPr>
        <w:t>The missing legal framework for such disruptions leads to a risk of uncoordinated action by Member States, which threatens to endanger security of supply in neighbouring Member States and may put additional burden on the Union’s industry and consumers.</w:t>
      </w:r>
    </w:p>
    <w:p w14:paraId="58CC1533" w14:textId="41CACB57" w:rsidR="00FA2B8F" w:rsidRPr="00FA2B8F" w:rsidRDefault="00B02985" w:rsidP="00B02985">
      <w:pPr>
        <w:pStyle w:val="ManualConsidrant"/>
        <w:rPr>
          <w:rStyle w:val="eop"/>
          <w:noProof/>
        </w:rPr>
      </w:pPr>
      <w:r w:rsidRPr="00B02985">
        <w:rPr>
          <w:rStyle w:val="eop"/>
        </w:rPr>
        <w:t>(7)</w:t>
      </w:r>
      <w:r w:rsidRPr="00B02985">
        <w:rPr>
          <w:rStyle w:val="eop"/>
        </w:rPr>
        <w:tab/>
      </w:r>
      <w:r w:rsidR="00153B72">
        <w:rPr>
          <w:noProof/>
        </w:rPr>
        <w:t xml:space="preserve">In its </w:t>
      </w:r>
      <w:r w:rsidR="00153B72" w:rsidRPr="00443AF4">
        <w:rPr>
          <w:noProof/>
        </w:rPr>
        <w:t>resolution of 7 April 2022 on the conclusions of the</w:t>
      </w:r>
      <w:r w:rsidR="009025C2">
        <w:rPr>
          <w:noProof/>
        </w:rPr>
        <w:t xml:space="preserve"> European Council meeting of 24</w:t>
      </w:r>
      <w:r w:rsidR="009025C2">
        <w:rPr>
          <w:noProof/>
        </w:rPr>
        <w:noBreakHyphen/>
      </w:r>
      <w:r w:rsidR="00153B72" w:rsidRPr="00443AF4">
        <w:rPr>
          <w:noProof/>
        </w:rPr>
        <w:t>25 March 2022</w:t>
      </w:r>
      <w:r w:rsidR="00153B72">
        <w:rPr>
          <w:noProof/>
        </w:rPr>
        <w:t xml:space="preserve">, the European Parliament called </w:t>
      </w:r>
      <w:r w:rsidR="00153B72" w:rsidRPr="00443AF4">
        <w:rPr>
          <w:noProof/>
        </w:rPr>
        <w:t xml:space="preserve">for a plan to continue ensuring the </w:t>
      </w:r>
      <w:r w:rsidR="00153B72">
        <w:rPr>
          <w:noProof/>
        </w:rPr>
        <w:t>Union</w:t>
      </w:r>
      <w:r w:rsidR="00153B72" w:rsidRPr="00443AF4">
        <w:rPr>
          <w:noProof/>
        </w:rPr>
        <w:t>’s security of energy supply in the short-term to be presented</w:t>
      </w:r>
      <w:r w:rsidR="00153B72">
        <w:rPr>
          <w:noProof/>
        </w:rPr>
        <w:t xml:space="preserve">. </w:t>
      </w:r>
      <w:r w:rsidR="02DE8AB1" w:rsidRPr="36321620">
        <w:rPr>
          <w:rStyle w:val="eop"/>
          <w:noProof/>
          <w:lang w:val="en-IE"/>
        </w:rPr>
        <w:t>In its meetings on 31 May and 23 June 2022, the European Council requested the Commission to make proposals for improving preparedness for possible major supply disruptions as a matter of urgency with a view to securing energy supply at affordable prices.</w:t>
      </w:r>
      <w:r w:rsidR="00153B72">
        <w:rPr>
          <w:rStyle w:val="eop"/>
          <w:noProof/>
          <w:lang w:val="en-IE"/>
        </w:rPr>
        <w:t xml:space="preserve"> </w:t>
      </w:r>
    </w:p>
    <w:p w14:paraId="2856213E" w14:textId="206B9188" w:rsidR="00FA2B8F" w:rsidRDefault="00B02985" w:rsidP="00B02985">
      <w:pPr>
        <w:pStyle w:val="ManualConsidrant"/>
        <w:rPr>
          <w:noProof/>
        </w:rPr>
      </w:pPr>
      <w:r w:rsidRPr="00B02985">
        <w:t>(8)</w:t>
      </w:r>
      <w:r w:rsidRPr="00B02985">
        <w:tab/>
      </w:r>
      <w:r w:rsidR="02DE8AB1">
        <w:rPr>
          <w:noProof/>
        </w:rPr>
        <w:t>Article 122(1) of the Treaty on the Functioning of the European Union allows the Council to decide, on a proposal from the Commission and in a spirit of solidarity between Member States, upon the measures appropriate to the economic situation, in particular if severe difficulties arise in the supply of certain products, notably in the area of energy. The risk of a complete halt of Russian gas supplies by the end of this year as described above constitutes such a situation.</w:t>
      </w:r>
    </w:p>
    <w:p w14:paraId="0B460797" w14:textId="420A4E53" w:rsidR="00FA2B8F" w:rsidRDefault="00B02985" w:rsidP="00B02985">
      <w:pPr>
        <w:pStyle w:val="ManualConsidrant"/>
        <w:rPr>
          <w:noProof/>
        </w:rPr>
      </w:pPr>
      <w:r w:rsidRPr="00B02985">
        <w:t>(9)</w:t>
      </w:r>
      <w:r w:rsidRPr="00B02985">
        <w:tab/>
      </w:r>
      <w:r w:rsidR="02DE8AB1" w:rsidRPr="36321620">
        <w:rPr>
          <w:noProof/>
        </w:rPr>
        <w:t xml:space="preserve">Given the imminent risk of disruption of gas supplies to the Union, </w:t>
      </w:r>
      <w:r w:rsidR="02DE8AB1">
        <w:rPr>
          <w:noProof/>
        </w:rPr>
        <w:t xml:space="preserve">Member States should take measures now to reduce their demand </w:t>
      </w:r>
      <w:r w:rsidR="02DE8AB1" w:rsidRPr="36321620">
        <w:rPr>
          <w:noProof/>
          <w:lang w:val="en-IE"/>
        </w:rPr>
        <w:t>ahead of the winter season</w:t>
      </w:r>
      <w:r w:rsidR="02DE8AB1" w:rsidRPr="36321620">
        <w:rPr>
          <w:noProof/>
        </w:rPr>
        <w:t>.</w:t>
      </w:r>
      <w:r w:rsidR="02DE8AB1" w:rsidRPr="36321620">
        <w:rPr>
          <w:noProof/>
          <w:color w:val="000000" w:themeColor="text1"/>
          <w:lang w:eastAsia="en-GB"/>
        </w:rPr>
        <w:t xml:space="preserve"> Such voluntary demand reduction would contribute notably to the filling of storage capacities, which would not be depleted at the end of the winter, allowing to cope with possible cold spells in February and March of 2023 and facilitating the filling of storages to ensure adequate levels of security of supply for the winter 2023-2024. </w:t>
      </w:r>
      <w:r w:rsidR="02DE8AB1">
        <w:rPr>
          <w:noProof/>
        </w:rPr>
        <w:t>Reducing demand for gas will also help ensure adequate supply and drive prices down, to the benefit of the Union consumers.</w:t>
      </w:r>
      <w:r w:rsidR="02DE8AB1" w:rsidRPr="36321620">
        <w:rPr>
          <w:rFonts w:eastAsia="Arial Unicode MS"/>
          <w:noProof/>
        </w:rPr>
        <w:t xml:space="preserve"> </w:t>
      </w:r>
      <w:r w:rsidR="02DE8AB1">
        <w:rPr>
          <w:noProof/>
        </w:rPr>
        <w:t>Therefore, measures taken at Union level to reduce demand would benefit all Member States by decreasing the risk of a more substantial impact on their economies.</w:t>
      </w:r>
    </w:p>
    <w:p w14:paraId="189DEAF3" w14:textId="3C19430F" w:rsidR="00FA2B8F" w:rsidRPr="00FA2B8F" w:rsidRDefault="00731D55" w:rsidP="00C668DE">
      <w:pPr>
        <w:pStyle w:val="ManualConsidrant"/>
        <w:rPr>
          <w:noProof/>
        </w:rPr>
      </w:pPr>
      <w:r>
        <w:br w:type="page"/>
      </w:r>
      <w:r w:rsidR="00B02985" w:rsidRPr="00B02985">
        <w:t>(10)</w:t>
      </w:r>
      <w:r w:rsidR="00B02985" w:rsidRPr="00B02985">
        <w:tab/>
      </w:r>
      <w:r w:rsidR="00C668DE" w:rsidRPr="00AA48E2">
        <w:rPr>
          <w:noProof/>
        </w:rPr>
        <w:t xml:space="preserve">The amount of the </w:t>
      </w:r>
      <w:r w:rsidR="00C668DE" w:rsidRPr="0017605B">
        <w:rPr>
          <w:strike/>
          <w:noProof/>
        </w:rPr>
        <w:t xml:space="preserve">recommended </w:t>
      </w:r>
      <w:r w:rsidR="00C668DE" w:rsidRPr="0017605B">
        <w:rPr>
          <w:b/>
          <w:noProof/>
          <w:u w:val="single"/>
        </w:rPr>
        <w:t xml:space="preserve">voluntary </w:t>
      </w:r>
      <w:r w:rsidR="00C668DE" w:rsidRPr="00AA48E2">
        <w:rPr>
          <w:noProof/>
        </w:rPr>
        <w:t xml:space="preserve">demand reduction </w:t>
      </w:r>
      <w:r w:rsidR="00C668DE" w:rsidRPr="0017605B">
        <w:rPr>
          <w:strike/>
          <w:noProof/>
        </w:rPr>
        <w:t xml:space="preserve">should </w:t>
      </w:r>
      <w:r w:rsidR="00C668DE" w:rsidRPr="0017605B">
        <w:rPr>
          <w:b/>
          <w:noProof/>
          <w:u w:val="single"/>
        </w:rPr>
        <w:t xml:space="preserve">takes into account </w:t>
      </w:r>
      <w:r w:rsidR="00C668DE" w:rsidRPr="0017605B">
        <w:rPr>
          <w:strike/>
          <w:noProof/>
        </w:rPr>
        <w:t xml:space="preserve">consider </w:t>
      </w:r>
      <w:r w:rsidR="00C668DE" w:rsidRPr="00AA48E2">
        <w:rPr>
          <w:noProof/>
        </w:rPr>
        <w:t xml:space="preserve">the volumes of gas demand which would be at risk </w:t>
      </w:r>
      <w:r w:rsidR="00C668DE" w:rsidRPr="00AA48E2">
        <w:rPr>
          <w:rFonts w:eastAsia="Times New Roman"/>
          <w:noProof/>
        </w:rPr>
        <w:t xml:space="preserve">of non-delivery </w:t>
      </w:r>
      <w:r w:rsidR="00C668DE" w:rsidRPr="00AA48E2">
        <w:rPr>
          <w:noProof/>
        </w:rPr>
        <w:t xml:space="preserve">in case of a full disruption of Russian gas supplies. The </w:t>
      </w:r>
      <w:r w:rsidR="00C668DE" w:rsidRPr="00AA48E2">
        <w:rPr>
          <w:rFonts w:eastAsia="Times New Roman"/>
          <w:noProof/>
        </w:rPr>
        <w:t xml:space="preserve">volume of the reduction should be </w:t>
      </w:r>
      <w:r w:rsidR="00C668DE" w:rsidRPr="0017605B">
        <w:rPr>
          <w:rFonts w:eastAsia="Times New Roman"/>
          <w:b/>
          <w:noProof/>
          <w:u w:val="single"/>
        </w:rPr>
        <w:t xml:space="preserve">the same for </w:t>
      </w:r>
      <w:r w:rsidR="00C668DE" w:rsidRPr="0017605B">
        <w:rPr>
          <w:rFonts w:eastAsia="Times New Roman"/>
          <w:strike/>
          <w:noProof/>
        </w:rPr>
        <w:t xml:space="preserve">distributed amongst </w:t>
      </w:r>
      <w:r w:rsidR="00C668DE" w:rsidRPr="00AA48E2">
        <w:rPr>
          <w:rFonts w:eastAsia="Times New Roman"/>
          <w:noProof/>
        </w:rPr>
        <w:t>all Member States, based on a comparison with their average consumption over the last 5 years.</w:t>
      </w:r>
    </w:p>
    <w:p w14:paraId="7D4B1D80" w14:textId="4AFA764C" w:rsidR="00FA2B8F" w:rsidRDefault="00B02985" w:rsidP="00C668DE">
      <w:pPr>
        <w:pStyle w:val="ManualConsidrant"/>
        <w:rPr>
          <w:noProof/>
        </w:rPr>
      </w:pPr>
      <w:r w:rsidRPr="00B02985">
        <w:t>(11)</w:t>
      </w:r>
      <w:r w:rsidRPr="00B02985">
        <w:tab/>
      </w:r>
      <w:r w:rsidR="00C668DE" w:rsidRPr="00AA48E2">
        <w:rPr>
          <w:noProof/>
        </w:rPr>
        <w:t xml:space="preserve">In order to promptly address the specific challenges of the ongoing and anticipated severe worsening of gas supply shortages and avoid distortions between Member States, the </w:t>
      </w:r>
      <w:r w:rsidR="00C668DE" w:rsidRPr="00AA48E2">
        <w:rPr>
          <w:strike/>
          <w:noProof/>
        </w:rPr>
        <w:t>Commission</w:t>
      </w:r>
      <w:r w:rsidR="00C668DE" w:rsidRPr="00AA48E2">
        <w:rPr>
          <w:noProof/>
        </w:rPr>
        <w:t xml:space="preserve"> </w:t>
      </w:r>
      <w:r w:rsidR="00C668DE" w:rsidRPr="00AA48E2">
        <w:rPr>
          <w:b/>
          <w:bCs/>
          <w:noProof/>
          <w:u w:val="single"/>
        </w:rPr>
        <w:t xml:space="preserve">Council </w:t>
      </w:r>
      <w:r w:rsidR="00C668DE" w:rsidRPr="00AA48E2">
        <w:rPr>
          <w:strike/>
          <w:noProof/>
        </w:rPr>
        <w:t xml:space="preserve">should be empowered </w:t>
      </w:r>
      <w:r w:rsidR="00C668DE" w:rsidRPr="00AA48E2">
        <w:rPr>
          <w:b/>
          <w:bCs/>
          <w:noProof/>
          <w:u w:val="single"/>
        </w:rPr>
        <w:t>may, on a proposal from the Commission,  by means of an implementing act</w:t>
      </w:r>
      <w:r w:rsidR="00C668DE" w:rsidRPr="00AA48E2">
        <w:rPr>
          <w:noProof/>
        </w:rPr>
        <w:t xml:space="preserve"> </w:t>
      </w:r>
      <w:r w:rsidR="00C668DE" w:rsidRPr="0017605B">
        <w:rPr>
          <w:strike/>
          <w:noProof/>
        </w:rPr>
        <w:t xml:space="preserve">to </w:t>
      </w:r>
      <w:r w:rsidR="00C668DE" w:rsidRPr="00AA48E2">
        <w:rPr>
          <w:noProof/>
        </w:rPr>
        <w:t xml:space="preserve">declare </w:t>
      </w:r>
      <w:r w:rsidR="00C668DE" w:rsidRPr="00AA48E2">
        <w:rPr>
          <w:b/>
          <w:bCs/>
          <w:noProof/>
          <w:u w:val="single"/>
        </w:rPr>
        <w:t>a Union alert. Before presenting a proposal, the Commission should consult</w:t>
      </w:r>
      <w:r w:rsidR="00C668DE" w:rsidRPr="0017605B">
        <w:rPr>
          <w:strike/>
          <w:noProof/>
        </w:rPr>
        <w:t>,</w:t>
      </w:r>
      <w:r w:rsidR="00C668DE" w:rsidRPr="00AA48E2">
        <w:rPr>
          <w:noProof/>
        </w:rPr>
        <w:t xml:space="preserve"> </w:t>
      </w:r>
      <w:r w:rsidR="00C668DE" w:rsidRPr="00AA48E2">
        <w:rPr>
          <w:strike/>
          <w:noProof/>
        </w:rPr>
        <w:t>after consultation of</w:t>
      </w:r>
      <w:r w:rsidR="00C668DE" w:rsidRPr="00AA48E2">
        <w:rPr>
          <w:noProof/>
        </w:rPr>
        <w:t xml:space="preserve"> the relevant risk groups and the Gas Coordination Group (‘GCG’), established under Regulation (EU) 2017/1938</w:t>
      </w:r>
      <w:r w:rsidR="00C668DE" w:rsidRPr="0017605B">
        <w:rPr>
          <w:b/>
          <w:noProof/>
          <w:u w:val="single"/>
        </w:rPr>
        <w:t>.</w:t>
      </w:r>
      <w:r w:rsidR="00C668DE" w:rsidRPr="0017605B">
        <w:rPr>
          <w:strike/>
          <w:noProof/>
        </w:rPr>
        <w:t>,</w:t>
      </w:r>
      <w:r w:rsidR="00C668DE" w:rsidRPr="00AA48E2">
        <w:rPr>
          <w:noProof/>
        </w:rPr>
        <w:t xml:space="preserve"> </w:t>
      </w:r>
      <w:r w:rsidR="00C668DE" w:rsidRPr="0017605B">
        <w:rPr>
          <w:strike/>
          <w:noProof/>
        </w:rPr>
        <w:t>and taking into account any views expressed by the Member States in that context, a</w:t>
      </w:r>
      <w:r w:rsidR="00C668DE" w:rsidRPr="0017605B">
        <w:rPr>
          <w:b/>
          <w:noProof/>
          <w:u w:val="single"/>
        </w:rPr>
        <w:t>A</w:t>
      </w:r>
      <w:r w:rsidR="00C668DE" w:rsidRPr="00AA48E2">
        <w:rPr>
          <w:noProof/>
        </w:rPr>
        <w:t xml:space="preserve"> Union alert</w:t>
      </w:r>
      <w:r w:rsidR="00C668DE" w:rsidRPr="0017605B">
        <w:rPr>
          <w:b/>
          <w:noProof/>
          <w:u w:val="single"/>
        </w:rPr>
        <w:t xml:space="preserve"> should only be issued </w:t>
      </w:r>
      <w:r w:rsidR="00C668DE" w:rsidRPr="0017605B">
        <w:rPr>
          <w:strike/>
          <w:noProof/>
        </w:rPr>
        <w:t xml:space="preserve">, </w:t>
      </w:r>
      <w:r w:rsidR="00C668DE" w:rsidRPr="00AA48E2">
        <w:rPr>
          <w:noProof/>
        </w:rPr>
        <w:t xml:space="preserve">in case the voluntary demand reduction measures prove to be insufficient to address the risk of a serious supply shortage. Three or more competent authorities of Member States which have declared nation alerts should be given the possibility to request the Commission </w:t>
      </w:r>
      <w:r w:rsidR="00C668DE" w:rsidRPr="00AA48E2">
        <w:rPr>
          <w:b/>
          <w:bCs/>
          <w:noProof/>
          <w:u w:val="single"/>
        </w:rPr>
        <w:t>to present a proposal to the Council</w:t>
      </w:r>
      <w:r w:rsidR="00C668DE" w:rsidRPr="00AA48E2">
        <w:rPr>
          <w:noProof/>
        </w:rPr>
        <w:t xml:space="preserve"> to declare a Union alert.</w:t>
      </w:r>
    </w:p>
    <w:p w14:paraId="45B7C4AA" w14:textId="5F6CA5A8" w:rsidR="00FA2B8F" w:rsidRPr="00965CC7" w:rsidRDefault="00457855" w:rsidP="00C668DE">
      <w:pPr>
        <w:pStyle w:val="ManualConsidrant"/>
        <w:rPr>
          <w:noProof/>
        </w:rPr>
      </w:pPr>
      <w:r>
        <w:br w:type="page"/>
      </w:r>
      <w:r w:rsidR="00B02985" w:rsidRPr="00B02985">
        <w:t>(12)</w:t>
      </w:r>
      <w:r w:rsidR="00B02985" w:rsidRPr="00B02985">
        <w:tab/>
      </w:r>
      <w:r w:rsidR="00C668DE" w:rsidRPr="00AA48E2">
        <w:rPr>
          <w:noProof/>
        </w:rPr>
        <w:t>The Union alert should serve as a Union-specific crisis level, which should trigger mandatory demand reduction</w:t>
      </w:r>
      <w:r w:rsidR="00C668DE" w:rsidRPr="0017605B">
        <w:rPr>
          <w:b/>
          <w:noProof/>
          <w:u w:val="single"/>
        </w:rPr>
        <w:t xml:space="preserve">, independently of </w:t>
      </w:r>
      <w:r w:rsidR="00C668DE" w:rsidRPr="0017605B">
        <w:rPr>
          <w:strike/>
          <w:noProof/>
        </w:rPr>
        <w:t xml:space="preserve">. It should not have a legal impact on </w:t>
      </w:r>
      <w:r w:rsidR="00C668DE" w:rsidRPr="00AA48E2">
        <w:rPr>
          <w:noProof/>
        </w:rPr>
        <w:t xml:space="preserve">the national crisis levels pursuant to Article 11(1) of Regulation (EU) 2017/1938.Voluntary measures may not by themselves be sufficient to ensure security of supply and market functioning. Therefore, a new instrument introducing the possibility for a mandatory gas demand reduction for all Member States should be established. It should become operational sufficiently in advance of the autumn. Once a Union alert has been declared, all Member States should be obliged to reduce their gas consumption within a pre-defined period. The </w:t>
      </w:r>
      <w:r w:rsidR="00C668DE" w:rsidRPr="0017605B">
        <w:rPr>
          <w:b/>
          <w:noProof/>
          <w:u w:val="single"/>
        </w:rPr>
        <w:t>volume</w:t>
      </w:r>
      <w:r w:rsidR="00C668DE" w:rsidRPr="0017605B">
        <w:rPr>
          <w:strike/>
          <w:noProof/>
        </w:rPr>
        <w:t>amount</w:t>
      </w:r>
      <w:r w:rsidR="00C668DE" w:rsidRPr="00AA48E2">
        <w:rPr>
          <w:noProof/>
        </w:rPr>
        <w:t xml:space="preserve"> of the </w:t>
      </w:r>
      <w:r w:rsidR="00C668DE" w:rsidRPr="0017605B">
        <w:rPr>
          <w:strike/>
          <w:noProof/>
        </w:rPr>
        <w:t xml:space="preserve">necessary </w:t>
      </w:r>
      <w:r w:rsidR="00C668DE" w:rsidRPr="0017605B">
        <w:rPr>
          <w:b/>
          <w:noProof/>
          <w:u w:val="single"/>
        </w:rPr>
        <w:t xml:space="preserve">mandatory </w:t>
      </w:r>
      <w:r w:rsidR="00C668DE" w:rsidRPr="00AA48E2">
        <w:rPr>
          <w:noProof/>
        </w:rPr>
        <w:t xml:space="preserve">demand reduction volumes </w:t>
      </w:r>
      <w:r w:rsidR="00C668DE" w:rsidRPr="0017605B">
        <w:rPr>
          <w:strike/>
          <w:noProof/>
        </w:rPr>
        <w:t xml:space="preserve">should consider </w:t>
      </w:r>
      <w:r w:rsidR="00C668DE" w:rsidRPr="0017605B">
        <w:rPr>
          <w:b/>
          <w:noProof/>
          <w:u w:val="single"/>
        </w:rPr>
        <w:t xml:space="preserve">takes into account </w:t>
      </w:r>
      <w:r w:rsidR="00C668DE" w:rsidRPr="00AA48E2">
        <w:rPr>
          <w:noProof/>
        </w:rPr>
        <w:t xml:space="preserve">the volumes of gas demand which could be at risk in </w:t>
      </w:r>
      <w:r w:rsidR="00C668DE" w:rsidRPr="0017605B">
        <w:rPr>
          <w:b/>
          <w:noProof/>
          <w:u w:val="single"/>
        </w:rPr>
        <w:t xml:space="preserve">the </w:t>
      </w:r>
      <w:r w:rsidR="00C668DE" w:rsidRPr="00AA48E2">
        <w:rPr>
          <w:noProof/>
        </w:rPr>
        <w:t xml:space="preserve">case of a full disruption of Russian gas supplies and should fully take into account voluntary demand reduction already achieved during the same period. </w:t>
      </w:r>
      <w:r w:rsidR="00C668DE" w:rsidRPr="0017605B">
        <w:rPr>
          <w:strike/>
          <w:noProof/>
        </w:rPr>
        <w:t xml:space="preserve">The volume of the reduction can be distributed amongst all Member States, based on a comparison with their average consumption over the last 5 years. </w:t>
      </w:r>
      <w:r w:rsidR="00C668DE" w:rsidRPr="00AA48E2">
        <w:rPr>
          <w:noProof/>
        </w:rPr>
        <w:t>The volume and the duration of the mandatory demand reduction obligation should also take into account the level of storage filling as reported pursuant to Article 6(d)(1) of Regulation (EU) 2017/1938, the development concerning the diversification of sources of gas, including LNG supplies and the development of fuel substitutability in the Union.</w:t>
      </w:r>
    </w:p>
    <w:p w14:paraId="36008FB1" w14:textId="11562738" w:rsidR="00FA2B8F" w:rsidRPr="00965CC7" w:rsidRDefault="00457855" w:rsidP="00C668DE">
      <w:pPr>
        <w:pStyle w:val="ManualConsidrant"/>
        <w:rPr>
          <w:noProof/>
        </w:rPr>
      </w:pPr>
      <w:r>
        <w:br w:type="page"/>
      </w:r>
      <w:r w:rsidR="00B02985" w:rsidRPr="00B02985">
        <w:t>(13)</w:t>
      </w:r>
      <w:r w:rsidR="00B02985" w:rsidRPr="00B02985">
        <w:tab/>
      </w:r>
      <w:r w:rsidR="00C668DE" w:rsidRPr="00AA48E2">
        <w:rPr>
          <w:noProof/>
        </w:rPr>
        <w:t>With a view to the significant distortions of the internal market which are likely to occur if Member States react in an uncoordinated manner to a potential or actual further Russian supply disruption, it is crucial that all Member States reduce their gas demand in a spirit of solidarity. All Member States should therefore, achieve the same voluntary and mandatory reduction targets. While some Member States may be more exposed to the effects of a disruption of Russian supplies, all Member States will be negatively affected and can contribute to limit</w:t>
      </w:r>
      <w:r w:rsidR="00C668DE" w:rsidRPr="0017605B">
        <w:rPr>
          <w:b/>
          <w:noProof/>
          <w:u w:val="single"/>
        </w:rPr>
        <w:t>ing</w:t>
      </w:r>
      <w:r w:rsidR="00C668DE" w:rsidRPr="00AA48E2">
        <w:rPr>
          <w:noProof/>
        </w:rPr>
        <w:t xml:space="preserve"> the economic harm of such disruption, be it by freeing up additional volumes of pipeline gas or LNG cargoes which can be used by Member States with significant gas deficits, be it by the positive effect on gas prices which a demand reduction is likely to have, be it by avoiding market distortions through uncoordinated and contradicting demand reduction measures. This Regulation therefore reflects the principle of energy solidarity, which has recently been confirmed by the Court of Justice as a fundamental principle of EU law</w:t>
      </w:r>
      <w:r w:rsidR="00C668DE" w:rsidRPr="00AA48E2">
        <w:rPr>
          <w:rStyle w:val="FootnoteReference"/>
          <w:noProof/>
          <w:lang w:val="en-IE"/>
        </w:rPr>
        <w:footnoteReference w:id="5"/>
      </w:r>
      <w:r w:rsidR="00C668DE" w:rsidRPr="00AA48E2">
        <w:rPr>
          <w:noProof/>
        </w:rPr>
        <w:t>.</w:t>
      </w:r>
    </w:p>
    <w:p w14:paraId="4E953C49" w14:textId="1D4A405A" w:rsidR="00A93F0B" w:rsidRPr="00D31742" w:rsidRDefault="00B02985" w:rsidP="00B02985">
      <w:pPr>
        <w:pStyle w:val="ManualConsidrant"/>
        <w:rPr>
          <w:rStyle w:val="normaltextrun"/>
          <w:noProof/>
        </w:rPr>
      </w:pPr>
      <w:r w:rsidRPr="00B02985">
        <w:rPr>
          <w:rStyle w:val="normaltextrun"/>
        </w:rPr>
        <w:t>(14)</w:t>
      </w:r>
      <w:r w:rsidRPr="00B02985">
        <w:rPr>
          <w:rStyle w:val="normaltextrun"/>
        </w:rPr>
        <w:tab/>
      </w:r>
      <w:r w:rsidR="00A93F0B" w:rsidRPr="005B1124">
        <w:rPr>
          <w:rStyle w:val="normaltextrun"/>
          <w:noProof/>
          <w:lang w:val="en-IE"/>
        </w:rPr>
        <w:t>However, certain Member States are, due their specific geographical or physical situation</w:t>
      </w:r>
      <w:r w:rsidR="00A93F0B">
        <w:rPr>
          <w:rStyle w:val="normaltextrun"/>
          <w:noProof/>
          <w:lang w:val="en-IE"/>
        </w:rPr>
        <w:t>,</w:t>
      </w:r>
      <w:r w:rsidR="00A93F0B" w:rsidRPr="005B1124">
        <w:rPr>
          <w:rStyle w:val="normaltextrun"/>
          <w:noProof/>
          <w:lang w:val="en-IE"/>
        </w:rPr>
        <w:t xml:space="preserve"> such as missing or low pipeline interconnection to other Member States, not able to free up significant volumes of pipeline gas to the benefit of other Member States. </w:t>
      </w:r>
      <w:r w:rsidR="00754903">
        <w:rPr>
          <w:rStyle w:val="normaltextrun"/>
          <w:noProof/>
          <w:lang w:val="en-IE"/>
        </w:rPr>
        <w:t xml:space="preserve">Those Member States should therefore be given a possibility to ask for a partial derogation from the mandatory demand reduction obligation. </w:t>
      </w:r>
      <w:r w:rsidR="00A93F0B" w:rsidRPr="005B1124">
        <w:rPr>
          <w:rStyle w:val="normaltextrun"/>
          <w:noProof/>
          <w:lang w:val="en-IE"/>
        </w:rPr>
        <w:t xml:space="preserve">The Commission, when verifying the conditions for the application of </w:t>
      </w:r>
      <w:r w:rsidR="00754903">
        <w:rPr>
          <w:rStyle w:val="normaltextrun"/>
          <w:noProof/>
          <w:lang w:val="en-IE"/>
        </w:rPr>
        <w:t>the derogation,</w:t>
      </w:r>
      <w:r w:rsidR="00A93F0B" w:rsidRPr="005B1124">
        <w:rPr>
          <w:rStyle w:val="normaltextrun"/>
          <w:noProof/>
          <w:lang w:val="en-IE"/>
        </w:rPr>
        <w:t xml:space="preserve"> should take into account if the respective Member State makes full use of its gas interconnectors and uses its LNG facilities to re-direct gas to other Member States to the utmost extent, in a spirit of solidarity. The Commission should also monitor the total gas consumption as well as </w:t>
      </w:r>
      <w:r w:rsidR="00A93F0B">
        <w:rPr>
          <w:rStyle w:val="normaltextrun"/>
          <w:noProof/>
          <w:lang w:val="en-IE"/>
        </w:rPr>
        <w:t xml:space="preserve">the use </w:t>
      </w:r>
      <w:r w:rsidR="00A93F0B" w:rsidRPr="005B1124">
        <w:rPr>
          <w:rStyle w:val="normaltextrun"/>
          <w:noProof/>
          <w:lang w:val="en-IE"/>
        </w:rPr>
        <w:t>of interconnectors and LNG facilities</w:t>
      </w:r>
      <w:r w:rsidR="00A93F0B">
        <w:rPr>
          <w:rStyle w:val="normaltextrun"/>
          <w:noProof/>
          <w:lang w:val="en-IE"/>
        </w:rPr>
        <w:t>.</w:t>
      </w:r>
    </w:p>
    <w:p w14:paraId="4E36A532" w14:textId="4155AAFE" w:rsidR="00FA2B8F" w:rsidRPr="00FA2B8F" w:rsidRDefault="009025C2" w:rsidP="00C668DE">
      <w:pPr>
        <w:pStyle w:val="ManualConsidrant"/>
        <w:rPr>
          <w:noProof/>
        </w:rPr>
      </w:pPr>
      <w:r>
        <w:br w:type="page"/>
      </w:r>
      <w:r w:rsidR="00B02985" w:rsidRPr="00B02985">
        <w:t>(15)</w:t>
      </w:r>
      <w:r w:rsidR="00B02985" w:rsidRPr="00B02985">
        <w:tab/>
      </w:r>
      <w:r w:rsidR="00C668DE" w:rsidRPr="00AA48E2">
        <w:rPr>
          <w:noProof/>
        </w:rPr>
        <w:t xml:space="preserve">Member States should be free to choose the appropriate measures to reach the mandatory demand reduction. When identifying appropriate demand reduction measures and prioritising customers groups, Member States should </w:t>
      </w:r>
      <w:r w:rsidR="00C668DE" w:rsidRPr="0017605B">
        <w:rPr>
          <w:b/>
          <w:noProof/>
          <w:u w:val="single"/>
        </w:rPr>
        <w:t xml:space="preserve">consider </w:t>
      </w:r>
      <w:r w:rsidR="00C668DE" w:rsidRPr="00AA48E2">
        <w:rPr>
          <w:noProof/>
        </w:rPr>
        <w:t>mak</w:t>
      </w:r>
      <w:r w:rsidR="00C668DE" w:rsidRPr="0017605B">
        <w:rPr>
          <w:b/>
          <w:noProof/>
          <w:u w:val="single"/>
        </w:rPr>
        <w:t>ing</w:t>
      </w:r>
      <w:r w:rsidR="00C668DE" w:rsidRPr="0017605B">
        <w:rPr>
          <w:strike/>
          <w:noProof/>
        </w:rPr>
        <w:t>e</w:t>
      </w:r>
      <w:r w:rsidR="00C668DE" w:rsidRPr="00AA48E2">
        <w:rPr>
          <w:noProof/>
        </w:rPr>
        <w:t xml:space="preserve"> use of the measures identified in the Communication “Save Gas for a Safe Winter” of 20 July 2022. </w:t>
      </w:r>
      <w:r w:rsidR="00C668DE" w:rsidRPr="00AA48E2">
        <w:rPr>
          <w:noProof/>
          <w:lang w:val="en-IE"/>
        </w:rPr>
        <w:t>Member States should in particular consider economically efficient measures such as auctions or tender schemes, by which Member States can incentivise a reduction of co</w:t>
      </w:r>
      <w:r w:rsidR="00C668DE" w:rsidRPr="00AA48E2">
        <w:rPr>
          <w:rStyle w:val="normaltextrun"/>
          <w:noProof/>
          <w:color w:val="000000"/>
          <w:shd w:val="clear" w:color="auto" w:fill="FFFFFF"/>
          <w:lang w:val="en-IE"/>
        </w:rPr>
        <w:t xml:space="preserve">nsumption in an economically efficient manner. </w:t>
      </w:r>
      <w:r w:rsidR="00C668DE" w:rsidRPr="00AA48E2">
        <w:rPr>
          <w:noProof/>
        </w:rPr>
        <w:t>The measures taken at national level may also include financial incentives or compensations to market participants affected.</w:t>
      </w:r>
    </w:p>
    <w:p w14:paraId="216C3F7D" w14:textId="4DF7F6A1" w:rsidR="00FA2B8F" w:rsidRPr="00FA2B8F" w:rsidRDefault="00B02985" w:rsidP="00C668DE">
      <w:pPr>
        <w:pStyle w:val="ManualConsidrant"/>
        <w:rPr>
          <w:noProof/>
        </w:rPr>
      </w:pPr>
      <w:r w:rsidRPr="00B02985">
        <w:t>(16)</w:t>
      </w:r>
      <w:r w:rsidRPr="00B02985">
        <w:tab/>
      </w:r>
      <w:r w:rsidR="00C668DE" w:rsidRPr="00AA48E2">
        <w:rPr>
          <w:noProof/>
        </w:rPr>
        <w:t xml:space="preserve">Any measure taken by Member States to reach the mandatory demand reduction should be necessary, clearly defined, transparent, proportionate, non-discriminatory and verifiable, and should not unduly distort competition or the proper functioning of the internal market in gas or endanger the security of gas supply of other Member States or of the Union. Given that non-market based measures, such as those mentioned in Annex VIII to Regulation (EU) 2017/1938, can be particularly damaging to the security of gas supply and the internal market, Member States should </w:t>
      </w:r>
      <w:r w:rsidR="00C668DE" w:rsidRPr="0017605B">
        <w:rPr>
          <w:b/>
          <w:noProof/>
          <w:u w:val="single"/>
        </w:rPr>
        <w:t xml:space="preserve">in principle </w:t>
      </w:r>
      <w:r w:rsidR="00C668DE" w:rsidRPr="00AA48E2">
        <w:rPr>
          <w:noProof/>
        </w:rPr>
        <w:t>rely on market-based mechanisms. It is also necessary to consider the interest of protected customers to be guaranteed uninterrupted supplies of gas.</w:t>
      </w:r>
    </w:p>
    <w:p w14:paraId="50CC6D75" w14:textId="00E1C677" w:rsidR="00FA2B8F" w:rsidRPr="00FA2B8F" w:rsidRDefault="00B02985" w:rsidP="00C668DE">
      <w:pPr>
        <w:pStyle w:val="ManualConsidrant"/>
        <w:rPr>
          <w:noProof/>
        </w:rPr>
      </w:pPr>
      <w:r w:rsidRPr="00B02985">
        <w:t>(17)</w:t>
      </w:r>
      <w:r w:rsidRPr="00B02985">
        <w:tab/>
      </w:r>
      <w:r w:rsidR="00C668DE" w:rsidRPr="00AA48E2">
        <w:rPr>
          <w:noProof/>
        </w:rPr>
        <w:t xml:space="preserve">In order to ensure that demand-reduction measures are implemented in a coordinated manner, Member States should establish regular cooperation within each risk group </w:t>
      </w:r>
      <w:r w:rsidR="00C668DE" w:rsidRPr="00AA48E2">
        <w:rPr>
          <w:noProof/>
          <w:color w:val="000000" w:themeColor="text1"/>
        </w:rPr>
        <w:t>as established in Annex I of</w:t>
      </w:r>
      <w:r w:rsidR="00C668DE" w:rsidRPr="00AA48E2">
        <w:rPr>
          <w:noProof/>
        </w:rPr>
        <w:t xml:space="preserve"> </w:t>
      </w:r>
      <w:r w:rsidR="00C668DE" w:rsidRPr="00AA48E2">
        <w:rPr>
          <w:noProof/>
          <w:color w:val="000000" w:themeColor="text1"/>
        </w:rPr>
        <w:t>Regulation (EU) 2017/1938</w:t>
      </w:r>
      <w:r w:rsidR="00C668DE" w:rsidRPr="00AA48E2">
        <w:rPr>
          <w:noProof/>
        </w:rPr>
        <w:t>. Member States are free to agree on the coordination measures best suited in a given region. The Commission and the ‘GCG’ should be able to have an overview of the national measures implemented by the Member States and share best practices for the coordination of measures within the risk groups. Member States should also use other bodies to coordinate their action</w:t>
      </w:r>
      <w:r w:rsidR="00C668DE" w:rsidRPr="0017605B">
        <w:rPr>
          <w:strike/>
          <w:noProof/>
        </w:rPr>
        <w:t xml:space="preserve"> where appropriate, such as in meetings of the Director-Generals of national energy ministries</w:t>
      </w:r>
      <w:r w:rsidR="00C668DE" w:rsidRPr="00AA48E2">
        <w:rPr>
          <w:noProof/>
        </w:rPr>
        <w:t>.</w:t>
      </w:r>
    </w:p>
    <w:p w14:paraId="4D90138B" w14:textId="235A62A9" w:rsidR="00FA2B8F" w:rsidRPr="006D74C1" w:rsidRDefault="009025C2" w:rsidP="00C668DE">
      <w:pPr>
        <w:pStyle w:val="ManualConsidrant"/>
        <w:rPr>
          <w:noProof/>
        </w:rPr>
      </w:pPr>
      <w:r>
        <w:br w:type="page"/>
      </w:r>
      <w:r w:rsidR="00B02985" w:rsidRPr="00B02985">
        <w:t>(18)</w:t>
      </w:r>
      <w:r w:rsidR="00B02985" w:rsidRPr="00B02985">
        <w:tab/>
      </w:r>
      <w:r w:rsidR="00C668DE" w:rsidRPr="00AA48E2">
        <w:rPr>
          <w:noProof/>
          <w:lang w:val="en-US"/>
        </w:rPr>
        <w:t xml:space="preserve">In order to ensure that the national emergency plans reflect the voluntary or mandatory demand reduction set out in this Regulation, the competent authority of each Member State should take the necessary steps to update the national emergency plan </w:t>
      </w:r>
      <w:r w:rsidR="00457855">
        <w:rPr>
          <w:b/>
          <w:noProof/>
          <w:u w:val="single"/>
          <w:lang w:val="en-US"/>
        </w:rPr>
        <w:t>referred to in Article </w:t>
      </w:r>
      <w:r w:rsidR="00C668DE" w:rsidRPr="0017605B">
        <w:rPr>
          <w:b/>
          <w:noProof/>
          <w:u w:val="single"/>
          <w:lang w:val="en-US"/>
        </w:rPr>
        <w:t xml:space="preserve">11 of Regulation (EU) 2017/1938 </w:t>
      </w:r>
      <w:r w:rsidR="00C668DE" w:rsidRPr="00AA48E2">
        <w:rPr>
          <w:noProof/>
          <w:lang w:val="en-US"/>
        </w:rPr>
        <w:t>by 31 September 2022</w:t>
      </w:r>
      <w:r w:rsidR="00C668DE" w:rsidRPr="00AA48E2">
        <w:rPr>
          <w:noProof/>
        </w:rPr>
        <w:t xml:space="preserve">. </w:t>
      </w:r>
      <w:r w:rsidR="00C668DE" w:rsidRPr="0017605B">
        <w:rPr>
          <w:strike/>
          <w:noProof/>
          <w:lang w:val="en-US"/>
        </w:rPr>
        <w:t xml:space="preserve">The update of the national emergency plan should indicate how the measures proposed in the </w:t>
      </w:r>
      <w:r w:rsidR="00C668DE" w:rsidRPr="0017605B">
        <w:rPr>
          <w:strike/>
          <w:noProof/>
        </w:rPr>
        <w:t xml:space="preserve">Communication “Save Gas for a Safe Winter” of 20 July 2022 </w:t>
      </w:r>
      <w:r w:rsidR="00C668DE" w:rsidRPr="0017605B">
        <w:rPr>
          <w:strike/>
          <w:noProof/>
          <w:lang w:val="en-US"/>
        </w:rPr>
        <w:t>have been used.</w:t>
      </w:r>
      <w:r w:rsidR="00C668DE" w:rsidRPr="0017605B">
        <w:rPr>
          <w:rFonts w:eastAsia="Times New Roman"/>
          <w:strike/>
          <w:noProof/>
        </w:rPr>
        <w:t xml:space="preserve"> </w:t>
      </w:r>
      <w:r w:rsidR="00C668DE" w:rsidRPr="00AA48E2">
        <w:rPr>
          <w:noProof/>
        </w:rPr>
        <w:t xml:space="preserve">Given the short timeframe for the update, the coordination procedures pursuant to Article 8(6) to (11) </w:t>
      </w:r>
      <w:r w:rsidR="00C668DE" w:rsidRPr="0017605B">
        <w:rPr>
          <w:b/>
          <w:noProof/>
          <w:u w:val="single"/>
        </w:rPr>
        <w:t xml:space="preserve">of Regulation (EU) 2017/1938 </w:t>
      </w:r>
      <w:r w:rsidR="00C668DE" w:rsidRPr="00AA48E2">
        <w:rPr>
          <w:noProof/>
        </w:rPr>
        <w:t xml:space="preserve">should not apply. However, </w:t>
      </w:r>
      <w:r w:rsidR="00C668DE" w:rsidRPr="00AA48E2">
        <w:rPr>
          <w:rFonts w:eastAsia="Times New Roman"/>
          <w:noProof/>
        </w:rPr>
        <w:t>Member States should consult other Member States on the update of the emergency plans. The Commission should convene the GCG, the risk groups or other relevant bodies to discuss potential issues related to demand reduction measures.</w:t>
      </w:r>
    </w:p>
    <w:p w14:paraId="2B4AA6DF" w14:textId="7FE5C50F" w:rsidR="006D74C1" w:rsidRPr="006D74C1" w:rsidRDefault="00B02985" w:rsidP="00B02985">
      <w:pPr>
        <w:pStyle w:val="ManualConsidrant"/>
        <w:rPr>
          <w:noProof/>
        </w:rPr>
      </w:pPr>
      <w:r w:rsidRPr="00B02985">
        <w:t>(19)</w:t>
      </w:r>
      <w:r w:rsidRPr="00B02985">
        <w:tab/>
      </w:r>
      <w:r w:rsidR="4B670FD5" w:rsidRPr="36321620">
        <w:rPr>
          <w:noProof/>
        </w:rPr>
        <w:t>Regular and effective monitoring and reporting are essential for the assessment of progress made by the Member States in the implementation of the voluntary and mandatory demand reduction measures, and for measuring the social and economic impact of the measures</w:t>
      </w:r>
      <w:r w:rsidR="00732876">
        <w:rPr>
          <w:noProof/>
        </w:rPr>
        <w:t xml:space="preserve"> as well as the impact on employment</w:t>
      </w:r>
      <w:r w:rsidR="4B670FD5" w:rsidRPr="36321620">
        <w:rPr>
          <w:noProof/>
        </w:rPr>
        <w:t xml:space="preserve">. The competent authority of each Member State or another entity designated by the Member State should </w:t>
      </w:r>
      <w:r w:rsidR="4B670FD5" w:rsidRPr="36321620">
        <w:rPr>
          <w:rFonts w:eastAsiaTheme="minorEastAsia"/>
          <w:noProof/>
        </w:rPr>
        <w:t xml:space="preserve">monitor the demand-reduction achieved on their territory and </w:t>
      </w:r>
      <w:r w:rsidR="000C0C44">
        <w:rPr>
          <w:rFonts w:eastAsiaTheme="minorEastAsia"/>
          <w:noProof/>
        </w:rPr>
        <w:t xml:space="preserve">regularly </w:t>
      </w:r>
      <w:r w:rsidR="4B670FD5" w:rsidRPr="36321620">
        <w:rPr>
          <w:rFonts w:eastAsiaTheme="minorEastAsia"/>
          <w:noProof/>
        </w:rPr>
        <w:t>report the results to the Commission . The GCG should assist the Commission in the monitoring of the demand-reduction obligations.</w:t>
      </w:r>
    </w:p>
    <w:p w14:paraId="0A157EE7" w14:textId="77777777" w:rsidR="00C668DE" w:rsidRDefault="009025C2" w:rsidP="00C668DE">
      <w:pPr>
        <w:pStyle w:val="ManualConsidrant"/>
        <w:rPr>
          <w:noProof/>
        </w:rPr>
      </w:pPr>
      <w:r>
        <w:br w:type="page"/>
      </w:r>
      <w:r w:rsidR="00B02985" w:rsidRPr="00B02985">
        <w:t>(20)</w:t>
      </w:r>
      <w:r w:rsidR="00B02985" w:rsidRPr="00B02985">
        <w:tab/>
      </w:r>
      <w:r w:rsidR="00C668DE" w:rsidRPr="00AA48E2">
        <w:rPr>
          <w:noProof/>
          <w:lang w:val="en-US"/>
        </w:rPr>
        <w:t xml:space="preserve">To prevent significant economic harm </w:t>
      </w:r>
      <w:r w:rsidR="00C668DE" w:rsidRPr="0017605B">
        <w:rPr>
          <w:strike/>
          <w:noProof/>
          <w:lang w:val="en-US"/>
        </w:rPr>
        <w:t xml:space="preserve">for </w:t>
      </w:r>
      <w:r w:rsidR="00C668DE" w:rsidRPr="0017605B">
        <w:rPr>
          <w:b/>
          <w:noProof/>
          <w:u w:val="single"/>
          <w:lang w:val="en-US"/>
        </w:rPr>
        <w:t xml:space="preserve">to </w:t>
      </w:r>
      <w:r w:rsidR="00C668DE" w:rsidRPr="00AA48E2">
        <w:rPr>
          <w:noProof/>
          <w:lang w:val="en-US"/>
        </w:rPr>
        <w:t xml:space="preserve">the Union as a whole, it is crucial that each single Member State reduces its demand in the alert phase. This will ensure that gas is sufficient for all, even in winter-times. The </w:t>
      </w:r>
      <w:r w:rsidR="00C668DE" w:rsidRPr="0017605B">
        <w:rPr>
          <w:rStyle w:val="normaltextrun"/>
          <w:noProof/>
        </w:rPr>
        <w:t>demand reduction across the Union</w:t>
      </w:r>
      <w:r w:rsidR="00C668DE" w:rsidRPr="0017605B">
        <w:rPr>
          <w:noProof/>
          <w:lang w:val="en-US"/>
        </w:rPr>
        <w:t xml:space="preserve"> </w:t>
      </w:r>
      <w:r w:rsidR="00C668DE" w:rsidRPr="00AA48E2">
        <w:rPr>
          <w:noProof/>
          <w:lang w:val="en-US"/>
        </w:rPr>
        <w:t xml:space="preserve">is </w:t>
      </w:r>
      <w:r w:rsidR="00C668DE" w:rsidRPr="0017605B">
        <w:rPr>
          <w:strike/>
          <w:noProof/>
          <w:lang w:val="en-US"/>
        </w:rPr>
        <w:t xml:space="preserve">therefore </w:t>
      </w:r>
      <w:r w:rsidR="00C668DE" w:rsidRPr="00AA48E2">
        <w:rPr>
          <w:noProof/>
          <w:lang w:val="en-US"/>
        </w:rPr>
        <w:t xml:space="preserve">an expression of the principle of solidarity, enshrined in the Treaty. It is therefore </w:t>
      </w:r>
      <w:r w:rsidR="00C668DE" w:rsidRPr="0017605B">
        <w:rPr>
          <w:strike/>
          <w:noProof/>
          <w:lang w:val="en-US"/>
        </w:rPr>
        <w:t xml:space="preserve">also </w:t>
      </w:r>
      <w:r w:rsidR="00C668DE" w:rsidRPr="00AA48E2">
        <w:rPr>
          <w:noProof/>
          <w:lang w:val="en-US"/>
        </w:rPr>
        <w:t xml:space="preserve">warranted that the Commission supervises strictly that the mandatory demand reductions are carried out by Member States. </w:t>
      </w:r>
      <w:r w:rsidR="00C668DE" w:rsidRPr="00AA48E2">
        <w:rPr>
          <w:noProof/>
          <w:color w:val="000000" w:themeColor="text1"/>
        </w:rPr>
        <w:t xml:space="preserve">In case the Commission identifies a risk that a Member State may not be able to fulfil the mandatory demand reduction obligation pursuant to Article 5, the Commission should </w:t>
      </w:r>
      <w:r w:rsidR="00C668DE" w:rsidRPr="0017605B">
        <w:rPr>
          <w:strike/>
          <w:noProof/>
          <w:color w:val="000000" w:themeColor="text1"/>
        </w:rPr>
        <w:t xml:space="preserve">have the power to </w:t>
      </w:r>
      <w:r w:rsidR="00C668DE" w:rsidRPr="0017605B">
        <w:rPr>
          <w:b/>
          <w:noProof/>
          <w:color w:val="000000" w:themeColor="text1"/>
          <w:u w:val="single"/>
        </w:rPr>
        <w:t xml:space="preserve">be able to </w:t>
      </w:r>
      <w:r w:rsidR="00C668DE" w:rsidRPr="00AA48E2">
        <w:rPr>
          <w:noProof/>
          <w:color w:val="000000" w:themeColor="text1"/>
        </w:rPr>
        <w:t>request the Member State to submit a plan setting out the strategy and measures to effectively reach the mandatory demand reduction obligation.</w:t>
      </w:r>
      <w:r w:rsidR="00C668DE" w:rsidRPr="00AA48E2">
        <w:rPr>
          <w:noProof/>
        </w:rPr>
        <w:t xml:space="preserve"> The Member State should take due account of any comments and suggestions of the Commission to the plan.</w:t>
      </w:r>
    </w:p>
    <w:p w14:paraId="238C1CFC" w14:textId="78E18CCF" w:rsidR="00C668DE" w:rsidRPr="00AA48E2" w:rsidRDefault="00C668DE" w:rsidP="00755919">
      <w:pPr>
        <w:pStyle w:val="ManualConsidrant"/>
        <w:rPr>
          <w:noProof/>
        </w:rPr>
      </w:pPr>
      <w:r w:rsidRPr="0017605B">
        <w:rPr>
          <w:b/>
          <w:noProof/>
          <w:u w:val="single"/>
          <w:lang w:val="en-US"/>
        </w:rPr>
        <w:t>(20a)</w:t>
      </w:r>
      <w:r w:rsidRPr="00755919">
        <w:rPr>
          <w:b/>
          <w:noProof/>
          <w:lang w:val="en-US"/>
        </w:rPr>
        <w:tab/>
      </w:r>
      <w:r w:rsidRPr="00AA48E2">
        <w:rPr>
          <w:noProof/>
          <w:lang w:val="en-US"/>
        </w:rPr>
        <w:t xml:space="preserve">As the solidarity principle gives every Member State the right to be supported by neighbouring Member States under certain circumstances, Member States who may ask for such support should also act in a spirit of solidarity when it comes to reducing their domestic gas demand. Therefore, </w:t>
      </w:r>
      <w:r w:rsidRPr="00AA48E2">
        <w:rPr>
          <w:noProof/>
          <w:color w:val="000000" w:themeColor="text1"/>
        </w:rPr>
        <w:t>w</w:t>
      </w:r>
      <w:r w:rsidRPr="00AA48E2">
        <w:rPr>
          <w:noProof/>
        </w:rPr>
        <w:t>hen requesting a solidarity measure under Article 13 of Regulation (EU) 2017/1938, Member States should have implemented all appropriate gas demand reduction measures. T</w:t>
      </w:r>
      <w:r w:rsidRPr="00AA48E2">
        <w:rPr>
          <w:noProof/>
          <w:color w:val="000000" w:themeColor="text1"/>
        </w:rPr>
        <w:t xml:space="preserve">he Commission should be </w:t>
      </w:r>
      <w:r w:rsidRPr="0017605B">
        <w:rPr>
          <w:strike/>
          <w:noProof/>
          <w:color w:val="000000" w:themeColor="text1"/>
        </w:rPr>
        <w:t xml:space="preserve">empowered </w:t>
      </w:r>
      <w:r w:rsidRPr="0017605B">
        <w:rPr>
          <w:b/>
          <w:noProof/>
          <w:color w:val="000000" w:themeColor="text1"/>
          <w:u w:val="single"/>
        </w:rPr>
        <w:t xml:space="preserve">able </w:t>
      </w:r>
      <w:r w:rsidRPr="00AA48E2">
        <w:rPr>
          <w:noProof/>
          <w:color w:val="000000" w:themeColor="text1"/>
        </w:rPr>
        <w:t xml:space="preserve">to request the Member State requesting a solidarity measure to submit a plan with measures to achieve possible </w:t>
      </w:r>
      <w:r w:rsidRPr="00AA48E2">
        <w:rPr>
          <w:noProof/>
        </w:rPr>
        <w:t>further gas demand reductions.</w:t>
      </w:r>
      <w:r w:rsidRPr="00AA48E2">
        <w:rPr>
          <w:noProof/>
          <w:lang w:val="en-US"/>
        </w:rPr>
        <w:t xml:space="preserve"> </w:t>
      </w:r>
      <w:r w:rsidRPr="00AA48E2">
        <w:rPr>
          <w:noProof/>
        </w:rPr>
        <w:t>Due account should be taken of any comments the Commission may provide on this plan.</w:t>
      </w:r>
    </w:p>
    <w:p w14:paraId="492B15D0" w14:textId="6207A208" w:rsidR="006D74C1" w:rsidRPr="00A146F8" w:rsidRDefault="00B02985" w:rsidP="00B02985">
      <w:pPr>
        <w:pStyle w:val="ManualConsidrant"/>
        <w:rPr>
          <w:rFonts w:asciiTheme="minorHAnsi" w:hAnsiTheme="minorHAnsi"/>
          <w:noProof/>
        </w:rPr>
      </w:pPr>
      <w:r w:rsidRPr="00B02985">
        <w:t>(21)</w:t>
      </w:r>
      <w:r w:rsidRPr="00B02985">
        <w:tab/>
      </w:r>
      <w:r w:rsidR="4B670FD5">
        <w:rPr>
          <w:noProof/>
        </w:rPr>
        <w:t>The Commission should inform the European Parliament and the Council</w:t>
      </w:r>
      <w:r w:rsidR="36321620">
        <w:rPr>
          <w:noProof/>
        </w:rPr>
        <w:t xml:space="preserve"> </w:t>
      </w:r>
      <w:r w:rsidR="4B670FD5">
        <w:rPr>
          <w:noProof/>
        </w:rPr>
        <w:t>regularly about the implementation of this Regulation.</w:t>
      </w:r>
    </w:p>
    <w:p w14:paraId="14F0A5BB" w14:textId="6583AB7F" w:rsidR="006D74C1" w:rsidRPr="006D74C1" w:rsidRDefault="00B02985" w:rsidP="00755919">
      <w:pPr>
        <w:pStyle w:val="ManualConsidrant"/>
        <w:rPr>
          <w:noProof/>
        </w:rPr>
      </w:pPr>
      <w:r w:rsidRPr="00B02985">
        <w:t>(22)</w:t>
      </w:r>
      <w:r w:rsidRPr="00B02985">
        <w:tab/>
      </w:r>
      <w:r w:rsidR="00755919" w:rsidRPr="00AA48E2">
        <w:rPr>
          <w:noProof/>
        </w:rPr>
        <w:t xml:space="preserve">Considering the imminent danger for the security of gas supply brought about by the Russian military aggression against Ukraine, this Regulation should enter into force </w:t>
      </w:r>
      <w:r w:rsidR="00755919" w:rsidRPr="0017605B">
        <w:rPr>
          <w:b/>
          <w:noProof/>
          <w:u w:val="single"/>
        </w:rPr>
        <w:t>as a matter of urgency</w:t>
      </w:r>
      <w:r w:rsidR="00755919" w:rsidRPr="0017605B">
        <w:rPr>
          <w:strike/>
          <w:noProof/>
        </w:rPr>
        <w:t>on the day following that of its publication</w:t>
      </w:r>
      <w:r w:rsidR="00755919" w:rsidRPr="00AA48E2">
        <w:rPr>
          <w:noProof/>
        </w:rPr>
        <w:t>.</w:t>
      </w:r>
    </w:p>
    <w:p w14:paraId="6F12B040" w14:textId="78BC23A8" w:rsidR="006D74C1" w:rsidRPr="00A146F8" w:rsidRDefault="009025C2" w:rsidP="00755919">
      <w:pPr>
        <w:pStyle w:val="ManualConsidrant"/>
        <w:rPr>
          <w:rFonts w:asciiTheme="minorHAnsi" w:hAnsiTheme="minorHAnsi"/>
          <w:noProof/>
        </w:rPr>
      </w:pPr>
      <w:r>
        <w:br w:type="page"/>
      </w:r>
      <w:r w:rsidR="00B02985" w:rsidRPr="00B02985">
        <w:t>(23)</w:t>
      </w:r>
      <w:r w:rsidR="00B02985" w:rsidRPr="00B02985">
        <w:tab/>
      </w:r>
      <w:r w:rsidR="00755919" w:rsidRPr="00AA48E2">
        <w:rPr>
          <w:noProof/>
        </w:rPr>
        <w:t>Based on the information available, the risk of serious disruption of gas supplies to the Union is likely to be present for at least the next two winter seasons. Therefore, this Regulation should be valid for two years after its entry into force. At the end of the first year of application of this Regulation, the Commission should report on its functioning to the Council and</w:t>
      </w:r>
      <w:r w:rsidR="00755919" w:rsidRPr="0017605B">
        <w:rPr>
          <w:b/>
          <w:noProof/>
          <w:u w:val="single"/>
        </w:rPr>
        <w:t xml:space="preserve"> may</w:t>
      </w:r>
      <w:r w:rsidR="00755919" w:rsidRPr="00AA48E2">
        <w:rPr>
          <w:noProof/>
        </w:rPr>
        <w:t>, if</w:t>
      </w:r>
      <w:r w:rsidR="00755919" w:rsidRPr="36321620">
        <w:rPr>
          <w:noProof/>
        </w:rPr>
        <w:t xml:space="preserve"> appropriate, propose to prolong its validity.</w:t>
      </w:r>
    </w:p>
    <w:p w14:paraId="3B0085BB" w14:textId="1916361C" w:rsidR="005B1124" w:rsidRPr="005B1124" w:rsidRDefault="00B02985" w:rsidP="00B02985">
      <w:pPr>
        <w:pStyle w:val="ManualConsidrant"/>
        <w:rPr>
          <w:rFonts w:asciiTheme="minorEastAsia" w:eastAsiaTheme="minorEastAsia" w:hAnsiTheme="minorEastAsia" w:cstheme="minorEastAsia"/>
          <w:noProof/>
          <w:szCs w:val="24"/>
        </w:rPr>
      </w:pPr>
      <w:r w:rsidRPr="00B02985">
        <w:t>(24)</w:t>
      </w:r>
      <w:r w:rsidRPr="00B02985">
        <w:tab/>
      </w:r>
      <w:r w:rsidR="02DE8AB1">
        <w:rPr>
          <w:noProof/>
        </w:rPr>
        <w:t>Since the objectives of this Regulation cannot be sufficiently achieved by the Member States, but rather at Union level, the Union may adopt measures, in accordance with the principle of subsidiarity as set out in Article 5 of the Treaty on European Union. In accordance with the principle of proportionality set out in that Article, this Regulation does not go beyond what is necessary to achieve that objective.</w:t>
      </w:r>
    </w:p>
    <w:p w14:paraId="1E1721CA" w14:textId="77777777" w:rsidR="00B748AE" w:rsidRPr="006F770D" w:rsidRDefault="00B748AE" w:rsidP="00AC24BA">
      <w:pPr>
        <w:pStyle w:val="Formuledadoption"/>
        <w:rPr>
          <w:noProof/>
        </w:rPr>
      </w:pPr>
      <w:r w:rsidRPr="006F770D">
        <w:rPr>
          <w:noProof/>
        </w:rPr>
        <w:t>HAS ADOPTED THIS REGULATION:</w:t>
      </w:r>
    </w:p>
    <w:p w14:paraId="78780777" w14:textId="77777777" w:rsidR="00B748AE" w:rsidRPr="006F770D" w:rsidRDefault="00B748AE" w:rsidP="00AC24BA">
      <w:pPr>
        <w:pStyle w:val="Titrearticle"/>
        <w:rPr>
          <w:noProof/>
        </w:rPr>
      </w:pPr>
      <w:r w:rsidRPr="006F770D">
        <w:rPr>
          <w:noProof/>
        </w:rPr>
        <w:t>Article 1</w:t>
      </w:r>
    </w:p>
    <w:p w14:paraId="2FC34C34" w14:textId="77777777" w:rsidR="006D74C1" w:rsidRPr="0017412F" w:rsidRDefault="006D74C1" w:rsidP="006D74C1">
      <w:pPr>
        <w:jc w:val="center"/>
        <w:rPr>
          <w:noProof/>
        </w:rPr>
      </w:pPr>
      <w:r w:rsidRPr="33DA50C2">
        <w:rPr>
          <w:b/>
          <w:bCs/>
          <w:noProof/>
        </w:rPr>
        <w:t>Subject matter and scope</w:t>
      </w:r>
    </w:p>
    <w:p w14:paraId="74E0E5F9" w14:textId="77777777" w:rsidR="00755919" w:rsidRDefault="00755919" w:rsidP="00755919">
      <w:pPr>
        <w:rPr>
          <w:rFonts w:eastAsia="Times New Roman"/>
          <w:noProof/>
        </w:rPr>
      </w:pPr>
      <w:r w:rsidRPr="36321620">
        <w:rPr>
          <w:rFonts w:eastAsia="Times New Roman"/>
          <w:noProof/>
        </w:rPr>
        <w:t xml:space="preserve">This Regulation establishes rules to address a situation of severe difficulties in the supply of gas, with a view to safeguarding the EU security of gas supply, in a spirit of solidarity. These provisions include improved coordination, monitoring and reporting on national gas demand reduction measures and the possibility for the </w:t>
      </w:r>
      <w:r w:rsidRPr="0017605B">
        <w:rPr>
          <w:rFonts w:eastAsia="Times New Roman"/>
          <w:strike/>
          <w:noProof/>
        </w:rPr>
        <w:t xml:space="preserve">Commission </w:t>
      </w:r>
      <w:r w:rsidRPr="0017605B">
        <w:rPr>
          <w:rFonts w:eastAsia="Times New Roman"/>
          <w:b/>
          <w:noProof/>
          <w:u w:val="single"/>
        </w:rPr>
        <w:t xml:space="preserve">Council </w:t>
      </w:r>
      <w:r w:rsidRPr="36321620">
        <w:rPr>
          <w:rFonts w:eastAsia="Times New Roman"/>
          <w:noProof/>
        </w:rPr>
        <w:t>to declare</w:t>
      </w:r>
      <w:r w:rsidRPr="0017605B">
        <w:rPr>
          <w:rFonts w:eastAsia="Times New Roman"/>
          <w:b/>
          <w:noProof/>
          <w:u w:val="single"/>
        </w:rPr>
        <w:t>, on a proposal from the Commission,</w:t>
      </w:r>
      <w:r w:rsidRPr="36321620">
        <w:rPr>
          <w:rFonts w:eastAsia="Times New Roman"/>
          <w:noProof/>
        </w:rPr>
        <w:t xml:space="preserve"> a Union alert as a specific crisis level, triggering a </w:t>
      </w:r>
      <w:r w:rsidRPr="0017605B">
        <w:rPr>
          <w:rFonts w:eastAsia="Times New Roman"/>
          <w:strike/>
          <w:noProof/>
        </w:rPr>
        <w:t xml:space="preserve">compulsory </w:t>
      </w:r>
      <w:r w:rsidRPr="0017605B">
        <w:rPr>
          <w:rFonts w:eastAsia="Times New Roman"/>
          <w:b/>
          <w:noProof/>
          <w:u w:val="single"/>
        </w:rPr>
        <w:t xml:space="preserve">mandatory </w:t>
      </w:r>
      <w:r w:rsidRPr="36321620">
        <w:rPr>
          <w:rFonts w:eastAsia="Times New Roman"/>
          <w:noProof/>
        </w:rPr>
        <w:t>Union-wide demand reduction obligation.</w:t>
      </w:r>
    </w:p>
    <w:p w14:paraId="63FD686A" w14:textId="77777777" w:rsidR="006D74C1" w:rsidRPr="0017412F" w:rsidRDefault="006D74C1" w:rsidP="006D74C1">
      <w:pPr>
        <w:pStyle w:val="Titrearticle"/>
        <w:rPr>
          <w:noProof/>
        </w:rPr>
      </w:pPr>
      <w:r>
        <w:rPr>
          <w:noProof/>
        </w:rPr>
        <w:t>Article 2</w:t>
      </w:r>
    </w:p>
    <w:p w14:paraId="0B9BA8EA" w14:textId="77777777" w:rsidR="006D74C1" w:rsidRDefault="006D74C1" w:rsidP="006D74C1">
      <w:pPr>
        <w:spacing w:before="0"/>
        <w:jc w:val="center"/>
        <w:rPr>
          <w:rFonts w:eastAsia="Calibri"/>
          <w:noProof/>
          <w:szCs w:val="24"/>
        </w:rPr>
      </w:pPr>
      <w:r w:rsidRPr="33DA50C2">
        <w:rPr>
          <w:b/>
          <w:bCs/>
          <w:noProof/>
        </w:rPr>
        <w:t>Definitions</w:t>
      </w:r>
    </w:p>
    <w:p w14:paraId="6DABDCE4" w14:textId="77777777" w:rsidR="006D74C1" w:rsidRDefault="006D74C1" w:rsidP="006D74C1">
      <w:pPr>
        <w:rPr>
          <w:rFonts w:eastAsia="Calibri"/>
          <w:noProof/>
          <w:szCs w:val="24"/>
        </w:rPr>
      </w:pPr>
      <w:r w:rsidRPr="33DA50C2">
        <w:rPr>
          <w:rFonts w:eastAsia="Times New Roman"/>
          <w:noProof/>
        </w:rPr>
        <w:t>For the purposes of this Regulation, the following definitions apply:</w:t>
      </w:r>
    </w:p>
    <w:p w14:paraId="75460665" w14:textId="731F769C" w:rsidR="006D74C1" w:rsidRDefault="00B02985" w:rsidP="00B02985">
      <w:pPr>
        <w:pStyle w:val="Point0"/>
        <w:rPr>
          <w:rFonts w:eastAsia="Calibri"/>
          <w:noProof/>
          <w:szCs w:val="24"/>
        </w:rPr>
      </w:pPr>
      <w:r w:rsidRPr="00B02985">
        <w:t>(1)</w:t>
      </w:r>
      <w:r w:rsidRPr="00B02985">
        <w:tab/>
      </w:r>
      <w:r w:rsidR="006D74C1">
        <w:rPr>
          <w:noProof/>
        </w:rPr>
        <w:t>‘competent authority’ means a national governmental authority or a national regulatory authority designated by a Member State to ensure the implementation of the measures provided for in Regulation (EU) 2017/1938.</w:t>
      </w:r>
    </w:p>
    <w:p w14:paraId="1A703C5E" w14:textId="3F65AB88" w:rsidR="00B748AE" w:rsidRDefault="009025C2" w:rsidP="00B02985">
      <w:pPr>
        <w:pStyle w:val="Point0"/>
        <w:rPr>
          <w:noProof/>
        </w:rPr>
      </w:pPr>
      <w:r>
        <w:br w:type="page"/>
      </w:r>
      <w:r w:rsidR="00B02985" w:rsidRPr="00B02985">
        <w:t>(2)</w:t>
      </w:r>
      <w:r w:rsidR="00B02985" w:rsidRPr="00B02985">
        <w:tab/>
      </w:r>
      <w:r w:rsidR="006D74C1" w:rsidRPr="00A230E6">
        <w:rPr>
          <w:noProof/>
        </w:rPr>
        <w:t>“Union alert” means a Union-specific crisis level triggering a mandatory demand reduction and which is not related to any of the crisis levels pursuant to Article 11(1) of Regulation (EU) 2017/1938.</w:t>
      </w:r>
    </w:p>
    <w:p w14:paraId="2073683F" w14:textId="77777777" w:rsidR="00755919" w:rsidRPr="0017605B" w:rsidRDefault="00755919" w:rsidP="00755919">
      <w:pPr>
        <w:pStyle w:val="Point0"/>
        <w:rPr>
          <w:strike/>
          <w:noProof/>
        </w:rPr>
      </w:pPr>
      <w:r w:rsidRPr="0017605B">
        <w:t xml:space="preserve">(3) </w:t>
      </w:r>
      <w:r w:rsidRPr="00755919">
        <w:rPr>
          <w:b/>
        </w:rPr>
        <w:tab/>
      </w:r>
      <w:r w:rsidRPr="0017605B">
        <w:rPr>
          <w:b/>
          <w:u w:val="single"/>
        </w:rPr>
        <w:t>‘gas consumption’ means inland consumption of natural gas of households, industry and electricity generation, not including gas for storage purposes and exports</w:t>
      </w:r>
      <w:r w:rsidRPr="00755919">
        <w:rPr>
          <w:i/>
          <w:iCs/>
        </w:rPr>
        <w:t xml:space="preserve"> [to be further refined in line with the Eurostat definition]</w:t>
      </w:r>
    </w:p>
    <w:p w14:paraId="3A725AD8" w14:textId="77777777" w:rsidR="00755919" w:rsidRPr="00A230E6" w:rsidRDefault="00755919" w:rsidP="00B02985">
      <w:pPr>
        <w:pStyle w:val="Point0"/>
        <w:rPr>
          <w:noProof/>
        </w:rPr>
      </w:pPr>
    </w:p>
    <w:p w14:paraId="5EC8965F" w14:textId="77777777" w:rsidR="006D74C1" w:rsidRDefault="006D74C1" w:rsidP="006D74C1">
      <w:pPr>
        <w:pStyle w:val="Titrearticle"/>
        <w:rPr>
          <w:rFonts w:eastAsia="Calibri"/>
          <w:iCs/>
          <w:noProof/>
          <w:szCs w:val="24"/>
        </w:rPr>
      </w:pPr>
      <w:r>
        <w:rPr>
          <w:noProof/>
        </w:rPr>
        <w:t>Article 3</w:t>
      </w:r>
    </w:p>
    <w:p w14:paraId="503DAB81" w14:textId="77777777" w:rsidR="006D74C1" w:rsidRDefault="006D74C1" w:rsidP="006D74C1">
      <w:pPr>
        <w:jc w:val="center"/>
        <w:rPr>
          <w:rFonts w:eastAsia="Times New Roman"/>
          <w:b/>
          <w:bCs/>
          <w:noProof/>
        </w:rPr>
      </w:pPr>
      <w:r w:rsidRPr="33DA50C2">
        <w:rPr>
          <w:rFonts w:eastAsia="Times New Roman"/>
          <w:b/>
          <w:bCs/>
          <w:noProof/>
        </w:rPr>
        <w:t>Voluntary demand reduction</w:t>
      </w:r>
    </w:p>
    <w:p w14:paraId="68E94A67" w14:textId="42F8FEF9" w:rsidR="006D74C1" w:rsidRDefault="2F7BE667" w:rsidP="006D74C1">
      <w:pPr>
        <w:rPr>
          <w:rFonts w:eastAsia="Times New Roman"/>
          <w:noProof/>
        </w:rPr>
      </w:pPr>
      <w:r w:rsidRPr="36321620">
        <w:rPr>
          <w:rFonts w:eastAsia="Times New Roman"/>
          <w:noProof/>
        </w:rPr>
        <w:t xml:space="preserve">Member States shall use their best efforts to reduce their national gas consumption between 1 August 2022 and 31 March 2023 at least by </w:t>
      </w:r>
      <w:r w:rsidR="00732876">
        <w:rPr>
          <w:rFonts w:eastAsia="Times New Roman"/>
          <w:noProof/>
        </w:rPr>
        <w:t>15</w:t>
      </w:r>
      <w:r w:rsidRPr="36321620">
        <w:rPr>
          <w:rFonts w:eastAsia="Times New Roman"/>
          <w:noProof/>
        </w:rPr>
        <w:t>% compared to their average consumption between 1 August and 31 March during the five years preceding the entry into force of this Regulation (‘voluntary demand reduction’). Articles 6, 7 and 8 shall apply to those voluntary demand reduction measures.</w:t>
      </w:r>
    </w:p>
    <w:p w14:paraId="58D849C0" w14:textId="77777777" w:rsidR="006D74C1" w:rsidRDefault="006D74C1" w:rsidP="006D74C1">
      <w:pPr>
        <w:pStyle w:val="Titrearticle"/>
        <w:rPr>
          <w:noProof/>
        </w:rPr>
      </w:pPr>
      <w:r>
        <w:rPr>
          <w:noProof/>
        </w:rPr>
        <w:t>Article 4</w:t>
      </w:r>
    </w:p>
    <w:p w14:paraId="7C924002" w14:textId="77777777" w:rsidR="006D74C1" w:rsidRDefault="006D74C1" w:rsidP="006D74C1">
      <w:pPr>
        <w:jc w:val="center"/>
        <w:rPr>
          <w:b/>
          <w:bCs/>
          <w:noProof/>
        </w:rPr>
      </w:pPr>
      <w:r w:rsidRPr="33DA50C2">
        <w:rPr>
          <w:b/>
          <w:bCs/>
          <w:noProof/>
        </w:rPr>
        <w:t xml:space="preserve">Declaration of a Union alert by the Commission </w:t>
      </w:r>
    </w:p>
    <w:p w14:paraId="3EEF79A9" w14:textId="77777777" w:rsidR="00755919" w:rsidRPr="00755919" w:rsidRDefault="00755919" w:rsidP="00755919">
      <w:pPr>
        <w:pStyle w:val="ManualNumPar1"/>
        <w:rPr>
          <w:b/>
          <w:noProof/>
          <w:u w:val="single"/>
        </w:rPr>
      </w:pPr>
      <w:r w:rsidRPr="00755919">
        <w:t>1.</w:t>
      </w:r>
      <w:r w:rsidRPr="00755919">
        <w:tab/>
      </w:r>
      <w:r w:rsidRPr="00755919">
        <w:rPr>
          <w:noProof/>
        </w:rPr>
        <w:t xml:space="preserve">The </w:t>
      </w:r>
      <w:r w:rsidRPr="00755919">
        <w:rPr>
          <w:strike/>
          <w:noProof/>
        </w:rPr>
        <w:t xml:space="preserve">Commission </w:t>
      </w:r>
      <w:r w:rsidRPr="00755919">
        <w:rPr>
          <w:b/>
          <w:noProof/>
          <w:u w:val="single"/>
        </w:rPr>
        <w:t xml:space="preserve">Council, on a proposal from the Commission, by means of an implementing act, </w:t>
      </w:r>
      <w:r w:rsidRPr="00755919">
        <w:rPr>
          <w:noProof/>
        </w:rPr>
        <w:t>may declare a Union alert</w:t>
      </w:r>
      <w:r w:rsidRPr="00755919">
        <w:rPr>
          <w:b/>
          <w:noProof/>
          <w:u w:val="single"/>
        </w:rPr>
        <w:t>.</w:t>
      </w:r>
      <w:r w:rsidRPr="00755919">
        <w:rPr>
          <w:strike/>
          <w:noProof/>
        </w:rPr>
        <w:t xml:space="preserve"> only when </w:t>
      </w:r>
      <w:r w:rsidRPr="00755919">
        <w:rPr>
          <w:noProof/>
        </w:rPr>
        <w:t xml:space="preserve"> </w:t>
      </w:r>
    </w:p>
    <w:p w14:paraId="041B192C" w14:textId="4C4A65A8" w:rsidR="00457855" w:rsidRDefault="00755919" w:rsidP="00755919">
      <w:pPr>
        <w:pStyle w:val="ManualNumPar1"/>
        <w:rPr>
          <w:b/>
          <w:u w:val="single"/>
          <w:shd w:val="clear" w:color="auto" w:fill="FFFFFF"/>
        </w:rPr>
      </w:pPr>
      <w:r w:rsidRPr="00755919">
        <w:rPr>
          <w:b/>
          <w:noProof/>
          <w:u w:val="single"/>
        </w:rPr>
        <w:t>1a.</w:t>
      </w:r>
      <w:r w:rsidRPr="00755919">
        <w:rPr>
          <w:b/>
          <w:noProof/>
        </w:rPr>
        <w:tab/>
      </w:r>
      <w:r w:rsidRPr="00755919">
        <w:rPr>
          <w:b/>
          <w:u w:val="single"/>
        </w:rPr>
        <w:t xml:space="preserve">The Commission shall present the proposal for such an Union alert when it </w:t>
      </w:r>
      <w:r w:rsidRPr="00755919">
        <w:rPr>
          <w:b/>
          <w:noProof/>
          <w:u w:val="single"/>
        </w:rPr>
        <w:t xml:space="preserve">considers, that </w:t>
      </w:r>
      <w:r w:rsidRPr="00755919">
        <w:rPr>
          <w:noProof/>
        </w:rPr>
        <w:t xml:space="preserve">there is a substantial risk of a severe gas supply shortage or an exceptionally high demand of gas occurs, for which the measures in Article 3, as reported </w:t>
      </w:r>
      <w:r w:rsidRPr="00755919">
        <w:rPr>
          <w:strike/>
          <w:noProof/>
        </w:rPr>
        <w:t xml:space="preserve">on </w:t>
      </w:r>
      <w:r w:rsidRPr="00755919">
        <w:rPr>
          <w:b/>
          <w:noProof/>
          <w:u w:val="single"/>
        </w:rPr>
        <w:t xml:space="preserve">in </w:t>
      </w:r>
      <w:r w:rsidRPr="00755919">
        <w:rPr>
          <w:noProof/>
        </w:rPr>
        <w:t>accord</w:t>
      </w:r>
      <w:r w:rsidRPr="00755919">
        <w:rPr>
          <w:b/>
          <w:noProof/>
          <w:u w:val="single"/>
        </w:rPr>
        <w:t xml:space="preserve">ance with </w:t>
      </w:r>
      <w:r w:rsidRPr="00755919">
        <w:rPr>
          <w:strike/>
          <w:noProof/>
        </w:rPr>
        <w:t xml:space="preserve">ing to </w:t>
      </w:r>
      <w:r w:rsidRPr="00755919">
        <w:rPr>
          <w:noProof/>
        </w:rPr>
        <w:t>Article 8, are not sufficient, and which results in a significant deterioration of the gas supply situation in the Union, but where the market is still able to manage that disruption without the need to resort to non-market based measures.</w:t>
      </w:r>
      <w:r w:rsidRPr="00755919">
        <w:rPr>
          <w:b/>
          <w:noProof/>
          <w:u w:val="single"/>
        </w:rPr>
        <w:t xml:space="preserve"> </w:t>
      </w:r>
      <w:r w:rsidRPr="00755919">
        <w:rPr>
          <w:b/>
          <w:u w:val="single"/>
          <w:shd w:val="clear" w:color="auto" w:fill="FFFFFF"/>
        </w:rPr>
        <w:t>The Commission shall submit a proposal to the Council to declare a Union alert where five or more competent authorities that have declared an alert at national level pursuant to Article 11(1) of Regulation (EU) 2017/1938 so request.</w:t>
      </w:r>
    </w:p>
    <w:p w14:paraId="1EA1591F" w14:textId="58AAE2F9" w:rsidR="00755919" w:rsidRPr="00755919" w:rsidRDefault="00457855" w:rsidP="00457855">
      <w:pPr>
        <w:pStyle w:val="ManualNumPar1"/>
        <w:rPr>
          <w:b/>
          <w:sz w:val="22"/>
          <w:u w:val="single"/>
        </w:rPr>
      </w:pPr>
      <w:r>
        <w:rPr>
          <w:shd w:val="clear" w:color="auto" w:fill="FFFFFF"/>
        </w:rPr>
        <w:br w:type="page"/>
      </w:r>
      <w:r w:rsidR="00755919" w:rsidRPr="00755919">
        <w:rPr>
          <w:b/>
          <w:u w:val="single"/>
        </w:rPr>
        <w:t>1b.</w:t>
      </w:r>
      <w:r w:rsidR="00755919" w:rsidRPr="00755919">
        <w:rPr>
          <w:b/>
        </w:rPr>
        <w:tab/>
      </w:r>
      <w:r w:rsidR="00755919" w:rsidRPr="00755919">
        <w:rPr>
          <w:b/>
          <w:u w:val="single"/>
        </w:rPr>
        <w:t>The Council, acting by a qualified majority, may amend the Commission’s proposal.</w:t>
      </w:r>
    </w:p>
    <w:p w14:paraId="7668F060" w14:textId="00D6A563" w:rsidR="00755919" w:rsidRPr="00755919" w:rsidRDefault="00B02985" w:rsidP="00755919">
      <w:pPr>
        <w:pStyle w:val="ManualNumPar1"/>
      </w:pPr>
      <w:r w:rsidRPr="00B02985">
        <w:t>2.</w:t>
      </w:r>
      <w:r w:rsidRPr="00B02985">
        <w:tab/>
      </w:r>
      <w:r w:rsidR="00755919" w:rsidRPr="0017605B">
        <w:rPr>
          <w:b/>
          <w:u w:val="single"/>
        </w:rPr>
        <w:t xml:space="preserve">Before submitting a proposal to the Council to declare a Union alert, </w:t>
      </w:r>
      <w:r w:rsidR="00755919" w:rsidRPr="0017605B">
        <w:rPr>
          <w:b/>
          <w:noProof/>
          <w:u w:val="single"/>
        </w:rPr>
        <w:t>t</w:t>
      </w:r>
      <w:r w:rsidR="00755919" w:rsidRPr="0017605B">
        <w:rPr>
          <w:strike/>
          <w:noProof/>
        </w:rPr>
        <w:t>T</w:t>
      </w:r>
      <w:r w:rsidR="00755919" w:rsidRPr="00215408">
        <w:rPr>
          <w:noProof/>
        </w:rPr>
        <w:t xml:space="preserve">he Commission </w:t>
      </w:r>
      <w:r w:rsidR="00755919" w:rsidRPr="0017605B">
        <w:rPr>
          <w:strike/>
          <w:noProof/>
        </w:rPr>
        <w:t>may</w:t>
      </w:r>
      <w:r w:rsidR="00755919" w:rsidRPr="0017605B">
        <w:rPr>
          <w:b/>
          <w:noProof/>
          <w:u w:val="single"/>
        </w:rPr>
        <w:t>shall</w:t>
      </w:r>
      <w:r w:rsidR="00755919" w:rsidRPr="00215408">
        <w:rPr>
          <w:noProof/>
        </w:rPr>
        <w:t xml:space="preserve">, </w:t>
      </w:r>
      <w:r w:rsidR="00755919" w:rsidRPr="0017605B">
        <w:rPr>
          <w:strike/>
          <w:noProof/>
        </w:rPr>
        <w:t xml:space="preserve">after </w:t>
      </w:r>
      <w:r w:rsidR="00755919" w:rsidRPr="00215408">
        <w:rPr>
          <w:noProof/>
        </w:rPr>
        <w:t>consult</w:t>
      </w:r>
      <w:r w:rsidR="00755919" w:rsidRPr="0017605B">
        <w:rPr>
          <w:strike/>
          <w:noProof/>
        </w:rPr>
        <w:t>ation</w:t>
      </w:r>
      <w:r w:rsidR="00755919" w:rsidRPr="00215408">
        <w:rPr>
          <w:noProof/>
        </w:rPr>
        <w:t xml:space="preserve"> </w:t>
      </w:r>
      <w:r w:rsidR="00755919" w:rsidRPr="0017605B">
        <w:rPr>
          <w:strike/>
          <w:noProof/>
        </w:rPr>
        <w:t xml:space="preserve">of </w:t>
      </w:r>
      <w:r w:rsidR="00755919" w:rsidRPr="00215408">
        <w:rPr>
          <w:noProof/>
        </w:rPr>
        <w:t>the relevant risk groups, as established in Annex I of Regulation (EU) 2017/1938 and the GCG</w:t>
      </w:r>
      <w:r w:rsidR="00755919" w:rsidRPr="0017605B">
        <w:rPr>
          <w:b/>
          <w:noProof/>
          <w:u w:val="single"/>
        </w:rPr>
        <w:t>.</w:t>
      </w:r>
      <w:r w:rsidR="00755919" w:rsidRPr="0017605B">
        <w:rPr>
          <w:strike/>
          <w:noProof/>
        </w:rPr>
        <w:t xml:space="preserve"> </w:t>
      </w:r>
      <w:r w:rsidR="00755919" w:rsidRPr="00755919">
        <w:rPr>
          <w:strike/>
          <w:noProof/>
        </w:rPr>
        <w:t>taking into account any views expressed by the Member States in that context, declare the Union alert on its own initiative or following a the request of at least three competent authorities that have declared an alert at national level pursuant to Article 11(1) of Regulation (EU) 2017/1938, or on its own initiative</w:t>
      </w:r>
      <w:r w:rsidR="00755919">
        <w:rPr>
          <w:noProof/>
        </w:rPr>
        <w:t>.</w:t>
      </w:r>
    </w:p>
    <w:p w14:paraId="342A9A56" w14:textId="17F447C5" w:rsidR="00755919" w:rsidRPr="00215408" w:rsidRDefault="00B02985" w:rsidP="001D5F70">
      <w:pPr>
        <w:pStyle w:val="ManualNumPar1"/>
        <w:rPr>
          <w:noProof/>
        </w:rPr>
      </w:pPr>
      <w:r w:rsidRPr="00B02985">
        <w:t>3.</w:t>
      </w:r>
      <w:r w:rsidRPr="00B02985">
        <w:tab/>
      </w:r>
      <w:r w:rsidR="00755919" w:rsidRPr="0017605B">
        <w:rPr>
          <w:b/>
          <w:u w:val="single"/>
        </w:rPr>
        <w:t xml:space="preserve">The </w:t>
      </w:r>
      <w:r w:rsidR="00755919" w:rsidRPr="0017605B">
        <w:rPr>
          <w:b/>
          <w:noProof/>
          <w:u w:val="single"/>
        </w:rPr>
        <w:t>Council, on a proposal from the Commission, by means of an implementing act, may declare an end to the Union alert and to the obligations pursuant to Article 5.</w:t>
      </w:r>
      <w:r w:rsidR="001D5F70">
        <w:rPr>
          <w:b/>
          <w:noProof/>
          <w:u w:val="single"/>
        </w:rPr>
        <w:t xml:space="preserve"> </w:t>
      </w:r>
      <w:r w:rsidR="00755919" w:rsidRPr="0017605B">
        <w:rPr>
          <w:b/>
          <w:u w:val="single"/>
        </w:rPr>
        <w:t xml:space="preserve">The Commission shall present the proposal for such implementing act to the Council when it </w:t>
      </w:r>
      <w:r w:rsidR="00755919" w:rsidRPr="0017605B">
        <w:rPr>
          <w:strike/>
          <w:noProof/>
        </w:rPr>
        <w:t xml:space="preserve">When the Commission </w:t>
      </w:r>
      <w:r w:rsidR="00755919" w:rsidRPr="00215408">
        <w:rPr>
          <w:noProof/>
        </w:rPr>
        <w:t xml:space="preserve">considers, following an assessment, that the underlying basis for the Union alert no longer justifies the </w:t>
      </w:r>
      <w:r w:rsidR="00755919" w:rsidRPr="0017605B">
        <w:rPr>
          <w:b/>
          <w:noProof/>
          <w:u w:val="single"/>
        </w:rPr>
        <w:t>maintenance</w:t>
      </w:r>
      <w:r w:rsidR="00755919" w:rsidRPr="0017605B">
        <w:rPr>
          <w:strike/>
          <w:noProof/>
        </w:rPr>
        <w:t>declaration</w:t>
      </w:r>
      <w:r w:rsidR="00755919" w:rsidRPr="00215408">
        <w:rPr>
          <w:noProof/>
        </w:rPr>
        <w:t xml:space="preserve"> of a Union alert, </w:t>
      </w:r>
      <w:r w:rsidR="00755919" w:rsidRPr="0017605B">
        <w:rPr>
          <w:strike/>
          <w:noProof/>
        </w:rPr>
        <w:t>it shall</w:t>
      </w:r>
      <w:r w:rsidR="00755919" w:rsidRPr="0017605B">
        <w:rPr>
          <w:b/>
          <w:noProof/>
          <w:u w:val="single"/>
        </w:rPr>
        <w:t>and</w:t>
      </w:r>
      <w:r w:rsidR="00755919" w:rsidRPr="00215408">
        <w:rPr>
          <w:noProof/>
        </w:rPr>
        <w:t>, after consultation of the relevant risk groups, as established in Annex I to Regulation (EU) 2017/1938 and the GCG</w:t>
      </w:r>
      <w:r w:rsidR="00755919" w:rsidRPr="0017605B">
        <w:rPr>
          <w:strike/>
          <w:noProof/>
        </w:rPr>
        <w:t>, taking into account any views expressed by the Member States in that context, declare an end to the Union alert and to the obligations pursuant to Article 5</w:t>
      </w:r>
      <w:r w:rsidR="00755919" w:rsidRPr="00215408">
        <w:rPr>
          <w:noProof/>
        </w:rPr>
        <w:t>.</w:t>
      </w:r>
    </w:p>
    <w:p w14:paraId="1CE945FE" w14:textId="77777777" w:rsidR="00755919" w:rsidRPr="00755919" w:rsidRDefault="00755919" w:rsidP="00755919">
      <w:pPr>
        <w:pStyle w:val="Text1"/>
      </w:pPr>
    </w:p>
    <w:p w14:paraId="20B0D82E" w14:textId="77777777" w:rsidR="006D74C1" w:rsidRDefault="006D74C1" w:rsidP="003C240F">
      <w:pPr>
        <w:pStyle w:val="Titrearticle"/>
        <w:rPr>
          <w:noProof/>
        </w:rPr>
      </w:pPr>
      <w:r>
        <w:rPr>
          <w:noProof/>
        </w:rPr>
        <w:t>Article 5</w:t>
      </w:r>
    </w:p>
    <w:p w14:paraId="3B62204C" w14:textId="77777777" w:rsidR="006D74C1" w:rsidRDefault="006D74C1" w:rsidP="00D31742">
      <w:pPr>
        <w:keepNext/>
        <w:jc w:val="center"/>
        <w:rPr>
          <w:b/>
          <w:bCs/>
          <w:noProof/>
        </w:rPr>
      </w:pPr>
      <w:r w:rsidRPr="33DA50C2">
        <w:rPr>
          <w:b/>
          <w:bCs/>
          <w:noProof/>
        </w:rPr>
        <w:t>Mandatory demand reduction in case of a Union alert</w:t>
      </w:r>
    </w:p>
    <w:p w14:paraId="3E7DD74E" w14:textId="16FAF683" w:rsidR="36321620" w:rsidRDefault="00B02985" w:rsidP="001D5F70">
      <w:pPr>
        <w:pStyle w:val="ManualNumPar1"/>
        <w:rPr>
          <w:noProof/>
        </w:rPr>
      </w:pPr>
      <w:r w:rsidRPr="00B02985">
        <w:t>1.</w:t>
      </w:r>
      <w:r w:rsidRPr="00B02985">
        <w:tab/>
      </w:r>
      <w:r w:rsidR="001D5F70" w:rsidRPr="00215408">
        <w:rPr>
          <w:noProof/>
        </w:rPr>
        <w:t xml:space="preserve">Where the </w:t>
      </w:r>
      <w:r w:rsidR="001D5F70" w:rsidRPr="0017605B">
        <w:rPr>
          <w:strike/>
          <w:noProof/>
        </w:rPr>
        <w:t xml:space="preserve">Commission </w:t>
      </w:r>
      <w:r w:rsidR="001D5F70" w:rsidRPr="0017605B">
        <w:rPr>
          <w:b/>
          <w:noProof/>
          <w:u w:val="single"/>
        </w:rPr>
        <w:t xml:space="preserve">Council </w:t>
      </w:r>
      <w:r w:rsidR="001D5F70" w:rsidRPr="00215408">
        <w:rPr>
          <w:noProof/>
        </w:rPr>
        <w:t>declares a Union alert, each Member State shall reduce its natural gas consumption in accordance with the methodology set out in paragraph 2 (‘mandatory demand reduction’).</w:t>
      </w:r>
    </w:p>
    <w:p w14:paraId="34CFB3F7" w14:textId="35F41DA7" w:rsidR="00D37E94" w:rsidRPr="00D37E94" w:rsidRDefault="00D37E94" w:rsidP="00D37E94">
      <w:pPr>
        <w:pStyle w:val="Text1"/>
      </w:pPr>
      <w:r>
        <w:br w:type="page"/>
      </w:r>
    </w:p>
    <w:p w14:paraId="6CC2124C" w14:textId="77777777" w:rsidR="00282401" w:rsidRPr="00282401" w:rsidRDefault="00B02985" w:rsidP="00282401">
      <w:pPr>
        <w:pStyle w:val="ManualNumPar1"/>
        <w:rPr>
          <w:noProof/>
        </w:rPr>
      </w:pPr>
      <w:r w:rsidRPr="00B02985">
        <w:t>2.</w:t>
      </w:r>
      <w:r w:rsidRPr="00B02985">
        <w:tab/>
      </w:r>
      <w:r w:rsidR="00D37E94" w:rsidRPr="00676C02">
        <w:rPr>
          <w:noProof/>
        </w:rPr>
        <w:t xml:space="preserve">For the purpose of mandatory demand reduction, for as long as the Union alert is declared, </w:t>
      </w:r>
      <w:r w:rsidR="00D37E94" w:rsidRPr="00676C02">
        <w:rPr>
          <w:strike/>
          <w:noProof/>
        </w:rPr>
        <w:t xml:space="preserve">overall </w:t>
      </w:r>
      <w:r w:rsidR="00D37E94" w:rsidRPr="00676C02">
        <w:rPr>
          <w:b/>
          <w:noProof/>
          <w:u w:val="single"/>
        </w:rPr>
        <w:t xml:space="preserve">gas </w:t>
      </w:r>
      <w:r w:rsidR="00D37E94" w:rsidRPr="00676C02">
        <w:rPr>
          <w:noProof/>
        </w:rPr>
        <w:t xml:space="preserve">consumption </w:t>
      </w:r>
      <w:r w:rsidR="00D37E94" w:rsidRPr="00D37E94">
        <w:rPr>
          <w:strike/>
          <w:noProof/>
        </w:rPr>
        <w:t xml:space="preserve">of </w:t>
      </w:r>
      <w:r w:rsidR="00D37E94" w:rsidRPr="00676C02">
        <w:rPr>
          <w:strike/>
          <w:noProof/>
        </w:rPr>
        <w:t xml:space="preserve">natural gas </w:t>
      </w:r>
      <w:r w:rsidR="00D37E94" w:rsidRPr="00676C02">
        <w:rPr>
          <w:noProof/>
        </w:rPr>
        <w:t>in each Member State over a period from 1 August</w:t>
      </w:r>
      <w:r w:rsidR="00D37E94" w:rsidRPr="00676C02">
        <w:rPr>
          <w:b/>
          <w:noProof/>
          <w:u w:val="single"/>
        </w:rPr>
        <w:t xml:space="preserve"> 2022</w:t>
      </w:r>
      <w:r w:rsidR="00D37E94" w:rsidRPr="00676C02">
        <w:rPr>
          <w:noProof/>
        </w:rPr>
        <w:t xml:space="preserve"> </w:t>
      </w:r>
      <w:r w:rsidR="00D37E94" w:rsidRPr="00676C02">
        <w:rPr>
          <w:strike/>
          <w:noProof/>
        </w:rPr>
        <w:t xml:space="preserve">of each year </w:t>
      </w:r>
      <w:r w:rsidR="00D37E94" w:rsidRPr="00676C02">
        <w:rPr>
          <w:noProof/>
        </w:rPr>
        <w:t>until 31 March</w:t>
      </w:r>
      <w:r w:rsidR="00D37E94" w:rsidRPr="00676C02">
        <w:rPr>
          <w:b/>
          <w:noProof/>
          <w:u w:val="single"/>
        </w:rPr>
        <w:t xml:space="preserve"> 2023</w:t>
      </w:r>
      <w:r w:rsidR="00D37E94" w:rsidRPr="00676C02">
        <w:rPr>
          <w:noProof/>
        </w:rPr>
        <w:t xml:space="preserve"> </w:t>
      </w:r>
      <w:r w:rsidR="00D37E94" w:rsidRPr="00676C02">
        <w:rPr>
          <w:strike/>
          <w:noProof/>
        </w:rPr>
        <w:t xml:space="preserve">of the following year </w:t>
      </w:r>
      <w:r w:rsidR="00D37E94" w:rsidRPr="00676C02">
        <w:rPr>
          <w:noProof/>
        </w:rPr>
        <w:t>(‘</w:t>
      </w:r>
      <w:r w:rsidR="00D37E94" w:rsidRPr="00676C02">
        <w:rPr>
          <w:strike/>
          <w:noProof/>
        </w:rPr>
        <w:t>implementation</w:t>
      </w:r>
      <w:r w:rsidR="00D37E94" w:rsidRPr="00D37E94">
        <w:rPr>
          <w:b/>
          <w:noProof/>
        </w:rPr>
        <w:t xml:space="preserve"> </w:t>
      </w:r>
      <w:r w:rsidR="00D37E94" w:rsidRPr="00676C02">
        <w:rPr>
          <w:b/>
          <w:noProof/>
          <w:u w:val="single"/>
        </w:rPr>
        <w:t xml:space="preserve">reduction </w:t>
      </w:r>
      <w:r w:rsidR="00D37E94" w:rsidRPr="00676C02">
        <w:rPr>
          <w:noProof/>
        </w:rPr>
        <w:t xml:space="preserve">period’) shall be </w:t>
      </w:r>
      <w:r w:rsidR="00D37E94" w:rsidRPr="00676C02">
        <w:rPr>
          <w:strike/>
          <w:noProof/>
        </w:rPr>
        <w:t xml:space="preserve">reduced by at least </w:t>
      </w:r>
      <w:r w:rsidR="00D37E94" w:rsidRPr="00676C02">
        <w:rPr>
          <w:noProof/>
        </w:rPr>
        <w:t xml:space="preserve">15% </w:t>
      </w:r>
      <w:r w:rsidR="00D37E94" w:rsidRPr="00676C02">
        <w:rPr>
          <w:b/>
          <w:noProof/>
          <w:u w:val="single"/>
        </w:rPr>
        <w:t xml:space="preserve">lower </w:t>
      </w:r>
      <w:r w:rsidR="00D37E94" w:rsidRPr="00676C02">
        <w:rPr>
          <w:noProof/>
        </w:rPr>
        <w:t xml:space="preserve">compared to that Member State’s average </w:t>
      </w:r>
      <w:r w:rsidR="00D37E94" w:rsidRPr="00676C02">
        <w:rPr>
          <w:b/>
          <w:noProof/>
          <w:u w:val="single"/>
        </w:rPr>
        <w:t xml:space="preserve">gas </w:t>
      </w:r>
      <w:r w:rsidR="00D37E94" w:rsidRPr="00676C02">
        <w:rPr>
          <w:noProof/>
        </w:rPr>
        <w:t xml:space="preserve">consumption over the period between 1 August and 31 March </w:t>
      </w:r>
      <w:r w:rsidR="00D37E94" w:rsidRPr="00676C02">
        <w:rPr>
          <w:strike/>
          <w:noProof/>
        </w:rPr>
        <w:t xml:space="preserve">(‘comparison period’) </w:t>
      </w:r>
      <w:r w:rsidR="00D37E94" w:rsidRPr="00676C02">
        <w:rPr>
          <w:noProof/>
        </w:rPr>
        <w:t>during the five consecutive years preceding the date of entry into force of this Regulation</w:t>
      </w:r>
      <w:r w:rsidR="00D37E94" w:rsidRPr="00676C02">
        <w:rPr>
          <w:b/>
          <w:noProof/>
          <w:u w:val="single"/>
        </w:rPr>
        <w:t xml:space="preserve"> (‘comparison period’)</w:t>
      </w:r>
      <w:r w:rsidR="00D37E94" w:rsidRPr="00676C02">
        <w:rPr>
          <w:noProof/>
        </w:rPr>
        <w:t xml:space="preserve">. Any </w:t>
      </w:r>
      <w:r w:rsidR="00D37E94" w:rsidRPr="00676C02">
        <w:rPr>
          <w:strike/>
          <w:noProof/>
        </w:rPr>
        <w:t xml:space="preserve">voluntary </w:t>
      </w:r>
      <w:r w:rsidR="00D37E94" w:rsidRPr="00676C02">
        <w:rPr>
          <w:noProof/>
        </w:rPr>
        <w:t xml:space="preserve">demand reductions achieved by Member States during the </w:t>
      </w:r>
      <w:r w:rsidR="00D37E94" w:rsidRPr="00676C02">
        <w:rPr>
          <w:strike/>
          <w:noProof/>
        </w:rPr>
        <w:t>implementation</w:t>
      </w:r>
      <w:r w:rsidR="00D37E94" w:rsidRPr="00676C02">
        <w:rPr>
          <w:b/>
          <w:noProof/>
          <w:u w:val="single"/>
        </w:rPr>
        <w:t xml:space="preserve"> reduction</w:t>
      </w:r>
      <w:r w:rsidR="00D37E94" w:rsidRPr="00676C02">
        <w:rPr>
          <w:strike/>
          <w:noProof/>
        </w:rPr>
        <w:t xml:space="preserve"> </w:t>
      </w:r>
      <w:r w:rsidR="00D37E94" w:rsidRPr="00676C02">
        <w:rPr>
          <w:noProof/>
        </w:rPr>
        <w:t xml:space="preserve">period before the </w:t>
      </w:r>
      <w:r w:rsidR="00D37E94" w:rsidRPr="00676C02">
        <w:rPr>
          <w:b/>
          <w:noProof/>
          <w:u w:val="single"/>
        </w:rPr>
        <w:t xml:space="preserve">Union </w:t>
      </w:r>
      <w:r w:rsidR="00D37E94" w:rsidRPr="00676C02">
        <w:rPr>
          <w:noProof/>
        </w:rPr>
        <w:t xml:space="preserve">alert was declared shall be </w:t>
      </w:r>
      <w:r w:rsidR="00D37E94" w:rsidRPr="00282401">
        <w:rPr>
          <w:noProof/>
        </w:rPr>
        <w:t>taken into account for the purpose of the mandatory demand reduction.</w:t>
      </w:r>
    </w:p>
    <w:p w14:paraId="08128244" w14:textId="3E888F39" w:rsidR="00282401" w:rsidRPr="00282401" w:rsidRDefault="00282401" w:rsidP="00282401">
      <w:pPr>
        <w:pStyle w:val="ManualNumPar1"/>
        <w:rPr>
          <w:noProof/>
        </w:rPr>
      </w:pPr>
      <w:r w:rsidRPr="00282401">
        <w:rPr>
          <w:b/>
          <w:bCs/>
          <w:noProof/>
          <w:u w:val="single"/>
        </w:rPr>
        <w:t>2a.</w:t>
      </w:r>
      <w:r w:rsidRPr="00282401">
        <w:rPr>
          <w:noProof/>
        </w:rPr>
        <w:tab/>
      </w:r>
      <w:r w:rsidRPr="00282401">
        <w:rPr>
          <w:b/>
          <w:u w:val="single"/>
        </w:rPr>
        <w:t>A Member State whose electricity system is synchronised only with the electricity system of a third country shall not have to apply paragraph 2 in the event it is desynchronized from that third country for as long as that Member State is required to provide isolated power system service or other services to the power transmission system operator to ensure the safe and reliable operation of the power system.</w:t>
      </w:r>
    </w:p>
    <w:p w14:paraId="78646821" w14:textId="26E136DF" w:rsidR="00754903" w:rsidRPr="00D37E94" w:rsidRDefault="00B02985" w:rsidP="00B02985">
      <w:pPr>
        <w:pStyle w:val="ManualNumPar1"/>
        <w:rPr>
          <w:rStyle w:val="normaltextrun"/>
          <w:strike/>
          <w:noProof/>
          <w:u w:val="single"/>
        </w:rPr>
      </w:pPr>
      <w:r w:rsidRPr="00D37E94">
        <w:rPr>
          <w:rStyle w:val="normaltextrun"/>
          <w:strike/>
        </w:rPr>
        <w:t>3.</w:t>
      </w:r>
      <w:r w:rsidRPr="00D37E94">
        <w:rPr>
          <w:rStyle w:val="normaltextrun"/>
        </w:rPr>
        <w:tab/>
      </w:r>
      <w:r w:rsidR="002B12E1" w:rsidRPr="00D37E94">
        <w:rPr>
          <w:strike/>
          <w:noProof/>
        </w:rPr>
        <w:t>Member</w:t>
      </w:r>
      <w:r w:rsidR="002B12E1" w:rsidRPr="00D37E94">
        <w:rPr>
          <w:rStyle w:val="normaltextrun"/>
          <w:strike/>
          <w:noProof/>
          <w:u w:val="single"/>
        </w:rPr>
        <w:t xml:space="preserve"> States may request to limit the mandatory demand reduction by a maximum of 5%, provided they can demonstrate that they cannot, due to no or limited interconnection with other Member States, substantially contribute to increasing the direct or indirect supply of gas to other Member States.</w:t>
      </w:r>
    </w:p>
    <w:p w14:paraId="3EFBB64B" w14:textId="71F38925" w:rsidR="002B12E1" w:rsidRPr="00D37E94" w:rsidRDefault="00B02985" w:rsidP="00B02985">
      <w:pPr>
        <w:pStyle w:val="ManualNumPar1"/>
        <w:rPr>
          <w:rStyle w:val="normaltextrun"/>
          <w:strike/>
          <w:noProof/>
          <w:u w:val="single"/>
        </w:rPr>
      </w:pPr>
      <w:r w:rsidRPr="00D37E94">
        <w:rPr>
          <w:rStyle w:val="normaltextrun"/>
          <w:strike/>
        </w:rPr>
        <w:t>4.</w:t>
      </w:r>
      <w:r w:rsidRPr="00D37E94">
        <w:rPr>
          <w:rStyle w:val="normaltextrun"/>
        </w:rPr>
        <w:tab/>
      </w:r>
      <w:r w:rsidR="002B12E1" w:rsidRPr="00D37E94">
        <w:rPr>
          <w:rStyle w:val="normaltextrun"/>
          <w:strike/>
          <w:noProof/>
          <w:u w:val="single"/>
        </w:rPr>
        <w:t xml:space="preserve">Member States who request </w:t>
      </w:r>
      <w:r w:rsidR="00754903" w:rsidRPr="00D37E94">
        <w:rPr>
          <w:rStyle w:val="normaltextrun"/>
          <w:strike/>
          <w:noProof/>
          <w:u w:val="single"/>
        </w:rPr>
        <w:t>a derogation from the</w:t>
      </w:r>
      <w:r w:rsidR="002B12E1" w:rsidRPr="00D37E94">
        <w:rPr>
          <w:rStyle w:val="normaltextrun"/>
          <w:strike/>
          <w:noProof/>
          <w:u w:val="single"/>
        </w:rPr>
        <w:t xml:space="preserve"> mandatory demand reduction </w:t>
      </w:r>
      <w:r w:rsidR="00754903" w:rsidRPr="00D37E94">
        <w:rPr>
          <w:rStyle w:val="normaltextrun"/>
          <w:strike/>
          <w:noProof/>
          <w:u w:val="single"/>
        </w:rPr>
        <w:t xml:space="preserve">pursuant to paragraph 3 </w:t>
      </w:r>
      <w:r w:rsidR="002B12E1" w:rsidRPr="00D37E94">
        <w:rPr>
          <w:rStyle w:val="normaltextrun"/>
          <w:strike/>
          <w:noProof/>
          <w:u w:val="single"/>
        </w:rPr>
        <w:t>shall submit evidence that their interconnector capacities with other Member States or their domestic LNG infrastructure are used to re-direct gas to other Member States to the utmost extent.</w:t>
      </w:r>
    </w:p>
    <w:p w14:paraId="598D4245" w14:textId="179E76A8" w:rsidR="00754903" w:rsidRPr="00D37E94" w:rsidRDefault="00B02985" w:rsidP="00B02985">
      <w:pPr>
        <w:pStyle w:val="ManualNumPar1"/>
        <w:rPr>
          <w:rStyle w:val="normaltextrun"/>
          <w:strike/>
          <w:noProof/>
          <w:u w:val="single"/>
        </w:rPr>
      </w:pPr>
      <w:r w:rsidRPr="00D37E94">
        <w:rPr>
          <w:rStyle w:val="normaltextrun"/>
          <w:strike/>
        </w:rPr>
        <w:t>5.</w:t>
      </w:r>
      <w:r w:rsidRPr="00D37E94">
        <w:rPr>
          <w:rStyle w:val="normaltextrun"/>
        </w:rPr>
        <w:tab/>
      </w:r>
      <w:r w:rsidR="002B12E1" w:rsidRPr="00D37E94">
        <w:rPr>
          <w:rStyle w:val="normaltextrun"/>
          <w:strike/>
          <w:noProof/>
          <w:u w:val="single"/>
        </w:rPr>
        <w:t xml:space="preserve">Before deciding on the request for a reduced mandatory demand reduction, the Commission shall consult </w:t>
      </w:r>
      <w:r w:rsidR="00754903" w:rsidRPr="00D37E94">
        <w:rPr>
          <w:rStyle w:val="normaltextrun"/>
          <w:strike/>
          <w:noProof/>
          <w:u w:val="single"/>
        </w:rPr>
        <w:t xml:space="preserve">the </w:t>
      </w:r>
      <w:r w:rsidR="002B12E1" w:rsidRPr="00D37E94">
        <w:rPr>
          <w:rStyle w:val="normaltextrun"/>
          <w:strike/>
          <w:noProof/>
          <w:u w:val="single"/>
        </w:rPr>
        <w:t>GCG, the risk groups and, as appropriate, other relevant bodies.</w:t>
      </w:r>
    </w:p>
    <w:p w14:paraId="1B3447E8" w14:textId="320B39DF" w:rsidR="00754903" w:rsidRPr="00D37E94" w:rsidRDefault="00B02985" w:rsidP="00B02985">
      <w:pPr>
        <w:pStyle w:val="ManualNumPar1"/>
        <w:rPr>
          <w:strike/>
          <w:noProof/>
        </w:rPr>
      </w:pPr>
      <w:r w:rsidRPr="00D37E94">
        <w:rPr>
          <w:strike/>
        </w:rPr>
        <w:t>6.</w:t>
      </w:r>
      <w:r w:rsidRPr="00D37E94">
        <w:tab/>
      </w:r>
      <w:r w:rsidR="00754903" w:rsidRPr="00D37E94">
        <w:rPr>
          <w:strike/>
          <w:noProof/>
        </w:rPr>
        <w:t>The Commission shall decide on the request at the latest within two months after having received all the relevant information from the Member State.</w:t>
      </w:r>
    </w:p>
    <w:p w14:paraId="3FB745E8" w14:textId="58BEFD60" w:rsidR="00B748AE" w:rsidRPr="006F770D" w:rsidRDefault="00B02985" w:rsidP="00B02985">
      <w:pPr>
        <w:pStyle w:val="ManualNumPar1"/>
        <w:rPr>
          <w:noProof/>
        </w:rPr>
      </w:pPr>
      <w:r w:rsidRPr="00B02985">
        <w:t>7.</w:t>
      </w:r>
      <w:r w:rsidRPr="00B02985">
        <w:tab/>
      </w:r>
      <w:r w:rsidR="4B670FD5">
        <w:rPr>
          <w:noProof/>
        </w:rPr>
        <w:t>Articles 6, 7 and 8 shall apply to mandatory demand reduction measures.</w:t>
      </w:r>
    </w:p>
    <w:p w14:paraId="750198B7" w14:textId="77777777" w:rsidR="006D74C1" w:rsidRDefault="006D74C1" w:rsidP="00381F89">
      <w:pPr>
        <w:pStyle w:val="Titrearticle"/>
        <w:rPr>
          <w:noProof/>
        </w:rPr>
      </w:pPr>
      <w:r>
        <w:rPr>
          <w:noProof/>
        </w:rPr>
        <w:t>Article 6</w:t>
      </w:r>
    </w:p>
    <w:p w14:paraId="594C909A" w14:textId="77777777" w:rsidR="006D74C1" w:rsidRDefault="006D74C1" w:rsidP="006D74C1">
      <w:pPr>
        <w:jc w:val="center"/>
        <w:rPr>
          <w:b/>
          <w:bCs/>
          <w:noProof/>
        </w:rPr>
      </w:pPr>
      <w:r w:rsidRPr="33DA50C2">
        <w:rPr>
          <w:b/>
          <w:bCs/>
          <w:noProof/>
        </w:rPr>
        <w:t xml:space="preserve">Measures to achieve the demand reduction </w:t>
      </w:r>
    </w:p>
    <w:p w14:paraId="695441FA" w14:textId="213BBA69" w:rsidR="006D74C1" w:rsidRPr="00A146F8" w:rsidRDefault="00B02985" w:rsidP="00A97F32">
      <w:pPr>
        <w:pStyle w:val="ManualNumPar1"/>
        <w:rPr>
          <w:noProof/>
        </w:rPr>
      </w:pPr>
      <w:r w:rsidRPr="00B02985">
        <w:t>1.</w:t>
      </w:r>
      <w:r w:rsidRPr="00B02985">
        <w:tab/>
      </w:r>
      <w:r w:rsidR="00A97F32">
        <w:rPr>
          <w:noProof/>
        </w:rPr>
        <w:t xml:space="preserve">Member States shall be free to choose the appropriate measures to reduce demand. The </w:t>
      </w:r>
      <w:r w:rsidR="00A97F32" w:rsidRPr="00DB2214">
        <w:rPr>
          <w:noProof/>
        </w:rPr>
        <w:t xml:space="preserve">measures </w:t>
      </w:r>
      <w:r w:rsidR="00A97F32" w:rsidRPr="0017605B">
        <w:rPr>
          <w:b/>
          <w:noProof/>
          <w:u w:val="single"/>
        </w:rPr>
        <w:t xml:space="preserve">referred to in Articles 3 and 5 </w:t>
      </w:r>
      <w:r w:rsidR="00A97F32" w:rsidRPr="00DB2214">
        <w:rPr>
          <w:noProof/>
        </w:rPr>
        <w:t>shall be clearly defined, transparent, proportionate, non-discriminatory and verifiable. When selecting the measures, Member States shall take into account the principles set out in Regulation (EU) 2017/1938. The measures shall in particular:</w:t>
      </w:r>
    </w:p>
    <w:p w14:paraId="60741273" w14:textId="45223B17" w:rsidR="006D74C1" w:rsidRDefault="00B02985" w:rsidP="00A97F32">
      <w:pPr>
        <w:pStyle w:val="Point1"/>
        <w:rPr>
          <w:strike/>
          <w:noProof/>
        </w:rPr>
      </w:pPr>
      <w:r w:rsidRPr="00B02985">
        <w:t>(a)</w:t>
      </w:r>
      <w:r w:rsidRPr="00B02985">
        <w:tab/>
      </w:r>
      <w:r w:rsidR="00A97F32" w:rsidRPr="00DB2214">
        <w:rPr>
          <w:noProof/>
        </w:rPr>
        <w:t>not unduly distort competition or the proper functioning of the internal market in gas</w:t>
      </w:r>
      <w:r w:rsidR="00A97F32" w:rsidRPr="0017605B">
        <w:rPr>
          <w:b/>
          <w:noProof/>
          <w:u w:val="single"/>
        </w:rPr>
        <w:t>;</w:t>
      </w:r>
      <w:r w:rsidR="00A97F32" w:rsidRPr="0017605B">
        <w:rPr>
          <w:strike/>
          <w:noProof/>
        </w:rPr>
        <w:t>, or</w:t>
      </w:r>
    </w:p>
    <w:p w14:paraId="50CF9BC8" w14:textId="77777777" w:rsidR="00A97F32" w:rsidRPr="00DB2214" w:rsidRDefault="00A97F32" w:rsidP="00A97F32">
      <w:pPr>
        <w:pStyle w:val="Point1"/>
        <w:rPr>
          <w:rFonts w:asciiTheme="minorHAnsi" w:eastAsiaTheme="minorEastAsia" w:hAnsiTheme="minorHAnsi" w:cstheme="minorBidi"/>
          <w:noProof/>
        </w:rPr>
      </w:pPr>
      <w:r w:rsidRPr="0017605B">
        <w:rPr>
          <w:b/>
          <w:noProof/>
          <w:u w:val="single"/>
        </w:rPr>
        <w:t>(aa)</w:t>
      </w:r>
      <w:r w:rsidRPr="00A97F32">
        <w:rPr>
          <w:b/>
          <w:noProof/>
        </w:rPr>
        <w:tab/>
      </w:r>
      <w:r w:rsidRPr="0017605B">
        <w:rPr>
          <w:b/>
          <w:noProof/>
          <w:u w:val="single"/>
        </w:rPr>
        <w:t xml:space="preserve">not </w:t>
      </w:r>
      <w:r w:rsidRPr="00DB2214">
        <w:rPr>
          <w:noProof/>
        </w:rPr>
        <w:t>endanger the security of gas supply of other Member States or of the Union;</w:t>
      </w:r>
    </w:p>
    <w:p w14:paraId="5FF49E91" w14:textId="507277B7" w:rsidR="006D74C1" w:rsidRPr="00A97F32" w:rsidRDefault="00B02985" w:rsidP="00B02985">
      <w:pPr>
        <w:pStyle w:val="Point1"/>
        <w:rPr>
          <w:rFonts w:asciiTheme="minorHAnsi" w:eastAsiaTheme="minorEastAsia" w:hAnsiTheme="minorHAnsi" w:cstheme="minorBidi"/>
          <w:strike/>
          <w:noProof/>
        </w:rPr>
      </w:pPr>
      <w:r w:rsidRPr="00A97F32">
        <w:rPr>
          <w:strike/>
        </w:rPr>
        <w:t>(b)</w:t>
      </w:r>
      <w:r w:rsidRPr="00A97F32">
        <w:tab/>
      </w:r>
      <w:r w:rsidR="006D74C1" w:rsidRPr="00A97F32">
        <w:rPr>
          <w:strike/>
          <w:noProof/>
        </w:rPr>
        <w:t>be market-based;</w:t>
      </w:r>
    </w:p>
    <w:p w14:paraId="467403E1" w14:textId="329D1D1C" w:rsidR="006D74C1" w:rsidRPr="00A230E6" w:rsidRDefault="00B02985" w:rsidP="00B02985">
      <w:pPr>
        <w:pStyle w:val="Point1"/>
        <w:rPr>
          <w:rFonts w:asciiTheme="minorHAnsi" w:eastAsiaTheme="minorEastAsia" w:hAnsiTheme="minorHAnsi" w:cstheme="minorBidi"/>
          <w:noProof/>
        </w:rPr>
      </w:pPr>
      <w:r w:rsidRPr="00B02985">
        <w:t>(c)</w:t>
      </w:r>
      <w:r w:rsidRPr="00B02985">
        <w:tab/>
      </w:r>
      <w:r w:rsidR="006D74C1">
        <w:rPr>
          <w:noProof/>
        </w:rPr>
        <w:t>ensure uninterrupted supply of gas to protected customers or other customer groups pursuant to Articles 2(5) and 7 of Regulation (EU) 2017/1938.</w:t>
      </w:r>
    </w:p>
    <w:p w14:paraId="6BC5BB75" w14:textId="7E18ED8E" w:rsidR="006D74C1" w:rsidRPr="00A146F8" w:rsidRDefault="00B02985" w:rsidP="00250713">
      <w:pPr>
        <w:pStyle w:val="ManualNumPar1"/>
        <w:rPr>
          <w:noProof/>
        </w:rPr>
      </w:pPr>
      <w:r w:rsidRPr="00B02985">
        <w:t>2.</w:t>
      </w:r>
      <w:r w:rsidRPr="00B02985">
        <w:tab/>
      </w:r>
      <w:r w:rsidR="00250713" w:rsidRPr="00DB2214">
        <w:rPr>
          <w:noProof/>
        </w:rPr>
        <w:t xml:space="preserve">When taking demand-reduction measures, Member States shall prioritise the measures affecting </w:t>
      </w:r>
      <w:r w:rsidR="00250713" w:rsidRPr="0017605B">
        <w:rPr>
          <w:b/>
          <w:noProof/>
          <w:u w:val="single"/>
        </w:rPr>
        <w:t>customers other than</w:t>
      </w:r>
      <w:r w:rsidR="00250713" w:rsidRPr="00250713">
        <w:rPr>
          <w:b/>
          <w:noProof/>
        </w:rPr>
        <w:t xml:space="preserve"> </w:t>
      </w:r>
      <w:r w:rsidR="00250713" w:rsidRPr="0017605B">
        <w:rPr>
          <w:strike/>
          <w:noProof/>
        </w:rPr>
        <w:t>non-</w:t>
      </w:r>
      <w:r w:rsidR="00250713" w:rsidRPr="00DB2214">
        <w:rPr>
          <w:noProof/>
        </w:rPr>
        <w:t xml:space="preserve">protected customers </w:t>
      </w:r>
      <w:r w:rsidR="00250713" w:rsidRPr="0017605B">
        <w:rPr>
          <w:b/>
          <w:noProof/>
          <w:u w:val="single"/>
        </w:rPr>
        <w:t xml:space="preserve">within the meaning of Article 2(5) of Regulation (EU) 2017/1938 </w:t>
      </w:r>
      <w:r w:rsidR="00250713" w:rsidRPr="00DB2214">
        <w:rPr>
          <w:noProof/>
        </w:rPr>
        <w:t>on the basis of objective and transparent criteria which shall take into account their economic importance as well as, among others, the following elements:</w:t>
      </w:r>
    </w:p>
    <w:p w14:paraId="1BB566DA" w14:textId="0E15135D" w:rsidR="006D74C1" w:rsidRPr="00071528" w:rsidRDefault="00B02985" w:rsidP="00B02985">
      <w:pPr>
        <w:pStyle w:val="Point1"/>
        <w:rPr>
          <w:rFonts w:asciiTheme="minorHAnsi" w:eastAsiaTheme="minorEastAsia" w:hAnsiTheme="minorHAnsi" w:cstheme="minorBidi"/>
          <w:noProof/>
          <w:szCs w:val="24"/>
        </w:rPr>
      </w:pPr>
      <w:r w:rsidRPr="00B02985">
        <w:t>(a)</w:t>
      </w:r>
      <w:r w:rsidRPr="00B02985">
        <w:tab/>
      </w:r>
      <w:r w:rsidR="006D74C1" w:rsidRPr="33DA50C2">
        <w:rPr>
          <w:noProof/>
        </w:rPr>
        <w:t xml:space="preserve">the impact of a disruption on supply chains that are critical for society; </w:t>
      </w:r>
    </w:p>
    <w:p w14:paraId="193769AD" w14:textId="4C6D0992" w:rsidR="006D74C1" w:rsidRPr="00A230E6" w:rsidRDefault="00B02985" w:rsidP="00B02985">
      <w:pPr>
        <w:pStyle w:val="Point1"/>
        <w:rPr>
          <w:rFonts w:asciiTheme="minorHAnsi" w:eastAsiaTheme="minorEastAsia" w:hAnsiTheme="minorHAnsi" w:cstheme="minorBidi"/>
          <w:noProof/>
          <w:szCs w:val="24"/>
        </w:rPr>
      </w:pPr>
      <w:r w:rsidRPr="00B02985">
        <w:t>(b)</w:t>
      </w:r>
      <w:r w:rsidRPr="00B02985">
        <w:tab/>
      </w:r>
      <w:r w:rsidR="006D74C1" w:rsidRPr="33DA50C2">
        <w:rPr>
          <w:noProof/>
        </w:rPr>
        <w:t>the possible negative impacts in other Member States, in particular on supply chains of downstream sectors that are critical for society;</w:t>
      </w:r>
    </w:p>
    <w:p w14:paraId="7DDDD953" w14:textId="6AE7747F" w:rsidR="006D74C1" w:rsidRPr="00A230E6" w:rsidRDefault="00B02985" w:rsidP="00B02985">
      <w:pPr>
        <w:pStyle w:val="Point1"/>
        <w:rPr>
          <w:rFonts w:asciiTheme="minorHAnsi" w:eastAsiaTheme="minorEastAsia" w:hAnsiTheme="minorHAnsi" w:cstheme="minorBidi"/>
          <w:noProof/>
          <w:szCs w:val="24"/>
        </w:rPr>
      </w:pPr>
      <w:r w:rsidRPr="00B02985">
        <w:t>(c)</w:t>
      </w:r>
      <w:r w:rsidRPr="00B02985">
        <w:tab/>
      </w:r>
      <w:r w:rsidR="006D74C1" w:rsidRPr="33DA50C2">
        <w:rPr>
          <w:noProof/>
        </w:rPr>
        <w:t>the potential long-lasting damage to industrial installations;</w:t>
      </w:r>
    </w:p>
    <w:p w14:paraId="42E7504B" w14:textId="53C70274" w:rsidR="006D74C1" w:rsidRPr="00A230E6" w:rsidRDefault="009025C2" w:rsidP="00B02985">
      <w:pPr>
        <w:pStyle w:val="Point1"/>
        <w:rPr>
          <w:rFonts w:asciiTheme="minorHAnsi" w:eastAsiaTheme="minorEastAsia" w:hAnsiTheme="minorHAnsi" w:cstheme="minorBidi"/>
          <w:noProof/>
          <w:szCs w:val="24"/>
        </w:rPr>
      </w:pPr>
      <w:r>
        <w:br w:type="page"/>
      </w:r>
      <w:r w:rsidR="00B02985" w:rsidRPr="00B02985">
        <w:t>(d)</w:t>
      </w:r>
      <w:r w:rsidR="00B02985" w:rsidRPr="00B02985">
        <w:tab/>
      </w:r>
      <w:r w:rsidR="2F7BE667">
        <w:rPr>
          <w:noProof/>
        </w:rPr>
        <w:t>the possibilities to reduce consumption and substitute products in the Union.</w:t>
      </w:r>
    </w:p>
    <w:p w14:paraId="3F0032ED" w14:textId="4129AD73" w:rsidR="006D74C1" w:rsidRPr="00965CC7" w:rsidRDefault="00B02985" w:rsidP="00B02985">
      <w:pPr>
        <w:pStyle w:val="ManualNumPar1"/>
        <w:rPr>
          <w:noProof/>
        </w:rPr>
      </w:pPr>
      <w:r w:rsidRPr="00B02985">
        <w:t>3.</w:t>
      </w:r>
      <w:r w:rsidRPr="00B02985">
        <w:tab/>
      </w:r>
      <w:r w:rsidR="4B670FD5">
        <w:rPr>
          <w:noProof/>
        </w:rPr>
        <w:t>When deciding the demand-reduction measures, the Member States shall consider measures to reduce gas consumed in the electricity sector, measures to encourage fuel switch in the industry, national awareness raising campaigns, and targeted obligations to reduce heating and cooling, and market-based measures to promote switching to other fuels and reduce consumption by industry.</w:t>
      </w:r>
    </w:p>
    <w:p w14:paraId="05AE743C" w14:textId="77777777" w:rsidR="006D74C1" w:rsidRDefault="006D74C1" w:rsidP="006D74C1">
      <w:pPr>
        <w:pStyle w:val="Titrearticle"/>
        <w:rPr>
          <w:rFonts w:eastAsia="Calibri"/>
          <w:iCs/>
          <w:noProof/>
          <w:szCs w:val="24"/>
        </w:rPr>
      </w:pPr>
      <w:r>
        <w:rPr>
          <w:noProof/>
        </w:rPr>
        <w:t>Article 7</w:t>
      </w:r>
    </w:p>
    <w:p w14:paraId="10ADD5E0" w14:textId="77777777" w:rsidR="006D74C1" w:rsidRDefault="006D74C1" w:rsidP="006D74C1">
      <w:pPr>
        <w:jc w:val="center"/>
        <w:rPr>
          <w:b/>
          <w:bCs/>
          <w:noProof/>
        </w:rPr>
      </w:pPr>
      <w:r w:rsidRPr="7D6AEFEE">
        <w:rPr>
          <w:b/>
          <w:bCs/>
          <w:noProof/>
        </w:rPr>
        <w:t>Coordination of demand reduction measures</w:t>
      </w:r>
    </w:p>
    <w:p w14:paraId="77F2AF10" w14:textId="15EA20D2" w:rsidR="006D74C1" w:rsidRPr="00965CC7" w:rsidRDefault="00B02985" w:rsidP="00250713">
      <w:pPr>
        <w:pStyle w:val="ManualNumPar1"/>
        <w:rPr>
          <w:rFonts w:asciiTheme="minorHAnsi" w:eastAsiaTheme="minorEastAsia" w:hAnsiTheme="minorHAnsi" w:cstheme="minorBidi"/>
          <w:noProof/>
          <w:color w:val="000000" w:themeColor="text1"/>
        </w:rPr>
      </w:pPr>
      <w:r w:rsidRPr="00B02985">
        <w:t>1.</w:t>
      </w:r>
      <w:r w:rsidRPr="00B02985">
        <w:tab/>
      </w:r>
      <w:r w:rsidR="00250713">
        <w:rPr>
          <w:noProof/>
        </w:rPr>
        <w:t>To ensure appropriate coordination of voluntary and mandatory demand reduction measures pursuant to Articles 3 and 5, Member States shall cooperate with each other within each of the relevant risk groups</w:t>
      </w:r>
      <w:r w:rsidR="00250713" w:rsidRPr="0017605B">
        <w:rPr>
          <w:b/>
          <w:noProof/>
          <w:u w:val="single"/>
        </w:rPr>
        <w:t xml:space="preserve"> established in Annex I to Regulation (EU) 2017/1938</w:t>
      </w:r>
      <w:r w:rsidR="00250713" w:rsidRPr="00AA48E2">
        <w:rPr>
          <w:noProof/>
        </w:rPr>
        <w:t>.</w:t>
      </w:r>
    </w:p>
    <w:p w14:paraId="3432FDF6" w14:textId="07FDEB95" w:rsidR="006D74C1" w:rsidRDefault="00B02985" w:rsidP="00250713">
      <w:pPr>
        <w:pStyle w:val="ManualNumPar1"/>
        <w:rPr>
          <w:rFonts w:asciiTheme="minorHAnsi" w:eastAsiaTheme="minorEastAsia" w:hAnsiTheme="minorHAnsi" w:cstheme="minorBidi"/>
          <w:noProof/>
          <w:color w:val="000000" w:themeColor="text1"/>
        </w:rPr>
      </w:pPr>
      <w:r w:rsidRPr="00B02985">
        <w:t>2.</w:t>
      </w:r>
      <w:r w:rsidRPr="00B02985">
        <w:tab/>
      </w:r>
      <w:r w:rsidR="00250713">
        <w:rPr>
          <w:noProof/>
        </w:rPr>
        <w:t>The competent authority of each Member State shall update its national emergency plan established pursuant to Article 8 of Regulation (EU) 2017/1938 by [</w:t>
      </w:r>
      <w:r w:rsidR="00250713" w:rsidRPr="00784687">
        <w:rPr>
          <w:strike/>
          <w:noProof/>
        </w:rPr>
        <w:t>31</w:t>
      </w:r>
      <w:r w:rsidR="00250713">
        <w:rPr>
          <w:noProof/>
        </w:rPr>
        <w:t xml:space="preserve"> </w:t>
      </w:r>
      <w:r w:rsidR="00250713" w:rsidRPr="00784687">
        <w:rPr>
          <w:b/>
          <w:bCs/>
          <w:noProof/>
          <w:u w:val="single"/>
        </w:rPr>
        <w:t xml:space="preserve">30 </w:t>
      </w:r>
      <w:r w:rsidR="00250713">
        <w:rPr>
          <w:noProof/>
        </w:rPr>
        <w:t xml:space="preserve">September 2022] at the latest, to reflect voluntary demand reductions. Each Member State shall also update its national emergency plan, as appropriate, in </w:t>
      </w:r>
      <w:r w:rsidR="00250713" w:rsidRPr="0017605B">
        <w:rPr>
          <w:b/>
          <w:noProof/>
          <w:u w:val="single"/>
        </w:rPr>
        <w:t xml:space="preserve">the </w:t>
      </w:r>
      <w:r w:rsidR="00250713">
        <w:rPr>
          <w:noProof/>
        </w:rPr>
        <w:t xml:space="preserve">case of a </w:t>
      </w:r>
      <w:r w:rsidR="00250713" w:rsidRPr="36321620">
        <w:rPr>
          <w:rFonts w:eastAsia="Times New Roman"/>
          <w:noProof/>
        </w:rPr>
        <w:t xml:space="preserve">declaration of a Union alert pursuant to Article 4. Articles 8(6) to (10) </w:t>
      </w:r>
      <w:r w:rsidR="00250713">
        <w:rPr>
          <w:noProof/>
        </w:rPr>
        <w:t>of Regulation (EU) 2017/1938 shall not apply to the updates of the national emergency plans pursuant to this paragraph.</w:t>
      </w:r>
    </w:p>
    <w:p w14:paraId="234597AB" w14:textId="7CA7F781" w:rsidR="00E80319" w:rsidRDefault="00B02985" w:rsidP="00B02985">
      <w:pPr>
        <w:pStyle w:val="ManualNumPar1"/>
        <w:rPr>
          <w:noProof/>
        </w:rPr>
      </w:pPr>
      <w:r w:rsidRPr="00B02985">
        <w:t>3.</w:t>
      </w:r>
      <w:r w:rsidRPr="00B02985">
        <w:tab/>
      </w:r>
      <w:r w:rsidR="4B670FD5">
        <w:rPr>
          <w:noProof/>
        </w:rPr>
        <w:t>Member States shall consult the Commission and the relevant risk groups before adopting the revised emergency plans. The Commission may call for meetings of the GCG</w:t>
      </w:r>
      <w:r w:rsidR="005F5E14">
        <w:rPr>
          <w:noProof/>
        </w:rPr>
        <w:t xml:space="preserve"> and</w:t>
      </w:r>
      <w:r w:rsidR="4B670FD5">
        <w:rPr>
          <w:noProof/>
        </w:rPr>
        <w:t xml:space="preserve"> the risks groups </w:t>
      </w:r>
      <w:r w:rsidR="005F5E14" w:rsidRPr="005F5E14">
        <w:rPr>
          <w:noProof/>
        </w:rPr>
        <w:t>taking into account any views expressed by the Member States in that context</w:t>
      </w:r>
      <w:r w:rsidR="005F5E14">
        <w:rPr>
          <w:noProof/>
        </w:rPr>
        <w:t>,</w:t>
      </w:r>
      <w:r w:rsidR="005F5E14" w:rsidRPr="005F5E14">
        <w:rPr>
          <w:noProof/>
        </w:rPr>
        <w:t xml:space="preserve"> </w:t>
      </w:r>
      <w:r w:rsidR="4B670FD5">
        <w:rPr>
          <w:noProof/>
        </w:rPr>
        <w:t>to discuss issues related to national demand reduction measures.</w:t>
      </w:r>
    </w:p>
    <w:p w14:paraId="2D504D08" w14:textId="77777777" w:rsidR="006D74C1" w:rsidRPr="00A146F8" w:rsidRDefault="00E80319" w:rsidP="00E80319">
      <w:pPr>
        <w:rPr>
          <w:noProof/>
        </w:rPr>
      </w:pPr>
      <w:r>
        <w:rPr>
          <w:noProof/>
        </w:rPr>
        <w:br w:type="page"/>
      </w:r>
    </w:p>
    <w:p w14:paraId="3FD831AB" w14:textId="77777777" w:rsidR="006D74C1" w:rsidRDefault="006D74C1" w:rsidP="006D74C1">
      <w:pPr>
        <w:pStyle w:val="Titrearticle"/>
        <w:spacing w:before="120"/>
        <w:rPr>
          <w:b/>
          <w:bCs/>
          <w:noProof/>
        </w:rPr>
      </w:pPr>
      <w:r>
        <w:rPr>
          <w:noProof/>
        </w:rPr>
        <w:t>Article 8</w:t>
      </w:r>
      <w:r>
        <w:rPr>
          <w:noProof/>
        </w:rPr>
        <w:br/>
      </w:r>
      <w:r w:rsidRPr="33DA50C2">
        <w:rPr>
          <w:b/>
          <w:bCs/>
          <w:noProof/>
        </w:rPr>
        <w:t>Monitoring and enforcement</w:t>
      </w:r>
    </w:p>
    <w:p w14:paraId="63F64FF3" w14:textId="28D52891" w:rsidR="006D74C1" w:rsidRPr="00965CC7" w:rsidRDefault="00B02985" w:rsidP="00B02985">
      <w:pPr>
        <w:pStyle w:val="ManualNumPar1"/>
        <w:rPr>
          <w:rFonts w:asciiTheme="minorHAnsi" w:eastAsiaTheme="minorEastAsia" w:hAnsiTheme="minorHAnsi" w:cstheme="minorBidi"/>
          <w:noProof/>
          <w:szCs w:val="24"/>
        </w:rPr>
      </w:pPr>
      <w:r w:rsidRPr="00B02985">
        <w:t>1.</w:t>
      </w:r>
      <w:r w:rsidRPr="00B02985">
        <w:tab/>
      </w:r>
      <w:r w:rsidR="4B670FD5">
        <w:rPr>
          <w:noProof/>
        </w:rPr>
        <w:t xml:space="preserve">The competent authority of each Member State shall monitor the implementation of the demand-reduction measures on their territory. Member States shall report on demand-reduction measures taken and demand reduction achieved to the Commission </w:t>
      </w:r>
      <w:r w:rsidR="45799957">
        <w:rPr>
          <w:noProof/>
        </w:rPr>
        <w:t xml:space="preserve">every two </w:t>
      </w:r>
      <w:r w:rsidR="4B670FD5">
        <w:rPr>
          <w:noProof/>
        </w:rPr>
        <w:t>month</w:t>
      </w:r>
      <w:r w:rsidR="45799957">
        <w:rPr>
          <w:noProof/>
        </w:rPr>
        <w:t>s</w:t>
      </w:r>
      <w:r w:rsidR="4B670FD5">
        <w:rPr>
          <w:noProof/>
        </w:rPr>
        <w:t xml:space="preserve"> and not later than by the 15th of the following month. The GCG</w:t>
      </w:r>
      <w:r w:rsidR="00B5785E">
        <w:rPr>
          <w:noProof/>
        </w:rPr>
        <w:t xml:space="preserve"> and</w:t>
      </w:r>
      <w:r w:rsidR="4B670FD5">
        <w:rPr>
          <w:noProof/>
        </w:rPr>
        <w:t xml:space="preserve"> the risk groups shall assist the Commission in the monitoring of the voluntary and mandatory demand reduction.</w:t>
      </w:r>
    </w:p>
    <w:p w14:paraId="7B660D84" w14:textId="3263756B" w:rsidR="00B5785E" w:rsidRPr="00D31742" w:rsidRDefault="00B02985" w:rsidP="00250713">
      <w:pPr>
        <w:pStyle w:val="ManualNumPar1"/>
        <w:rPr>
          <w:rFonts w:asciiTheme="minorHAnsi" w:hAnsiTheme="minorHAnsi"/>
          <w:noProof/>
          <w:color w:val="000000" w:themeColor="text1"/>
        </w:rPr>
      </w:pPr>
      <w:r w:rsidRPr="00B02985">
        <w:t>2.</w:t>
      </w:r>
      <w:r w:rsidRPr="00B02985">
        <w:tab/>
      </w:r>
      <w:r w:rsidR="00250713" w:rsidRPr="00676C02">
        <w:rPr>
          <w:noProof/>
        </w:rPr>
        <w:t xml:space="preserve">Where the Commission identifies, on the basis of the reported demand reduction figures, a risk that a Member State will not be able to fulfil the mandatory demand reduction obligation pursuant to Article 5, the Commission shall request the Member State to submit a plan setting out a strategy and measures to effectively reach the demand reduction obligation. The Commission shall also request a Member State requesting a solidarity measure pursuant to Article 13 of Regulation (EU) 2017/1938 to submit a plan setting out the strategy and measures to achieve possible </w:t>
      </w:r>
      <w:r w:rsidR="00250713" w:rsidRPr="00676C02">
        <w:rPr>
          <w:rFonts w:eastAsiaTheme="minorEastAsia"/>
          <w:noProof/>
        </w:rPr>
        <w:t>further gas demand reductions, in line with Article 13(3)(b) of Regulation (EU) 2017/1938. In both cases, the Commission shall</w:t>
      </w:r>
      <w:r w:rsidR="00250713" w:rsidRPr="00676C02">
        <w:rPr>
          <w:rFonts w:eastAsiaTheme="minorEastAsia"/>
          <w:strike/>
          <w:noProof/>
        </w:rPr>
        <w:t>,</w:t>
      </w:r>
      <w:r w:rsidR="00250713" w:rsidRPr="00676C02">
        <w:rPr>
          <w:rFonts w:eastAsiaTheme="minorEastAsia"/>
          <w:noProof/>
        </w:rPr>
        <w:t xml:space="preserve"> issue an opinion with </w:t>
      </w:r>
      <w:r w:rsidR="00250713" w:rsidRPr="00676C02">
        <w:rPr>
          <w:noProof/>
        </w:rPr>
        <w:t>comments and suggestions on the submitted plans</w:t>
      </w:r>
      <w:r w:rsidR="00250713" w:rsidRPr="00676C02">
        <w:rPr>
          <w:b/>
          <w:noProof/>
          <w:u w:val="single"/>
        </w:rPr>
        <w:t>,</w:t>
      </w:r>
      <w:r w:rsidR="00250713" w:rsidRPr="00676C02">
        <w:rPr>
          <w:noProof/>
        </w:rPr>
        <w:t xml:space="preserve"> of which t</w:t>
      </w:r>
      <w:r w:rsidR="00250713" w:rsidRPr="00676C02">
        <w:rPr>
          <w:rFonts w:eastAsiaTheme="minorEastAsia"/>
          <w:noProof/>
        </w:rPr>
        <w:t>he Member State shall take due account</w:t>
      </w:r>
      <w:r w:rsidR="00250713" w:rsidRPr="00676C02">
        <w:rPr>
          <w:rFonts w:eastAsiaTheme="minorEastAsia"/>
          <w:b/>
          <w:noProof/>
          <w:u w:val="single"/>
        </w:rPr>
        <w:t>,</w:t>
      </w:r>
      <w:r w:rsidR="00250713" w:rsidRPr="00676C02">
        <w:rPr>
          <w:rFonts w:eastAsiaTheme="minorEastAsia"/>
          <w:noProof/>
        </w:rPr>
        <w:t xml:space="preserve"> and inform the Council of its opinion.</w:t>
      </w:r>
    </w:p>
    <w:p w14:paraId="152184E8" w14:textId="21AAE222" w:rsidR="00E80319" w:rsidRDefault="00B02985" w:rsidP="00B02985">
      <w:pPr>
        <w:pStyle w:val="ManualNumPar1"/>
        <w:rPr>
          <w:noProof/>
        </w:rPr>
      </w:pPr>
      <w:r w:rsidRPr="00B02985">
        <w:t>3.</w:t>
      </w:r>
      <w:r w:rsidRPr="00B02985">
        <w:tab/>
      </w:r>
      <w:r w:rsidR="4B670FD5" w:rsidRPr="36321620">
        <w:rPr>
          <w:noProof/>
        </w:rPr>
        <w:t>The Commission shall inform the European</w:t>
      </w:r>
      <w:r w:rsidR="36321620" w:rsidRPr="36321620">
        <w:rPr>
          <w:noProof/>
        </w:rPr>
        <w:t xml:space="preserve"> </w:t>
      </w:r>
      <w:r w:rsidR="4B670FD5" w:rsidRPr="36321620">
        <w:rPr>
          <w:noProof/>
        </w:rPr>
        <w:t>Parliament and the</w:t>
      </w:r>
      <w:r w:rsidR="36321620" w:rsidRPr="36321620">
        <w:rPr>
          <w:noProof/>
        </w:rPr>
        <w:t xml:space="preserve"> </w:t>
      </w:r>
      <w:r w:rsidR="4B670FD5" w:rsidRPr="36321620">
        <w:rPr>
          <w:noProof/>
        </w:rPr>
        <w:t>Council regularly about the implementation of this Regulation.</w:t>
      </w:r>
    </w:p>
    <w:p w14:paraId="521C45B4" w14:textId="77777777" w:rsidR="006D74C1" w:rsidRDefault="00E80319" w:rsidP="00E80319">
      <w:pPr>
        <w:rPr>
          <w:noProof/>
        </w:rPr>
      </w:pPr>
      <w:r>
        <w:rPr>
          <w:noProof/>
        </w:rPr>
        <w:br w:type="page"/>
      </w:r>
    </w:p>
    <w:p w14:paraId="02339672" w14:textId="77777777" w:rsidR="00E80319" w:rsidRPr="0017605B" w:rsidDel="00814984" w:rsidRDefault="00E80319" w:rsidP="00E80319">
      <w:pPr>
        <w:pStyle w:val="Titrearticle"/>
        <w:spacing w:beforeAutospacing="1" w:afterAutospacing="1"/>
        <w:rPr>
          <w:b/>
          <w:bCs/>
          <w:noProof/>
          <w:u w:val="single"/>
        </w:rPr>
      </w:pPr>
      <w:r w:rsidRPr="0017605B">
        <w:rPr>
          <w:b/>
          <w:noProof/>
          <w:u w:val="single"/>
        </w:rPr>
        <w:t>Article 8a</w:t>
      </w:r>
      <w:r w:rsidRPr="0017605B">
        <w:rPr>
          <w:b/>
          <w:noProof/>
          <w:u w:val="single"/>
        </w:rPr>
        <w:br/>
      </w:r>
      <w:r w:rsidRPr="0017605B">
        <w:rPr>
          <w:b/>
          <w:bCs/>
          <w:noProof/>
          <w:u w:val="single"/>
        </w:rPr>
        <w:t xml:space="preserve">Review </w:t>
      </w:r>
    </w:p>
    <w:p w14:paraId="31E4B766" w14:textId="77777777" w:rsidR="00E80319" w:rsidRPr="00E80319" w:rsidRDefault="00E80319" w:rsidP="00E80319">
      <w:pPr>
        <w:rPr>
          <w:b/>
          <w:bCs/>
          <w:noProof/>
          <w:u w:val="single"/>
        </w:rPr>
      </w:pPr>
      <w:r w:rsidRPr="00E80319">
        <w:rPr>
          <w:rFonts w:eastAsia="Times New Roman"/>
          <w:b/>
          <w:bCs/>
          <w:noProof/>
          <w:szCs w:val="24"/>
          <w:u w:val="single"/>
        </w:rPr>
        <w:t>By 1 August 2023 at the latest, the Commission shall carry out a review of this Regulation in view of the general situation of gas supply to the Union and present a report on the main findings of that review to the Council. The Commission may, based on that report, propose to prolong or shorten the validity of this Regulation.</w:t>
      </w:r>
    </w:p>
    <w:p w14:paraId="2C7623F9" w14:textId="77777777" w:rsidR="00250713" w:rsidRPr="00250713" w:rsidRDefault="00250713" w:rsidP="00250713">
      <w:pPr>
        <w:pStyle w:val="Text1"/>
      </w:pPr>
    </w:p>
    <w:p w14:paraId="41F466D0" w14:textId="1050234D" w:rsidR="006D74C1" w:rsidRPr="00CB3BD8" w:rsidDel="00814984" w:rsidRDefault="006D74C1" w:rsidP="006D74C1">
      <w:pPr>
        <w:pStyle w:val="Titrearticle"/>
        <w:spacing w:beforeAutospacing="1" w:afterAutospacing="1"/>
        <w:rPr>
          <w:b/>
          <w:bCs/>
          <w:noProof/>
        </w:rPr>
      </w:pPr>
      <w:r>
        <w:rPr>
          <w:noProof/>
        </w:rPr>
        <w:t>Article 9</w:t>
      </w:r>
      <w:r>
        <w:rPr>
          <w:noProof/>
        </w:rPr>
        <w:br/>
      </w:r>
      <w:r w:rsidRPr="33DA50C2">
        <w:rPr>
          <w:b/>
          <w:bCs/>
          <w:noProof/>
        </w:rPr>
        <w:t xml:space="preserve">Entry into force and application </w:t>
      </w:r>
    </w:p>
    <w:p w14:paraId="58190BAF" w14:textId="77777777" w:rsidR="006D74C1" w:rsidRPr="0017412F" w:rsidDel="00814984" w:rsidRDefault="006D74C1" w:rsidP="006D74C1">
      <w:pPr>
        <w:rPr>
          <w:rFonts w:eastAsia="Calibri"/>
          <w:noProof/>
          <w:szCs w:val="24"/>
          <w:lang w:eastAsia="en-GB"/>
        </w:rPr>
      </w:pPr>
      <w:r>
        <w:rPr>
          <w:noProof/>
        </w:rPr>
        <w:t>This Regulation shall enter into force on the day following that of its publication on the Official Journal of the European Union.</w:t>
      </w:r>
    </w:p>
    <w:p w14:paraId="511797F7" w14:textId="77777777" w:rsidR="00E80319" w:rsidRPr="0017412F" w:rsidDel="00814984" w:rsidRDefault="00E80319" w:rsidP="00E80319">
      <w:pPr>
        <w:rPr>
          <w:noProof/>
        </w:rPr>
      </w:pPr>
      <w:r w:rsidRPr="33DA50C2">
        <w:rPr>
          <w:rFonts w:eastAsia="Times New Roman"/>
          <w:noProof/>
          <w:szCs w:val="24"/>
        </w:rPr>
        <w:t xml:space="preserve">It shall apply for a period of </w:t>
      </w:r>
      <w:r w:rsidRPr="0017605B">
        <w:rPr>
          <w:rFonts w:eastAsia="Times New Roman"/>
          <w:strike/>
          <w:noProof/>
          <w:szCs w:val="24"/>
        </w:rPr>
        <w:t xml:space="preserve">two </w:t>
      </w:r>
      <w:r w:rsidRPr="0017605B">
        <w:rPr>
          <w:rFonts w:eastAsia="Times New Roman"/>
          <w:b/>
          <w:noProof/>
          <w:szCs w:val="24"/>
          <w:u w:val="single"/>
        </w:rPr>
        <w:t xml:space="preserve">one </w:t>
      </w:r>
      <w:r w:rsidRPr="33DA50C2">
        <w:rPr>
          <w:rFonts w:eastAsia="Times New Roman"/>
          <w:noProof/>
          <w:szCs w:val="24"/>
        </w:rPr>
        <w:t>year</w:t>
      </w:r>
      <w:r w:rsidRPr="0017605B">
        <w:rPr>
          <w:rFonts w:eastAsia="Times New Roman"/>
          <w:strike/>
          <w:noProof/>
          <w:szCs w:val="24"/>
        </w:rPr>
        <w:t>s</w:t>
      </w:r>
      <w:r w:rsidRPr="33DA50C2">
        <w:rPr>
          <w:rFonts w:eastAsia="Times New Roman"/>
          <w:noProof/>
          <w:szCs w:val="24"/>
        </w:rPr>
        <w:t xml:space="preserve"> from its entry into force.</w:t>
      </w:r>
    </w:p>
    <w:p w14:paraId="235C3902" w14:textId="77777777" w:rsidR="00B748AE" w:rsidRPr="00E80319" w:rsidRDefault="00146A28" w:rsidP="00AC24BA">
      <w:pPr>
        <w:rPr>
          <w:strike/>
          <w:noProof/>
        </w:rPr>
      </w:pPr>
      <w:r w:rsidRPr="00E80319">
        <w:rPr>
          <w:rFonts w:eastAsia="Times New Roman"/>
          <w:strike/>
          <w:noProof/>
          <w:szCs w:val="24"/>
        </w:rPr>
        <w:t xml:space="preserve">By 1 August 2023 at the latest, the Commission shall carry out a review of this Regulation in view of the general situation of gas supply to the Union and present a report on the main findings of that review to the Council. The Commission may, based on that report, propose to prolong </w:t>
      </w:r>
      <w:r w:rsidR="00A31553" w:rsidRPr="00E80319">
        <w:rPr>
          <w:rFonts w:eastAsia="Times New Roman"/>
          <w:strike/>
          <w:noProof/>
          <w:szCs w:val="24"/>
        </w:rPr>
        <w:t xml:space="preserve">or shorten </w:t>
      </w:r>
      <w:r w:rsidRPr="00E80319">
        <w:rPr>
          <w:rFonts w:eastAsia="Times New Roman"/>
          <w:strike/>
          <w:noProof/>
          <w:szCs w:val="24"/>
        </w:rPr>
        <w:t>the validity of this Regulation.</w:t>
      </w:r>
    </w:p>
    <w:p w14:paraId="2403CFBB" w14:textId="77777777" w:rsidR="00B748AE" w:rsidRDefault="00B748AE" w:rsidP="00AC24BA">
      <w:pPr>
        <w:pStyle w:val="Applicationdirecte"/>
        <w:rPr>
          <w:noProof/>
        </w:rPr>
      </w:pPr>
      <w:r w:rsidRPr="006F770D">
        <w:rPr>
          <w:noProof/>
        </w:rPr>
        <w:t>This Regulation shall be binding in its entirety and directly applicable in the Member States in accordance with the Treaties.</w:t>
      </w:r>
    </w:p>
    <w:p w14:paraId="4144EFC8" w14:textId="1A8B0907" w:rsidR="00B748AE" w:rsidRDefault="0019256F" w:rsidP="00CE0F22">
      <w:pPr>
        <w:pStyle w:val="Fait"/>
        <w:rPr>
          <w:noProof/>
        </w:rPr>
      </w:pPr>
      <w:r w:rsidRPr="0019256F">
        <w:t>Done at Brussels,</w:t>
      </w:r>
    </w:p>
    <w:p w14:paraId="0CAFA400" w14:textId="77777777" w:rsidR="00B748AE" w:rsidRDefault="00B748AE" w:rsidP="00CE0F22">
      <w:pPr>
        <w:pStyle w:val="Institutionquisigne"/>
        <w:rPr>
          <w:noProof/>
        </w:rPr>
      </w:pPr>
      <w:r w:rsidRPr="00B748AE">
        <w:rPr>
          <w:noProof/>
        </w:rPr>
        <w:tab/>
        <w:t>For the Council</w:t>
      </w:r>
    </w:p>
    <w:p w14:paraId="49334D65" w14:textId="640D4344" w:rsidR="00B748AE" w:rsidRDefault="00B748AE" w:rsidP="00B748AE">
      <w:pPr>
        <w:pStyle w:val="Personnequisigne"/>
        <w:rPr>
          <w:noProof/>
        </w:rPr>
      </w:pPr>
      <w:r w:rsidRPr="00B748AE">
        <w:rPr>
          <w:noProof/>
        </w:rPr>
        <w:tab/>
        <w:t>The President</w:t>
      </w:r>
    </w:p>
    <w:p w14:paraId="6BDA6549" w14:textId="77777777" w:rsidR="00C13307" w:rsidRPr="00C13307" w:rsidRDefault="00C13307" w:rsidP="00C13307">
      <w:pPr>
        <w:pStyle w:val="FinalLine"/>
      </w:pPr>
      <w:bookmarkStart w:id="2" w:name="_GoBack"/>
      <w:bookmarkEnd w:id="2"/>
    </w:p>
    <w:sectPr w:rsidR="00C13307" w:rsidRPr="00C13307" w:rsidSect="00374C9E">
      <w:headerReference w:type="default" r:id="rId15"/>
      <w:footerReference w:type="default" r:id="rId16"/>
      <w:footnotePr>
        <w:numRestart w:val="eachPage"/>
      </w:footnotePr>
      <w:pgSz w:w="11907" w:h="16839"/>
      <w:pgMar w:top="1134" w:right="1134" w:bottom="1134" w:left="1134" w:header="567" w:footer="56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576C" w14:textId="77777777" w:rsidR="009A1649" w:rsidRDefault="009A1649" w:rsidP="00B748AE">
      <w:pPr>
        <w:spacing w:before="0" w:after="0"/>
      </w:pPr>
      <w:r>
        <w:separator/>
      </w:r>
    </w:p>
  </w:endnote>
  <w:endnote w:type="continuationSeparator" w:id="0">
    <w:p w14:paraId="631F8DA3" w14:textId="77777777" w:rsidR="009A1649" w:rsidRDefault="009A1649" w:rsidP="00B748AE">
      <w:pPr>
        <w:spacing w:before="0" w:after="0"/>
      </w:pPr>
      <w:r>
        <w:continuationSeparator/>
      </w:r>
    </w:p>
  </w:endnote>
  <w:endnote w:type="continuationNotice" w:id="1">
    <w:p w14:paraId="51FF8AE3" w14:textId="77777777" w:rsidR="009A1649" w:rsidRDefault="009A16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67AB" w14:textId="77777777" w:rsidR="006D45B9" w:rsidRPr="00374C9E" w:rsidRDefault="006D45B9" w:rsidP="0037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4C9E" w:rsidRPr="00D94637" w14:paraId="7A6A313A" w14:textId="77777777" w:rsidTr="00374C9E">
      <w:trPr>
        <w:jc w:val="center"/>
      </w:trPr>
      <w:tc>
        <w:tcPr>
          <w:tcW w:w="5000" w:type="pct"/>
          <w:gridSpan w:val="7"/>
          <w:shd w:val="clear" w:color="auto" w:fill="auto"/>
          <w:tcMar>
            <w:top w:w="57" w:type="dxa"/>
          </w:tcMar>
        </w:tcPr>
        <w:p w14:paraId="7E9A2429" w14:textId="77777777" w:rsidR="00374C9E" w:rsidRPr="00D94637" w:rsidRDefault="00374C9E" w:rsidP="00D94637">
          <w:pPr>
            <w:pStyle w:val="FooterText"/>
            <w:pBdr>
              <w:top w:val="single" w:sz="4" w:space="1" w:color="auto"/>
            </w:pBdr>
            <w:spacing w:before="200"/>
            <w:rPr>
              <w:sz w:val="2"/>
              <w:szCs w:val="2"/>
            </w:rPr>
          </w:pPr>
          <w:bookmarkStart w:id="1" w:name="FOOTER_STANDARD"/>
        </w:p>
      </w:tc>
    </w:tr>
    <w:tr w:rsidR="00374C9E" w:rsidRPr="00B310DC" w14:paraId="3A3BBAFD" w14:textId="77777777" w:rsidTr="00374C9E">
      <w:trPr>
        <w:jc w:val="center"/>
      </w:trPr>
      <w:tc>
        <w:tcPr>
          <w:tcW w:w="2500" w:type="pct"/>
          <w:gridSpan w:val="2"/>
          <w:shd w:val="clear" w:color="auto" w:fill="auto"/>
          <w:tcMar>
            <w:top w:w="0" w:type="dxa"/>
          </w:tcMar>
        </w:tcPr>
        <w:p w14:paraId="56EF737B" w14:textId="31A58D4B" w:rsidR="00374C9E" w:rsidRPr="00AD7BF2" w:rsidRDefault="00374C9E" w:rsidP="004F54B2">
          <w:pPr>
            <w:pStyle w:val="FooterText"/>
          </w:pPr>
          <w:r>
            <w:t>11521/1/22</w:t>
          </w:r>
          <w:r w:rsidRPr="002511D8">
            <w:t xml:space="preserve"> </w:t>
          </w:r>
          <w:r>
            <w:t>REV 1</w:t>
          </w:r>
        </w:p>
      </w:tc>
      <w:tc>
        <w:tcPr>
          <w:tcW w:w="625" w:type="pct"/>
          <w:shd w:val="clear" w:color="auto" w:fill="auto"/>
          <w:tcMar>
            <w:top w:w="0" w:type="dxa"/>
          </w:tcMar>
        </w:tcPr>
        <w:p w14:paraId="3B2E27CD" w14:textId="77777777" w:rsidR="00374C9E" w:rsidRPr="00AD7BF2" w:rsidRDefault="00374C9E" w:rsidP="00D94637">
          <w:pPr>
            <w:pStyle w:val="FooterText"/>
            <w:jc w:val="center"/>
          </w:pPr>
        </w:p>
      </w:tc>
      <w:tc>
        <w:tcPr>
          <w:tcW w:w="1286" w:type="pct"/>
          <w:gridSpan w:val="3"/>
          <w:shd w:val="clear" w:color="auto" w:fill="auto"/>
          <w:tcMar>
            <w:top w:w="0" w:type="dxa"/>
          </w:tcMar>
        </w:tcPr>
        <w:p w14:paraId="74B9AF72" w14:textId="12DBD273" w:rsidR="00374C9E" w:rsidRPr="002511D8" w:rsidRDefault="00374C9E" w:rsidP="00D94637">
          <w:pPr>
            <w:pStyle w:val="FooterText"/>
            <w:jc w:val="center"/>
          </w:pPr>
          <w:r>
            <w:t>LB/mm</w:t>
          </w:r>
        </w:p>
      </w:tc>
      <w:tc>
        <w:tcPr>
          <w:tcW w:w="589" w:type="pct"/>
          <w:shd w:val="clear" w:color="auto" w:fill="auto"/>
          <w:tcMar>
            <w:top w:w="0" w:type="dxa"/>
          </w:tcMar>
        </w:tcPr>
        <w:p w14:paraId="128CAFAA" w14:textId="51410719" w:rsidR="00374C9E" w:rsidRPr="00B310DC" w:rsidRDefault="00374C9E" w:rsidP="00374C9E">
          <w:pPr>
            <w:pStyle w:val="FooterText"/>
            <w:jc w:val="right"/>
          </w:pPr>
          <w:r>
            <w:fldChar w:fldCharType="begin"/>
          </w:r>
          <w:r>
            <w:instrText xml:space="preserve"> PAGE  \* MERGEFORMAT </w:instrText>
          </w:r>
          <w:r>
            <w:fldChar w:fldCharType="separate"/>
          </w:r>
          <w:r w:rsidR="00762D5A">
            <w:rPr>
              <w:noProof/>
            </w:rPr>
            <w:t>2</w:t>
          </w:r>
          <w:r>
            <w:fldChar w:fldCharType="end"/>
          </w:r>
        </w:p>
      </w:tc>
    </w:tr>
    <w:tr w:rsidR="00374C9E" w:rsidRPr="00D94637" w14:paraId="40AAB11A" w14:textId="77777777" w:rsidTr="00374C9E">
      <w:trPr>
        <w:jc w:val="center"/>
      </w:trPr>
      <w:tc>
        <w:tcPr>
          <w:tcW w:w="1774" w:type="pct"/>
          <w:shd w:val="clear" w:color="auto" w:fill="auto"/>
        </w:tcPr>
        <w:p w14:paraId="20815886" w14:textId="487DFC64" w:rsidR="00374C9E" w:rsidRPr="00AD7BF2" w:rsidRDefault="00374C9E" w:rsidP="00D94637">
          <w:pPr>
            <w:pStyle w:val="FooterText"/>
            <w:spacing w:before="40"/>
          </w:pPr>
        </w:p>
      </w:tc>
      <w:tc>
        <w:tcPr>
          <w:tcW w:w="1455" w:type="pct"/>
          <w:gridSpan w:val="3"/>
          <w:shd w:val="clear" w:color="auto" w:fill="auto"/>
        </w:tcPr>
        <w:p w14:paraId="1D2DD3A4" w14:textId="476FD5C4" w:rsidR="00374C9E" w:rsidRPr="00AD7BF2" w:rsidRDefault="00374C9E" w:rsidP="00D204D6">
          <w:pPr>
            <w:pStyle w:val="FooterText"/>
            <w:spacing w:before="40"/>
            <w:jc w:val="center"/>
          </w:pPr>
          <w:r>
            <w:t>TREE.2.B</w:t>
          </w:r>
        </w:p>
      </w:tc>
      <w:tc>
        <w:tcPr>
          <w:tcW w:w="742" w:type="pct"/>
          <w:shd w:val="clear" w:color="auto" w:fill="auto"/>
        </w:tcPr>
        <w:p w14:paraId="021CEE95" w14:textId="44E0C43C" w:rsidR="00374C9E" w:rsidRPr="00D94637" w:rsidRDefault="00374C9E" w:rsidP="002F0099">
          <w:pPr>
            <w:pStyle w:val="FooterText"/>
            <w:jc w:val="center"/>
            <w:rPr>
              <w:b/>
              <w:position w:val="-4"/>
              <w:sz w:val="36"/>
            </w:rPr>
          </w:pPr>
        </w:p>
      </w:tc>
      <w:tc>
        <w:tcPr>
          <w:tcW w:w="1029" w:type="pct"/>
          <w:gridSpan w:val="2"/>
          <w:shd w:val="clear" w:color="auto" w:fill="auto"/>
        </w:tcPr>
        <w:p w14:paraId="2AF97FDB" w14:textId="39B5079C" w:rsidR="00374C9E" w:rsidRPr="000310C2" w:rsidRDefault="00374C9E" w:rsidP="00D94637">
          <w:pPr>
            <w:pStyle w:val="FooterText"/>
            <w:jc w:val="right"/>
            <w:rPr>
              <w:spacing w:val="-20"/>
              <w:sz w:val="16"/>
            </w:rPr>
          </w:pPr>
          <w:r>
            <w:rPr>
              <w:b/>
              <w:spacing w:val="-20"/>
              <w:position w:val="-4"/>
              <w:sz w:val="36"/>
            </w:rPr>
            <w:t>EN</w:t>
          </w:r>
        </w:p>
      </w:tc>
    </w:tr>
    <w:bookmarkEnd w:id="1"/>
  </w:tbl>
  <w:p w14:paraId="58220447" w14:textId="189F0EC2" w:rsidR="006E4F77" w:rsidRPr="00374C9E" w:rsidRDefault="006E4F77" w:rsidP="00374C9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4C9E" w:rsidRPr="00D94637" w14:paraId="200CBFE9" w14:textId="77777777" w:rsidTr="00374C9E">
      <w:trPr>
        <w:jc w:val="center"/>
      </w:trPr>
      <w:tc>
        <w:tcPr>
          <w:tcW w:w="5000" w:type="pct"/>
          <w:gridSpan w:val="7"/>
          <w:shd w:val="clear" w:color="auto" w:fill="auto"/>
          <w:tcMar>
            <w:top w:w="57" w:type="dxa"/>
          </w:tcMar>
        </w:tcPr>
        <w:p w14:paraId="2394D71A" w14:textId="77777777" w:rsidR="00374C9E" w:rsidRPr="00D94637" w:rsidRDefault="00374C9E" w:rsidP="00D94637">
          <w:pPr>
            <w:pStyle w:val="FooterText"/>
            <w:pBdr>
              <w:top w:val="single" w:sz="4" w:space="1" w:color="auto"/>
            </w:pBdr>
            <w:spacing w:before="200"/>
            <w:rPr>
              <w:sz w:val="2"/>
              <w:szCs w:val="2"/>
            </w:rPr>
          </w:pPr>
        </w:p>
      </w:tc>
    </w:tr>
    <w:tr w:rsidR="00374C9E" w:rsidRPr="00B310DC" w14:paraId="5391A785" w14:textId="77777777" w:rsidTr="00374C9E">
      <w:trPr>
        <w:jc w:val="center"/>
      </w:trPr>
      <w:tc>
        <w:tcPr>
          <w:tcW w:w="2500" w:type="pct"/>
          <w:gridSpan w:val="2"/>
          <w:shd w:val="clear" w:color="auto" w:fill="auto"/>
          <w:tcMar>
            <w:top w:w="0" w:type="dxa"/>
          </w:tcMar>
        </w:tcPr>
        <w:p w14:paraId="242B21B7" w14:textId="2A365365" w:rsidR="00374C9E" w:rsidRPr="00AD7BF2" w:rsidRDefault="00374C9E" w:rsidP="004F54B2">
          <w:pPr>
            <w:pStyle w:val="FooterText"/>
          </w:pPr>
          <w:r>
            <w:t>11521/1/22</w:t>
          </w:r>
          <w:r w:rsidRPr="002511D8">
            <w:t xml:space="preserve"> </w:t>
          </w:r>
          <w:r>
            <w:t>REV 1</w:t>
          </w:r>
        </w:p>
      </w:tc>
      <w:tc>
        <w:tcPr>
          <w:tcW w:w="625" w:type="pct"/>
          <w:shd w:val="clear" w:color="auto" w:fill="auto"/>
          <w:tcMar>
            <w:top w:w="0" w:type="dxa"/>
          </w:tcMar>
        </w:tcPr>
        <w:p w14:paraId="25B93BAE" w14:textId="77777777" w:rsidR="00374C9E" w:rsidRPr="00AD7BF2" w:rsidRDefault="00374C9E" w:rsidP="00D94637">
          <w:pPr>
            <w:pStyle w:val="FooterText"/>
            <w:jc w:val="center"/>
          </w:pPr>
        </w:p>
      </w:tc>
      <w:tc>
        <w:tcPr>
          <w:tcW w:w="1286" w:type="pct"/>
          <w:gridSpan w:val="3"/>
          <w:shd w:val="clear" w:color="auto" w:fill="auto"/>
          <w:tcMar>
            <w:top w:w="0" w:type="dxa"/>
          </w:tcMar>
        </w:tcPr>
        <w:p w14:paraId="4E333FA7" w14:textId="140A40A9" w:rsidR="00374C9E" w:rsidRPr="002511D8" w:rsidRDefault="00374C9E" w:rsidP="00D94637">
          <w:pPr>
            <w:pStyle w:val="FooterText"/>
            <w:jc w:val="center"/>
          </w:pPr>
          <w:r>
            <w:t>LB/mm</w:t>
          </w:r>
        </w:p>
      </w:tc>
      <w:tc>
        <w:tcPr>
          <w:tcW w:w="589" w:type="pct"/>
          <w:shd w:val="clear" w:color="auto" w:fill="auto"/>
          <w:tcMar>
            <w:top w:w="0" w:type="dxa"/>
          </w:tcMar>
        </w:tcPr>
        <w:p w14:paraId="1F1DC169" w14:textId="342383AD" w:rsidR="00374C9E" w:rsidRPr="00B310DC" w:rsidRDefault="00374C9E" w:rsidP="00374C9E">
          <w:pPr>
            <w:pStyle w:val="FooterText"/>
            <w:jc w:val="right"/>
          </w:pPr>
          <w:r>
            <w:fldChar w:fldCharType="begin"/>
          </w:r>
          <w:r>
            <w:instrText xml:space="preserve"> PAGE  \* MERGEFORMAT </w:instrText>
          </w:r>
          <w:r>
            <w:fldChar w:fldCharType="separate"/>
          </w:r>
          <w:r w:rsidR="00762D5A">
            <w:rPr>
              <w:noProof/>
            </w:rPr>
            <w:t>1</w:t>
          </w:r>
          <w:r>
            <w:fldChar w:fldCharType="end"/>
          </w:r>
        </w:p>
      </w:tc>
    </w:tr>
    <w:tr w:rsidR="00374C9E" w:rsidRPr="00D94637" w14:paraId="18D9BB9E" w14:textId="77777777" w:rsidTr="00374C9E">
      <w:trPr>
        <w:jc w:val="center"/>
      </w:trPr>
      <w:tc>
        <w:tcPr>
          <w:tcW w:w="1774" w:type="pct"/>
          <w:shd w:val="clear" w:color="auto" w:fill="auto"/>
        </w:tcPr>
        <w:p w14:paraId="15D47302" w14:textId="7780DAA3" w:rsidR="00374C9E" w:rsidRPr="00AD7BF2" w:rsidRDefault="00374C9E" w:rsidP="00D94637">
          <w:pPr>
            <w:pStyle w:val="FooterText"/>
            <w:spacing w:before="40"/>
          </w:pPr>
        </w:p>
      </w:tc>
      <w:tc>
        <w:tcPr>
          <w:tcW w:w="1455" w:type="pct"/>
          <w:gridSpan w:val="3"/>
          <w:shd w:val="clear" w:color="auto" w:fill="auto"/>
        </w:tcPr>
        <w:p w14:paraId="124CD777" w14:textId="606EB6EC" w:rsidR="00374C9E" w:rsidRPr="00AD7BF2" w:rsidRDefault="00374C9E" w:rsidP="00D204D6">
          <w:pPr>
            <w:pStyle w:val="FooterText"/>
            <w:spacing w:before="40"/>
            <w:jc w:val="center"/>
          </w:pPr>
          <w:r>
            <w:t>TREE.2.B</w:t>
          </w:r>
        </w:p>
      </w:tc>
      <w:tc>
        <w:tcPr>
          <w:tcW w:w="742" w:type="pct"/>
          <w:shd w:val="clear" w:color="auto" w:fill="auto"/>
        </w:tcPr>
        <w:p w14:paraId="28F2AB80" w14:textId="7414A8AE" w:rsidR="00374C9E" w:rsidRPr="00D94637" w:rsidRDefault="00374C9E" w:rsidP="002F0099">
          <w:pPr>
            <w:pStyle w:val="FooterText"/>
            <w:jc w:val="center"/>
            <w:rPr>
              <w:b/>
              <w:position w:val="-4"/>
              <w:sz w:val="36"/>
            </w:rPr>
          </w:pPr>
        </w:p>
      </w:tc>
      <w:tc>
        <w:tcPr>
          <w:tcW w:w="1029" w:type="pct"/>
          <w:gridSpan w:val="2"/>
          <w:shd w:val="clear" w:color="auto" w:fill="auto"/>
        </w:tcPr>
        <w:p w14:paraId="00AA1AFB" w14:textId="6FB6FFA2" w:rsidR="00374C9E" w:rsidRPr="000310C2" w:rsidRDefault="00374C9E" w:rsidP="00D94637">
          <w:pPr>
            <w:pStyle w:val="FooterText"/>
            <w:jc w:val="right"/>
            <w:rPr>
              <w:spacing w:val="-20"/>
              <w:sz w:val="16"/>
            </w:rPr>
          </w:pPr>
          <w:r>
            <w:rPr>
              <w:b/>
              <w:spacing w:val="-20"/>
              <w:position w:val="-4"/>
              <w:sz w:val="36"/>
            </w:rPr>
            <w:t>EN</w:t>
          </w:r>
        </w:p>
      </w:tc>
    </w:tr>
  </w:tbl>
  <w:p w14:paraId="04E753E0" w14:textId="77777777" w:rsidR="006E4F77" w:rsidRPr="00374C9E" w:rsidRDefault="006E4F77" w:rsidP="00374C9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4C9E" w:rsidRPr="00D94637" w14:paraId="18DC89CB" w14:textId="77777777" w:rsidTr="00374C9E">
      <w:trPr>
        <w:jc w:val="center"/>
      </w:trPr>
      <w:tc>
        <w:tcPr>
          <w:tcW w:w="5000" w:type="pct"/>
          <w:gridSpan w:val="7"/>
          <w:shd w:val="clear" w:color="auto" w:fill="auto"/>
          <w:tcMar>
            <w:top w:w="57" w:type="dxa"/>
          </w:tcMar>
        </w:tcPr>
        <w:p w14:paraId="0D9B4617" w14:textId="77777777" w:rsidR="00374C9E" w:rsidRPr="00D94637" w:rsidRDefault="00374C9E" w:rsidP="00D94637">
          <w:pPr>
            <w:pStyle w:val="FooterText"/>
            <w:pBdr>
              <w:top w:val="single" w:sz="4" w:space="1" w:color="auto"/>
            </w:pBdr>
            <w:spacing w:before="200"/>
            <w:rPr>
              <w:sz w:val="2"/>
              <w:szCs w:val="2"/>
            </w:rPr>
          </w:pPr>
        </w:p>
      </w:tc>
    </w:tr>
    <w:tr w:rsidR="00374C9E" w:rsidRPr="00B310DC" w14:paraId="0865F77A" w14:textId="77777777" w:rsidTr="00374C9E">
      <w:trPr>
        <w:jc w:val="center"/>
      </w:trPr>
      <w:tc>
        <w:tcPr>
          <w:tcW w:w="2500" w:type="pct"/>
          <w:gridSpan w:val="2"/>
          <w:shd w:val="clear" w:color="auto" w:fill="auto"/>
          <w:tcMar>
            <w:top w:w="0" w:type="dxa"/>
          </w:tcMar>
        </w:tcPr>
        <w:p w14:paraId="5F9EF561" w14:textId="430AA99F" w:rsidR="00374C9E" w:rsidRPr="00AD7BF2" w:rsidRDefault="00374C9E" w:rsidP="004F54B2">
          <w:pPr>
            <w:pStyle w:val="FooterText"/>
          </w:pPr>
          <w:r>
            <w:t>11521/1/22</w:t>
          </w:r>
          <w:r w:rsidRPr="002511D8">
            <w:t xml:space="preserve"> </w:t>
          </w:r>
          <w:r>
            <w:t>REV 1</w:t>
          </w:r>
        </w:p>
      </w:tc>
      <w:tc>
        <w:tcPr>
          <w:tcW w:w="625" w:type="pct"/>
          <w:shd w:val="clear" w:color="auto" w:fill="auto"/>
          <w:tcMar>
            <w:top w:w="0" w:type="dxa"/>
          </w:tcMar>
        </w:tcPr>
        <w:p w14:paraId="703872C3" w14:textId="77777777" w:rsidR="00374C9E" w:rsidRPr="00AD7BF2" w:rsidRDefault="00374C9E" w:rsidP="00D94637">
          <w:pPr>
            <w:pStyle w:val="FooterText"/>
            <w:jc w:val="center"/>
          </w:pPr>
        </w:p>
      </w:tc>
      <w:tc>
        <w:tcPr>
          <w:tcW w:w="1286" w:type="pct"/>
          <w:gridSpan w:val="3"/>
          <w:shd w:val="clear" w:color="auto" w:fill="auto"/>
          <w:tcMar>
            <w:top w:w="0" w:type="dxa"/>
          </w:tcMar>
        </w:tcPr>
        <w:p w14:paraId="40978B97" w14:textId="6BC7308B" w:rsidR="00374C9E" w:rsidRPr="002511D8" w:rsidRDefault="00374C9E" w:rsidP="00D94637">
          <w:pPr>
            <w:pStyle w:val="FooterText"/>
            <w:jc w:val="center"/>
          </w:pPr>
          <w:r>
            <w:t>LB/mm</w:t>
          </w:r>
        </w:p>
      </w:tc>
      <w:tc>
        <w:tcPr>
          <w:tcW w:w="589" w:type="pct"/>
          <w:shd w:val="clear" w:color="auto" w:fill="auto"/>
          <w:tcMar>
            <w:top w:w="0" w:type="dxa"/>
          </w:tcMar>
        </w:tcPr>
        <w:p w14:paraId="10D2F74D" w14:textId="070925E3" w:rsidR="00374C9E" w:rsidRPr="00B310DC" w:rsidRDefault="00374C9E" w:rsidP="00374C9E">
          <w:pPr>
            <w:pStyle w:val="FooterText"/>
            <w:jc w:val="right"/>
          </w:pPr>
          <w:r>
            <w:fldChar w:fldCharType="begin"/>
          </w:r>
          <w:r>
            <w:instrText xml:space="preserve"> PAGE  \* MERGEFORMAT </w:instrText>
          </w:r>
          <w:r>
            <w:fldChar w:fldCharType="separate"/>
          </w:r>
          <w:r w:rsidR="00762D5A">
            <w:rPr>
              <w:noProof/>
            </w:rPr>
            <w:t>6</w:t>
          </w:r>
          <w:r>
            <w:fldChar w:fldCharType="end"/>
          </w:r>
        </w:p>
      </w:tc>
    </w:tr>
    <w:tr w:rsidR="00374C9E" w:rsidRPr="00D94637" w14:paraId="6A3005AF" w14:textId="77777777" w:rsidTr="00374C9E">
      <w:trPr>
        <w:jc w:val="center"/>
      </w:trPr>
      <w:tc>
        <w:tcPr>
          <w:tcW w:w="1774" w:type="pct"/>
          <w:shd w:val="clear" w:color="auto" w:fill="auto"/>
        </w:tcPr>
        <w:p w14:paraId="4AD3C721" w14:textId="643FEF0D" w:rsidR="00374C9E" w:rsidRPr="00AD7BF2" w:rsidRDefault="00374C9E" w:rsidP="00D94637">
          <w:pPr>
            <w:pStyle w:val="FooterText"/>
            <w:spacing w:before="40"/>
          </w:pPr>
          <w:r>
            <w:t>ANNEX</w:t>
          </w:r>
        </w:p>
      </w:tc>
      <w:tc>
        <w:tcPr>
          <w:tcW w:w="1455" w:type="pct"/>
          <w:gridSpan w:val="3"/>
          <w:shd w:val="clear" w:color="auto" w:fill="auto"/>
        </w:tcPr>
        <w:p w14:paraId="398B2597" w14:textId="3A554BC0" w:rsidR="00374C9E" w:rsidRPr="00AD7BF2" w:rsidRDefault="00374C9E" w:rsidP="00D204D6">
          <w:pPr>
            <w:pStyle w:val="FooterText"/>
            <w:spacing w:before="40"/>
            <w:jc w:val="center"/>
          </w:pPr>
          <w:r>
            <w:t>TREE.2.B</w:t>
          </w:r>
        </w:p>
      </w:tc>
      <w:tc>
        <w:tcPr>
          <w:tcW w:w="742" w:type="pct"/>
          <w:shd w:val="clear" w:color="auto" w:fill="auto"/>
        </w:tcPr>
        <w:p w14:paraId="2A2DDB36" w14:textId="63747127" w:rsidR="00374C9E" w:rsidRPr="00D94637" w:rsidRDefault="00374C9E" w:rsidP="002F0099">
          <w:pPr>
            <w:pStyle w:val="FooterText"/>
            <w:jc w:val="center"/>
            <w:rPr>
              <w:b/>
              <w:position w:val="-4"/>
              <w:sz w:val="36"/>
            </w:rPr>
          </w:pPr>
        </w:p>
      </w:tc>
      <w:tc>
        <w:tcPr>
          <w:tcW w:w="1029" w:type="pct"/>
          <w:gridSpan w:val="2"/>
          <w:shd w:val="clear" w:color="auto" w:fill="auto"/>
        </w:tcPr>
        <w:p w14:paraId="3C3F79CA" w14:textId="38CE05FE" w:rsidR="00374C9E" w:rsidRPr="000310C2" w:rsidRDefault="00374C9E" w:rsidP="00D94637">
          <w:pPr>
            <w:pStyle w:val="FooterText"/>
            <w:jc w:val="right"/>
            <w:rPr>
              <w:spacing w:val="-20"/>
              <w:sz w:val="16"/>
            </w:rPr>
          </w:pPr>
          <w:r>
            <w:rPr>
              <w:b/>
              <w:spacing w:val="-20"/>
              <w:position w:val="-4"/>
              <w:sz w:val="36"/>
            </w:rPr>
            <w:t>EN</w:t>
          </w:r>
        </w:p>
      </w:tc>
    </w:tr>
  </w:tbl>
  <w:p w14:paraId="12EC6CD2" w14:textId="77777777" w:rsidR="00731D55" w:rsidRPr="00374C9E" w:rsidRDefault="00731D55" w:rsidP="00374C9E">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5D49" w14:textId="77777777" w:rsidR="009A1649" w:rsidRDefault="009A1649" w:rsidP="00BE4A4E">
      <w:pPr>
        <w:spacing w:before="0" w:after="0" w:line="240" w:lineRule="auto"/>
      </w:pPr>
      <w:r>
        <w:separator/>
      </w:r>
    </w:p>
  </w:footnote>
  <w:footnote w:type="continuationSeparator" w:id="0">
    <w:p w14:paraId="21BA772D" w14:textId="77777777" w:rsidR="009A1649" w:rsidRDefault="009A1649" w:rsidP="00BE4A4E">
      <w:pPr>
        <w:spacing w:before="0" w:after="0" w:line="240" w:lineRule="auto"/>
      </w:pPr>
      <w:r>
        <w:continuationSeparator/>
      </w:r>
    </w:p>
  </w:footnote>
  <w:footnote w:type="continuationNotice" w:id="1">
    <w:p w14:paraId="4521EB59" w14:textId="77777777" w:rsidR="009A1649" w:rsidRDefault="009A1649">
      <w:pPr>
        <w:spacing w:before="0" w:after="0"/>
      </w:pPr>
    </w:p>
  </w:footnote>
  <w:footnote w:id="2">
    <w:p w14:paraId="0ABAFF63" w14:textId="77777777" w:rsidR="00AC24BA" w:rsidRPr="00882F62" w:rsidRDefault="00AC24BA" w:rsidP="00381F89">
      <w:pPr>
        <w:pStyle w:val="FootnoteText"/>
        <w:rPr>
          <w:rFonts w:eastAsia="Calibri"/>
        </w:rPr>
      </w:pPr>
      <w:r w:rsidRPr="33DA50C2">
        <w:rPr>
          <w:rStyle w:val="FootnoteReference"/>
          <w:rFonts w:eastAsia="Calibri"/>
        </w:rPr>
        <w:footnoteRef/>
      </w:r>
      <w:r w:rsidRPr="00BE4A4E">
        <w:rPr>
          <w:rFonts w:eastAsia="Calibri"/>
        </w:rPr>
        <w:tab/>
      </w:r>
      <w:r w:rsidRPr="009025C2">
        <w:rPr>
          <w:rFonts w:eastAsia="Calibri"/>
          <w:sz w:val="20"/>
        </w:rPr>
        <w:t>Communication from the Commission to the European Parliament, the European Council, the Council, the European Economic and Social Committee and the Committee of the Regions REPowerEU Plan (COM/2022/230 final).</w:t>
      </w:r>
    </w:p>
  </w:footnote>
  <w:footnote w:id="3">
    <w:p w14:paraId="42E42B04" w14:textId="77777777" w:rsidR="36321620" w:rsidRDefault="36321620" w:rsidP="009025C2">
      <w:pPr>
        <w:spacing w:line="240" w:lineRule="auto"/>
        <w:ind w:left="709" w:hanging="709"/>
        <w:rPr>
          <w:rFonts w:eastAsia="Calibri"/>
        </w:rPr>
      </w:pPr>
      <w:r w:rsidRPr="00E7672C">
        <w:rPr>
          <w:rStyle w:val="FootnoteReference"/>
        </w:rPr>
        <w:footnoteRef/>
      </w:r>
      <w:r w:rsidRPr="00BE4A4E">
        <w:tab/>
      </w:r>
      <w:r w:rsidRPr="009025C2">
        <w:rPr>
          <w:rFonts w:eastAsia="Times New Roman"/>
          <w:sz w:val="20"/>
          <w:szCs w:val="20"/>
          <w:lang w:val="en-IE"/>
        </w:rPr>
        <w:t>Regulation (EU) 2022/1032 of the European Parliament and of the Council</w:t>
      </w:r>
      <w:r w:rsidRPr="009025C2">
        <w:rPr>
          <w:rFonts w:eastAsia="Times New Roman"/>
          <w:sz w:val="20"/>
          <w:szCs w:val="20"/>
          <w:vertAlign w:val="superscript"/>
          <w:lang w:val="en-IE"/>
        </w:rPr>
        <w:t>[1]</w:t>
      </w:r>
      <w:r w:rsidRPr="009025C2">
        <w:rPr>
          <w:rFonts w:eastAsia="Times New Roman"/>
          <w:sz w:val="20"/>
          <w:szCs w:val="20"/>
          <w:lang w:val="en-IE"/>
        </w:rPr>
        <w:t xml:space="preserve"> of 29 June 2022 amending Regulations (EU) 2017/1938 and (EC) No 715/2009 with regard to gas storage (</w:t>
      </w:r>
      <w:r w:rsidRPr="009025C2">
        <w:rPr>
          <w:rFonts w:eastAsia="Times New Roman"/>
          <w:sz w:val="20"/>
          <w:szCs w:val="20"/>
        </w:rPr>
        <w:t>OJ L 173, 30.6.2022, p. 17).</w:t>
      </w:r>
      <w:r w:rsidR="00E7672C" w:rsidRPr="00BE4A4E">
        <w:rPr>
          <w:rFonts w:eastAsia="Calibri"/>
        </w:rPr>
        <w:t xml:space="preserve"> </w:t>
      </w:r>
    </w:p>
  </w:footnote>
  <w:footnote w:id="4">
    <w:p w14:paraId="46531F2E" w14:textId="77777777" w:rsidR="00AC24BA" w:rsidRDefault="00AC24BA" w:rsidP="00381F89">
      <w:pPr>
        <w:pStyle w:val="FootnoteText"/>
        <w:rPr>
          <w:rFonts w:eastAsia="Calibri"/>
        </w:rPr>
      </w:pPr>
      <w:r w:rsidRPr="00381F89">
        <w:rPr>
          <w:rStyle w:val="FootnoteReference"/>
        </w:rPr>
        <w:footnoteRef/>
      </w:r>
      <w:r w:rsidRPr="00BE4A4E">
        <w:rPr>
          <w:rFonts w:eastAsia="Calibri"/>
        </w:rPr>
        <w:tab/>
      </w:r>
      <w:r w:rsidRPr="009025C2">
        <w:rPr>
          <w:sz w:val="20"/>
        </w:rPr>
        <w:t>Regulation (EU) 2017/1938 of the European Parliament and of the Council of 25 October 2017 concerning measures to safeguard the security of gas supply and repealing Regulation (EU) No 994/2010.</w:t>
      </w:r>
    </w:p>
  </w:footnote>
  <w:footnote w:id="5">
    <w:p w14:paraId="1427A4B8" w14:textId="77777777" w:rsidR="00C668DE" w:rsidRDefault="00C668DE" w:rsidP="00C668DE">
      <w:pPr>
        <w:pStyle w:val="FootnoteText"/>
        <w:rPr>
          <w:rFonts w:eastAsia="Calibri"/>
        </w:rPr>
      </w:pPr>
      <w:r w:rsidRPr="00381F89">
        <w:rPr>
          <w:rStyle w:val="FootnoteReference"/>
        </w:rPr>
        <w:footnoteRef/>
      </w:r>
      <w:r>
        <w:rPr>
          <w:rFonts w:eastAsia="Calibri"/>
        </w:rPr>
        <w:tab/>
      </w:r>
      <w:r w:rsidRPr="33DA50C2">
        <w:rPr>
          <w:rFonts w:eastAsia="Calibri"/>
        </w:rPr>
        <w:t>Judgment in Case C-848/19 P (Germany v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2667" w14:textId="77777777" w:rsidR="006D45B9" w:rsidRPr="00374C9E" w:rsidRDefault="006D45B9" w:rsidP="0037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5908" w14:textId="52AACBBD" w:rsidR="002A3E84" w:rsidRPr="00374C9E" w:rsidRDefault="00374C9E" w:rsidP="00374C9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DC5D" w14:textId="1DF25C16" w:rsidR="002A3E84" w:rsidRPr="00374C9E" w:rsidRDefault="00374C9E" w:rsidP="00374C9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E3D8" w14:textId="0E5E41ED" w:rsidR="00BE4A4E" w:rsidRPr="00374C9E" w:rsidRDefault="00BE4A4E" w:rsidP="00374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91833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FBA6D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448523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FAAB64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F8E0B7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1E0831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61AF2C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A7A9B1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6"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7"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29" w15:restartNumberingAfterBreak="0">
    <w:nsid w:val="5B5A56B5"/>
    <w:multiLevelType w:val="hybridMultilevel"/>
    <w:tmpl w:val="59CEC9B4"/>
    <w:lvl w:ilvl="0" w:tplc="502E74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1"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1"/>
  </w:num>
  <w:num w:numId="10">
    <w:abstractNumId w:val="20"/>
  </w:num>
  <w:num w:numId="11">
    <w:abstractNumId w:val="35"/>
  </w:num>
  <w:num w:numId="12">
    <w:abstractNumId w:val="19"/>
  </w:num>
  <w:num w:numId="13">
    <w:abstractNumId w:val="21"/>
  </w:num>
  <w:num w:numId="14">
    <w:abstractNumId w:val="22"/>
  </w:num>
  <w:num w:numId="15">
    <w:abstractNumId w:val="15"/>
  </w:num>
  <w:num w:numId="16">
    <w:abstractNumId w:val="33"/>
  </w:num>
  <w:num w:numId="17">
    <w:abstractNumId w:val="13"/>
  </w:num>
  <w:num w:numId="18">
    <w:abstractNumId w:val="24"/>
  </w:num>
  <w:num w:numId="19">
    <w:abstractNumId w:val="43"/>
  </w:num>
  <w:num w:numId="20">
    <w:abstractNumId w:val="37"/>
  </w:num>
  <w:num w:numId="21">
    <w:abstractNumId w:val="9"/>
  </w:num>
  <w:num w:numId="22">
    <w:abstractNumId w:val="38"/>
  </w:num>
  <w:num w:numId="23">
    <w:abstractNumId w:val="32"/>
  </w:num>
  <w:num w:numId="24">
    <w:abstractNumId w:val="10"/>
  </w:num>
  <w:num w:numId="25">
    <w:abstractNumId w:val="40"/>
  </w:num>
  <w:num w:numId="26">
    <w:abstractNumId w:val="42"/>
  </w:num>
  <w:num w:numId="27">
    <w:abstractNumId w:val="26"/>
  </w:num>
  <w:num w:numId="28">
    <w:abstractNumId w:val="39"/>
  </w:num>
  <w:num w:numId="29">
    <w:abstractNumId w:val="34"/>
  </w:num>
  <w:num w:numId="30">
    <w:abstractNumId w:val="23"/>
  </w:num>
  <w:num w:numId="31">
    <w:abstractNumId w:val="14"/>
  </w:num>
  <w:num w:numId="32">
    <w:abstractNumId w:val="12"/>
  </w:num>
  <w:num w:numId="33">
    <w:abstractNumId w:val="36"/>
  </w:num>
  <w:num w:numId="34">
    <w:abstractNumId w:val="41"/>
  </w:num>
  <w:num w:numId="35">
    <w:abstractNumId w:val="8"/>
  </w:num>
  <w:num w:numId="36">
    <w:abstractNumId w:val="16"/>
  </w:num>
  <w:num w:numId="37">
    <w:abstractNumId w:val="11"/>
  </w:num>
  <w:num w:numId="38">
    <w:abstractNumId w:val="17"/>
  </w:num>
  <w:num w:numId="39">
    <w:abstractNumId w:val="27"/>
  </w:num>
  <w:num w:numId="40">
    <w:abstractNumId w:val="8"/>
  </w:num>
  <w:num w:numId="41">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51201"/>
  </w:hdrShapeDefaults>
  <w:footnotePr>
    <w:numRestart w:val="eachPage"/>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DocuWriteMetaData" w:val="&lt;metadataset docuwriteversion=&quot;4.6.7&quot; technicalblockguid=&quot;520476009736022868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57&quot; text=&quot;REPORT&quot; /&gt;_x000d__x000a_    &lt;/basicdatatype&gt;_x000d__x000a_  &lt;/metadata&gt;_x000d__x000a_  &lt;metadata key=&quot;md_HeadingText&quot;&gt;_x000d__x000a_    &lt;headingtext text=&quot;REPORT&quot;&gt;_x000d__x000a_      &lt;formattedtext&gt;_x000d__x000a_        &lt;xaml text=&quot;REPORT&quot;&gt;&amp;lt;FlowDocument xmlns=&quot;http://schemas.microsoft.com/winfx/2006/xaml/presentation&quot;&amp;gt;&amp;lt;Paragraph&amp;gt;REPORT&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7-22&lt;/text&gt;_x000d__x000a_  &lt;/metadata&gt;_x000d__x000a_  &lt;metadata key=&quot;md_Prefix&quot;&gt;_x000d__x000a_    &lt;text&gt;&lt;/text&gt;_x000d__x000a_  &lt;/metadata&gt;_x000d__x000a_  &lt;metadata key=&quot;md_DocumentNumber&quot;&gt;_x000d__x000a_    &lt;text&gt;11521&lt;/text&gt;_x000d__x000a_  &lt;/metadata&gt;_x000d__x000a_  &lt;metadata key=&quot;md_YearDocumentNumber&quot;&gt;_x000d__x000a_    &lt;text&gt;2022&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ER 377&lt;/text&gt;_x000d__x000a_      &lt;text&gt;ENV 766&lt;/text&gt;_x000d__x000a_      &lt;text&gt;CLIMA 378&lt;/text&gt;_x000d__x000a_      &lt;text&gt;IND 300&lt;/text&gt;_x000d__x000a_      &lt;text&gt;RECH 452&lt;/text&gt;_x000d__x000a_      &lt;text&gt;COMPET 620&lt;/text&gt;_x000d__x000a_      &lt;text&gt;ECOFIN 752&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22/0225(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9&quot; text=&quot;Permanent Representatives Committee (Part 1)&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lt;/text&gt;_x000d__x000a_  &lt;/metadata&gt;_x000d__x000a_  &lt;metadata key=&quot;md_Subject&quot;&gt;_x000d__x000a_    &lt;xaml text=&quot;Proposal for a COUNCIL REGULATION on coordinated demand reduction measures for gas&quot;&gt;&amp;lt;FlowDocument FontFamily=&quot;Segoe UI&quot; FontSize=&quot;12&quot; PagePadding=&quot;2,2,2,2&quot; AllowDrop=&quot;False&quot; xmlns=&quot;http://schemas.microsoft.com/winfx/2006/xaml/presentation&quot;&amp;gt;&amp;lt;Paragraph&amp;gt;Proposal for a COUNCIL REGULATION on coordinated demand reduction measures for gas&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LB/m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GULATION&lt;/text&gt;_x000d__x000a_  &lt;/metadata&gt;_x000d__x000a_  &lt;metadata key=&quot;md_SourceDocTitle&quot;&gt;_x000d__x000a_    &lt;text&gt;on coordinated demand reduction measures for gas&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NB5&quot;&gt;_x000d__x000a_    &lt;text&gt;&lt;/text&gt;_x000d__x000a_  &lt;/metadata&gt;_x000d__x000a_  &lt;metadata key=&quot;md_CustomNB&quot;&gt;_x000d__x000a_    &lt;textlist /&gt;_x000d__x000a_  &lt;/metadata&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6.7&quot; technicalblockguid=&quot;530893406032546595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7-22&lt;/text&gt;_x000d__x000a_  &lt;/metadata&gt;_x000d__x000a_  &lt;metadata key=&quot;md_Prefix&quot;&gt;_x000d__x000a_    &lt;text&gt;&lt;/text&gt;_x000d__x000a_  &lt;/metadata&gt;_x000d__x000a_  &lt;metadata key=&quot;md_DocumentNumber&quot;&gt;_x000d__x000a_    &lt;text&gt;11521&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ER 377&lt;/text&gt;_x000d__x000a_      &lt;text&gt;ENV 766&lt;/text&gt;_x000d__x000a_      &lt;text&gt;CLIMA 378&lt;/text&gt;_x000d__x000a_      &lt;text&gt;IND 300&lt;/text&gt;_x000d__x000a_      &lt;text&gt;RECH 452&lt;/text&gt;_x000d__x000a_      &lt;text&gt;COMPET 620&lt;/text&gt;_x000d__x000a_      &lt;text&gt;ECOFIN 75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25(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COUNCIL REGULATION on coordinated demand reduction measures for gas&quot;&gt;&amp;lt;FlowDocument FontFamily=&quot;Segoe UI&quot; FontSize=&quot;12&quot; PagePadding=&quot;2,2,2,2&quot; AllowDrop=&quot;False&quot; xmlns=&quot;http://schemas.microsoft.com/winfx/2006/xaml/presentation&quot;&amp;gt;&amp;lt;Paragraph&amp;gt;Proposal for a COUNCIL REGULATION on coordinated demand reduction measures for gas&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BL/m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GULATION&lt;/text&gt;_x000d__x000a_  &lt;/metadata&gt;_x000d__x000a_  &lt;metadata key=&quot;md_SourceDocTitle&quot;&gt;_x000d__x000a_    &lt;text&gt;on coordinated demand reduction measures for gas&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2-07-19 23:05:27"/>
    <w:docVar w:name="DQCHighlighting" w:val="1"/>
    <w:docVar w:name="DQCResult_Distribution" w:val="2;0"/>
    <w:docVar w:name="DQCResult_DocumentContent" w:val="0;0"/>
    <w:docVar w:name="DQCResult_DocumentSize"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3"/>
    <w:docVar w:name="DQCWithWarnings" w:val="1"/>
    <w:docVar w:name="DW_AutoOpen" w:val="True"/>
    <w:docVar w:name="DW_DocType" w:val="DW_COUNCIL"/>
    <w:docVar w:name="LwApiVersions" w:val="LW4CoDe 1.23.2.0; LW 8.0, Build 20211117"/>
  </w:docVars>
  <w:rsids>
    <w:rsidRoot w:val="00B748AE"/>
    <w:rsid w:val="000325C9"/>
    <w:rsid w:val="000457BA"/>
    <w:rsid w:val="00053BB1"/>
    <w:rsid w:val="00061C7B"/>
    <w:rsid w:val="00071528"/>
    <w:rsid w:val="0007669E"/>
    <w:rsid w:val="00093DCE"/>
    <w:rsid w:val="000A6B02"/>
    <w:rsid w:val="000B7A7D"/>
    <w:rsid w:val="000C0C44"/>
    <w:rsid w:val="001013C9"/>
    <w:rsid w:val="00142C17"/>
    <w:rsid w:val="00146A28"/>
    <w:rsid w:val="00152894"/>
    <w:rsid w:val="00153B72"/>
    <w:rsid w:val="00154F48"/>
    <w:rsid w:val="00176D02"/>
    <w:rsid w:val="0017E2FD"/>
    <w:rsid w:val="0019256F"/>
    <w:rsid w:val="001B06CF"/>
    <w:rsid w:val="001D2EDF"/>
    <w:rsid w:val="001D5CA1"/>
    <w:rsid w:val="001D5F70"/>
    <w:rsid w:val="002366DA"/>
    <w:rsid w:val="0024595C"/>
    <w:rsid w:val="00250713"/>
    <w:rsid w:val="00260D08"/>
    <w:rsid w:val="00282401"/>
    <w:rsid w:val="0028785D"/>
    <w:rsid w:val="002A2E56"/>
    <w:rsid w:val="002A3E84"/>
    <w:rsid w:val="002B12E1"/>
    <w:rsid w:val="002B6B4A"/>
    <w:rsid w:val="002E1C4D"/>
    <w:rsid w:val="002E732F"/>
    <w:rsid w:val="00313ED7"/>
    <w:rsid w:val="00352143"/>
    <w:rsid w:val="00361E58"/>
    <w:rsid w:val="00362B91"/>
    <w:rsid w:val="00374C9E"/>
    <w:rsid w:val="00381F89"/>
    <w:rsid w:val="00396ACD"/>
    <w:rsid w:val="003973DD"/>
    <w:rsid w:val="003C240F"/>
    <w:rsid w:val="003D5387"/>
    <w:rsid w:val="003E3F13"/>
    <w:rsid w:val="003F291D"/>
    <w:rsid w:val="00437AA5"/>
    <w:rsid w:val="0045615D"/>
    <w:rsid w:val="00457855"/>
    <w:rsid w:val="00492396"/>
    <w:rsid w:val="00495511"/>
    <w:rsid w:val="004B10C7"/>
    <w:rsid w:val="004D5FB9"/>
    <w:rsid w:val="004E19F9"/>
    <w:rsid w:val="004F6E6A"/>
    <w:rsid w:val="00517205"/>
    <w:rsid w:val="00536C8D"/>
    <w:rsid w:val="00537B7D"/>
    <w:rsid w:val="00542487"/>
    <w:rsid w:val="00551D28"/>
    <w:rsid w:val="00552B5C"/>
    <w:rsid w:val="00554BD3"/>
    <w:rsid w:val="00582810"/>
    <w:rsid w:val="00584690"/>
    <w:rsid w:val="00594435"/>
    <w:rsid w:val="00595540"/>
    <w:rsid w:val="005A767C"/>
    <w:rsid w:val="005B1124"/>
    <w:rsid w:val="005B5FA6"/>
    <w:rsid w:val="005D30F1"/>
    <w:rsid w:val="005E22D9"/>
    <w:rsid w:val="005F5E14"/>
    <w:rsid w:val="006524BF"/>
    <w:rsid w:val="006654AB"/>
    <w:rsid w:val="0067005B"/>
    <w:rsid w:val="0068116B"/>
    <w:rsid w:val="006A35D4"/>
    <w:rsid w:val="006D45B9"/>
    <w:rsid w:val="006D74C1"/>
    <w:rsid w:val="006E4F77"/>
    <w:rsid w:val="006F7EFE"/>
    <w:rsid w:val="00731D55"/>
    <w:rsid w:val="00732876"/>
    <w:rsid w:val="00743AF0"/>
    <w:rsid w:val="00754903"/>
    <w:rsid w:val="00755919"/>
    <w:rsid w:val="00762D5A"/>
    <w:rsid w:val="00776D36"/>
    <w:rsid w:val="00780BC1"/>
    <w:rsid w:val="00781DCC"/>
    <w:rsid w:val="007C004D"/>
    <w:rsid w:val="007C488C"/>
    <w:rsid w:val="007C5FB0"/>
    <w:rsid w:val="007D0861"/>
    <w:rsid w:val="007D2883"/>
    <w:rsid w:val="007E010B"/>
    <w:rsid w:val="007E3A02"/>
    <w:rsid w:val="00802FC2"/>
    <w:rsid w:val="00811218"/>
    <w:rsid w:val="00817982"/>
    <w:rsid w:val="0087027D"/>
    <w:rsid w:val="00884DE6"/>
    <w:rsid w:val="0088650C"/>
    <w:rsid w:val="008A28F4"/>
    <w:rsid w:val="008B1BDA"/>
    <w:rsid w:val="008E119D"/>
    <w:rsid w:val="008E2694"/>
    <w:rsid w:val="009025C2"/>
    <w:rsid w:val="00940731"/>
    <w:rsid w:val="00961844"/>
    <w:rsid w:val="00965CC7"/>
    <w:rsid w:val="009720D1"/>
    <w:rsid w:val="009800EB"/>
    <w:rsid w:val="0098065F"/>
    <w:rsid w:val="009922ED"/>
    <w:rsid w:val="00993126"/>
    <w:rsid w:val="009957C5"/>
    <w:rsid w:val="009A1649"/>
    <w:rsid w:val="009F26A3"/>
    <w:rsid w:val="00A146F8"/>
    <w:rsid w:val="00A230E6"/>
    <w:rsid w:val="00A31553"/>
    <w:rsid w:val="00A565C7"/>
    <w:rsid w:val="00A93F0B"/>
    <w:rsid w:val="00A97F32"/>
    <w:rsid w:val="00AA0D50"/>
    <w:rsid w:val="00AA4E6F"/>
    <w:rsid w:val="00AC24BA"/>
    <w:rsid w:val="00AC6C5B"/>
    <w:rsid w:val="00AF65AD"/>
    <w:rsid w:val="00B02985"/>
    <w:rsid w:val="00B22AFA"/>
    <w:rsid w:val="00B5785E"/>
    <w:rsid w:val="00B63B7C"/>
    <w:rsid w:val="00B72EBE"/>
    <w:rsid w:val="00B748AE"/>
    <w:rsid w:val="00B80E5B"/>
    <w:rsid w:val="00B9242D"/>
    <w:rsid w:val="00BC40FF"/>
    <w:rsid w:val="00BE4A4E"/>
    <w:rsid w:val="00BF755B"/>
    <w:rsid w:val="00C13307"/>
    <w:rsid w:val="00C3731F"/>
    <w:rsid w:val="00C46FEB"/>
    <w:rsid w:val="00C668DE"/>
    <w:rsid w:val="00C70C9F"/>
    <w:rsid w:val="00C75634"/>
    <w:rsid w:val="00C76F97"/>
    <w:rsid w:val="00CE0F22"/>
    <w:rsid w:val="00D00406"/>
    <w:rsid w:val="00D1523F"/>
    <w:rsid w:val="00D31742"/>
    <w:rsid w:val="00D37E94"/>
    <w:rsid w:val="00D43417"/>
    <w:rsid w:val="00D524F7"/>
    <w:rsid w:val="00D726FB"/>
    <w:rsid w:val="00DA071C"/>
    <w:rsid w:val="00DA3321"/>
    <w:rsid w:val="00DA6B63"/>
    <w:rsid w:val="00DB4B20"/>
    <w:rsid w:val="00DC7B28"/>
    <w:rsid w:val="00DF2904"/>
    <w:rsid w:val="00E07235"/>
    <w:rsid w:val="00E33C9F"/>
    <w:rsid w:val="00E7672C"/>
    <w:rsid w:val="00E80319"/>
    <w:rsid w:val="00E979AB"/>
    <w:rsid w:val="00EC39BC"/>
    <w:rsid w:val="00ED08EE"/>
    <w:rsid w:val="00EE140B"/>
    <w:rsid w:val="00EF6CB2"/>
    <w:rsid w:val="00F06978"/>
    <w:rsid w:val="00F26610"/>
    <w:rsid w:val="00F54CA7"/>
    <w:rsid w:val="00FA2B8F"/>
    <w:rsid w:val="00FC2396"/>
    <w:rsid w:val="00FC4DA5"/>
    <w:rsid w:val="010B8432"/>
    <w:rsid w:val="02DE8AB1"/>
    <w:rsid w:val="02FC5769"/>
    <w:rsid w:val="030776B5"/>
    <w:rsid w:val="044E5553"/>
    <w:rsid w:val="04EB5420"/>
    <w:rsid w:val="059EF694"/>
    <w:rsid w:val="0719B20D"/>
    <w:rsid w:val="077AC5B6"/>
    <w:rsid w:val="0822F4E2"/>
    <w:rsid w:val="08965094"/>
    <w:rsid w:val="0984C14A"/>
    <w:rsid w:val="099232E3"/>
    <w:rsid w:val="0A3856DD"/>
    <w:rsid w:val="0BED2330"/>
    <w:rsid w:val="0C35303A"/>
    <w:rsid w:val="0C5E54CE"/>
    <w:rsid w:val="0CD9C961"/>
    <w:rsid w:val="0E3F0A10"/>
    <w:rsid w:val="0E58326D"/>
    <w:rsid w:val="0E7E5C29"/>
    <w:rsid w:val="0F95F590"/>
    <w:rsid w:val="1176AAD2"/>
    <w:rsid w:val="11B64F84"/>
    <w:rsid w:val="125C64B4"/>
    <w:rsid w:val="1342D7B7"/>
    <w:rsid w:val="16578D8E"/>
    <w:rsid w:val="182DB064"/>
    <w:rsid w:val="1830ADA1"/>
    <w:rsid w:val="189EE202"/>
    <w:rsid w:val="1934A767"/>
    <w:rsid w:val="1994C989"/>
    <w:rsid w:val="1A312450"/>
    <w:rsid w:val="1B6F6B8D"/>
    <w:rsid w:val="1D14B3C3"/>
    <w:rsid w:val="1D7488CC"/>
    <w:rsid w:val="1E59D348"/>
    <w:rsid w:val="1E93AB12"/>
    <w:rsid w:val="1EDAC59A"/>
    <w:rsid w:val="1F129A67"/>
    <w:rsid w:val="1FD87440"/>
    <w:rsid w:val="233E1AC2"/>
    <w:rsid w:val="29F336CB"/>
    <w:rsid w:val="2C12F10D"/>
    <w:rsid w:val="2D2AD78D"/>
    <w:rsid w:val="2EABE7DD"/>
    <w:rsid w:val="2F7BE667"/>
    <w:rsid w:val="2F7FF033"/>
    <w:rsid w:val="300E7C30"/>
    <w:rsid w:val="318CB5EE"/>
    <w:rsid w:val="339A1911"/>
    <w:rsid w:val="33D7786C"/>
    <w:rsid w:val="3400AAC4"/>
    <w:rsid w:val="342C6A2F"/>
    <w:rsid w:val="357348CD"/>
    <w:rsid w:val="35BD1B44"/>
    <w:rsid w:val="35CE561B"/>
    <w:rsid w:val="35F3AAF6"/>
    <w:rsid w:val="36321620"/>
    <w:rsid w:val="370F192E"/>
    <w:rsid w:val="3758EBA5"/>
    <w:rsid w:val="38735326"/>
    <w:rsid w:val="39C0AAE9"/>
    <w:rsid w:val="3A46B9F0"/>
    <w:rsid w:val="3A908C67"/>
    <w:rsid w:val="3AA9B4C4"/>
    <w:rsid w:val="3B844F5A"/>
    <w:rsid w:val="3C4EEF1C"/>
    <w:rsid w:val="3D3B11A2"/>
    <w:rsid w:val="3D40FB57"/>
    <w:rsid w:val="3DD5BB68"/>
    <w:rsid w:val="3DE15586"/>
    <w:rsid w:val="3EADE70B"/>
    <w:rsid w:val="3EC96C4D"/>
    <w:rsid w:val="4108C8A3"/>
    <w:rsid w:val="43B03CDB"/>
    <w:rsid w:val="43C177B2"/>
    <w:rsid w:val="44376EAD"/>
    <w:rsid w:val="4450970A"/>
    <w:rsid w:val="448AD771"/>
    <w:rsid w:val="45799957"/>
    <w:rsid w:val="48EE2106"/>
    <w:rsid w:val="49907790"/>
    <w:rsid w:val="4A1F7E5F"/>
    <w:rsid w:val="4B670FD5"/>
    <w:rsid w:val="4BBB4EC0"/>
    <w:rsid w:val="4D8043B5"/>
    <w:rsid w:val="4E31B9B7"/>
    <w:rsid w:val="4F9349B1"/>
    <w:rsid w:val="512F783E"/>
    <w:rsid w:val="517147FF"/>
    <w:rsid w:val="517A9550"/>
    <w:rsid w:val="52271BFD"/>
    <w:rsid w:val="5297BFB8"/>
    <w:rsid w:val="52A60B52"/>
    <w:rsid w:val="53C660A5"/>
    <w:rsid w:val="53CBAEC5"/>
    <w:rsid w:val="544D9277"/>
    <w:rsid w:val="54E3482C"/>
    <w:rsid w:val="552409C0"/>
    <w:rsid w:val="5644B922"/>
    <w:rsid w:val="570E3841"/>
    <w:rsid w:val="59610CF3"/>
    <w:rsid w:val="59F57492"/>
    <w:rsid w:val="5AEF6123"/>
    <w:rsid w:val="5B88BD57"/>
    <w:rsid w:val="5B9C1426"/>
    <w:rsid w:val="5BD1728A"/>
    <w:rsid w:val="5C1E558A"/>
    <w:rsid w:val="5CD531B4"/>
    <w:rsid w:val="5D3B2C78"/>
    <w:rsid w:val="5D72E3A4"/>
    <w:rsid w:val="5DB8D6B2"/>
    <w:rsid w:val="5E93CB83"/>
    <w:rsid w:val="5EB77E4D"/>
    <w:rsid w:val="5FD471C4"/>
    <w:rsid w:val="5FE3ADE2"/>
    <w:rsid w:val="6072CD3A"/>
    <w:rsid w:val="60A95CEC"/>
    <w:rsid w:val="63A28076"/>
    <w:rsid w:val="6451E80F"/>
    <w:rsid w:val="653E50D7"/>
    <w:rsid w:val="65E9445A"/>
    <w:rsid w:val="66983C47"/>
    <w:rsid w:val="66DA2138"/>
    <w:rsid w:val="66E20EBE"/>
    <w:rsid w:val="66F34995"/>
    <w:rsid w:val="6863624D"/>
    <w:rsid w:val="687D58BA"/>
    <w:rsid w:val="6AEB6071"/>
    <w:rsid w:val="6BB57FE1"/>
    <w:rsid w:val="6D6EB797"/>
    <w:rsid w:val="6DFCEDA2"/>
    <w:rsid w:val="6E5E014B"/>
    <w:rsid w:val="6EED20A3"/>
    <w:rsid w:val="6F98BE03"/>
    <w:rsid w:val="7081037E"/>
    <w:rsid w:val="70B6F173"/>
    <w:rsid w:val="71348E64"/>
    <w:rsid w:val="726C8573"/>
    <w:rsid w:val="7459197B"/>
    <w:rsid w:val="773272EF"/>
    <w:rsid w:val="7804E391"/>
    <w:rsid w:val="7835F5AB"/>
    <w:rsid w:val="797FD856"/>
    <w:rsid w:val="79D1C60C"/>
    <w:rsid w:val="7B4471D9"/>
    <w:rsid w:val="7BB6AAAE"/>
    <w:rsid w:val="7C7B0B44"/>
    <w:rsid w:val="7E7C129B"/>
    <w:rsid w:val="7F03446D"/>
    <w:rsid w:val="7F6FB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DEA736"/>
  <w15:docId w15:val="{CED8D370-1065-4FCB-A6D0-E3294C5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16"/>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16"/>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48AE"/>
  </w:style>
  <w:style w:type="character" w:customStyle="1" w:styleId="eop">
    <w:name w:val="eop"/>
    <w:basedOn w:val="DefaultParagraphFont"/>
    <w:rsid w:val="00FA2B8F"/>
  </w:style>
  <w:style w:type="paragraph" w:styleId="ListParagraph">
    <w:name w:val="List Paragraph"/>
    <w:basedOn w:val="Normal"/>
    <w:uiPriority w:val="34"/>
    <w:qFormat/>
    <w:rsid w:val="006D74C1"/>
    <w:pPr>
      <w:ind w:left="720"/>
      <w:contextualSpacing/>
    </w:pPr>
  </w:style>
  <w:style w:type="paragraph" w:styleId="Caption">
    <w:name w:val="caption"/>
    <w:basedOn w:val="Normal"/>
    <w:next w:val="Normal"/>
    <w:uiPriority w:val="35"/>
    <w:semiHidden/>
    <w:unhideWhenUsed/>
    <w:qFormat/>
    <w:rsid w:val="004F6E6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4F6E6A"/>
    <w:pPr>
      <w:spacing w:after="0"/>
    </w:pPr>
  </w:style>
  <w:style w:type="paragraph" w:styleId="ListBullet">
    <w:name w:val="List Bullet"/>
    <w:basedOn w:val="Normal"/>
    <w:uiPriority w:val="99"/>
    <w:semiHidden/>
    <w:unhideWhenUsed/>
    <w:rsid w:val="004F6E6A"/>
    <w:pPr>
      <w:numPr>
        <w:numId w:val="1"/>
      </w:numPr>
      <w:contextualSpacing/>
    </w:pPr>
  </w:style>
  <w:style w:type="paragraph" w:styleId="ListBullet2">
    <w:name w:val="List Bullet 2"/>
    <w:basedOn w:val="Normal"/>
    <w:uiPriority w:val="99"/>
    <w:semiHidden/>
    <w:unhideWhenUsed/>
    <w:rsid w:val="004F6E6A"/>
    <w:pPr>
      <w:numPr>
        <w:numId w:val="2"/>
      </w:numPr>
      <w:contextualSpacing/>
    </w:pPr>
  </w:style>
  <w:style w:type="paragraph" w:styleId="ListBullet3">
    <w:name w:val="List Bullet 3"/>
    <w:basedOn w:val="Normal"/>
    <w:uiPriority w:val="99"/>
    <w:semiHidden/>
    <w:unhideWhenUsed/>
    <w:rsid w:val="004F6E6A"/>
    <w:pPr>
      <w:numPr>
        <w:numId w:val="3"/>
      </w:numPr>
      <w:contextualSpacing/>
    </w:pPr>
  </w:style>
  <w:style w:type="paragraph" w:styleId="ListBullet4">
    <w:name w:val="List Bullet 4"/>
    <w:basedOn w:val="Normal"/>
    <w:uiPriority w:val="99"/>
    <w:semiHidden/>
    <w:unhideWhenUsed/>
    <w:rsid w:val="004F6E6A"/>
    <w:pPr>
      <w:numPr>
        <w:numId w:val="4"/>
      </w:numPr>
      <w:contextualSpacing/>
    </w:pPr>
  </w:style>
  <w:style w:type="paragraph" w:styleId="ListNumber">
    <w:name w:val="List Number"/>
    <w:basedOn w:val="Normal"/>
    <w:uiPriority w:val="99"/>
    <w:semiHidden/>
    <w:unhideWhenUsed/>
    <w:rsid w:val="004F6E6A"/>
    <w:pPr>
      <w:numPr>
        <w:numId w:val="5"/>
      </w:numPr>
      <w:contextualSpacing/>
    </w:pPr>
  </w:style>
  <w:style w:type="paragraph" w:styleId="ListNumber2">
    <w:name w:val="List Number 2"/>
    <w:basedOn w:val="Normal"/>
    <w:uiPriority w:val="99"/>
    <w:semiHidden/>
    <w:unhideWhenUsed/>
    <w:rsid w:val="004F6E6A"/>
    <w:pPr>
      <w:numPr>
        <w:numId w:val="6"/>
      </w:numPr>
      <w:contextualSpacing/>
    </w:pPr>
  </w:style>
  <w:style w:type="paragraph" w:styleId="ListNumber3">
    <w:name w:val="List Number 3"/>
    <w:basedOn w:val="Normal"/>
    <w:uiPriority w:val="99"/>
    <w:semiHidden/>
    <w:unhideWhenUsed/>
    <w:rsid w:val="004F6E6A"/>
    <w:pPr>
      <w:numPr>
        <w:numId w:val="7"/>
      </w:numPr>
      <w:contextualSpacing/>
    </w:pPr>
  </w:style>
  <w:style w:type="paragraph" w:styleId="ListNumber4">
    <w:name w:val="List Number 4"/>
    <w:basedOn w:val="Normal"/>
    <w:uiPriority w:val="99"/>
    <w:semiHidden/>
    <w:unhideWhenUsed/>
    <w:rsid w:val="004F6E6A"/>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A0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02"/>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36C8D"/>
    <w:rPr>
      <w:b/>
      <w:bCs/>
    </w:rPr>
  </w:style>
  <w:style w:type="character" w:customStyle="1" w:styleId="CommentSubjectChar">
    <w:name w:val="Comment Subject Char"/>
    <w:basedOn w:val="CommentTextChar"/>
    <w:link w:val="CommentSubject"/>
    <w:uiPriority w:val="99"/>
    <w:semiHidden/>
    <w:rsid w:val="00536C8D"/>
    <w:rPr>
      <w:rFonts w:ascii="Times New Roman" w:hAnsi="Times New Roman" w:cs="Times New Roman"/>
      <w:b/>
      <w:bCs/>
      <w:sz w:val="20"/>
      <w:szCs w:val="20"/>
      <w:lang w:val="en-GB"/>
    </w:rPr>
  </w:style>
  <w:style w:type="character" w:styleId="Hyperlink">
    <w:name w:val="Hyperlink"/>
    <w:basedOn w:val="DefaultParagraphFont"/>
    <w:uiPriority w:val="99"/>
    <w:unhideWhenUsed/>
    <w:rsid w:val="00142C17"/>
    <w:rPr>
      <w:color w:val="0000FF" w:themeColor="hyperlink"/>
      <w:u w:val="single"/>
    </w:rPr>
  </w:style>
  <w:style w:type="paragraph" w:customStyle="1" w:styleId="paragraph">
    <w:name w:val="paragraph"/>
    <w:basedOn w:val="Normal"/>
    <w:rsid w:val="005B1124"/>
    <w:pPr>
      <w:spacing w:before="100" w:beforeAutospacing="1" w:after="100" w:afterAutospacing="1"/>
    </w:pPr>
    <w:rPr>
      <w:rFonts w:eastAsia="Times New Roman"/>
      <w:szCs w:val="24"/>
      <w:lang w:eastAsia="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pPr>
  </w:style>
  <w:style w:type="paragraph" w:styleId="TOC2">
    <w:name w:val="toc 2"/>
    <w:basedOn w:val="Normal"/>
    <w:next w:val="Normal"/>
    <w:uiPriority w:val="39"/>
    <w:semiHidden/>
    <w:unhideWhenUsed/>
    <w:rsid w:val="00517205"/>
    <w:pPr>
      <w:tabs>
        <w:tab w:val="right" w:leader="dot" w:pos="9071"/>
      </w:tabs>
      <w:spacing w:before="60"/>
      <w:ind w:left="850" w:hanging="850"/>
    </w:pPr>
  </w:style>
  <w:style w:type="paragraph" w:styleId="TOC3">
    <w:name w:val="toc 3"/>
    <w:basedOn w:val="Normal"/>
    <w:next w:val="Normal"/>
    <w:uiPriority w:val="39"/>
    <w:semiHidden/>
    <w:unhideWhenUsed/>
    <w:rsid w:val="00517205"/>
    <w:pPr>
      <w:tabs>
        <w:tab w:val="right" w:leader="dot" w:pos="9071"/>
      </w:tabs>
      <w:spacing w:before="60"/>
      <w:ind w:left="850" w:hanging="850"/>
    </w:pPr>
  </w:style>
  <w:style w:type="paragraph" w:styleId="TOC4">
    <w:name w:val="toc 4"/>
    <w:basedOn w:val="Normal"/>
    <w:next w:val="Normal"/>
    <w:uiPriority w:val="39"/>
    <w:semiHidden/>
    <w:unhideWhenUsed/>
    <w:rsid w:val="00517205"/>
    <w:pPr>
      <w:tabs>
        <w:tab w:val="right" w:leader="dot" w:pos="9071"/>
      </w:tabs>
      <w:spacing w:before="60"/>
      <w:ind w:left="850" w:hanging="850"/>
    </w:pPr>
  </w:style>
  <w:style w:type="paragraph" w:styleId="TOC5">
    <w:name w:val="toc 5"/>
    <w:basedOn w:val="Normal"/>
    <w:next w:val="Normal"/>
    <w:uiPriority w:val="39"/>
    <w:semiHidden/>
    <w:unhideWhenUsed/>
    <w:rsid w:val="00517205"/>
    <w:pPr>
      <w:tabs>
        <w:tab w:val="right" w:leader="dot" w:pos="9071"/>
      </w:tabs>
      <w:spacing w:before="300"/>
    </w:pPr>
  </w:style>
  <w:style w:type="paragraph" w:styleId="TOC6">
    <w:name w:val="toc 6"/>
    <w:basedOn w:val="Normal"/>
    <w:next w:val="Normal"/>
    <w:uiPriority w:val="39"/>
    <w:semiHidden/>
    <w:unhideWhenUsed/>
    <w:rsid w:val="00517205"/>
    <w:pPr>
      <w:tabs>
        <w:tab w:val="right" w:leader="dot" w:pos="9071"/>
      </w:tabs>
      <w:spacing w:before="240"/>
    </w:pPr>
  </w:style>
  <w:style w:type="paragraph" w:styleId="TOC7">
    <w:name w:val="toc 7"/>
    <w:basedOn w:val="Normal"/>
    <w:next w:val="Normal"/>
    <w:uiPriority w:val="39"/>
    <w:semiHidden/>
    <w:unhideWhenUsed/>
    <w:rsid w:val="00517205"/>
    <w:pPr>
      <w:tabs>
        <w:tab w:val="right" w:leader="dot" w:pos="9071"/>
      </w:tabs>
      <w:spacing w:before="180"/>
    </w:pPr>
  </w:style>
  <w:style w:type="paragraph" w:styleId="TOC8">
    <w:name w:val="toc 8"/>
    <w:basedOn w:val="Normal"/>
    <w:next w:val="Normal"/>
    <w:uiPriority w:val="39"/>
    <w:semiHidden/>
    <w:unhideWhenUsed/>
    <w:rsid w:val="00517205"/>
    <w:pPr>
      <w:tabs>
        <w:tab w:val="right" w:leader="dot" w:pos="9071"/>
      </w:tabs>
    </w:pPr>
  </w:style>
  <w:style w:type="paragraph" w:styleId="TOC9">
    <w:name w:val="toc 9"/>
    <w:basedOn w:val="Normal"/>
    <w:next w:val="Normal"/>
    <w:uiPriority w:val="39"/>
    <w:semiHidden/>
    <w:unhideWhenUsed/>
    <w:rsid w:val="00517205"/>
    <w:pPr>
      <w:tabs>
        <w:tab w:val="right" w:leader="dot" w:pos="9071"/>
      </w:tabs>
      <w:ind w:left="1417" w:hanging="1417"/>
    </w:pPr>
  </w:style>
  <w:style w:type="paragraph" w:customStyle="1" w:styleId="HeaderSensitivity">
    <w:name w:val="Header Sensitivity"/>
    <w:basedOn w:val="Normal"/>
    <w:rsid w:val="006E4F7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E4F77"/>
    <w:pPr>
      <w:spacing w:before="0"/>
      <w:jc w:val="right"/>
    </w:pPr>
    <w:rPr>
      <w:sz w:val="28"/>
    </w:rPr>
  </w:style>
  <w:style w:type="paragraph" w:customStyle="1" w:styleId="FooterSensitivity">
    <w:name w:val="Footer Sensitivity"/>
    <w:basedOn w:val="Normal"/>
    <w:rsid w:val="006E4F7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NormalLeft">
    <w:name w:val="Normal Left"/>
    <w:basedOn w:val="Normal"/>
    <w:rsid w:val="00517205"/>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9"/>
      </w:numPr>
    </w:pPr>
  </w:style>
  <w:style w:type="paragraph" w:customStyle="1" w:styleId="Tiret1">
    <w:name w:val="Tiret 1"/>
    <w:basedOn w:val="Point1"/>
    <w:rsid w:val="00517205"/>
    <w:pPr>
      <w:numPr>
        <w:numId w:val="10"/>
      </w:numPr>
    </w:pPr>
  </w:style>
  <w:style w:type="paragraph" w:customStyle="1" w:styleId="Tiret2">
    <w:name w:val="Tiret 2"/>
    <w:basedOn w:val="Point2"/>
    <w:rsid w:val="00517205"/>
    <w:pPr>
      <w:numPr>
        <w:numId w:val="11"/>
      </w:numPr>
    </w:pPr>
  </w:style>
  <w:style w:type="paragraph" w:customStyle="1" w:styleId="Tiret3">
    <w:name w:val="Tiret 3"/>
    <w:basedOn w:val="Point3"/>
    <w:rsid w:val="00517205"/>
    <w:pPr>
      <w:numPr>
        <w:numId w:val="12"/>
      </w:numPr>
    </w:pPr>
  </w:style>
  <w:style w:type="paragraph" w:customStyle="1" w:styleId="Tiret4">
    <w:name w:val="Tiret 4"/>
    <w:basedOn w:val="Point4"/>
    <w:rsid w:val="00517205"/>
    <w:pPr>
      <w:numPr>
        <w:numId w:val="13"/>
      </w:numPr>
    </w:pPr>
  </w:style>
  <w:style w:type="paragraph" w:customStyle="1" w:styleId="Tiret5">
    <w:name w:val="Tiret 5"/>
    <w:basedOn w:val="Point5"/>
    <w:rsid w:val="00517205"/>
    <w:pPr>
      <w:numPr>
        <w:numId w:val="14"/>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15"/>
      </w:numPr>
    </w:pPr>
  </w:style>
  <w:style w:type="paragraph" w:customStyle="1" w:styleId="NumPar2">
    <w:name w:val="NumPar 2"/>
    <w:basedOn w:val="Normal"/>
    <w:next w:val="Text1"/>
    <w:rsid w:val="00517205"/>
    <w:pPr>
      <w:numPr>
        <w:ilvl w:val="1"/>
        <w:numId w:val="15"/>
      </w:numPr>
    </w:pPr>
  </w:style>
  <w:style w:type="paragraph" w:customStyle="1" w:styleId="NumPar3">
    <w:name w:val="NumPar 3"/>
    <w:basedOn w:val="Normal"/>
    <w:next w:val="Text1"/>
    <w:rsid w:val="00517205"/>
    <w:pPr>
      <w:numPr>
        <w:ilvl w:val="2"/>
        <w:numId w:val="15"/>
      </w:numPr>
    </w:pPr>
  </w:style>
  <w:style w:type="paragraph" w:customStyle="1" w:styleId="NumPar4">
    <w:name w:val="NumPar 4"/>
    <w:basedOn w:val="Normal"/>
    <w:next w:val="Text1"/>
    <w:rsid w:val="00517205"/>
    <w:pPr>
      <w:numPr>
        <w:ilvl w:val="3"/>
        <w:numId w:val="15"/>
      </w:numPr>
    </w:pPr>
  </w:style>
  <w:style w:type="paragraph" w:customStyle="1" w:styleId="NumPar5">
    <w:name w:val="NumPar 5"/>
    <w:basedOn w:val="Normal"/>
    <w:next w:val="Text2"/>
    <w:rsid w:val="00517205"/>
    <w:pPr>
      <w:numPr>
        <w:ilvl w:val="4"/>
        <w:numId w:val="15"/>
      </w:numPr>
    </w:pPr>
  </w:style>
  <w:style w:type="paragraph" w:customStyle="1" w:styleId="NumPar6">
    <w:name w:val="NumPar 6"/>
    <w:basedOn w:val="Normal"/>
    <w:next w:val="Text2"/>
    <w:rsid w:val="00517205"/>
    <w:pPr>
      <w:numPr>
        <w:ilvl w:val="5"/>
        <w:numId w:val="15"/>
      </w:numPr>
    </w:pPr>
  </w:style>
  <w:style w:type="paragraph" w:customStyle="1" w:styleId="NumPar7">
    <w:name w:val="NumPar 7"/>
    <w:basedOn w:val="Normal"/>
    <w:next w:val="Text2"/>
    <w:rsid w:val="00517205"/>
    <w:pPr>
      <w:numPr>
        <w:ilvl w:val="6"/>
        <w:numId w:val="15"/>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17"/>
      </w:numPr>
    </w:pPr>
  </w:style>
  <w:style w:type="paragraph" w:customStyle="1" w:styleId="Point1number">
    <w:name w:val="Point 1 (number)"/>
    <w:basedOn w:val="Normal"/>
    <w:rsid w:val="00517205"/>
    <w:pPr>
      <w:numPr>
        <w:ilvl w:val="2"/>
        <w:numId w:val="17"/>
      </w:numPr>
    </w:pPr>
  </w:style>
  <w:style w:type="paragraph" w:customStyle="1" w:styleId="Point2number">
    <w:name w:val="Point 2 (number)"/>
    <w:basedOn w:val="Normal"/>
    <w:rsid w:val="00517205"/>
    <w:pPr>
      <w:numPr>
        <w:ilvl w:val="4"/>
        <w:numId w:val="17"/>
      </w:numPr>
    </w:pPr>
  </w:style>
  <w:style w:type="paragraph" w:customStyle="1" w:styleId="Point3number">
    <w:name w:val="Point 3 (number)"/>
    <w:basedOn w:val="Normal"/>
    <w:rsid w:val="00517205"/>
    <w:pPr>
      <w:numPr>
        <w:ilvl w:val="6"/>
        <w:numId w:val="17"/>
      </w:numPr>
    </w:pPr>
  </w:style>
  <w:style w:type="paragraph" w:customStyle="1" w:styleId="Point0letter">
    <w:name w:val="Point 0 (letter)"/>
    <w:basedOn w:val="Normal"/>
    <w:rsid w:val="00517205"/>
    <w:pPr>
      <w:numPr>
        <w:ilvl w:val="1"/>
        <w:numId w:val="17"/>
      </w:numPr>
    </w:pPr>
  </w:style>
  <w:style w:type="paragraph" w:customStyle="1" w:styleId="Point1letter">
    <w:name w:val="Point 1 (letter)"/>
    <w:basedOn w:val="Normal"/>
    <w:rsid w:val="00517205"/>
    <w:pPr>
      <w:numPr>
        <w:ilvl w:val="3"/>
        <w:numId w:val="17"/>
      </w:numPr>
    </w:pPr>
  </w:style>
  <w:style w:type="paragraph" w:customStyle="1" w:styleId="Point2letter">
    <w:name w:val="Point 2 (letter)"/>
    <w:basedOn w:val="Normal"/>
    <w:rsid w:val="00517205"/>
    <w:pPr>
      <w:numPr>
        <w:ilvl w:val="5"/>
        <w:numId w:val="17"/>
      </w:numPr>
    </w:pPr>
  </w:style>
  <w:style w:type="paragraph" w:customStyle="1" w:styleId="Point3letter">
    <w:name w:val="Point 3 (letter)"/>
    <w:basedOn w:val="Normal"/>
    <w:rsid w:val="00517205"/>
    <w:pPr>
      <w:numPr>
        <w:ilvl w:val="7"/>
        <w:numId w:val="17"/>
      </w:numPr>
    </w:pPr>
  </w:style>
  <w:style w:type="paragraph" w:customStyle="1" w:styleId="Point4letter">
    <w:name w:val="Point 4 (letter)"/>
    <w:basedOn w:val="Normal"/>
    <w:rsid w:val="00517205"/>
    <w:pPr>
      <w:numPr>
        <w:ilvl w:val="8"/>
        <w:numId w:val="17"/>
      </w:numPr>
    </w:pPr>
  </w:style>
  <w:style w:type="paragraph" w:customStyle="1" w:styleId="Bullet0">
    <w:name w:val="Bullet 0"/>
    <w:basedOn w:val="Normal"/>
    <w:rsid w:val="00517205"/>
    <w:pPr>
      <w:numPr>
        <w:numId w:val="18"/>
      </w:numPr>
    </w:pPr>
  </w:style>
  <w:style w:type="paragraph" w:customStyle="1" w:styleId="Nomdelinstitution">
    <w:name w:val="Nom de l'institution"/>
    <w:basedOn w:val="Normal"/>
    <w:next w:val="Emission"/>
    <w:rsid w:val="00517205"/>
    <w:pPr>
      <w:spacing w:before="0" w:after="0"/>
    </w:pPr>
    <w:rPr>
      <w:rFonts w:ascii="Arial" w:hAnsi="Arial" w:cs="Arial"/>
    </w:rPr>
  </w:style>
  <w:style w:type="paragraph" w:customStyle="1" w:styleId="Emission">
    <w:name w:val="Emission"/>
    <w:basedOn w:val="Normal"/>
    <w:next w:val="Rfrenceinstitutionnelle"/>
    <w:rsid w:val="00517205"/>
    <w:pPr>
      <w:spacing w:before="0" w:after="0"/>
      <w:ind w:left="5103"/>
    </w:pPr>
  </w:style>
  <w:style w:type="paragraph" w:customStyle="1" w:styleId="Rfrenceinstitutionnelle">
    <w:name w:val="Référence institutionnelle"/>
    <w:basedOn w:val="Normal"/>
    <w:next w:val="Confidentialit"/>
    <w:rsid w:val="00517205"/>
    <w:pPr>
      <w:spacing w:before="0" w:after="240"/>
      <w:ind w:left="5103"/>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pPr>
    <w:rPr>
      <w:sz w:val="28"/>
    </w:rPr>
  </w:style>
  <w:style w:type="paragraph" w:customStyle="1" w:styleId="DateMarking">
    <w:name w:val="DateMarking"/>
    <w:basedOn w:val="Normal"/>
    <w:rsid w:val="00517205"/>
    <w:pPr>
      <w:spacing w:before="0" w:after="0" w:line="276" w:lineRule="auto"/>
      <w:ind w:left="5103"/>
    </w:pPr>
    <w:rPr>
      <w:i/>
      <w:sz w:val="28"/>
    </w:rPr>
  </w:style>
  <w:style w:type="paragraph" w:customStyle="1" w:styleId="ReleasableTo">
    <w:name w:val="ReleasableTo"/>
    <w:basedOn w:val="Normal"/>
    <w:rsid w:val="00517205"/>
    <w:pPr>
      <w:spacing w:before="0" w:after="0" w:line="276" w:lineRule="auto"/>
      <w:ind w:left="5103"/>
    </w:pPr>
    <w:rPr>
      <w:i/>
      <w:sz w:val="28"/>
    </w:rPr>
  </w:style>
  <w:style w:type="paragraph" w:customStyle="1" w:styleId="Annexetitre">
    <w:name w:val="Annexe tit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Normal"/>
    <w:rsid w:val="00517205"/>
    <w:pPr>
      <w:spacing w:before="240" w:after="240"/>
      <w:ind w:left="5103"/>
    </w:pPr>
    <w:rPr>
      <w:i/>
      <w:sz w:val="32"/>
    </w:rPr>
  </w:style>
  <w:style w:type="paragraph" w:customStyle="1" w:styleId="Considrant">
    <w:name w:val="Considérant"/>
    <w:basedOn w:val="Normal"/>
    <w:rsid w:val="00517205"/>
    <w:pPr>
      <w:numPr>
        <w:numId w:val="19"/>
      </w:numPr>
    </w:pPr>
  </w:style>
  <w:style w:type="paragraph" w:customStyle="1" w:styleId="Datedadoption">
    <w:name w:val="Date d'adoption"/>
    <w:basedOn w:val="Normal"/>
    <w:next w:val="Titreobjet"/>
    <w:rsid w:val="00517205"/>
    <w:pPr>
      <w:spacing w:before="360" w:after="0"/>
      <w:jc w:val="center"/>
    </w:pPr>
    <w:rPr>
      <w:b/>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pPr>
    <w:rPr>
      <w:i/>
    </w:rPr>
  </w:style>
  <w:style w:type="paragraph" w:customStyle="1" w:styleId="Rfrenceinterinstitutionnelle">
    <w:name w:val="Référence interinstitutionnelle"/>
    <w:basedOn w:val="Normal"/>
    <w:next w:val="Statut"/>
    <w:rsid w:val="00517205"/>
    <w:pPr>
      <w:spacing w:before="0" w:after="0"/>
      <w:ind w:left="5103"/>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ind w:left="3402"/>
    </w:pPr>
  </w:style>
  <w:style w:type="paragraph" w:customStyle="1" w:styleId="Objetexterne">
    <w:name w:val="Objet externe"/>
    <w:basedOn w:val="Normal"/>
    <w:next w:val="Normal"/>
    <w:rsid w:val="00517205"/>
    <w:rPr>
      <w:i/>
      <w:caps/>
    </w:rPr>
  </w:style>
  <w:style w:type="paragraph" w:customStyle="1" w:styleId="IntrtEEE">
    <w:name w:val="Intérêt EEE"/>
    <w:basedOn w:val="Normal"/>
    <w:next w:val="Normal"/>
    <w:rsid w:val="002A3E84"/>
    <w:pPr>
      <w:spacing w:before="360" w:after="240"/>
      <w:jc w:val="center"/>
    </w:pPr>
  </w:style>
  <w:style w:type="character" w:customStyle="1" w:styleId="TechnicalBlockChar">
    <w:name w:val="Technical Block Char"/>
    <w:basedOn w:val="DefaultParagraphFont"/>
    <w:rsid w:val="00F06978"/>
    <w:rPr>
      <w:rFonts w:ascii="Times New Roman" w:hAnsi="Times New Roman" w:cs="Times New Roman"/>
      <w:sz w:val="24"/>
      <w:lang w:val="en-GB"/>
    </w:rPr>
  </w:style>
  <w:style w:type="paragraph" w:customStyle="1" w:styleId="Lignefinal">
    <w:name w:val="Ligne final"/>
    <w:basedOn w:val="Normal"/>
    <w:next w:val="Normal"/>
    <w:rsid w:val="00F06978"/>
    <w:pPr>
      <w:pBdr>
        <w:bottom w:val="single" w:sz="4" w:space="0" w:color="000000"/>
      </w:pBdr>
      <w:spacing w:before="360"/>
      <w:ind w:left="3400" w:right="3400"/>
      <w:jc w:val="center"/>
    </w:pPr>
    <w:rPr>
      <w:b/>
    </w:rPr>
  </w:style>
  <w:style w:type="paragraph" w:customStyle="1" w:styleId="EntText">
    <w:name w:val="EntText"/>
    <w:basedOn w:val="Normal"/>
    <w:rsid w:val="00F06978"/>
  </w:style>
  <w:style w:type="paragraph" w:customStyle="1" w:styleId="pj">
    <w:name w:val="p.j."/>
    <w:basedOn w:val="Normal"/>
    <w:link w:val="pjChar"/>
    <w:rsid w:val="00F06978"/>
    <w:pPr>
      <w:spacing w:before="1200"/>
      <w:ind w:left="1440" w:hanging="1440"/>
    </w:pPr>
  </w:style>
  <w:style w:type="character" w:customStyle="1" w:styleId="pjChar">
    <w:name w:val="p.j. Char"/>
    <w:basedOn w:val="TechnicalBlockChar"/>
    <w:link w:val="pj"/>
    <w:rsid w:val="00F06978"/>
    <w:rPr>
      <w:rFonts w:ascii="Times New Roman" w:hAnsi="Times New Roman" w:cs="Times New Roman"/>
      <w:sz w:val="24"/>
      <w:lang w:val="en-GB"/>
    </w:rPr>
  </w:style>
  <w:style w:type="paragraph" w:customStyle="1" w:styleId="nbbordered">
    <w:name w:val="nb bordered"/>
    <w:basedOn w:val="Normal"/>
    <w:link w:val="nbborderedChar"/>
    <w:rsid w:val="00F06978"/>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F06978"/>
    <w:rPr>
      <w:rFonts w:ascii="Times New Roman" w:hAnsi="Times New Roman" w:cs="Times New Roman"/>
      <w:b/>
      <w:sz w:val="24"/>
      <w:lang w:val="en-GB"/>
    </w:rPr>
  </w:style>
  <w:style w:type="character" w:customStyle="1" w:styleId="HeaderCouncilChar">
    <w:name w:val="Header Council Char"/>
    <w:basedOn w:val="DefaultParagraphFont"/>
    <w:rsid w:val="00F06978"/>
    <w:rPr>
      <w:rFonts w:ascii="Times New Roman" w:hAnsi="Times New Roman" w:cs="Times New Roman"/>
      <w:sz w:val="2"/>
      <w:lang w:val="en-GB"/>
    </w:rPr>
  </w:style>
  <w:style w:type="paragraph" w:customStyle="1" w:styleId="HeaderCouncilLarge">
    <w:name w:val="Header Council Large"/>
    <w:basedOn w:val="Normal"/>
    <w:link w:val="HeaderCouncilLargeChar"/>
    <w:rsid w:val="00F06978"/>
    <w:pPr>
      <w:spacing w:before="0" w:after="440"/>
    </w:pPr>
    <w:rPr>
      <w:sz w:val="2"/>
    </w:rPr>
  </w:style>
  <w:style w:type="character" w:customStyle="1" w:styleId="HeaderCouncilLargeChar">
    <w:name w:val="Header Council Large Char"/>
    <w:basedOn w:val="DefaultParagraphFont"/>
    <w:link w:val="HeaderCouncilLarge"/>
    <w:rsid w:val="00F06978"/>
    <w:rPr>
      <w:rFonts w:ascii="Times New Roman" w:hAnsi="Times New Roman" w:cs="Times New Roman"/>
      <w:sz w:val="2"/>
      <w:lang w:val="en-GB"/>
    </w:rPr>
  </w:style>
  <w:style w:type="character" w:customStyle="1" w:styleId="FooterCouncilChar">
    <w:name w:val="Footer Council Char"/>
    <w:basedOn w:val="DefaultParagraphFont"/>
    <w:rsid w:val="00F06978"/>
    <w:rPr>
      <w:rFonts w:ascii="Times New Roman" w:hAnsi="Times New Roman" w:cs="Times New Roman"/>
      <w:sz w:val="2"/>
      <w:lang w:val="en-GB"/>
    </w:rPr>
  </w:style>
  <w:style w:type="paragraph" w:customStyle="1" w:styleId="FooterText">
    <w:name w:val="Footer Text"/>
    <w:basedOn w:val="Normal"/>
    <w:rsid w:val="00F06978"/>
    <w:pPr>
      <w:spacing w:before="0" w:after="0" w:line="240" w:lineRule="auto"/>
    </w:pPr>
    <w:rPr>
      <w:rFonts w:eastAsia="Times New Roman"/>
      <w:szCs w:val="24"/>
    </w:rPr>
  </w:style>
  <w:style w:type="character" w:styleId="PlaceholderText">
    <w:name w:val="Placeholder Text"/>
    <w:basedOn w:val="DefaultParagraphFont"/>
    <w:uiPriority w:val="99"/>
    <w:semiHidden/>
    <w:rsid w:val="00F06978"/>
    <w:rPr>
      <w:color w:val="808080"/>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45615D"/>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35"/>
      </w:numPr>
    </w:pPr>
  </w:style>
  <w:style w:type="paragraph" w:customStyle="1" w:styleId="Pointabc1">
    <w:name w:val="Point abc (1)"/>
    <w:basedOn w:val="Normal"/>
    <w:rsid w:val="009C6417"/>
    <w:pPr>
      <w:numPr>
        <w:ilvl w:val="3"/>
        <w:numId w:val="35"/>
      </w:numPr>
    </w:pPr>
  </w:style>
  <w:style w:type="paragraph" w:customStyle="1" w:styleId="Pointabc2">
    <w:name w:val="Point abc (2)"/>
    <w:basedOn w:val="Normal"/>
    <w:rsid w:val="009C6417"/>
    <w:pPr>
      <w:numPr>
        <w:ilvl w:val="5"/>
        <w:numId w:val="35"/>
      </w:numPr>
    </w:pPr>
  </w:style>
  <w:style w:type="paragraph" w:customStyle="1" w:styleId="Pointabc3">
    <w:name w:val="Point abc (3)"/>
    <w:basedOn w:val="Normal"/>
    <w:rsid w:val="009C6417"/>
    <w:pPr>
      <w:numPr>
        <w:ilvl w:val="7"/>
        <w:numId w:val="35"/>
      </w:numPr>
    </w:pPr>
  </w:style>
  <w:style w:type="paragraph" w:customStyle="1" w:styleId="Pointabc4">
    <w:name w:val="Point abc (4)"/>
    <w:basedOn w:val="Normal"/>
    <w:rsid w:val="009C6417"/>
    <w:pPr>
      <w:numPr>
        <w:ilvl w:val="8"/>
        <w:numId w:val="35"/>
      </w:numPr>
    </w:pPr>
  </w:style>
  <w:style w:type="paragraph" w:customStyle="1" w:styleId="Point123">
    <w:name w:val="Point 123"/>
    <w:basedOn w:val="Normal"/>
    <w:rsid w:val="009C6417"/>
    <w:pPr>
      <w:numPr>
        <w:numId w:val="35"/>
      </w:numPr>
    </w:pPr>
  </w:style>
  <w:style w:type="paragraph" w:customStyle="1" w:styleId="Point1231">
    <w:name w:val="Point 123 (1)"/>
    <w:basedOn w:val="Normal"/>
    <w:rsid w:val="009C6417"/>
    <w:pPr>
      <w:numPr>
        <w:ilvl w:val="2"/>
        <w:numId w:val="35"/>
      </w:numPr>
    </w:pPr>
  </w:style>
  <w:style w:type="paragraph" w:customStyle="1" w:styleId="Point1232">
    <w:name w:val="Point 123 (2)"/>
    <w:basedOn w:val="Normal"/>
    <w:rsid w:val="009C6417"/>
    <w:pPr>
      <w:numPr>
        <w:ilvl w:val="4"/>
        <w:numId w:val="35"/>
      </w:numPr>
    </w:pPr>
  </w:style>
  <w:style w:type="paragraph" w:customStyle="1" w:styleId="Point1233">
    <w:name w:val="Point 123 (3)"/>
    <w:basedOn w:val="Normal"/>
    <w:rsid w:val="009C6417"/>
    <w:pPr>
      <w:numPr>
        <w:ilvl w:val="6"/>
        <w:numId w:val="35"/>
      </w:numPr>
    </w:pPr>
  </w:style>
  <w:style w:type="paragraph" w:customStyle="1" w:styleId="Pointivx">
    <w:name w:val="Point ivx"/>
    <w:basedOn w:val="Normal"/>
    <w:rsid w:val="009C6417"/>
    <w:pPr>
      <w:numPr>
        <w:numId w:val="36"/>
      </w:numPr>
    </w:pPr>
  </w:style>
  <w:style w:type="paragraph" w:customStyle="1" w:styleId="Pointivx1">
    <w:name w:val="Point ivx (1)"/>
    <w:basedOn w:val="Normal"/>
    <w:rsid w:val="009C6417"/>
    <w:pPr>
      <w:numPr>
        <w:ilvl w:val="1"/>
        <w:numId w:val="36"/>
      </w:numPr>
    </w:pPr>
  </w:style>
  <w:style w:type="paragraph" w:customStyle="1" w:styleId="Pointivx2">
    <w:name w:val="Point ivx (2)"/>
    <w:basedOn w:val="Normal"/>
    <w:rsid w:val="009C6417"/>
    <w:pPr>
      <w:numPr>
        <w:ilvl w:val="2"/>
        <w:numId w:val="36"/>
      </w:numPr>
    </w:pPr>
  </w:style>
  <w:style w:type="paragraph" w:customStyle="1" w:styleId="Pointivx3">
    <w:name w:val="Point ivx (3)"/>
    <w:basedOn w:val="Normal"/>
    <w:rsid w:val="009C6417"/>
    <w:pPr>
      <w:numPr>
        <w:ilvl w:val="3"/>
        <w:numId w:val="36"/>
      </w:numPr>
    </w:pPr>
  </w:style>
  <w:style w:type="paragraph" w:customStyle="1" w:styleId="Pointivx4">
    <w:name w:val="Point ivx (4)"/>
    <w:basedOn w:val="Normal"/>
    <w:rsid w:val="009C6417"/>
    <w:pPr>
      <w:numPr>
        <w:ilvl w:val="4"/>
        <w:numId w:val="36"/>
      </w:numPr>
    </w:pPr>
  </w:style>
  <w:style w:type="paragraph" w:customStyle="1" w:styleId="Bullet">
    <w:name w:val="Bullet"/>
    <w:basedOn w:val="Normal"/>
    <w:rsid w:val="009C6417"/>
    <w:pPr>
      <w:numPr>
        <w:numId w:val="30"/>
      </w:numPr>
    </w:pPr>
  </w:style>
  <w:style w:type="paragraph" w:customStyle="1" w:styleId="Bullet1">
    <w:name w:val="Bullet 1"/>
    <w:basedOn w:val="Normal"/>
    <w:rsid w:val="009C6417"/>
    <w:pPr>
      <w:numPr>
        <w:numId w:val="31"/>
      </w:numPr>
    </w:pPr>
  </w:style>
  <w:style w:type="paragraph" w:customStyle="1" w:styleId="Bullet2">
    <w:name w:val="Bullet 2"/>
    <w:basedOn w:val="Normal"/>
    <w:rsid w:val="009C6417"/>
    <w:pPr>
      <w:numPr>
        <w:numId w:val="32"/>
      </w:numPr>
    </w:pPr>
  </w:style>
  <w:style w:type="paragraph" w:customStyle="1" w:styleId="Bullet3">
    <w:name w:val="Bullet 3"/>
    <w:basedOn w:val="Normal"/>
    <w:rsid w:val="009C6417"/>
    <w:pPr>
      <w:numPr>
        <w:numId w:val="33"/>
      </w:numPr>
    </w:pPr>
  </w:style>
  <w:style w:type="paragraph" w:customStyle="1" w:styleId="Bullet4">
    <w:name w:val="Bullet 4"/>
    <w:basedOn w:val="Normal"/>
    <w:rsid w:val="009C6417"/>
    <w:pPr>
      <w:numPr>
        <w:numId w:val="34"/>
      </w:numPr>
    </w:pPr>
  </w:style>
  <w:style w:type="paragraph" w:customStyle="1" w:styleId="Dash">
    <w:name w:val="Dash"/>
    <w:basedOn w:val="Normal"/>
    <w:rsid w:val="009C6417"/>
    <w:pPr>
      <w:numPr>
        <w:numId w:val="20"/>
      </w:numPr>
    </w:pPr>
  </w:style>
  <w:style w:type="paragraph" w:customStyle="1" w:styleId="Dash1">
    <w:name w:val="Dash 1"/>
    <w:basedOn w:val="Normal"/>
    <w:rsid w:val="009C6417"/>
    <w:pPr>
      <w:numPr>
        <w:numId w:val="21"/>
      </w:numPr>
    </w:pPr>
  </w:style>
  <w:style w:type="paragraph" w:customStyle="1" w:styleId="Dash2">
    <w:name w:val="Dash 2"/>
    <w:basedOn w:val="Normal"/>
    <w:rsid w:val="009C6417"/>
    <w:pPr>
      <w:numPr>
        <w:numId w:val="22"/>
      </w:numPr>
    </w:pPr>
  </w:style>
  <w:style w:type="paragraph" w:customStyle="1" w:styleId="Dash3">
    <w:name w:val="Dash 3"/>
    <w:basedOn w:val="Normal"/>
    <w:rsid w:val="009C6417"/>
    <w:pPr>
      <w:numPr>
        <w:numId w:val="23"/>
      </w:numPr>
    </w:pPr>
  </w:style>
  <w:style w:type="paragraph" w:customStyle="1" w:styleId="Dash4">
    <w:name w:val="Dash 4"/>
    <w:basedOn w:val="Normal"/>
    <w:rsid w:val="009C6417"/>
    <w:pPr>
      <w:numPr>
        <w:numId w:val="24"/>
      </w:numPr>
    </w:pPr>
  </w:style>
  <w:style w:type="paragraph" w:customStyle="1" w:styleId="DashEqual">
    <w:name w:val="Dash Equal"/>
    <w:basedOn w:val="Dash"/>
    <w:rsid w:val="009C6417"/>
    <w:pPr>
      <w:numPr>
        <w:numId w:val="25"/>
      </w:numPr>
    </w:pPr>
  </w:style>
  <w:style w:type="paragraph" w:customStyle="1" w:styleId="DashEqual1">
    <w:name w:val="Dash Equal 1"/>
    <w:basedOn w:val="Dash1"/>
    <w:rsid w:val="009C6417"/>
    <w:pPr>
      <w:numPr>
        <w:numId w:val="26"/>
      </w:numPr>
    </w:pPr>
  </w:style>
  <w:style w:type="paragraph" w:customStyle="1" w:styleId="DashEqual2">
    <w:name w:val="Dash Equal 2"/>
    <w:basedOn w:val="Dash2"/>
    <w:rsid w:val="009C6417"/>
    <w:pPr>
      <w:numPr>
        <w:numId w:val="27"/>
      </w:numPr>
    </w:pPr>
  </w:style>
  <w:style w:type="paragraph" w:customStyle="1" w:styleId="DashEqual3">
    <w:name w:val="Dash Equal 3"/>
    <w:basedOn w:val="Dash3"/>
    <w:rsid w:val="009C6417"/>
    <w:pPr>
      <w:numPr>
        <w:numId w:val="28"/>
      </w:numPr>
    </w:pPr>
  </w:style>
  <w:style w:type="paragraph" w:customStyle="1" w:styleId="DashEqual4">
    <w:name w:val="Dash Equal 4"/>
    <w:basedOn w:val="Dash4"/>
    <w:rsid w:val="009C6417"/>
    <w:pPr>
      <w:numPr>
        <w:numId w:val="29"/>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39"/>
      </w:numPr>
    </w:pPr>
  </w:style>
  <w:style w:type="paragraph" w:customStyle="1" w:styleId="Heading123">
    <w:name w:val="Heading 123"/>
    <w:basedOn w:val="HeadingLeft"/>
    <w:next w:val="Normal"/>
    <w:rsid w:val="009C6417"/>
    <w:pPr>
      <w:numPr>
        <w:numId w:val="38"/>
      </w:numPr>
    </w:pPr>
  </w:style>
  <w:style w:type="paragraph" w:customStyle="1" w:styleId="HeadingABC">
    <w:name w:val="Heading ABC"/>
    <w:basedOn w:val="HeadingLeft"/>
    <w:next w:val="Normal"/>
    <w:rsid w:val="009C6417"/>
    <w:pPr>
      <w:numPr>
        <w:numId w:val="37"/>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9257">
      <w:bodyDiv w:val="1"/>
      <w:marLeft w:val="0"/>
      <w:marRight w:val="0"/>
      <w:marTop w:val="0"/>
      <w:marBottom w:val="0"/>
      <w:divBdr>
        <w:top w:val="none" w:sz="0" w:space="0" w:color="auto"/>
        <w:left w:val="none" w:sz="0" w:space="0" w:color="auto"/>
        <w:bottom w:val="none" w:sz="0" w:space="0" w:color="auto"/>
        <w:right w:val="none" w:sz="0" w:space="0" w:color="auto"/>
      </w:divBdr>
    </w:div>
    <w:div w:id="398872341">
      <w:bodyDiv w:val="1"/>
      <w:marLeft w:val="0"/>
      <w:marRight w:val="0"/>
      <w:marTop w:val="0"/>
      <w:marBottom w:val="0"/>
      <w:divBdr>
        <w:top w:val="none" w:sz="0" w:space="0" w:color="auto"/>
        <w:left w:val="none" w:sz="0" w:space="0" w:color="auto"/>
        <w:bottom w:val="none" w:sz="0" w:space="0" w:color="auto"/>
        <w:right w:val="none" w:sz="0" w:space="0" w:color="auto"/>
      </w:divBdr>
    </w:div>
    <w:div w:id="1742753284">
      <w:bodyDiv w:val="1"/>
      <w:marLeft w:val="0"/>
      <w:marRight w:val="0"/>
      <w:marTop w:val="0"/>
      <w:marBottom w:val="0"/>
      <w:divBdr>
        <w:top w:val="none" w:sz="0" w:space="0" w:color="auto"/>
        <w:left w:val="none" w:sz="0" w:space="0" w:color="auto"/>
        <w:bottom w:val="none" w:sz="0" w:space="0" w:color="auto"/>
        <w:right w:val="none" w:sz="0" w:space="0" w:color="auto"/>
      </w:divBdr>
    </w:div>
    <w:div w:id="18379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9874fc63fbed490a"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1F54-F411-4563-9DB6-11276C2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39</TotalTime>
  <Pages>21</Pages>
  <Words>5313</Words>
  <Characters>27788</Characters>
  <Application>Microsoft Office Word</Application>
  <DocSecurity>0</DocSecurity>
  <Lines>470</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MOUTOY Michael</dc:creator>
  <cp:keywords/>
  <dc:description/>
  <cp:lastModifiedBy>MOUTOY Michael</cp:lastModifiedBy>
  <cp:revision>16</cp:revision>
  <dcterms:created xsi:type="dcterms:W3CDTF">2022-07-22T06:39:00Z</dcterms:created>
  <dcterms:modified xsi:type="dcterms:W3CDTF">2022-07-22T12:47:00Z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DocuWrite 4.6.7, Build 20220519</vt:lpwstr>
  </property>
  <property fmtid="{D5CDD505-2E9C-101B-9397-08002B2CF9AE}" pid="5" name="Created using">
    <vt:lpwstr>DocuWrite 4.6.7, Build 20220519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Red (DQC version 03)</vt:lpwstr>
  </property>
</Properties>
</file>