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E65191" w:rsidRPr="00B775DE" w14:paraId="66C9BBDC" w14:textId="77777777" w:rsidTr="00C21643">
        <w:trPr>
          <w:gridAfter w:val="3"/>
          <w:wAfter w:w="3004" w:type="dxa"/>
        </w:trPr>
        <w:tc>
          <w:tcPr>
            <w:tcW w:w="6096" w:type="dxa"/>
            <w:gridSpan w:val="2"/>
            <w:shd w:val="clear" w:color="auto" w:fill="auto"/>
          </w:tcPr>
          <w:p w14:paraId="761034E2" w14:textId="77777777" w:rsidR="00E65191" w:rsidRPr="00B775DE" w:rsidRDefault="00E65191" w:rsidP="00E65191">
            <w:pPr>
              <w:spacing w:after="0" w:line="260" w:lineRule="atLeast"/>
              <w:rPr>
                <w:rFonts w:ascii="Arial" w:eastAsia="Times New Roman" w:hAnsi="Arial" w:cs="Arial"/>
                <w:kern w:val="0"/>
                <w:sz w:val="20"/>
                <w:szCs w:val="24"/>
                <w:lang w:eastAsia="sl-SI"/>
              </w:rPr>
            </w:pPr>
            <w:bookmarkStart w:id="0" w:name="_Hlk186995239"/>
            <w:r w:rsidRPr="00B775DE">
              <w:rPr>
                <w:rFonts w:ascii="Arial" w:eastAsia="Times New Roman" w:hAnsi="Arial" w:cs="Arial"/>
                <w:kern w:val="0"/>
                <w:sz w:val="20"/>
                <w:szCs w:val="24"/>
                <w:lang w:eastAsia="sl-SI"/>
              </w:rPr>
              <w:t xml:space="preserve">Številka: </w:t>
            </w:r>
            <w:bookmarkStart w:id="1" w:name="_Hlk195011169"/>
            <w:r w:rsidRPr="00B775DE">
              <w:rPr>
                <w:rFonts w:ascii="Arial" w:eastAsia="Times New Roman" w:hAnsi="Arial" w:cs="Times New Roman"/>
                <w:kern w:val="0"/>
                <w:sz w:val="20"/>
                <w:szCs w:val="24"/>
              </w:rPr>
              <w:t>007-93/2024</w:t>
            </w:r>
            <w:bookmarkEnd w:id="1"/>
            <w:r w:rsidRPr="00B775DE">
              <w:rPr>
                <w:rFonts w:ascii="Arial" w:eastAsia="Times New Roman" w:hAnsi="Arial" w:cs="Times New Roman"/>
                <w:kern w:val="0"/>
                <w:sz w:val="20"/>
                <w:szCs w:val="24"/>
              </w:rPr>
              <w:t>/23</w:t>
            </w:r>
          </w:p>
        </w:tc>
      </w:tr>
      <w:tr w:rsidR="00E65191" w:rsidRPr="00B775DE" w14:paraId="713EFF63" w14:textId="77777777" w:rsidTr="00C21643">
        <w:trPr>
          <w:gridAfter w:val="3"/>
          <w:wAfter w:w="3004" w:type="dxa"/>
        </w:trPr>
        <w:tc>
          <w:tcPr>
            <w:tcW w:w="6096" w:type="dxa"/>
            <w:gridSpan w:val="2"/>
          </w:tcPr>
          <w:p w14:paraId="6438C734" w14:textId="006E5442" w:rsidR="00E65191" w:rsidRPr="00B775DE" w:rsidRDefault="00E65191" w:rsidP="00E65191">
            <w:pPr>
              <w:tabs>
                <w:tab w:val="left" w:pos="3885"/>
              </w:tabs>
              <w:overflowPunct w:val="0"/>
              <w:autoSpaceDE w:val="0"/>
              <w:autoSpaceDN w:val="0"/>
              <w:adjustRightInd w:val="0"/>
              <w:spacing w:after="0" w:line="260" w:lineRule="exact"/>
              <w:textAlignment w:val="baseline"/>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Ljubljana,</w:t>
            </w:r>
            <w:r w:rsidR="00B775DE" w:rsidRPr="00B775DE">
              <w:rPr>
                <w:rFonts w:ascii="Arial" w:eastAsia="Times New Roman" w:hAnsi="Arial" w:cs="Arial"/>
                <w:kern w:val="0"/>
                <w:sz w:val="20"/>
                <w:szCs w:val="20"/>
                <w:lang w:eastAsia="sl-SI"/>
              </w:rPr>
              <w:t xml:space="preserve"> </w:t>
            </w:r>
            <w:r w:rsidR="000B0A87">
              <w:rPr>
                <w:rFonts w:ascii="Arial" w:eastAsia="Times New Roman" w:hAnsi="Arial" w:cs="Arial"/>
                <w:kern w:val="0"/>
                <w:sz w:val="20"/>
                <w:szCs w:val="20"/>
                <w:lang w:eastAsia="sl-SI"/>
              </w:rPr>
              <w:t>10.4.2025</w:t>
            </w:r>
          </w:p>
        </w:tc>
      </w:tr>
      <w:tr w:rsidR="00E65191" w:rsidRPr="00B775DE" w14:paraId="423D48EC" w14:textId="77777777" w:rsidTr="00C21643">
        <w:trPr>
          <w:gridAfter w:val="3"/>
          <w:wAfter w:w="3004" w:type="dxa"/>
        </w:trPr>
        <w:tc>
          <w:tcPr>
            <w:tcW w:w="6096" w:type="dxa"/>
            <w:gridSpan w:val="2"/>
          </w:tcPr>
          <w:p w14:paraId="18D86F94" w14:textId="77777777" w:rsidR="00E65191" w:rsidRPr="00B775DE" w:rsidRDefault="00E65191" w:rsidP="00E65191">
            <w:pPr>
              <w:spacing w:after="0" w:line="260" w:lineRule="atLeast"/>
              <w:rPr>
                <w:rFonts w:ascii="Arial" w:eastAsia="Times New Roman" w:hAnsi="Arial" w:cs="Arial"/>
                <w:kern w:val="0"/>
                <w:sz w:val="20"/>
                <w:szCs w:val="20"/>
              </w:rPr>
            </w:pPr>
            <w:r w:rsidRPr="00B775DE">
              <w:rPr>
                <w:rFonts w:ascii="Arial" w:eastAsia="Times New Roman" w:hAnsi="Arial" w:cs="Times New Roman"/>
                <w:kern w:val="0"/>
                <w:sz w:val="20"/>
                <w:szCs w:val="24"/>
              </w:rPr>
              <w:t xml:space="preserve">EVA </w:t>
            </w:r>
            <w:r w:rsidRPr="00B775DE">
              <w:rPr>
                <w:rFonts w:ascii="Arial" w:eastAsia="Times New Roman" w:hAnsi="Arial" w:cs="Arial"/>
                <w:kern w:val="0"/>
                <w:sz w:val="20"/>
                <w:szCs w:val="20"/>
              </w:rPr>
              <w:t>2024-2570-0037</w:t>
            </w:r>
          </w:p>
        </w:tc>
      </w:tr>
      <w:tr w:rsidR="00E65191" w:rsidRPr="00B775DE" w14:paraId="70C6FCA7" w14:textId="77777777" w:rsidTr="00C21643">
        <w:trPr>
          <w:gridAfter w:val="3"/>
          <w:wAfter w:w="3004" w:type="dxa"/>
        </w:trPr>
        <w:tc>
          <w:tcPr>
            <w:tcW w:w="6096" w:type="dxa"/>
            <w:gridSpan w:val="2"/>
          </w:tcPr>
          <w:p w14:paraId="44235C80" w14:textId="77777777" w:rsidR="00E65191" w:rsidRPr="00B775DE" w:rsidRDefault="00E65191" w:rsidP="00E65191">
            <w:pPr>
              <w:spacing w:after="0" w:line="260" w:lineRule="atLeast"/>
              <w:rPr>
                <w:rFonts w:ascii="Arial" w:eastAsia="Times New Roman" w:hAnsi="Arial" w:cs="Arial"/>
                <w:kern w:val="0"/>
                <w:sz w:val="20"/>
                <w:szCs w:val="20"/>
              </w:rPr>
            </w:pPr>
          </w:p>
          <w:p w14:paraId="1BA08161" w14:textId="77777777" w:rsidR="00E65191" w:rsidRPr="00B775DE" w:rsidRDefault="00E65191" w:rsidP="00E65191">
            <w:pPr>
              <w:spacing w:after="0" w:line="260" w:lineRule="atLeast"/>
              <w:rPr>
                <w:rFonts w:ascii="Arial" w:eastAsia="Times New Roman" w:hAnsi="Arial" w:cs="Arial"/>
                <w:kern w:val="0"/>
                <w:sz w:val="20"/>
                <w:szCs w:val="20"/>
              </w:rPr>
            </w:pPr>
            <w:r w:rsidRPr="00B775DE">
              <w:rPr>
                <w:rFonts w:ascii="Arial" w:eastAsia="Times New Roman" w:hAnsi="Arial" w:cs="Arial"/>
                <w:kern w:val="0"/>
                <w:sz w:val="20"/>
                <w:szCs w:val="20"/>
              </w:rPr>
              <w:t>GENERALNI SEKRETARIAT VLADE REPUBLIKE SLOVENIJE</w:t>
            </w:r>
          </w:p>
          <w:p w14:paraId="779028C6" w14:textId="77777777" w:rsidR="00E65191" w:rsidRPr="00B775DE" w:rsidRDefault="000B0A87" w:rsidP="00E65191">
            <w:pPr>
              <w:spacing w:after="0" w:line="260" w:lineRule="atLeast"/>
              <w:rPr>
                <w:rFonts w:ascii="Arial" w:eastAsia="Times New Roman" w:hAnsi="Arial" w:cs="Arial"/>
                <w:kern w:val="0"/>
                <w:sz w:val="20"/>
                <w:szCs w:val="20"/>
              </w:rPr>
            </w:pPr>
            <w:hyperlink r:id="rId7" w:history="1">
              <w:r w:rsidR="00E65191" w:rsidRPr="00B775DE">
                <w:rPr>
                  <w:rFonts w:ascii="Arial" w:eastAsia="Times New Roman" w:hAnsi="Arial" w:cs="Times New Roman"/>
                  <w:color w:val="0000FF"/>
                  <w:kern w:val="0"/>
                  <w:sz w:val="20"/>
                  <w:szCs w:val="20"/>
                  <w:u w:val="single"/>
                </w:rPr>
                <w:t>gp.gs@gov.si</w:t>
              </w:r>
            </w:hyperlink>
          </w:p>
          <w:p w14:paraId="70791928" w14:textId="77777777" w:rsidR="00E65191" w:rsidRPr="00B775DE" w:rsidRDefault="00E65191" w:rsidP="00E65191">
            <w:pPr>
              <w:spacing w:after="0" w:line="260" w:lineRule="atLeast"/>
              <w:rPr>
                <w:rFonts w:ascii="Arial" w:eastAsia="Times New Roman" w:hAnsi="Arial" w:cs="Arial"/>
                <w:kern w:val="0"/>
                <w:sz w:val="20"/>
                <w:szCs w:val="20"/>
              </w:rPr>
            </w:pPr>
          </w:p>
        </w:tc>
      </w:tr>
      <w:tr w:rsidR="00E65191" w:rsidRPr="00B775DE" w14:paraId="1444511C" w14:textId="77777777" w:rsidTr="00C21643">
        <w:tc>
          <w:tcPr>
            <w:tcW w:w="9100" w:type="dxa"/>
            <w:gridSpan w:val="5"/>
          </w:tcPr>
          <w:p w14:paraId="1CD78CE1" w14:textId="77777777" w:rsidR="00E65191" w:rsidRPr="00B775DE" w:rsidRDefault="00E65191" w:rsidP="00E65191">
            <w:pPr>
              <w:spacing w:after="0" w:line="260" w:lineRule="atLeast"/>
              <w:rPr>
                <w:rFonts w:ascii="Calibri" w:eastAsia="Times New Roman" w:hAnsi="Calibri" w:cs="Times New Roman"/>
                <w:b/>
                <w:bCs/>
                <w:kern w:val="0"/>
                <w:sz w:val="20"/>
                <w:szCs w:val="24"/>
              </w:rPr>
            </w:pPr>
            <w:r w:rsidRPr="00B775DE">
              <w:rPr>
                <w:rFonts w:ascii="Arial" w:eastAsia="Times New Roman" w:hAnsi="Arial" w:cs="Arial"/>
                <w:b/>
                <w:bCs/>
                <w:kern w:val="0"/>
                <w:sz w:val="20"/>
                <w:szCs w:val="20"/>
                <w:lang w:eastAsia="sl-SI"/>
              </w:rPr>
              <w:t xml:space="preserve">ZADEVA: </w:t>
            </w:r>
            <w:r w:rsidRPr="00B775DE">
              <w:rPr>
                <w:rFonts w:ascii="Arial" w:eastAsia="Times New Roman" w:hAnsi="Arial" w:cs="Arial"/>
                <w:b/>
                <w:bCs/>
                <w:kern w:val="0"/>
                <w:sz w:val="20"/>
                <w:szCs w:val="20"/>
                <w:lang w:eastAsia="sl-SI"/>
              </w:rPr>
              <w:tab/>
            </w:r>
            <w:bookmarkStart w:id="2" w:name="_Hlk195011148"/>
            <w:bookmarkStart w:id="3" w:name="_Hlk177117108"/>
            <w:r w:rsidRPr="00B775DE">
              <w:rPr>
                <w:rFonts w:ascii="Arial" w:eastAsia="Times New Roman" w:hAnsi="Arial" w:cs="Arial"/>
                <w:b/>
                <w:bCs/>
                <w:kern w:val="0"/>
                <w:sz w:val="20"/>
                <w:szCs w:val="20"/>
              </w:rPr>
              <w:t>Uredba o opravljanju obvezne državne gospodarske javne službe sežiganja komunalnih odpadkov</w:t>
            </w:r>
            <w:bookmarkEnd w:id="2"/>
            <w:r w:rsidRPr="00B775DE">
              <w:rPr>
                <w:rFonts w:ascii="Arial" w:eastAsia="Times New Roman" w:hAnsi="Arial" w:cs="Arial"/>
                <w:b/>
                <w:bCs/>
                <w:kern w:val="0"/>
                <w:sz w:val="20"/>
                <w:szCs w:val="20"/>
              </w:rPr>
              <w:t xml:space="preserve"> </w:t>
            </w:r>
            <w:bookmarkEnd w:id="3"/>
            <w:r w:rsidRPr="00B775DE">
              <w:rPr>
                <w:rFonts w:ascii="Arial" w:eastAsia="Times New Roman" w:hAnsi="Arial" w:cs="Arial"/>
                <w:b/>
                <w:bCs/>
                <w:kern w:val="0"/>
                <w:sz w:val="20"/>
                <w:szCs w:val="20"/>
                <w:lang w:eastAsia="sl-SI"/>
              </w:rPr>
              <w:t xml:space="preserve">– predlog za obravnavo </w:t>
            </w:r>
          </w:p>
        </w:tc>
      </w:tr>
      <w:tr w:rsidR="00E65191" w:rsidRPr="00B775DE" w14:paraId="395BABA0" w14:textId="77777777" w:rsidTr="00C21643">
        <w:tc>
          <w:tcPr>
            <w:tcW w:w="9100" w:type="dxa"/>
            <w:gridSpan w:val="5"/>
          </w:tcPr>
          <w:p w14:paraId="1BE84995" w14:textId="77777777" w:rsidR="00E65191" w:rsidRPr="00B775DE" w:rsidRDefault="00E65191" w:rsidP="00E65191">
            <w:pPr>
              <w:suppressAutoHyphens/>
              <w:overflowPunct w:val="0"/>
              <w:autoSpaceDE w:val="0"/>
              <w:autoSpaceDN w:val="0"/>
              <w:adjustRightInd w:val="0"/>
              <w:spacing w:after="0" w:line="260" w:lineRule="exact"/>
              <w:textAlignment w:val="baseline"/>
              <w:outlineLvl w:val="3"/>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1. Predlog sklepa vlade:</w:t>
            </w:r>
          </w:p>
        </w:tc>
      </w:tr>
      <w:tr w:rsidR="00E65191" w:rsidRPr="00B775DE" w14:paraId="02CEA81D" w14:textId="77777777" w:rsidTr="00C21643">
        <w:tc>
          <w:tcPr>
            <w:tcW w:w="9100" w:type="dxa"/>
            <w:gridSpan w:val="5"/>
          </w:tcPr>
          <w:p w14:paraId="0CD3F271" w14:textId="77777777" w:rsidR="00E65191" w:rsidRPr="00B775DE" w:rsidRDefault="00E65191" w:rsidP="00E65191">
            <w:pPr>
              <w:autoSpaceDE w:val="0"/>
              <w:autoSpaceDN w:val="0"/>
              <w:adjustRightInd w:val="0"/>
              <w:spacing w:before="240" w:after="0" w:line="240" w:lineRule="auto"/>
              <w:jc w:val="both"/>
              <w:rPr>
                <w:rFonts w:ascii="Book Antiqua" w:eastAsia="Times New Roman" w:hAnsi="Book Antiqua" w:cs="Arial"/>
                <w:iCs/>
                <w:kern w:val="0"/>
                <w:sz w:val="20"/>
                <w:szCs w:val="20"/>
                <w:lang w:eastAsia="sl-SI"/>
              </w:rPr>
            </w:pPr>
            <w:r w:rsidRPr="00B775DE">
              <w:rPr>
                <w:rFonts w:ascii="Arial" w:eastAsia="Times New Roman" w:hAnsi="Arial" w:cs="Arial"/>
                <w:kern w:val="0"/>
                <w:sz w:val="20"/>
                <w:szCs w:val="20"/>
              </w:rPr>
              <w:t>Na podlagi šestega odstavka 24. člena, prvega odstavka 175. člena in devetega odstavka 232. člena Zakona o varstvu okolja</w:t>
            </w:r>
            <w:r w:rsidRPr="00B775DE">
              <w:rPr>
                <w:rFonts w:ascii="Book Antiqua" w:eastAsia="Times New Roman" w:hAnsi="Book Antiqua" w:cs="Times New Roman"/>
                <w:kern w:val="0"/>
                <w:sz w:val="24"/>
                <w:szCs w:val="24"/>
              </w:rPr>
              <w:t xml:space="preserve"> </w:t>
            </w:r>
            <w:r w:rsidRPr="00B775DE">
              <w:rPr>
                <w:rFonts w:ascii="Arial" w:eastAsia="Times New Roman" w:hAnsi="Arial" w:cs="Arial"/>
                <w:kern w:val="0"/>
                <w:sz w:val="20"/>
                <w:szCs w:val="20"/>
              </w:rPr>
              <w:t xml:space="preserve"> (Uradni list RS, št. 44/22, 18/23 – ZDU-1O, 78/23 – ZUNPEOVE in 23/24) </w:t>
            </w:r>
            <w:r w:rsidRPr="00B775DE">
              <w:rPr>
                <w:rFonts w:ascii="Arial" w:eastAsia="Times New Roman" w:hAnsi="Arial" w:cs="Arial"/>
                <w:iCs/>
                <w:kern w:val="0"/>
                <w:sz w:val="20"/>
                <w:szCs w:val="20"/>
                <w:lang w:eastAsia="sl-SI"/>
              </w:rPr>
              <w:t>je Vlada Republike Slovenije na … seji … sprejela naslednji</w:t>
            </w:r>
            <w:r w:rsidRPr="00B775DE">
              <w:rPr>
                <w:rFonts w:ascii="Book Antiqua" w:eastAsia="Times New Roman" w:hAnsi="Book Antiqua" w:cs="Arial"/>
                <w:iCs/>
                <w:kern w:val="0"/>
                <w:sz w:val="20"/>
                <w:szCs w:val="20"/>
                <w:lang w:eastAsia="sl-SI"/>
              </w:rPr>
              <w:t xml:space="preserve"> </w:t>
            </w:r>
          </w:p>
          <w:p w14:paraId="3A08A04F"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p>
          <w:p w14:paraId="77FAC692" w14:textId="77777777" w:rsidR="00E65191" w:rsidRPr="00B775DE" w:rsidRDefault="00E65191" w:rsidP="00E65191">
            <w:pPr>
              <w:overflowPunct w:val="0"/>
              <w:autoSpaceDE w:val="0"/>
              <w:autoSpaceDN w:val="0"/>
              <w:adjustRightInd w:val="0"/>
              <w:spacing w:before="60" w:after="6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SKLEP:</w:t>
            </w:r>
          </w:p>
          <w:p w14:paraId="6AA0C101"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p>
          <w:p w14:paraId="341927D8"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bookmarkStart w:id="4" w:name="_Hlk88465377"/>
            <w:r w:rsidRPr="00B775DE">
              <w:rPr>
                <w:rFonts w:ascii="Arial" w:eastAsia="Times New Roman" w:hAnsi="Arial" w:cs="Arial"/>
                <w:iCs/>
                <w:kern w:val="0"/>
                <w:sz w:val="20"/>
                <w:szCs w:val="20"/>
                <w:lang w:eastAsia="sl-SI"/>
              </w:rPr>
              <w:t xml:space="preserve">Vlada Republike Slovenije je izdala Uredbo </w:t>
            </w:r>
            <w:r w:rsidRPr="00B775DE">
              <w:rPr>
                <w:rFonts w:ascii="Arial" w:eastAsia="Times New Roman" w:hAnsi="Arial" w:cs="Arial"/>
                <w:kern w:val="0"/>
                <w:sz w:val="20"/>
                <w:szCs w:val="20"/>
              </w:rPr>
              <w:t>o opravljanju obvezne državne gospodarske javne službe sežiganja komunalnih odpadkov</w:t>
            </w:r>
            <w:r w:rsidRPr="00B775DE">
              <w:rPr>
                <w:rFonts w:ascii="Arial" w:eastAsia="Times New Roman" w:hAnsi="Arial" w:cs="Arial"/>
                <w:iCs/>
                <w:kern w:val="0"/>
                <w:sz w:val="20"/>
                <w:szCs w:val="20"/>
                <w:lang w:eastAsia="sl-SI"/>
              </w:rPr>
              <w:t xml:space="preserve"> ter</w:t>
            </w:r>
            <w:bookmarkEnd w:id="4"/>
            <w:r w:rsidRPr="00B775DE">
              <w:rPr>
                <w:rFonts w:ascii="Arial" w:eastAsia="Times New Roman" w:hAnsi="Arial" w:cs="Arial"/>
                <w:iCs/>
                <w:kern w:val="0"/>
                <w:sz w:val="20"/>
                <w:szCs w:val="20"/>
                <w:lang w:eastAsia="sl-SI"/>
              </w:rPr>
              <w:t xml:space="preserve"> jo objavi v Uradnem listu Republike Slovenije.</w:t>
            </w:r>
          </w:p>
          <w:p w14:paraId="441A5333"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p>
          <w:p w14:paraId="40F69B2D" w14:textId="77777777" w:rsidR="00E65191" w:rsidRPr="00B775DE" w:rsidRDefault="00E65191" w:rsidP="00E65191">
            <w:pPr>
              <w:tabs>
                <w:tab w:val="center" w:pos="7122"/>
              </w:tabs>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ab/>
            </w:r>
          </w:p>
          <w:p w14:paraId="4FABEA68" w14:textId="77777777" w:rsidR="00E65191" w:rsidRPr="00B775DE" w:rsidRDefault="00E65191" w:rsidP="00E65191">
            <w:pPr>
              <w:tabs>
                <w:tab w:val="center" w:pos="7122"/>
              </w:tabs>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xml:space="preserve">                                                                                                              Barbara KOLENKO HELBL</w:t>
            </w:r>
          </w:p>
          <w:p w14:paraId="114C888D" w14:textId="77777777" w:rsidR="00E65191" w:rsidRPr="00B775DE" w:rsidRDefault="00E65191" w:rsidP="00E65191">
            <w:pPr>
              <w:tabs>
                <w:tab w:val="center" w:pos="7122"/>
              </w:tabs>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ab/>
              <w:t>GENERALNA SEKRETARKA</w:t>
            </w:r>
          </w:p>
          <w:p w14:paraId="401F4ADC"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Prejmejo:</w:t>
            </w:r>
          </w:p>
          <w:p w14:paraId="0B87B843"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Ministrstvo za pravosodje Republike Slovenije,</w:t>
            </w:r>
          </w:p>
          <w:p w14:paraId="70B489C0"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Ministrstvo za kmetijstvo, gozdarstvo in prehrano  Republike Slovenije,</w:t>
            </w:r>
          </w:p>
          <w:p w14:paraId="5915796B"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Ministrstvo za finance  Republike Slovenije,</w:t>
            </w:r>
          </w:p>
          <w:p w14:paraId="27DFE2A7"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lastRenderedPageBreak/>
              <w:t>– Ministrstvo za naravne vire in prostor Republike Slovenije,</w:t>
            </w:r>
          </w:p>
          <w:p w14:paraId="5306DFE8"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Ministrstvo za gospodarstvo, turizem in šport Republike Slovenije,</w:t>
            </w:r>
          </w:p>
          <w:p w14:paraId="49C8ACCF"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Ministrstvo za okolje, podnebje in energijo Republike Slovenije,</w:t>
            </w:r>
          </w:p>
          <w:p w14:paraId="329A5FC3"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Ministrstvo za javno upravo Republike Slovenije</w:t>
            </w:r>
          </w:p>
          <w:p w14:paraId="67587828" w14:textId="77777777" w:rsidR="00E65191" w:rsidRPr="00B775DE" w:rsidRDefault="00E65191" w:rsidP="00E65191">
            <w:pPr>
              <w:overflowPunct w:val="0"/>
              <w:autoSpaceDE w:val="0"/>
              <w:autoSpaceDN w:val="0"/>
              <w:adjustRightInd w:val="0"/>
              <w:spacing w:before="60" w:after="6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xml:space="preserve"> in</w:t>
            </w:r>
          </w:p>
          <w:p w14:paraId="480678D6"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xml:space="preserve">– Služba Vlade Republike Slovenije za zakonodajo. </w:t>
            </w:r>
          </w:p>
          <w:p w14:paraId="3B568F92"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p>
        </w:tc>
      </w:tr>
      <w:tr w:rsidR="00E65191" w:rsidRPr="00B775DE" w14:paraId="152B55F5" w14:textId="77777777" w:rsidTr="00C21643">
        <w:tc>
          <w:tcPr>
            <w:tcW w:w="9100" w:type="dxa"/>
            <w:gridSpan w:val="5"/>
          </w:tcPr>
          <w:p w14:paraId="4D140C5E"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rPr>
            </w:pPr>
            <w:r w:rsidRPr="00B775DE">
              <w:rPr>
                <w:rFonts w:ascii="Arial" w:eastAsia="Times New Roman" w:hAnsi="Arial" w:cs="Arial"/>
                <w:b/>
                <w:kern w:val="0"/>
                <w:sz w:val="20"/>
                <w:szCs w:val="20"/>
                <w:lang w:eastAsia="sl-SI"/>
              </w:rPr>
              <w:lastRenderedPageBreak/>
              <w:t>2. Predlog za obravnavo predloga zakona po nujnem ali skrajšanem postopku v državnem zboru z obrazložitvijo razlogov:</w:t>
            </w:r>
          </w:p>
        </w:tc>
      </w:tr>
      <w:tr w:rsidR="00E65191" w:rsidRPr="00B775DE" w14:paraId="5CB77B46" w14:textId="77777777" w:rsidTr="00C21643">
        <w:tc>
          <w:tcPr>
            <w:tcW w:w="9100" w:type="dxa"/>
            <w:gridSpan w:val="5"/>
          </w:tcPr>
          <w:p w14:paraId="3A8D6063"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w:t>
            </w:r>
          </w:p>
        </w:tc>
      </w:tr>
      <w:tr w:rsidR="00E65191" w:rsidRPr="00B775DE" w14:paraId="70743592" w14:textId="77777777" w:rsidTr="00C21643">
        <w:tc>
          <w:tcPr>
            <w:tcW w:w="9100" w:type="dxa"/>
            <w:gridSpan w:val="5"/>
          </w:tcPr>
          <w:p w14:paraId="060106F2"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rPr>
            </w:pPr>
            <w:r w:rsidRPr="00B775DE">
              <w:rPr>
                <w:rFonts w:ascii="Arial" w:eastAsia="Times New Roman" w:hAnsi="Arial" w:cs="Arial"/>
                <w:b/>
                <w:kern w:val="0"/>
                <w:sz w:val="20"/>
                <w:szCs w:val="20"/>
                <w:lang w:eastAsia="sl-SI"/>
              </w:rPr>
              <w:t>3.a Osebe, odgovorne za strokovno pripravo in usklajenost gradiva:</w:t>
            </w:r>
          </w:p>
        </w:tc>
      </w:tr>
      <w:tr w:rsidR="00E65191" w:rsidRPr="00B775DE" w14:paraId="2F3116C8" w14:textId="77777777" w:rsidTr="00C21643">
        <w:tc>
          <w:tcPr>
            <w:tcW w:w="9100" w:type="dxa"/>
            <w:gridSpan w:val="5"/>
          </w:tcPr>
          <w:p w14:paraId="35382311" w14:textId="77777777" w:rsidR="00E65191" w:rsidRPr="00B775DE" w:rsidRDefault="00E65191" w:rsidP="00E65191">
            <w:pPr>
              <w:numPr>
                <w:ilvl w:val="0"/>
                <w:numId w:val="5"/>
              </w:numPr>
              <w:overflowPunct w:val="0"/>
              <w:autoSpaceDE w:val="0"/>
              <w:autoSpaceDN w:val="0"/>
              <w:adjustRightInd w:val="0"/>
              <w:spacing w:before="60" w:after="60" w:line="260" w:lineRule="exact"/>
              <w:ind w:left="596" w:hanging="283"/>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Mag. Bojan Kumer, minister, Ministrstvo za okolje, podnebje in energijo,</w:t>
            </w:r>
          </w:p>
          <w:p w14:paraId="45A614EC" w14:textId="77777777" w:rsidR="00E65191" w:rsidRPr="00B775DE" w:rsidRDefault="00E65191" w:rsidP="00E65191">
            <w:pPr>
              <w:numPr>
                <w:ilvl w:val="0"/>
                <w:numId w:val="5"/>
              </w:numPr>
              <w:overflowPunct w:val="0"/>
              <w:autoSpaceDE w:val="0"/>
              <w:autoSpaceDN w:val="0"/>
              <w:adjustRightInd w:val="0"/>
              <w:spacing w:before="60" w:after="60" w:line="260" w:lineRule="exact"/>
              <w:ind w:left="596" w:hanging="283"/>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Uroš Vajgl, državni sekretar, Ministrstvo za okolje, podnebje in energijo,</w:t>
            </w:r>
          </w:p>
          <w:p w14:paraId="0F7D8218" w14:textId="77777777" w:rsidR="00E65191" w:rsidRPr="00B775DE" w:rsidRDefault="00E65191" w:rsidP="00E65191">
            <w:pPr>
              <w:numPr>
                <w:ilvl w:val="0"/>
                <w:numId w:val="5"/>
              </w:numPr>
              <w:overflowPunct w:val="0"/>
              <w:autoSpaceDE w:val="0"/>
              <w:autoSpaceDN w:val="0"/>
              <w:adjustRightInd w:val="0"/>
              <w:spacing w:before="60" w:after="60" w:line="260" w:lineRule="exact"/>
              <w:ind w:left="596" w:hanging="283"/>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mag. Tanja Bolte, generalna direktorica Direktorata za okolje, Ministrstvo za okolje, podnebje in energijo,</w:t>
            </w:r>
          </w:p>
          <w:p w14:paraId="5CF49CD2" w14:textId="77777777" w:rsidR="00E65191" w:rsidRPr="00B775DE" w:rsidRDefault="00E65191" w:rsidP="00E65191">
            <w:pPr>
              <w:numPr>
                <w:ilvl w:val="0"/>
                <w:numId w:val="5"/>
              </w:numPr>
              <w:overflowPunct w:val="0"/>
              <w:autoSpaceDE w:val="0"/>
              <w:autoSpaceDN w:val="0"/>
              <w:adjustRightInd w:val="0"/>
              <w:spacing w:before="60" w:after="60" w:line="260" w:lineRule="exact"/>
              <w:ind w:left="596" w:hanging="283"/>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Matej Kovačič, sekretar, Sektor za ravnanje z odpadki Direktorata za okolje, Ministrstvo za okolje, podnebje in energijo.</w:t>
            </w:r>
          </w:p>
        </w:tc>
      </w:tr>
      <w:tr w:rsidR="00E65191" w:rsidRPr="00B775DE" w14:paraId="070787D1" w14:textId="77777777" w:rsidTr="00C21643">
        <w:tc>
          <w:tcPr>
            <w:tcW w:w="9100" w:type="dxa"/>
            <w:gridSpan w:val="5"/>
          </w:tcPr>
          <w:p w14:paraId="0943BF1E"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rPr>
            </w:pPr>
            <w:r w:rsidRPr="00B775DE">
              <w:rPr>
                <w:rFonts w:ascii="Arial" w:eastAsia="Times New Roman" w:hAnsi="Arial" w:cs="Arial"/>
                <w:b/>
                <w:iCs/>
                <w:kern w:val="0"/>
                <w:sz w:val="20"/>
                <w:szCs w:val="20"/>
                <w:lang w:eastAsia="sl-SI"/>
              </w:rPr>
              <w:t xml:space="preserve">3.b Zunanji strokovnjaki, ki so </w:t>
            </w:r>
            <w:r w:rsidRPr="00B775DE">
              <w:rPr>
                <w:rFonts w:ascii="Arial" w:eastAsia="Times New Roman" w:hAnsi="Arial" w:cs="Arial"/>
                <w:b/>
                <w:kern w:val="0"/>
                <w:sz w:val="20"/>
                <w:szCs w:val="20"/>
                <w:lang w:eastAsia="sl-SI"/>
              </w:rPr>
              <w:t>sodelovali pri pripravi dela ali celotnega gradiva:</w:t>
            </w:r>
          </w:p>
        </w:tc>
      </w:tr>
      <w:tr w:rsidR="00E65191" w:rsidRPr="00B775DE" w14:paraId="4EE7D70A" w14:textId="77777777" w:rsidTr="00C21643">
        <w:tc>
          <w:tcPr>
            <w:tcW w:w="9100" w:type="dxa"/>
            <w:gridSpan w:val="5"/>
          </w:tcPr>
          <w:p w14:paraId="46F20CF4"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w:t>
            </w:r>
          </w:p>
        </w:tc>
      </w:tr>
      <w:tr w:rsidR="00E65191" w:rsidRPr="00B775DE" w14:paraId="16E69C4A" w14:textId="77777777" w:rsidTr="00C21643">
        <w:tc>
          <w:tcPr>
            <w:tcW w:w="9100" w:type="dxa"/>
            <w:gridSpan w:val="5"/>
          </w:tcPr>
          <w:p w14:paraId="2F3171C7"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rPr>
            </w:pPr>
            <w:r w:rsidRPr="00B775DE">
              <w:rPr>
                <w:rFonts w:ascii="Arial" w:eastAsia="Times New Roman" w:hAnsi="Arial" w:cs="Arial"/>
                <w:b/>
                <w:kern w:val="0"/>
                <w:sz w:val="20"/>
                <w:szCs w:val="20"/>
                <w:lang w:eastAsia="sl-SI"/>
              </w:rPr>
              <w:t>4. Predstavniki vlade, ki bodo sodelovali pri delu državnega zbora:</w:t>
            </w:r>
          </w:p>
        </w:tc>
      </w:tr>
      <w:tr w:rsidR="00E65191" w:rsidRPr="00B775DE" w14:paraId="1A22C2AB" w14:textId="77777777" w:rsidTr="00C21643">
        <w:tc>
          <w:tcPr>
            <w:tcW w:w="9100" w:type="dxa"/>
            <w:gridSpan w:val="5"/>
          </w:tcPr>
          <w:p w14:paraId="280670D1"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rPr>
            </w:pPr>
            <w:r w:rsidRPr="00B775DE">
              <w:rPr>
                <w:rFonts w:ascii="Arial" w:eastAsia="Times New Roman" w:hAnsi="Arial" w:cs="Arial"/>
                <w:iCs/>
                <w:kern w:val="0"/>
                <w:sz w:val="20"/>
                <w:szCs w:val="20"/>
                <w:lang w:eastAsia="sl-SI"/>
              </w:rPr>
              <w:t>/</w:t>
            </w:r>
          </w:p>
        </w:tc>
      </w:tr>
      <w:tr w:rsidR="00E65191" w:rsidRPr="00B775DE" w14:paraId="148A3C65" w14:textId="77777777" w:rsidTr="00C21643">
        <w:tc>
          <w:tcPr>
            <w:tcW w:w="9100" w:type="dxa"/>
            <w:gridSpan w:val="5"/>
          </w:tcPr>
          <w:p w14:paraId="4292CB33"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b/>
                <w:bCs/>
                <w:kern w:val="0"/>
                <w:sz w:val="20"/>
                <w:lang w:eastAsia="sl-SI"/>
              </w:rPr>
            </w:pPr>
            <w:r w:rsidRPr="00B775DE">
              <w:rPr>
                <w:rFonts w:ascii="Arial" w:eastAsia="Times New Roman" w:hAnsi="Arial" w:cs="Times New Roman"/>
                <w:b/>
                <w:bCs/>
                <w:kern w:val="0"/>
                <w:sz w:val="20"/>
                <w:lang w:eastAsia="sl-SI"/>
              </w:rPr>
              <w:t>5. Kratek povzetek gradiva:</w:t>
            </w:r>
          </w:p>
        </w:tc>
      </w:tr>
      <w:tr w:rsidR="00E65191" w:rsidRPr="00B775DE" w14:paraId="0F6EB966" w14:textId="77777777" w:rsidTr="00C21643">
        <w:tc>
          <w:tcPr>
            <w:tcW w:w="9100" w:type="dxa"/>
            <w:gridSpan w:val="5"/>
          </w:tcPr>
          <w:p w14:paraId="163BB281"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t xml:space="preserve">Predlog Uredbe o opravljanju obvezne državne gospodarske javne službe sežiganja komunalnih odpadkov (v nadaljnjem besedilu: predlog uredbe) nadomešča obstoječo Uredbo </w:t>
            </w:r>
            <w:r w:rsidRPr="00B775DE">
              <w:rPr>
                <w:rFonts w:ascii="Arial" w:eastAsia="Times New Roman" w:hAnsi="Arial" w:cs="Times New Roman"/>
                <w:kern w:val="0"/>
                <w:sz w:val="20"/>
                <w:szCs w:val="24"/>
              </w:rPr>
              <w:t>o opravljanju obvezne državne gospodarske javne službe sežiganja komunalnih odpadkov (Uradni list RS, št. 67/22, v nadaljnjem besedilu: uredba)</w:t>
            </w:r>
            <w:r w:rsidRPr="00B775DE">
              <w:rPr>
                <w:rFonts w:ascii="Arial" w:eastAsia="Times New Roman" w:hAnsi="Arial" w:cs="Arial"/>
                <w:bCs/>
                <w:kern w:val="0"/>
                <w:sz w:val="20"/>
                <w:szCs w:val="20"/>
              </w:rPr>
              <w:t xml:space="preserve"> in določa pogoje ter način izvajanja te gospodarske javne službe. Pravna podlaga za predlog uredbe je iz Zakon o varstvu okolja (Uradni list RS, št. 44/22, 18/23 – ZDU-1O, 78/23 – ZUNPEOVE in 23/24).</w:t>
            </w:r>
          </w:p>
          <w:p w14:paraId="0B3BC11A"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t>Namen predloga uredbe je oblikovanje pravne podlage za omogočanje sežiga gorljivih komunalnih odpadkov za povečanje samozadostnosti Republike Slovenije, ki za ta namen še nima zadostnih kapacitet. Zato je potrebno te odpadke pošiljati v tujino, kar zaradi občasne nedostopnosti tujih obratov povzroča kopičenje in skladiščenje odpadkov v Republiki Sloveniji.</w:t>
            </w:r>
          </w:p>
          <w:p w14:paraId="0E6BCBCE"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t xml:space="preserve">Predlog uredbe predvideva letno količino obdelave 140.000 ton odpadkov v okviru izvajanja javne službe. Predlog uredbe upošteva nove </w:t>
            </w:r>
            <w:proofErr w:type="spellStart"/>
            <w:r w:rsidRPr="00B775DE">
              <w:rPr>
                <w:rFonts w:ascii="Arial" w:eastAsia="Times New Roman" w:hAnsi="Arial" w:cs="Arial"/>
                <w:bCs/>
                <w:kern w:val="0"/>
                <w:sz w:val="20"/>
                <w:szCs w:val="20"/>
              </w:rPr>
              <w:t>okoljske</w:t>
            </w:r>
            <w:proofErr w:type="spellEnd"/>
            <w:r w:rsidRPr="00B775DE">
              <w:rPr>
                <w:rFonts w:ascii="Arial" w:eastAsia="Times New Roman" w:hAnsi="Arial" w:cs="Arial"/>
                <w:bCs/>
                <w:kern w:val="0"/>
                <w:sz w:val="20"/>
                <w:szCs w:val="20"/>
              </w:rPr>
              <w:t xml:space="preserve"> uredbe in programe Evropske unije, ki prioritetno poudarjajo predvsem reciklažo in zmanjševanje odpadkov. Predlog uredbe predvideva termično obdelavo le za </w:t>
            </w:r>
            <w:proofErr w:type="spellStart"/>
            <w:r w:rsidRPr="00B775DE">
              <w:rPr>
                <w:rFonts w:ascii="Arial" w:eastAsia="Times New Roman" w:hAnsi="Arial" w:cs="Arial"/>
                <w:bCs/>
                <w:kern w:val="0"/>
                <w:sz w:val="20"/>
                <w:szCs w:val="20"/>
              </w:rPr>
              <w:t>nereciklabilne</w:t>
            </w:r>
            <w:proofErr w:type="spellEnd"/>
            <w:r w:rsidRPr="00B775DE">
              <w:rPr>
                <w:rFonts w:ascii="Arial" w:eastAsia="Times New Roman" w:hAnsi="Arial" w:cs="Arial"/>
                <w:bCs/>
                <w:kern w:val="0"/>
                <w:sz w:val="20"/>
                <w:szCs w:val="20"/>
              </w:rPr>
              <w:t xml:space="preserve"> odpadke, kar naj bi zmanjšalo vpliv na okolje in zdravje</w:t>
            </w:r>
            <w:r w:rsidRPr="00B775DE">
              <w:rPr>
                <w:rFonts w:ascii="Arial" w:eastAsia="Times New Roman" w:hAnsi="Arial" w:cs="Times New Roman"/>
                <w:kern w:val="0"/>
                <w:sz w:val="20"/>
                <w:szCs w:val="24"/>
              </w:rPr>
              <w:t xml:space="preserve">, </w:t>
            </w:r>
            <w:r w:rsidRPr="00B775DE">
              <w:rPr>
                <w:rFonts w:ascii="Arial" w:eastAsia="Times New Roman" w:hAnsi="Arial" w:cs="Arial"/>
                <w:bCs/>
                <w:kern w:val="0"/>
                <w:sz w:val="20"/>
                <w:szCs w:val="20"/>
              </w:rPr>
              <w:t>kar bo vplivalo na doseganje ciljev varstva okolja ter z reguliranimi količinami tako obdelanih odpadkov zmanjšalo negativne vplive na okolje in zdravje.</w:t>
            </w:r>
          </w:p>
          <w:p w14:paraId="58764AA4"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t>S predlogom uredbe so določeni tudi pogoji za izbiro koncesionarjev za izvajanje obvezne državne gospodarske javne službe</w:t>
            </w:r>
            <w:r w:rsidRPr="00B775DE">
              <w:rPr>
                <w:rFonts w:ascii="Arial" w:eastAsia="Times New Roman" w:hAnsi="Arial" w:cs="Times New Roman"/>
                <w:kern w:val="0"/>
                <w:sz w:val="20"/>
                <w:szCs w:val="24"/>
              </w:rPr>
              <w:t xml:space="preserve"> sežiganja komunalnih odpadkov</w:t>
            </w:r>
            <w:r w:rsidRPr="00B775DE">
              <w:rPr>
                <w:rFonts w:ascii="Arial" w:eastAsia="Times New Roman" w:hAnsi="Arial" w:cs="Arial"/>
                <w:bCs/>
                <w:kern w:val="0"/>
                <w:sz w:val="20"/>
                <w:szCs w:val="20"/>
              </w:rPr>
              <w:t>, maksimalne kapacitete novih sežigalnic ter metodologija za določanje cen storitev te gospodarske javne službe z vključevanjem prihodkov od prodaje toplote in elektrike, ki nastaneta v postopku sežiga gorljivih sestavin komunalnih odpadkov.</w:t>
            </w:r>
          </w:p>
          <w:p w14:paraId="4D1A673E"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t xml:space="preserve">Predlog uredbe vsebuje tudi metodologijo določanja cen storitev obvezne državne gospodarske javne službe sežiganja komunalnih odpadkov s poudarkom, da morajo prihodki prodaje nastale toplote, elektrike in morebitnih posebnih storitev prispevati k zmanjševanju izračunane lastne cene. Predlog uredbe vsebuje tudi zahteve za poročanje. </w:t>
            </w:r>
          </w:p>
          <w:p w14:paraId="08F7A46C"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lastRenderedPageBreak/>
              <w:t xml:space="preserve">Dodana je tudi določba o finančnem jamstvu za zavarovanje izvedbe ukrepov, ki jih mora upravljavec obrata za izvajanje gospodarske javne službe sežiganja komunalnih odpadkov izvajati v primeru prekomerne obremenitve okolja. </w:t>
            </w:r>
          </w:p>
          <w:p w14:paraId="1F6B701E"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bCs/>
                <w:kern w:val="0"/>
                <w:sz w:val="20"/>
                <w:szCs w:val="20"/>
              </w:rPr>
            </w:pPr>
            <w:r w:rsidRPr="00B775DE">
              <w:rPr>
                <w:rFonts w:ascii="Arial" w:eastAsia="Times New Roman" w:hAnsi="Arial" w:cs="Arial"/>
                <w:bCs/>
                <w:kern w:val="0"/>
                <w:sz w:val="20"/>
                <w:szCs w:val="20"/>
              </w:rPr>
              <w:t>Med merili za izbor koncesionarja – izvajalca obvezne državne gospodarske javne službe sežiganja komunalnih odpadkov - v konkurenčnem postopku je dodana ocena osnovnih značilnosti lokacije predvidene sežigalnice na podlagi gostote naseljenosti, geografske lege in meteoroloških pogojev ter obstoječega stanja okolja.</w:t>
            </w:r>
          </w:p>
          <w:p w14:paraId="77B9012B" w14:textId="77777777" w:rsidR="00E65191" w:rsidRPr="00B775DE" w:rsidRDefault="00E65191" w:rsidP="00E65191">
            <w:pPr>
              <w:shd w:val="clear" w:color="auto" w:fill="FFFFFF"/>
              <w:tabs>
                <w:tab w:val="left" w:pos="426"/>
              </w:tabs>
              <w:spacing w:before="120" w:after="120" w:line="260" w:lineRule="atLeast"/>
              <w:jc w:val="both"/>
              <w:rPr>
                <w:rFonts w:ascii="Arial" w:eastAsia="Times New Roman" w:hAnsi="Arial" w:cs="Arial"/>
                <w:iCs/>
                <w:kern w:val="0"/>
                <w:sz w:val="20"/>
                <w:szCs w:val="20"/>
                <w:lang w:eastAsia="sl-SI"/>
              </w:rPr>
            </w:pPr>
            <w:r w:rsidRPr="00B775DE">
              <w:rPr>
                <w:rFonts w:ascii="Arial" w:eastAsia="Times New Roman" w:hAnsi="Arial" w:cs="Arial"/>
                <w:bCs/>
                <w:kern w:val="0"/>
                <w:sz w:val="20"/>
                <w:szCs w:val="20"/>
              </w:rPr>
              <w:t>Omejena je tudi maksimalna kapaciteta novih naprav – infrastrukture, v kateri se bo izvajala obvezna gospodarska javna služba sežiganja komunalnih odpadkov.</w:t>
            </w:r>
          </w:p>
        </w:tc>
      </w:tr>
      <w:tr w:rsidR="00E65191" w:rsidRPr="00B775DE" w14:paraId="7E4C4AAE" w14:textId="77777777" w:rsidTr="00C21643">
        <w:tc>
          <w:tcPr>
            <w:tcW w:w="9100" w:type="dxa"/>
            <w:gridSpan w:val="5"/>
          </w:tcPr>
          <w:p w14:paraId="25CB2B63"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lang w:eastAsia="sl-SI"/>
              </w:rPr>
            </w:pPr>
            <w:r w:rsidRPr="00B775DE">
              <w:rPr>
                <w:rFonts w:ascii="Arial" w:eastAsia="Times New Roman" w:hAnsi="Arial" w:cs="Times New Roman"/>
                <w:kern w:val="0"/>
                <w:sz w:val="20"/>
                <w:lang w:eastAsia="sl-SI"/>
              </w:rPr>
              <w:lastRenderedPageBreak/>
              <w:t>6. Presoja posledic za:</w:t>
            </w:r>
          </w:p>
        </w:tc>
      </w:tr>
      <w:tr w:rsidR="00E65191" w:rsidRPr="00B775DE" w14:paraId="02CDABA1" w14:textId="77777777" w:rsidTr="00C21643">
        <w:tc>
          <w:tcPr>
            <w:tcW w:w="1448" w:type="dxa"/>
          </w:tcPr>
          <w:p w14:paraId="4FD9ED9F"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a)</w:t>
            </w:r>
          </w:p>
        </w:tc>
        <w:tc>
          <w:tcPr>
            <w:tcW w:w="5444" w:type="dxa"/>
            <w:gridSpan w:val="3"/>
          </w:tcPr>
          <w:p w14:paraId="767DC2B4"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javnofinančna sredstva nad 40.000 EUR v tekočem in naslednjih treh letih</w:t>
            </w:r>
          </w:p>
        </w:tc>
        <w:tc>
          <w:tcPr>
            <w:tcW w:w="2208" w:type="dxa"/>
            <w:vAlign w:val="center"/>
          </w:tcPr>
          <w:p w14:paraId="51A35A57"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65F7AC49" w14:textId="77777777" w:rsidTr="00C21643">
        <w:tc>
          <w:tcPr>
            <w:tcW w:w="1448" w:type="dxa"/>
          </w:tcPr>
          <w:p w14:paraId="273DE1CF"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b)</w:t>
            </w:r>
          </w:p>
        </w:tc>
        <w:tc>
          <w:tcPr>
            <w:tcW w:w="5444" w:type="dxa"/>
            <w:gridSpan w:val="3"/>
          </w:tcPr>
          <w:p w14:paraId="0C0C7D06"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bCs/>
                <w:kern w:val="0"/>
                <w:sz w:val="20"/>
                <w:szCs w:val="20"/>
                <w:lang w:eastAsia="sl-SI"/>
              </w:rPr>
              <w:t>usklajenost slovenskega pravnega reda s pravnim redom Evropske unije</w:t>
            </w:r>
          </w:p>
        </w:tc>
        <w:tc>
          <w:tcPr>
            <w:tcW w:w="2208" w:type="dxa"/>
            <w:vAlign w:val="center"/>
          </w:tcPr>
          <w:p w14:paraId="562509D9"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DA</w:t>
            </w:r>
          </w:p>
        </w:tc>
      </w:tr>
      <w:tr w:rsidR="00E65191" w:rsidRPr="00B775DE" w14:paraId="681BE18D" w14:textId="77777777" w:rsidTr="00C21643">
        <w:tc>
          <w:tcPr>
            <w:tcW w:w="1448" w:type="dxa"/>
          </w:tcPr>
          <w:p w14:paraId="69996048"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c)</w:t>
            </w:r>
          </w:p>
        </w:tc>
        <w:tc>
          <w:tcPr>
            <w:tcW w:w="5444" w:type="dxa"/>
            <w:gridSpan w:val="3"/>
          </w:tcPr>
          <w:p w14:paraId="3C0F9C59"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administrativne posledice</w:t>
            </w:r>
          </w:p>
        </w:tc>
        <w:tc>
          <w:tcPr>
            <w:tcW w:w="2208" w:type="dxa"/>
            <w:vAlign w:val="center"/>
          </w:tcPr>
          <w:p w14:paraId="3DEDD547"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2D690E59" w14:textId="77777777" w:rsidTr="00C21643">
        <w:tc>
          <w:tcPr>
            <w:tcW w:w="1448" w:type="dxa"/>
          </w:tcPr>
          <w:p w14:paraId="10A8D97C"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č)</w:t>
            </w:r>
          </w:p>
        </w:tc>
        <w:tc>
          <w:tcPr>
            <w:tcW w:w="5444" w:type="dxa"/>
            <w:gridSpan w:val="3"/>
          </w:tcPr>
          <w:p w14:paraId="38AC15CE"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kern w:val="0"/>
                <w:sz w:val="20"/>
                <w:szCs w:val="20"/>
                <w:lang w:eastAsia="sl-SI"/>
              </w:rPr>
              <w:t>gospodarstvo, zlasti</w:t>
            </w:r>
            <w:r w:rsidRPr="00B775DE">
              <w:rPr>
                <w:rFonts w:ascii="Arial" w:eastAsia="Times New Roman" w:hAnsi="Arial" w:cs="Arial"/>
                <w:bCs/>
                <w:kern w:val="0"/>
                <w:sz w:val="20"/>
                <w:szCs w:val="20"/>
                <w:lang w:eastAsia="sl-SI"/>
              </w:rPr>
              <w:t xml:space="preserve"> mala in srednja podjetja ter konkurenčnost podjetij</w:t>
            </w:r>
          </w:p>
        </w:tc>
        <w:tc>
          <w:tcPr>
            <w:tcW w:w="2208" w:type="dxa"/>
            <w:vAlign w:val="center"/>
          </w:tcPr>
          <w:p w14:paraId="3CCD5CAC"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25E37A80" w14:textId="77777777" w:rsidTr="00C21643">
        <w:tc>
          <w:tcPr>
            <w:tcW w:w="1448" w:type="dxa"/>
          </w:tcPr>
          <w:p w14:paraId="32583A55"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d)</w:t>
            </w:r>
          </w:p>
        </w:tc>
        <w:tc>
          <w:tcPr>
            <w:tcW w:w="5444" w:type="dxa"/>
            <w:gridSpan w:val="3"/>
          </w:tcPr>
          <w:p w14:paraId="7DC2AC16"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bCs/>
                <w:kern w:val="0"/>
                <w:sz w:val="20"/>
                <w:szCs w:val="20"/>
                <w:lang w:eastAsia="sl-SI"/>
              </w:rPr>
              <w:t>okolje, vključno s prostorskimi in varstvenimi vidiki</w:t>
            </w:r>
          </w:p>
        </w:tc>
        <w:tc>
          <w:tcPr>
            <w:tcW w:w="2208" w:type="dxa"/>
            <w:vAlign w:val="center"/>
          </w:tcPr>
          <w:p w14:paraId="3050C6B2"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DA</w:t>
            </w:r>
          </w:p>
        </w:tc>
      </w:tr>
      <w:tr w:rsidR="00E65191" w:rsidRPr="00B775DE" w14:paraId="0DC9A08A" w14:textId="77777777" w:rsidTr="00C21643">
        <w:tc>
          <w:tcPr>
            <w:tcW w:w="1448" w:type="dxa"/>
          </w:tcPr>
          <w:p w14:paraId="22DF4031"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e)</w:t>
            </w:r>
          </w:p>
        </w:tc>
        <w:tc>
          <w:tcPr>
            <w:tcW w:w="5444" w:type="dxa"/>
            <w:gridSpan w:val="3"/>
          </w:tcPr>
          <w:p w14:paraId="69AE5A69"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bCs/>
                <w:kern w:val="0"/>
                <w:sz w:val="20"/>
                <w:szCs w:val="20"/>
                <w:lang w:eastAsia="sl-SI"/>
              </w:rPr>
              <w:t>socialno področje</w:t>
            </w:r>
          </w:p>
        </w:tc>
        <w:tc>
          <w:tcPr>
            <w:tcW w:w="2208" w:type="dxa"/>
            <w:vAlign w:val="center"/>
          </w:tcPr>
          <w:p w14:paraId="60CF5A57"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10A79661" w14:textId="77777777" w:rsidTr="00C21643">
        <w:tc>
          <w:tcPr>
            <w:tcW w:w="1448" w:type="dxa"/>
            <w:tcBorders>
              <w:bottom w:val="single" w:sz="4" w:space="0" w:color="auto"/>
            </w:tcBorders>
          </w:tcPr>
          <w:p w14:paraId="0B2074F3" w14:textId="77777777" w:rsidR="00E65191" w:rsidRPr="00B775DE" w:rsidRDefault="00E65191" w:rsidP="00E65191">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f)</w:t>
            </w:r>
          </w:p>
        </w:tc>
        <w:tc>
          <w:tcPr>
            <w:tcW w:w="5444" w:type="dxa"/>
            <w:gridSpan w:val="3"/>
            <w:tcBorders>
              <w:bottom w:val="single" w:sz="4" w:space="0" w:color="auto"/>
            </w:tcBorders>
          </w:tcPr>
          <w:p w14:paraId="77334532" w14:textId="77777777" w:rsidR="00E65191" w:rsidRPr="00B775DE" w:rsidRDefault="00E65191" w:rsidP="00E65191">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bCs/>
                <w:kern w:val="0"/>
                <w:sz w:val="20"/>
                <w:szCs w:val="20"/>
                <w:lang w:eastAsia="sl-SI"/>
              </w:rPr>
              <w:t>dokumente razvojnega načrtovanja:</w:t>
            </w:r>
          </w:p>
          <w:p w14:paraId="04F294D7" w14:textId="77777777" w:rsidR="00E65191" w:rsidRPr="00B775DE" w:rsidRDefault="00E65191" w:rsidP="00E65191">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bCs/>
                <w:kern w:val="0"/>
                <w:sz w:val="20"/>
                <w:szCs w:val="20"/>
                <w:lang w:eastAsia="sl-SI"/>
              </w:rPr>
              <w:t>nacionalne dokumente razvojnega načrtovanja</w:t>
            </w:r>
          </w:p>
          <w:p w14:paraId="6944B161" w14:textId="77777777" w:rsidR="00E65191" w:rsidRPr="00B775DE" w:rsidRDefault="00E65191" w:rsidP="00E65191">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bCs/>
                <w:kern w:val="0"/>
                <w:sz w:val="20"/>
                <w:szCs w:val="20"/>
                <w:lang w:eastAsia="sl-SI"/>
              </w:rPr>
              <w:t>razvojne politike na ravni programov po strukturi razvojne klasifikacije programskega proračuna</w:t>
            </w:r>
          </w:p>
          <w:p w14:paraId="0B55B5B3" w14:textId="77777777" w:rsidR="00E65191" w:rsidRPr="00B775DE" w:rsidRDefault="00E65191" w:rsidP="00E65191">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rPr>
            </w:pPr>
            <w:r w:rsidRPr="00B775DE">
              <w:rPr>
                <w:rFonts w:ascii="Arial" w:eastAsia="Times New Roman" w:hAnsi="Arial" w:cs="Arial"/>
                <w:bCs/>
                <w:kern w:val="0"/>
                <w:sz w:val="20"/>
                <w:szCs w:val="20"/>
                <w:lang w:eastAsia="sl-SI"/>
              </w:rPr>
              <w:t>razvojne dokumente Evropske unije in mednarodnih organizacij</w:t>
            </w:r>
          </w:p>
        </w:tc>
        <w:tc>
          <w:tcPr>
            <w:tcW w:w="2208" w:type="dxa"/>
            <w:tcBorders>
              <w:bottom w:val="single" w:sz="4" w:space="0" w:color="auto"/>
            </w:tcBorders>
            <w:vAlign w:val="center"/>
          </w:tcPr>
          <w:p w14:paraId="7228573C" w14:textId="77777777" w:rsidR="00E65191" w:rsidRPr="00B775DE" w:rsidRDefault="00E65191" w:rsidP="00E65191">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408C4181" w14:textId="77777777" w:rsidTr="00C21643">
        <w:trPr>
          <w:trHeight w:val="555"/>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0840CB34"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lang w:eastAsia="sl-SI"/>
              </w:rPr>
            </w:pPr>
            <w:r w:rsidRPr="00B775DE">
              <w:rPr>
                <w:rFonts w:ascii="Arial" w:eastAsia="Times New Roman" w:hAnsi="Arial" w:cs="Times New Roman"/>
                <w:kern w:val="0"/>
                <w:sz w:val="20"/>
                <w:lang w:eastAsia="sl-SI"/>
              </w:rPr>
              <w:t>7.a Predstavitev ocene finančnih posledic nad 40.000 EUR:</w:t>
            </w:r>
          </w:p>
          <w:p w14:paraId="38C033B4" w14:textId="77777777" w:rsidR="00E65191" w:rsidRPr="00B775DE" w:rsidRDefault="00E65191" w:rsidP="00E65191">
            <w:pPr>
              <w:spacing w:after="0" w:line="260" w:lineRule="atLeast"/>
              <w:rPr>
                <w:rFonts w:ascii="Arial" w:eastAsia="Times New Roman" w:hAnsi="Arial" w:cs="Arial"/>
                <w:b/>
                <w:kern w:val="0"/>
                <w:sz w:val="20"/>
                <w:szCs w:val="20"/>
              </w:rPr>
            </w:pPr>
            <w:r w:rsidRPr="00B775DE">
              <w:rPr>
                <w:rFonts w:ascii="Arial" w:eastAsia="Times New Roman" w:hAnsi="Arial" w:cs="Times New Roman"/>
                <w:b/>
                <w:kern w:val="0"/>
                <w:sz w:val="20"/>
                <w:szCs w:val="20"/>
              </w:rPr>
              <w:t>/</w:t>
            </w:r>
          </w:p>
        </w:tc>
      </w:tr>
      <w:tr w:rsidR="00E65191" w:rsidRPr="00B775DE" w14:paraId="21AAB3D7" w14:textId="77777777" w:rsidTr="00C21643">
        <w:trPr>
          <w:trHeight w:val="833"/>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5FB9C5C8" w14:textId="77777777" w:rsidR="00E65191" w:rsidRPr="00B775DE" w:rsidRDefault="00E65191" w:rsidP="00E65191">
            <w:pPr>
              <w:spacing w:after="0" w:line="260" w:lineRule="atLeast"/>
              <w:rPr>
                <w:rFonts w:ascii="Arial" w:eastAsia="Times New Roman" w:hAnsi="Arial" w:cs="Arial"/>
                <w:b/>
                <w:kern w:val="0"/>
                <w:sz w:val="20"/>
                <w:szCs w:val="20"/>
              </w:rPr>
            </w:pPr>
            <w:r w:rsidRPr="00B775DE">
              <w:rPr>
                <w:rFonts w:ascii="Arial" w:eastAsia="Times New Roman" w:hAnsi="Arial" w:cs="Arial"/>
                <w:b/>
                <w:kern w:val="0"/>
                <w:sz w:val="20"/>
                <w:szCs w:val="20"/>
              </w:rPr>
              <w:t>7.b Predstavitev ocene finančnih posledic pod 40.000 EUR:</w:t>
            </w:r>
          </w:p>
          <w:p w14:paraId="74E57447" w14:textId="77777777" w:rsidR="00E65191" w:rsidRPr="00B775DE" w:rsidRDefault="00E65191" w:rsidP="00E65191">
            <w:pPr>
              <w:spacing w:after="0" w:line="260" w:lineRule="atLeast"/>
              <w:rPr>
                <w:rFonts w:ascii="Arial" w:eastAsia="Times New Roman" w:hAnsi="Arial" w:cs="Arial"/>
                <w:b/>
                <w:kern w:val="0"/>
                <w:sz w:val="20"/>
                <w:szCs w:val="20"/>
              </w:rPr>
            </w:pPr>
            <w:r w:rsidRPr="00B775DE">
              <w:rPr>
                <w:rFonts w:ascii="Arial" w:eastAsia="Times New Roman" w:hAnsi="Arial" w:cs="Arial"/>
                <w:bCs/>
                <w:kern w:val="0"/>
                <w:sz w:val="20"/>
                <w:szCs w:val="20"/>
                <w:lang w:eastAsia="sl-SI"/>
              </w:rPr>
              <w:t>Gradivo ne vpliva na prilive ali odlive iz državnega proračuna.</w:t>
            </w:r>
          </w:p>
        </w:tc>
      </w:tr>
      <w:tr w:rsidR="00E65191" w:rsidRPr="00B775DE" w14:paraId="2CDC523E" w14:textId="77777777" w:rsidTr="00C21643">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2CC21640" w14:textId="77777777" w:rsidR="00E65191" w:rsidRPr="00B775DE" w:rsidRDefault="00E65191" w:rsidP="00E65191">
            <w:pPr>
              <w:spacing w:after="0" w:line="260" w:lineRule="atLeast"/>
              <w:rPr>
                <w:rFonts w:ascii="Arial" w:eastAsia="Times New Roman" w:hAnsi="Arial" w:cs="Arial"/>
                <w:b/>
                <w:kern w:val="0"/>
                <w:sz w:val="20"/>
                <w:szCs w:val="20"/>
              </w:rPr>
            </w:pPr>
            <w:r w:rsidRPr="00B775DE">
              <w:rPr>
                <w:rFonts w:ascii="Arial" w:eastAsia="Times New Roman" w:hAnsi="Arial" w:cs="Arial"/>
                <w:b/>
                <w:kern w:val="0"/>
                <w:sz w:val="20"/>
                <w:szCs w:val="20"/>
              </w:rPr>
              <w:t>8. Predstavitev sodelovanja z združenji občin:</w:t>
            </w:r>
          </w:p>
        </w:tc>
      </w:tr>
      <w:tr w:rsidR="00E65191" w:rsidRPr="00B775DE" w14:paraId="185A9607" w14:textId="77777777" w:rsidTr="00C21643">
        <w:tc>
          <w:tcPr>
            <w:tcW w:w="6669" w:type="dxa"/>
            <w:gridSpan w:val="3"/>
          </w:tcPr>
          <w:p w14:paraId="1B4BE8D2" w14:textId="77777777" w:rsidR="00E65191" w:rsidRPr="00B775DE" w:rsidRDefault="00E65191" w:rsidP="00E65191">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Vsebina predloženega gradiva (predpisa) vpliva na:</w:t>
            </w:r>
          </w:p>
          <w:p w14:paraId="4A2F8107" w14:textId="77777777" w:rsidR="00E65191" w:rsidRPr="00B775DE" w:rsidRDefault="00E65191" w:rsidP="00E65191">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pristojnosti občin,</w:t>
            </w:r>
          </w:p>
          <w:p w14:paraId="1B75C0FD" w14:textId="77777777" w:rsidR="00E65191" w:rsidRPr="00B775DE" w:rsidRDefault="00E65191" w:rsidP="00E65191">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delovanje občin,</w:t>
            </w:r>
          </w:p>
          <w:p w14:paraId="0F795C6A" w14:textId="77777777" w:rsidR="00E65191" w:rsidRPr="00B775DE" w:rsidRDefault="00E65191" w:rsidP="00E65191">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financiranje občin.</w:t>
            </w:r>
          </w:p>
        </w:tc>
        <w:tc>
          <w:tcPr>
            <w:tcW w:w="2431" w:type="dxa"/>
            <w:gridSpan w:val="2"/>
          </w:tcPr>
          <w:p w14:paraId="3DDB1252" w14:textId="77777777" w:rsidR="00E65191" w:rsidRPr="00B775DE" w:rsidRDefault="00E65191" w:rsidP="00E65191">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47DD5C64" w14:textId="77777777" w:rsidTr="00C21643">
        <w:trPr>
          <w:trHeight w:val="274"/>
        </w:trPr>
        <w:tc>
          <w:tcPr>
            <w:tcW w:w="9100" w:type="dxa"/>
            <w:gridSpan w:val="5"/>
          </w:tcPr>
          <w:p w14:paraId="663A53E5" w14:textId="77777777" w:rsidR="00E65191" w:rsidRPr="00B775DE" w:rsidRDefault="00E65191" w:rsidP="00E65191">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 xml:space="preserve">Gradivo je bilo poslano v mnenje: </w:t>
            </w:r>
          </w:p>
          <w:p w14:paraId="66B171B9" w14:textId="77777777" w:rsidR="00E65191" w:rsidRPr="00B775DE" w:rsidRDefault="00E65191" w:rsidP="00E65191">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Skupnosti občin Slovenije SOS: DA</w:t>
            </w:r>
          </w:p>
          <w:p w14:paraId="4064B7E0" w14:textId="77777777" w:rsidR="00E65191" w:rsidRPr="00B775DE" w:rsidRDefault="00E65191" w:rsidP="00E65191">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Združenju občin Slovenije ZOS: DA</w:t>
            </w:r>
          </w:p>
          <w:p w14:paraId="72EED4E7" w14:textId="77777777" w:rsidR="00E65191" w:rsidRPr="00B775DE" w:rsidRDefault="00E65191" w:rsidP="00E65191">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Združenju mestnih občin Slovenije ZMOS: DA</w:t>
            </w:r>
          </w:p>
          <w:p w14:paraId="4F6A9B87" w14:textId="77777777" w:rsidR="00E65191" w:rsidRPr="00B775DE" w:rsidRDefault="00E65191" w:rsidP="00E65191">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p>
        </w:tc>
      </w:tr>
      <w:tr w:rsidR="00E65191" w:rsidRPr="00B775DE" w14:paraId="11827642" w14:textId="77777777" w:rsidTr="00C21643">
        <w:tc>
          <w:tcPr>
            <w:tcW w:w="9100" w:type="dxa"/>
            <w:gridSpan w:val="5"/>
            <w:vAlign w:val="center"/>
          </w:tcPr>
          <w:p w14:paraId="122E33B6" w14:textId="77777777" w:rsidR="00E65191" w:rsidRPr="00B775DE" w:rsidRDefault="00E65191" w:rsidP="00E65191">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rPr>
            </w:pPr>
            <w:r w:rsidRPr="00B775DE">
              <w:rPr>
                <w:rFonts w:ascii="Arial" w:eastAsia="Times New Roman" w:hAnsi="Arial" w:cs="Arial"/>
                <w:b/>
                <w:kern w:val="0"/>
                <w:sz w:val="20"/>
                <w:szCs w:val="20"/>
                <w:lang w:eastAsia="sl-SI"/>
              </w:rPr>
              <w:t>9. Predstavitev sodelovanja javnosti:</w:t>
            </w:r>
          </w:p>
        </w:tc>
      </w:tr>
      <w:tr w:rsidR="00E65191" w:rsidRPr="00B775DE" w14:paraId="7FD861B7" w14:textId="77777777" w:rsidTr="00C21643">
        <w:tc>
          <w:tcPr>
            <w:tcW w:w="6669" w:type="dxa"/>
            <w:gridSpan w:val="3"/>
          </w:tcPr>
          <w:p w14:paraId="54FF6ABD" w14:textId="77777777" w:rsidR="00E65191" w:rsidRPr="00B775DE" w:rsidRDefault="00E65191" w:rsidP="00E65191">
            <w:pPr>
              <w:widowControl w:val="0"/>
              <w:overflowPunct w:val="0"/>
              <w:autoSpaceDE w:val="0"/>
              <w:autoSpaceDN w:val="0"/>
              <w:adjustRightInd w:val="0"/>
              <w:spacing w:after="0" w:line="260" w:lineRule="exact"/>
              <w:textAlignment w:val="baseline"/>
              <w:rPr>
                <w:rFonts w:ascii="Arial" w:eastAsia="Times New Roman" w:hAnsi="Arial" w:cs="Times New Roman"/>
                <w:kern w:val="0"/>
                <w:sz w:val="20"/>
                <w:szCs w:val="20"/>
              </w:rPr>
            </w:pPr>
            <w:r w:rsidRPr="00B775DE">
              <w:rPr>
                <w:rFonts w:ascii="Arial" w:eastAsia="Times New Roman" w:hAnsi="Arial" w:cs="Arial"/>
                <w:iCs/>
                <w:kern w:val="0"/>
                <w:sz w:val="20"/>
                <w:szCs w:val="20"/>
                <w:lang w:eastAsia="sl-SI"/>
              </w:rPr>
              <w:t xml:space="preserve">Gradivo je bilo predhodno objavljeno na spletni strani predlagatelja: </w:t>
            </w:r>
            <w:r w:rsidRPr="00B775DE">
              <w:rPr>
                <w:rFonts w:ascii="Arial" w:eastAsia="Times New Roman" w:hAnsi="Arial" w:cs="Times New Roman"/>
                <w:kern w:val="0"/>
                <w:sz w:val="20"/>
                <w:szCs w:val="24"/>
                <w:lang w:val="pl-PL"/>
              </w:rPr>
              <w:t xml:space="preserve"> </w:t>
            </w:r>
          </w:p>
          <w:p w14:paraId="65AEA74E" w14:textId="77777777" w:rsidR="00E65191" w:rsidRPr="00B775DE" w:rsidRDefault="00E65191" w:rsidP="00E65191">
            <w:pPr>
              <w:widowControl w:val="0"/>
              <w:overflowPunct w:val="0"/>
              <w:autoSpaceDE w:val="0"/>
              <w:autoSpaceDN w:val="0"/>
              <w:adjustRightInd w:val="0"/>
              <w:spacing w:after="0" w:line="260" w:lineRule="exact"/>
              <w:textAlignment w:val="baseline"/>
              <w:rPr>
                <w:rFonts w:ascii="Arial" w:eastAsia="Times New Roman" w:hAnsi="Arial" w:cs="Arial"/>
                <w:iCs/>
                <w:kern w:val="0"/>
                <w:sz w:val="20"/>
                <w:szCs w:val="20"/>
                <w:lang w:eastAsia="sl-SI"/>
              </w:rPr>
            </w:pPr>
            <w:r w:rsidRPr="00B775DE">
              <w:rPr>
                <w:rFonts w:ascii="Arial" w:eastAsia="Times New Roman" w:hAnsi="Arial" w:cs="Times New Roman"/>
                <w:iCs/>
                <w:kern w:val="0"/>
                <w:sz w:val="20"/>
                <w:szCs w:val="20"/>
              </w:rPr>
              <w:t>Javna obravnava od 15. maja do 17. junija 2024, ter podaljšana za 14 dni od 24. oktobra do 8. novembra</w:t>
            </w:r>
          </w:p>
          <w:p w14:paraId="78554296" w14:textId="77777777" w:rsidR="00E65191" w:rsidRPr="00B775DE" w:rsidRDefault="00E65191" w:rsidP="00E65191">
            <w:pPr>
              <w:widowControl w:val="0"/>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rPr>
            </w:pPr>
          </w:p>
        </w:tc>
        <w:tc>
          <w:tcPr>
            <w:tcW w:w="2431" w:type="dxa"/>
            <w:gridSpan w:val="2"/>
          </w:tcPr>
          <w:p w14:paraId="79E859DE" w14:textId="77777777" w:rsidR="00E65191" w:rsidRPr="00B775DE" w:rsidRDefault="00E65191" w:rsidP="00E65191">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DA</w:t>
            </w:r>
          </w:p>
          <w:p w14:paraId="61CC90B5" w14:textId="77777777" w:rsidR="00E65191" w:rsidRPr="00B775DE" w:rsidRDefault="00E65191" w:rsidP="00E65191">
            <w:pPr>
              <w:widowControl w:val="0"/>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p>
        </w:tc>
      </w:tr>
      <w:tr w:rsidR="00E65191" w:rsidRPr="00B775DE" w14:paraId="79F4BE02" w14:textId="77777777" w:rsidTr="00C21643">
        <w:tc>
          <w:tcPr>
            <w:tcW w:w="9100" w:type="dxa"/>
            <w:gridSpan w:val="5"/>
          </w:tcPr>
          <w:p w14:paraId="2B29B440" w14:textId="77777777" w:rsidR="00E65191" w:rsidRPr="00B775DE" w:rsidRDefault="00E65191" w:rsidP="00E65191">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r w:rsidRPr="00B775DE">
              <w:rPr>
                <w:rFonts w:ascii="Arial" w:eastAsia="Times New Roman" w:hAnsi="Arial" w:cs="Arial"/>
                <w:iCs/>
                <w:kern w:val="0"/>
                <w:sz w:val="20"/>
                <w:szCs w:val="20"/>
                <w:lang w:eastAsia="sl-SI"/>
              </w:rPr>
              <w:t>Tovrstnega gradiva ni treba objaviti na spletni strani.</w:t>
            </w:r>
          </w:p>
        </w:tc>
      </w:tr>
      <w:tr w:rsidR="00E65191" w:rsidRPr="00B775DE" w14:paraId="1AD370C3" w14:textId="77777777" w:rsidTr="00C21643">
        <w:tc>
          <w:tcPr>
            <w:tcW w:w="9100" w:type="dxa"/>
            <w:gridSpan w:val="5"/>
          </w:tcPr>
          <w:p w14:paraId="3D2A4CDC" w14:textId="77777777" w:rsidR="00E65191" w:rsidRPr="00B775DE" w:rsidRDefault="00E65191" w:rsidP="00E65191">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rPr>
            </w:pPr>
          </w:p>
        </w:tc>
      </w:tr>
      <w:tr w:rsidR="00E65191" w:rsidRPr="00B775DE" w14:paraId="29B44085" w14:textId="77777777" w:rsidTr="00C21643">
        <w:tc>
          <w:tcPr>
            <w:tcW w:w="6669" w:type="dxa"/>
            <w:gridSpan w:val="3"/>
            <w:vAlign w:val="center"/>
          </w:tcPr>
          <w:p w14:paraId="3C999E57" w14:textId="77777777" w:rsidR="00E65191" w:rsidRPr="00B775DE" w:rsidRDefault="00E65191" w:rsidP="00E65191">
            <w:pPr>
              <w:widowControl w:val="0"/>
              <w:overflowPunct w:val="0"/>
              <w:autoSpaceDE w:val="0"/>
              <w:autoSpaceDN w:val="0"/>
              <w:adjustRightInd w:val="0"/>
              <w:spacing w:after="0" w:line="260" w:lineRule="exact"/>
              <w:textAlignment w:val="baseline"/>
              <w:rPr>
                <w:rFonts w:ascii="Arial" w:eastAsia="Times New Roman" w:hAnsi="Arial" w:cs="Arial"/>
                <w:kern w:val="0"/>
                <w:sz w:val="20"/>
                <w:szCs w:val="20"/>
                <w:lang w:eastAsia="sl-SI"/>
              </w:rPr>
            </w:pPr>
            <w:r w:rsidRPr="00B775DE">
              <w:rPr>
                <w:rFonts w:ascii="Arial" w:eastAsia="Times New Roman" w:hAnsi="Arial" w:cs="Arial"/>
                <w:b/>
                <w:kern w:val="0"/>
                <w:sz w:val="20"/>
                <w:szCs w:val="20"/>
                <w:lang w:eastAsia="sl-SI"/>
              </w:rPr>
              <w:t xml:space="preserve">10. Pri pripravi gradiva so bile upoštevane zahteve iz Resolucije o </w:t>
            </w:r>
            <w:r w:rsidRPr="00B775DE">
              <w:rPr>
                <w:rFonts w:ascii="Arial" w:eastAsia="Times New Roman" w:hAnsi="Arial" w:cs="Arial"/>
                <w:b/>
                <w:kern w:val="0"/>
                <w:sz w:val="20"/>
                <w:szCs w:val="20"/>
                <w:lang w:eastAsia="sl-SI"/>
              </w:rPr>
              <w:lastRenderedPageBreak/>
              <w:t>normativni dejavnosti:</w:t>
            </w:r>
          </w:p>
        </w:tc>
        <w:tc>
          <w:tcPr>
            <w:tcW w:w="2431" w:type="dxa"/>
            <w:gridSpan w:val="2"/>
            <w:vAlign w:val="center"/>
          </w:tcPr>
          <w:p w14:paraId="6C5C3D9A" w14:textId="77777777" w:rsidR="00E65191" w:rsidRPr="00B775DE" w:rsidRDefault="00E65191" w:rsidP="00E65191">
            <w:pPr>
              <w:widowControl w:val="0"/>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rPr>
            </w:pPr>
            <w:r w:rsidRPr="00B775DE">
              <w:rPr>
                <w:rFonts w:ascii="Arial" w:eastAsia="Times New Roman" w:hAnsi="Arial" w:cs="Arial"/>
                <w:kern w:val="0"/>
                <w:sz w:val="20"/>
                <w:szCs w:val="20"/>
                <w:lang w:eastAsia="sl-SI"/>
              </w:rPr>
              <w:lastRenderedPageBreak/>
              <w:t>DA</w:t>
            </w:r>
          </w:p>
        </w:tc>
      </w:tr>
      <w:tr w:rsidR="00E65191" w:rsidRPr="00B775DE" w14:paraId="39343678" w14:textId="77777777" w:rsidTr="00C21643">
        <w:tc>
          <w:tcPr>
            <w:tcW w:w="6669" w:type="dxa"/>
            <w:gridSpan w:val="3"/>
            <w:vAlign w:val="center"/>
          </w:tcPr>
          <w:p w14:paraId="031C06A9" w14:textId="77777777" w:rsidR="00E65191" w:rsidRPr="00B775DE" w:rsidRDefault="00E65191" w:rsidP="00E65191">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rPr>
            </w:pPr>
            <w:r w:rsidRPr="00B775DE">
              <w:rPr>
                <w:rFonts w:ascii="Arial" w:eastAsia="Times New Roman" w:hAnsi="Arial" w:cs="Arial"/>
                <w:b/>
                <w:kern w:val="0"/>
                <w:sz w:val="20"/>
                <w:szCs w:val="20"/>
                <w:lang w:eastAsia="sl-SI"/>
              </w:rPr>
              <w:t>11. Gradivo je uvrščeno v delovni program vlade:</w:t>
            </w:r>
          </w:p>
        </w:tc>
        <w:tc>
          <w:tcPr>
            <w:tcW w:w="2431" w:type="dxa"/>
            <w:gridSpan w:val="2"/>
            <w:vAlign w:val="center"/>
          </w:tcPr>
          <w:p w14:paraId="65383ACA" w14:textId="77777777" w:rsidR="00E65191" w:rsidRPr="00B775DE" w:rsidRDefault="00E65191" w:rsidP="00E65191">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rPr>
            </w:pPr>
            <w:r w:rsidRPr="00B775DE">
              <w:rPr>
                <w:rFonts w:ascii="Arial" w:eastAsia="Times New Roman" w:hAnsi="Arial" w:cs="Arial"/>
                <w:kern w:val="0"/>
                <w:sz w:val="20"/>
                <w:szCs w:val="20"/>
                <w:lang w:eastAsia="sl-SI"/>
              </w:rPr>
              <w:t>NE</w:t>
            </w:r>
          </w:p>
        </w:tc>
      </w:tr>
      <w:tr w:rsidR="00E65191" w:rsidRPr="00B775DE" w14:paraId="22D5EDE7" w14:textId="77777777" w:rsidTr="00C21643">
        <w:tc>
          <w:tcPr>
            <w:tcW w:w="9100" w:type="dxa"/>
            <w:gridSpan w:val="5"/>
            <w:tcBorders>
              <w:top w:val="single" w:sz="4" w:space="0" w:color="000000"/>
              <w:left w:val="single" w:sz="4" w:space="0" w:color="000000"/>
              <w:bottom w:val="single" w:sz="4" w:space="0" w:color="000000"/>
              <w:right w:val="single" w:sz="4" w:space="0" w:color="000000"/>
            </w:tcBorders>
          </w:tcPr>
          <w:p w14:paraId="231A7755" w14:textId="77777777" w:rsidR="00E65191" w:rsidRPr="00B775DE" w:rsidRDefault="00E65191" w:rsidP="00E65191">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kern w:val="0"/>
                <w:sz w:val="20"/>
                <w:szCs w:val="20"/>
                <w:lang w:eastAsia="sl-SI"/>
              </w:rPr>
            </w:pPr>
          </w:p>
          <w:p w14:paraId="4960B445" w14:textId="77777777" w:rsidR="00E65191" w:rsidRPr="00B775DE" w:rsidRDefault="00E65191" w:rsidP="00E65191">
            <w:pPr>
              <w:widowControl w:val="0"/>
              <w:tabs>
                <w:tab w:val="center" w:pos="7445"/>
              </w:tabs>
              <w:suppressAutoHyphens/>
              <w:overflowPunct w:val="0"/>
              <w:autoSpaceDE w:val="0"/>
              <w:autoSpaceDN w:val="0"/>
              <w:adjustRightInd w:val="0"/>
              <w:spacing w:after="0" w:line="260" w:lineRule="exact"/>
              <w:ind w:left="-108"/>
              <w:textAlignment w:val="baseline"/>
              <w:outlineLvl w:val="3"/>
              <w:rPr>
                <w:rFonts w:ascii="Arial" w:eastAsia="Times New Roman" w:hAnsi="Arial" w:cs="Arial"/>
                <w:b/>
                <w:kern w:val="0"/>
                <w:sz w:val="20"/>
                <w:szCs w:val="20"/>
                <w:lang w:eastAsia="sl-SI"/>
              </w:rPr>
            </w:pPr>
            <w:r w:rsidRPr="00B775DE">
              <w:rPr>
                <w:rFonts w:ascii="Arial" w:eastAsia="Times New Roman" w:hAnsi="Arial" w:cs="Arial"/>
                <w:kern w:val="0"/>
                <w:sz w:val="20"/>
                <w:szCs w:val="20"/>
                <w:lang w:eastAsia="sl-SI"/>
              </w:rPr>
              <w:tab/>
              <w:t>mag. Bojan KUMER</w:t>
            </w:r>
          </w:p>
          <w:p w14:paraId="1DF0A458" w14:textId="77777777" w:rsidR="00E65191" w:rsidRPr="00B775DE" w:rsidRDefault="00E65191" w:rsidP="00E65191">
            <w:pPr>
              <w:widowControl w:val="0"/>
              <w:tabs>
                <w:tab w:val="center" w:pos="7445"/>
              </w:tabs>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rPr>
            </w:pPr>
            <w:r w:rsidRPr="00B775DE">
              <w:rPr>
                <w:rFonts w:ascii="Arial" w:eastAsia="Times New Roman" w:hAnsi="Arial" w:cs="Arial"/>
                <w:kern w:val="0"/>
                <w:sz w:val="20"/>
                <w:szCs w:val="20"/>
                <w:lang w:eastAsia="sl-SI"/>
              </w:rPr>
              <w:tab/>
              <w:t>MINISTER</w:t>
            </w:r>
          </w:p>
          <w:p w14:paraId="33DD7F50" w14:textId="77777777" w:rsidR="00E65191" w:rsidRPr="00B775DE" w:rsidRDefault="00E65191" w:rsidP="00E65191">
            <w:pPr>
              <w:widowControl w:val="0"/>
              <w:tabs>
                <w:tab w:val="center" w:pos="7445"/>
              </w:tabs>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rPr>
            </w:pPr>
          </w:p>
          <w:p w14:paraId="5369F481" w14:textId="77777777" w:rsidR="00E65191" w:rsidRPr="00B775DE" w:rsidRDefault="00E65191" w:rsidP="00E65191">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kern w:val="0"/>
                <w:sz w:val="20"/>
                <w:szCs w:val="20"/>
                <w:lang w:eastAsia="sl-SI"/>
              </w:rPr>
            </w:pPr>
          </w:p>
        </w:tc>
      </w:tr>
    </w:tbl>
    <w:p w14:paraId="0414861F" w14:textId="77777777" w:rsidR="00E65191" w:rsidRPr="00B775DE" w:rsidRDefault="00E65191" w:rsidP="00E65191">
      <w:pPr>
        <w:spacing w:after="0" w:line="240" w:lineRule="auto"/>
        <w:jc w:val="both"/>
        <w:rPr>
          <w:rFonts w:ascii="Arial" w:eastAsia="Times New Roman" w:hAnsi="Arial" w:cs="Times New Roman"/>
          <w:bCs/>
          <w:kern w:val="0"/>
          <w:sz w:val="20"/>
          <w:szCs w:val="24"/>
        </w:rPr>
      </w:pPr>
    </w:p>
    <w:p w14:paraId="226A0684" w14:textId="77777777" w:rsidR="00E65191" w:rsidRPr="00B775DE" w:rsidRDefault="00E65191" w:rsidP="00E65191">
      <w:pPr>
        <w:spacing w:after="0" w:line="240" w:lineRule="auto"/>
        <w:rPr>
          <w:rFonts w:ascii="Arial" w:eastAsia="Times New Roman" w:hAnsi="Arial" w:cs="Arial"/>
          <w:b/>
          <w:kern w:val="0"/>
          <w:sz w:val="20"/>
          <w:szCs w:val="20"/>
        </w:rPr>
      </w:pPr>
      <w:r w:rsidRPr="00B775DE">
        <w:rPr>
          <w:rFonts w:ascii="Arial" w:eastAsia="Times New Roman" w:hAnsi="Arial" w:cs="Arial"/>
          <w:b/>
          <w:kern w:val="0"/>
          <w:sz w:val="20"/>
          <w:szCs w:val="20"/>
        </w:rPr>
        <w:br w:type="page"/>
      </w:r>
    </w:p>
    <w:p w14:paraId="5888B2B8" w14:textId="77777777" w:rsidR="00E65191" w:rsidRPr="00B775DE" w:rsidRDefault="00E65191" w:rsidP="00E65191">
      <w:pPr>
        <w:tabs>
          <w:tab w:val="left" w:pos="708"/>
        </w:tabs>
        <w:spacing w:after="0" w:line="260" w:lineRule="atLeast"/>
        <w:ind w:left="6012"/>
        <w:jc w:val="right"/>
        <w:rPr>
          <w:rFonts w:ascii="Arial" w:eastAsia="Times New Roman" w:hAnsi="Arial" w:cs="Arial"/>
          <w:b/>
          <w:kern w:val="0"/>
          <w:sz w:val="20"/>
          <w:szCs w:val="20"/>
        </w:rPr>
      </w:pPr>
      <w:bookmarkStart w:id="5" w:name="_Hlk180654372"/>
      <w:r w:rsidRPr="00B775DE">
        <w:rPr>
          <w:rFonts w:ascii="Arial" w:eastAsia="Times New Roman" w:hAnsi="Arial" w:cs="Arial"/>
          <w:b/>
          <w:kern w:val="0"/>
          <w:sz w:val="20"/>
          <w:szCs w:val="20"/>
        </w:rPr>
        <w:lastRenderedPageBreak/>
        <w:t>PREDLOG</w:t>
      </w:r>
    </w:p>
    <w:p w14:paraId="0F3D229A" w14:textId="77777777" w:rsidR="00E65191" w:rsidRPr="00B775DE" w:rsidRDefault="00E65191" w:rsidP="00E65191">
      <w:pPr>
        <w:spacing w:after="0" w:line="260" w:lineRule="atLeast"/>
        <w:ind w:left="5664" w:firstLine="708"/>
        <w:rPr>
          <w:rFonts w:ascii="Arial" w:eastAsia="Times New Roman" w:hAnsi="Arial" w:cs="Arial"/>
          <w:kern w:val="0"/>
          <w:sz w:val="20"/>
          <w:szCs w:val="20"/>
        </w:rPr>
      </w:pPr>
      <w:r w:rsidRPr="00B775DE">
        <w:rPr>
          <w:rFonts w:ascii="Arial" w:eastAsia="Times New Roman" w:hAnsi="Arial" w:cs="Arial"/>
          <w:bCs/>
          <w:kern w:val="0"/>
          <w:sz w:val="20"/>
          <w:szCs w:val="20"/>
        </w:rPr>
        <w:t>(</w:t>
      </w:r>
      <w:r w:rsidRPr="00B775DE">
        <w:rPr>
          <w:rFonts w:ascii="Arial" w:eastAsia="Times New Roman" w:hAnsi="Arial" w:cs="Times New Roman"/>
          <w:bCs/>
          <w:kern w:val="0"/>
          <w:sz w:val="20"/>
          <w:szCs w:val="24"/>
        </w:rPr>
        <w:t xml:space="preserve">EVA </w:t>
      </w:r>
      <w:r w:rsidRPr="00B775DE">
        <w:rPr>
          <w:rFonts w:ascii="Arial" w:eastAsia="Times New Roman" w:hAnsi="Arial" w:cs="Arial"/>
          <w:kern w:val="0"/>
          <w:sz w:val="20"/>
          <w:szCs w:val="20"/>
        </w:rPr>
        <w:t>2024-2570-0037)</w:t>
      </w:r>
    </w:p>
    <w:p w14:paraId="376514AF" w14:textId="77777777" w:rsidR="00E65191" w:rsidRPr="00B775DE" w:rsidRDefault="00E65191" w:rsidP="00E65191">
      <w:pPr>
        <w:spacing w:after="0" w:line="260" w:lineRule="atLeast"/>
        <w:rPr>
          <w:rFonts w:eastAsia="Times New Roman"/>
          <w:kern w:val="0"/>
        </w:rPr>
      </w:pPr>
    </w:p>
    <w:p w14:paraId="3BD753E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 podlagi šestega odstavka 24. člena, prvega odstavka 175. člena in devetega odstavka 232. člena Zakona o varstvu okolja (Uradni list RS, št. 44/22, 18/23 – ZDU-1O, 78/23 – ZUNPEOVE in 23/24) Vlada Republike Slovenije izdaja</w:t>
      </w:r>
    </w:p>
    <w:p w14:paraId="4EBA354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89A003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7080724"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UREDBO</w:t>
      </w:r>
    </w:p>
    <w:p w14:paraId="7A06C7E4"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o opravljanju obvezne državne gospodarske javne službe</w:t>
      </w:r>
    </w:p>
    <w:p w14:paraId="712F7188"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sežiganja komunalnih odpadkov</w:t>
      </w:r>
    </w:p>
    <w:p w14:paraId="44236A6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DB62FA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I.</w:t>
      </w:r>
      <w:r w:rsidRPr="00B775DE">
        <w:rPr>
          <w:rFonts w:ascii="Arial" w:eastAsia="Times New Roman" w:hAnsi="Arial" w:cs="Times New Roman"/>
          <w:kern w:val="0"/>
          <w:sz w:val="20"/>
          <w:szCs w:val="24"/>
        </w:rPr>
        <w:tab/>
        <w:t>SPLOŠNE DOLOČBE</w:t>
      </w:r>
    </w:p>
    <w:p w14:paraId="714F475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6" w:name="_Hlk187782133"/>
    </w:p>
    <w:p w14:paraId="0971233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w:t>
      </w:r>
      <w:r w:rsidRPr="00B775DE">
        <w:rPr>
          <w:rFonts w:ascii="Arial" w:hAnsi="Arial"/>
          <w:b/>
          <w:kern w:val="0"/>
          <w:sz w:val="20"/>
        </w:rPr>
        <w:tab/>
        <w:t>člen</w:t>
      </w:r>
    </w:p>
    <w:p w14:paraId="545F93A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(vsebina uredbe)</w:t>
      </w:r>
    </w:p>
    <w:p w14:paraId="71B0FFE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E5639A1" w14:textId="60246830"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S to uredbo se podrobneje </w:t>
      </w:r>
      <w:r w:rsidR="00F7665B">
        <w:rPr>
          <w:rFonts w:ascii="Arial" w:eastAsia="Times New Roman" w:hAnsi="Arial" w:cs="Times New Roman"/>
          <w:kern w:val="0"/>
          <w:sz w:val="20"/>
          <w:szCs w:val="24"/>
        </w:rPr>
        <w:t>določa</w:t>
      </w:r>
      <w:r w:rsidR="00F7665B"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izvajanje obvezne državne gospodarske javne službe sežiganja komunalnih odpadkov (v nadaljnjem besedilu: gospodarska javna služba), način njenega opravljanja, pogoje za zagotavljanje in uporabo njenih storitev, pravice in obveznosti uporabnikov, finančno jamstvo in druge elemente</w:t>
      </w:r>
      <w:r w:rsidR="00031CAA">
        <w:rPr>
          <w:rFonts w:ascii="Arial" w:eastAsia="Times New Roman" w:hAnsi="Arial" w:cs="Times New Roman"/>
          <w:kern w:val="0"/>
          <w:sz w:val="20"/>
          <w:szCs w:val="24"/>
        </w:rPr>
        <w:t>, pomembne za opravljanje gospodarske javne službe</w:t>
      </w:r>
      <w:r w:rsidRPr="00B775DE">
        <w:rPr>
          <w:rFonts w:ascii="Arial" w:eastAsia="Times New Roman" w:hAnsi="Arial" w:cs="Times New Roman"/>
          <w:kern w:val="0"/>
          <w:sz w:val="20"/>
          <w:szCs w:val="24"/>
        </w:rPr>
        <w:t>.</w:t>
      </w:r>
    </w:p>
    <w:p w14:paraId="3CEDA0F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441406" w14:textId="77777777" w:rsidR="00E65191" w:rsidRPr="00B775DE" w:rsidRDefault="00E65191" w:rsidP="00777A32">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Ta uredba je tudi koncesijski akt, s katerim se določijo predmet in pogoji za podelitev koncesije za izvajanje gospodarske javne službe.</w:t>
      </w:r>
    </w:p>
    <w:p w14:paraId="65C0CED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0CB215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w:t>
      </w:r>
      <w:r w:rsidRPr="00B775DE">
        <w:rPr>
          <w:rFonts w:ascii="Arial" w:hAnsi="Arial"/>
          <w:b/>
          <w:kern w:val="0"/>
          <w:sz w:val="20"/>
        </w:rPr>
        <w:tab/>
        <w:t>člen</w:t>
      </w:r>
    </w:p>
    <w:p w14:paraId="7BC9CE6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(predmet gospodarske javne službe)</w:t>
      </w:r>
    </w:p>
    <w:p w14:paraId="0801400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302464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Predmet gospodarske javne službe je sežiganje gorljivih komunalnih odpadkov oziroma njihovih gorljivih sestavin, ki izpolnjujejo naslednje pogoje:</w:t>
      </w:r>
    </w:p>
    <w:p w14:paraId="794FD82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nastali so z mehansko obdelavo mešanih komunalnih odpadkov, ki so zbrani od izvornih povzročiteljev komunalnih odpadkov v okviru izvajanja storitev obvezne občinske gospodarske javne službe zbiranje določenih vrst komunalnih odpadkov (v nadaljnjem besedilu: javna služba zbiranja);</w:t>
      </w:r>
    </w:p>
    <w:p w14:paraId="07253F3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nastali so na območju Republike Slovenije; </w:t>
      </w:r>
    </w:p>
    <w:p w14:paraId="3AF801F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niso primerni za oddajo v recikliranje ali za oddajo v pripravo za ponovno uporabo;</w:t>
      </w:r>
    </w:p>
    <w:p w14:paraId="577055C4" w14:textId="470470AF"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razvrščajo se med gorljive odpadke  s številko 19 12 12 ali 19 06 04 in jih zaradi prevelike kurilne vrednosti (več kot 6</w:t>
      </w:r>
      <w:r w:rsidR="00031CAA">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000 KJ/kg suhe snovi) ni dovoljeno odlagati v skladu s predpisi, ki urejajo odlagališča odpadkov;</w:t>
      </w:r>
    </w:p>
    <w:p w14:paraId="0B9735C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nastali so po mehanski obdelavi mešanih komunalnih odpadkov s številko 20 03 01 v okviru obvezne občinske gospodarske javne službe obdelave določenih vrst komunalnih odpadkov.</w:t>
      </w:r>
    </w:p>
    <w:p w14:paraId="42F679D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4AC2A0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Poleg gospodarske javne službe se na infrastrukturi za izvajanje gospodarske javne službe lahko opravljajo tudi druge, posebne storitve, pod pogoji, ki jih določa ta uredba (v nadaljnjem besedilu: posebne storitve). Posebne storitve niso storitve gospodarske javne službe. </w:t>
      </w:r>
    </w:p>
    <w:p w14:paraId="5BD640D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582453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w:t>
      </w:r>
      <w:r w:rsidRPr="00B775DE">
        <w:rPr>
          <w:rFonts w:ascii="Arial" w:hAnsi="Arial"/>
          <w:b/>
          <w:kern w:val="0"/>
          <w:sz w:val="20"/>
        </w:rPr>
        <w:tab/>
        <w:t>člen</w:t>
      </w:r>
    </w:p>
    <w:p w14:paraId="31A5D89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(izrazi)</w:t>
      </w:r>
    </w:p>
    <w:p w14:paraId="42723C7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386A2D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 Izrazi, uporabljeni v tej uredbi, pomenijo:</w:t>
      </w:r>
    </w:p>
    <w:p w14:paraId="4F228E8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BC31BF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1. komunalni odpadki so vsi odpadki, ki so prevzeti od izvornih povzročiteljev odpadkov na območju Republike Slovenije in se razvrščajo v skupino odpadkov s številko 20 ali v podskupino odpadkov s številko 15 01, razen odpadkov s številkami 20 02 02, 20 03 04 in 20 03 06;</w:t>
      </w:r>
    </w:p>
    <w:p w14:paraId="07140EA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mešani komunalni odpadki so komunalni odpadki s številko 20 03 01, pri čemer se: </w:t>
      </w:r>
    </w:p>
    <w:p w14:paraId="2781BF6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njihova sestava nanaša na sestavo, ki se v skladu s predpisom, ki ureja javno službo zbiranja, ugotavlja s </w:t>
      </w:r>
      <w:proofErr w:type="spellStart"/>
      <w:r w:rsidRPr="00B775DE">
        <w:rPr>
          <w:rFonts w:ascii="Arial" w:eastAsia="Times New Roman" w:hAnsi="Arial" w:cs="Times New Roman"/>
          <w:kern w:val="0"/>
          <w:sz w:val="20"/>
          <w:szCs w:val="24"/>
        </w:rPr>
        <w:t>sortirno</w:t>
      </w:r>
      <w:proofErr w:type="spellEnd"/>
      <w:r w:rsidRPr="00B775DE">
        <w:rPr>
          <w:rFonts w:ascii="Arial" w:eastAsia="Times New Roman" w:hAnsi="Arial" w:cs="Times New Roman"/>
          <w:kern w:val="0"/>
          <w:sz w:val="20"/>
          <w:szCs w:val="24"/>
        </w:rPr>
        <w:t xml:space="preserve"> analizo v okviru izvajanja storitev obvezne javne službe zbiranje, </w:t>
      </w:r>
    </w:p>
    <w:p w14:paraId="3798C3D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njihova letna količina nanaša na letno količino mešanih komunalnih odpadkov, iz katerih so v okviru mehanske obdelave mešanih komunalnih odpadkov pred postopkom odstranjevanja z oznako D8 izločene </w:t>
      </w:r>
      <w:proofErr w:type="spellStart"/>
      <w:r w:rsidRPr="00B775DE">
        <w:rPr>
          <w:rFonts w:ascii="Arial" w:eastAsia="Times New Roman" w:hAnsi="Arial" w:cs="Times New Roman"/>
          <w:kern w:val="0"/>
          <w:sz w:val="20"/>
          <w:szCs w:val="24"/>
        </w:rPr>
        <w:t>reciklabilne</w:t>
      </w:r>
      <w:proofErr w:type="spellEnd"/>
      <w:r w:rsidRPr="00B775DE">
        <w:rPr>
          <w:rFonts w:ascii="Arial" w:eastAsia="Times New Roman" w:hAnsi="Arial" w:cs="Times New Roman"/>
          <w:kern w:val="0"/>
          <w:sz w:val="20"/>
          <w:szCs w:val="24"/>
        </w:rPr>
        <w:t xml:space="preserve"> sestavine;</w:t>
      </w:r>
    </w:p>
    <w:p w14:paraId="7A9EA8E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mehanska obdelava komunalnih odpadkov sta: </w:t>
      </w:r>
    </w:p>
    <w:p w14:paraId="33C2D24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postopek predelave z oznako R12 ločeno zbranih frakcij komunalnih odpadkov iz podskupine s številko 20 01, embalaže iz podskupine s številko 15 01 in kosovnih odpadkov s številko 20 03 07, ki pomeni razgradnjo, razvrščanje, drobljenje, stiskanje, </w:t>
      </w:r>
      <w:proofErr w:type="spellStart"/>
      <w:r w:rsidRPr="00B775DE">
        <w:rPr>
          <w:rFonts w:ascii="Arial" w:eastAsia="Times New Roman" w:hAnsi="Arial" w:cs="Times New Roman"/>
          <w:kern w:val="0"/>
          <w:sz w:val="20"/>
          <w:szCs w:val="24"/>
        </w:rPr>
        <w:t>peletiranje</w:t>
      </w:r>
      <w:proofErr w:type="spellEnd"/>
      <w:r w:rsidRPr="00B775DE">
        <w:rPr>
          <w:rFonts w:ascii="Arial" w:eastAsia="Times New Roman" w:hAnsi="Arial" w:cs="Times New Roman"/>
          <w:kern w:val="0"/>
          <w:sz w:val="20"/>
          <w:szCs w:val="24"/>
        </w:rPr>
        <w:t xml:space="preserve">, sušenje, mletje, </w:t>
      </w:r>
      <w:proofErr w:type="spellStart"/>
      <w:r w:rsidRPr="00B775DE">
        <w:rPr>
          <w:rFonts w:ascii="Arial" w:eastAsia="Times New Roman" w:hAnsi="Arial" w:cs="Times New Roman"/>
          <w:kern w:val="0"/>
          <w:sz w:val="20"/>
          <w:szCs w:val="24"/>
        </w:rPr>
        <w:t>kondicioniranje</w:t>
      </w:r>
      <w:proofErr w:type="spellEnd"/>
      <w:r w:rsidRPr="00B775DE">
        <w:rPr>
          <w:rFonts w:ascii="Arial" w:eastAsia="Times New Roman" w:hAnsi="Arial" w:cs="Times New Roman"/>
          <w:kern w:val="0"/>
          <w:sz w:val="20"/>
          <w:szCs w:val="24"/>
        </w:rPr>
        <w:t>, ponovno pakiranje, ločevanje, spajanje ali mešanje odpadkov pred njihovo oddajo v recikliranje ali v pripravo za ponovno uporabo, in</w:t>
      </w:r>
    </w:p>
    <w:p w14:paraId="5408D8C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postopek odstranjevanja z oznako D9 ali D13 mešanih komunalnih odpadkov s številko 20 03 01, ki je predhodni postopek pred obdelavo mešanih komunalnih odpadkov s postopkom odstranjevanja z oznako D8 in vključuje razvrščanje, drobljenje, sušenje, mletje, </w:t>
      </w:r>
      <w:proofErr w:type="spellStart"/>
      <w:r w:rsidRPr="00B775DE">
        <w:rPr>
          <w:rFonts w:ascii="Arial" w:eastAsia="Times New Roman" w:hAnsi="Arial" w:cs="Times New Roman"/>
          <w:kern w:val="0"/>
          <w:sz w:val="20"/>
          <w:szCs w:val="24"/>
        </w:rPr>
        <w:t>kondicioniranje</w:t>
      </w:r>
      <w:proofErr w:type="spellEnd"/>
      <w:r w:rsidRPr="00B775DE">
        <w:rPr>
          <w:rFonts w:ascii="Arial" w:eastAsia="Times New Roman" w:hAnsi="Arial" w:cs="Times New Roman"/>
          <w:kern w:val="0"/>
          <w:sz w:val="20"/>
          <w:szCs w:val="24"/>
        </w:rPr>
        <w:t xml:space="preserve"> ali ločevanje z namenom izločanja reciklabilnih ter gorljivih sestavin iz mešanih komunalnih odpadkov;</w:t>
      </w:r>
    </w:p>
    <w:p w14:paraId="72707FD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sežiganje je uporaba gorljivih sestavin komunalnih odpadkov kot gorivo v obratu z izkoriščanjem zgorevalne toplote za daljinsko ogrevanje oziroma za soproizvodnjo toplote in električne energije v skladu s predpisi, ki urejajo energetiko;</w:t>
      </w:r>
    </w:p>
    <w:p w14:paraId="60E439A2" w14:textId="3645AE5D"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w:t>
      </w:r>
      <w:r w:rsidR="00FE32E9">
        <w:rPr>
          <w:rFonts w:ascii="Arial" w:eastAsia="Times New Roman" w:hAnsi="Arial" w:cs="Times New Roman"/>
          <w:kern w:val="0"/>
          <w:sz w:val="20"/>
          <w:szCs w:val="24"/>
        </w:rPr>
        <w:t>o</w:t>
      </w:r>
      <w:r w:rsidRPr="00B775DE">
        <w:rPr>
          <w:rFonts w:ascii="Arial" w:eastAsia="Times New Roman" w:hAnsi="Arial" w:cs="Times New Roman"/>
          <w:kern w:val="0"/>
          <w:sz w:val="20"/>
          <w:szCs w:val="24"/>
        </w:rPr>
        <w:t xml:space="preserve">brat je naprava iz predpisov, ki urejajo sežigalnice in naprave za </w:t>
      </w:r>
      <w:proofErr w:type="spellStart"/>
      <w:r w:rsidRPr="00B775DE">
        <w:rPr>
          <w:rFonts w:ascii="Arial" w:eastAsia="Times New Roman" w:hAnsi="Arial" w:cs="Times New Roman"/>
          <w:kern w:val="0"/>
          <w:sz w:val="20"/>
          <w:szCs w:val="24"/>
        </w:rPr>
        <w:t>sosežig</w:t>
      </w:r>
      <w:proofErr w:type="spellEnd"/>
      <w:r w:rsidRPr="00B775DE">
        <w:rPr>
          <w:rFonts w:ascii="Arial" w:eastAsia="Times New Roman" w:hAnsi="Arial" w:cs="Times New Roman"/>
          <w:kern w:val="0"/>
          <w:sz w:val="20"/>
          <w:szCs w:val="24"/>
        </w:rPr>
        <w:t xml:space="preserve"> odpadkov, v katerem se izvaja gospodarska javna služba in je za namen iz prejšnje točke sestavni del energetske infrastrukture v skladu s predpisi, ki urejajo energetsko infrastrukturo;</w:t>
      </w:r>
    </w:p>
    <w:p w14:paraId="2E83EB6C" w14:textId="12DEB46A"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ostanki sežiga gorljivih komunalnih odpadkov so odpadki</w:t>
      </w:r>
      <w:r w:rsidR="00B33241" w:rsidRPr="00B33241">
        <w:t xml:space="preserve"> </w:t>
      </w:r>
      <w:r w:rsidR="00B33241" w:rsidRPr="00B33241">
        <w:rPr>
          <w:rFonts w:ascii="Arial" w:eastAsia="Times New Roman" w:hAnsi="Arial" w:cs="Times New Roman"/>
          <w:kern w:val="0"/>
          <w:sz w:val="20"/>
          <w:szCs w:val="24"/>
        </w:rPr>
        <w:t>iz podpoglavja 19 01 ali 19 03</w:t>
      </w:r>
      <w:r w:rsidR="00B33241">
        <w:rPr>
          <w:rFonts w:ascii="Arial" w:eastAsia="Times New Roman" w:hAnsi="Arial" w:cs="Times New Roman"/>
          <w:kern w:val="0"/>
          <w:sz w:val="20"/>
          <w:szCs w:val="24"/>
        </w:rPr>
        <w:t xml:space="preserve"> Priloge </w:t>
      </w:r>
      <w:r w:rsidR="00B33241" w:rsidRPr="00B775DE">
        <w:rPr>
          <w:rFonts w:ascii="Arial" w:eastAsia="Times New Roman" w:hAnsi="Arial" w:cs="Times New Roman"/>
          <w:kern w:val="0"/>
          <w:sz w:val="20"/>
          <w:szCs w:val="24"/>
        </w:rPr>
        <w:t>Sklep</w:t>
      </w:r>
      <w:r w:rsidR="00B33241">
        <w:rPr>
          <w:rFonts w:ascii="Arial" w:eastAsia="Times New Roman" w:hAnsi="Arial" w:cs="Times New Roman"/>
          <w:kern w:val="0"/>
          <w:sz w:val="20"/>
          <w:szCs w:val="24"/>
        </w:rPr>
        <w:t>a</w:t>
      </w:r>
      <w:r w:rsidR="00B33241"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Komisije 2014/955/EU z dne 18. decembra 2014 o spremembi Odločbe Komisije 2000/532/ES o seznamu odpadkov v skladu z Direktivo 2008/98/ES Evropskega parlamenta in Sveta (UL L št. 370 z dne 30. 12. 2014, str. 44)</w:t>
      </w:r>
      <w:r w:rsidR="00B33241">
        <w:rPr>
          <w:rFonts w:ascii="Arial" w:eastAsia="Times New Roman" w:hAnsi="Arial" w:cs="Times New Roman"/>
          <w:kern w:val="0"/>
          <w:sz w:val="20"/>
          <w:szCs w:val="24"/>
        </w:rPr>
        <w:t>;</w:t>
      </w:r>
    </w:p>
    <w:p w14:paraId="15EB537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7. predvidena letna količina gorljivih sestavin komunalnih odpadkov je količina komunalnih odpadkov, ki je ob podpisu pogodbe o uporabi storitev gospodarske javne službe določena kot največja letna količina komunalnih odpadkov v času podpisa te pogodbe in za katero je predvideno, da se bo v času obratovanja obrata zmanjševala zaradi ukrepov preprečevanja nastajanja komunalnih odpadkov ali povečevanja deleža komunalnih odpadkov, ki jih je mogoče ponovno uporabiti ali reciklirati;</w:t>
      </w:r>
    </w:p>
    <w:p w14:paraId="7FEDF62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8. koncesionar je izvajalec gospodarske javne službe, ki je bil izbran v konkurenčnem postopku;</w:t>
      </w:r>
    </w:p>
    <w:p w14:paraId="67088ADB" w14:textId="27C5805B"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9. zmeren dobiček je dobiček, ki ne presega zmernega dobička, ki je opredeljen v Sklepu Komisije z dne 20. decembra 2011 o uporabi člena 106(2) Pogodbe o delovanju Evropske unije za državno pomoč v obliki nadomestila za javne storitve, dodeljenega nekaterim podjetjem, pooblaščenim za opravljanje storitev splošnega gospodarskega pomena (UL L št. 7 z dne 11.</w:t>
      </w:r>
      <w:r w:rsidR="00FE32E9">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1.</w:t>
      </w:r>
      <w:r w:rsidR="00FE32E9">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2012, str. 3).</w:t>
      </w:r>
    </w:p>
    <w:p w14:paraId="4DC3F45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182507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Drugi izrazi, uporabljeni v tej uredbi, imajo enak pomen, kot ga določajo zakon, ki ureja varstvo okolja, zakon, ki ureja gospodarske javne službe, zakon, ki ureja javno-zasebno partnerstvo, in zakon, ki ureja nekatere koncesijske pogodbe, in na njihovi podlagi sprejeti predpisi.</w:t>
      </w:r>
    </w:p>
    <w:p w14:paraId="2F56371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198CD81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w:t>
      </w:r>
      <w:r w:rsidRPr="00B775DE">
        <w:rPr>
          <w:rFonts w:ascii="Arial" w:hAnsi="Arial"/>
          <w:b/>
          <w:kern w:val="0"/>
          <w:sz w:val="20"/>
        </w:rPr>
        <w:tab/>
        <w:t>člen</w:t>
      </w:r>
    </w:p>
    <w:p w14:paraId="4B4B60B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(cilji uredbe in uporaba predpisov)</w:t>
      </w:r>
    </w:p>
    <w:p w14:paraId="25CA55A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E4597BA" w14:textId="115DE298"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S to uredbo se zasleduje cilje samozadostnosti Republike Slovenije glede zagotavljanja omrežja naprav za obdelavo komunalnih odpadkov ter doseganje ciljev v zvezi z recikliranjem in ponovno uporabo komunalnih odpadkov. </w:t>
      </w:r>
      <w:bookmarkStart w:id="7" w:name="_Hlk189732781"/>
      <w:r w:rsidRPr="00B775DE">
        <w:rPr>
          <w:rFonts w:ascii="Arial" w:eastAsia="Times New Roman" w:hAnsi="Arial" w:cs="Times New Roman"/>
          <w:kern w:val="0"/>
          <w:sz w:val="20"/>
          <w:szCs w:val="24"/>
        </w:rPr>
        <w:t>Pri tem se zasleduje količino sežiga komunalnih odpadkov z oksidacijo ali z drugimi postopki toplotne obdelave v okviru izvajanja gospodarske javne službe v povprečju okoli 140</w:t>
      </w:r>
      <w:r w:rsidR="00FE32E9">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000 ton letno do leta 2035.</w:t>
      </w:r>
    </w:p>
    <w:bookmarkEnd w:id="7"/>
    <w:p w14:paraId="2EDA982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30C0B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(2) Za vprašanja v zvezi z izvajanjem gospodarske javne službe, ki niso urejena s to uredbo, se uporabljajo določbe zakona, ki ureja varstvo okolja, zakona, ki ureja gospodarske javne službe, zakona, ki ureja javno-zasebno partnerstvo, in zakona, ki ureja nekatere koncesijske pogodbe. </w:t>
      </w:r>
    </w:p>
    <w:p w14:paraId="501C46D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7D6D3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II. OPRAVLJANJE GOSPODARSKE JAVNE SLUŽBE IN POSEBNIH STORITEV</w:t>
      </w:r>
    </w:p>
    <w:p w14:paraId="3787C7D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F0B8788"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w:t>
      </w:r>
      <w:r w:rsidRPr="00B775DE">
        <w:rPr>
          <w:rFonts w:ascii="Arial" w:eastAsia="Times New Roman" w:hAnsi="Arial" w:cs="Times New Roman"/>
          <w:kern w:val="0"/>
          <w:sz w:val="20"/>
        </w:rPr>
        <w:tab/>
        <w:t>Organizacijska in prostorska zasnova opravljanja gospodarske javne službe</w:t>
      </w:r>
    </w:p>
    <w:p w14:paraId="285B5E39"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p>
    <w:p w14:paraId="543A874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w:t>
      </w:r>
      <w:r w:rsidRPr="00B775DE">
        <w:rPr>
          <w:rFonts w:ascii="Arial" w:hAnsi="Arial"/>
          <w:b/>
          <w:kern w:val="0"/>
          <w:sz w:val="20"/>
        </w:rPr>
        <w:tab/>
        <w:t>člen</w:t>
      </w:r>
    </w:p>
    <w:p w14:paraId="6463743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(oblika in območja zagotavljanja gospodarske javne službe)</w:t>
      </w:r>
    </w:p>
    <w:p w14:paraId="566E7D9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7D5876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Gospodarska javna služba se opravlja kot koncesionirana gospodarska javna služba.</w:t>
      </w:r>
    </w:p>
    <w:p w14:paraId="05B8BAC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AE188B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Območje izvajanja gospodarske javne službe je razdeljeno na tri območja, v katera se uvrščajo občine, kjer so zbrani komunalni odpadki iz 2. člena te uredbe v okviru izvajanja storitev javne službe zbiranja</w:t>
      </w:r>
      <w:r w:rsidR="00FE32E9">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(v nadaljnjem besedilu: območje izvajanja gospodarske javne službe):</w:t>
      </w:r>
    </w:p>
    <w:p w14:paraId="5947491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ECD06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območje izvajanja gospodarske javne službe: občine osrednjeslovenske, gorenjske, goriške, obalno-kraško, primorsko-notranjske, posavske in zasavske statistične regije ter statistične regije jugovzhodna Slovenija,</w:t>
      </w:r>
    </w:p>
    <w:p w14:paraId="3A76875E" w14:textId="02837B95"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območje izvajanja gospodarske javne službe: občine </w:t>
      </w:r>
      <w:r w:rsidR="00C006AA">
        <w:rPr>
          <w:rFonts w:ascii="Arial" w:eastAsia="Times New Roman" w:hAnsi="Arial" w:cs="Times New Roman"/>
          <w:kern w:val="0"/>
          <w:sz w:val="20"/>
          <w:szCs w:val="24"/>
        </w:rPr>
        <w:t>s</w:t>
      </w:r>
      <w:r w:rsidRPr="00B775DE">
        <w:rPr>
          <w:rFonts w:ascii="Arial" w:eastAsia="Times New Roman" w:hAnsi="Arial" w:cs="Times New Roman"/>
          <w:kern w:val="0"/>
          <w:sz w:val="20"/>
          <w:szCs w:val="24"/>
        </w:rPr>
        <w:t xml:space="preserve">avinjske statistične regije in </w:t>
      </w:r>
    </w:p>
    <w:p w14:paraId="7033F61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območje izvajanja gospodarske javne službe: občine koroške, podravske in pomurske statistične regije. </w:t>
      </w:r>
    </w:p>
    <w:p w14:paraId="1475B5F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2D383B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Storitve gospodarske javne službe se lahko izvajajo samo v obratih, v katerih se v skladu s predpisom, ki ureja odpadke, izvaja predelava odpadkov po postopku R1 »Uporaba predvsem kot gorivo ali drugače za pridobivanje energije«.</w:t>
      </w:r>
    </w:p>
    <w:p w14:paraId="07704D3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7A4FBD2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w:t>
      </w:r>
      <w:r w:rsidRPr="00B775DE">
        <w:rPr>
          <w:rFonts w:ascii="Arial" w:hAnsi="Arial"/>
          <w:b/>
          <w:kern w:val="0"/>
          <w:sz w:val="20"/>
        </w:rPr>
        <w:tab/>
        <w:t>člen</w:t>
      </w:r>
    </w:p>
    <w:p w14:paraId="6018878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(največja letna količina sežiganja gorljivih sestavin v okviru gospodarske javne službe)</w:t>
      </w:r>
    </w:p>
    <w:p w14:paraId="281344A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63D2D2F" w14:textId="77777777" w:rsidR="00E65191" w:rsidRPr="00893884" w:rsidRDefault="00BB0337" w:rsidP="00BB0337">
      <w:pPr>
        <w:tabs>
          <w:tab w:val="left" w:pos="708"/>
        </w:tabs>
        <w:spacing w:before="40" w:after="40" w:line="240" w:lineRule="auto"/>
        <w:jc w:val="both"/>
        <w:rPr>
          <w:rFonts w:ascii="Arial" w:eastAsia="Times New Roman" w:hAnsi="Arial" w:cs="Times New Roman"/>
          <w:kern w:val="0"/>
          <w:sz w:val="20"/>
          <w:szCs w:val="24"/>
        </w:rPr>
      </w:pPr>
      <w:r w:rsidRPr="00893884">
        <w:rPr>
          <w:rFonts w:ascii="Arial" w:eastAsia="Times New Roman" w:hAnsi="Arial" w:cs="Times New Roman"/>
          <w:kern w:val="0"/>
          <w:sz w:val="20"/>
          <w:szCs w:val="24"/>
        </w:rPr>
        <w:t xml:space="preserve">(1) Z namenom zagotovitve doseganja ciljev recikliranja komunalnih odpadkov se letno določa največja letna količina sežiganja gorljivih sestavin v okviru gospodarske javne službe. </w:t>
      </w:r>
      <w:r w:rsidR="00E65191" w:rsidRPr="00893884">
        <w:rPr>
          <w:rFonts w:ascii="Arial" w:eastAsia="Times New Roman" w:hAnsi="Arial" w:cs="Times New Roman"/>
          <w:kern w:val="0"/>
          <w:sz w:val="20"/>
          <w:szCs w:val="24"/>
        </w:rPr>
        <w:t>Način izračuna največje letne količine gorljivih sestavin, ki nastajajo po mehanski obdelavi  komunalnih odpadkov ter se jih lahko sežge v okviru storitev gospodarske javne službe in v okviru posebnih storitev, so za posamezne vrste komunalnih odpadkov določene v Prilogi 1, ki je sestavni del te uredbe.</w:t>
      </w:r>
    </w:p>
    <w:p w14:paraId="73FB233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483B9B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w:t>
      </w:r>
      <w:bookmarkStart w:id="8" w:name="_Hlk180651641"/>
      <w:r w:rsidRPr="00B775DE">
        <w:rPr>
          <w:rFonts w:ascii="Arial" w:eastAsia="Times New Roman" w:hAnsi="Arial" w:cs="Times New Roman"/>
          <w:kern w:val="0"/>
          <w:sz w:val="20"/>
          <w:szCs w:val="24"/>
        </w:rPr>
        <w:t>Največja letna količina gorljivih sestavin komunalnih odpadkov iz prejšnjega odstavka se za posamezno območje izvajanja gospodarske javne službe določi iz največje letne količine gorljivih sestavin za celotno ozemlje Republike Slovenije glede na delež prebivalcev, ki imajo stalno prebivališče v posameznem območju izvajanja gospodarske javne službe</w:t>
      </w:r>
      <w:bookmarkEnd w:id="8"/>
      <w:r w:rsidRPr="00B775DE">
        <w:rPr>
          <w:rFonts w:ascii="Arial" w:eastAsia="Times New Roman" w:hAnsi="Arial" w:cs="Times New Roman"/>
          <w:kern w:val="0"/>
          <w:sz w:val="20"/>
          <w:szCs w:val="24"/>
        </w:rPr>
        <w:t>.</w:t>
      </w:r>
    </w:p>
    <w:p w14:paraId="4C78AA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C3878BA" w14:textId="6FB81046"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Izvajalec gospodarske javne službe prosto zmogljivost infrastrukture za izvajanje gospodarske javne službe lahko uporabi le za opravljanje posebnih storitev, ki jih na tej infrastrukturi izvaja le v soglasju s </w:t>
      </w:r>
      <w:proofErr w:type="spellStart"/>
      <w:r w:rsidRPr="00B775DE">
        <w:rPr>
          <w:rFonts w:ascii="Arial" w:eastAsia="Times New Roman" w:hAnsi="Arial" w:cs="Times New Roman"/>
          <w:kern w:val="0"/>
          <w:sz w:val="20"/>
          <w:szCs w:val="24"/>
        </w:rPr>
        <w:t>koncedentom</w:t>
      </w:r>
      <w:proofErr w:type="spellEnd"/>
      <w:r w:rsidRPr="00B775DE">
        <w:rPr>
          <w:rFonts w:ascii="Arial" w:eastAsia="Times New Roman" w:hAnsi="Arial" w:cs="Times New Roman"/>
          <w:kern w:val="0"/>
          <w:sz w:val="20"/>
          <w:szCs w:val="24"/>
        </w:rPr>
        <w:t xml:space="preserve">. Največjo količino izvajanja posebnih storitev izvajalcu gospodarske javne službe določi </w:t>
      </w:r>
      <w:proofErr w:type="spellStart"/>
      <w:r w:rsidRPr="00B775DE">
        <w:rPr>
          <w:rFonts w:ascii="Arial" w:eastAsia="Times New Roman" w:hAnsi="Arial" w:cs="Times New Roman"/>
          <w:kern w:val="0"/>
          <w:sz w:val="20"/>
          <w:szCs w:val="24"/>
        </w:rPr>
        <w:t>koncendent</w:t>
      </w:r>
      <w:proofErr w:type="spellEnd"/>
      <w:r w:rsidRPr="00B775DE">
        <w:rPr>
          <w:rFonts w:ascii="Arial" w:eastAsia="Times New Roman" w:hAnsi="Arial" w:cs="Times New Roman"/>
          <w:kern w:val="0"/>
          <w:sz w:val="20"/>
          <w:szCs w:val="24"/>
        </w:rPr>
        <w:t xml:space="preserve"> v tekočem letu za prihodnje leto na njegovo prošnjo. </w:t>
      </w:r>
    </w:p>
    <w:p w14:paraId="2D7C552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15DBB4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Uporabnik storitev gospodarske javne službe mora začeti oddajati gorljive sestavine komunalnih odpadkov iz 2. člena te uredbe posameznim izvajalcem gospodarske javne službe v sorazmernem deležu glede na prevzete komunalne odpadke iz posameznih območij izvajanja gospodarske javne službe, kar se navede tudi v pogodbi iz 22. člena te uredbe. </w:t>
      </w:r>
    </w:p>
    <w:p w14:paraId="28A2ABD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A784CB" w14:textId="5D6CB25C" w:rsidR="00E65191" w:rsidRPr="00B775DE" w:rsidRDefault="00E65191" w:rsidP="00E65191">
      <w:pPr>
        <w:spacing w:before="40" w:after="4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(5) Podatke o največjih letnih količinah gorljivih sestavin iz prvega in drugega odstavka tega člena po posameznih območjih izvajanja gospodarske javne službe</w:t>
      </w:r>
      <w:r w:rsidR="00B33241">
        <w:rPr>
          <w:rFonts w:ascii="Arial" w:eastAsia="Times New Roman" w:hAnsi="Arial" w:cs="Times New Roman"/>
          <w:kern w:val="0"/>
          <w:sz w:val="20"/>
          <w:szCs w:val="24"/>
        </w:rPr>
        <w:t xml:space="preserve"> s ciljem doseganja ciljev recikliranja ter </w:t>
      </w:r>
      <w:r w:rsidRPr="00B775DE">
        <w:rPr>
          <w:rFonts w:ascii="Arial" w:eastAsia="Times New Roman" w:hAnsi="Arial" w:cs="Times New Roman"/>
          <w:kern w:val="0"/>
          <w:sz w:val="20"/>
          <w:szCs w:val="24"/>
        </w:rPr>
        <w:t xml:space="preserve"> z upoštevanjem deleža oddaje v recikliranje ali v pripravo za ponovno uporabo ločeno zbranih odpadkov iz plastike iz </w:t>
      </w:r>
      <w:r w:rsidR="00C21643">
        <w:rPr>
          <w:rFonts w:ascii="Arial" w:eastAsia="Times New Roman" w:hAnsi="Arial" w:cs="Times New Roman"/>
          <w:kern w:val="0"/>
          <w:sz w:val="20"/>
          <w:szCs w:val="24"/>
        </w:rPr>
        <w:t>P</w:t>
      </w:r>
      <w:r w:rsidRPr="00B775DE">
        <w:rPr>
          <w:rFonts w:ascii="Arial" w:eastAsia="Times New Roman" w:hAnsi="Arial" w:cs="Times New Roman"/>
          <w:kern w:val="0"/>
          <w:sz w:val="20"/>
          <w:szCs w:val="24"/>
        </w:rPr>
        <w:t>riloge 1 te uredbe določi Vlada Republike Slovenije</w:t>
      </w:r>
      <w:r w:rsidR="00CB2D57">
        <w:rPr>
          <w:rFonts w:ascii="Arial" w:eastAsia="Times New Roman" w:hAnsi="Arial" w:cs="Times New Roman"/>
          <w:kern w:val="0"/>
          <w:sz w:val="20"/>
          <w:szCs w:val="24"/>
        </w:rPr>
        <w:t xml:space="preserve"> (v nadaljnjem besedilu: vlada)</w:t>
      </w:r>
      <w:r w:rsidRPr="00B775DE">
        <w:rPr>
          <w:rFonts w:ascii="Arial" w:eastAsia="Times New Roman" w:hAnsi="Arial" w:cs="Times New Roman"/>
          <w:kern w:val="0"/>
          <w:sz w:val="20"/>
          <w:szCs w:val="24"/>
        </w:rPr>
        <w:t xml:space="preserve"> s sklepom, ki se objavi v Uradnem listu Republike Slovenije, do 1. oktobra v tekočem koledarskem letu za prihodnje koledarsko leto. Izhodiščno leto za modelni izračun scenarijev razvoja ravnanja s komunalnimi odpadki ne sme biti starejše od treh let. Vlada do 1. oktobra v tekočem koledarskem letu na tabelah iz Priloge 2, ki je sestavni del te uredbe, </w:t>
      </w:r>
      <w:r w:rsidR="00C22345">
        <w:rPr>
          <w:rFonts w:ascii="Arial" w:eastAsia="Times New Roman" w:hAnsi="Arial" w:cs="Times New Roman"/>
          <w:kern w:val="0"/>
          <w:sz w:val="20"/>
          <w:szCs w:val="24"/>
        </w:rPr>
        <w:t>na osrednje spletnem mestu državne uprave</w:t>
      </w:r>
      <w:r w:rsidRPr="00B775DE">
        <w:rPr>
          <w:rFonts w:ascii="Arial" w:eastAsia="Times New Roman" w:hAnsi="Arial" w:cs="Times New Roman"/>
          <w:kern w:val="0"/>
          <w:sz w:val="20"/>
          <w:szCs w:val="24"/>
        </w:rPr>
        <w:t xml:space="preserve"> objavi tudi informacijo o predvidenih največjih količinah gorljivih sestavin za 10-letno obdobje po tekočem koledarskem letu, ter podatke o predvidenem izpolnjevanju ciljev recikliranja odpadkov, ki se nanašajo na komunalne odpadke. </w:t>
      </w:r>
    </w:p>
    <w:p w14:paraId="4C9E14D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7938088" w14:textId="2E8FD929" w:rsidR="00EE28CE" w:rsidRPr="00893884" w:rsidRDefault="00E65191" w:rsidP="00893884">
      <w:pPr>
        <w:tabs>
          <w:tab w:val="left" w:pos="708"/>
        </w:tabs>
        <w:spacing w:before="40" w:after="40" w:line="240" w:lineRule="auto"/>
        <w:jc w:val="both"/>
        <w:rPr>
          <w:rFonts w:eastAsia="Times New Roman" w:cs="Times New Roman"/>
          <w:b/>
          <w:bCs/>
          <w:szCs w:val="24"/>
        </w:rPr>
      </w:pPr>
      <w:r w:rsidRPr="00B775DE">
        <w:rPr>
          <w:rFonts w:ascii="Arial" w:eastAsia="Times New Roman" w:hAnsi="Arial" w:cs="Times New Roman"/>
          <w:kern w:val="0"/>
          <w:sz w:val="20"/>
          <w:szCs w:val="24"/>
        </w:rPr>
        <w:t>(6) Storitve gospodarske javne službe se izvajajo v obratih, pri čemer koncedent ni zavezan zagotoviti predvidenih količin odpadkov iz prvega odstavka 4. člena te uredbe niti ni kakorkoli odgovoren, če pride do odstopanj količin gorljivih sestavin komunalnih odpadkov, kar se navede v koncesijski pogodbi. Največja letna količina storitev gospodarske javne službe ne presega 140</w:t>
      </w:r>
      <w:r w:rsidR="001843F5">
        <w:rPr>
          <w:rFonts w:ascii="Arial" w:eastAsia="Times New Roman" w:hAnsi="Arial" w:cs="Times New Roman"/>
          <w:kern w:val="0"/>
          <w:sz w:val="20"/>
          <w:szCs w:val="24"/>
        </w:rPr>
        <w:t> </w:t>
      </w:r>
      <w:r w:rsidRPr="00B775DE">
        <w:rPr>
          <w:rFonts w:ascii="Arial" w:eastAsia="Times New Roman" w:hAnsi="Arial" w:cs="Times New Roman"/>
          <w:kern w:val="0"/>
          <w:sz w:val="20"/>
          <w:szCs w:val="24"/>
        </w:rPr>
        <w:t xml:space="preserve">000 ton. </w:t>
      </w:r>
    </w:p>
    <w:p w14:paraId="20B6D339" w14:textId="77777777" w:rsidR="00E512A6" w:rsidRPr="00893884" w:rsidRDefault="00E512A6" w:rsidP="00E512A6">
      <w:pPr>
        <w:tabs>
          <w:tab w:val="left" w:pos="708"/>
        </w:tabs>
        <w:spacing w:before="40" w:after="40" w:line="240" w:lineRule="auto"/>
        <w:jc w:val="both"/>
        <w:rPr>
          <w:rFonts w:eastAsia="Times New Roman" w:cs="Times New Roman"/>
          <w:bCs/>
          <w:szCs w:val="24"/>
        </w:rPr>
      </w:pPr>
    </w:p>
    <w:p w14:paraId="20D2082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49071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(7) Uporabnik gospodarske javne službe mora začeti oddajati gorljive sestavine, ki nastanejo po mehanski obdelavi komunalnih odpadkov, izvajalcu gospodarske javne službe po začetku izvajanja storitev gospodarske javne službe na posameznem območju.</w:t>
      </w:r>
    </w:p>
    <w:p w14:paraId="24595CB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346BC3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(8) V koncesijski pogodbi se navede, da objava največjih letnih količin gorljivih sestavin iz petega odstavka tega člena hkrati predstavlja največjo količino gorljivih komunalnih odpadkov, ki se lahko sežgejo po posameznih območjih pri izvajalcih gospodarske javne službe in pri drugih izvajalcih sežiga komunalnih odpadkov. </w:t>
      </w:r>
    </w:p>
    <w:p w14:paraId="1BAF346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B79B2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bookmarkStart w:id="9" w:name="_Hlk189741384"/>
      <w:r w:rsidRPr="00B775DE">
        <w:rPr>
          <w:rFonts w:ascii="Arial" w:eastAsia="Times New Roman" w:hAnsi="Arial" w:cs="Times New Roman"/>
          <w:kern w:val="0"/>
          <w:sz w:val="20"/>
          <w:szCs w:val="24"/>
        </w:rPr>
        <w:t xml:space="preserve">(9) Koncesionar do 1. novembra tekočega leta za prihodnje leto določi največjo ocenjeno količino gorljivih komunalnih odpadkov za prihodnje leto </w:t>
      </w:r>
      <w:bookmarkEnd w:id="9"/>
      <w:r w:rsidRPr="00B775DE">
        <w:rPr>
          <w:rFonts w:ascii="Arial" w:eastAsia="Times New Roman" w:hAnsi="Arial" w:cs="Times New Roman"/>
          <w:kern w:val="0"/>
          <w:sz w:val="20"/>
          <w:szCs w:val="24"/>
        </w:rPr>
        <w:t>po posameznih območjih izvajanja gospodarske javne službe, ki jih lahko kot izvajalec gospodarske javne službe sežge na podlagi objave največjih letnih količin gorljivih sestavin po petem odstavku tega člena in ob upoštevanju razpoložljivih podatkov o količinah gorljivih komunalnih odpadkov, ki se sežigajo pri drugih izvajalcih sežiga komunalnih odpadkov, kar se navede tudi v koncesijski pogodbi.</w:t>
      </w:r>
    </w:p>
    <w:p w14:paraId="76CE21F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CF9EE59"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2.</w:t>
      </w:r>
      <w:r w:rsidRPr="00B775DE">
        <w:rPr>
          <w:rFonts w:ascii="Arial" w:eastAsia="Times New Roman" w:hAnsi="Arial" w:cs="Times New Roman"/>
          <w:kern w:val="0"/>
          <w:sz w:val="20"/>
        </w:rPr>
        <w:tab/>
        <w:t>Vrsta storitev gospodarske javne službe</w:t>
      </w:r>
    </w:p>
    <w:p w14:paraId="7B39C2A4"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p>
    <w:p w14:paraId="71ED068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7.</w:t>
      </w:r>
      <w:r w:rsidRPr="00B775DE">
        <w:rPr>
          <w:rFonts w:ascii="Arial" w:hAnsi="Arial"/>
          <w:b/>
          <w:kern w:val="0"/>
          <w:sz w:val="20"/>
        </w:rPr>
        <w:tab/>
        <w:t>člen</w:t>
      </w:r>
    </w:p>
    <w:p w14:paraId="2D1FB00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(storitve gospodarske javne službe)</w:t>
      </w:r>
    </w:p>
    <w:p w14:paraId="33B0A75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B10107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Gospodarska javna služba obsega naslednje storitve:</w:t>
      </w:r>
    </w:p>
    <w:p w14:paraId="5255767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sprejem gorljivih mešanih komunalnih odpadkov;</w:t>
      </w:r>
    </w:p>
    <w:p w14:paraId="33AF3C2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skladiščenje gorljivih  mešanih komunalnih odpadkov na območju obrata; </w:t>
      </w:r>
    </w:p>
    <w:p w14:paraId="64A46EF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w:t>
      </w:r>
      <w:proofErr w:type="spellStart"/>
      <w:r w:rsidRPr="00B775DE">
        <w:rPr>
          <w:rFonts w:ascii="Arial" w:eastAsia="Times New Roman" w:hAnsi="Arial" w:cs="Times New Roman"/>
          <w:kern w:val="0"/>
          <w:sz w:val="20"/>
          <w:szCs w:val="24"/>
        </w:rPr>
        <w:t>predobdelavo</w:t>
      </w:r>
      <w:proofErr w:type="spellEnd"/>
      <w:r w:rsidRPr="00B775DE">
        <w:rPr>
          <w:rFonts w:ascii="Arial" w:eastAsia="Times New Roman" w:hAnsi="Arial" w:cs="Times New Roman"/>
          <w:kern w:val="0"/>
          <w:sz w:val="20"/>
          <w:szCs w:val="24"/>
        </w:rPr>
        <w:t xml:space="preserve"> gorljivih mešanih komunalnih odpadkov na območju obrata, če je ta potrebna;</w:t>
      </w:r>
    </w:p>
    <w:p w14:paraId="1342447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varen, zanesljiv in energetsko učinkovit sežig gorljivih mešanih komunalnih odpadkov v obratu v skladu z Izvedbenim sklepom komisije (EU) 2019/2010 z dne 12. novembra 2019</w:t>
      </w:r>
    </w:p>
    <w:p w14:paraId="704A36D0" w14:textId="404B411A"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o določitvi zaključkov o najboljših razpoložljivih tehnikah (BAT) za sežiganje odpadkov na podlagi Direktive 2010/75/EU Evropskega parlamenta in Sveta z dne 24. novembra 2010 o industrijskih emisijah (UL L št. 312 z dne 3. 12. 2019, str. 55), (v nadaljnjem besedilu: Izvedbeni sklep </w:t>
      </w:r>
      <w:r w:rsidR="00C03296">
        <w:rPr>
          <w:rFonts w:ascii="Arial" w:eastAsia="Times New Roman" w:hAnsi="Arial" w:cs="Times New Roman"/>
          <w:kern w:val="0"/>
          <w:sz w:val="20"/>
          <w:szCs w:val="24"/>
        </w:rPr>
        <w:t>K</w:t>
      </w:r>
      <w:r w:rsidRPr="00B775DE">
        <w:rPr>
          <w:rFonts w:ascii="Arial" w:eastAsia="Times New Roman" w:hAnsi="Arial" w:cs="Times New Roman"/>
          <w:kern w:val="0"/>
          <w:sz w:val="20"/>
          <w:szCs w:val="24"/>
        </w:rPr>
        <w:t>omisije 2019/2010</w:t>
      </w:r>
      <w:r w:rsidR="00C03296">
        <w:rPr>
          <w:rFonts w:ascii="Arial" w:eastAsia="Times New Roman" w:hAnsi="Arial" w:cs="Times New Roman"/>
          <w:kern w:val="0"/>
          <w:sz w:val="20"/>
          <w:szCs w:val="24"/>
        </w:rPr>
        <w:t>/EU</w:t>
      </w:r>
      <w:r w:rsidRPr="00B775DE">
        <w:rPr>
          <w:rFonts w:ascii="Arial" w:eastAsia="Times New Roman" w:hAnsi="Arial" w:cs="Times New Roman"/>
          <w:kern w:val="0"/>
          <w:sz w:val="20"/>
          <w:szCs w:val="24"/>
        </w:rPr>
        <w:t xml:space="preserve">) </w:t>
      </w:r>
    </w:p>
    <w:p w14:paraId="6A25CDB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zagotavljanje obdelave ostankov sežiga gorljivih mešanih komunalnih odpadkov; </w:t>
      </w:r>
    </w:p>
    <w:p w14:paraId="47528F05" w14:textId="50F018A6"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obveščanje javnosti in uporabnikov o izvajanju gospodarske javne službe v skladu z 48. členom te uredbe ter</w:t>
      </w:r>
    </w:p>
    <w:p w14:paraId="454597F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7. vzdrževanje infrastrukture, potrebne za izvajanje gospodarske javne službe. </w:t>
      </w:r>
    </w:p>
    <w:p w14:paraId="19E3E72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7287A4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Gorljive mešane komunalne odpadke, ki nastanejo po njihovi mehanski obdelavi, je uporabnik gospodarske javne službe dolžan oddati izvajalcu gospodarske javne službe. </w:t>
      </w:r>
    </w:p>
    <w:p w14:paraId="46E7898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B92C493"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3.</w:t>
      </w:r>
      <w:r w:rsidRPr="00B775DE">
        <w:rPr>
          <w:rFonts w:ascii="Arial" w:eastAsia="Times New Roman" w:hAnsi="Arial" w:cs="Times New Roman"/>
          <w:kern w:val="0"/>
          <w:sz w:val="20"/>
        </w:rPr>
        <w:tab/>
        <w:t>Pravila izvajanja gospodarske javne službe</w:t>
      </w:r>
    </w:p>
    <w:p w14:paraId="088C036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E6B9BF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8.</w:t>
      </w:r>
      <w:r w:rsidRPr="00B775DE">
        <w:rPr>
          <w:rFonts w:ascii="Arial" w:hAnsi="Arial"/>
          <w:b/>
          <w:kern w:val="0"/>
          <w:sz w:val="20"/>
        </w:rPr>
        <w:tab/>
        <w:t>člen</w:t>
      </w:r>
    </w:p>
    <w:p w14:paraId="014B8E9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(pravila izvajanja gospodarske javne službe)</w:t>
      </w:r>
    </w:p>
    <w:p w14:paraId="4AA985A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4783E5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Obveznosti izvajalca gospodarske javne službe so:</w:t>
      </w:r>
    </w:p>
    <w:p w14:paraId="73FD69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zagotoviti mora, da se gospodarska javna služba izvaja kontinuirano in da se prevzeti gorljivi mešani komunalni odpadki sežigajo redno in brez zastojev, ki bi povzročili njihovo kopičenje; </w:t>
      </w:r>
    </w:p>
    <w:p w14:paraId="5BB2F2F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 času izvajanja gospodarske javne službe mora zagotavljati energetsko učinkovitost obrata na način, da je zagotovljena predelava po postopku R1;</w:t>
      </w:r>
    </w:p>
    <w:p w14:paraId="7B1F6A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o morebitnih zastojih zaradi okvar ali nezmožnosti zagotavljanja izvajanja gospodarske javne službe mora v najkrajšem možnem času oziroma najkasneje v 48 urah od nastanka zastoja ali nezmožnosti zagotavljanja teh storitev obvestiti ministrstvo, pristojno za odpadke (v nadaljnjem besedilu: ministrstvo), uporabnike storitev gospodarske javne službe in lokalno skupnost, na območju katere se obrat nahaja, ter informacijo objaviti na svoji spletni strani; </w:t>
      </w:r>
    </w:p>
    <w:p w14:paraId="7F45DE5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o načrtovanem rednem ali izrednem vzdrževanju obrata se mora uskladiti z uporabniki storitev gospodarske javne službe ter o tem obvestiti ministrstvo, inšpekcijo, pristojno za okolje, in lokalno skupnost, na območju katere se obrat nahaja, ter informacijo objaviti na svoji spletni strani;</w:t>
      </w:r>
    </w:p>
    <w:p w14:paraId="366F4C4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zagotavljati mora površine za procesno skladiščenje in </w:t>
      </w:r>
      <w:proofErr w:type="spellStart"/>
      <w:r w:rsidRPr="00B775DE">
        <w:rPr>
          <w:rFonts w:ascii="Arial" w:eastAsia="Times New Roman" w:hAnsi="Arial" w:cs="Times New Roman"/>
          <w:kern w:val="0"/>
          <w:sz w:val="20"/>
          <w:szCs w:val="24"/>
        </w:rPr>
        <w:t>predobdelavo</w:t>
      </w:r>
      <w:proofErr w:type="spellEnd"/>
      <w:r w:rsidRPr="00B775DE">
        <w:rPr>
          <w:rFonts w:ascii="Arial" w:eastAsia="Times New Roman" w:hAnsi="Arial" w:cs="Times New Roman"/>
          <w:kern w:val="0"/>
          <w:sz w:val="20"/>
          <w:szCs w:val="24"/>
        </w:rPr>
        <w:t xml:space="preserve"> gorljivih mešanih komunalnih odpadkov na lokaciji obrata: zagotovljena  mora biti zaščita gorljivih mešanih komunalnih odpadkov pred vremenskimi vplivi in omogočeno skladiščenje in </w:t>
      </w:r>
      <w:proofErr w:type="spellStart"/>
      <w:r w:rsidRPr="00B775DE">
        <w:rPr>
          <w:rFonts w:ascii="Arial" w:eastAsia="Times New Roman" w:hAnsi="Arial" w:cs="Times New Roman"/>
          <w:kern w:val="0"/>
          <w:sz w:val="20"/>
          <w:szCs w:val="24"/>
        </w:rPr>
        <w:t>predobdelava</w:t>
      </w:r>
      <w:proofErr w:type="spellEnd"/>
      <w:r w:rsidRPr="00B775DE">
        <w:rPr>
          <w:rFonts w:ascii="Arial" w:eastAsia="Times New Roman" w:hAnsi="Arial" w:cs="Times New Roman"/>
          <w:kern w:val="0"/>
          <w:sz w:val="20"/>
          <w:szCs w:val="24"/>
        </w:rPr>
        <w:t xml:space="preserve"> najmanj tiste količine gorljivih mešanih komunalnih odpadkov, ki jih lahko izvajalec gospodarske javne službe sežge v petih dneh, ob upoštevanju nazivne zmogljivosti obrata;</w:t>
      </w:r>
    </w:p>
    <w:p w14:paraId="66CF15B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6.  ob prevzemu gorljivih komunalnih odpadkov mora opraviti njihovo tehtanje in vizualni pregled njihove istovetnosti glede na vrsto in količino. Če komunalni odpadki ne izpolnjujejo pogojev iz 2. člena te uredbe, izvajalec gospodarske javne službe te odpadke zavrne;</w:t>
      </w:r>
    </w:p>
    <w:p w14:paraId="317FFA7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7.  za ostanke sežiga gorljivih mešanih komunalnih odpadkov mora zagotoviti predelavo, če to ni mogoče, pa njihovo odstranitev, v skladu s predpisom, ki ureja ravnanje z odpadki.</w:t>
      </w:r>
    </w:p>
    <w:p w14:paraId="15B8BF43"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4. Pravila ravnanja za uporabnike storitev gospodarske javne službe in posebnih storitev</w:t>
      </w:r>
    </w:p>
    <w:p w14:paraId="6B8E35DE" w14:textId="77777777" w:rsidR="00E65191" w:rsidRPr="00B775DE" w:rsidRDefault="00E65191" w:rsidP="00E65191">
      <w:pPr>
        <w:suppressAutoHyphens/>
        <w:overflowPunct w:val="0"/>
        <w:autoSpaceDE w:val="0"/>
        <w:autoSpaceDN w:val="0"/>
        <w:adjustRightInd w:val="0"/>
        <w:spacing w:before="280" w:after="60" w:line="200" w:lineRule="exact"/>
        <w:jc w:val="center"/>
        <w:textAlignment w:val="baseline"/>
        <w:outlineLvl w:val="3"/>
        <w:rPr>
          <w:rFonts w:ascii="Arial" w:eastAsia="Times New Roman" w:hAnsi="Arial" w:cs="Times New Roman"/>
          <w:b/>
          <w:bCs/>
          <w:kern w:val="0"/>
          <w:sz w:val="20"/>
        </w:rPr>
      </w:pPr>
      <w:r w:rsidRPr="00B775DE">
        <w:rPr>
          <w:rFonts w:ascii="Arial" w:eastAsia="Times New Roman" w:hAnsi="Arial" w:cs="Times New Roman"/>
          <w:b/>
          <w:bCs/>
          <w:kern w:val="0"/>
          <w:sz w:val="20"/>
        </w:rPr>
        <w:t>9. člen</w:t>
      </w:r>
    </w:p>
    <w:p w14:paraId="49B57F42" w14:textId="77777777" w:rsidR="00E65191" w:rsidRPr="00B775DE" w:rsidRDefault="00E65191" w:rsidP="00E65191">
      <w:pPr>
        <w:suppressAutoHyphens/>
        <w:overflowPunct w:val="0"/>
        <w:autoSpaceDE w:val="0"/>
        <w:autoSpaceDN w:val="0"/>
        <w:adjustRightInd w:val="0"/>
        <w:spacing w:before="280" w:after="60" w:line="200" w:lineRule="exact"/>
        <w:jc w:val="center"/>
        <w:textAlignment w:val="baseline"/>
        <w:outlineLvl w:val="3"/>
        <w:rPr>
          <w:rFonts w:ascii="Arial" w:eastAsia="Times New Roman" w:hAnsi="Arial" w:cs="Times New Roman"/>
          <w:b/>
          <w:bCs/>
          <w:kern w:val="0"/>
          <w:sz w:val="20"/>
        </w:rPr>
      </w:pPr>
      <w:r w:rsidRPr="00B775DE">
        <w:rPr>
          <w:rFonts w:ascii="Arial" w:eastAsia="Times New Roman" w:hAnsi="Arial" w:cs="Times New Roman"/>
          <w:b/>
          <w:bCs/>
          <w:kern w:val="0"/>
          <w:sz w:val="20"/>
        </w:rPr>
        <w:t>(uporabniki storitev)</w:t>
      </w:r>
    </w:p>
    <w:p w14:paraId="52DFD952" w14:textId="77777777" w:rsidR="00E65191" w:rsidRPr="00B775DE" w:rsidRDefault="00E65191" w:rsidP="00E65191">
      <w:pPr>
        <w:suppressAutoHyphens/>
        <w:overflowPunct w:val="0"/>
        <w:autoSpaceDE w:val="0"/>
        <w:autoSpaceDN w:val="0"/>
        <w:adjustRightInd w:val="0"/>
        <w:spacing w:before="280" w:after="60" w:line="200" w:lineRule="exact"/>
        <w:jc w:val="both"/>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 Uporabniki storitev gospodarske javne službe so izvajalci mehanske obdelave mešanih komunalnih odpadkov s številko 20 03 01 pred odlaganjem na odlagališču, ki v okviru storitev obvezne občinske gospodarske javne službe obdelave določenih vrst komunalnih odpadkov mehansko obdelujejo te komunalne odpadke, prevzete od izvajalca javne službe zbiranja ali neposredno od izvornega povzročitelja teh odpadkov.</w:t>
      </w:r>
    </w:p>
    <w:p w14:paraId="70A1108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Uporabniki posebnih storitev so izvajalci mehanske obdelave preostalih komunalnih odpadkov, ki so bili prevzeti v mehansko obdelavo od izvajalca javne službe zbiranja ali neposredno od izvornega povzročitelja teh odpadkov, in upravljavci komunalnih čistilnih naprav, ki v predelavo oddajo odpadek iz 3. točke drugega odstavka 21. člena te uredbe.</w:t>
      </w:r>
    </w:p>
    <w:p w14:paraId="6E0400E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AA3937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10.</w:t>
      </w:r>
      <w:r w:rsidRPr="00B775DE">
        <w:rPr>
          <w:rFonts w:ascii="Arial" w:hAnsi="Arial"/>
          <w:b/>
          <w:kern w:val="0"/>
          <w:sz w:val="20"/>
        </w:rPr>
        <w:tab/>
        <w:t xml:space="preserve"> člen</w:t>
      </w:r>
    </w:p>
    <w:p w14:paraId="605DAF5F"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(pravila ravnanja za uporabnike storitev )</w:t>
      </w:r>
    </w:p>
    <w:p w14:paraId="051DB99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066774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Za uporabnike storitev gospodarske javne službe veljajo naslednja pravila:</w:t>
      </w:r>
    </w:p>
    <w:p w14:paraId="55FBB8D0" w14:textId="1F134B15"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1. Uporaba storitev gospodarske javne službe v skladu s 6. členom te uredbe je obvezna za vse uporabnike teh storitev v Republiki Sloveniji</w:t>
      </w:r>
      <w:r w:rsidR="00BD1FFC">
        <w:rPr>
          <w:rFonts w:ascii="Arial" w:eastAsia="Times New Roman" w:hAnsi="Arial" w:cs="Times New Roman"/>
          <w:kern w:val="0"/>
          <w:sz w:val="20"/>
          <w:szCs w:val="24"/>
        </w:rPr>
        <w:t>;</w:t>
      </w:r>
      <w:r w:rsidRPr="00B775DE">
        <w:rPr>
          <w:rFonts w:ascii="Arial" w:eastAsia="Times New Roman" w:hAnsi="Arial" w:cs="Times New Roman"/>
          <w:kern w:val="0"/>
          <w:sz w:val="20"/>
          <w:szCs w:val="24"/>
        </w:rPr>
        <w:t xml:space="preserve"> </w:t>
      </w:r>
    </w:p>
    <w:p w14:paraId="34EDD65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3455640" w14:textId="02BECA1D"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Uporabniki storitev gospodarske javne službe morajo </w:t>
      </w:r>
      <w:r w:rsidRPr="00B775DE">
        <w:rPr>
          <w:rFonts w:ascii="Arial" w:eastAsia="Times New Roman" w:hAnsi="Arial" w:cs="Times New Roman"/>
          <w:color w:val="000000" w:themeColor="text1"/>
          <w:kern w:val="0"/>
          <w:sz w:val="20"/>
          <w:szCs w:val="24"/>
        </w:rPr>
        <w:t xml:space="preserve">od trenutka vzpostavitve gospodarske javne službe za posamezno območje izvajanja gospodarske javne službe </w:t>
      </w:r>
      <w:r w:rsidRPr="00B775DE">
        <w:rPr>
          <w:rFonts w:ascii="Arial" w:eastAsia="Times New Roman" w:hAnsi="Arial" w:cs="Times New Roman"/>
          <w:kern w:val="0"/>
          <w:sz w:val="20"/>
          <w:szCs w:val="24"/>
        </w:rPr>
        <w:t>gorljive mešane komunalne odpadke predajati izvajalcu gospodarske javne službe, na katerega območju so bili ti komunalni odpadki zbrani, v skladu s točko</w:t>
      </w:r>
      <w:r w:rsidR="00520315">
        <w:rPr>
          <w:rFonts w:ascii="Arial" w:eastAsia="Times New Roman" w:hAnsi="Arial" w:cs="Times New Roman"/>
          <w:kern w:val="0"/>
          <w:sz w:val="20"/>
          <w:szCs w:val="24"/>
        </w:rPr>
        <w:t xml:space="preserve"> pod</w:t>
      </w:r>
      <w:r w:rsidRPr="00B775DE">
        <w:rPr>
          <w:rFonts w:ascii="Arial" w:eastAsia="Times New Roman" w:hAnsi="Arial" w:cs="Times New Roman"/>
          <w:kern w:val="0"/>
          <w:sz w:val="20"/>
          <w:szCs w:val="24"/>
        </w:rPr>
        <w:t xml:space="preserve"> d) </w:t>
      </w:r>
      <w:r w:rsidR="00520315">
        <w:rPr>
          <w:rFonts w:ascii="Arial" w:eastAsia="Times New Roman" w:hAnsi="Arial" w:cs="Times New Roman"/>
          <w:kern w:val="0"/>
          <w:sz w:val="20"/>
          <w:szCs w:val="24"/>
        </w:rPr>
        <w:t>4.</w:t>
      </w:r>
      <w:r w:rsidRPr="00B775DE">
        <w:rPr>
          <w:rFonts w:ascii="Arial" w:eastAsia="Times New Roman" w:hAnsi="Arial" w:cs="Times New Roman"/>
          <w:kern w:val="0"/>
          <w:sz w:val="20"/>
          <w:szCs w:val="24"/>
        </w:rPr>
        <w:t xml:space="preserve"> točke tega odstavka. V času, ko ta izvajalec gospodarske javne službe zaradi okvare ali izrednega dogodka ne more zagotoviti njenega izvajanja, lahko uporabniki</w:t>
      </w:r>
      <w:r w:rsidR="00F007BE">
        <w:rPr>
          <w:rFonts w:ascii="Arial" w:eastAsia="Times New Roman" w:hAnsi="Arial" w:cs="Times New Roman"/>
          <w:kern w:val="0"/>
          <w:sz w:val="20"/>
          <w:szCs w:val="24"/>
        </w:rPr>
        <w:t xml:space="preserve"> storitev</w:t>
      </w:r>
      <w:r w:rsidRPr="00B775DE">
        <w:rPr>
          <w:rFonts w:ascii="Arial" w:eastAsia="Times New Roman" w:hAnsi="Arial" w:cs="Times New Roman"/>
          <w:kern w:val="0"/>
          <w:sz w:val="20"/>
          <w:szCs w:val="24"/>
        </w:rPr>
        <w:t xml:space="preserve"> gorljive komunalne odpadke predajo v sežig drugemu izvajalcu gospodarske javne službe, ki ima proste zmogljivosti za njihov sprejem. Če obrat kljub okvari ali izrednemu dogodku lahko obratuje z zmanjšano zmogljivostjo, lahko uporabniki storitev gospodarske javne službe drugemu izvajalcu te službe predajo zgolj presežne količine gorljivih mešanih komunalnih odpadkov, za katere izvajalec gospodarske javne službe ne more zagotoviti izvajanja storitev gospodarske javne službe v skladu s 6. členom te uredbe</w:t>
      </w:r>
      <w:r w:rsidR="00BD1FFC">
        <w:rPr>
          <w:rFonts w:ascii="Arial" w:eastAsia="Times New Roman" w:hAnsi="Arial" w:cs="Times New Roman"/>
          <w:kern w:val="0"/>
          <w:sz w:val="20"/>
          <w:szCs w:val="24"/>
        </w:rPr>
        <w:t>;</w:t>
      </w:r>
    </w:p>
    <w:p w14:paraId="360A8C0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DAA938D" w14:textId="1F9A0F23"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bookmarkStart w:id="10" w:name="_Hlk187233838"/>
      <w:r w:rsidRPr="00B775DE">
        <w:rPr>
          <w:rFonts w:ascii="Arial" w:eastAsia="Times New Roman" w:hAnsi="Arial" w:cs="Times New Roman"/>
          <w:kern w:val="0"/>
          <w:sz w:val="20"/>
          <w:szCs w:val="24"/>
        </w:rPr>
        <w:t>3. Uporabniki storitev gospodarske javne službe morajo gorljive mešane komunalne odpadke skladiščiti tako, da niso neposredno izpostavljeni padavinam ali drugim vplivom, ki bi lahko vplivali na njihove lastnosti, pomembne za sežig</w:t>
      </w:r>
      <w:r w:rsidR="00BD1FFC">
        <w:rPr>
          <w:rFonts w:ascii="Arial" w:eastAsia="Times New Roman" w:hAnsi="Arial" w:cs="Times New Roman"/>
          <w:kern w:val="0"/>
          <w:sz w:val="20"/>
          <w:szCs w:val="24"/>
        </w:rPr>
        <w:t>;</w:t>
      </w:r>
      <w:r w:rsidRPr="00B775DE">
        <w:rPr>
          <w:rFonts w:ascii="Arial" w:eastAsia="Times New Roman" w:hAnsi="Arial" w:cs="Times New Roman"/>
          <w:kern w:val="0"/>
          <w:sz w:val="20"/>
          <w:szCs w:val="24"/>
        </w:rPr>
        <w:t xml:space="preserve"> </w:t>
      </w:r>
    </w:p>
    <w:p w14:paraId="23EB6C1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bookmarkEnd w:id="10"/>
    <w:p w14:paraId="199F002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w:t>
      </w:r>
      <w:commentRangeStart w:id="11"/>
      <w:r w:rsidRPr="00B775DE">
        <w:rPr>
          <w:rFonts w:ascii="Arial" w:eastAsia="Times New Roman" w:hAnsi="Arial" w:cs="Times New Roman"/>
          <w:kern w:val="0"/>
          <w:sz w:val="20"/>
          <w:szCs w:val="24"/>
        </w:rPr>
        <w:t xml:space="preserve">Izvajalec mehanske obdelave mešanih komunalnih odpadkov </w:t>
      </w:r>
      <w:commentRangeEnd w:id="11"/>
      <w:r w:rsidR="00BD1FFC">
        <w:rPr>
          <w:rStyle w:val="Pripombasklic"/>
          <w:rFonts w:ascii="Arial" w:eastAsia="Times New Roman" w:hAnsi="Arial" w:cs="Times New Roman"/>
          <w:kern w:val="0"/>
        </w:rPr>
        <w:commentReference w:id="11"/>
      </w:r>
      <w:r w:rsidRPr="00B775DE">
        <w:rPr>
          <w:rFonts w:ascii="Arial" w:eastAsia="Times New Roman" w:hAnsi="Arial" w:cs="Times New Roman"/>
          <w:kern w:val="0"/>
          <w:sz w:val="20"/>
          <w:szCs w:val="24"/>
        </w:rPr>
        <w:t>s številko 20 03 01, mora izpolnjevati naslednje obveznosti:</w:t>
      </w:r>
    </w:p>
    <w:p w14:paraId="03D5C8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B84A11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a) v mehansko obdelavo mora prevzemati mešane komunalne odpadke od izvajalcev javne službe zbiranja in voditi evidence o tem prevzemu ločeno po občinah, kjer so ti komunalni odpadki nastali;</w:t>
      </w:r>
    </w:p>
    <w:p w14:paraId="6A24893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b) zagotoviti mora, da </w:t>
      </w:r>
      <w:bookmarkStart w:id="12" w:name="_Hlk180744862"/>
      <w:r w:rsidRPr="00B775DE">
        <w:rPr>
          <w:rFonts w:ascii="Arial" w:eastAsia="Times New Roman" w:hAnsi="Arial" w:cs="Times New Roman"/>
          <w:kern w:val="0"/>
          <w:sz w:val="20"/>
          <w:szCs w:val="24"/>
        </w:rPr>
        <w:t xml:space="preserve">se z mehansko obdelavo mešanih komunalnih odpadkov </w:t>
      </w:r>
      <w:bookmarkEnd w:id="12"/>
      <w:r w:rsidRPr="00B775DE">
        <w:rPr>
          <w:rFonts w:ascii="Arial" w:eastAsia="Times New Roman" w:hAnsi="Arial" w:cs="Times New Roman"/>
          <w:kern w:val="0"/>
          <w:sz w:val="20"/>
          <w:szCs w:val="24"/>
        </w:rPr>
        <w:t>in z razvrščanjem pridobijo odpadki, ki mešane komunalne odpadke sestavljajo, ter da se evidentirajo količine in drugi parametri teh odpadkov, če je to zahtevano s predpisi, ki urejajo razširjeno odgovornost proizvajalcev proizvodov, iz katerih po uporabi nastanejo odpadki;</w:t>
      </w:r>
    </w:p>
    <w:p w14:paraId="16B0834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c) zagotoviti mora mehansko obdelavo mešanih komunalnih odpadkov in voditi evidenco o tej obdelavi ločeno po občinah, kjer so bili ti odpadki zbrani, vključno s podatki o izločenih reciklabilnih in gorljivih sestavinah iz mešanih komunalnih odpadkov; </w:t>
      </w:r>
    </w:p>
    <w:p w14:paraId="0CA9308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1B6AC6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 zagotoviti mora, da se za gorljive sestavine, ki nastajajo po mehanski obdelavi mešanih  komunalnih odpadkov in niso primerne za oddajo v recikliranje ali v pripravo za ponovno uporabo:</w:t>
      </w:r>
    </w:p>
    <w:p w14:paraId="6801396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vodi evidence o njihovi količini ter vrsti komunalnih odpadkov, iz katerih so nastale po mehanski obdelavi, </w:t>
      </w:r>
    </w:p>
    <w:p w14:paraId="1203BE3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izvede skladiščenje v pokritih prostorih velikosti, ki zadostuje za obdobje najmanj enega meseca načrtovanega nastajanja teh gorljivih sestavin;</w:t>
      </w:r>
    </w:p>
    <w:p w14:paraId="34A44A3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DC0402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d) oddajati mora gorljive sestavine, ki nastajajo po mehanski obdelavi mešanih komunalnih odpadkov, v sežiganje tistemu izvajalcu gospodarske javne službe, ki s svojimi storitvami pokriva območje, kjer so bili ti komunalni odpadki zbrani; </w:t>
      </w:r>
    </w:p>
    <w:p w14:paraId="736AE58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6F424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e) zagotoviti mora, da:</w:t>
      </w:r>
    </w:p>
    <w:p w14:paraId="3F195B1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količine gorljivih sestavin, oddanih v sežiganje, ne presegajo sorazmernega deleža največje letne količine, ki je določena in objavljena skladno s petim odstavkom 6. člena te uredbe in</w:t>
      </w:r>
    </w:p>
    <w:p w14:paraId="4AC8B8A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gorljive sestavine iz prejšnje alineje izpolnjujejo lastnosti za prevzem v sežig, določene v razpisni koncesijski dokumentaciji. </w:t>
      </w:r>
    </w:p>
    <w:p w14:paraId="115FDD9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5C3DE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f) poročati mora v informacijski sistem okolja podatke v zvezi z mehansko obdelavo odpadkov v obsegu, ki je določen v Prilogi 3, ki je sestavni del te uredbe.</w:t>
      </w:r>
    </w:p>
    <w:p w14:paraId="6646C06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350F5A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 Za uporabnike posebnih storitev veljajo naslednja pravila:</w:t>
      </w:r>
    </w:p>
    <w:p w14:paraId="13ED02A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68A90BD" w14:textId="0B247CC3"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1. Uporabniki posebnih storitev morajo gorljive komunalne odpadke skladiščiti tako, da niso neposredno izpostavljeni padavinam ali drugim vplivom, ki bi lahko vplivali na njihove lastnosti, pomembne za sežig</w:t>
      </w:r>
      <w:r w:rsidR="00BD1FFC">
        <w:rPr>
          <w:rFonts w:ascii="Arial" w:eastAsia="Times New Roman" w:hAnsi="Arial" w:cs="Times New Roman"/>
          <w:kern w:val="0"/>
          <w:sz w:val="20"/>
          <w:szCs w:val="24"/>
        </w:rPr>
        <w:t>;</w:t>
      </w:r>
      <w:r w:rsidRPr="00B775DE">
        <w:rPr>
          <w:rFonts w:ascii="Arial" w:eastAsia="Times New Roman" w:hAnsi="Arial" w:cs="Times New Roman"/>
          <w:kern w:val="0"/>
          <w:sz w:val="20"/>
          <w:szCs w:val="24"/>
        </w:rPr>
        <w:t xml:space="preserve"> </w:t>
      </w:r>
    </w:p>
    <w:p w14:paraId="0CDF699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1E3ACC2" w14:textId="4203E13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Izvajalec mehanske obdelave komunalnih odpadkov, ki je uporabnik posebnih storitev, mora izpolnjevati vse predpisane obveznosti predelovalca odpadkov, če gre za mehansko obdelavo ločeno zbranih komunalnih odpadkov iz podskupin odpadkov 20 01 in 15 01 ali kosovnih odpadkov s številko 20 03 07</w:t>
      </w:r>
      <w:r w:rsidR="00BD1FFC">
        <w:rPr>
          <w:rFonts w:ascii="Arial" w:eastAsia="Times New Roman" w:hAnsi="Arial" w:cs="Times New Roman"/>
          <w:kern w:val="0"/>
          <w:sz w:val="20"/>
          <w:szCs w:val="24"/>
        </w:rPr>
        <w:t>;</w:t>
      </w:r>
    </w:p>
    <w:p w14:paraId="466790E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E2FB71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Izvajalec mehanske obdelave, mora izpolnjevati naslednje obveznosti:</w:t>
      </w:r>
    </w:p>
    <w:p w14:paraId="578F521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04CC4F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a) za prevzete komunalne odpadke od izvajalcev javne službe zbiranja mora voditi evidence o tem prevzemu ločeno po občinah, kjer so ti komunalni odpadki nastali in sicer ločeno po naslednjih vrstah komunalnih odpadkov:</w:t>
      </w:r>
    </w:p>
    <w:p w14:paraId="0C2D5A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mešanica ločeno zbranega papirja, kartona in lepenke s številko 20 01 01 ter ločeno zbrane papirne in kartonske embalaže ter embalaže iz lepenke s številko 15 01 01,</w:t>
      </w:r>
    </w:p>
    <w:p w14:paraId="42E382A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ločeno zbrana papirna in kartonska embalaža ter embalaže iz lepenke s številko 15 01 01,</w:t>
      </w:r>
    </w:p>
    <w:p w14:paraId="2D181EC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mešanica ločeno zbrane plastike s številko 20 01 39 ter ločeno zbrane plastične embalaže s številko 15 01 02,</w:t>
      </w:r>
    </w:p>
    <w:p w14:paraId="1161978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ločeno zbrana plastična embalaža s številko 15 01 02,</w:t>
      </w:r>
    </w:p>
    <w:p w14:paraId="67FEEAB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mešanica ločeno zbranega lesa s številko 20 01 38 ter ločeno zbrane lesene embalaže s številko 15 01 03,</w:t>
      </w:r>
    </w:p>
    <w:p w14:paraId="397F2BB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ločeno zbrana lesena embalaža s številko 15 01 03,</w:t>
      </w:r>
    </w:p>
    <w:p w14:paraId="5EBC34D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mešanice ločeno zbranega tekstila s številko 20 01 11 ter ločeno zbrane embalaže iz tekstila s številko 15 01 09 in</w:t>
      </w:r>
    </w:p>
    <w:p w14:paraId="7544DD0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ločeno zbrana mešana embalaža s številko 15 01 06;</w:t>
      </w:r>
    </w:p>
    <w:p w14:paraId="6DE007B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695F8D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b) zagotoviti mora, da se z mehansko obdelavo in z razvrščanjem odpadkov iz prejšnje podtočke pridobi odpadke, ki mešanico sestavljajo, ter da se evidentirajo količine in drugi parametri teh odpadkov, </w:t>
      </w:r>
    </w:p>
    <w:p w14:paraId="02780A7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236B0E7" w14:textId="57126C9C"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c) zagotoviti mora mehansko obdelavo komunalnih odpadkov in voditi evidenco o tej obdelavi ločeno po občinah, kjer so bili ti odpadki zbrani, če gre za odpadno embalažo iz podskupine odpadkov s številko 15 01, ločeno zbrane frakcije iz podskupine odpadkov s številko 20 01 ali za kosovne odpadke s številko 20 03 07</w:t>
      </w:r>
      <w:r w:rsidR="0015388F">
        <w:rPr>
          <w:rFonts w:ascii="Arial" w:eastAsia="Times New Roman" w:hAnsi="Arial" w:cs="Times New Roman"/>
          <w:kern w:val="0"/>
          <w:sz w:val="20"/>
          <w:szCs w:val="24"/>
        </w:rPr>
        <w:t>,</w:t>
      </w:r>
    </w:p>
    <w:p w14:paraId="172D6BC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48D9F2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 zagotoviti mora, da se za gorljive sestavine, ki nastajajo po mehanski obdelavi komunalnih odpadkov iz podtočke a) te točke in niso primerne za oddajo v recikliranje ali v pripravo za ponovno uporabo:</w:t>
      </w:r>
    </w:p>
    <w:p w14:paraId="08200C9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vodi evidence o njihovi količini ter vrsti komunalnih odpadkov, iz katerih so nastale po mehanski obdelavi, </w:t>
      </w:r>
    </w:p>
    <w:p w14:paraId="508FB9C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izvede skladiščenje v pokritih prostorih velikosti, skladno s predpisom, ki ureja skladiščenje trdnih gorljivih odpadkov;</w:t>
      </w:r>
    </w:p>
    <w:p w14:paraId="34D6AE42" w14:textId="77777777" w:rsidR="00E65191" w:rsidRPr="00B775DE" w:rsidRDefault="00E65191" w:rsidP="00E65191">
      <w:pPr>
        <w:tabs>
          <w:tab w:val="left" w:pos="708"/>
        </w:tabs>
        <w:spacing w:before="40" w:after="40" w:line="240" w:lineRule="auto"/>
        <w:rPr>
          <w:rFonts w:ascii="Arial" w:eastAsia="Times New Roman" w:hAnsi="Arial" w:cs="Times New Roman"/>
          <w:strike/>
          <w:kern w:val="0"/>
          <w:sz w:val="20"/>
          <w:szCs w:val="24"/>
        </w:rPr>
      </w:pPr>
    </w:p>
    <w:p w14:paraId="2AE7DED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d) zagotoviti mora, da količine gorljivih sestavin iz prejšnje točke, oddane v sežiganje, ne presegajo sorazmernega deleža največje letne količine, ki je določena in objavljena skladno s petim odstavkom 6. člena te uredbe za kosovne odpadke s številko 20 03 07 ter za ločeno zbrane frakcije komunalnih odpadkov s številkami 20 01 01, 20 01 39, 20 01 38 in 20 01 11;</w:t>
      </w:r>
    </w:p>
    <w:p w14:paraId="1C5C8ED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5DF779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e) oddajati mora gorljive sestavine, ki nastajajo po mehanski obdelavi odpadne embalaže iz podskupine 15 01, v sežiganje kot posebno storitev kateremu koli izvajalcu gospodarske javne službe ali v sežiganje v kateri koli drug obrat, ki izpolnjuje pogoj iz tretjega odstavka 5. člena te uredbe;</w:t>
      </w:r>
    </w:p>
    <w:p w14:paraId="08FB8DE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57FE40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f) zagotoviti mora, da količine oddanih gorljivih sestavin v sežiganje iz prejšnje podtočke ne presegajo sorazmernega deleža največje letne količine, ki je za odpadno embalažo iz podskupine 15 01, zbrano v okviru občinske javne službe zbiranja in za odpadno embalažo iz podskupine 15 01, ki ni zbrana v okviru občinske javne službe zbiranja, določena in objavljena skladno s petim odstavkom 6. člena te uredbe;</w:t>
      </w:r>
    </w:p>
    <w:p w14:paraId="065AFBB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B767C6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g) poročati mora v informacijski sistem okolja podatke v zvezi z mehansko obdelavo odpadkov iz </w:t>
      </w:r>
      <w:r w:rsidR="00F007BE">
        <w:rPr>
          <w:rFonts w:ascii="Arial" w:eastAsia="Times New Roman" w:hAnsi="Arial" w:cs="Times New Roman"/>
          <w:kern w:val="0"/>
          <w:sz w:val="20"/>
          <w:szCs w:val="24"/>
        </w:rPr>
        <w:t>točke pod</w:t>
      </w:r>
      <w:r w:rsidR="00F007BE"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 xml:space="preserve">a) te točke v obsegu, ki je določen v </w:t>
      </w:r>
      <w:r w:rsidR="00C7793B">
        <w:rPr>
          <w:rFonts w:ascii="Arial" w:eastAsia="Times New Roman" w:hAnsi="Arial" w:cs="Times New Roman"/>
          <w:kern w:val="0"/>
          <w:sz w:val="20"/>
          <w:szCs w:val="24"/>
        </w:rPr>
        <w:t>P</w:t>
      </w:r>
      <w:r w:rsidRPr="00B775DE">
        <w:rPr>
          <w:rFonts w:ascii="Arial" w:eastAsia="Times New Roman" w:hAnsi="Arial" w:cs="Times New Roman"/>
          <w:kern w:val="0"/>
          <w:sz w:val="20"/>
          <w:szCs w:val="24"/>
        </w:rPr>
        <w:t>rilogi 3 te uredbe.</w:t>
      </w:r>
    </w:p>
    <w:p w14:paraId="3B8F8A1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CB11B7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11.</w:t>
      </w:r>
      <w:r w:rsidRPr="00B775DE">
        <w:rPr>
          <w:rFonts w:ascii="Arial" w:hAnsi="Arial"/>
          <w:b/>
          <w:kern w:val="0"/>
          <w:sz w:val="20"/>
        </w:rPr>
        <w:tab/>
        <w:t xml:space="preserve"> člen</w:t>
      </w:r>
    </w:p>
    <w:p w14:paraId="0177D49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(posredovanje podatkov o količinah gorljivih komunalnih odpadkov)</w:t>
      </w:r>
    </w:p>
    <w:p w14:paraId="6D2454D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5D792B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Uporabniki storitev gospodarske javne službe in posebnih storitev morajo ministrstvu na njegovo zahtevo v roku 30 dni posredovati podatke o količinah posameznih vrst gorljivih komunalnih odpadkov za predhodna tri koledarska leta, ki so jih sprejeli in poslali v sežig v obrat. Ti podatki se pripravijo na podlagi izračunanih deležev vhodnih količin določenih vrst komunalnih odpadkov, ki jih je uporabnik storitev gospodarske javne službe prevzel od posamezne lokalne skupnosti in obdelal v svojem centru za ravnanje s komunalnimi odpadki. </w:t>
      </w:r>
    </w:p>
    <w:p w14:paraId="5A24A7AF"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5.</w:t>
      </w:r>
      <w:r w:rsidRPr="00B775DE">
        <w:rPr>
          <w:rFonts w:ascii="Arial" w:eastAsia="Times New Roman" w:hAnsi="Arial" w:cs="Times New Roman"/>
          <w:kern w:val="0"/>
          <w:sz w:val="20"/>
        </w:rPr>
        <w:tab/>
        <w:t>Viri financiranja gospodarske javne službe</w:t>
      </w:r>
    </w:p>
    <w:p w14:paraId="4B41D4A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78873C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12.</w:t>
      </w:r>
      <w:r w:rsidRPr="00B775DE">
        <w:rPr>
          <w:rFonts w:ascii="Arial" w:hAnsi="Arial"/>
          <w:b/>
          <w:kern w:val="0"/>
          <w:sz w:val="20"/>
        </w:rPr>
        <w:tab/>
        <w:t xml:space="preserve"> člen</w:t>
      </w:r>
    </w:p>
    <w:p w14:paraId="08CE29A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(viri financiranja)</w:t>
      </w:r>
    </w:p>
    <w:p w14:paraId="681FCFE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77745D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Gospodarske javna služba se financira iz plačil uporabnikov za storitve izvajanja gospodarske javne službe, iz prihodkov od prodaje proizvodov sežiganja odpadkov ter iz prihodkov posebnih storitev.</w:t>
      </w:r>
    </w:p>
    <w:p w14:paraId="25BEB45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019AE7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6.</w:t>
      </w:r>
      <w:r w:rsidRPr="00B775DE">
        <w:rPr>
          <w:rFonts w:ascii="Arial" w:eastAsia="Times New Roman" w:hAnsi="Arial" w:cs="Times New Roman"/>
          <w:kern w:val="0"/>
          <w:sz w:val="20"/>
          <w:szCs w:val="24"/>
        </w:rPr>
        <w:tab/>
        <w:t>Cena storitev gospodarske javne službe</w:t>
      </w:r>
    </w:p>
    <w:p w14:paraId="1447204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7AD8F0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13.</w:t>
      </w:r>
      <w:r w:rsidRPr="00B775DE">
        <w:rPr>
          <w:rFonts w:ascii="Arial" w:hAnsi="Arial"/>
          <w:b/>
          <w:kern w:val="0"/>
          <w:sz w:val="20"/>
        </w:rPr>
        <w:tab/>
        <w:t xml:space="preserve"> člen</w:t>
      </w:r>
    </w:p>
    <w:p w14:paraId="285577A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(oblikovanje cene storitev gospodarske javne službe)</w:t>
      </w:r>
    </w:p>
    <w:p w14:paraId="71DB452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F82DE7" w14:textId="3EC394A5"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Ceno storitev gospodarske javne službe (v nadaljnjem besedilu: cena) določi</w:t>
      </w:r>
      <w:r w:rsidR="0015388F">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vlada s sklepom, ki ga objavi v Uradnem listu Republike Slovenije.</w:t>
      </w:r>
    </w:p>
    <w:p w14:paraId="6305B6D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Cena se določi v eurih na eno tono prevzetih gorljivih komunalnih odpadkov.</w:t>
      </w:r>
    </w:p>
    <w:p w14:paraId="6D43E0E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Vlada izvajalcu gospodarske javne službe določi ceno v zadnjem letu tekočega triletnega obračunskega obdobja za naslednje triletno obračunsko obdobje.</w:t>
      </w:r>
    </w:p>
    <w:p w14:paraId="0323795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2F1954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14. člen</w:t>
      </w:r>
    </w:p>
    <w:p w14:paraId="08F8ACE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(predlog cene)</w:t>
      </w:r>
    </w:p>
    <w:p w14:paraId="470CBCF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EB9959B" w14:textId="3486F0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Predlog cene</w:t>
      </w:r>
      <w:r w:rsidR="00EC3C02">
        <w:rPr>
          <w:rFonts w:ascii="Arial" w:eastAsia="Times New Roman" w:hAnsi="Arial" w:cs="Times New Roman"/>
          <w:kern w:val="0"/>
          <w:sz w:val="20"/>
          <w:szCs w:val="24"/>
        </w:rPr>
        <w:t xml:space="preserve"> storitve </w:t>
      </w:r>
      <w:proofErr w:type="spellStart"/>
      <w:r w:rsidR="00EC3C02">
        <w:rPr>
          <w:rFonts w:ascii="Arial" w:eastAsia="Times New Roman" w:hAnsi="Arial" w:cs="Times New Roman"/>
          <w:kern w:val="0"/>
          <w:sz w:val="20"/>
          <w:szCs w:val="24"/>
        </w:rPr>
        <w:t>gospodaske</w:t>
      </w:r>
      <w:proofErr w:type="spellEnd"/>
      <w:r w:rsidR="00EC3C02">
        <w:rPr>
          <w:rFonts w:ascii="Arial" w:eastAsia="Times New Roman" w:hAnsi="Arial" w:cs="Times New Roman"/>
          <w:kern w:val="0"/>
          <w:sz w:val="20"/>
          <w:szCs w:val="24"/>
        </w:rPr>
        <w:t xml:space="preserve"> javne službe iz prejšnjega člena</w:t>
      </w:r>
      <w:r w:rsidRPr="00B775DE">
        <w:rPr>
          <w:rFonts w:ascii="Arial" w:eastAsia="Times New Roman" w:hAnsi="Arial" w:cs="Times New Roman"/>
          <w:kern w:val="0"/>
          <w:sz w:val="20"/>
          <w:szCs w:val="24"/>
        </w:rPr>
        <w:t xml:space="preserve"> pripravi ministrstvo, </w:t>
      </w:r>
      <w:r w:rsidR="00EC3C02">
        <w:rPr>
          <w:rFonts w:ascii="Arial" w:eastAsia="Times New Roman" w:hAnsi="Arial" w:cs="Times New Roman"/>
          <w:kern w:val="0"/>
          <w:sz w:val="20"/>
          <w:szCs w:val="24"/>
        </w:rPr>
        <w:t>na način,</w:t>
      </w:r>
      <w:r w:rsidRPr="00B775DE">
        <w:rPr>
          <w:rFonts w:ascii="Arial" w:eastAsia="Times New Roman" w:hAnsi="Arial" w:cs="Times New Roman"/>
          <w:kern w:val="0"/>
          <w:sz w:val="20"/>
          <w:szCs w:val="24"/>
        </w:rPr>
        <w:t xml:space="preserve"> da </w:t>
      </w:r>
      <w:r w:rsidR="00EC3C02">
        <w:rPr>
          <w:rFonts w:ascii="Arial" w:eastAsia="Times New Roman" w:hAnsi="Arial" w:cs="Times New Roman"/>
          <w:kern w:val="0"/>
          <w:sz w:val="20"/>
          <w:szCs w:val="24"/>
        </w:rPr>
        <w:t>je</w:t>
      </w:r>
      <w:r w:rsidRPr="00B775DE">
        <w:rPr>
          <w:rFonts w:ascii="Arial" w:eastAsia="Times New Roman" w:hAnsi="Arial" w:cs="Times New Roman"/>
          <w:kern w:val="0"/>
          <w:sz w:val="20"/>
          <w:szCs w:val="24"/>
        </w:rPr>
        <w:t xml:space="preserve"> zagot</w:t>
      </w:r>
      <w:r w:rsidR="00EC3C02">
        <w:rPr>
          <w:rFonts w:ascii="Arial" w:eastAsia="Times New Roman" w:hAnsi="Arial" w:cs="Times New Roman"/>
          <w:kern w:val="0"/>
          <w:sz w:val="20"/>
          <w:szCs w:val="24"/>
        </w:rPr>
        <w:t>ovljeno</w:t>
      </w:r>
      <w:r w:rsidRPr="00B775DE">
        <w:rPr>
          <w:rFonts w:ascii="Arial" w:eastAsia="Times New Roman" w:hAnsi="Arial" w:cs="Times New Roman"/>
          <w:kern w:val="0"/>
          <w:sz w:val="20"/>
          <w:szCs w:val="24"/>
        </w:rPr>
        <w:t xml:space="preserve"> učinkovito izvajanje storitev gospodarske javne službe in dolgoročna stabilnost cene, pri čemer upošteva:</w:t>
      </w:r>
    </w:p>
    <w:p w14:paraId="40AD2F1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projekcijo rasti cen življenjskih potrebščin iz zadnjega proračunskega memoranduma,</w:t>
      </w:r>
    </w:p>
    <w:p w14:paraId="4EF3EEF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projekcijo sestave in količine mešanih komunalnih odpadkov iz operativnega programa, ki ureja  ravnanje s komunalnimi odpadki in</w:t>
      </w:r>
    </w:p>
    <w:p w14:paraId="7F22D49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obračunski in predračunski izkaz stanja in uspeha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ki izvaja gospodarsko javno službo (v nadaljnjem besedilu: </w:t>
      </w:r>
      <w:proofErr w:type="spellStart"/>
      <w:r w:rsidRPr="00B775DE">
        <w:rPr>
          <w:rFonts w:ascii="Arial" w:eastAsia="Times New Roman" w:hAnsi="Arial" w:cs="Times New Roman"/>
          <w:kern w:val="0"/>
          <w:sz w:val="20"/>
          <w:szCs w:val="24"/>
        </w:rPr>
        <w:t>poslovnoizidna</w:t>
      </w:r>
      <w:proofErr w:type="spellEnd"/>
      <w:r w:rsidRPr="00B775DE">
        <w:rPr>
          <w:rFonts w:ascii="Arial" w:eastAsia="Times New Roman" w:hAnsi="Arial" w:cs="Times New Roman"/>
          <w:kern w:val="0"/>
          <w:sz w:val="20"/>
          <w:szCs w:val="24"/>
        </w:rPr>
        <w:t xml:space="preserve"> enota), za preteklo in naslednje triletno obračunsko obdobje, ki ju pripravi izvajalec gospodarske javne službe in pošlje ministrstvu do 30. junija v zadnjem letu tekočega triletnega obračunskega obdobja.</w:t>
      </w:r>
    </w:p>
    <w:p w14:paraId="764194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CFAD7E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(2) Preteklo triletno obračunsko obdobje je obdobje treh koledarskih let pred tekočim koledarskim letom, naslednje triletno obračunsko obdobje pa obdobje treh koledarskih let, ki sledijo tekočemu koledarskemu letu.</w:t>
      </w:r>
    </w:p>
    <w:p w14:paraId="4E39C5B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96296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V obračunskem izkazu iz tretje alineje prvega odstavka tega člena se razkrijejo tudi stroški 19. člena te uredbe. Predračunski izkaz iz tretje alineje prvega odstavka tega člena pa mora vsebovati predlog cene in prikaz njenega izračuna v skladu s to uredbo.</w:t>
      </w:r>
    </w:p>
    <w:p w14:paraId="762946D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88FB34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Elementi predlagane cene in njen izračun temeljijo na revidiranih računovodskih izkazih in potrjenih letnih poročilih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za preteklo triletno obračunsko obdobje ter na predračunskih izkazih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za naslednje triletno obdobje.</w:t>
      </w:r>
    </w:p>
    <w:p w14:paraId="2BDD40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1ED02F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Če gre za predlog cene za izvajalca gospodarske javne službe, ki bo šele začel izvajati javno službo, ministrstvo ne glede na določbo tretje alineje prvega odstavka tega člena pri pripravi predloga cene upošteva le predračunski izkaz stanja in uspeha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ki ga pripravi izvajalec gospodarske javne službe in pošlje ministrstvu najpozneje tri mesece pred začetkom izvajanja gospodarske javne službe.</w:t>
      </w:r>
    </w:p>
    <w:p w14:paraId="5C9866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D96690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15.</w:t>
      </w:r>
      <w:r w:rsidRPr="00B775DE">
        <w:rPr>
          <w:rFonts w:ascii="Arial" w:hAnsi="Arial"/>
          <w:b/>
          <w:kern w:val="0"/>
          <w:sz w:val="20"/>
        </w:rPr>
        <w:tab/>
        <w:t xml:space="preserve"> člen</w:t>
      </w:r>
    </w:p>
    <w:p w14:paraId="6E4826F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(popravek predloga cene)</w:t>
      </w:r>
    </w:p>
    <w:p w14:paraId="610B50A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A230EB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Če ministrstvo pri pripravi predloga cene ugotovi, da elementi predlagane cene ali njen izračun v predračunskem izkazu iz prvega ali petega odstavka prejšnjega člena niso oblikovani v skladu s to uredbo, izvajalca gospodarske javne službe pozove, da mu v enem mesecu pošlje popravljen ali dopolnjen predračunski izkaz in predlog cene.</w:t>
      </w:r>
    </w:p>
    <w:p w14:paraId="7DF90ED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6BC73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Če izvajalec gospodarske javne službe v roku iz prejšnjega odstavka ne pošlje popravljenega ali dopolnjenega predračunskega izkaza in predloga cene, lahko ministrstvo pripravi predlog cene brez upoštevanja predračunskega izkaza iz prvega ali petega odstavka prejšnjega člena.</w:t>
      </w:r>
    </w:p>
    <w:p w14:paraId="169F44C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71E8C4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Če ministrstvo pri pripravi predloga cene ugotovi, da predstavlja rast, ki za več kot tri odstotne točke letno presega indeks rasti cen življenjskih potrebščin, objavljen na spletni strani organa, pristojnega za statistiko, v preteklem triletnem obdobju, od izvajalca gospodarske javne službe zahteva, da ob upoštevanju vzdržnosti izvajanja gospodarske javne službe pripravi načrt za povečanje stroškovne učinkovitosti in ga v enem mesecu od poziva pošlje ministrstvu skupaj z novim predračunskim izkazom iz prvega odstavka prejšnjega člena in novim predlogom cene.</w:t>
      </w:r>
    </w:p>
    <w:p w14:paraId="69F7DDD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506C33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Če izvajalec gospodarske javne službe ne ravna v skladu s prejšnjim odstavkom ali ministrstvo ugotovi, da novi predlog cene še vedno predstavlja rast, večjo od treh odstotnih točk v preteklem triletnem obdobju, samo pripravi predlog cene tako, da njena rast ni večja od treh odstotnih točk iz prejšnjega odstavka.</w:t>
      </w:r>
    </w:p>
    <w:p w14:paraId="4F7D139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C6466B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V primeru iz drugega in četrtega odstavka tega člena se morebitna negativna razlika med prihodki in upravičenimi stroški, ki nastane zaradi nižje cene, ne šteje kot regulacijski popravek iz 19. člena te uredbe in ga izvajalec gospodarske javne službe ne sme vključiti kot odbitno postavko v izračun predloga cene za naslednje triletno regulacijsko obdobje.</w:t>
      </w:r>
    </w:p>
    <w:p w14:paraId="02C42C9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AEEFDE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Ne glede na četrti in peti odstavek tega člena lahko vlada določi ceno, ki presega omejitev rasti cene, če soglaša s predloženim načrtom za povečanje stroškovne učinkovitosti izvajanja gospodarske javne službe, ki ga je predložil njen izvajalec.</w:t>
      </w:r>
    </w:p>
    <w:p w14:paraId="7D8FACC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BE577E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16.</w:t>
      </w:r>
      <w:r w:rsidRPr="00B775DE">
        <w:rPr>
          <w:rFonts w:ascii="Arial" w:hAnsi="Arial"/>
          <w:b/>
          <w:kern w:val="0"/>
          <w:sz w:val="20"/>
        </w:rPr>
        <w:tab/>
        <w:t xml:space="preserve"> člen</w:t>
      </w:r>
    </w:p>
    <w:p w14:paraId="7D350E8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(stroški izvajanja gospodarske javne službe)</w:t>
      </w:r>
    </w:p>
    <w:p w14:paraId="777AA9A1" w14:textId="77777777" w:rsidR="00E65191" w:rsidRPr="00B775DE" w:rsidRDefault="00E65191" w:rsidP="00E65191">
      <w:pPr>
        <w:tabs>
          <w:tab w:val="left" w:pos="708"/>
        </w:tabs>
        <w:spacing w:before="40" w:after="40" w:line="240" w:lineRule="auto"/>
        <w:jc w:val="both"/>
        <w:rPr>
          <w:rFonts w:ascii="Arial" w:hAnsi="Arial"/>
          <w:b/>
          <w:kern w:val="0"/>
          <w:sz w:val="20"/>
        </w:rPr>
      </w:pPr>
    </w:p>
    <w:p w14:paraId="37CA710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(1) Stroški izvajanja gospodarske javne službe vsebujejo upravičene stroške iz prvega odstavka 18. člena te uredbe. Ti stroški so podlaga za oblikovanje cene in vsebinsko obsegajo zlasti</w:t>
      </w:r>
      <w:r w:rsidR="00F36C5D">
        <w:rPr>
          <w:rFonts w:ascii="Arial" w:eastAsia="Times New Roman" w:hAnsi="Arial" w:cs="Times New Roman"/>
          <w:kern w:val="0"/>
          <w:sz w:val="20"/>
          <w:szCs w:val="24"/>
        </w:rPr>
        <w:t xml:space="preserve"> naslednje stroške</w:t>
      </w:r>
      <w:r w:rsidRPr="00B775DE">
        <w:rPr>
          <w:rFonts w:ascii="Arial" w:eastAsia="Times New Roman" w:hAnsi="Arial" w:cs="Times New Roman"/>
          <w:kern w:val="0"/>
          <w:sz w:val="20"/>
          <w:szCs w:val="24"/>
        </w:rPr>
        <w:t>:</w:t>
      </w:r>
    </w:p>
    <w:p w14:paraId="6C5E4CBD"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1.      stroške sredstev, ki so potrebna za opravljanje gospodarske javne službe;</w:t>
      </w:r>
    </w:p>
    <w:p w14:paraId="78B2E7E4"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stroške skladiščenja in morebiti potrebne </w:t>
      </w:r>
      <w:proofErr w:type="spellStart"/>
      <w:r w:rsidRPr="00B775DE">
        <w:rPr>
          <w:rFonts w:ascii="Arial" w:eastAsia="Times New Roman" w:hAnsi="Arial" w:cs="Times New Roman"/>
          <w:kern w:val="0"/>
          <w:sz w:val="20"/>
          <w:szCs w:val="24"/>
        </w:rPr>
        <w:t>predobdelave</w:t>
      </w:r>
      <w:proofErr w:type="spellEnd"/>
      <w:r w:rsidRPr="00B775DE">
        <w:rPr>
          <w:rFonts w:ascii="Arial" w:eastAsia="Times New Roman" w:hAnsi="Arial" w:cs="Times New Roman"/>
          <w:kern w:val="0"/>
          <w:sz w:val="20"/>
          <w:szCs w:val="24"/>
        </w:rPr>
        <w:t xml:space="preserve"> gorljivih komunalnih odpadkov pri izvajanju gospodarske javne službe;</w:t>
      </w:r>
    </w:p>
    <w:p w14:paraId="02771223"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3.      stroške sežiganja gorljivih komunalnih odpadkov in zmanjševanja emisij v okolje s postopki čiščenja ali drugimi postopki;</w:t>
      </w:r>
    </w:p>
    <w:p w14:paraId="2CFF8961"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4.      stroške izvajanja obratovalnega monitoringa in morebitnega potrebnega spremljanja ali ugotavljanja stanja kakovosti okolja;</w:t>
      </w:r>
    </w:p>
    <w:p w14:paraId="62461EB6"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5.      stroške predelave in odstranjevanja ostankov gorljivih komunalnih odpadkov po sežigu;</w:t>
      </w:r>
    </w:p>
    <w:p w14:paraId="3715201B"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6.      stroške vzorčenja, analiziranja in ugotavljanja kalorične (kurilne) vrednosti gorljivih komunalnih odpadkov;</w:t>
      </w:r>
    </w:p>
    <w:p w14:paraId="407D8C8B"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7.      stroške obveščanja javnosti o izvajanju storitev gospodarske javne službe in</w:t>
      </w:r>
    </w:p>
    <w:p w14:paraId="2B857715"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8.      stroške zavarovanja iz poslovanja za opravljanje gospodarske javne službe.</w:t>
      </w:r>
    </w:p>
    <w:p w14:paraId="3A36182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 Pri določanju stroškov iz prejšnjega odstavka se upoštevajo zahteve v zvezi z izvajanjem gospodarske javne službe iz te uredbe in predpisov, ki urejajo odpadke, njihovo sežiganje in odlaganje.</w:t>
      </w:r>
    </w:p>
    <w:p w14:paraId="48495A7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1219B2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17.</w:t>
      </w:r>
      <w:r w:rsidRPr="00B775DE">
        <w:rPr>
          <w:rFonts w:ascii="Arial" w:hAnsi="Arial"/>
          <w:b/>
          <w:kern w:val="0"/>
          <w:sz w:val="20"/>
        </w:rPr>
        <w:tab/>
        <w:t xml:space="preserve"> člen</w:t>
      </w:r>
    </w:p>
    <w:p w14:paraId="414AA31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(elementi cene)</w:t>
      </w:r>
    </w:p>
    <w:p w14:paraId="675F03A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31C82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Elementi cene so upravičeni stroški iz 18. člena te uredbe in odbitne postavke iz 19. člena te uredbe.</w:t>
      </w:r>
    </w:p>
    <w:p w14:paraId="37D8773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Cena se izračuna kot kalkulacija polne lastne cene količinske enote poslovnega učinka izvajanja gospodarske javne službe v skladu s slovenskimi računovodskimi standardi in v skladu z zahtevami iz te uredbe po naslednji enačbi:</w:t>
      </w:r>
    </w:p>
    <w:p w14:paraId="0662A27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18"/>
        </w:rPr>
      </w:pPr>
    </w:p>
    <w:p w14:paraId="10FFAA7E" w14:textId="77777777" w:rsidR="00E65191" w:rsidRPr="00B775DE" w:rsidRDefault="00E65191" w:rsidP="00E65191">
      <w:pPr>
        <w:pBdr>
          <w:top w:val="single" w:sz="4" w:space="1" w:color="auto"/>
          <w:left w:val="single" w:sz="4" w:space="4" w:color="auto"/>
          <w:bottom w:val="single" w:sz="4" w:space="1" w:color="auto"/>
          <w:right w:val="single" w:sz="4" w:space="4" w:color="auto"/>
        </w:pBdr>
        <w:tabs>
          <w:tab w:val="left" w:pos="708"/>
        </w:tabs>
        <w:spacing w:before="40" w:after="40" w:line="240" w:lineRule="auto"/>
        <w:rPr>
          <w:rFonts w:ascii="Arial" w:eastAsia="Times New Roman" w:hAnsi="Arial" w:cs="Times New Roman"/>
          <w:b/>
          <w:bCs/>
          <w:kern w:val="0"/>
          <w:szCs w:val="28"/>
        </w:rPr>
      </w:pPr>
      <w:r w:rsidRPr="00B775DE">
        <w:rPr>
          <w:rFonts w:ascii="Arial" w:eastAsia="Times New Roman" w:hAnsi="Arial" w:cs="Times New Roman"/>
          <w:b/>
          <w:bCs/>
          <w:kern w:val="0"/>
          <w:szCs w:val="28"/>
        </w:rPr>
        <w:t>Cena storitve javne službe (evrov/tono odpadkov) = (upravičeni stroški – odbitne postavke) / količina prevzetih odpadkov na tono.</w:t>
      </w:r>
    </w:p>
    <w:p w14:paraId="3B3C4F8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18"/>
        </w:rPr>
      </w:pPr>
    </w:p>
    <w:p w14:paraId="13C3F13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F0AB36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18.</w:t>
      </w:r>
      <w:r w:rsidRPr="00B775DE">
        <w:rPr>
          <w:rFonts w:ascii="Arial" w:hAnsi="Arial"/>
          <w:b/>
          <w:kern w:val="0"/>
          <w:sz w:val="20"/>
        </w:rPr>
        <w:tab/>
        <w:t xml:space="preserve"> člen</w:t>
      </w:r>
    </w:p>
    <w:p w14:paraId="3890AAF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(upravičeni stroški)</w:t>
      </w:r>
    </w:p>
    <w:p w14:paraId="20FBA2F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0A6CFE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Upravičeni stroški so stroški, ki so nujno potrebni za izvajanje storitev gospodarske javne službe v skladu s prejšnjim členom, in vključujejo</w:t>
      </w:r>
      <w:r w:rsidR="00F36C5D">
        <w:rPr>
          <w:rFonts w:ascii="Arial" w:eastAsia="Times New Roman" w:hAnsi="Arial" w:cs="Times New Roman"/>
          <w:kern w:val="0"/>
          <w:sz w:val="20"/>
          <w:szCs w:val="24"/>
        </w:rPr>
        <w:t xml:space="preserve"> naslednje stroške</w:t>
      </w:r>
      <w:r w:rsidRPr="00B775DE">
        <w:rPr>
          <w:rFonts w:ascii="Arial" w:eastAsia="Times New Roman" w:hAnsi="Arial" w:cs="Times New Roman"/>
          <w:kern w:val="0"/>
          <w:sz w:val="20"/>
          <w:szCs w:val="24"/>
        </w:rPr>
        <w:t>:</w:t>
      </w:r>
    </w:p>
    <w:p w14:paraId="4A823D9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neposredne stroške materiala in storitev,</w:t>
      </w:r>
    </w:p>
    <w:p w14:paraId="018182B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neposredne stroške dela,</w:t>
      </w:r>
    </w:p>
    <w:p w14:paraId="6080EE3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druge neposredne stroške,</w:t>
      </w:r>
    </w:p>
    <w:p w14:paraId="4D407DB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splošne (posredne) proizvajalne stroške, ki vključujejo stroške materiala, amortizacije poslovno potrebnih osnovnih sredstev, storitev in dela,</w:t>
      </w:r>
    </w:p>
    <w:p w14:paraId="3E24B05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splošne nabavno-prodajne stroške, ki vključujejo stroške materiala, amortizacije poslovno potrebnih osnovnih sredstev, storitev in dela,</w:t>
      </w:r>
    </w:p>
    <w:p w14:paraId="208D32E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splošne upravne stroške, ki vključujejo stroške materiala, amortizacije poslovno potrebnih osnovnih sredstev, storitev in dela,</w:t>
      </w:r>
    </w:p>
    <w:p w14:paraId="63E5833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obresti zaradi financiranja opravljanja storitev gospodarske javne službe in</w:t>
      </w:r>
    </w:p>
    <w:p w14:paraId="76E84FB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zmeren dobiček izvajalca gospodarske javne službe.</w:t>
      </w:r>
    </w:p>
    <w:p w14:paraId="49460A4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F05ED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Za obračun amortizacije osnovnih sredstev, ki se uporabljajo za izvajanje gospodarske javne službe, se uporablja metoda enakomernega časovnega amortiziranja, za izračun stroškov amortizacije teh sredstev pa se uporabljajo amortizacijske stopnje, določene v Prilogi 4, ki je sestavni del te uredbe. Za osnovna sredstva iz prejšnjega stavka, za katera amortizacijska </w:t>
      </w:r>
      <w:r w:rsidRPr="00B775DE">
        <w:rPr>
          <w:rFonts w:ascii="Arial" w:eastAsia="Times New Roman" w:hAnsi="Arial" w:cs="Times New Roman"/>
          <w:kern w:val="0"/>
          <w:sz w:val="20"/>
          <w:szCs w:val="24"/>
        </w:rPr>
        <w:lastRenderedPageBreak/>
        <w:t xml:space="preserve">stopnja ni določena v </w:t>
      </w:r>
      <w:r w:rsidR="00B002CC">
        <w:rPr>
          <w:rFonts w:ascii="Arial" w:eastAsia="Times New Roman" w:hAnsi="Arial" w:cs="Times New Roman"/>
          <w:kern w:val="0"/>
          <w:sz w:val="20"/>
          <w:szCs w:val="24"/>
        </w:rPr>
        <w:t>P</w:t>
      </w:r>
      <w:r w:rsidRPr="00B775DE">
        <w:rPr>
          <w:rFonts w:ascii="Arial" w:eastAsia="Times New Roman" w:hAnsi="Arial" w:cs="Times New Roman"/>
          <w:kern w:val="0"/>
          <w:sz w:val="20"/>
          <w:szCs w:val="24"/>
        </w:rPr>
        <w:t>rilogi 4 te uredbe, se za določitev amortizacijskih stopenj uporablja Pravilnik o načinu in stopnjah odpisa neopredmetenih osnovnih sredstev in opredmetenih osnovnih sredstev (Uradni list RS, št. 45/05, 138/06, 120/07, 48/09, 112/09, 58/10, 108/13 in 100/15).</w:t>
      </w:r>
    </w:p>
    <w:p w14:paraId="416538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3452D4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Ustreznost razporejanja stroškov iz prvega in drugega odstavka tega člena za revidirano obdobje vsako leto ob letni reviziji računovodskih izkazov preveri revizor in o tem izda na podlagi ustrezne pogodbe posebno poročilo o opravljenih dogovorjenih postopkih. Če izvajalec gospodarske javne službe ni zavezan k obvezni reviziji računovodskih izkazov, mora preverjanje ustreznosti razporejanja stroškov iz drugega in tretjega odstavka tega člena zagotoviti s pogodbo s pooblaščenim revizorjem najpozneje do 30. aprila tekočega koledarskega leta za preteklo koledarsko leto.</w:t>
      </w:r>
    </w:p>
    <w:p w14:paraId="6FE675B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7401DB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Če ima izvajalec gospodarske javne službe infrastrukturo za izvajanje te službe v celoti ali delno v najemu, se najemnina obračuna v višini stroškov amortizacije najete infrastrukture.</w:t>
      </w:r>
    </w:p>
    <w:p w14:paraId="71C1D78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475C68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19.</w:t>
      </w:r>
      <w:r w:rsidRPr="00B775DE">
        <w:rPr>
          <w:rFonts w:ascii="Arial" w:hAnsi="Arial"/>
          <w:b/>
          <w:kern w:val="0"/>
          <w:sz w:val="20"/>
        </w:rPr>
        <w:tab/>
        <w:t xml:space="preserve"> člen</w:t>
      </w:r>
    </w:p>
    <w:p w14:paraId="254E38AF"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(odbitne postavke)</w:t>
      </w:r>
    </w:p>
    <w:p w14:paraId="44E14CE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250A7D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Odbitne postavke za izračun cene vključujejo</w:t>
      </w:r>
      <w:r w:rsidR="008F14F4">
        <w:rPr>
          <w:rFonts w:ascii="Arial" w:eastAsia="Times New Roman" w:hAnsi="Arial" w:cs="Times New Roman"/>
          <w:kern w:val="0"/>
          <w:sz w:val="20"/>
          <w:szCs w:val="24"/>
        </w:rPr>
        <w:t xml:space="preserve"> naslednje elemente</w:t>
      </w:r>
      <w:r w:rsidRPr="00B775DE">
        <w:rPr>
          <w:rFonts w:ascii="Arial" w:eastAsia="Times New Roman" w:hAnsi="Arial" w:cs="Times New Roman"/>
          <w:kern w:val="0"/>
          <w:sz w:val="20"/>
          <w:szCs w:val="24"/>
        </w:rPr>
        <w:t>:</w:t>
      </w:r>
    </w:p>
    <w:p w14:paraId="3B42CB9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C89A22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prihodke od prodaje proizvedene električne ali toplotne energije ali drugih proizvodov sežiganja odpadkov,</w:t>
      </w:r>
    </w:p>
    <w:p w14:paraId="171E3F0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regulacijski popravek zadnjega preteklega triletnega obdobja,</w:t>
      </w:r>
    </w:p>
    <w:p w14:paraId="7E65DF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za preteklo triletno obračunsko obdobje ugotovljene neupravičene elemente cene,</w:t>
      </w:r>
    </w:p>
    <w:p w14:paraId="253126B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druge prihodke, ki nastanejo pri izvajanju gospodarske javne službe in</w:t>
      </w:r>
    </w:p>
    <w:p w14:paraId="69A7C78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druge prihodke, ki nastanejo pri izvajanju posebnih storitev.</w:t>
      </w:r>
    </w:p>
    <w:p w14:paraId="649F2A1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b/>
      </w:r>
    </w:p>
    <w:p w14:paraId="491F75B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Regulacijski popravek iz druge alineje prejšnjega odstavka se določi tako, da se na podlagi revidiranih računovodskih izkazov in potrjenih letnih poročil, evidenčnih listov in drugih uradnih poročil za preteklo triletno obračunsko obdobje izračuna razlika med prihodki in upravičenimi stroški storitev gospodarske javne službe v navedenem obdobju, pri čemer se izračunana pozitivna razlika upošteva kot odbitna postavka, ki ceno zmanjšuje, izračunana negativna razlika pa kot odbitna postavka, ki ceno povečuje.</w:t>
      </w:r>
    </w:p>
    <w:p w14:paraId="56F416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D053E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V primeru iz tretje alineje prvega odstavka tega člena se stroški ali poraba sredstev, ki so bili neupravičeno vključeni v ceno, ali prihodki, ki niso bili upoštevani v ceni, upoštevajo kot odbitna postavka, ki ceno zmanjšuje.</w:t>
      </w:r>
    </w:p>
    <w:p w14:paraId="7D33251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E2415D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Prihodki iz gospodarske javne službe, ki so v preteklem obračunskem obdobju presegli upravičene stroške izvajanja te službe, znižane za odbitne postavke iz drugega odstavka tega člena za več kot 10 odstotkov, so prekomerni prihodki izvajalca gospodarske javne službe.</w:t>
      </w:r>
    </w:p>
    <w:p w14:paraId="3967A60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8589C0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Prekomerne prihodke iz prejšnjega odstavka mora izvajalec gospodarske javne službe vrniti uporabnikom te službe v koledarskem letu, ki sledi koledarskemu letu, v katerem so navedeni prekomerni prihodki nastali.</w:t>
      </w:r>
    </w:p>
    <w:p w14:paraId="5A678C3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17A1C1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Če izvajalec gospodarske javne službe prejme javna sredstva oziroma donacije, se ta sredstva evidentirajo skladno s slovenskimi računovodskimi standardi in v celoti namenjajo za znižanje cene storitev gospodarske javne službe.</w:t>
      </w:r>
    </w:p>
    <w:p w14:paraId="5494E54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F2D2B8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32EC16F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20.</w:t>
      </w:r>
      <w:r w:rsidRPr="00B775DE">
        <w:rPr>
          <w:rFonts w:ascii="Arial" w:hAnsi="Arial"/>
          <w:b/>
          <w:kern w:val="0"/>
          <w:sz w:val="20"/>
        </w:rPr>
        <w:tab/>
        <w:t xml:space="preserve"> člen</w:t>
      </w:r>
    </w:p>
    <w:p w14:paraId="2638CBE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bookmarkStart w:id="13" w:name="_Hlk187319241"/>
      <w:r w:rsidRPr="00B775DE">
        <w:rPr>
          <w:rFonts w:ascii="Arial" w:hAnsi="Arial"/>
          <w:b/>
          <w:kern w:val="0"/>
          <w:sz w:val="20"/>
        </w:rPr>
        <w:t>(določitev cene ob večjem odstopanju)</w:t>
      </w:r>
    </w:p>
    <w:p w14:paraId="6BF256A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14" w:name="_Hlk187319931"/>
      <w:bookmarkEnd w:id="13"/>
    </w:p>
    <w:bookmarkEnd w:id="14"/>
    <w:p w14:paraId="4AF2E4F6" w14:textId="0A4881AF"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Ne glede na določb</w:t>
      </w:r>
      <w:r w:rsidR="008F14F4">
        <w:rPr>
          <w:rFonts w:ascii="Arial" w:eastAsia="Times New Roman" w:hAnsi="Arial" w:cs="Times New Roman"/>
          <w:kern w:val="0"/>
          <w:sz w:val="20"/>
          <w:szCs w:val="24"/>
        </w:rPr>
        <w:t>o</w:t>
      </w:r>
      <w:r w:rsidRPr="00B775DE">
        <w:rPr>
          <w:rFonts w:ascii="Arial" w:eastAsia="Times New Roman" w:hAnsi="Arial" w:cs="Times New Roman"/>
          <w:kern w:val="0"/>
          <w:sz w:val="20"/>
          <w:szCs w:val="24"/>
        </w:rPr>
        <w:t xml:space="preserve"> tretjega odstavka 15. člena te uredbe ministrstvo predlaga vladi, da določi novo ceno za obdobje do konca tekočega triletnega obdobja, če na podlagi predloženih poročil iz 52. člena te uredbe ugotovi, da so prihodki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za več kot deset odstotkov odstopali od upravičenih stroškov.</w:t>
      </w:r>
    </w:p>
    <w:p w14:paraId="6346964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600AE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7. </w:t>
      </w:r>
      <w:r w:rsidR="00B002CC">
        <w:rPr>
          <w:rFonts w:ascii="Arial" w:eastAsia="Times New Roman" w:hAnsi="Arial" w:cs="Times New Roman"/>
          <w:kern w:val="0"/>
          <w:sz w:val="20"/>
          <w:szCs w:val="24"/>
        </w:rPr>
        <w:t>I</w:t>
      </w:r>
      <w:r w:rsidRPr="00B775DE">
        <w:rPr>
          <w:rFonts w:ascii="Arial" w:eastAsia="Times New Roman" w:hAnsi="Arial" w:cs="Times New Roman"/>
          <w:kern w:val="0"/>
          <w:sz w:val="20"/>
          <w:szCs w:val="24"/>
        </w:rPr>
        <w:t>zvajanje posebnih storitev</w:t>
      </w:r>
    </w:p>
    <w:p w14:paraId="033E324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41CB9A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21.</w:t>
      </w:r>
      <w:r w:rsidRPr="00B775DE">
        <w:rPr>
          <w:rFonts w:ascii="Arial" w:hAnsi="Arial"/>
          <w:b/>
          <w:kern w:val="0"/>
          <w:sz w:val="20"/>
        </w:rPr>
        <w:tab/>
      </w:r>
      <w:r w:rsidR="008F14F4">
        <w:rPr>
          <w:rFonts w:ascii="Arial" w:hAnsi="Arial"/>
          <w:b/>
          <w:kern w:val="0"/>
          <w:sz w:val="20"/>
        </w:rPr>
        <w:t xml:space="preserve"> </w:t>
      </w:r>
      <w:r w:rsidRPr="00B775DE">
        <w:rPr>
          <w:rFonts w:ascii="Arial" w:hAnsi="Arial"/>
          <w:b/>
          <w:kern w:val="0"/>
          <w:sz w:val="20"/>
        </w:rPr>
        <w:t>člen</w:t>
      </w:r>
    </w:p>
    <w:p w14:paraId="5D0ACA9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(posebne storitve)</w:t>
      </w:r>
    </w:p>
    <w:p w14:paraId="020A863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8CBE39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Izvajalec gospodarske javne službe lahko s predhodnim soglasjem koncedenta na zmogljivostih infrastrukture, ki presegajo zmogljivosti, namenjene za izvajanje te službe, izvaja tudi posebne storitve.</w:t>
      </w:r>
    </w:p>
    <w:p w14:paraId="70E6079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43BF36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w:t>
      </w:r>
      <w:bookmarkStart w:id="15" w:name="_Hlk189742753"/>
      <w:r w:rsidRPr="00B775DE">
        <w:rPr>
          <w:rFonts w:ascii="Arial" w:eastAsia="Times New Roman" w:hAnsi="Arial" w:cs="Times New Roman"/>
          <w:kern w:val="0"/>
          <w:sz w:val="20"/>
          <w:szCs w:val="24"/>
        </w:rPr>
        <w:t xml:space="preserve">Med posebne storitve spadajo </w:t>
      </w:r>
      <w:r w:rsidR="008F14F4">
        <w:rPr>
          <w:rFonts w:ascii="Arial" w:eastAsia="Times New Roman" w:hAnsi="Arial" w:cs="Times New Roman"/>
          <w:kern w:val="0"/>
          <w:sz w:val="20"/>
          <w:szCs w:val="24"/>
        </w:rPr>
        <w:t xml:space="preserve">naslednje </w:t>
      </w:r>
      <w:r w:rsidRPr="00B775DE">
        <w:rPr>
          <w:rFonts w:ascii="Arial" w:eastAsia="Times New Roman" w:hAnsi="Arial" w:cs="Times New Roman"/>
          <w:kern w:val="0"/>
          <w:sz w:val="20"/>
          <w:szCs w:val="24"/>
        </w:rPr>
        <w:t>storitve:</w:t>
      </w:r>
    </w:p>
    <w:p w14:paraId="1995019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sežiganja gorljivih komunalnih odpadkov iz mehanske obdelave komunalnih odpadkov, ki so bili v mehansko obdelavo prevzeti </w:t>
      </w:r>
      <w:bookmarkEnd w:id="15"/>
      <w:r w:rsidRPr="00B775DE">
        <w:rPr>
          <w:rFonts w:ascii="Arial" w:eastAsia="Times New Roman" w:hAnsi="Arial" w:cs="Times New Roman"/>
          <w:kern w:val="0"/>
          <w:sz w:val="20"/>
          <w:szCs w:val="24"/>
        </w:rPr>
        <w:t>od izvajalca javne službe zbiranja ali neposredno od izvornega povzročitelja, in obsegajo:</w:t>
      </w:r>
    </w:p>
    <w:p w14:paraId="046A26F1" w14:textId="77777777" w:rsidR="00E65191" w:rsidRPr="00B775DE" w:rsidRDefault="00E65191" w:rsidP="00E65191">
      <w:pPr>
        <w:numPr>
          <w:ilvl w:val="0"/>
          <w:numId w:val="21"/>
        </w:numPr>
        <w:tabs>
          <w:tab w:val="left" w:pos="708"/>
        </w:tabs>
        <w:overflowPunct w:val="0"/>
        <w:autoSpaceDE w:val="0"/>
        <w:autoSpaceDN w:val="0"/>
        <w:adjustRightInd w:val="0"/>
        <w:spacing w:before="40" w:after="40" w:line="240" w:lineRule="auto"/>
        <w:jc w:val="both"/>
        <w:textAlignment w:val="baseline"/>
        <w:rPr>
          <w:rFonts w:ascii="Arial" w:hAnsi="Arial"/>
          <w:bCs/>
          <w:kern w:val="0"/>
          <w:sz w:val="20"/>
        </w:rPr>
      </w:pPr>
      <w:r w:rsidRPr="00B775DE">
        <w:rPr>
          <w:rFonts w:ascii="Arial" w:hAnsi="Arial"/>
          <w:bCs/>
          <w:kern w:val="0"/>
          <w:sz w:val="20"/>
        </w:rPr>
        <w:t>kosovne odpadke s številko 20 03 07,</w:t>
      </w:r>
    </w:p>
    <w:p w14:paraId="7764AA6A" w14:textId="77777777" w:rsidR="00E65191" w:rsidRPr="00B775DE" w:rsidRDefault="00E65191" w:rsidP="00E65191">
      <w:pPr>
        <w:numPr>
          <w:ilvl w:val="0"/>
          <w:numId w:val="21"/>
        </w:numPr>
        <w:tabs>
          <w:tab w:val="left" w:pos="708"/>
        </w:tabs>
        <w:overflowPunct w:val="0"/>
        <w:autoSpaceDE w:val="0"/>
        <w:autoSpaceDN w:val="0"/>
        <w:adjustRightInd w:val="0"/>
        <w:spacing w:before="40" w:after="40" w:line="240" w:lineRule="auto"/>
        <w:jc w:val="both"/>
        <w:textAlignment w:val="baseline"/>
        <w:rPr>
          <w:rFonts w:ascii="Arial" w:hAnsi="Arial"/>
          <w:bCs/>
          <w:kern w:val="0"/>
          <w:sz w:val="20"/>
        </w:rPr>
      </w:pPr>
      <w:r w:rsidRPr="00B775DE">
        <w:rPr>
          <w:rFonts w:ascii="Arial" w:hAnsi="Arial"/>
          <w:bCs/>
          <w:kern w:val="0"/>
          <w:sz w:val="20"/>
        </w:rPr>
        <w:t>ločeno zbrani papir, karton in lepenko s številko 20 01 01,</w:t>
      </w:r>
    </w:p>
    <w:p w14:paraId="6BEA8D8E" w14:textId="77777777" w:rsidR="00E65191" w:rsidRPr="00B775DE" w:rsidRDefault="00E65191" w:rsidP="00E65191">
      <w:pPr>
        <w:numPr>
          <w:ilvl w:val="0"/>
          <w:numId w:val="21"/>
        </w:numPr>
        <w:tabs>
          <w:tab w:val="left" w:pos="708"/>
        </w:tabs>
        <w:overflowPunct w:val="0"/>
        <w:autoSpaceDE w:val="0"/>
        <w:autoSpaceDN w:val="0"/>
        <w:adjustRightInd w:val="0"/>
        <w:spacing w:before="40" w:after="40" w:line="240" w:lineRule="auto"/>
        <w:jc w:val="both"/>
        <w:textAlignment w:val="baseline"/>
        <w:rPr>
          <w:rFonts w:ascii="Arial" w:hAnsi="Arial"/>
          <w:bCs/>
          <w:kern w:val="0"/>
          <w:sz w:val="20"/>
        </w:rPr>
      </w:pPr>
      <w:r w:rsidRPr="00B775DE">
        <w:rPr>
          <w:rFonts w:ascii="Arial" w:hAnsi="Arial"/>
          <w:bCs/>
          <w:kern w:val="0"/>
          <w:sz w:val="20"/>
        </w:rPr>
        <w:t>ločeno zbrano plastiko s številko 20 01 39,</w:t>
      </w:r>
    </w:p>
    <w:p w14:paraId="204573E7" w14:textId="77777777" w:rsidR="00E65191" w:rsidRPr="00B775DE" w:rsidRDefault="00E65191" w:rsidP="00E65191">
      <w:pPr>
        <w:numPr>
          <w:ilvl w:val="0"/>
          <w:numId w:val="21"/>
        </w:numPr>
        <w:tabs>
          <w:tab w:val="left" w:pos="708"/>
        </w:tabs>
        <w:overflowPunct w:val="0"/>
        <w:autoSpaceDE w:val="0"/>
        <w:autoSpaceDN w:val="0"/>
        <w:adjustRightInd w:val="0"/>
        <w:spacing w:before="40" w:after="40" w:line="240" w:lineRule="auto"/>
        <w:jc w:val="both"/>
        <w:textAlignment w:val="baseline"/>
        <w:rPr>
          <w:rFonts w:ascii="Arial" w:hAnsi="Arial"/>
          <w:bCs/>
          <w:kern w:val="0"/>
          <w:sz w:val="20"/>
        </w:rPr>
      </w:pPr>
      <w:r w:rsidRPr="00B775DE">
        <w:rPr>
          <w:rFonts w:ascii="Arial" w:hAnsi="Arial"/>
          <w:bCs/>
          <w:kern w:val="0"/>
          <w:sz w:val="20"/>
        </w:rPr>
        <w:t>ločeno zbrani les s številko 20 01 38 in</w:t>
      </w:r>
    </w:p>
    <w:p w14:paraId="237C2D60" w14:textId="77777777" w:rsidR="00E65191" w:rsidRPr="00B775DE" w:rsidRDefault="00E65191" w:rsidP="00E65191">
      <w:pPr>
        <w:numPr>
          <w:ilvl w:val="0"/>
          <w:numId w:val="21"/>
        </w:numPr>
        <w:tabs>
          <w:tab w:val="left" w:pos="708"/>
        </w:tabs>
        <w:overflowPunct w:val="0"/>
        <w:autoSpaceDE w:val="0"/>
        <w:autoSpaceDN w:val="0"/>
        <w:adjustRightInd w:val="0"/>
        <w:spacing w:before="40" w:after="40" w:line="240" w:lineRule="auto"/>
        <w:jc w:val="both"/>
        <w:textAlignment w:val="baseline"/>
        <w:rPr>
          <w:rFonts w:ascii="Arial" w:hAnsi="Arial"/>
          <w:bCs/>
          <w:kern w:val="0"/>
          <w:sz w:val="20"/>
        </w:rPr>
      </w:pPr>
      <w:r w:rsidRPr="00B775DE">
        <w:rPr>
          <w:rFonts w:ascii="Arial" w:hAnsi="Arial"/>
          <w:bCs/>
          <w:kern w:val="0"/>
          <w:sz w:val="20"/>
        </w:rPr>
        <w:t>ločeno zbrani tekstil s številko 20 01 11;</w:t>
      </w:r>
    </w:p>
    <w:p w14:paraId="6DE5882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9A5169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sežiganja gorljivih komunalnih odpadkov ki nastanejo z mehansko obdelavo ločeno zbrane odpadne embalaže iz podskupine odpadkov s številko 15 01, ki je nastala na območju Republike Slovenije in</w:t>
      </w:r>
    </w:p>
    <w:p w14:paraId="6D5F566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sežiganja blat komunalnih čistilnih naprav s številko 19 08 05, ki so nastala na območju Republike Slovenije.</w:t>
      </w:r>
    </w:p>
    <w:p w14:paraId="7D834B5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0EE4E3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Izvajanje posebnih storitev ne sme ustvarjati negativne razlike med prihodki in odhodki. Prihodki posebnih storitev se upoštevajo tako, da se zniža cena gospodarske javne službe.</w:t>
      </w:r>
    </w:p>
    <w:p w14:paraId="413AF5A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DEE3267" w14:textId="09154646"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Izvajanje posebnih storitev je omejeno na odpadke iz drugega odstavka tega člena, </w:t>
      </w:r>
      <w:r w:rsidR="00853015">
        <w:rPr>
          <w:rFonts w:ascii="Arial" w:eastAsia="Times New Roman" w:hAnsi="Arial" w:cs="Times New Roman"/>
          <w:kern w:val="0"/>
          <w:sz w:val="20"/>
          <w:szCs w:val="24"/>
        </w:rPr>
        <w:t xml:space="preserve">ki so </w:t>
      </w:r>
      <w:r w:rsidRPr="00B775DE">
        <w:rPr>
          <w:rFonts w:ascii="Arial" w:eastAsia="Times New Roman" w:hAnsi="Arial" w:cs="Times New Roman"/>
          <w:kern w:val="0"/>
          <w:sz w:val="20"/>
          <w:szCs w:val="24"/>
        </w:rPr>
        <w:t>nastal</w:t>
      </w:r>
      <w:r w:rsidR="00853015">
        <w:rPr>
          <w:rFonts w:ascii="Arial" w:eastAsia="Times New Roman" w:hAnsi="Arial" w:cs="Times New Roman"/>
          <w:kern w:val="0"/>
          <w:sz w:val="20"/>
          <w:szCs w:val="24"/>
        </w:rPr>
        <w:t>i</w:t>
      </w:r>
      <w:r w:rsidRPr="00B775DE">
        <w:rPr>
          <w:rFonts w:ascii="Arial" w:eastAsia="Times New Roman" w:hAnsi="Arial" w:cs="Times New Roman"/>
          <w:kern w:val="0"/>
          <w:sz w:val="20"/>
          <w:szCs w:val="24"/>
        </w:rPr>
        <w:t xml:space="preserve"> v Republiki Sloveniji.</w:t>
      </w:r>
    </w:p>
    <w:p w14:paraId="0610582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C11EB7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Stroški izvajanja posebnih storitev ne bremenijo uporabnikov storitev gospodarske javne službe.</w:t>
      </w:r>
    </w:p>
    <w:p w14:paraId="1683094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C07A27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BF16A0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8. </w:t>
      </w:r>
      <w:r w:rsidRPr="00B775DE">
        <w:rPr>
          <w:rFonts w:ascii="Arial" w:eastAsia="Times New Roman" w:hAnsi="Arial" w:cs="Times New Roman"/>
          <w:kern w:val="0"/>
          <w:sz w:val="20"/>
          <w:szCs w:val="24"/>
        </w:rPr>
        <w:tab/>
        <w:t>Pogodba o uporabi storitev gospodarske javne službe in plačila uporabnikov storitev gospodarske javne službe</w:t>
      </w:r>
    </w:p>
    <w:p w14:paraId="477C84F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F0631C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22.</w:t>
      </w:r>
      <w:r w:rsidRPr="00B775DE">
        <w:rPr>
          <w:rFonts w:ascii="Arial" w:hAnsi="Arial"/>
          <w:b/>
          <w:kern w:val="0"/>
          <w:sz w:val="20"/>
        </w:rPr>
        <w:tab/>
        <w:t xml:space="preserve"> člen</w:t>
      </w:r>
    </w:p>
    <w:p w14:paraId="7BB079A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(pogodba o uporabi storitev gospodarske javne službe in plačila uporabnikov)</w:t>
      </w:r>
    </w:p>
    <w:p w14:paraId="3C37FE1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4B1CA7E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Uporabnik in izvajalec gospodarske javne službe morata najkasneje do začetka obratovanja obrata skleniti pogodbo o uporabi storitev gospodarske javne službe. </w:t>
      </w:r>
    </w:p>
    <w:p w14:paraId="25613A8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S pogodbo iz prejšnjega odstavka se določijo zlasti:</w:t>
      </w:r>
    </w:p>
    <w:p w14:paraId="1E102EE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predvidena letna količina gorljivih mešanih komunalnih odpadkov, </w:t>
      </w:r>
    </w:p>
    <w:p w14:paraId="6DE536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čas trajanja pogodbe, ki je enak času trajanja koncesijske pogodbe za območje izvajanja gospodarske javne službe, in</w:t>
      </w:r>
    </w:p>
    <w:p w14:paraId="0D56950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medsebojna razmerja v zvezi z uporabo storitev gospodarske javne službe.</w:t>
      </w:r>
    </w:p>
    <w:p w14:paraId="4D9F98A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EAF8B6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(3) Uporabo storitev gospodarske javne službe plačujejo njeni uporabniki mesečno na podlagi predanih količin gorljivih komunalnih odpadkov izvajalcu gospodarske javne službe v skladu s 6. členom te uredbe.</w:t>
      </w:r>
    </w:p>
    <w:p w14:paraId="2F84586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40E4E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B9A383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III.</w:t>
      </w:r>
      <w:r w:rsidRPr="00B775DE">
        <w:rPr>
          <w:rFonts w:ascii="Arial" w:eastAsia="Times New Roman" w:hAnsi="Arial" w:cs="Times New Roman"/>
          <w:kern w:val="0"/>
          <w:sz w:val="20"/>
          <w:szCs w:val="24"/>
        </w:rPr>
        <w:tab/>
        <w:t>KONCESIJA</w:t>
      </w:r>
    </w:p>
    <w:p w14:paraId="166AE4E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DDC63BD"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w:t>
      </w:r>
      <w:r w:rsidRPr="00B775DE">
        <w:rPr>
          <w:rFonts w:ascii="Arial" w:eastAsia="Times New Roman" w:hAnsi="Arial" w:cs="Times New Roman"/>
          <w:kern w:val="0"/>
          <w:sz w:val="20"/>
        </w:rPr>
        <w:tab/>
        <w:t>Podelitev koncesije</w:t>
      </w:r>
    </w:p>
    <w:p w14:paraId="2AEAF9C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37C9F3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23.</w:t>
      </w:r>
      <w:r w:rsidRPr="00B775DE">
        <w:rPr>
          <w:rFonts w:ascii="Arial" w:hAnsi="Arial"/>
          <w:b/>
          <w:kern w:val="0"/>
          <w:sz w:val="20"/>
        </w:rPr>
        <w:tab/>
        <w:t xml:space="preserve"> člen</w:t>
      </w:r>
    </w:p>
    <w:p w14:paraId="2EF4874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(podelitev koncesije)</w:t>
      </w:r>
    </w:p>
    <w:p w14:paraId="75F66C2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9A031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Za izvajanje gospodarske javne službe Republika Slovenija kot koncedent podeli koncesijo največ trem koncesionarjem, ki izpolnjujejo pogoje in merila iz te uredbe in so sposobni zagotavljati izvajanje storitev gospodarske javne službe v skladu s to uredbo.</w:t>
      </w:r>
    </w:p>
    <w:p w14:paraId="619E3FC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F01297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Naloge koncedenta v postopku podelitve koncesije do izdaje odločbe in </w:t>
      </w:r>
      <w:r w:rsidR="00EC64D6">
        <w:rPr>
          <w:rFonts w:ascii="Arial" w:eastAsia="Times New Roman" w:hAnsi="Arial" w:cs="Times New Roman"/>
          <w:kern w:val="0"/>
          <w:sz w:val="20"/>
          <w:szCs w:val="24"/>
        </w:rPr>
        <w:t xml:space="preserve">v </w:t>
      </w:r>
      <w:r w:rsidRPr="00B775DE">
        <w:rPr>
          <w:rFonts w:ascii="Arial" w:eastAsia="Times New Roman" w:hAnsi="Arial" w:cs="Times New Roman"/>
          <w:kern w:val="0"/>
          <w:sz w:val="20"/>
          <w:szCs w:val="24"/>
        </w:rPr>
        <w:t>koncesijskem razmerju v skladu s to uredbo izvaja ministrstvo.</w:t>
      </w:r>
    </w:p>
    <w:p w14:paraId="3AA02C8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DD8BAF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E88741C"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2.</w:t>
      </w:r>
      <w:r w:rsidRPr="00B775DE">
        <w:rPr>
          <w:rFonts w:ascii="Arial" w:eastAsia="Times New Roman" w:hAnsi="Arial" w:cs="Times New Roman"/>
          <w:kern w:val="0"/>
          <w:sz w:val="20"/>
        </w:rPr>
        <w:tab/>
        <w:t>Pogoji, ki jih mora izpolnjevati koncesionar</w:t>
      </w:r>
    </w:p>
    <w:p w14:paraId="03DB37B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BF5C79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EF6D0B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24.</w:t>
      </w:r>
      <w:r w:rsidRPr="00B775DE">
        <w:rPr>
          <w:rFonts w:ascii="Arial" w:hAnsi="Arial"/>
          <w:b/>
          <w:kern w:val="0"/>
          <w:sz w:val="20"/>
        </w:rPr>
        <w:tab/>
        <w:t xml:space="preserve"> člen</w:t>
      </w:r>
    </w:p>
    <w:p w14:paraId="0DB19C5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(status koncesionarja)</w:t>
      </w:r>
    </w:p>
    <w:p w14:paraId="71C6FDA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9FD15C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Koncesionar je lahko fizična ali pravna oseba, če izpolnjuje s to uredbo predpisane pogoje za izvajanje gospodarske javne službe. </w:t>
      </w:r>
    </w:p>
    <w:p w14:paraId="7D38682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8006E5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25.</w:t>
      </w:r>
      <w:r w:rsidRPr="00B775DE">
        <w:rPr>
          <w:rFonts w:ascii="Arial" w:hAnsi="Arial"/>
          <w:b/>
          <w:kern w:val="0"/>
          <w:sz w:val="20"/>
        </w:rPr>
        <w:tab/>
        <w:t xml:space="preserve"> člen</w:t>
      </w:r>
    </w:p>
    <w:p w14:paraId="439504A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(pogoji</w:t>
      </w:r>
      <w:r w:rsidR="00EC64D6">
        <w:rPr>
          <w:rFonts w:ascii="Arial" w:hAnsi="Arial"/>
          <w:b/>
          <w:kern w:val="0"/>
          <w:sz w:val="20"/>
        </w:rPr>
        <w:t xml:space="preserve"> za izvajanje gospodarske javne službe</w:t>
      </w:r>
      <w:r w:rsidRPr="00B775DE">
        <w:rPr>
          <w:rFonts w:ascii="Arial" w:hAnsi="Arial"/>
          <w:b/>
          <w:kern w:val="0"/>
          <w:sz w:val="20"/>
        </w:rPr>
        <w:t>)</w:t>
      </w:r>
    </w:p>
    <w:p w14:paraId="46E02B7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20EF97C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 Na strani koncesionarja ne smejo obstajati obvezni izključitveni razlogi, določeni v zakonu,</w:t>
      </w:r>
    </w:p>
    <w:p w14:paraId="229E34D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ki ureja nekatere koncesijske pogodbe. V primeru, da na strani koncesionarja v času postopka</w:t>
      </w:r>
    </w:p>
    <w:p w14:paraId="2A5EC30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izbire niso obstajali izključitveni razlogi, mora koncesionar ta pogoj izpolnjevati tudi v času trajanja koncesijske pogodbe..</w:t>
      </w:r>
    </w:p>
    <w:p w14:paraId="106C94A0" w14:textId="77777777" w:rsidR="00E65191" w:rsidRPr="00B775DE" w:rsidRDefault="00E65191" w:rsidP="00E65191">
      <w:pPr>
        <w:spacing w:after="0" w:line="260" w:lineRule="atLeast"/>
        <w:rPr>
          <w:rFonts w:ascii="Arial" w:eastAsia="Times New Roman" w:hAnsi="Arial" w:cs="Times New Roman"/>
          <w:kern w:val="0"/>
          <w:sz w:val="20"/>
          <w:szCs w:val="24"/>
        </w:rPr>
      </w:pPr>
    </w:p>
    <w:p w14:paraId="308E70A1" w14:textId="499C325F"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Pogoji, ki jih mora izpolnjevati koncesionar pred začetkom izvajanja gospodarske javne službe in ves čas njenega izvajanja, so:</w:t>
      </w:r>
    </w:p>
    <w:p w14:paraId="6383944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je registriran za izvajanje dejavnosti ravnanja z nenevarnimi odpadki, v skladu s predpisi, ki urejajo ravnanje z nenevarnimi odpadki;</w:t>
      </w:r>
    </w:p>
    <w:p w14:paraId="49DD1036" w14:textId="41C29B4C"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 okviru izvajanja gospodarske javne službe lahko zagotovi sprejem odpadkov s kurilno vrednostjo, višjo od 6</w:t>
      </w:r>
      <w:r w:rsidR="00853015">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000 kJ/kg suhe snovi;</w:t>
      </w:r>
    </w:p>
    <w:p w14:paraId="40C3B0F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ima pridobljeno ustrezno okoljevarstveno dovoljenje na podlagi zakona, ki ureja varstvo okolja, in druga predpisana dovoljenja in soglasja; </w:t>
      </w:r>
    </w:p>
    <w:p w14:paraId="2E6913A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zagotovi finančno jamstvo za zavarovanje izvajanja ukrepov, določenih v okoljevarstvenem dovoljenju, in za primere, določene s to uredbo, za čas trajanja koncesijskega razmerja in izvajanja gospodarske javne službe ter po njenem prenehanju, v skladu z zakonom, ki ureja varstvo okolja, okoljevarstvenim dovoljenjem in koncesijsko pogodbo;</w:t>
      </w:r>
    </w:p>
    <w:p w14:paraId="1022D2C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obveznosti do dolžniških virov sredstev ne presežejo  90 odstotkov sredstev v bilanci stanja koncesionarja; </w:t>
      </w:r>
    </w:p>
    <w:p w14:paraId="22FD7E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6. od države ali družb, v katerih je kot lastnik udeležena država, nima pridobljenega poroštva za obveznosti iz naslova zadolževanja.</w:t>
      </w:r>
    </w:p>
    <w:p w14:paraId="71E23D0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Koncesionar začne izvajati gospodarsko javno službo po pridobitvi pravnomočnega uporabnega in pravnomočnega okoljevarstvenega dovoljenja za obratovanje obrata in izpolnitvi drugih pogojev iz te uredbe. </w:t>
      </w:r>
    </w:p>
    <w:p w14:paraId="0F4C7AE8"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3.</w:t>
      </w:r>
      <w:r w:rsidRPr="00B775DE">
        <w:rPr>
          <w:rFonts w:ascii="Arial" w:eastAsia="Times New Roman" w:hAnsi="Arial" w:cs="Times New Roman"/>
          <w:kern w:val="0"/>
          <w:sz w:val="20"/>
        </w:rPr>
        <w:tab/>
        <w:t xml:space="preserve">Začetek in čas izvajanja koncesije </w:t>
      </w:r>
    </w:p>
    <w:p w14:paraId="0413DAD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26.</w:t>
      </w:r>
      <w:r w:rsidRPr="00B775DE">
        <w:rPr>
          <w:rFonts w:ascii="Arial" w:hAnsi="Arial"/>
          <w:b/>
          <w:kern w:val="0"/>
          <w:sz w:val="20"/>
        </w:rPr>
        <w:tab/>
        <w:t xml:space="preserve"> člen</w:t>
      </w:r>
    </w:p>
    <w:p w14:paraId="08BF4BA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(začetek koncesije)</w:t>
      </w:r>
    </w:p>
    <w:p w14:paraId="2DC67F4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330D2A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Koncesijsko razmerje za izvajanje gospodarske javne službe se začne s podelitvijo koncesije za izvajanje gospodarske javne službe (v nadaljnjem besedilu: koncesija).</w:t>
      </w:r>
    </w:p>
    <w:p w14:paraId="1B28E43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AC7CC4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27.</w:t>
      </w:r>
      <w:r w:rsidRPr="00B775DE">
        <w:rPr>
          <w:rFonts w:ascii="Arial" w:hAnsi="Arial"/>
          <w:b/>
          <w:kern w:val="0"/>
          <w:sz w:val="20"/>
        </w:rPr>
        <w:tab/>
        <w:t xml:space="preserve"> člen</w:t>
      </w:r>
    </w:p>
    <w:p w14:paraId="2DF47F6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(trajanje koncesije gospodarske javne službe)</w:t>
      </w:r>
    </w:p>
    <w:p w14:paraId="17C89A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5E7015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Trajanje koncesije je do 30 let od pridobitve pravnomočnega uporabnega dovoljenja za obrate v katerih se v skladu s predpisom, ki ureja odpadke, izvaja predelava odpadkov po postopku R1 »Uporaba predvsem kot gorivo ali drugače za pridobivanje energije«. </w:t>
      </w:r>
    </w:p>
    <w:p w14:paraId="0A2B24C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42F76CF"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4.</w:t>
      </w:r>
      <w:r w:rsidRPr="00B775DE">
        <w:rPr>
          <w:rFonts w:ascii="Arial" w:eastAsia="Times New Roman" w:hAnsi="Arial" w:cs="Times New Roman"/>
          <w:kern w:val="0"/>
          <w:sz w:val="20"/>
        </w:rPr>
        <w:tab/>
        <w:t>Postopek izbire koncesionarja</w:t>
      </w:r>
    </w:p>
    <w:p w14:paraId="1BEDAEB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854F30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28.</w:t>
      </w:r>
      <w:r w:rsidRPr="00B775DE">
        <w:rPr>
          <w:rFonts w:ascii="Arial" w:hAnsi="Arial"/>
          <w:b/>
          <w:kern w:val="0"/>
          <w:sz w:val="20"/>
        </w:rPr>
        <w:tab/>
        <w:t xml:space="preserve"> člen</w:t>
      </w:r>
    </w:p>
    <w:p w14:paraId="3DFB5A9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(oblika in postopek javnega razpisa)</w:t>
      </w:r>
    </w:p>
    <w:p w14:paraId="6ECFE61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8B9FA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Koncesija se podeli na podlagi javnega razpisa. </w:t>
      </w:r>
      <w:r w:rsidR="00356C29">
        <w:rPr>
          <w:rFonts w:ascii="Arial" w:eastAsia="Times New Roman" w:hAnsi="Arial" w:cs="Times New Roman"/>
          <w:kern w:val="0"/>
          <w:sz w:val="20"/>
          <w:szCs w:val="24"/>
        </w:rPr>
        <w:t>Javni razpis se izvede ločeno za posamezna območja izvajanja gospodarske javne službe.</w:t>
      </w:r>
    </w:p>
    <w:p w14:paraId="51C7642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95940B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Obvestilo o javnem razpisu za podelitev koncesije (v nadaljnjem besedilu: javni razpis) se objavi na portalu javnih naročil in v Uradnem listu Evropske unije ter osrednjem spletnem mestu države uprave. </w:t>
      </w:r>
    </w:p>
    <w:p w14:paraId="2014C0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739A45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Postopek izvedbe javnega razpisa se izvede po postopku konkurenčnega dialoga v skladu z določbami zakona, ki ureja javno -zasebno partnerstvo, in zakona, ki ureja nekatere koncesijske pogodbe. </w:t>
      </w:r>
    </w:p>
    <w:p w14:paraId="596203C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036E9C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Obvestilo o javnem razpisu in razpisna koncesijska dokumentacija vsebujeta zlasti:</w:t>
      </w:r>
    </w:p>
    <w:p w14:paraId="75B2D83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navedbo in sedež koncedenta,</w:t>
      </w:r>
    </w:p>
    <w:p w14:paraId="691CE7C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podatke o objavi koncesijskega akta,</w:t>
      </w:r>
    </w:p>
    <w:p w14:paraId="14F3BF0B" w14:textId="796D3B9E"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predmet in obseg koncesije</w:t>
      </w:r>
      <w:r w:rsidR="00E512A6">
        <w:rPr>
          <w:rFonts w:ascii="Arial" w:eastAsia="Times New Roman" w:hAnsi="Arial" w:cs="Times New Roman"/>
          <w:kern w:val="0"/>
          <w:sz w:val="20"/>
          <w:szCs w:val="24"/>
        </w:rPr>
        <w:t xml:space="preserve"> vključno z začetnimi količinami</w:t>
      </w:r>
      <w:r w:rsidR="00C22345">
        <w:rPr>
          <w:rFonts w:ascii="Arial" w:eastAsia="Times New Roman" w:hAnsi="Arial" w:cs="Times New Roman"/>
          <w:kern w:val="0"/>
          <w:sz w:val="20"/>
          <w:szCs w:val="24"/>
        </w:rPr>
        <w:t xml:space="preserve"> storitev gospodarske javne službe po posameznih območjih izvajanja gospodarske javne službe</w:t>
      </w:r>
      <w:r w:rsidRPr="00B775DE">
        <w:rPr>
          <w:rFonts w:ascii="Arial" w:eastAsia="Times New Roman" w:hAnsi="Arial" w:cs="Times New Roman"/>
          <w:kern w:val="0"/>
          <w:sz w:val="20"/>
          <w:szCs w:val="24"/>
        </w:rPr>
        <w:t>,</w:t>
      </w:r>
    </w:p>
    <w:p w14:paraId="65F4B9F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začetek in predvideni čas trajanja koncesije, </w:t>
      </w:r>
    </w:p>
    <w:p w14:paraId="789063E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postopek izbire koncesionarja,</w:t>
      </w:r>
    </w:p>
    <w:p w14:paraId="5655367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razloge za izključitev in pogoje za sodelovanje,</w:t>
      </w:r>
    </w:p>
    <w:p w14:paraId="1E181B4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7. cilje koncedenta v zvezi s predmetom koncesije, </w:t>
      </w:r>
    </w:p>
    <w:p w14:paraId="1DDB194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8. merila za izbor koncesionarja,</w:t>
      </w:r>
    </w:p>
    <w:p w14:paraId="7966AD1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9. način dokazovanja izpolnjevanja pogojev za sodelovanje,</w:t>
      </w:r>
    </w:p>
    <w:p w14:paraId="730BFAF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10. pogoje za predložitev skupne prijave in prijave za izvajanje koncesije s podizvajalci,</w:t>
      </w:r>
    </w:p>
    <w:p w14:paraId="2DA7AFD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11. druge obvezne sestavine prijave in drugo potrebno dokumentacijo,</w:t>
      </w:r>
    </w:p>
    <w:p w14:paraId="1512C54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12. način zavarovanja resnosti prijave in obveznost zavarovanja za dobro izvedbo pogodbenih obveznosti s finančnim zavarovanjem, unovčljivim na prvi poziv,</w:t>
      </w:r>
    </w:p>
    <w:p w14:paraId="0C26B7F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13. kraj in rok za predložitev prijav, zahteve za njihovo predložitev,</w:t>
      </w:r>
    </w:p>
    <w:p w14:paraId="446B642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14. naslov, prostor, datum in uro javnega odpiranja prijav,</w:t>
      </w:r>
    </w:p>
    <w:p w14:paraId="66EE109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15. rok, v katerem bodo kandidati obveščeni o izbiri koncesionarja oziroma izidu postopka, in okvirni rok za končanje tega postopka,</w:t>
      </w:r>
    </w:p>
    <w:p w14:paraId="55FE9A2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16. pravila za sporočanje, zahteve in obvestila o dodatnih informacijah in kontaktne osebe za informacije med postopkom izbire koncesionarja,</w:t>
      </w:r>
    </w:p>
    <w:p w14:paraId="236D110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17. osnutek koncesijske pogodbe,</w:t>
      </w:r>
    </w:p>
    <w:p w14:paraId="2A33163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18. okvirne lastnosti odpadka za prevzem v sežig,</w:t>
      </w:r>
    </w:p>
    <w:p w14:paraId="04E8A35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19. druge podatke v skladu s predpisi, ki urejajo koncesije javnih služb varstva okolja, in naravo stvari, potrebnih za izvedbo javnega razpisa.</w:t>
      </w:r>
    </w:p>
    <w:p w14:paraId="6BCFD6A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F6B143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Obvestilo o javnem razpisu in koncesijska dokumentacija temeljita na enakih informacijah, zlasti glede meril za izbor, predmeta koncesije, pogojev za sodelovanje in roka za oddajo ponudb.</w:t>
      </w:r>
    </w:p>
    <w:p w14:paraId="69F387E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EB08CE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Koncedent od dneva objave obvestila o javnem razpisu omogoči neomejen, popoln, neposreden in brezplačen dostop do razpisne koncesijske dokumentacije. V besedilu obvestila o javnem razpisu se navede spletni naslov, na katerem je dostopna razpisna koncesijska dokumentacija.</w:t>
      </w:r>
    </w:p>
    <w:p w14:paraId="161AE67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1084DE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(7) V razpisni koncesijski dokumentaciji morajo biti navedeni vsi podatki, ki bodo omogočili prijavitelju izdelati popolno prijavo.</w:t>
      </w:r>
    </w:p>
    <w:p w14:paraId="56A2701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0B3DB6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(8) Rok za oddajo prijav je najmanj 180 dni od obvezne objave iz drugega odstavka tega člena.</w:t>
      </w:r>
    </w:p>
    <w:p w14:paraId="7EF4FA9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73DB26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4F2849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29.</w:t>
      </w:r>
      <w:r w:rsidRPr="00B775DE">
        <w:rPr>
          <w:rFonts w:ascii="Arial" w:hAnsi="Arial"/>
          <w:b/>
          <w:kern w:val="0"/>
          <w:sz w:val="20"/>
        </w:rPr>
        <w:tab/>
        <w:t xml:space="preserve"> člen</w:t>
      </w:r>
    </w:p>
    <w:p w14:paraId="56D681C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(pogoji za sodelovanje v postopku javnega razpisa za podelitev koncesije)</w:t>
      </w:r>
    </w:p>
    <w:p w14:paraId="7E3CB99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AA8554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V postopku izbire koncesionarja lahko sodelujejo gospodarski subjekti, skladno z zakonom,</w:t>
      </w:r>
    </w:p>
    <w:p w14:paraId="26DB8D6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ki ureja nekatere koncesijske pogodbe.</w:t>
      </w:r>
    </w:p>
    <w:p w14:paraId="4FCDA7A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FA67536" w14:textId="05D34730"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Vsaka oseba lahko vloži le eno prijavo. V primeru skupne prijave sme biti ista oseba ali njena povezana družba udeležena le pri eni (skupni) prijavi. Če ista oseba sodeluje na več prijavah, je vsaka taka prijava nedopustna.</w:t>
      </w:r>
    </w:p>
    <w:p w14:paraId="4FEB588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2B030E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V prijavi na javni razpis mora prijavitelj dokazati, da izpolnjuje pogoje, potrebne za udeležbo, določene s smiselno uporabo določb zakona, ki ureja postopek izbire koncesionarja, ob tem pa mora prijavitelj dokazati oziroma mora predložiti listine:</w:t>
      </w:r>
    </w:p>
    <w:p w14:paraId="0C51AD9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 da ne izpolnjuje obveznih izključitvenih razlogov, navedenih v predpisih, ki urejajo postopek izbire koncesionarja;</w:t>
      </w:r>
    </w:p>
    <w:p w14:paraId="347C79B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da nad njim ni začet postopek zaradi insolventnosti ali prisilnega prenehanja po zakonu, ki ureja postopek zaradi insolventnosti in prisilnega prenehanja, ali postopek likvidacije po zakonu, ki ureja gospodarske družbe, da prijaviteljevih sredstev ali poslovanja ne upravlja upravitelj ali sodišče, da prijaviteljeve poslovne dejavnosti začasno niso ustavljene, da v skladu s predpisi druge države nad koncesionarjem ni začet postopek ali pa je nastal položaj z enakimi pravnimi posledicami; </w:t>
      </w:r>
    </w:p>
    <w:p w14:paraId="2656BD8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da ni uvrščen v evidenco poslovnih subjektov, ki jim je prepovedano poslovanje s </w:t>
      </w:r>
      <w:proofErr w:type="spellStart"/>
      <w:r w:rsidRPr="00B775DE">
        <w:rPr>
          <w:rFonts w:ascii="Arial" w:eastAsia="Times New Roman" w:hAnsi="Arial" w:cs="Times New Roman"/>
          <w:kern w:val="0"/>
          <w:sz w:val="20"/>
          <w:szCs w:val="24"/>
        </w:rPr>
        <w:t>koncedentom</w:t>
      </w:r>
      <w:proofErr w:type="spellEnd"/>
      <w:r w:rsidRPr="00B775DE">
        <w:rPr>
          <w:rFonts w:ascii="Arial" w:eastAsia="Times New Roman" w:hAnsi="Arial" w:cs="Times New Roman"/>
          <w:kern w:val="0"/>
          <w:sz w:val="20"/>
          <w:szCs w:val="24"/>
        </w:rPr>
        <w:t xml:space="preserve"> na podlagi zakona, ki ureja integriteto in preprečevanje korupcije; </w:t>
      </w:r>
    </w:p>
    <w:p w14:paraId="68B269B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da v zadnjih 12 mesecih ni imel blokiranih poslovnih računov; </w:t>
      </w:r>
    </w:p>
    <w:p w14:paraId="1F8D903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da predloži investicijski program, ki vsebuje analizo tržnih možnosti skupaj z analizo za tiste dele dejavnosti, ki se tržijo ali izvajajo v okviru javne službe oziroma s katerimi se pridobivajo prihodki s prodajo proizvodov oziroma storitev, tehnično-tehnološki del (opredelitev investicijskega projekta na podlagi normativov in materialnih bilanc), oceno vrednosti projekta po stalnih in tekočih cenah, ločeno za upravičene in preostale stroške, z navedbo osnov in izhodišč za oceno, analizo lokacije, ki vsebuje tudi imenovanje prostorskih aktov in glasil, v katerih so objavljeni, analizo vplivov investicijskega projekta na okolje ter oceno stroškov za odpravo negativnih vplivov z upoštevanjem načela, da onesnaževalec plača nastalo škodo, kadar je </w:t>
      </w:r>
      <w:r w:rsidRPr="00B775DE">
        <w:rPr>
          <w:rFonts w:ascii="Arial" w:eastAsia="Times New Roman" w:hAnsi="Arial" w:cs="Times New Roman"/>
          <w:kern w:val="0"/>
          <w:sz w:val="20"/>
          <w:szCs w:val="24"/>
        </w:rPr>
        <w:lastRenderedPageBreak/>
        <w:t>primerno, časovni načrt izvedbe investicije s popisom vseh aktivnosti skupno z organizacijo vodenja projekta in izdelano analizo izvedljivosti, načrt financiranja v tekočih cenah po dinamiki in virih financiranja (pri financiranju s krediti tudi izračun stroškov financiranja in odplačil kreditov), projekcije prihodkov in stroškov poslovanja po vzpostavitvi delovanja investicije za obdobje ekonomske dobe investicijskega projekta; vrednotenje drugih stroškov in koristi ter presojo upravičenosti (ex-</w:t>
      </w:r>
      <w:proofErr w:type="spellStart"/>
      <w:r w:rsidRPr="00B775DE">
        <w:rPr>
          <w:rFonts w:ascii="Arial" w:eastAsia="Times New Roman" w:hAnsi="Arial" w:cs="Times New Roman"/>
          <w:kern w:val="0"/>
          <w:sz w:val="20"/>
          <w:szCs w:val="24"/>
        </w:rPr>
        <w:t>ante</w:t>
      </w:r>
      <w:proofErr w:type="spellEnd"/>
      <w:r w:rsidRPr="00B775DE">
        <w:rPr>
          <w:rFonts w:ascii="Arial" w:eastAsia="Times New Roman" w:hAnsi="Arial" w:cs="Times New Roman"/>
          <w:kern w:val="0"/>
          <w:sz w:val="20"/>
          <w:szCs w:val="24"/>
        </w:rPr>
        <w:t>) v ekonomski dobi z izdelavo finančne in ekonomske ocene ter izračunom finančnih in ekonomskih kazalnikov po statični in dinamični metodi (doba vračanja investicijskih sredstev, neto sedanja vrednost, interna stopnja donosnosti, relativna neto sedanja vrednost oziroma količnik relativne koristnosti) skupaj s predstavitvijo učinkov, ki se ne dajo ovrednotiti z denarjem;</w:t>
      </w:r>
    </w:p>
    <w:p w14:paraId="14E2F49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6. da predloži načrt, iz katerega je razvidno kako bo izpolnil zahteve iz 2. točke 8. člena te uredbe. Načrt mora vsebovati tudi že obstoječe vire toplote za daljinsko ogrevanje z navedbo podatka ali jih obrat nadomešča ali dopolnjuje. Poleg mora biti  načrt vsebovati podatek ali je za dosego ciljev potrebna širitev omrežja daljinskega ogrevanja; </w:t>
      </w:r>
    </w:p>
    <w:p w14:paraId="61CEE1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7. da poda pisno izjavo, da bo, če bo izbran, sprejel vse obveznosti, določene s tem koncesijskim aktom, razpisno koncesijsko dokumentacijo in vzorcem koncesijske pogodbe;</w:t>
      </w:r>
    </w:p>
    <w:p w14:paraId="58BF535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8. da izkaže, da izpolnjuje druge zahtevane pogoje, določene v tej uredbi in razpisni koncesijski dokumentaciji v zvezi z oddajo prijave. </w:t>
      </w:r>
    </w:p>
    <w:p w14:paraId="3EEBFFB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EBD557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Prijavitelj iz prejšnjega odstavka, ki še nima obrata, v katerem se izvaja predelava odpadkov po postopku R1 »Uporaba predvsem kot gorivo ali drugače za pridobivanje energije«, lahko sodeluje v postopku javnega razpisa, če poda izjavo, v kateri se zaveže, da bo obrat zgradil in začel opravljati gospodarsko javno službo najkasneje v sedmih letih od podelitve koncesije. </w:t>
      </w:r>
    </w:p>
    <w:p w14:paraId="40855F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7B22E0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99D9A03" w14:textId="482CB51D"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Nazivna zmogljivost sežiganja posamezne novega obrata iz prejšnjega odstavka ne sme presegati letne količine 130</w:t>
      </w:r>
      <w:r w:rsidR="00C474D3">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000 ton za 1. ter 50</w:t>
      </w:r>
      <w:r w:rsidR="00C474D3">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000 ton za 3. območje izvajanja gospodarske javne službe iz 5. člena te uredbe. Skupna letna zmogljivost vseh obstoječih in novih obratov s podeljenimi koncesijami ne sme presegati letne količine 220</w:t>
      </w:r>
      <w:r w:rsidR="00C474D3">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000 ton.</w:t>
      </w:r>
    </w:p>
    <w:p w14:paraId="5E2A578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96BD7B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(6) Prijavitelj mora izpolnjevati tudi morebitne druge pogoje za izvajanje dejavnosti, ki jih določajo predpisi, ki urejajo koncesije javnih služb varstva okolja, zakon, ki ureja javno-zasebno partnerstvo, zakon, ki ureja nekatere koncesijske pogodbe in drugi predpisi, ki urejajo podeljevanje koncesij. </w:t>
      </w:r>
    </w:p>
    <w:p w14:paraId="593F57E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E1B28C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(7) Koncedent mora v razpisni dokumentaciji opredeliti način dokazovanja pogojev iz tega člena skladno s predpisi, ki urejajo postopek izbire koncesionarja.</w:t>
      </w:r>
    </w:p>
    <w:p w14:paraId="22F7620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778B8B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30.</w:t>
      </w:r>
      <w:r w:rsidRPr="00B775DE">
        <w:rPr>
          <w:rFonts w:ascii="Arial" w:hAnsi="Arial"/>
          <w:b/>
          <w:kern w:val="0"/>
          <w:sz w:val="20"/>
        </w:rPr>
        <w:tab/>
        <w:t xml:space="preserve"> člen</w:t>
      </w:r>
    </w:p>
    <w:p w14:paraId="3D53A00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(merila za izbiro koncesionarja)</w:t>
      </w:r>
    </w:p>
    <w:p w14:paraId="4C2EC19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38C5E5F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Za izvajanje koncesije se izbere najugodnejša prijava na podlagi naslednjih meril:</w:t>
      </w:r>
    </w:p>
    <w:p w14:paraId="1B15323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projektirane vrednosti emisij onesnaževal v okolje, ki morajo biti utemeljene z opisom čistilnih sistemov emisij in podatki o njihovi učinkovitosti za posamezna onesnaževala (prijavitelj, ki ponudi najnižje vrednosti oziroma najnižje projektirane vrednosti onesnaževal v okolje, lahko doseže največje število točk); </w:t>
      </w:r>
    </w:p>
    <w:p w14:paraId="1733516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ocena osnovnih značilnosti lokacije predvidenega obrata na podlagi gostote naseljenosti, geografske lege in meteoroloških pogojev (v okviru tega merila lahko območja z manjšo gostoto prebivalstva, z večjo </w:t>
      </w:r>
      <w:proofErr w:type="spellStart"/>
      <w:r w:rsidRPr="00B775DE">
        <w:rPr>
          <w:rFonts w:ascii="Arial" w:eastAsia="Times New Roman" w:hAnsi="Arial" w:cs="Times New Roman"/>
          <w:kern w:val="0"/>
          <w:sz w:val="20"/>
          <w:szCs w:val="24"/>
        </w:rPr>
        <w:t>prevetrenostjo</w:t>
      </w:r>
      <w:proofErr w:type="spellEnd"/>
      <w:r w:rsidRPr="00B775DE">
        <w:rPr>
          <w:rFonts w:ascii="Arial" w:eastAsia="Times New Roman" w:hAnsi="Arial" w:cs="Times New Roman"/>
          <w:kern w:val="0"/>
          <w:sz w:val="20"/>
          <w:szCs w:val="24"/>
        </w:rPr>
        <w:t xml:space="preserve"> in z umeščenostjo v območje, za katero je podana prijava dosežejo največje število točk);</w:t>
      </w:r>
    </w:p>
    <w:p w14:paraId="26C5A5F8" w14:textId="09CDE9C2"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projektirana energijska učinkovitost sežiganja odpadkov, v skladu z Izvedbenim sklepom Komisije 2019/2010</w:t>
      </w:r>
      <w:r w:rsidR="002345A9">
        <w:rPr>
          <w:rFonts w:ascii="Arial" w:eastAsia="Times New Roman" w:hAnsi="Arial" w:cs="Times New Roman"/>
          <w:kern w:val="0"/>
          <w:sz w:val="20"/>
          <w:szCs w:val="24"/>
        </w:rPr>
        <w:t>/EU</w:t>
      </w:r>
      <w:r w:rsidRPr="00B775DE">
        <w:rPr>
          <w:rFonts w:ascii="Arial" w:eastAsia="Times New Roman" w:hAnsi="Arial" w:cs="Times New Roman"/>
          <w:kern w:val="0"/>
          <w:sz w:val="20"/>
          <w:szCs w:val="24"/>
        </w:rPr>
        <w:t xml:space="preserve"> (v okviru tega merila največja ponujena energijska učinkovitost lahko doseže največje število točk);</w:t>
      </w:r>
    </w:p>
    <w:p w14:paraId="077CE9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projektirana energetska učinkovitost obrata, določena v skladu s predpisom, ki ureja ravnanje z odpadki (v okviru tega merila lahko največja ponujena energetska učinkovitost doseže največje število točk);</w:t>
      </w:r>
    </w:p>
    <w:p w14:paraId="5E1B3A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5. čas vzpostavitve izvajanja storitev gospodarske javne službe (prijavitelj, ki ponudi najkrajši čas vzpostavitve gospodarske javne službe, lahko doseže največje število točk);</w:t>
      </w:r>
    </w:p>
    <w:p w14:paraId="558DDA0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predvidena cena storitev gospodarske javne službe na tono sežganih gorljivih komunalnih odpadkov, pripravljena skladno z določbami 6. podpoglavjem II. poglavja te uredbe (prijavitelj, ki ponudi najnižjo ceno za opravljanje storitev javne službe, lahko doseže največje število točk).</w:t>
      </w:r>
    </w:p>
    <w:p w14:paraId="3DF26DA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865661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Vrstni red in uteži posameznih meril iz prejšnjega odstavka ter minimalno število točk za prehajanje med fazami konkurenčnega dialoga in za izbor se podrobneje opišejo in določijo v razpisni koncesijski dokumentaciji. Pri tem posamezno merilo ne more prevladati vseh ostalih meril. </w:t>
      </w:r>
    </w:p>
    <w:p w14:paraId="050AC36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8F6CC4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Prijava se šteje za nedopustno, če čas vzpostavitve gospodarske javne službe presega sedem let. </w:t>
      </w:r>
    </w:p>
    <w:p w14:paraId="7F07069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B95EB4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Merila, po katerih koncedent izbira najugodnejšo prijavo, morajo biti v razpisni koncesijski dokumentaciji opisana in ovrednotena (določen način njihove uporabe).</w:t>
      </w:r>
    </w:p>
    <w:p w14:paraId="516F399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3011DF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Prijava je za prijavitelja zavezujoča, neizpolnjevanje navedb iz prijave v času izvajanja koncesije pa razlog za prekinitev koncesijskega razmerja iz krivdnih razlogov koncesionarja. </w:t>
      </w:r>
    </w:p>
    <w:p w14:paraId="4CE64FF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A97618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C85FA0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w:t>
      </w:r>
      <w:r w:rsidRPr="00B775DE">
        <w:rPr>
          <w:rFonts w:ascii="Arial" w:eastAsia="Times New Roman" w:hAnsi="Arial" w:cs="Times New Roman"/>
          <w:kern w:val="0"/>
          <w:sz w:val="20"/>
          <w:szCs w:val="24"/>
        </w:rPr>
        <w:tab/>
        <w:t>Izvedba javnega razpisa</w:t>
      </w:r>
    </w:p>
    <w:p w14:paraId="1AD57A9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ACBE3F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31.</w:t>
      </w:r>
      <w:r w:rsidRPr="00B775DE">
        <w:rPr>
          <w:rFonts w:ascii="Arial" w:hAnsi="Arial"/>
          <w:b/>
          <w:kern w:val="0"/>
          <w:sz w:val="20"/>
        </w:rPr>
        <w:tab/>
        <w:t xml:space="preserve"> člen</w:t>
      </w:r>
    </w:p>
    <w:p w14:paraId="4AF56C0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(uspešnost javnega razpisa)</w:t>
      </w:r>
    </w:p>
    <w:p w14:paraId="443DEE3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6E9354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Javni razpis je uspešen, če je prispela vsaj ena pravočasna in dopustna prijava.</w:t>
      </w:r>
    </w:p>
    <w:p w14:paraId="0BAE01E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D8C6A6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Prijava je dopustna, če vsebuje vse v javnem razpisu zahtevane podatke, prijavitelj pa izpolnjuje pogoje za sodelovanje in ni izključen iz postopka izbire koncesionarja.</w:t>
      </w:r>
    </w:p>
    <w:p w14:paraId="7EDA45E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6B7DAD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Če koncedent ne pridobi nobene prijave ali pa so te nedopustne, se javni razpis ponovi.</w:t>
      </w:r>
    </w:p>
    <w:p w14:paraId="2653987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00CDAB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Javni razpis se ponovi tudi, če koncesionar ni bil izbran ali če z osebo, ki je bila v predpisanem roku izbrana za koncesionarja, ni bila sklenjena koncesijska pogodba.</w:t>
      </w:r>
    </w:p>
    <w:p w14:paraId="382F248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9A042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32.</w:t>
      </w:r>
      <w:r w:rsidRPr="00B775DE">
        <w:rPr>
          <w:rFonts w:ascii="Arial" w:hAnsi="Arial"/>
          <w:b/>
          <w:kern w:val="0"/>
          <w:sz w:val="20"/>
        </w:rPr>
        <w:tab/>
        <w:t xml:space="preserve"> člen</w:t>
      </w:r>
    </w:p>
    <w:p w14:paraId="469CFD5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(izbira koncesionarja)</w:t>
      </w:r>
    </w:p>
    <w:p w14:paraId="0FB0CC6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C9E495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Odpiranje prijav, njihovo strokovno presojo, izbiro prijaviteljev, s katerimi se vodi dialog, namenjen ugotovitvi in opredelitvi sredstev ter najprimernejših rešitev za zadovoljitev ciljev in potreb koncedenta, vodenje dialoga, poziv za predložitev prijav, pripravljenih ob upoštevanju rešitev, predstavljenih in opredeljenih med dialogom, poziv prijaviteljem, da svoje prijave pojasnijo, podrobno opišejo in v podrobnostih uskladijo s </w:t>
      </w:r>
      <w:proofErr w:type="spellStart"/>
      <w:r w:rsidRPr="00B775DE">
        <w:rPr>
          <w:rFonts w:ascii="Arial" w:eastAsia="Times New Roman" w:hAnsi="Arial" w:cs="Times New Roman"/>
          <w:kern w:val="0"/>
          <w:sz w:val="20"/>
          <w:szCs w:val="24"/>
        </w:rPr>
        <w:t>koncedentovimi</w:t>
      </w:r>
      <w:proofErr w:type="spellEnd"/>
      <w:r w:rsidRPr="00B775DE">
        <w:rPr>
          <w:rFonts w:ascii="Arial" w:eastAsia="Times New Roman" w:hAnsi="Arial" w:cs="Times New Roman"/>
          <w:kern w:val="0"/>
          <w:sz w:val="20"/>
          <w:szCs w:val="24"/>
        </w:rPr>
        <w:t xml:space="preserve"> potrebami, oceno prijav na podlagi meril, ki so bila za oceno določena v javnem razpisu, ter sestavo poročila za koncedenta po končanem pregledu in vrednotenju končne prijave opravi strokovna komisija.</w:t>
      </w:r>
    </w:p>
    <w:p w14:paraId="2F6F36E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8997E7A" w14:textId="3570D0C0"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Strokovno komisijo iz prejšnjega odstavka imenuje vlada. Strokovno komisijo sestavljajo predsednik in štirje člani oziroma članice (v nadaljnjem besedilu</w:t>
      </w:r>
      <w:r w:rsidR="002345A9">
        <w:rPr>
          <w:rFonts w:ascii="Arial" w:eastAsia="Times New Roman" w:hAnsi="Arial" w:cs="Times New Roman"/>
          <w:kern w:val="0"/>
          <w:sz w:val="20"/>
          <w:szCs w:val="24"/>
        </w:rPr>
        <w:t>:</w:t>
      </w:r>
      <w:r w:rsidRPr="00B775DE">
        <w:rPr>
          <w:rFonts w:ascii="Arial" w:eastAsia="Times New Roman" w:hAnsi="Arial" w:cs="Times New Roman"/>
          <w:kern w:val="0"/>
          <w:sz w:val="20"/>
          <w:szCs w:val="24"/>
        </w:rPr>
        <w:t xml:space="preserve"> član): po dva predstavnika ministrstva in ministrstva, pristojnega za finance, ter en predstavnik ministrstva, pristojnega za prostor. Predsednika strokovne komisije, ki vodi in usklajuje njeno delo, imenuje vlada izmed predstavnikov ministrstva, na predlog ministra, pristojnega za odpadke.</w:t>
      </w:r>
    </w:p>
    <w:p w14:paraId="1395EA4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948BAF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Pri imenovanju predsednika in članov strokovne komisije je treba upoštevati določbe o preprečevanju nasprotja interesov iz 91. člena Zakona o javnem naročanju (Uradni list RS, št. </w:t>
      </w:r>
      <w:r w:rsidRPr="00B775DE">
        <w:rPr>
          <w:rFonts w:ascii="Arial" w:eastAsia="Times New Roman" w:hAnsi="Arial" w:cs="Times New Roman"/>
          <w:kern w:val="0"/>
          <w:sz w:val="20"/>
          <w:szCs w:val="24"/>
        </w:rPr>
        <w:lastRenderedPageBreak/>
        <w:t xml:space="preserve">91/15, 14/18, 121/21, 10/22, 74/22 – </w:t>
      </w:r>
      <w:proofErr w:type="spellStart"/>
      <w:r w:rsidRPr="00B775DE">
        <w:rPr>
          <w:rFonts w:ascii="Arial" w:eastAsia="Times New Roman" w:hAnsi="Arial" w:cs="Times New Roman"/>
          <w:kern w:val="0"/>
          <w:sz w:val="20"/>
          <w:szCs w:val="24"/>
        </w:rPr>
        <w:t>odl</w:t>
      </w:r>
      <w:proofErr w:type="spellEnd"/>
      <w:r w:rsidRPr="00B775DE">
        <w:rPr>
          <w:rFonts w:ascii="Arial" w:eastAsia="Times New Roman" w:hAnsi="Arial" w:cs="Times New Roman"/>
          <w:kern w:val="0"/>
          <w:sz w:val="20"/>
          <w:szCs w:val="24"/>
        </w:rPr>
        <w:t xml:space="preserve">. US, 100/22 – ZNUZSZS, 28/23 in 88/23 – ZOPNN-F). Izpolnjevanje teh pogojev potrdi vsak član strokovne komisije s pisno izjavo. Če član strokovne komisije naknadno izve za katero od dejstev, ki bi lahko predstavljalo to nasprotje interesov, mora takoj predlagati svojo izločitev, vlada pa na predlog pristojnega ministrstva imenuje nadomestnega člana. Člani strokovne komisije ne smejo s prijavitelji komunicirati neposredno, ampak le preko koncedenta. </w:t>
      </w:r>
    </w:p>
    <w:p w14:paraId="7638AF0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79E922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Koncedent izbere enega ali več prijaviteljev ali skupino prijaviteljev v skladu s 23. členom te uredbe na podlagi meril, ki so določena s to uredbo, če so izpolnjeni vsi naslednji pogoji:</w:t>
      </w:r>
    </w:p>
    <w:p w14:paraId="1959C57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prijava je v skladu z minimalnimi zahtevami, ki so določene s to uredbo,</w:t>
      </w:r>
    </w:p>
    <w:p w14:paraId="23F89A2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prijava izpolnjuje pogoje za sodelovanje in</w:t>
      </w:r>
    </w:p>
    <w:p w14:paraId="133FA28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prijava ni izključena iz sodelovanja v postopku izbire koncesionarja.</w:t>
      </w:r>
    </w:p>
    <w:p w14:paraId="0B4B5B1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4F1EB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Odločitev o izbiri koncesionarja preneha veljati, če v 30 dneh od pravnomočnosti obvestila o izboru ni sklenjena koncesijska pogodba iz razlogov, ki so na strani koncesionarja, kar se tudi izrecno navede v razpisni koncesijski dokumentaciji in obvestilu o izboru.</w:t>
      </w:r>
    </w:p>
    <w:p w14:paraId="2FD2407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FFEDACF"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6. Koncesijsko razmerje</w:t>
      </w:r>
    </w:p>
    <w:p w14:paraId="5F1D140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996792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33.</w:t>
      </w:r>
      <w:r w:rsidRPr="00B775DE">
        <w:rPr>
          <w:rFonts w:ascii="Arial" w:hAnsi="Arial"/>
          <w:b/>
          <w:kern w:val="0"/>
          <w:sz w:val="20"/>
        </w:rPr>
        <w:tab/>
        <w:t xml:space="preserve"> člen</w:t>
      </w:r>
    </w:p>
    <w:p w14:paraId="1CB1DB5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(razporeditev tveganj)</w:t>
      </w:r>
    </w:p>
    <w:p w14:paraId="6E38E8F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184EC47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Koncesionar med trajanjem koncesije prevzema večino operativnih tveganj, povezanih z izvajanjem koncesije, kar se podrobneje določi s koncesijsko pogodbo. </w:t>
      </w:r>
    </w:p>
    <w:p w14:paraId="20D4F16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43E289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34.</w:t>
      </w:r>
      <w:r w:rsidRPr="00B775DE">
        <w:rPr>
          <w:rFonts w:ascii="Arial" w:hAnsi="Arial"/>
          <w:b/>
          <w:kern w:val="0"/>
          <w:sz w:val="20"/>
        </w:rPr>
        <w:tab/>
        <w:t xml:space="preserve"> člen</w:t>
      </w:r>
    </w:p>
    <w:p w14:paraId="7FA8858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(sklenitev koncesijske pogodbe)</w:t>
      </w:r>
    </w:p>
    <w:p w14:paraId="7F171688" w14:textId="77777777" w:rsidR="00E65191" w:rsidRPr="00B775DE" w:rsidRDefault="00E65191" w:rsidP="00E65191">
      <w:pPr>
        <w:overflowPunct w:val="0"/>
        <w:autoSpaceDE w:val="0"/>
        <w:autoSpaceDN w:val="0"/>
        <w:adjustRightInd w:val="0"/>
        <w:spacing w:after="0" w:line="260" w:lineRule="exact"/>
        <w:ind w:left="284" w:hanging="284"/>
        <w:jc w:val="both"/>
        <w:textAlignment w:val="baseline"/>
        <w:rPr>
          <w:rFonts w:ascii="Arial" w:hAnsi="Arial"/>
          <w:b/>
          <w:kern w:val="0"/>
          <w:sz w:val="20"/>
        </w:rPr>
      </w:pPr>
    </w:p>
    <w:p w14:paraId="33C849B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pridobi pravice in dolžnosti iz koncesijskega razmerja s sklenitvijo koncesijske pogodbe v pisni obliki. Veljavnost koncesijske pogodbe je vezana na predložitev finančnega jamstva za pravočasen začetek izvajanja pogodbenih obveznosti v višini in pod pogoji, ki se podrobneje določi v razpisni koncesijski dokumentaciji in vzorcu koncesijske pogodbe.</w:t>
      </w:r>
    </w:p>
    <w:p w14:paraId="25C15B2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5D3E22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Najkasneje osem dni po pravnomočnosti odločitve o izboru pošlje koncedent izbranemu koncesionarju v podpis koncesijsko pogodbo, ki v bistvenih delih ne sme odstopati od vzorca koncesijske pogodbe iz razpisne koncesijske dokumentacije, razen če je bila v postopku izbire koncesionarja posamezna določba osnutka pogodbe predmet pogajanj med </w:t>
      </w:r>
      <w:proofErr w:type="spellStart"/>
      <w:r w:rsidRPr="00B775DE">
        <w:rPr>
          <w:rFonts w:ascii="Arial" w:eastAsia="Times New Roman" w:hAnsi="Arial" w:cs="Times New Roman"/>
          <w:kern w:val="0"/>
          <w:sz w:val="20"/>
          <w:szCs w:val="24"/>
        </w:rPr>
        <w:t>koncedentom</w:t>
      </w:r>
      <w:proofErr w:type="spellEnd"/>
      <w:r w:rsidRPr="00B775DE">
        <w:rPr>
          <w:rFonts w:ascii="Arial" w:eastAsia="Times New Roman" w:hAnsi="Arial" w:cs="Times New Roman"/>
          <w:kern w:val="0"/>
          <w:sz w:val="20"/>
          <w:szCs w:val="24"/>
        </w:rPr>
        <w:t xml:space="preserve"> in prijaviteljem. Koncesijska pogodba začne veljati z dnem podpisa obeh pogodbenih strank.</w:t>
      </w:r>
    </w:p>
    <w:p w14:paraId="2C97E85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AB8C98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35.</w:t>
      </w:r>
      <w:r w:rsidRPr="00B775DE">
        <w:rPr>
          <w:rFonts w:ascii="Arial" w:hAnsi="Arial"/>
          <w:b/>
          <w:kern w:val="0"/>
          <w:sz w:val="20"/>
        </w:rPr>
        <w:tab/>
        <w:t xml:space="preserve"> člen</w:t>
      </w:r>
    </w:p>
    <w:p w14:paraId="7E178F1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(koncesijska pogodba)</w:t>
      </w:r>
    </w:p>
    <w:p w14:paraId="68DA344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614ABF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S koncesijsko pogodbo koncedent in koncesionar podrobno uredita medsebojna razmerja v zvezi z izvajanjem predmeta koncesije. S to pogodbo se uredijo tudi vsa vprašanja v zvezi z izvajanjem gospodarske javne službe. Koncesijska pogodba mora vsebovati vse, kar kot obvezne sestavine koncesijske pogodbe določa zakon, ki ureja nekatere koncesijske pogodbe.</w:t>
      </w:r>
    </w:p>
    <w:p w14:paraId="3215D53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AA2229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V koncesijski pogodbi se določijo </w:t>
      </w:r>
      <w:bookmarkStart w:id="16" w:name="_Hlk183699127"/>
      <w:r w:rsidRPr="00B775DE">
        <w:rPr>
          <w:rFonts w:ascii="Arial" w:eastAsia="Times New Roman" w:hAnsi="Arial" w:cs="Times New Roman"/>
          <w:kern w:val="0"/>
          <w:sz w:val="20"/>
          <w:szCs w:val="24"/>
        </w:rPr>
        <w:t xml:space="preserve">maksimalne predvidene letne količine gorljivih komunalnih </w:t>
      </w:r>
      <w:bookmarkEnd w:id="16"/>
      <w:r w:rsidRPr="00B775DE">
        <w:rPr>
          <w:rFonts w:ascii="Arial" w:eastAsia="Times New Roman" w:hAnsi="Arial" w:cs="Times New Roman"/>
          <w:kern w:val="0"/>
          <w:sz w:val="20"/>
          <w:szCs w:val="24"/>
        </w:rPr>
        <w:t>odpadkov za posamezno območje ob začetku izvajanja gospodarske javne službe ter navede, da koncedent letne količine glede na doseganje ciljev recikliranja določa na način iz 6. člena te uredbe.</w:t>
      </w:r>
    </w:p>
    <w:p w14:paraId="09167CE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V koncesijski pogodbi se določijo finančna jamstva v skladu s 36. členom te uredbe.</w:t>
      </w:r>
    </w:p>
    <w:p w14:paraId="3EC2C0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04C932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(4) V koncesijski pogodbi se določijo tudi pogoji in način izvajanja gospodarske javne službe in posebnih storitev za primer nastanka višje sile in izrednih razmer.</w:t>
      </w:r>
    </w:p>
    <w:p w14:paraId="24B6CA4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37B416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36.</w:t>
      </w:r>
      <w:r w:rsidRPr="00B775DE">
        <w:rPr>
          <w:rFonts w:ascii="Arial" w:hAnsi="Arial"/>
          <w:b/>
          <w:kern w:val="0"/>
          <w:sz w:val="20"/>
        </w:rPr>
        <w:tab/>
        <w:t xml:space="preserve"> člen</w:t>
      </w:r>
    </w:p>
    <w:p w14:paraId="7A8952C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(finančno jamstvo)</w:t>
      </w:r>
    </w:p>
    <w:p w14:paraId="0138886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0D50286" w14:textId="0A7B22C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mora za čas trajanja in še šest mesecev po zaključku koncesijskega razmerja za izvajanje gospodarske javne službe zagotavljati finančno jamstvo za zavarovanje izvedbe ukrepov, določenih v okoljevarstvenem dovoljenju (v nadaljnjem besedilu: finančno jamstvo), in za</w:t>
      </w:r>
      <w:r w:rsidR="00722205">
        <w:rPr>
          <w:rFonts w:ascii="Arial" w:eastAsia="Times New Roman" w:hAnsi="Arial" w:cs="Times New Roman"/>
          <w:kern w:val="0"/>
          <w:sz w:val="20"/>
          <w:szCs w:val="24"/>
        </w:rPr>
        <w:t xml:space="preserve"> naslednje </w:t>
      </w:r>
      <w:r w:rsidRPr="00B775DE">
        <w:rPr>
          <w:rFonts w:ascii="Arial" w:eastAsia="Times New Roman" w:hAnsi="Arial" w:cs="Times New Roman"/>
          <w:kern w:val="0"/>
          <w:sz w:val="20"/>
          <w:szCs w:val="24"/>
        </w:rPr>
        <w:t>primere</w:t>
      </w:r>
      <w:r w:rsidR="00722205">
        <w:rPr>
          <w:rFonts w:ascii="Arial" w:eastAsia="Times New Roman" w:hAnsi="Arial" w:cs="Times New Roman"/>
          <w:kern w:val="0"/>
          <w:sz w:val="20"/>
          <w:szCs w:val="24"/>
        </w:rPr>
        <w:t>, če</w:t>
      </w:r>
      <w:r w:rsidRPr="00B775DE">
        <w:rPr>
          <w:rFonts w:ascii="Arial" w:eastAsia="Times New Roman" w:hAnsi="Arial" w:cs="Times New Roman"/>
          <w:kern w:val="0"/>
          <w:sz w:val="20"/>
          <w:szCs w:val="24"/>
        </w:rPr>
        <w:t>:</w:t>
      </w:r>
    </w:p>
    <w:p w14:paraId="36CEB03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pride do čezmerne obremenitve okolja, da se zagotovi izvedbo ukrepov za odpravo te čezmerne obremenitve; </w:t>
      </w:r>
    </w:p>
    <w:p w14:paraId="324BE63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koncesionar preneha opravljati dejavnost ali pride do prenehanja koncesionarja in koncesionar ni poskrbel za ostanke sežiga gorljivih komunalnih odpadkov v skladu s predpisi, ki urejajo odpadke, ali ni zagotovil sežiga gorljivih komunalnih odpadkov, ki jih je prevzel; </w:t>
      </w:r>
    </w:p>
    <w:p w14:paraId="24CB552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koncesionar ne zagotovi izvajanja obratovalnega monitoringa in ne zagotovi spremljanja stanja okolja, skladno s predpisi ki urejajo obratovalni monitoring; </w:t>
      </w:r>
    </w:p>
    <w:p w14:paraId="278D663F" w14:textId="5A5B34C6"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koncesionar ne izvrši pravnomočne odločbe o dovolitvi izvršbe pristojne inšpekcije v zvezi z izvajanjem gospodarske javne službe; </w:t>
      </w:r>
      <w:r w:rsidR="00722205">
        <w:rPr>
          <w:rFonts w:ascii="Arial" w:eastAsia="Times New Roman" w:hAnsi="Arial" w:cs="Times New Roman"/>
          <w:kern w:val="0"/>
          <w:sz w:val="20"/>
          <w:szCs w:val="24"/>
        </w:rPr>
        <w:t>ali</w:t>
      </w:r>
    </w:p>
    <w:p w14:paraId="76984C8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koncesionar ne začne izvajati gospodarske javne službe v roku iz prijave ali koncesijske pogodbe, pri čemer velja krajši rok. </w:t>
      </w:r>
    </w:p>
    <w:p w14:paraId="4BBC1E5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AE41CD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Finančno jamstvo v imenu in za račun koncedenta na podlagi ugotovitev pristojne inšpekcije oziroma ugotovitev ministrstva pri izvedbi nadzora unovči ministrstvo. </w:t>
      </w:r>
    </w:p>
    <w:p w14:paraId="6C32160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884DD4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Finančno jamstvo se zagotovi kot bančna garancija na prvi poziv in se unovči, če koncesionar ne izvede predpisanih ukrepov in obveznosti v primerih iz prvega odstavka tega člena. Koncesionar lahko namesto bančne garancije na prvi poziv predloži tudi zavarovalno polico, vinkulirano v korist koncedenta, pri čemer je višina zavarovalne vsote določena na način iz četrtega odstavka tega člena.</w:t>
      </w:r>
    </w:p>
    <w:p w14:paraId="7C2A67B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1DA307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Višina finančnega jamstva se izračuna na podlagi naslednje enačbe:</w:t>
      </w:r>
    </w:p>
    <w:p w14:paraId="2A826CF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89C40B6" w14:textId="77777777" w:rsidR="00E65191" w:rsidRPr="00B775DE" w:rsidRDefault="00E65191" w:rsidP="00E65191">
      <w:pPr>
        <w:pBdr>
          <w:top w:val="single" w:sz="4" w:space="1" w:color="auto"/>
          <w:left w:val="single" w:sz="4" w:space="4" w:color="auto"/>
          <w:bottom w:val="single" w:sz="4" w:space="1" w:color="auto"/>
          <w:right w:val="single" w:sz="4" w:space="4" w:color="auto"/>
        </w:pBdr>
        <w:tabs>
          <w:tab w:val="left" w:pos="708"/>
        </w:tabs>
        <w:spacing w:before="40" w:after="40" w:line="240" w:lineRule="auto"/>
        <w:jc w:val="center"/>
        <w:rPr>
          <w:rFonts w:ascii="Arial" w:eastAsia="Times New Roman" w:hAnsi="Arial" w:cs="Times New Roman"/>
          <w:b/>
          <w:bCs/>
          <w:i/>
          <w:iCs/>
          <w:kern w:val="0"/>
          <w:szCs w:val="28"/>
        </w:rPr>
      </w:pPr>
      <w:r w:rsidRPr="00B775DE">
        <w:rPr>
          <w:rFonts w:ascii="Arial" w:eastAsia="Times New Roman" w:hAnsi="Arial" w:cs="Times New Roman"/>
          <w:b/>
          <w:bCs/>
          <w:i/>
          <w:iCs/>
          <w:kern w:val="0"/>
          <w:szCs w:val="28"/>
        </w:rPr>
        <w:t>višina finančnega jamstva = Q x C x 0,1</w:t>
      </w:r>
    </w:p>
    <w:p w14:paraId="4D6B814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04C322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v kateri je:</w:t>
      </w:r>
    </w:p>
    <w:p w14:paraId="762BD694"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b/>
          <w:bCs/>
          <w:kern w:val="0"/>
          <w:sz w:val="20"/>
          <w:szCs w:val="24"/>
        </w:rPr>
        <w:t xml:space="preserve">Q </w:t>
      </w:r>
      <w:r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ab/>
        <w:t>predvidena letna količina sežganih komunalnih odpadkov (v tonah) v skladu s koncesijsko pogodbo,</w:t>
      </w:r>
    </w:p>
    <w:p w14:paraId="0AD3ED9F"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b/>
          <w:bCs/>
          <w:kern w:val="0"/>
          <w:sz w:val="20"/>
          <w:szCs w:val="24"/>
        </w:rPr>
        <w:t xml:space="preserve">C </w:t>
      </w:r>
      <w:r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ab/>
        <w:t xml:space="preserve">cena storitve gospodarske javne službe sežiganja gorljivih komunalnih odpadkov (euro/tono), določena s sklepom vlade o določitvi cene gospodarske javne službe, </w:t>
      </w:r>
    </w:p>
    <w:p w14:paraId="7F4F97FE"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b/>
          <w:bCs/>
          <w:kern w:val="0"/>
          <w:sz w:val="20"/>
          <w:szCs w:val="24"/>
        </w:rPr>
        <w:t>0,1</w:t>
      </w:r>
      <w:r w:rsidRPr="00B775DE">
        <w:rPr>
          <w:rFonts w:ascii="Arial" w:eastAsia="Times New Roman" w:hAnsi="Arial" w:cs="Times New Roman"/>
          <w:kern w:val="0"/>
          <w:sz w:val="20"/>
          <w:szCs w:val="24"/>
        </w:rPr>
        <w:t xml:space="preserve"> – </w:t>
      </w:r>
      <w:r w:rsidRPr="00B775DE">
        <w:rPr>
          <w:rFonts w:ascii="Arial" w:eastAsia="Times New Roman" w:hAnsi="Arial" w:cs="Times New Roman"/>
          <w:kern w:val="0"/>
          <w:sz w:val="20"/>
          <w:szCs w:val="24"/>
        </w:rPr>
        <w:tab/>
        <w:t>korekcijski faktor.</w:t>
      </w:r>
    </w:p>
    <w:p w14:paraId="2B86E40F" w14:textId="77777777" w:rsidR="00E65191" w:rsidRPr="00B775DE" w:rsidRDefault="00E65191" w:rsidP="00E65191">
      <w:pPr>
        <w:spacing w:after="0" w:line="260" w:lineRule="atLeast"/>
        <w:rPr>
          <w:rFonts w:ascii="Arial" w:eastAsia="Times New Roman" w:hAnsi="Arial" w:cs="Times New Roman"/>
          <w:kern w:val="0"/>
          <w:sz w:val="20"/>
          <w:szCs w:val="24"/>
        </w:rPr>
      </w:pPr>
    </w:p>
    <w:p w14:paraId="70E7E5CB"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(5) Za izračun višine finančnega jamstva v obdobju šestih mesecev po zaključku koncesijskega razmerja je v formuli iz prejšnjega odstavka Q enak predvideni količini sežganih komunalnih odpadkov (v tonah) v obdobju zadnjih šestih mesecev trajanja koncesijskega razmerja in C enak ceni storitve sežiganja gorljivih komunalnih odpadkov (euro/tono) v tem obdobju.</w:t>
      </w:r>
    </w:p>
    <w:p w14:paraId="0B678E7E" w14:textId="77777777" w:rsidR="00E65191" w:rsidRPr="00B775DE" w:rsidRDefault="00E65191" w:rsidP="00E65191">
      <w:pPr>
        <w:spacing w:after="0" w:line="260" w:lineRule="atLeast"/>
        <w:rPr>
          <w:rFonts w:ascii="Arial" w:eastAsia="Times New Roman" w:hAnsi="Arial" w:cs="Times New Roman"/>
          <w:kern w:val="0"/>
          <w:sz w:val="20"/>
          <w:szCs w:val="24"/>
        </w:rPr>
      </w:pPr>
    </w:p>
    <w:p w14:paraId="1ED2211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Finančno jamstvo se izda za celotno obdobje  iz prvega odstavka tega člena. Če se finančno jamstvo unovči, mora koncesionar zagotoviti novo finančno jamstvo v 30 dneh od unovčitve prejšnjega. Če koncesionar v navedenem roku ne zagotovi novega finančnega jamstva, to predstavlja razlog za razdrtje koncesijske pogodbe, koncesionar pa ni upravičen do odškodnine zaradi morebitne škode, nastale iz tega naslova.</w:t>
      </w:r>
    </w:p>
    <w:p w14:paraId="7E4B198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21E80F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(7) Upravičenec do sredstev finančnega jamstva iz tega člena je Republika Slovenija, pri čemer se sredstva finančnega zavarovanja porabijo najkasneje v roku dveh let za plačilo nastalih stroškov zaradi izvedbe naslednjih ukrepov:</w:t>
      </w:r>
    </w:p>
    <w:p w14:paraId="074778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odprave čezmerne obremenitve okolja;</w:t>
      </w:r>
    </w:p>
    <w:p w14:paraId="5BE0D3A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zagotovitve sežiga gorljivih komunalnih odpadkov, ki jih je koncesionar prevzel, vendar jih ni sežgal;</w:t>
      </w:r>
    </w:p>
    <w:p w14:paraId="5B23DDD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zagotovitve odstranitve ostankov sežiga gorljivih komunalnih odpadkov v skladu s predpisi, ki urejajo odpadke;</w:t>
      </w:r>
    </w:p>
    <w:p w14:paraId="0A037CB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izvedbe ukrepov, ki jih je z odločbo koncesionarju naložil inšpektor, pristojen za okolje, če jih koncesionar ni izvedel v roku, ki mu je bil določen z odločbo o dovolitvi izvršbe;</w:t>
      </w:r>
    </w:p>
    <w:p w14:paraId="42D3737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izvedbe obratovalnega monitoringa.</w:t>
      </w:r>
    </w:p>
    <w:p w14:paraId="4502261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E7B926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(8) Če višina finančnega jamstva ne zadošča za plačilo vseh nastalih stroškov, je koncesionar dolžan plačati razliko do polne višine nastalih stroškov. </w:t>
      </w:r>
    </w:p>
    <w:p w14:paraId="65AD2C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F84866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(9) Unovčenje finančnega jamstva ne odvezuje koncesionarja odgovornosti za morebitno povzročeno </w:t>
      </w:r>
      <w:proofErr w:type="spellStart"/>
      <w:r w:rsidRPr="00B775DE">
        <w:rPr>
          <w:rFonts w:ascii="Arial" w:eastAsia="Times New Roman" w:hAnsi="Arial" w:cs="Times New Roman"/>
          <w:kern w:val="0"/>
          <w:sz w:val="20"/>
          <w:szCs w:val="24"/>
        </w:rPr>
        <w:t>okoljsko</w:t>
      </w:r>
      <w:proofErr w:type="spellEnd"/>
      <w:r w:rsidRPr="00B775DE">
        <w:rPr>
          <w:rFonts w:ascii="Arial" w:eastAsia="Times New Roman" w:hAnsi="Arial" w:cs="Times New Roman"/>
          <w:kern w:val="0"/>
          <w:sz w:val="20"/>
          <w:szCs w:val="24"/>
        </w:rPr>
        <w:t xml:space="preserve"> škodo.</w:t>
      </w:r>
    </w:p>
    <w:p w14:paraId="5A24DEE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3883AA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(10) Koncesionar mora finančno jamstvo predložiti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xml:space="preserve"> najkasneje v 30 dneh pred začetkom izvajanja gospodarske javne službe. </w:t>
      </w:r>
    </w:p>
    <w:p w14:paraId="2C3FFB3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D95CDF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37.</w:t>
      </w:r>
      <w:r w:rsidRPr="00B775DE">
        <w:rPr>
          <w:rFonts w:ascii="Arial" w:hAnsi="Arial"/>
          <w:b/>
          <w:kern w:val="0"/>
          <w:sz w:val="20"/>
        </w:rPr>
        <w:tab/>
        <w:t xml:space="preserve"> člen</w:t>
      </w:r>
    </w:p>
    <w:p w14:paraId="670C4EA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 xml:space="preserve">(koncesionarjev pravni monopol) </w:t>
      </w:r>
    </w:p>
    <w:p w14:paraId="5E32648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E46DB7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ima na območju izvajanja gospodarske javne službe, za katero ima pridobljeno koncesijo, izključno pravico opravljati storitve, ki so predmet gospodarske javne službe.</w:t>
      </w:r>
    </w:p>
    <w:p w14:paraId="0F5F4BD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5EC38A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 Storitve iz prejšnjega odstavka koncesionar opravlja v svojem imenu in za svoj račun.</w:t>
      </w:r>
    </w:p>
    <w:p w14:paraId="6245A96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5805BE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38.</w:t>
      </w:r>
      <w:r w:rsidRPr="00B775DE">
        <w:rPr>
          <w:rFonts w:ascii="Arial" w:hAnsi="Arial"/>
          <w:b/>
          <w:kern w:val="0"/>
          <w:sz w:val="20"/>
        </w:rPr>
        <w:tab/>
        <w:t xml:space="preserve"> člen</w:t>
      </w:r>
    </w:p>
    <w:p w14:paraId="4852D9C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(razmerje med koncesijsko pogodbo in koncesijskim aktom)</w:t>
      </w:r>
    </w:p>
    <w:p w14:paraId="2D7982D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99DE40D" w14:textId="77777777" w:rsidR="00E65191" w:rsidRPr="00B775DE" w:rsidRDefault="00FD3717" w:rsidP="00E65191">
      <w:pPr>
        <w:tabs>
          <w:tab w:val="left" w:pos="708"/>
        </w:tabs>
        <w:spacing w:before="40" w:after="40" w:line="240" w:lineRule="auto"/>
        <w:jc w:val="both"/>
        <w:rPr>
          <w:rFonts w:ascii="Arial" w:eastAsia="Times New Roman" w:hAnsi="Arial" w:cs="Times New Roman"/>
          <w:kern w:val="0"/>
          <w:sz w:val="20"/>
          <w:szCs w:val="24"/>
        </w:rPr>
      </w:pPr>
      <w:r>
        <w:rPr>
          <w:rFonts w:ascii="Arial" w:eastAsia="Times New Roman" w:hAnsi="Arial" w:cs="Times New Roman"/>
          <w:kern w:val="0"/>
          <w:sz w:val="20"/>
          <w:szCs w:val="24"/>
        </w:rPr>
        <w:t xml:space="preserve">(1) </w:t>
      </w:r>
      <w:r w:rsidR="00E65191" w:rsidRPr="00B775DE">
        <w:rPr>
          <w:rFonts w:ascii="Arial" w:eastAsia="Times New Roman" w:hAnsi="Arial" w:cs="Times New Roman"/>
          <w:kern w:val="0"/>
          <w:sz w:val="20"/>
          <w:szCs w:val="24"/>
        </w:rPr>
        <w:t xml:space="preserve">V primeru neskladja med koncesijskim aktom in koncesijsko pogodbo velja koncesijski akt. </w:t>
      </w:r>
      <w:r>
        <w:rPr>
          <w:rFonts w:ascii="Arial" w:eastAsia="Times New Roman" w:hAnsi="Arial" w:cs="Times New Roman"/>
          <w:kern w:val="0"/>
          <w:sz w:val="20"/>
          <w:szCs w:val="24"/>
        </w:rPr>
        <w:t xml:space="preserve">(2) </w:t>
      </w:r>
      <w:r w:rsidR="00E65191" w:rsidRPr="00B775DE">
        <w:rPr>
          <w:rFonts w:ascii="Arial" w:eastAsia="Times New Roman" w:hAnsi="Arial" w:cs="Times New Roman"/>
          <w:kern w:val="0"/>
          <w:sz w:val="20"/>
          <w:szCs w:val="24"/>
        </w:rPr>
        <w:t>Koncesijska pogodba, ki je v nasprotju s predpisi, ki urejajo koncesijske pogodbe ali to uredbo, je v tem delu nična.</w:t>
      </w:r>
    </w:p>
    <w:p w14:paraId="29428E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95085E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39.</w:t>
      </w:r>
      <w:r w:rsidRPr="00B775DE">
        <w:rPr>
          <w:rFonts w:ascii="Arial" w:hAnsi="Arial"/>
          <w:b/>
          <w:kern w:val="0"/>
          <w:sz w:val="20"/>
        </w:rPr>
        <w:tab/>
        <w:t xml:space="preserve"> člen</w:t>
      </w:r>
    </w:p>
    <w:p w14:paraId="212EC2F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(sprememba koncesijskega akta po sklenitvi koncesijske pogodbe)</w:t>
      </w:r>
    </w:p>
    <w:p w14:paraId="19F97C7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132947D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Po sklenitvi koncesijske pogodbe lahko koncedent spremeni koncesijski akt, če je treba v javnem interesu spremeniti način in pogoje izvajanja koncesije ali izvesti druge ukrepe v javnem interesu ali zaradi sprememb količin gorljivih odpadkov, ki nastajajo na območju Republike Slovenije, vse v skladu s predpisi, ki urejajo področje podeljevanja koncesij. Spremembe koncesijskega akta so v tem primeru lahko podlaga za spremembo koncesijske pogodbe.</w:t>
      </w:r>
    </w:p>
    <w:p w14:paraId="31B6A03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62CF09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40.</w:t>
      </w:r>
      <w:r w:rsidRPr="00B775DE">
        <w:rPr>
          <w:rFonts w:ascii="Arial" w:hAnsi="Arial"/>
          <w:b/>
          <w:kern w:val="0"/>
          <w:sz w:val="20"/>
        </w:rPr>
        <w:tab/>
        <w:t xml:space="preserve"> člen</w:t>
      </w:r>
    </w:p>
    <w:p w14:paraId="45159FF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(koncesijsko obdobje)</w:t>
      </w:r>
    </w:p>
    <w:p w14:paraId="69A60CB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24371D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Koncesijsko obdobje začne teči z dnem začetka veljavnosti koncesijske pogodbe.</w:t>
      </w:r>
    </w:p>
    <w:p w14:paraId="10744F3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9104E6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 koncesijsko obdobje se ne šteje čas, ko zaradi višje sile ali razlogov na strani koncedenta koncesionar ne more opravljati dejavnosti gospodarske javne službe.</w:t>
      </w:r>
    </w:p>
    <w:p w14:paraId="619C48DD"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7.</w:t>
      </w:r>
      <w:r w:rsidRPr="00B775DE">
        <w:rPr>
          <w:rFonts w:ascii="Arial" w:eastAsia="Times New Roman" w:hAnsi="Arial" w:cs="Times New Roman"/>
          <w:kern w:val="0"/>
          <w:sz w:val="20"/>
        </w:rPr>
        <w:tab/>
        <w:t>Razmerja koncesionarja do uporabnikov gospodarske javne službe in do koncedenta</w:t>
      </w:r>
    </w:p>
    <w:p w14:paraId="43A42DC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C7C65C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41.</w:t>
      </w:r>
      <w:r w:rsidRPr="00B775DE">
        <w:rPr>
          <w:rFonts w:ascii="Arial" w:hAnsi="Arial"/>
          <w:b/>
          <w:kern w:val="0"/>
          <w:sz w:val="20"/>
        </w:rPr>
        <w:tab/>
        <w:t xml:space="preserve"> člen</w:t>
      </w:r>
    </w:p>
    <w:p w14:paraId="1B58AE1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(izvajanje dejavnosti gospodarske javne službe)</w:t>
      </w:r>
    </w:p>
    <w:p w14:paraId="341BE12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C9885F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je dolžan izvajati dejavnost gospodarske javne službe tako, kot je določeno v predpisih, ki urejajo izvajanje javnih služb varstva okolja, v zakonu, ki ureja nekatere koncesijske pogodbe</w:t>
      </w:r>
      <w:r w:rsidR="00FD3717">
        <w:rPr>
          <w:rFonts w:ascii="Arial" w:eastAsia="Times New Roman" w:hAnsi="Arial" w:cs="Times New Roman"/>
          <w:kern w:val="0"/>
          <w:sz w:val="20"/>
          <w:szCs w:val="24"/>
        </w:rPr>
        <w:t>,</w:t>
      </w:r>
      <w:r w:rsidRPr="00B775DE">
        <w:rPr>
          <w:rFonts w:ascii="Arial" w:eastAsia="Times New Roman" w:hAnsi="Arial" w:cs="Times New Roman"/>
          <w:kern w:val="0"/>
          <w:sz w:val="20"/>
          <w:szCs w:val="24"/>
        </w:rPr>
        <w:t xml:space="preserve"> in s koncesijsko pogodbo. </w:t>
      </w:r>
    </w:p>
    <w:p w14:paraId="7258C39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254C77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Koncesionar nosi vse stroške v zvezi z izvajanjem gospodarske javne službe.</w:t>
      </w:r>
    </w:p>
    <w:p w14:paraId="1975A01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08C37A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Koncesionar mora izvajati gospodarske javno službo s svojimi kadrovskimi, finančnimi in tehničnimi zmogljivostmi redno in nemoteno ves čas veljavnosti koncesijske pogodbe.</w:t>
      </w:r>
    </w:p>
    <w:p w14:paraId="2E3ECCB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A406F4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Koncesionar mora zagotoviti izvajanje gospodarske javne službe v polnem obsegu tudi v primeru stavke pri njem zaposlenih delavcev. </w:t>
      </w:r>
    </w:p>
    <w:p w14:paraId="54F9FF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5BBD85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Če koncesionar po preteku sedmih dni od začetka stavke ne more zagotoviti izvajanja gospodarske javne službe, koncedent odloči, da:</w:t>
      </w:r>
    </w:p>
    <w:p w14:paraId="62676A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za njegove uporabnike storitev gospodarske javne službe opravlja te storitve drug izvajalec javne službe in o tem obvesti uporabnike oziroma</w:t>
      </w:r>
    </w:p>
    <w:p w14:paraId="34651C7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mora koncesionar predati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xml:space="preserve"> za čas stavke na voljo opremo, objekte, naprave in vozila za izvajanje gospodarske javne službe za plačilo za njihovo uporabo v skladu s koncesijsko pogodbo.</w:t>
      </w:r>
    </w:p>
    <w:p w14:paraId="260269B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59F1CF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42.</w:t>
      </w:r>
      <w:r w:rsidRPr="00B775DE">
        <w:rPr>
          <w:rFonts w:ascii="Arial" w:hAnsi="Arial"/>
          <w:b/>
          <w:kern w:val="0"/>
          <w:sz w:val="20"/>
        </w:rPr>
        <w:tab/>
        <w:t xml:space="preserve"> člen</w:t>
      </w:r>
    </w:p>
    <w:p w14:paraId="042767D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(obveščanje koncedenta)</w:t>
      </w:r>
    </w:p>
    <w:p w14:paraId="76C7150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E7E34F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Koncesionar mora pisno obveščati koncedenta o vseh pomembnih dogodkih in okoliščinah, ki bi lahko vplivali na izvajanje koncesije, kot so: </w:t>
      </w:r>
    </w:p>
    <w:p w14:paraId="5AC29A9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postopki poravnave, arbitražni postopki ali sodni spori koncesionarja v zvezi s koncesijo; </w:t>
      </w:r>
    </w:p>
    <w:p w14:paraId="76B212F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stavke in drugi dogodki, zaradi katerih pride do motenj v izvajanju koncesije; </w:t>
      </w:r>
    </w:p>
    <w:p w14:paraId="288E3B5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poškodbe infrastrukture, ki onemogočajo izvajanje koncesije; </w:t>
      </w:r>
    </w:p>
    <w:p w14:paraId="73882A1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4. vsi primeri višje sile.</w:t>
      </w:r>
    </w:p>
    <w:p w14:paraId="49C37CE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6B9AE3B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43.</w:t>
      </w:r>
      <w:r w:rsidRPr="00B775DE">
        <w:rPr>
          <w:rFonts w:ascii="Arial" w:hAnsi="Arial"/>
          <w:b/>
          <w:kern w:val="0"/>
          <w:sz w:val="20"/>
        </w:rPr>
        <w:tab/>
        <w:t xml:space="preserve"> člen</w:t>
      </w:r>
    </w:p>
    <w:p w14:paraId="301E8F6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(odgovornost koncesionarja)</w:t>
      </w:r>
    </w:p>
    <w:p w14:paraId="1F6FB3E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1B54ED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Za izvajanje koncesije v skladu s predpisi, ki urejajo izvajanje javnih služb varstva okolja in zakonom, ki ureja nekatere koncesijske pogodbe, je odgovoren koncesionar.</w:t>
      </w:r>
    </w:p>
    <w:p w14:paraId="2415C5B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24DC7D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Koncesionar je odgovoren za vso škodo, ki jo pri opravljanju oziroma izvajanju ali v zvezi z izvajanjem koncesije povzročijo pri njem zaposleni delavci ali pogodbeni (pod)izvajalci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uporabnikom ali tretjim osebam. Koncedent za to škodo ne odgovarja.</w:t>
      </w:r>
    </w:p>
    <w:p w14:paraId="2CF8EB0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45C8C7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Koncesionar je hkrati s sklenitvijo koncesijske pogodbe dolžan za zavarovanje splošne civilne odgovornosti z zavarovalnico skleniti zavarovalno pogodbo za škodo z najnižjo višino enotne zavarovalne vsote, ki bo določena s koncesijsko pogodbo – zavarovanje dejavnosti. Zavarovalna pogodba mora vsebovati klavzulo ali drugo dokazilo o vinkulaciji zavarovalne police v korist koncedenta.</w:t>
      </w:r>
    </w:p>
    <w:p w14:paraId="4D85517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E9286A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44.</w:t>
      </w:r>
      <w:r w:rsidRPr="00B775DE">
        <w:rPr>
          <w:rFonts w:ascii="Arial" w:hAnsi="Arial"/>
          <w:b/>
          <w:kern w:val="0"/>
          <w:sz w:val="20"/>
        </w:rPr>
        <w:tab/>
        <w:t xml:space="preserve"> člen</w:t>
      </w:r>
    </w:p>
    <w:p w14:paraId="2644F21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(dolžnosti in pravice koncedenta)</w:t>
      </w:r>
    </w:p>
    <w:p w14:paraId="3E08170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76823A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Dolžnosti koncedenta so zlasti: </w:t>
      </w:r>
    </w:p>
    <w:p w14:paraId="512BF19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1. zagotavljanje pogojev za izvajanje gospodarske javne službe tako, kot je določeno v predpisih ki urejajo izvajanje javnih služb varstva okolja, v predpisih, ki urejajo koncesije, tej uredbi, s koncesijsko pogodbo in v drugih zavezujočih aktih in predpisih.</w:t>
      </w:r>
    </w:p>
    <w:p w14:paraId="1DE1063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ažurno pisno obveščanje koncesionarja o morebitnih ugovorih oziroma pritožbah uporabnikov. </w:t>
      </w:r>
    </w:p>
    <w:p w14:paraId="5CB8B2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492203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Pravice koncedenta so zlasti: </w:t>
      </w:r>
    </w:p>
    <w:p w14:paraId="64EAB2D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nadzor nad izvajanjem gospodarske javne službe</w:t>
      </w:r>
      <w:r w:rsidR="00B4587D">
        <w:rPr>
          <w:rFonts w:ascii="Arial" w:eastAsia="Times New Roman" w:hAnsi="Arial" w:cs="Times New Roman"/>
          <w:kern w:val="0"/>
          <w:sz w:val="20"/>
          <w:szCs w:val="24"/>
        </w:rPr>
        <w:t xml:space="preserve"> iz </w:t>
      </w:r>
      <w:r w:rsidR="004A21FE">
        <w:rPr>
          <w:rFonts w:ascii="Arial" w:eastAsia="Times New Roman" w:hAnsi="Arial" w:cs="Times New Roman"/>
          <w:kern w:val="0"/>
          <w:sz w:val="20"/>
          <w:szCs w:val="24"/>
        </w:rPr>
        <w:t>10. poglavja</w:t>
      </w:r>
      <w:r w:rsidR="00B4587D">
        <w:rPr>
          <w:rFonts w:ascii="Arial" w:eastAsia="Times New Roman" w:hAnsi="Arial" w:cs="Times New Roman"/>
          <w:kern w:val="0"/>
          <w:sz w:val="20"/>
          <w:szCs w:val="24"/>
        </w:rPr>
        <w:t xml:space="preserve"> te uredbe</w:t>
      </w:r>
      <w:r w:rsidRPr="00B775DE">
        <w:rPr>
          <w:rFonts w:ascii="Arial" w:eastAsia="Times New Roman" w:hAnsi="Arial" w:cs="Times New Roman"/>
          <w:kern w:val="0"/>
          <w:sz w:val="20"/>
          <w:szCs w:val="24"/>
        </w:rPr>
        <w:t xml:space="preserve">; </w:t>
      </w:r>
    </w:p>
    <w:p w14:paraId="1ADD0D8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druge pravice, določene predpisih ki urejajo izvajanje javnih služb varstva okolja, v predpisih, ki urejajo koncesije, tej uredbi in s koncesijsko pogodbo. </w:t>
      </w:r>
    </w:p>
    <w:p w14:paraId="2D5B9DF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EC83552"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45.</w:t>
      </w:r>
      <w:r w:rsidRPr="00B775DE">
        <w:rPr>
          <w:rFonts w:ascii="Arial" w:hAnsi="Arial"/>
          <w:b/>
          <w:kern w:val="0"/>
          <w:sz w:val="20"/>
        </w:rPr>
        <w:tab/>
        <w:t xml:space="preserve"> člen</w:t>
      </w:r>
    </w:p>
    <w:p w14:paraId="51B258C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(pravice uporabnikov gospodarske javne službe)</w:t>
      </w:r>
    </w:p>
    <w:p w14:paraId="42051A9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58DA118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Uporabniki </w:t>
      </w:r>
      <w:bookmarkStart w:id="17" w:name="_Hlk187315500"/>
      <w:r w:rsidRPr="00B775DE">
        <w:rPr>
          <w:rFonts w:ascii="Arial" w:eastAsia="Times New Roman" w:hAnsi="Arial" w:cs="Times New Roman"/>
          <w:kern w:val="0"/>
          <w:sz w:val="20"/>
          <w:szCs w:val="24"/>
        </w:rPr>
        <w:t xml:space="preserve">gospodarske javne službe </w:t>
      </w:r>
      <w:bookmarkEnd w:id="17"/>
      <w:r w:rsidRPr="00B775DE">
        <w:rPr>
          <w:rFonts w:ascii="Arial" w:eastAsia="Times New Roman" w:hAnsi="Arial" w:cs="Times New Roman"/>
          <w:kern w:val="0"/>
          <w:sz w:val="20"/>
          <w:szCs w:val="24"/>
        </w:rPr>
        <w:t xml:space="preserve">imajo v razmerju do koncesionarja zlasti pravico do: </w:t>
      </w:r>
    </w:p>
    <w:p w14:paraId="40E07AB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trajnega, rednega in nemotenega zagotavljanja storitev gospodarske javne službe; </w:t>
      </w:r>
    </w:p>
    <w:p w14:paraId="7ED050D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enake obravnave glede kakovosti in dostopnosti storitev gospodarske javne službe; </w:t>
      </w:r>
    </w:p>
    <w:p w14:paraId="18BA0ED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3. uporabljanja storitve gospodarske javne službe pod pogoji, določenimi v predpisih ki urejajo izvajanje javnih služb varstva okolja.</w:t>
      </w:r>
    </w:p>
    <w:p w14:paraId="34D81391"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szCs w:val="24"/>
        </w:rPr>
        <w:t>8.</w:t>
      </w:r>
      <w:r w:rsidRPr="00B775DE">
        <w:rPr>
          <w:rFonts w:ascii="Arial" w:eastAsia="Times New Roman" w:hAnsi="Arial" w:cs="Times New Roman"/>
          <w:kern w:val="0"/>
          <w:sz w:val="20"/>
          <w:szCs w:val="24"/>
        </w:rPr>
        <w:tab/>
      </w:r>
      <w:r w:rsidRPr="00B775DE">
        <w:rPr>
          <w:rFonts w:ascii="Arial" w:eastAsia="Times New Roman" w:hAnsi="Arial" w:cs="Times New Roman"/>
          <w:kern w:val="0"/>
          <w:sz w:val="20"/>
        </w:rPr>
        <w:t xml:space="preserve"> Obveznosti koncesionarja v zvezi z opravljanjem druge dejavnosti in obveščanjem javnosti</w:t>
      </w:r>
    </w:p>
    <w:p w14:paraId="607363C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5C7119F"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46.</w:t>
      </w:r>
      <w:r w:rsidRPr="00B775DE">
        <w:rPr>
          <w:rFonts w:ascii="Arial" w:hAnsi="Arial"/>
          <w:b/>
          <w:kern w:val="0"/>
          <w:sz w:val="20"/>
        </w:rPr>
        <w:tab/>
        <w:t xml:space="preserve"> člen</w:t>
      </w:r>
    </w:p>
    <w:p w14:paraId="00FBDC2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w:t>
      </w:r>
      <w:r w:rsidRPr="00B775DE">
        <w:rPr>
          <w:rFonts w:ascii="Arial" w:eastAsia="Times New Roman" w:hAnsi="Arial" w:cs="Times New Roman"/>
          <w:b/>
          <w:kern w:val="0"/>
          <w:sz w:val="20"/>
        </w:rPr>
        <w:t>opravljanje druge dejavnosti</w:t>
      </w:r>
      <w:r w:rsidRPr="00B775DE">
        <w:rPr>
          <w:rFonts w:ascii="Arial" w:hAnsi="Arial"/>
          <w:b/>
          <w:kern w:val="0"/>
          <w:sz w:val="20"/>
        </w:rPr>
        <w:t>)</w:t>
      </w:r>
    </w:p>
    <w:p w14:paraId="593A74E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2A3917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lahko hkrati z izvajanjem gospodarske javne službe opravlja tudi drugo dejavnost, za katero je registriran, pod pogoji iz 47. člena te uredbe, če to ne vpliva na izvajanje gospodarske javne službe.</w:t>
      </w:r>
    </w:p>
    <w:p w14:paraId="4811705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Koncesionar ne sme opravljati dejavnosti, ki bi bila v nasprotju z namenom ali načinom izvajanja gospodarske javne službe.</w:t>
      </w:r>
    </w:p>
    <w:p w14:paraId="600F336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23333E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15A338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47.</w:t>
      </w:r>
      <w:r w:rsidRPr="00B775DE">
        <w:rPr>
          <w:rFonts w:ascii="Arial" w:hAnsi="Arial"/>
          <w:b/>
          <w:kern w:val="0"/>
          <w:sz w:val="20"/>
        </w:rPr>
        <w:tab/>
        <w:t xml:space="preserve"> člen</w:t>
      </w:r>
    </w:p>
    <w:p w14:paraId="3C7888E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w:t>
      </w:r>
      <w:r w:rsidRPr="00B775DE">
        <w:rPr>
          <w:rFonts w:ascii="Arial" w:eastAsia="Times New Roman" w:hAnsi="Arial" w:cs="Times New Roman"/>
          <w:b/>
          <w:kern w:val="0"/>
          <w:sz w:val="20"/>
        </w:rPr>
        <w:t>vodenje ločenih izkazov v zvezi z opravljanjem druge dejavnosti</w:t>
      </w:r>
      <w:r w:rsidRPr="00B775DE">
        <w:rPr>
          <w:rFonts w:ascii="Arial" w:hAnsi="Arial"/>
          <w:b/>
          <w:kern w:val="0"/>
          <w:sz w:val="20"/>
        </w:rPr>
        <w:t>)</w:t>
      </w:r>
    </w:p>
    <w:p w14:paraId="772805B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5701F7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Če koncesionar izvaja tudi drugo dejavnost iz prejšnjega člena, mora za izvajanje gospodarske javne službe voditi ločeno računovodstvo in zagotoviti ločeno spremljanje stroškov izvajanja gospodarske javne službe in stroškov druge dejavnosti, ki jo izvaja.</w:t>
      </w:r>
    </w:p>
    <w:p w14:paraId="4974C85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0377C5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Za vodenje ločenih računovodskih evidenc iz prejšnjega odstavka se uporabljajo ista sodila za vsako poslovno leto. Sodila, ki so namenjena razporejanju posrednih stroškov po dejavnostih, morajo temeljiti na računovodskih načelih. Sodila, v skladu s katerimi so na posamezne gospodarske javne službe in druge dejavnosti razporejena sredstva in obveznosti do njihovih virov se prikažejo posebej.</w:t>
      </w:r>
    </w:p>
    <w:p w14:paraId="0BA9E64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FF509D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Sodila za razporejanje posrednih stroškov morajo temeljiti na aktivnostih, ki te stroške povzročajo. Če teh aktivnosti ni mogoče določiti, se uporabijo sodila delitve posrednih stroškov na podlagi deleža neposrednih stroškov.</w:t>
      </w:r>
    </w:p>
    <w:p w14:paraId="468840B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427C0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Sodila in njihovo spremembo sprejme organ nadzora koncesionarja na predlog organa vodenja koncesionarja.</w:t>
      </w:r>
    </w:p>
    <w:p w14:paraId="340105C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646770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Sodila in pravilnost njihove uporabe ob letni reviziji računovodskih izkazov preveri pooblaščeni revizor in pri prvi preveritvi ali spremembi sodil ali njihove uporabe izda na podlagi Mednarodnega </w:t>
      </w:r>
      <w:r w:rsidRPr="00B775DE">
        <w:rPr>
          <w:rFonts w:ascii="Arial" w:eastAsia="Times New Roman" w:hAnsi="Arial" w:cs="Times New Roman"/>
          <w:kern w:val="0"/>
          <w:sz w:val="20"/>
          <w:szCs w:val="24"/>
        </w:rPr>
        <w:lastRenderedPageBreak/>
        <w:t xml:space="preserve">standarda sorodnih storitev 4400 (Posli opravljanja dogovorjenih postopkov) pisno poročilo o njihovi ustreznosti. Če revizor ugotovi, da organizacija v povezavi s sodili ni upoštevala zakonov in drugih predpisov, oceni učinek neupoštevanja na računovodske izkaze, in če je učinek pomemben, izrazi v skladu z MSR 705 (Prilagoditve mnenja v poročilu neodvisnega revizorja) v svojem poročilu o računovodskih izkazih mnenje s pridržki ali odklonilno mnenje. Če revizor v povezavi s sodili nima pripomb k upoštevanju predpisov, doda v revizorjevo poročilo poseben odstavek o poudarjanju zadeve, ki vsebuje ustrezno pojasnilo. </w:t>
      </w:r>
    </w:p>
    <w:p w14:paraId="7851576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39301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Če koncesionar ni zavezan k obvezni reviziji računovodskih izkazov, revizor ustreznost sodil in pravilnost njihove uporabe preveri na podlagi pogodbe najpozneje do 30. aprila tekočega leta za preteklo leto.</w:t>
      </w:r>
    </w:p>
    <w:p w14:paraId="199B581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78E349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48.</w:t>
      </w:r>
      <w:r w:rsidRPr="00B775DE">
        <w:rPr>
          <w:rFonts w:ascii="Arial" w:hAnsi="Arial"/>
          <w:b/>
          <w:kern w:val="0"/>
          <w:sz w:val="20"/>
        </w:rPr>
        <w:tab/>
        <w:t xml:space="preserve"> člen</w:t>
      </w:r>
    </w:p>
    <w:p w14:paraId="2583F8A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(obveščanje javnosti)</w:t>
      </w:r>
    </w:p>
    <w:p w14:paraId="52E6948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72DDD16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mora na svoji spletni strani obveščati javnost o izvajanju gospodarske javne službe. Obveščanje javnosti zajema podatke o:</w:t>
      </w:r>
    </w:p>
    <w:p w14:paraId="42B7DAC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monitoringu emisij snovi v zrak in podatke glede dodatne obremenitve zunanjega zraka, če gre za obrat, za katerega je treba zagotoviti ocenjevanje kakovosti zunanjega zraka v skladu s predpisom, ki ureja emisijo snovi v zrak iz nepremičnih virov onesnaževanja, na način da so podatki tekoče objavljeni in dostopni javnosti;</w:t>
      </w:r>
    </w:p>
    <w:p w14:paraId="2251B7B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monitoringu emisij snovi in toplote v vode ali kanalizacijo in spremljanju stanja kakovosti voda, če pri obratovanju obrata nastaja odpadna industrijska voda, ki se odvaja v vode pod pogoji, zaradi katerih je to spremljanje določeno z okoljevarstvenim dovoljenjem na podlagi predpisov, ki urejajo emisijo snovi in toplote pri odvajanju odpadnih voda v vode in javno kanalizacijo;</w:t>
      </w:r>
    </w:p>
    <w:p w14:paraId="3402187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ocenjevanju hrupa, kot je določeno z okoljevarstvenim dovoljenjem na podlagi predpisov, ki urejajo mejne vrednosti kazalcev hrupa v okolju;</w:t>
      </w:r>
    </w:p>
    <w:p w14:paraId="4F71420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prevzetih količinah posamezne vrste gorljivih komunalnih odpadkov od posameznih uporabnikov gospodarske javne službe, pri čemer morajo biti podatki podani po posameznih občinah; </w:t>
      </w:r>
    </w:p>
    <w:p w14:paraId="46FFEF1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sežganih količinah posamezne vrste gorljivih komunalnih odpadkov;</w:t>
      </w:r>
    </w:p>
    <w:p w14:paraId="63846E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količini odpadkov, ki nastanejo po sežigu gorljivih komunalnih odpadkov;</w:t>
      </w:r>
    </w:p>
    <w:p w14:paraId="6A7D8AC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7. količini proizvedene toplotne energije;</w:t>
      </w:r>
    </w:p>
    <w:p w14:paraId="6D421A1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8. količini proizvedene električne energije;</w:t>
      </w:r>
    </w:p>
    <w:p w14:paraId="1BF07CE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9. načrtovanih ali nenačrtovanih izrednih zastojih pri obratovanju obrata;</w:t>
      </w:r>
    </w:p>
    <w:p w14:paraId="73F3ECB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10. drugih vsebinah, ki se določijo v koncesijski pogodbi.</w:t>
      </w:r>
    </w:p>
    <w:p w14:paraId="6FCC7FD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35256C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Vsi podatki in dokumenti iz prejšnjega odstavka morajo biti uporabnikom in javnosti dostopni na spletni strani koncesionarja še najmanj dve leti po prenehanju izvajanja gospodarske javne službe.</w:t>
      </w:r>
    </w:p>
    <w:p w14:paraId="58D7856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5F2699D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Letna poročila iz vseh monitoringov, ki so zahtevana v okoljevarstvenem dovoljenju za obratovanje obrata, se pošljejo tudi lokalni skupnosti, na območju katere se nahaja obrat.</w:t>
      </w:r>
    </w:p>
    <w:p w14:paraId="66E88E8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2B04DC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9.</w:t>
      </w:r>
      <w:r w:rsidRPr="00B775DE">
        <w:rPr>
          <w:rFonts w:ascii="Arial" w:eastAsia="Times New Roman" w:hAnsi="Arial" w:cs="Times New Roman"/>
          <w:kern w:val="0"/>
          <w:sz w:val="20"/>
          <w:szCs w:val="24"/>
        </w:rPr>
        <w:tab/>
        <w:t>Enostranski ukrepi v javnem interesu</w:t>
      </w:r>
    </w:p>
    <w:p w14:paraId="40A3728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96D6C3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49.</w:t>
      </w:r>
      <w:r w:rsidRPr="00B775DE">
        <w:rPr>
          <w:rFonts w:ascii="Arial" w:hAnsi="Arial"/>
          <w:b/>
          <w:kern w:val="0"/>
          <w:sz w:val="20"/>
        </w:rPr>
        <w:tab/>
        <w:t xml:space="preserve"> člen</w:t>
      </w:r>
    </w:p>
    <w:p w14:paraId="55DDCCF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(enostranski ukrepi koncedenta</w:t>
      </w:r>
      <w:r w:rsidR="00272BEB">
        <w:rPr>
          <w:rFonts w:ascii="Arial" w:hAnsi="Arial"/>
          <w:b/>
          <w:kern w:val="0"/>
          <w:sz w:val="20"/>
        </w:rPr>
        <w:t xml:space="preserve"> v javnem interesu</w:t>
      </w:r>
      <w:r w:rsidRPr="00B775DE">
        <w:rPr>
          <w:rFonts w:ascii="Arial" w:hAnsi="Arial"/>
          <w:b/>
          <w:kern w:val="0"/>
          <w:sz w:val="20"/>
        </w:rPr>
        <w:t>)</w:t>
      </w:r>
    </w:p>
    <w:p w14:paraId="390D7FD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5EE3F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Koncedent lahko z enostranskim ukrepom poseže v vzpostavljeno koncesijsko razmerje, ko je to nujno potrebno, da se zavaruje javni interes in doseže namen sklenjene koncesijske pogodbe ali da ob preseženi predvideni količini gorljivih sestavin, oddanih v gospodarsko javno službo, cilji recikliranja ne bodo doseženi. </w:t>
      </w:r>
    </w:p>
    <w:p w14:paraId="3018869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7EF96C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Kot enostranski ukrep iz prejšnjega odstavka lahko koncedent: </w:t>
      </w:r>
    </w:p>
    <w:p w14:paraId="7D7962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1. uvede nenapovedani nadzor nad izvajanjem koncesijske pogodbe; </w:t>
      </w:r>
    </w:p>
    <w:p w14:paraId="34B6918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določi ravnanja</w:t>
      </w:r>
      <w:r w:rsidRPr="00B775DE">
        <w:rPr>
          <w:rFonts w:ascii="Arial" w:eastAsia="Times New Roman" w:hAnsi="Arial" w:cs="Times New Roman"/>
          <w:kern w:val="0"/>
          <w:sz w:val="16"/>
          <w:szCs w:val="16"/>
        </w:rPr>
        <w:t xml:space="preserve">, </w:t>
      </w:r>
      <w:r w:rsidRPr="00B775DE">
        <w:rPr>
          <w:rFonts w:ascii="Arial" w:eastAsia="Times New Roman" w:hAnsi="Arial" w:cs="Times New Roman"/>
          <w:kern w:val="0"/>
          <w:sz w:val="20"/>
          <w:szCs w:val="24"/>
        </w:rPr>
        <w:t xml:space="preserve">ki jih mora koncesionar upoštevati. </w:t>
      </w:r>
    </w:p>
    <w:p w14:paraId="5AF91C7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1C4EA5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Ukrep koncedenta mora biti sorazmeren in ne sme čezmerno obremenjevati koncesionarja. </w:t>
      </w:r>
    </w:p>
    <w:p w14:paraId="1A5E52B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F98D54F"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10.</w:t>
      </w:r>
      <w:r w:rsidRPr="00B775DE">
        <w:rPr>
          <w:rFonts w:ascii="Arial" w:eastAsia="Times New Roman" w:hAnsi="Arial" w:cs="Times New Roman"/>
          <w:kern w:val="0"/>
          <w:sz w:val="20"/>
        </w:rPr>
        <w:tab/>
        <w:t>Poročanje in nadzor</w:t>
      </w:r>
    </w:p>
    <w:p w14:paraId="153BF77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89159D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50.</w:t>
      </w:r>
      <w:r w:rsidRPr="00B775DE">
        <w:rPr>
          <w:rFonts w:ascii="Arial" w:hAnsi="Arial"/>
          <w:b/>
          <w:kern w:val="0"/>
          <w:sz w:val="20"/>
        </w:rPr>
        <w:tab/>
        <w:t xml:space="preserve"> člen</w:t>
      </w:r>
    </w:p>
    <w:p w14:paraId="3B2F424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(vodenje evidenc)</w:t>
      </w:r>
    </w:p>
    <w:p w14:paraId="1F0E5CB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50861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 xml:space="preserve">(1) </w:t>
      </w:r>
      <w:r w:rsidRPr="00B775DE">
        <w:rPr>
          <w:rFonts w:ascii="Arial" w:eastAsia="Times New Roman" w:hAnsi="Arial" w:cs="Times New Roman"/>
          <w:kern w:val="0"/>
          <w:sz w:val="20"/>
          <w:szCs w:val="24"/>
          <w:lang w:val="pl-PL"/>
        </w:rPr>
        <w:t>Koncesionar mora koncedentu omogočiti stalni dostop do evidenc po tem členu.</w:t>
      </w:r>
    </w:p>
    <w:p w14:paraId="2DA2965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16DA8F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Koncesionar mora zagotavljati vodenje evidenc v skladu s predpisi, ki urejajo odpadke ter sežigalnice in naprave za </w:t>
      </w:r>
      <w:proofErr w:type="spellStart"/>
      <w:r w:rsidRPr="00B775DE">
        <w:rPr>
          <w:rFonts w:ascii="Arial" w:eastAsia="Times New Roman" w:hAnsi="Arial" w:cs="Times New Roman"/>
          <w:kern w:val="0"/>
          <w:sz w:val="20"/>
          <w:szCs w:val="24"/>
        </w:rPr>
        <w:t>sosežig</w:t>
      </w:r>
      <w:proofErr w:type="spellEnd"/>
      <w:r w:rsidRPr="00B775DE">
        <w:rPr>
          <w:rFonts w:ascii="Arial" w:eastAsia="Times New Roman" w:hAnsi="Arial" w:cs="Times New Roman"/>
          <w:kern w:val="0"/>
          <w:sz w:val="20"/>
          <w:szCs w:val="24"/>
        </w:rPr>
        <w:t>. Prav tako mora zagotoviti vodenje evidence o:</w:t>
      </w:r>
    </w:p>
    <w:p w14:paraId="76F8227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količini proizvedene toplote,</w:t>
      </w:r>
    </w:p>
    <w:p w14:paraId="284FDA9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količini porabljene in količini oddane toplote,</w:t>
      </w:r>
    </w:p>
    <w:p w14:paraId="1A80DFB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količini proizvedene električne energije in </w:t>
      </w:r>
    </w:p>
    <w:p w14:paraId="5D125C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količini porabljene in količini oddane električne energije.</w:t>
      </w:r>
    </w:p>
    <w:p w14:paraId="2466D9C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8BD804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Koncesionar mora podatke v evidencah iz drugega odstavka tega člena hraniti do iztekov roka hrambe v skladu s predpisi, ki urejajo delovno področje, razen če niso na podlagi zakona, ki ureja arhivsko gradivo in arhive, opredeljeni kot arhivsko gradivo.</w:t>
      </w:r>
    </w:p>
    <w:p w14:paraId="38F0287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04C7DC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51.</w:t>
      </w:r>
      <w:r w:rsidRPr="00B775DE">
        <w:rPr>
          <w:rFonts w:ascii="Arial" w:hAnsi="Arial"/>
          <w:b/>
          <w:kern w:val="0"/>
          <w:sz w:val="20"/>
        </w:rPr>
        <w:tab/>
        <w:t xml:space="preserve"> člen</w:t>
      </w:r>
    </w:p>
    <w:p w14:paraId="4181DF0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(poročanje)</w:t>
      </w:r>
    </w:p>
    <w:p w14:paraId="2E56287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A5B79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Koncesionar mora najmanj enkrat letno pripraviti skupno poročilo o izpolnjevanju obveznosti iz koncesijske pogodbe in ga posredovati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xml:space="preserve"> do </w:t>
      </w:r>
      <w:r w:rsidR="00285BDD">
        <w:rPr>
          <w:rFonts w:ascii="Arial" w:eastAsia="Times New Roman" w:hAnsi="Arial" w:cs="Times New Roman"/>
          <w:kern w:val="0"/>
          <w:sz w:val="20"/>
          <w:szCs w:val="24"/>
        </w:rPr>
        <w:t>30</w:t>
      </w:r>
      <w:r w:rsidRPr="00B775DE">
        <w:rPr>
          <w:rFonts w:ascii="Arial" w:eastAsia="Times New Roman" w:hAnsi="Arial" w:cs="Times New Roman"/>
          <w:kern w:val="0"/>
          <w:sz w:val="20"/>
          <w:szCs w:val="24"/>
        </w:rPr>
        <w:t>.</w:t>
      </w:r>
      <w:r w:rsidR="00E44FEC">
        <w:rPr>
          <w:rFonts w:ascii="Arial" w:eastAsia="Times New Roman" w:hAnsi="Arial" w:cs="Times New Roman"/>
          <w:kern w:val="0"/>
          <w:sz w:val="20"/>
          <w:szCs w:val="24"/>
        </w:rPr>
        <w:t xml:space="preserve"> </w:t>
      </w:r>
      <w:r w:rsidR="00893884">
        <w:rPr>
          <w:rFonts w:ascii="Arial" w:eastAsia="Times New Roman" w:hAnsi="Arial" w:cs="Times New Roman"/>
          <w:kern w:val="0"/>
          <w:sz w:val="20"/>
          <w:szCs w:val="24"/>
        </w:rPr>
        <w:t xml:space="preserve">6. </w:t>
      </w:r>
      <w:r w:rsidRPr="00B775DE">
        <w:rPr>
          <w:rFonts w:ascii="Arial" w:eastAsia="Times New Roman" w:hAnsi="Arial" w:cs="Times New Roman"/>
          <w:kern w:val="0"/>
          <w:sz w:val="20"/>
          <w:szCs w:val="24"/>
        </w:rPr>
        <w:t>tekočega leta za preteklo leto (v nadaljnjem besedilu: letno poročilo).</w:t>
      </w:r>
    </w:p>
    <w:p w14:paraId="624C6CC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8F5253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Letno poročilo mora obsegati vse predpisane podatke, ki se nanašajo na izvajanje koncesijske pogodbe in opravljanje gospodarske javne službe.</w:t>
      </w:r>
    </w:p>
    <w:p w14:paraId="5FA2A26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D3D0B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Koncesionar mora na zahtevo koncedenta za izvajanje 53. člena te uredbe pripraviti izredno pisno poročilo o stanju, opravljenih in potrebnih delih, potrebnih investicijah, organizacijskih ukrepih in kakovosti izvajanja prevzetih obveznosti.</w:t>
      </w:r>
    </w:p>
    <w:p w14:paraId="2A0074D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E9051C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Podrobneje se obseg in način poročanja uredita v koncesijski pogodbi.</w:t>
      </w:r>
    </w:p>
    <w:p w14:paraId="319DECB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28E6BD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52.</w:t>
      </w:r>
      <w:r w:rsidRPr="00B775DE">
        <w:rPr>
          <w:rFonts w:ascii="Arial" w:hAnsi="Arial"/>
          <w:b/>
          <w:kern w:val="0"/>
          <w:sz w:val="20"/>
        </w:rPr>
        <w:tab/>
        <w:t xml:space="preserve"> člen</w:t>
      </w:r>
    </w:p>
    <w:p w14:paraId="7CCCD92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(poročilo o poslovanju)</w:t>
      </w:r>
    </w:p>
    <w:p w14:paraId="59B354C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4FC9401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Izvajalec gospodarske javne službe mora najpozneje do 30. junija tekočega leta za preteklo poslovno leto ministrstvu poslati poročilo o poslovanju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ki vsebuje:</w:t>
      </w:r>
    </w:p>
    <w:p w14:paraId="76ADC49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35AF0A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obračunske kalkulacije polne lastne cene količinske enote poslovnega učinka izvajanja gospodarske javne službe v skladu s 17. členom te uredbe, skupaj s pisnim mnenjem revizorja iz 47. člena te uredbe in pisnim mnenjem revizorja iz petega odstavka 18. člena te uredbe,</w:t>
      </w:r>
    </w:p>
    <w:p w14:paraId="52CFFC6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obračunski izkaz uspeha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pripravljen v skladu s slovenskimi računovodskimi standardi, in</w:t>
      </w:r>
    </w:p>
    <w:p w14:paraId="101205C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obračunski izkaz stanja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pripravljen v skladu s slovenskimi računovodskimi standardi.</w:t>
      </w:r>
    </w:p>
    <w:p w14:paraId="1E749CC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AAE5C7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Izvajalec gospodarske javne službe mora najpozneje do 31. decembra tekočega leta za prihodnje poslovno leto ministrstvu poslati program o predvidenem poslovanju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ki vsebuje:</w:t>
      </w:r>
    </w:p>
    <w:p w14:paraId="0E1D746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B0872E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predračunske kalkulacije polne lastne cene količinske enote poslovnega učinka izvajanja kot je določena v 17. členu te uredbe,</w:t>
      </w:r>
    </w:p>
    <w:p w14:paraId="2E2D0B0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predračunski izkaz uspeha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pripravljen v skladu s slovenskimi računovodskimi standardi, in</w:t>
      </w:r>
    </w:p>
    <w:p w14:paraId="110D79E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predračunski izkaz stanja </w:t>
      </w:r>
      <w:proofErr w:type="spellStart"/>
      <w:r w:rsidRPr="00B775DE">
        <w:rPr>
          <w:rFonts w:ascii="Arial" w:eastAsia="Times New Roman" w:hAnsi="Arial" w:cs="Times New Roman"/>
          <w:kern w:val="0"/>
          <w:sz w:val="20"/>
          <w:szCs w:val="24"/>
        </w:rPr>
        <w:t>poslovnoizidne</w:t>
      </w:r>
      <w:proofErr w:type="spellEnd"/>
      <w:r w:rsidRPr="00B775DE">
        <w:rPr>
          <w:rFonts w:ascii="Arial" w:eastAsia="Times New Roman" w:hAnsi="Arial" w:cs="Times New Roman"/>
          <w:kern w:val="0"/>
          <w:sz w:val="20"/>
          <w:szCs w:val="24"/>
        </w:rPr>
        <w:t xml:space="preserve"> enote, pripravljen v skladu s slovenskimi računovodskimi standardi.</w:t>
      </w:r>
    </w:p>
    <w:p w14:paraId="4D09F1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193D4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Izvajalec gospodarske javne službe mora najpozneje do 30. junija tekočega leta ministrstvu poslati revidirano letno poročilo družbe, v okviru katere je </w:t>
      </w:r>
      <w:proofErr w:type="spellStart"/>
      <w:r w:rsidRPr="00B775DE">
        <w:rPr>
          <w:rFonts w:ascii="Arial" w:eastAsia="Times New Roman" w:hAnsi="Arial" w:cs="Times New Roman"/>
          <w:kern w:val="0"/>
          <w:sz w:val="20"/>
          <w:szCs w:val="24"/>
        </w:rPr>
        <w:t>poslovnoizidna</w:t>
      </w:r>
      <w:proofErr w:type="spellEnd"/>
      <w:r w:rsidRPr="00B775DE">
        <w:rPr>
          <w:rFonts w:ascii="Arial" w:eastAsia="Times New Roman" w:hAnsi="Arial" w:cs="Times New Roman"/>
          <w:kern w:val="0"/>
          <w:sz w:val="20"/>
          <w:szCs w:val="24"/>
        </w:rPr>
        <w:t xml:space="preserve"> enota, za preteklo poslovno leto.</w:t>
      </w:r>
    </w:p>
    <w:p w14:paraId="6F3D386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AA96F0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116495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F09A0D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53.</w:t>
      </w:r>
      <w:r w:rsidRPr="00B775DE">
        <w:rPr>
          <w:rFonts w:ascii="Arial" w:hAnsi="Arial"/>
          <w:b/>
          <w:kern w:val="0"/>
          <w:sz w:val="20"/>
        </w:rPr>
        <w:tab/>
        <w:t xml:space="preserve"> člen</w:t>
      </w:r>
    </w:p>
    <w:p w14:paraId="2F6B73E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(nadzor)</w:t>
      </w:r>
    </w:p>
    <w:p w14:paraId="484B2AA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6AF530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Nadzor nad izvajanjem </w:t>
      </w:r>
      <w:r w:rsidR="00836E89">
        <w:rPr>
          <w:rFonts w:ascii="Arial" w:eastAsia="Times New Roman" w:hAnsi="Arial" w:cs="Times New Roman"/>
          <w:kern w:val="0"/>
          <w:sz w:val="20"/>
          <w:szCs w:val="24"/>
        </w:rPr>
        <w:t xml:space="preserve">določb te uredbe </w:t>
      </w:r>
      <w:r w:rsidRPr="00B775DE">
        <w:rPr>
          <w:rFonts w:ascii="Arial" w:eastAsia="Times New Roman" w:hAnsi="Arial" w:cs="Times New Roman"/>
          <w:kern w:val="0"/>
          <w:sz w:val="20"/>
          <w:szCs w:val="24"/>
        </w:rPr>
        <w:t xml:space="preserve">v okviru svojih pristojnosti opravljata ministrstvo in </w:t>
      </w:r>
      <w:r w:rsidR="00836E89" w:rsidRPr="00B775DE">
        <w:rPr>
          <w:rFonts w:ascii="Arial" w:eastAsia="Times New Roman" w:hAnsi="Arial" w:cs="Times New Roman"/>
          <w:kern w:val="0"/>
          <w:sz w:val="20"/>
          <w:szCs w:val="24"/>
        </w:rPr>
        <w:t>inšpek</w:t>
      </w:r>
      <w:r w:rsidR="00836E89">
        <w:rPr>
          <w:rFonts w:ascii="Arial" w:eastAsia="Times New Roman" w:hAnsi="Arial" w:cs="Times New Roman"/>
          <w:kern w:val="0"/>
          <w:sz w:val="20"/>
          <w:szCs w:val="24"/>
        </w:rPr>
        <w:t>cija</w:t>
      </w:r>
      <w:r w:rsidRPr="00B775DE">
        <w:rPr>
          <w:rFonts w:ascii="Arial" w:eastAsia="Times New Roman" w:hAnsi="Arial" w:cs="Times New Roman"/>
          <w:kern w:val="0"/>
          <w:sz w:val="20"/>
          <w:szCs w:val="24"/>
        </w:rPr>
        <w:t xml:space="preserve">, </w:t>
      </w:r>
      <w:r w:rsidR="00836E89" w:rsidRPr="00B775DE">
        <w:rPr>
          <w:rFonts w:ascii="Arial" w:eastAsia="Times New Roman" w:hAnsi="Arial" w:cs="Times New Roman"/>
          <w:kern w:val="0"/>
          <w:sz w:val="20"/>
          <w:szCs w:val="24"/>
        </w:rPr>
        <w:t>pristoj</w:t>
      </w:r>
      <w:r w:rsidR="00836E89">
        <w:rPr>
          <w:rFonts w:ascii="Arial" w:eastAsia="Times New Roman" w:hAnsi="Arial" w:cs="Times New Roman"/>
          <w:kern w:val="0"/>
          <w:sz w:val="20"/>
          <w:szCs w:val="24"/>
        </w:rPr>
        <w:t>na</w:t>
      </w:r>
      <w:r w:rsidR="00836E89"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 xml:space="preserve">za okolje. </w:t>
      </w:r>
    </w:p>
    <w:p w14:paraId="0F112D0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0F843B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 Ministrstvo ima pravico neposredno pri koncesionarju nadzirati izvajanje gospodarske javne službe in drugih obveznosti koncesionarja, določenih s koncesijsko pogodbo. Nadzor po tem odstavku opravlja oseba, ki jo pooblasti minister, pristojen za odpadke (v nadaljnjem besedilu: pooblaščena oseba).</w:t>
      </w:r>
    </w:p>
    <w:p w14:paraId="6F49F6A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89441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(3) Pristojnosti pooblaščene osebe v postopku nadzora nad zakonitostjo ter strokovnega in finančnega nadzora ne posegajo v pristojnosti drugih organov.</w:t>
      </w:r>
    </w:p>
    <w:p w14:paraId="4405AF9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92D5AF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(4) Koncesionar mora pooblaščeni osebi omogočiti nadzor, vstop v svoje poslovne prostore in vpogled v dokumentacijo, zbirke podatkov ter dati zahtevane podatke in pojasnila.</w:t>
      </w:r>
    </w:p>
    <w:p w14:paraId="4C088BC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EE7326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 Nadzor je lahko napovedan ali nenapovedan.</w:t>
      </w:r>
    </w:p>
    <w:p w14:paraId="06855C7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539A40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(6) Napovedani nadzor se opravi s poprejšnjo napovedjo, praviloma najmanj 15 dni prej, preden se opravi. Nadzor mora potekati tako, da ne ovira opravljanja redne dejavnosti koncesionarja in tretjih oseb, praviloma le v poslovnem času koncesionarja. Pooblaščena oseba se izkaže s pooblastilom ministra, pristojnega za odpadke.</w:t>
      </w:r>
    </w:p>
    <w:p w14:paraId="4F56E6C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3E1382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(7) Nenapovedani nadzor se opravi brez poprejšnje napovedi in na način, kot to določa prejšnji odstavek.</w:t>
      </w:r>
    </w:p>
    <w:p w14:paraId="0233859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D9984E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(8) O opravljenem nadzoru se izdela zapisnik, ki ga podpišeta predstavnika koncesionarja in pooblaščena oseba.</w:t>
      </w:r>
    </w:p>
    <w:p w14:paraId="558CFDA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CEB7E5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15B339E"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11.</w:t>
      </w:r>
      <w:r w:rsidRPr="00B775DE">
        <w:rPr>
          <w:rFonts w:ascii="Arial" w:eastAsia="Times New Roman" w:hAnsi="Arial" w:cs="Times New Roman"/>
          <w:kern w:val="0"/>
          <w:sz w:val="20"/>
        </w:rPr>
        <w:tab/>
        <w:t>Prenos koncesijskega razmerja</w:t>
      </w:r>
    </w:p>
    <w:p w14:paraId="72D7DD9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E5D7FC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54.</w:t>
      </w:r>
      <w:r w:rsidRPr="00B775DE">
        <w:rPr>
          <w:rFonts w:ascii="Arial" w:hAnsi="Arial"/>
          <w:b/>
          <w:kern w:val="0"/>
          <w:sz w:val="20"/>
        </w:rPr>
        <w:tab/>
        <w:t xml:space="preserve"> člen</w:t>
      </w:r>
    </w:p>
    <w:p w14:paraId="43FB50C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(prenos koncesije)</w:t>
      </w:r>
    </w:p>
    <w:p w14:paraId="1B57B71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F16E4E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lahko prenese izvajanje gospodarske javne službe na drugo osebo samo s predhodnim dovoljenjem koncedenta.</w:t>
      </w:r>
    </w:p>
    <w:p w14:paraId="7C58A16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F34AF5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Koncedent lahko v celoti ali delno prenese izvajanje gospodarske javne službe samo v primerih, ki so določeni s to uredbo.</w:t>
      </w:r>
    </w:p>
    <w:p w14:paraId="53370B4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1B93E1A"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12.</w:t>
      </w:r>
      <w:r w:rsidRPr="00B775DE">
        <w:rPr>
          <w:rFonts w:ascii="Arial" w:eastAsia="Times New Roman" w:hAnsi="Arial" w:cs="Times New Roman"/>
          <w:kern w:val="0"/>
          <w:sz w:val="20"/>
        </w:rPr>
        <w:tab/>
        <w:t>Prenehanje koncesijskega razmerja</w:t>
      </w:r>
    </w:p>
    <w:p w14:paraId="3A90169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4C003C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55.</w:t>
      </w:r>
      <w:r w:rsidRPr="00B775DE">
        <w:rPr>
          <w:rFonts w:ascii="Arial" w:hAnsi="Arial"/>
          <w:b/>
          <w:kern w:val="0"/>
          <w:sz w:val="20"/>
        </w:rPr>
        <w:tab/>
        <w:t xml:space="preserve"> člen</w:t>
      </w:r>
    </w:p>
    <w:p w14:paraId="155D3D5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(prenehanje koncesije)</w:t>
      </w:r>
    </w:p>
    <w:p w14:paraId="3505E80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EA21BD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Koncesijsko razmerje preneha:</w:t>
      </w:r>
    </w:p>
    <w:p w14:paraId="6C13111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 s prenehanjem koncesijske pogodbe,</w:t>
      </w:r>
    </w:p>
    <w:p w14:paraId="3284C26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 s prenehanjem koncesionarja, razen v primeru univerzalnega pravnega nasledstva,</w:t>
      </w:r>
    </w:p>
    <w:p w14:paraId="2A23CCA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3. z odkupom koncesije.</w:t>
      </w:r>
    </w:p>
    <w:p w14:paraId="3A6F029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FC2AE6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56.</w:t>
      </w:r>
      <w:r w:rsidRPr="00B775DE">
        <w:rPr>
          <w:rFonts w:ascii="Arial" w:hAnsi="Arial"/>
          <w:b/>
          <w:kern w:val="0"/>
          <w:sz w:val="20"/>
        </w:rPr>
        <w:tab/>
        <w:t xml:space="preserve"> člen</w:t>
      </w:r>
    </w:p>
    <w:p w14:paraId="7AAA4A1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(prenehanje koncesijske pogodbe)</w:t>
      </w:r>
    </w:p>
    <w:p w14:paraId="71E91A9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6ACE7C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Koncesijska pogodba preneha:</w:t>
      </w:r>
    </w:p>
    <w:p w14:paraId="02453CB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po preteku časa, za katerega je bila sklenjena,</w:t>
      </w:r>
    </w:p>
    <w:p w14:paraId="3537673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z enostranskim razdrtjem,</w:t>
      </w:r>
    </w:p>
    <w:p w14:paraId="297F72F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z odstopom od koncesijske pogodbe,</w:t>
      </w:r>
    </w:p>
    <w:p w14:paraId="196936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s sporazumno razvezo.</w:t>
      </w:r>
    </w:p>
    <w:p w14:paraId="7458153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2336B2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Razlogi in pogoji za odpoved in razdrtje koncesijske pogodbe ter druge medsebojne pravice in obveznosti ob odpovedi oziroma razdrtju te pogodbe se določijo v koncesijski pogodbi.</w:t>
      </w:r>
    </w:p>
    <w:p w14:paraId="39A26E3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76C077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667D40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57.</w:t>
      </w:r>
      <w:r w:rsidRPr="00B775DE">
        <w:rPr>
          <w:rFonts w:ascii="Arial" w:hAnsi="Arial"/>
          <w:b/>
          <w:kern w:val="0"/>
          <w:sz w:val="20"/>
        </w:rPr>
        <w:tab/>
        <w:t xml:space="preserve"> člen</w:t>
      </w:r>
    </w:p>
    <w:p w14:paraId="083EAC7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(potek roka koncesije)</w:t>
      </w:r>
    </w:p>
    <w:p w14:paraId="676A746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7A001E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Koncesijska pogodba preneha s pretekom časa, za katerega je bila sklenjena.</w:t>
      </w:r>
    </w:p>
    <w:p w14:paraId="719F369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FD54B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58.</w:t>
      </w:r>
      <w:r w:rsidRPr="00B775DE">
        <w:rPr>
          <w:rFonts w:ascii="Arial" w:hAnsi="Arial"/>
          <w:b/>
          <w:kern w:val="0"/>
          <w:sz w:val="20"/>
        </w:rPr>
        <w:tab/>
        <w:t xml:space="preserve"> člen</w:t>
      </w:r>
    </w:p>
    <w:p w14:paraId="28A688B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(razdrtje koncesijske pogodbe)</w:t>
      </w:r>
    </w:p>
    <w:p w14:paraId="17D8288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A979E8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Koncesijska pogodba lahko z enostranskim </w:t>
      </w:r>
      <w:proofErr w:type="spellStart"/>
      <w:r w:rsidRPr="00B775DE">
        <w:rPr>
          <w:rFonts w:ascii="Arial" w:eastAsia="Times New Roman" w:hAnsi="Arial" w:cs="Times New Roman"/>
          <w:kern w:val="0"/>
          <w:sz w:val="20"/>
          <w:szCs w:val="24"/>
        </w:rPr>
        <w:t>koncedentovim</w:t>
      </w:r>
      <w:proofErr w:type="spellEnd"/>
      <w:r w:rsidRPr="00B775DE">
        <w:rPr>
          <w:rFonts w:ascii="Arial" w:eastAsia="Times New Roman" w:hAnsi="Arial" w:cs="Times New Roman"/>
          <w:kern w:val="0"/>
          <w:sz w:val="20"/>
          <w:szCs w:val="24"/>
        </w:rPr>
        <w:t xml:space="preserve"> razdrtjem preneha:</w:t>
      </w:r>
    </w:p>
    <w:p w14:paraId="05A998E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če koncesionar ne zgradi obrata in v roku iz tretjega odstavka 30. člena te uredbe ne vzpostavi gospodarske javne službe; </w:t>
      </w:r>
    </w:p>
    <w:p w14:paraId="565CADE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 primeru postopka zaradi insolventnosti, drugega postopka prisilnega prenehanja ali likvidacijskega postopka pri koncesionarju;</w:t>
      </w:r>
    </w:p>
    <w:p w14:paraId="3C88C07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če koncesionar koncesijsko pogodbo krši tako, da nastaja ali bi lahko nastala večja škoda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xml:space="preserve"> ali tretjim osebam;</w:t>
      </w:r>
    </w:p>
    <w:p w14:paraId="654CD35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4. če koncesionar kljub pisnemu opozorilu koncedenta ne izpolnjuje prevzetih obveznosti tako, kot je določeno s tem koncesijskim aktom in koncesijsko pogodbo;</w:t>
      </w:r>
    </w:p>
    <w:p w14:paraId="4F53EA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 če je po sklenitvi koncesijske pogodbe ugotovljeno, da je koncesionar dal zavajajoče in neresnične podatke, ki so vplivali na podelitev koncesije;</w:t>
      </w:r>
    </w:p>
    <w:p w14:paraId="614B7DB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6. če se z dokumentiranimi ugotovitvami nadzora ugotovi, da koncesionar v bistvenem delu ni ali ne bo izpolnil svoje obveznosti iz koncesijske pogodbe;</w:t>
      </w:r>
    </w:p>
    <w:p w14:paraId="2822A64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7. če koncesionar ne predloži finančnega jamstva iz 36. člena te uredbe v roku, določenem s to uredbo; </w:t>
      </w:r>
    </w:p>
    <w:p w14:paraId="5450DE1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8. v drugih primerih, določenih s koncesijsko pogodbo.</w:t>
      </w:r>
    </w:p>
    <w:p w14:paraId="3D65B17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156CF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Razlogi iz prejšnjega odstavka in postopek razdrtja se podrobneje določijo v koncesijski pogodbi.</w:t>
      </w:r>
    </w:p>
    <w:p w14:paraId="7A69A2F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19EDC3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Koncesionar lahko razdre koncesijsko pogodbo, če koncedent ne izpolnjuje svojih obveznosti iz koncesijske pogodbe, tako da to koncesionarju onemogoča izvajanje koncesijske pogodbe.</w:t>
      </w:r>
    </w:p>
    <w:p w14:paraId="0674002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B37AD6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(4) </w:t>
      </w:r>
      <w:proofErr w:type="spellStart"/>
      <w:r w:rsidRPr="00B775DE">
        <w:rPr>
          <w:rFonts w:ascii="Arial" w:eastAsia="Times New Roman" w:hAnsi="Arial" w:cs="Times New Roman"/>
          <w:kern w:val="0"/>
          <w:sz w:val="20"/>
          <w:szCs w:val="24"/>
        </w:rPr>
        <w:t>Koncedentovo</w:t>
      </w:r>
      <w:proofErr w:type="spellEnd"/>
      <w:r w:rsidRPr="00B775DE">
        <w:rPr>
          <w:rFonts w:ascii="Arial" w:eastAsia="Times New Roman" w:hAnsi="Arial" w:cs="Times New Roman"/>
          <w:kern w:val="0"/>
          <w:sz w:val="20"/>
          <w:szCs w:val="24"/>
        </w:rPr>
        <w:t xml:space="preserve"> enostransko razdrtje koncesijske pogodbe ni dopustno v primeru, če so okoliščine, ki bi takšno prenehanje utemeljevale, nastale zaradi višje sile ali drugih nepredvidljivih in nepremagljivih okoliščin, ki jih ni mogoče pripisati koncesionarju.</w:t>
      </w:r>
    </w:p>
    <w:p w14:paraId="1203B68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37D89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(5) Koncesionar je dolžan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xml:space="preserve"> povrniti škodo, ki je </w:t>
      </w:r>
      <w:proofErr w:type="spellStart"/>
      <w:r w:rsidRPr="00B775DE">
        <w:rPr>
          <w:rFonts w:ascii="Arial" w:eastAsia="Times New Roman" w:hAnsi="Arial" w:cs="Times New Roman"/>
          <w:kern w:val="0"/>
          <w:sz w:val="20"/>
          <w:szCs w:val="24"/>
        </w:rPr>
        <w:t>koncedentu</w:t>
      </w:r>
      <w:proofErr w:type="spellEnd"/>
      <w:r w:rsidRPr="00B775DE">
        <w:rPr>
          <w:rFonts w:ascii="Arial" w:eastAsia="Times New Roman" w:hAnsi="Arial" w:cs="Times New Roman"/>
          <w:kern w:val="0"/>
          <w:sz w:val="20"/>
          <w:szCs w:val="24"/>
        </w:rPr>
        <w:t xml:space="preserve"> nastala zaradi razdrtja koncesijske pogodbe zaradi razlogov na strani koncesionarja. Prav tako je koncedent dolžan koncesionarju povrniti škodo v primeru iz tretjega odstavka tega člena.</w:t>
      </w:r>
    </w:p>
    <w:p w14:paraId="72155DE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8C0F35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59.</w:t>
      </w:r>
      <w:r w:rsidRPr="00B775DE">
        <w:rPr>
          <w:rFonts w:ascii="Arial" w:hAnsi="Arial"/>
          <w:b/>
          <w:kern w:val="0"/>
          <w:sz w:val="20"/>
        </w:rPr>
        <w:tab/>
        <w:t xml:space="preserve"> člen</w:t>
      </w:r>
    </w:p>
    <w:p w14:paraId="5D43101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(odstop od pogodbe)</w:t>
      </w:r>
    </w:p>
    <w:p w14:paraId="70CE106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C57765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Vsaka stranka lahko odstopi od koncesijske pogodbe: </w:t>
      </w:r>
    </w:p>
    <w:p w14:paraId="3264A3E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če je to v koncesijski pogodbi izrecno določeno, </w:t>
      </w:r>
    </w:p>
    <w:p w14:paraId="59EFBD4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če druga stranka krši koncesijsko pogodbo pod pogoji in tako, kot je v pogodbi določeno. </w:t>
      </w:r>
    </w:p>
    <w:p w14:paraId="5D3C9AF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911D79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Za kršitev koncesijske pogodbe se ne štejejo </w:t>
      </w:r>
      <w:proofErr w:type="spellStart"/>
      <w:r w:rsidRPr="00B775DE">
        <w:rPr>
          <w:rFonts w:ascii="Arial" w:eastAsia="Times New Roman" w:hAnsi="Arial" w:cs="Times New Roman"/>
          <w:kern w:val="0"/>
          <w:sz w:val="20"/>
          <w:szCs w:val="24"/>
        </w:rPr>
        <w:t>koncedentovi</w:t>
      </w:r>
      <w:proofErr w:type="spellEnd"/>
      <w:r w:rsidRPr="00B775DE">
        <w:rPr>
          <w:rFonts w:ascii="Arial" w:eastAsia="Times New Roman" w:hAnsi="Arial" w:cs="Times New Roman"/>
          <w:kern w:val="0"/>
          <w:sz w:val="20"/>
          <w:szCs w:val="24"/>
        </w:rPr>
        <w:t xml:space="preserve"> enostranski ukrepi v javnem interesu iz 49. člena te uredbe. </w:t>
      </w:r>
    </w:p>
    <w:p w14:paraId="3C8877E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A6B92E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BEEBF0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60.</w:t>
      </w:r>
      <w:r w:rsidRPr="00B775DE">
        <w:rPr>
          <w:rFonts w:ascii="Arial" w:hAnsi="Arial"/>
          <w:b/>
          <w:kern w:val="0"/>
          <w:sz w:val="20"/>
        </w:rPr>
        <w:tab/>
        <w:t xml:space="preserve"> člen</w:t>
      </w:r>
    </w:p>
    <w:p w14:paraId="4122F14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(sporazumna razveza)</w:t>
      </w:r>
    </w:p>
    <w:p w14:paraId="748E9E6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E60F54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Pogodbeni stranki lahko med trajanjem koncesije tudi sporazumno razvežeta koncesijsko pogodbo.</w:t>
      </w:r>
    </w:p>
    <w:p w14:paraId="08AE361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1E5E5BB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Stranki se sporazumeta za razvezo koncesijske pogodbe, če ugotovita, da je zaradi bistveno spremenjenih okoliščin ekonomskega ali sistemskega značaja ali drugih enakovredno ocenjenih okoliščin nadaljnje opravljanje dejavnosti iz koncesijske pogodbe ekonomsko nevzdržno ali nemogoče.</w:t>
      </w:r>
    </w:p>
    <w:p w14:paraId="24F12DE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37B007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61.</w:t>
      </w:r>
      <w:r w:rsidRPr="00B775DE">
        <w:rPr>
          <w:rFonts w:ascii="Arial" w:hAnsi="Arial"/>
          <w:b/>
          <w:kern w:val="0"/>
          <w:sz w:val="20"/>
        </w:rPr>
        <w:tab/>
        <w:t xml:space="preserve"> člen</w:t>
      </w:r>
    </w:p>
    <w:p w14:paraId="30CE81C5"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(prenehanje koncesionarja)</w:t>
      </w:r>
    </w:p>
    <w:p w14:paraId="7D552B8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774708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Koncesijsko razmerje preneha v primeru prenehanja koncesionarja.</w:t>
      </w:r>
    </w:p>
    <w:p w14:paraId="590EB13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3B10BE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Koncesijsko razmerje ne preneha, če so izpolnjeni z zakonom in koncesijsko pogodbo določeni pogoji za nadaljevanje koncesije s </w:t>
      </w:r>
      <w:proofErr w:type="spellStart"/>
      <w:r w:rsidRPr="00B775DE">
        <w:rPr>
          <w:rFonts w:ascii="Arial" w:eastAsia="Times New Roman" w:hAnsi="Arial" w:cs="Times New Roman"/>
          <w:kern w:val="0"/>
          <w:sz w:val="20"/>
          <w:szCs w:val="24"/>
        </w:rPr>
        <w:t>koncesionarjevim</w:t>
      </w:r>
      <w:proofErr w:type="spellEnd"/>
      <w:r w:rsidRPr="00B775DE">
        <w:rPr>
          <w:rFonts w:ascii="Arial" w:eastAsia="Times New Roman" w:hAnsi="Arial" w:cs="Times New Roman"/>
          <w:kern w:val="0"/>
          <w:sz w:val="20"/>
          <w:szCs w:val="24"/>
        </w:rPr>
        <w:t xml:space="preserve"> univerzalnim pravnim naslednikom. </w:t>
      </w:r>
    </w:p>
    <w:p w14:paraId="5A21977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5BCC38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(3) Koncesijsko razmerje preneha z dnem, ko po zakonu, ki ureja finančno poslovanje, postopke zaradi insolventnosti in prisilno prenehanje, nastanejo pravne posledice začetka stečajnega postopka.</w:t>
      </w:r>
    </w:p>
    <w:p w14:paraId="45A6630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B318126"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5534497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lastRenderedPageBreak/>
        <w:t>62.</w:t>
      </w:r>
      <w:r w:rsidRPr="00B775DE">
        <w:rPr>
          <w:rFonts w:ascii="Arial" w:hAnsi="Arial"/>
          <w:b/>
          <w:kern w:val="0"/>
          <w:sz w:val="20"/>
        </w:rPr>
        <w:tab/>
        <w:t xml:space="preserve"> člen</w:t>
      </w:r>
    </w:p>
    <w:p w14:paraId="51F3896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(odkup koncesije)</w:t>
      </w:r>
    </w:p>
    <w:p w14:paraId="06EB74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1F0DA7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Koncedent in koncesionar se lahko dogovorita o odkupu koncesije. </w:t>
      </w:r>
    </w:p>
    <w:p w14:paraId="5FFA26E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AB348A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Z odkupom koncesije preneha koncesijsko razmerje, tako da koncesionar preneha opravljati koncesijo, koncedent pa prevzame vso infrastrukturo, ki je predmet koncesije, in naslednje obveznosti:</w:t>
      </w:r>
    </w:p>
    <w:p w14:paraId="6AF8101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izplačilo dokazanih neamortiziranih vlaganj koncesionarja v specializirano opremo ali objekte, ki jih koncesionar ne bo mogel povrniti v okviru svoje druge dejavnosti;</w:t>
      </w:r>
    </w:p>
    <w:p w14:paraId="498EADE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povrnitev nastale dejanske škode in izgubljenega dobička za obdobje do rednega prenehanja koncesijske pogodbe.</w:t>
      </w:r>
    </w:p>
    <w:p w14:paraId="01B3604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9821F78"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13.</w:t>
      </w:r>
      <w:r w:rsidRPr="00B775DE">
        <w:rPr>
          <w:rFonts w:ascii="Arial" w:eastAsia="Times New Roman" w:hAnsi="Arial" w:cs="Times New Roman"/>
          <w:kern w:val="0"/>
          <w:sz w:val="20"/>
        </w:rPr>
        <w:tab/>
        <w:t>Višja sila in spremenjene okoliščine</w:t>
      </w:r>
    </w:p>
    <w:p w14:paraId="6FFE32F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5F5D53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63.</w:t>
      </w:r>
      <w:r w:rsidRPr="00B775DE">
        <w:rPr>
          <w:rFonts w:ascii="Arial" w:hAnsi="Arial"/>
          <w:b/>
          <w:kern w:val="0"/>
          <w:sz w:val="20"/>
        </w:rPr>
        <w:tab/>
        <w:t xml:space="preserve"> člen</w:t>
      </w:r>
    </w:p>
    <w:p w14:paraId="430194B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(višja sila)</w:t>
      </w:r>
    </w:p>
    <w:p w14:paraId="2EB231DA"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052F53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Koncesionar mora v okviru objektivnih možnosti opravljati storitve gospodarske javne službe tudi ob nepredvidljivih okoliščinah, nastalih zaradi višje sile, v skladu z izdelanimi načrti nujnih ukrepov za tiste javne službe, kjer so načrti ukrepov predpisani, za druge javne službe pa v skladu s posameznimi programi izvajanja javne službe. Ob nastopu okoliščin, ki pomenijo višjo silo, se morata stranki nemudoma medsebojno obvestiti in dogovoriti o izvajanju gospodarske javne službe v takih pogojih.</w:t>
      </w:r>
    </w:p>
    <w:p w14:paraId="0393332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11D656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 V primeru iz prejšnjega odstavka ima koncesionar pravico zahtevati od koncedenta povračilo stroškov, ki so nastali zaradi opravljanja gospodarske javne službe v nepredvidljivih okoliščinah.</w:t>
      </w:r>
    </w:p>
    <w:p w14:paraId="1FC8409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063AE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(3) Zaradi nepredvidljivih okoliščin, ki so nastale zaradi višje sile, lahko koncesijsko razmerje preneha, vendar samo sporazumno med </w:t>
      </w:r>
      <w:proofErr w:type="spellStart"/>
      <w:r w:rsidRPr="00B775DE">
        <w:rPr>
          <w:rFonts w:ascii="Arial" w:eastAsia="Times New Roman" w:hAnsi="Arial" w:cs="Times New Roman"/>
          <w:kern w:val="0"/>
          <w:sz w:val="20"/>
          <w:szCs w:val="24"/>
        </w:rPr>
        <w:t>koncedentom</w:t>
      </w:r>
      <w:proofErr w:type="spellEnd"/>
      <w:r w:rsidRPr="00B775DE">
        <w:rPr>
          <w:rFonts w:ascii="Arial" w:eastAsia="Times New Roman" w:hAnsi="Arial" w:cs="Times New Roman"/>
          <w:kern w:val="0"/>
          <w:sz w:val="20"/>
          <w:szCs w:val="24"/>
        </w:rPr>
        <w:t xml:space="preserve"> in koncesionarjem.</w:t>
      </w:r>
    </w:p>
    <w:p w14:paraId="6B1F2C0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5E8DD4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17E2424"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64.</w:t>
      </w:r>
      <w:r w:rsidRPr="00B775DE">
        <w:rPr>
          <w:rFonts w:ascii="Arial" w:hAnsi="Arial"/>
          <w:b/>
          <w:kern w:val="0"/>
          <w:sz w:val="20"/>
        </w:rPr>
        <w:tab/>
        <w:t xml:space="preserve"> člen</w:t>
      </w:r>
    </w:p>
    <w:p w14:paraId="0F3D652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(spremenjene okoliščine)</w:t>
      </w:r>
    </w:p>
    <w:p w14:paraId="415D53C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463698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(1) Če nastanejo po sklenitvi koncesijske pogodbe okoliščine, ki bistveno otežujejo izpolnjevanje obveznosti katere od pogodbenih strank, in to v takšni meri, da bi bilo kljub posebni naravi koncesijske pogodbe nepravično pogodbena tveganja prevaliti pretežno ali izključno le na eno od strank, ima druga stranka pravico zahtevati spremembo koncesijske pogodbe tako, kot je to določeno v koncesijski pogodbi.</w:t>
      </w:r>
    </w:p>
    <w:p w14:paraId="64D5673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9E69C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(2) O nastopu spremenjenih okoliščin se morata stranki nemudoma medsebojno obvestiti in dogovoriti o izvajanju koncesijske pogodbe v takih pogojih. Kljub spremenjenim okoliščinam je koncesionar dolžan v okviru objektivnih možnosti opravljati gospodarsko javno službo. </w:t>
      </w:r>
    </w:p>
    <w:p w14:paraId="4F137D9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9C4FC8B" w14:textId="77777777" w:rsidR="00E65191" w:rsidRPr="00B775DE" w:rsidRDefault="00E65191" w:rsidP="00E65191">
      <w:pPr>
        <w:suppressAutoHyphens/>
        <w:overflowPunct w:val="0"/>
        <w:autoSpaceDE w:val="0"/>
        <w:autoSpaceDN w:val="0"/>
        <w:adjustRightInd w:val="0"/>
        <w:spacing w:before="280" w:after="60" w:line="200" w:lineRule="exact"/>
        <w:textAlignment w:val="baseline"/>
        <w:outlineLvl w:val="3"/>
        <w:rPr>
          <w:rFonts w:ascii="Arial" w:eastAsia="Times New Roman" w:hAnsi="Arial" w:cs="Times New Roman"/>
          <w:kern w:val="0"/>
          <w:sz w:val="20"/>
        </w:rPr>
      </w:pPr>
      <w:r w:rsidRPr="00B775DE">
        <w:rPr>
          <w:rFonts w:ascii="Arial" w:eastAsia="Times New Roman" w:hAnsi="Arial" w:cs="Times New Roman"/>
          <w:kern w:val="0"/>
          <w:sz w:val="20"/>
        </w:rPr>
        <w:t>14.</w:t>
      </w:r>
      <w:r w:rsidRPr="00B775DE">
        <w:rPr>
          <w:rFonts w:ascii="Arial" w:eastAsia="Times New Roman" w:hAnsi="Arial" w:cs="Times New Roman"/>
          <w:kern w:val="0"/>
          <w:sz w:val="20"/>
        </w:rPr>
        <w:tab/>
        <w:t>Uporaba prava in reševanje sporov</w:t>
      </w:r>
    </w:p>
    <w:p w14:paraId="5519244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092ACF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65.</w:t>
      </w:r>
      <w:r w:rsidRPr="00B775DE">
        <w:rPr>
          <w:rFonts w:ascii="Arial" w:hAnsi="Arial"/>
          <w:b/>
          <w:kern w:val="0"/>
          <w:sz w:val="20"/>
        </w:rPr>
        <w:tab/>
        <w:t xml:space="preserve"> člen</w:t>
      </w:r>
    </w:p>
    <w:p w14:paraId="56013C8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(uporaba prava)</w:t>
      </w:r>
    </w:p>
    <w:p w14:paraId="087C73A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96E326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Za vsa civilnopravna razmerja med </w:t>
      </w:r>
      <w:proofErr w:type="spellStart"/>
      <w:r w:rsidRPr="00B775DE">
        <w:rPr>
          <w:rFonts w:ascii="Arial" w:eastAsia="Times New Roman" w:hAnsi="Arial" w:cs="Times New Roman"/>
          <w:kern w:val="0"/>
          <w:sz w:val="20"/>
          <w:szCs w:val="24"/>
        </w:rPr>
        <w:t>koncedentom</w:t>
      </w:r>
      <w:proofErr w:type="spellEnd"/>
      <w:r w:rsidRPr="00B775DE">
        <w:rPr>
          <w:rFonts w:ascii="Arial" w:eastAsia="Times New Roman" w:hAnsi="Arial" w:cs="Times New Roman"/>
          <w:kern w:val="0"/>
          <w:sz w:val="20"/>
          <w:szCs w:val="24"/>
        </w:rPr>
        <w:t xml:space="preserve"> in koncesionarjem ter koncesionarjem in uporabniki storitev gospodarske javne službe se lahko dogovori izključno uporaba pravnega reda Republike Slovenije.</w:t>
      </w:r>
    </w:p>
    <w:p w14:paraId="0391482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788ED3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B01E911"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66.</w:t>
      </w:r>
      <w:r w:rsidRPr="00B775DE">
        <w:rPr>
          <w:rFonts w:ascii="Arial" w:hAnsi="Arial"/>
          <w:b/>
          <w:kern w:val="0"/>
          <w:sz w:val="20"/>
        </w:rPr>
        <w:tab/>
        <w:t xml:space="preserve"> člen</w:t>
      </w:r>
    </w:p>
    <w:p w14:paraId="73571C18"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(prepoved prorogacije tujega sodišča ali arbitraže)</w:t>
      </w:r>
    </w:p>
    <w:p w14:paraId="6FDDCCA3"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2B00763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razmerjih med </w:t>
      </w:r>
      <w:proofErr w:type="spellStart"/>
      <w:r w:rsidRPr="00B775DE">
        <w:rPr>
          <w:rFonts w:ascii="Arial" w:eastAsia="Times New Roman" w:hAnsi="Arial" w:cs="Times New Roman"/>
          <w:kern w:val="0"/>
          <w:sz w:val="20"/>
          <w:szCs w:val="24"/>
        </w:rPr>
        <w:t>koncedentom</w:t>
      </w:r>
      <w:proofErr w:type="spellEnd"/>
      <w:r w:rsidRPr="00B775DE">
        <w:rPr>
          <w:rFonts w:ascii="Arial" w:eastAsia="Times New Roman" w:hAnsi="Arial" w:cs="Times New Roman"/>
          <w:kern w:val="0"/>
          <w:sz w:val="20"/>
          <w:szCs w:val="24"/>
        </w:rPr>
        <w:t xml:space="preserve"> in koncesionarjem ter razmerjih med koncesionarjem in uporabniki storitev gospodarske javne službe se ni dopustno dogovoriti, da o sporih iz teh razmerij odločajo tuja sodišča ali domača ali tuja arbitraža.</w:t>
      </w:r>
    </w:p>
    <w:p w14:paraId="4BC4C0B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6226CB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1B2B8A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IV.</w:t>
      </w:r>
      <w:r w:rsidRPr="00B775DE">
        <w:rPr>
          <w:rFonts w:ascii="Arial" w:eastAsia="Times New Roman" w:hAnsi="Arial" w:cs="Times New Roman"/>
          <w:kern w:val="0"/>
          <w:sz w:val="20"/>
          <w:szCs w:val="24"/>
        </w:rPr>
        <w:tab/>
        <w:t>KAZENSKE DOLOČBE</w:t>
      </w:r>
    </w:p>
    <w:p w14:paraId="40637DCB"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43DDB063"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bookmarkStart w:id="18" w:name="_Hlk194496896"/>
      <w:r w:rsidRPr="008B3BF5">
        <w:rPr>
          <w:rFonts w:ascii="Arial" w:eastAsia="Times New Roman" w:hAnsi="Arial" w:cs="Times New Roman"/>
          <w:b/>
          <w:kern w:val="0"/>
          <w:sz w:val="20"/>
          <w:szCs w:val="24"/>
        </w:rPr>
        <w:t>67. člen</w:t>
      </w:r>
    </w:p>
    <w:p w14:paraId="2AC49611"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(lažji prekrški uporabnika storitev gospodarske javne službe)</w:t>
      </w:r>
    </w:p>
    <w:p w14:paraId="52BDC452" w14:textId="77777777" w:rsidR="008B3BF5" w:rsidRPr="008B3BF5" w:rsidRDefault="008B3BF5" w:rsidP="008B3BF5">
      <w:pPr>
        <w:tabs>
          <w:tab w:val="left" w:pos="708"/>
        </w:tabs>
        <w:spacing w:before="40" w:after="40" w:line="240" w:lineRule="auto"/>
        <w:rPr>
          <w:rFonts w:ascii="Arial" w:eastAsia="Times New Roman" w:hAnsi="Arial" w:cs="Times New Roman"/>
          <w:b/>
          <w:kern w:val="0"/>
          <w:sz w:val="20"/>
          <w:szCs w:val="24"/>
        </w:rPr>
      </w:pPr>
    </w:p>
    <w:p w14:paraId="552155D4"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(1) Z globo 5.000 eurov se za prekršek kaznuje uporabnik storitev gospodarske javne službe, ki je pravna oseba ali samostojni podjetnik posameznik ali posameznik, ki samostojno opravlja dejavnost, če:</w:t>
      </w:r>
    </w:p>
    <w:p w14:paraId="7AE69043" w14:textId="61400E3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ne vodi evidence o mehanski obdelavi komunalnih odpadkov ločeno po občinah, kjer so bili ti odpadki zbrani, če gre za mešane komunalne odpadke s številko 20 03 0, ločeno po občinah, kjer so bili ti odpadki zbrani, če gre za odpadno embalažo iz podskupine odpadkov s številko 15</w:t>
      </w:r>
      <w:r w:rsidR="00FC42C4">
        <w:rPr>
          <w:rFonts w:ascii="Arial" w:eastAsia="Times New Roman" w:hAnsi="Arial" w:cs="Times New Roman"/>
          <w:kern w:val="0"/>
          <w:sz w:val="20"/>
          <w:szCs w:val="24"/>
        </w:rPr>
        <w:t xml:space="preserve"> </w:t>
      </w:r>
      <w:r w:rsidRPr="008B3BF5">
        <w:rPr>
          <w:rFonts w:ascii="Arial" w:eastAsia="Times New Roman" w:hAnsi="Arial" w:cs="Times New Roman"/>
          <w:kern w:val="0"/>
          <w:sz w:val="20"/>
          <w:szCs w:val="24"/>
        </w:rPr>
        <w:t xml:space="preserve">01, ločeno zbrane frakcije iz podskupine odpadkov s številko 20 01 ali za kosovne odpadke s številko 20 03 07 (točka </w:t>
      </w:r>
      <w:r w:rsidR="003016BF">
        <w:rPr>
          <w:rFonts w:ascii="Arial" w:eastAsia="Times New Roman" w:hAnsi="Arial" w:cs="Times New Roman"/>
          <w:kern w:val="0"/>
          <w:sz w:val="20"/>
          <w:szCs w:val="24"/>
        </w:rPr>
        <w:t xml:space="preserve">pod </w:t>
      </w:r>
      <w:r w:rsidRPr="008B3BF5">
        <w:rPr>
          <w:rFonts w:ascii="Arial" w:eastAsia="Times New Roman" w:hAnsi="Arial" w:cs="Times New Roman"/>
          <w:kern w:val="0"/>
          <w:sz w:val="20"/>
          <w:szCs w:val="24"/>
        </w:rPr>
        <w:t>c) 4. točke prvega odstavka 10.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7A3949E8"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ne zagotovi vodenja evidence o količini in vrsti komunalnih odpadkov, iz katerih so nastale gorljive sestavine, ki nastajajo po mehanski obdelavi komunalnih odpadkov in niso primerne za oddajo v recikliranje ali v pripravo za ponovno uporabo, (prva alineja točke</w:t>
      </w:r>
      <w:r w:rsidR="003016BF">
        <w:rPr>
          <w:rFonts w:ascii="Arial" w:eastAsia="Times New Roman" w:hAnsi="Arial" w:cs="Times New Roman"/>
          <w:kern w:val="0"/>
          <w:sz w:val="20"/>
          <w:szCs w:val="24"/>
        </w:rPr>
        <w:t xml:space="preserve"> pod</w:t>
      </w:r>
      <w:r w:rsidRPr="008B3BF5">
        <w:rPr>
          <w:rFonts w:ascii="Arial" w:eastAsia="Times New Roman" w:hAnsi="Arial" w:cs="Times New Roman"/>
          <w:kern w:val="0"/>
          <w:sz w:val="20"/>
          <w:szCs w:val="24"/>
        </w:rPr>
        <w:t xml:space="preserve"> č) 4. točke prvega  odstavka 10.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02D534F5"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xml:space="preserve">- ne poroča v informacijski sistem okolja podatkov v zvezi z mehansko obdelavo odpadkov v obsegu, ki je določen v prilogi 3 te uredbe (točka </w:t>
      </w:r>
      <w:r w:rsidR="00A73E26">
        <w:rPr>
          <w:rFonts w:ascii="Arial" w:eastAsia="Times New Roman" w:hAnsi="Arial" w:cs="Times New Roman"/>
          <w:kern w:val="0"/>
          <w:sz w:val="20"/>
          <w:szCs w:val="24"/>
        </w:rPr>
        <w:t xml:space="preserve">pod </w:t>
      </w:r>
      <w:r w:rsidRPr="008B3BF5">
        <w:rPr>
          <w:rFonts w:ascii="Arial" w:eastAsia="Times New Roman" w:hAnsi="Arial" w:cs="Times New Roman"/>
          <w:kern w:val="0"/>
          <w:sz w:val="20"/>
          <w:szCs w:val="24"/>
        </w:rPr>
        <w:t>f) 4. točke prvega odstavka 10.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485D4F3B"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3EB55511"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(2) Z globo 350 eurov se za prekršek iz prejšnjega odstavka kaznuje tudi odgovorna oseba uporabnika storitev gospodarske javne službe, ki je pravna oseba ali samostojni podjetnik posameznik ali posameznik, ki samostojno opravlja dejavnost.</w:t>
      </w:r>
    </w:p>
    <w:p w14:paraId="4D8D345B"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3D1E7654"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68.</w:t>
      </w:r>
      <w:r w:rsidRPr="008B3BF5">
        <w:rPr>
          <w:rFonts w:ascii="Arial" w:eastAsia="Times New Roman" w:hAnsi="Arial" w:cs="Times New Roman"/>
          <w:b/>
          <w:kern w:val="0"/>
          <w:sz w:val="20"/>
          <w:szCs w:val="24"/>
        </w:rPr>
        <w:tab/>
        <w:t xml:space="preserve"> člen</w:t>
      </w:r>
    </w:p>
    <w:p w14:paraId="54AE443D"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(težji prekrški uporabnika storitev gospodarske javne službe)</w:t>
      </w:r>
    </w:p>
    <w:p w14:paraId="3C7CBC31" w14:textId="77777777" w:rsidR="008B3BF5" w:rsidRPr="008B3BF5" w:rsidRDefault="008B3BF5" w:rsidP="008B3BF5">
      <w:pPr>
        <w:tabs>
          <w:tab w:val="left" w:pos="708"/>
        </w:tabs>
        <w:spacing w:before="40" w:after="40" w:line="240" w:lineRule="auto"/>
        <w:rPr>
          <w:rFonts w:ascii="Arial" w:eastAsia="Times New Roman" w:hAnsi="Arial" w:cs="Times New Roman"/>
          <w:b/>
          <w:kern w:val="0"/>
          <w:sz w:val="20"/>
          <w:szCs w:val="24"/>
        </w:rPr>
      </w:pPr>
    </w:p>
    <w:p w14:paraId="184C6A16"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(1) Z globo 40.000 eurov se za prekršek kaznuje uporabnik storitev gospodarske javne službe, ki je pravna oseba ali samostojni podjetnik posameznik ali posameznik, ki samostojno opravlja dejavnost, če:</w:t>
      </w:r>
    </w:p>
    <w:p w14:paraId="468E9001"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6637512D"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ne preda komunalnih odpadkov izvajalcu gospodarske javne službe po tej uredbi (drugi odstavek 7.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73320AE1"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xml:space="preserve">- ne prevzame v mehansko obdelavo komunalnih odpadkov od izvajalcev občinske javne službe zbiranja ali ne voditi evidence o tem prevzemu (točka </w:t>
      </w:r>
      <w:r w:rsidR="00A73E26">
        <w:rPr>
          <w:rFonts w:ascii="Arial" w:eastAsia="Times New Roman" w:hAnsi="Arial" w:cs="Times New Roman"/>
          <w:kern w:val="0"/>
          <w:sz w:val="20"/>
          <w:szCs w:val="24"/>
        </w:rPr>
        <w:t xml:space="preserve">pod </w:t>
      </w:r>
      <w:r w:rsidRPr="008B3BF5">
        <w:rPr>
          <w:rFonts w:ascii="Arial" w:eastAsia="Times New Roman" w:hAnsi="Arial" w:cs="Times New Roman"/>
          <w:kern w:val="0"/>
          <w:sz w:val="20"/>
          <w:szCs w:val="24"/>
        </w:rPr>
        <w:t>a) 4. točke prvega odstavka 10.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61D84A47"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ne zagotovi, da se z mehansko obdelavo mešanice komunalnih odpadkov z razvrščanjem pridobijo odpadki, ki mešanico sestavljajo (točka</w:t>
      </w:r>
      <w:r w:rsidR="00A73E26">
        <w:rPr>
          <w:rFonts w:ascii="Arial" w:eastAsia="Times New Roman" w:hAnsi="Arial" w:cs="Times New Roman"/>
          <w:kern w:val="0"/>
          <w:sz w:val="20"/>
          <w:szCs w:val="24"/>
        </w:rPr>
        <w:t xml:space="preserve"> pod</w:t>
      </w:r>
      <w:r w:rsidRPr="008B3BF5">
        <w:rPr>
          <w:rFonts w:ascii="Arial" w:eastAsia="Times New Roman" w:hAnsi="Arial" w:cs="Times New Roman"/>
          <w:kern w:val="0"/>
          <w:sz w:val="20"/>
          <w:szCs w:val="24"/>
        </w:rPr>
        <w:t xml:space="preserve"> b) 4. točke prvega </w:t>
      </w:r>
      <w:r w:rsidR="00B33241">
        <w:rPr>
          <w:rFonts w:ascii="Arial" w:eastAsia="Times New Roman" w:hAnsi="Arial" w:cs="Times New Roman"/>
          <w:kern w:val="0"/>
          <w:sz w:val="20"/>
          <w:szCs w:val="24"/>
        </w:rPr>
        <w:t>odstavka 10. člena te uredbe</w:t>
      </w:r>
      <w:r w:rsidRPr="008B3BF5">
        <w:rPr>
          <w:rFonts w:ascii="Arial" w:eastAsia="Times New Roman" w:hAnsi="Arial" w:cs="Times New Roman"/>
          <w:kern w:val="0"/>
          <w:sz w:val="20"/>
          <w:szCs w:val="24"/>
        </w:rPr>
        <w:t>);</w:t>
      </w:r>
    </w:p>
    <w:p w14:paraId="41A67F67"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xml:space="preserve">- ne zagotovi skladiščenja za gorljive sestavine, ki nastajajo po mehanski obdelavi komunalnih odpadkov, v pokritih prostorih velikosti, ki zadostuje za obdobje najmanj enega meseca </w:t>
      </w:r>
      <w:r w:rsidRPr="008B3BF5">
        <w:rPr>
          <w:rFonts w:ascii="Arial" w:eastAsia="Times New Roman" w:hAnsi="Arial" w:cs="Times New Roman"/>
          <w:kern w:val="0"/>
          <w:sz w:val="20"/>
          <w:szCs w:val="24"/>
        </w:rPr>
        <w:lastRenderedPageBreak/>
        <w:t>načrtovanega nastajanja gorljivih sestavin (druga alineja točke</w:t>
      </w:r>
      <w:r w:rsidR="00A73E26">
        <w:rPr>
          <w:rFonts w:ascii="Arial" w:eastAsia="Times New Roman" w:hAnsi="Arial" w:cs="Times New Roman"/>
          <w:kern w:val="0"/>
          <w:sz w:val="20"/>
          <w:szCs w:val="24"/>
        </w:rPr>
        <w:t xml:space="preserve"> pod</w:t>
      </w:r>
      <w:r w:rsidRPr="008B3BF5">
        <w:rPr>
          <w:rFonts w:ascii="Arial" w:eastAsia="Times New Roman" w:hAnsi="Arial" w:cs="Times New Roman"/>
          <w:kern w:val="0"/>
          <w:sz w:val="20"/>
          <w:szCs w:val="24"/>
        </w:rPr>
        <w:t xml:space="preserve"> č) 4. točke prvega </w:t>
      </w:r>
      <w:r w:rsidR="00B33241">
        <w:rPr>
          <w:rFonts w:ascii="Arial" w:eastAsia="Times New Roman" w:hAnsi="Arial" w:cs="Times New Roman"/>
          <w:kern w:val="0"/>
          <w:sz w:val="20"/>
          <w:szCs w:val="24"/>
        </w:rPr>
        <w:t>odstavka 10. člena te uredbe</w:t>
      </w:r>
      <w:r w:rsidRPr="008B3BF5">
        <w:rPr>
          <w:rFonts w:ascii="Arial" w:eastAsia="Times New Roman" w:hAnsi="Arial" w:cs="Times New Roman"/>
          <w:kern w:val="0"/>
          <w:sz w:val="20"/>
          <w:szCs w:val="24"/>
        </w:rPr>
        <w:t>).</w:t>
      </w:r>
    </w:p>
    <w:p w14:paraId="2B7264B1"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5E8D9EB5"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(2) Z globo 2.500 eurov se za prekršek iz prejšnjega odstavka kaznuje tudi odgovorna oseba uporabnika storitev gospodarske javne službe, ki je pravna oseba ali samostojni podjetnik posameznik ali posameznik, ki samostojno opravlja dejavnost.</w:t>
      </w:r>
    </w:p>
    <w:p w14:paraId="7A0E7FBC"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1947446A" w14:textId="77777777" w:rsidR="008B3BF5" w:rsidRPr="008B3BF5" w:rsidRDefault="008B3BF5" w:rsidP="008B3BF5">
      <w:pPr>
        <w:tabs>
          <w:tab w:val="left" w:pos="708"/>
        </w:tabs>
        <w:spacing w:before="40" w:after="40" w:line="240" w:lineRule="auto"/>
        <w:rPr>
          <w:rFonts w:ascii="Arial" w:eastAsia="Times New Roman" w:hAnsi="Arial" w:cs="Times New Roman"/>
          <w:b/>
          <w:kern w:val="0"/>
          <w:sz w:val="20"/>
          <w:szCs w:val="24"/>
        </w:rPr>
      </w:pPr>
    </w:p>
    <w:p w14:paraId="5E184663"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69.</w:t>
      </w:r>
      <w:r w:rsidRPr="008B3BF5">
        <w:rPr>
          <w:rFonts w:ascii="Arial" w:eastAsia="Times New Roman" w:hAnsi="Arial" w:cs="Times New Roman"/>
          <w:b/>
          <w:kern w:val="0"/>
          <w:sz w:val="20"/>
          <w:szCs w:val="24"/>
        </w:rPr>
        <w:tab/>
        <w:t xml:space="preserve"> člen</w:t>
      </w:r>
    </w:p>
    <w:p w14:paraId="6451206D"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(lažji prekrški izvajalca gospodarske javne službe)</w:t>
      </w:r>
    </w:p>
    <w:p w14:paraId="1755D4FC"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52D883CA"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(1) Z globo 5.000 eurov se za prekršek kaznuje izvajalec gospodarske javne službe, ki je pravna oseba ali samostojni podjetnik posameznik ali posameznik, ki samostojno opravlja dejavnost, če:</w:t>
      </w:r>
    </w:p>
    <w:p w14:paraId="5744B7B8"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v 48 urah od nastanka zastoja zaradi okvar ali nezmožnosti zagotavljanja izvajanja storitev javne službe ne obvesti ministrstva ali uporabnikov z objavo na svoji spletni strani (tretja točka 8.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0248F7CC"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 se o načrtovanem rednem ali izrednem vzdrževanju obrata ne uskladi z uporabniki storitev gospodarske javne službe ali če o tem ne obvesti ministrstva, inšpekcije, pristojne za okolje, ali tega ne objavi na svoji spletni strani (četrta točka 8.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4456FA71"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57D296C5"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(2) Z globo 350 eurov se za prekršek iz prejšnjega odstavka kaznuje tudi odgovorna oseba izvajalca gospodarske javne službe, ki je pravna oseba ali samostojni podjetnik posameznik ali posameznik, ki samostojno opravlja dejavnost.</w:t>
      </w:r>
    </w:p>
    <w:p w14:paraId="44EEEC9E" w14:textId="77777777" w:rsidR="008B3BF5" w:rsidRPr="008B3BF5" w:rsidRDefault="008B3BF5" w:rsidP="002E7447">
      <w:pPr>
        <w:tabs>
          <w:tab w:val="left" w:pos="708"/>
        </w:tabs>
        <w:spacing w:before="40" w:after="40" w:line="240" w:lineRule="auto"/>
        <w:jc w:val="center"/>
        <w:rPr>
          <w:rFonts w:ascii="Arial" w:eastAsia="Times New Roman" w:hAnsi="Arial" w:cs="Times New Roman"/>
          <w:kern w:val="0"/>
          <w:sz w:val="20"/>
          <w:szCs w:val="24"/>
        </w:rPr>
      </w:pPr>
    </w:p>
    <w:p w14:paraId="1CF83634"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70.</w:t>
      </w:r>
      <w:r w:rsidRPr="008B3BF5">
        <w:rPr>
          <w:rFonts w:ascii="Arial" w:eastAsia="Times New Roman" w:hAnsi="Arial" w:cs="Times New Roman"/>
          <w:b/>
          <w:kern w:val="0"/>
          <w:sz w:val="20"/>
          <w:szCs w:val="24"/>
        </w:rPr>
        <w:tab/>
        <w:t xml:space="preserve"> člen</w:t>
      </w:r>
    </w:p>
    <w:p w14:paraId="79442355" w14:textId="77777777" w:rsidR="008B3BF5" w:rsidRPr="008B3BF5" w:rsidRDefault="008B3BF5" w:rsidP="002E7447">
      <w:pPr>
        <w:tabs>
          <w:tab w:val="left" w:pos="708"/>
        </w:tabs>
        <w:spacing w:before="40" w:after="40" w:line="240" w:lineRule="auto"/>
        <w:jc w:val="center"/>
        <w:rPr>
          <w:rFonts w:ascii="Arial" w:eastAsia="Times New Roman" w:hAnsi="Arial" w:cs="Times New Roman"/>
          <w:b/>
          <w:kern w:val="0"/>
          <w:sz w:val="20"/>
          <w:szCs w:val="24"/>
        </w:rPr>
      </w:pPr>
      <w:r w:rsidRPr="008B3BF5">
        <w:rPr>
          <w:rFonts w:ascii="Arial" w:eastAsia="Times New Roman" w:hAnsi="Arial" w:cs="Times New Roman"/>
          <w:b/>
          <w:kern w:val="0"/>
          <w:sz w:val="20"/>
          <w:szCs w:val="24"/>
        </w:rPr>
        <w:t>(težji prekršek izvajalca gospodarske javne službe)</w:t>
      </w:r>
    </w:p>
    <w:p w14:paraId="460C67CB"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64F6B095"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(1) Z globo 40.000 eurov se za prekršek kaznuje izvajalec gospodarske javne službe, ki je pravna oseba ali samostojni podjetnik posameznik ali posameznik, ki samostojno opravlja dejavnost, če v okviru izvajanja storitev gospodarske javne službe ali v okviru izvajanja posebnih storitev, za posamezno območje sežge večjo letno količino gorljivih sestavin, ki nastajajo po mehanski obdelavi komunalnih odpadkov, kot je to dovoljeno (osmi odstavek 6. člena</w:t>
      </w:r>
      <w:r w:rsidR="00B33241">
        <w:rPr>
          <w:rFonts w:ascii="Arial" w:eastAsia="Times New Roman" w:hAnsi="Arial" w:cs="Times New Roman"/>
          <w:kern w:val="0"/>
          <w:sz w:val="20"/>
          <w:szCs w:val="24"/>
        </w:rPr>
        <w:t xml:space="preserve"> te uredbe</w:t>
      </w:r>
      <w:r w:rsidRPr="008B3BF5">
        <w:rPr>
          <w:rFonts w:ascii="Arial" w:eastAsia="Times New Roman" w:hAnsi="Arial" w:cs="Times New Roman"/>
          <w:kern w:val="0"/>
          <w:sz w:val="20"/>
          <w:szCs w:val="24"/>
        </w:rPr>
        <w:t>).</w:t>
      </w:r>
    </w:p>
    <w:p w14:paraId="66E13C29"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p>
    <w:p w14:paraId="69CDF0A5" w14:textId="77777777" w:rsidR="008B3BF5" w:rsidRPr="008B3BF5" w:rsidRDefault="008B3BF5" w:rsidP="008B3BF5">
      <w:pPr>
        <w:tabs>
          <w:tab w:val="left" w:pos="708"/>
        </w:tabs>
        <w:spacing w:before="40" w:after="40" w:line="240" w:lineRule="auto"/>
        <w:rPr>
          <w:rFonts w:ascii="Arial" w:eastAsia="Times New Roman" w:hAnsi="Arial" w:cs="Times New Roman"/>
          <w:kern w:val="0"/>
          <w:sz w:val="20"/>
          <w:szCs w:val="24"/>
        </w:rPr>
      </w:pPr>
      <w:r w:rsidRPr="008B3BF5">
        <w:rPr>
          <w:rFonts w:ascii="Arial" w:eastAsia="Times New Roman" w:hAnsi="Arial" w:cs="Times New Roman"/>
          <w:kern w:val="0"/>
          <w:sz w:val="20"/>
          <w:szCs w:val="24"/>
        </w:rPr>
        <w:t>(2) Z globo 2.500 eurov se za prekršek iz prejšnjega odstavka kaznuje tudi odgovorna oseba izvajalca gospodarske javne službe, ki je pravna oseba ali samostojni podjetnik posameznik ali posameznik, ki samostojno opravlja dejavnost.</w:t>
      </w:r>
    </w:p>
    <w:bookmarkEnd w:id="18"/>
    <w:p w14:paraId="1C95DE8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C86D32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71. člen</w:t>
      </w:r>
      <w:r w:rsidR="008A30AF" w:rsidRPr="00B775DE">
        <w:rPr>
          <w:rFonts w:ascii="Arial" w:hAnsi="Arial"/>
          <w:b/>
          <w:kern w:val="0"/>
          <w:sz w:val="20"/>
        </w:rPr>
        <w:fldChar w:fldCharType="begin"/>
      </w:r>
      <w:r w:rsidRPr="00B775DE">
        <w:rPr>
          <w:rFonts w:ascii="Arial" w:hAnsi="Arial"/>
          <w:b/>
          <w:kern w:val="0"/>
          <w:sz w:val="20"/>
        </w:rPr>
        <w:instrText xml:space="preserve"> HYPERLINK "https://www.uradni-list.si/glasilo-uradni-list-rs/vsebina/2022-01-1698/uredba-o-izvajanju-uredbe-eu-o-cezmejni-prenosljivosti-storitev-spletnih-vsebin-na-notranjem-trgu/" \l "(višina globe v hitrem prekrškovnem postopku)" </w:instrText>
      </w:r>
      <w:r w:rsidR="008A30AF" w:rsidRPr="00B775DE">
        <w:rPr>
          <w:rFonts w:ascii="Arial" w:hAnsi="Arial"/>
          <w:b/>
          <w:kern w:val="0"/>
          <w:sz w:val="20"/>
        </w:rPr>
      </w:r>
      <w:r w:rsidR="008A30AF" w:rsidRPr="00B775DE">
        <w:rPr>
          <w:rFonts w:ascii="Arial" w:hAnsi="Arial"/>
          <w:b/>
          <w:kern w:val="0"/>
          <w:sz w:val="20"/>
        </w:rPr>
        <w:fldChar w:fldCharType="separate"/>
      </w:r>
    </w:p>
    <w:p w14:paraId="1B5F97E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 xml:space="preserve">(višina globe v hitrem </w:t>
      </w:r>
      <w:proofErr w:type="spellStart"/>
      <w:r w:rsidRPr="00B775DE">
        <w:rPr>
          <w:rFonts w:ascii="Arial" w:hAnsi="Arial"/>
          <w:b/>
          <w:kern w:val="0"/>
          <w:sz w:val="20"/>
        </w:rPr>
        <w:t>prekrškovnem</w:t>
      </w:r>
      <w:proofErr w:type="spellEnd"/>
      <w:r w:rsidRPr="00B775DE">
        <w:rPr>
          <w:rFonts w:ascii="Arial" w:hAnsi="Arial"/>
          <w:b/>
          <w:kern w:val="0"/>
          <w:sz w:val="20"/>
        </w:rPr>
        <w:t xml:space="preserve"> postopku)</w:t>
      </w:r>
    </w:p>
    <w:p w14:paraId="3D5226E5" w14:textId="77777777" w:rsidR="00E65191" w:rsidRPr="00B775DE" w:rsidRDefault="008A30AF"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fldChar w:fldCharType="end"/>
      </w:r>
    </w:p>
    <w:p w14:paraId="13AAF3B7"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Za prekrške iz te uredbe se sme v hitrem postopku izreči globa v znesku, ki je višji od najnižje predpisane globe, določene s to uredbo. </w:t>
      </w:r>
    </w:p>
    <w:p w14:paraId="205462C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05D9DE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V.</w:t>
      </w:r>
      <w:r w:rsidRPr="00B775DE">
        <w:rPr>
          <w:rFonts w:ascii="Arial" w:eastAsia="Times New Roman" w:hAnsi="Arial" w:cs="Times New Roman"/>
          <w:kern w:val="0"/>
          <w:sz w:val="20"/>
          <w:szCs w:val="24"/>
        </w:rPr>
        <w:tab/>
        <w:t>PREHODN</w:t>
      </w:r>
      <w:r w:rsidR="00743162" w:rsidRPr="00B775DE">
        <w:rPr>
          <w:rFonts w:ascii="Arial" w:eastAsia="Times New Roman" w:hAnsi="Arial" w:cs="Times New Roman"/>
          <w:kern w:val="0"/>
          <w:sz w:val="20"/>
          <w:szCs w:val="24"/>
        </w:rPr>
        <w:t>E</w:t>
      </w:r>
      <w:r w:rsidRPr="00B775DE">
        <w:rPr>
          <w:rFonts w:ascii="Arial" w:eastAsia="Times New Roman" w:hAnsi="Arial" w:cs="Times New Roman"/>
          <w:kern w:val="0"/>
          <w:sz w:val="20"/>
          <w:szCs w:val="24"/>
        </w:rPr>
        <w:t xml:space="preserve"> IN KONČNI DOLOČBI</w:t>
      </w:r>
    </w:p>
    <w:p w14:paraId="02801A5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7801B09"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72.</w:t>
      </w:r>
      <w:r w:rsidRPr="00B775DE">
        <w:rPr>
          <w:rFonts w:ascii="Arial" w:hAnsi="Arial"/>
          <w:b/>
          <w:kern w:val="0"/>
          <w:sz w:val="20"/>
        </w:rPr>
        <w:tab/>
        <w:t xml:space="preserve"> člen</w:t>
      </w:r>
    </w:p>
    <w:p w14:paraId="5899D30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(obstoječa sežigalnica)</w:t>
      </w:r>
    </w:p>
    <w:p w14:paraId="2042A60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37E939C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 </w:t>
      </w:r>
      <w:r w:rsidR="005D4850" w:rsidRPr="005D4850">
        <w:rPr>
          <w:rFonts w:ascii="Arial" w:eastAsia="Times New Roman" w:hAnsi="Arial" w:cs="Times New Roman"/>
          <w:kern w:val="0"/>
          <w:sz w:val="20"/>
          <w:szCs w:val="24"/>
        </w:rPr>
        <w:t>Ne glede na določbe te uredbe lahko koncesionar, ki upravlja z obstoječo sežigalnico odpadkov, ki izvaja gospodarsko javno službo sežiganja komunalnih odpadkov na območju občin Savinjske regije v skladu s Koncesijsko pogodbo za storitev sežiganja (termično obdelavo) komunalnih odpadkov na območju občin Savinjske regije z dne 29.</w:t>
      </w:r>
      <w:r w:rsidR="00FC42C4">
        <w:rPr>
          <w:rFonts w:ascii="Arial" w:eastAsia="Times New Roman" w:hAnsi="Arial" w:cs="Times New Roman"/>
          <w:kern w:val="0"/>
          <w:sz w:val="20"/>
          <w:szCs w:val="24"/>
        </w:rPr>
        <w:t xml:space="preserve"> </w:t>
      </w:r>
      <w:r w:rsidR="005D4850" w:rsidRPr="005D4850">
        <w:rPr>
          <w:rFonts w:ascii="Arial" w:eastAsia="Times New Roman" w:hAnsi="Arial" w:cs="Times New Roman"/>
          <w:kern w:val="0"/>
          <w:sz w:val="20"/>
          <w:szCs w:val="24"/>
        </w:rPr>
        <w:t>8.</w:t>
      </w:r>
      <w:r w:rsidR="00FC42C4">
        <w:rPr>
          <w:rFonts w:ascii="Arial" w:eastAsia="Times New Roman" w:hAnsi="Arial" w:cs="Times New Roman"/>
          <w:kern w:val="0"/>
          <w:sz w:val="20"/>
          <w:szCs w:val="24"/>
        </w:rPr>
        <w:t xml:space="preserve"> </w:t>
      </w:r>
      <w:r w:rsidR="005D4850" w:rsidRPr="005D4850">
        <w:rPr>
          <w:rFonts w:ascii="Arial" w:eastAsia="Times New Roman" w:hAnsi="Arial" w:cs="Times New Roman"/>
          <w:kern w:val="0"/>
          <w:sz w:val="20"/>
          <w:szCs w:val="24"/>
        </w:rPr>
        <w:t xml:space="preserve">2008, podaljšano z </w:t>
      </w:r>
      <w:r w:rsidR="005D4850" w:rsidRPr="005D4850">
        <w:rPr>
          <w:rFonts w:ascii="Arial" w:eastAsia="Times New Roman" w:hAnsi="Arial" w:cs="Times New Roman"/>
          <w:kern w:val="0"/>
          <w:sz w:val="20"/>
          <w:szCs w:val="24"/>
        </w:rPr>
        <w:lastRenderedPageBreak/>
        <w:t>Aneksom št. 2, št. 35405-138/2021-2550 z dne 8.</w:t>
      </w:r>
      <w:r w:rsidR="00FC42C4">
        <w:rPr>
          <w:rFonts w:ascii="Arial" w:eastAsia="Times New Roman" w:hAnsi="Arial" w:cs="Times New Roman"/>
          <w:kern w:val="0"/>
          <w:sz w:val="20"/>
          <w:szCs w:val="24"/>
        </w:rPr>
        <w:t xml:space="preserve"> </w:t>
      </w:r>
      <w:r w:rsidR="005D4850" w:rsidRPr="005D4850">
        <w:rPr>
          <w:rFonts w:ascii="Arial" w:eastAsia="Times New Roman" w:hAnsi="Arial" w:cs="Times New Roman"/>
          <w:kern w:val="0"/>
          <w:sz w:val="20"/>
          <w:szCs w:val="24"/>
        </w:rPr>
        <w:t>6.</w:t>
      </w:r>
      <w:r w:rsidR="00FC42C4">
        <w:rPr>
          <w:rFonts w:ascii="Arial" w:eastAsia="Times New Roman" w:hAnsi="Arial" w:cs="Times New Roman"/>
          <w:kern w:val="0"/>
          <w:sz w:val="20"/>
          <w:szCs w:val="24"/>
        </w:rPr>
        <w:t xml:space="preserve"> </w:t>
      </w:r>
      <w:r w:rsidR="005D4850" w:rsidRPr="005D4850">
        <w:rPr>
          <w:rFonts w:ascii="Arial" w:eastAsia="Times New Roman" w:hAnsi="Arial" w:cs="Times New Roman"/>
          <w:kern w:val="0"/>
          <w:sz w:val="20"/>
          <w:szCs w:val="24"/>
        </w:rPr>
        <w:t>2022, storitve po tej pogodbi izvaja do izteka veljavnosti te pogodbe, 29.</w:t>
      </w:r>
      <w:r w:rsidR="00FC42C4">
        <w:rPr>
          <w:rFonts w:ascii="Arial" w:eastAsia="Times New Roman" w:hAnsi="Arial" w:cs="Times New Roman"/>
          <w:kern w:val="0"/>
          <w:sz w:val="20"/>
          <w:szCs w:val="24"/>
        </w:rPr>
        <w:t xml:space="preserve"> </w:t>
      </w:r>
      <w:r w:rsidR="005D4850" w:rsidRPr="005D4850">
        <w:rPr>
          <w:rFonts w:ascii="Arial" w:eastAsia="Times New Roman" w:hAnsi="Arial" w:cs="Times New Roman"/>
          <w:kern w:val="0"/>
          <w:sz w:val="20"/>
          <w:szCs w:val="24"/>
        </w:rPr>
        <w:t>8.</w:t>
      </w:r>
      <w:r w:rsidR="00FC42C4">
        <w:rPr>
          <w:rFonts w:ascii="Arial" w:eastAsia="Times New Roman" w:hAnsi="Arial" w:cs="Times New Roman"/>
          <w:kern w:val="0"/>
          <w:sz w:val="20"/>
          <w:szCs w:val="24"/>
        </w:rPr>
        <w:t xml:space="preserve"> </w:t>
      </w:r>
      <w:r w:rsidR="005D4850" w:rsidRPr="005D4850">
        <w:rPr>
          <w:rFonts w:ascii="Arial" w:eastAsia="Times New Roman" w:hAnsi="Arial" w:cs="Times New Roman"/>
          <w:kern w:val="0"/>
          <w:sz w:val="20"/>
          <w:szCs w:val="24"/>
        </w:rPr>
        <w:t>2028</w:t>
      </w:r>
      <w:r w:rsidRPr="00B775DE">
        <w:rPr>
          <w:rFonts w:ascii="Arial" w:eastAsia="Times New Roman" w:hAnsi="Arial" w:cs="Times New Roman"/>
          <w:kern w:val="0"/>
          <w:sz w:val="20"/>
          <w:szCs w:val="24"/>
        </w:rPr>
        <w:t>.</w:t>
      </w:r>
    </w:p>
    <w:p w14:paraId="095B820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6993459" w14:textId="77777777" w:rsidR="005D4850" w:rsidRPr="005D4850" w:rsidRDefault="005D4850" w:rsidP="005D4850">
      <w:pPr>
        <w:tabs>
          <w:tab w:val="left" w:pos="708"/>
        </w:tabs>
        <w:spacing w:before="40" w:after="40" w:line="240" w:lineRule="auto"/>
        <w:jc w:val="both"/>
        <w:rPr>
          <w:rFonts w:ascii="Arial" w:eastAsia="Times New Roman" w:hAnsi="Arial" w:cs="Times New Roman"/>
          <w:kern w:val="0"/>
          <w:sz w:val="20"/>
          <w:szCs w:val="24"/>
        </w:rPr>
      </w:pPr>
      <w:r w:rsidRPr="005D4850">
        <w:rPr>
          <w:rFonts w:ascii="Arial" w:eastAsia="Times New Roman" w:hAnsi="Arial" w:cs="Times New Roman"/>
          <w:kern w:val="0"/>
          <w:sz w:val="20"/>
          <w:szCs w:val="24"/>
        </w:rPr>
        <w:t xml:space="preserve">(2) Ne glede na določbe te uredbe lahko koncesionar iz prejšnjega odstavka po pridobitvi koncesije na podlagi te uredbe izvaja obdelavo odpadkov po obstoječem postopku obdelave odpadkov, vendar največ sedem let od začetka koncesijskega razmerja po tej uredbi. </w:t>
      </w:r>
    </w:p>
    <w:p w14:paraId="0E79E4F8" w14:textId="77777777" w:rsidR="005D4850" w:rsidRPr="005D4850" w:rsidRDefault="005D4850" w:rsidP="005D4850">
      <w:pPr>
        <w:tabs>
          <w:tab w:val="left" w:pos="708"/>
        </w:tabs>
        <w:spacing w:before="40" w:after="40" w:line="240" w:lineRule="auto"/>
        <w:jc w:val="both"/>
        <w:rPr>
          <w:rFonts w:ascii="Arial" w:eastAsia="Times New Roman" w:hAnsi="Arial" w:cs="Times New Roman"/>
          <w:kern w:val="0"/>
          <w:sz w:val="20"/>
          <w:szCs w:val="24"/>
        </w:rPr>
      </w:pPr>
    </w:p>
    <w:p w14:paraId="7551BF21" w14:textId="77777777" w:rsidR="00E65191" w:rsidRPr="00B775DE" w:rsidRDefault="005D4850" w:rsidP="00E65191">
      <w:pPr>
        <w:tabs>
          <w:tab w:val="left" w:pos="708"/>
        </w:tabs>
        <w:spacing w:before="40" w:after="40" w:line="240" w:lineRule="auto"/>
        <w:rPr>
          <w:rFonts w:ascii="Arial" w:eastAsia="Times New Roman" w:hAnsi="Arial" w:cs="Times New Roman"/>
          <w:kern w:val="0"/>
          <w:sz w:val="20"/>
          <w:szCs w:val="24"/>
        </w:rPr>
      </w:pPr>
      <w:r w:rsidRPr="005D4850">
        <w:rPr>
          <w:rFonts w:ascii="Arial" w:eastAsia="Times New Roman" w:hAnsi="Arial" w:cs="Times New Roman"/>
          <w:kern w:val="0"/>
          <w:sz w:val="20"/>
          <w:szCs w:val="24"/>
        </w:rPr>
        <w:t xml:space="preserve">(3) </w:t>
      </w:r>
      <w:commentRangeStart w:id="19"/>
      <w:r w:rsidRPr="005D4850">
        <w:rPr>
          <w:rFonts w:ascii="Arial" w:eastAsia="Times New Roman" w:hAnsi="Arial" w:cs="Times New Roman"/>
          <w:kern w:val="0"/>
          <w:sz w:val="20"/>
          <w:szCs w:val="24"/>
        </w:rPr>
        <w:t>Koncedent lahko razdre koncesijsko pogodbo, sklenjeno v skladu s prejšnjim odstavkom, poleg razlogov iz 2. do 7. točke prvega odstavka 58. člena te uredbe, tudi v primeru, če koncesionar najkasneje do izteka roka iz prejšnjega odstavka sežigalnice ne prilagodi pogojem iz te uredbe</w:t>
      </w:r>
      <w:commentRangeEnd w:id="19"/>
      <w:r w:rsidR="00FC42C4">
        <w:rPr>
          <w:rStyle w:val="Pripombasklic"/>
          <w:rFonts w:ascii="Arial" w:eastAsia="Times New Roman" w:hAnsi="Arial" w:cs="Times New Roman"/>
          <w:kern w:val="0"/>
        </w:rPr>
        <w:commentReference w:id="19"/>
      </w:r>
      <w:r w:rsidRPr="005D4850">
        <w:rPr>
          <w:rFonts w:ascii="Arial" w:eastAsia="Times New Roman" w:hAnsi="Arial" w:cs="Times New Roman"/>
          <w:kern w:val="0"/>
          <w:sz w:val="20"/>
          <w:szCs w:val="24"/>
        </w:rPr>
        <w:t>.</w:t>
      </w:r>
      <w:r w:rsidRPr="005D4850" w:rsidDel="005D4850">
        <w:rPr>
          <w:rFonts w:ascii="Arial" w:eastAsia="Times New Roman" w:hAnsi="Arial" w:cs="Times New Roman"/>
          <w:kern w:val="0"/>
          <w:sz w:val="20"/>
          <w:szCs w:val="24"/>
        </w:rPr>
        <w:t xml:space="preserve"> </w:t>
      </w:r>
    </w:p>
    <w:p w14:paraId="5C1E484D"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10C8A0CB"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73. člen</w:t>
      </w:r>
    </w:p>
    <w:p w14:paraId="7BCD5805"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(začetek poročanja uporabnikov)</w:t>
      </w:r>
    </w:p>
    <w:p w14:paraId="0FB6B49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F3A2F8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Izvajalci obvezne občinske gospodarske javne službe obdelava določenih vrst komunalnih odpadkov, ki ob uveljavitvi te uredbe uporabljajo storitve gospodarske javne službe sežiganja komunalnih odpadkov po tej uredbi, morajo ministrstvu pošiljati dnevna poročila o odpadkih, ki jih prevzamejo v mehansko obdelavo od izvajalcev obvezne občinske gospodarske javne službe zbiranje, na obrazcu iz </w:t>
      </w:r>
      <w:r w:rsidR="00272BEB">
        <w:rPr>
          <w:rFonts w:ascii="Arial" w:eastAsia="Times New Roman" w:hAnsi="Arial" w:cs="Times New Roman"/>
          <w:kern w:val="0"/>
          <w:sz w:val="20"/>
          <w:szCs w:val="24"/>
        </w:rPr>
        <w:t>P</w:t>
      </w:r>
      <w:r w:rsidRPr="00B775DE">
        <w:rPr>
          <w:rFonts w:ascii="Arial" w:eastAsia="Times New Roman" w:hAnsi="Arial" w:cs="Times New Roman"/>
          <w:kern w:val="0"/>
          <w:sz w:val="20"/>
          <w:szCs w:val="24"/>
        </w:rPr>
        <w:t>riloge 3 te uredbe, od 1.</w:t>
      </w:r>
      <w:r w:rsidR="00FC42C4">
        <w:rPr>
          <w:rFonts w:ascii="Arial" w:eastAsia="Times New Roman" w:hAnsi="Arial" w:cs="Times New Roman"/>
          <w:kern w:val="0"/>
          <w:sz w:val="20"/>
          <w:szCs w:val="24"/>
        </w:rPr>
        <w:t xml:space="preserve"> </w:t>
      </w:r>
      <w:r w:rsidR="00A73E26">
        <w:rPr>
          <w:rFonts w:ascii="Arial" w:eastAsia="Times New Roman" w:hAnsi="Arial" w:cs="Times New Roman"/>
          <w:kern w:val="0"/>
          <w:sz w:val="20"/>
          <w:szCs w:val="24"/>
        </w:rPr>
        <w:t>1.</w:t>
      </w:r>
      <w:r w:rsidR="00FC42C4">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2029.</w:t>
      </w:r>
    </w:p>
    <w:p w14:paraId="263D92B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331BC43"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74. člen</w:t>
      </w:r>
    </w:p>
    <w:p w14:paraId="46102B02"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(prehodno obdobje vzpostavitve gospodarske javne službe)</w:t>
      </w:r>
    </w:p>
    <w:p w14:paraId="754ECF4E" w14:textId="77777777" w:rsidR="00272BEB" w:rsidRPr="00B775DE" w:rsidRDefault="00272BEB" w:rsidP="00E65191">
      <w:pPr>
        <w:tabs>
          <w:tab w:val="left" w:pos="708"/>
        </w:tabs>
        <w:spacing w:before="40" w:after="40" w:line="240" w:lineRule="auto"/>
        <w:rPr>
          <w:rFonts w:ascii="Arial" w:eastAsia="Times New Roman" w:hAnsi="Arial" w:cs="Times New Roman"/>
          <w:kern w:val="0"/>
          <w:sz w:val="20"/>
          <w:szCs w:val="24"/>
        </w:rPr>
      </w:pPr>
    </w:p>
    <w:p w14:paraId="5EA8F9DA" w14:textId="68BFD9FF" w:rsidR="003B47BF" w:rsidRDefault="003B47BF" w:rsidP="003B47BF">
      <w:pPr>
        <w:tabs>
          <w:tab w:val="left" w:pos="708"/>
        </w:tabs>
        <w:spacing w:before="40" w:after="40" w:line="240" w:lineRule="auto"/>
        <w:jc w:val="both"/>
        <w:rPr>
          <w:rFonts w:ascii="Arial" w:eastAsia="Times New Roman" w:hAnsi="Arial" w:cs="Times New Roman"/>
          <w:kern w:val="0"/>
          <w:sz w:val="20"/>
          <w:szCs w:val="24"/>
        </w:rPr>
      </w:pPr>
      <w:r w:rsidRPr="002E7447">
        <w:rPr>
          <w:rFonts w:ascii="Arial" w:eastAsia="Times New Roman" w:hAnsi="Arial" w:cs="Times New Roman"/>
          <w:kern w:val="0"/>
          <w:sz w:val="20"/>
          <w:szCs w:val="24"/>
        </w:rPr>
        <w:t>(1) Začetne količine za izvajanje gospodarske javne službe, ki so podlaga za javni razpis so določene za območja izvajanja gospodarske javne službe in sicer za 1. območje 86.000 ton, 2. območje 23. 000 ton in 3. območje 31 .000 ton</w:t>
      </w:r>
      <w:r>
        <w:rPr>
          <w:rFonts w:ascii="Arial" w:eastAsia="Times New Roman" w:hAnsi="Arial" w:cs="Times New Roman"/>
          <w:kern w:val="0"/>
          <w:sz w:val="20"/>
          <w:szCs w:val="24"/>
        </w:rPr>
        <w:t>.</w:t>
      </w:r>
    </w:p>
    <w:p w14:paraId="020D9E62" w14:textId="77777777" w:rsidR="00C22345" w:rsidRDefault="00C22345" w:rsidP="003B47BF">
      <w:pPr>
        <w:tabs>
          <w:tab w:val="left" w:pos="708"/>
        </w:tabs>
        <w:spacing w:before="40" w:after="40" w:line="240" w:lineRule="auto"/>
        <w:jc w:val="both"/>
        <w:rPr>
          <w:rFonts w:ascii="Arial" w:eastAsia="Times New Roman" w:hAnsi="Arial" w:cs="Times New Roman"/>
          <w:kern w:val="0"/>
          <w:sz w:val="20"/>
          <w:szCs w:val="24"/>
        </w:rPr>
      </w:pPr>
    </w:p>
    <w:p w14:paraId="15471159" w14:textId="33D8B97F" w:rsidR="00C22345" w:rsidRPr="00B775DE" w:rsidRDefault="00C22345" w:rsidP="003B47BF">
      <w:pPr>
        <w:tabs>
          <w:tab w:val="left" w:pos="708"/>
        </w:tabs>
        <w:spacing w:before="40" w:after="40" w:line="240" w:lineRule="auto"/>
        <w:jc w:val="both"/>
        <w:rPr>
          <w:rFonts w:ascii="Arial" w:eastAsia="Times New Roman" w:hAnsi="Arial" w:cs="Times New Roman"/>
          <w:kern w:val="0"/>
          <w:sz w:val="20"/>
          <w:szCs w:val="24"/>
        </w:rPr>
      </w:pPr>
      <w:r>
        <w:rPr>
          <w:rFonts w:ascii="Arial" w:eastAsia="Times New Roman" w:hAnsi="Arial" w:cs="Times New Roman"/>
          <w:kern w:val="0"/>
          <w:sz w:val="20"/>
          <w:szCs w:val="24"/>
        </w:rPr>
        <w:t>(2) Vlada</w:t>
      </w:r>
      <w:commentRangeStart w:id="20"/>
      <w:r w:rsidRPr="00B775DE">
        <w:rPr>
          <w:rFonts w:ascii="Arial" w:eastAsia="Times New Roman" w:hAnsi="Arial" w:cs="Times New Roman"/>
          <w:kern w:val="0"/>
          <w:sz w:val="20"/>
          <w:szCs w:val="24"/>
        </w:rPr>
        <w:t xml:space="preserve"> izvajalcu gospodarske javne službe, ki to službo začne izvajati, določi ceno za prvo triletno obdobje najpozneje pred začetkom izvajanja gospodarske javne službe</w:t>
      </w:r>
      <w:commentRangeEnd w:id="20"/>
      <w:r>
        <w:rPr>
          <w:rStyle w:val="Pripombasklic"/>
          <w:rFonts w:ascii="Arial" w:eastAsia="Times New Roman" w:hAnsi="Arial" w:cs="Times New Roman"/>
          <w:kern w:val="0"/>
        </w:rPr>
        <w:commentReference w:id="20"/>
      </w:r>
      <w:r>
        <w:rPr>
          <w:rFonts w:ascii="Arial" w:eastAsia="Times New Roman" w:hAnsi="Arial" w:cs="Times New Roman"/>
          <w:kern w:val="0"/>
          <w:sz w:val="20"/>
          <w:szCs w:val="24"/>
        </w:rPr>
        <w:t>.</w:t>
      </w:r>
    </w:p>
    <w:p w14:paraId="09F12086" w14:textId="77777777" w:rsidR="003B47BF" w:rsidRDefault="003B47BF" w:rsidP="00E65191">
      <w:pPr>
        <w:tabs>
          <w:tab w:val="left" w:pos="708"/>
        </w:tabs>
        <w:spacing w:before="40" w:after="40" w:line="240" w:lineRule="auto"/>
        <w:jc w:val="both"/>
        <w:rPr>
          <w:rFonts w:ascii="Arial" w:eastAsia="Times New Roman" w:hAnsi="Arial" w:cs="Times New Roman"/>
          <w:kern w:val="0"/>
          <w:sz w:val="20"/>
          <w:szCs w:val="24"/>
        </w:rPr>
      </w:pPr>
    </w:p>
    <w:p w14:paraId="6B73CC88" w14:textId="6D68A4EF" w:rsidR="00E65191" w:rsidRPr="00B775DE" w:rsidRDefault="003B47BF" w:rsidP="00E65191">
      <w:pPr>
        <w:tabs>
          <w:tab w:val="left" w:pos="708"/>
        </w:tabs>
        <w:spacing w:before="40" w:after="40" w:line="240" w:lineRule="auto"/>
        <w:jc w:val="both"/>
        <w:rPr>
          <w:rFonts w:ascii="Arial" w:eastAsia="Times New Roman" w:hAnsi="Arial" w:cs="Times New Roman"/>
          <w:kern w:val="0"/>
          <w:sz w:val="20"/>
          <w:szCs w:val="24"/>
        </w:rPr>
      </w:pPr>
      <w:r>
        <w:rPr>
          <w:rFonts w:ascii="Arial" w:eastAsia="Times New Roman" w:hAnsi="Arial" w:cs="Times New Roman"/>
          <w:kern w:val="0"/>
          <w:sz w:val="20"/>
          <w:szCs w:val="24"/>
        </w:rPr>
        <w:t>(</w:t>
      </w:r>
      <w:r w:rsidR="00C22345">
        <w:rPr>
          <w:rFonts w:ascii="Arial" w:eastAsia="Times New Roman" w:hAnsi="Arial" w:cs="Times New Roman"/>
          <w:kern w:val="0"/>
          <w:sz w:val="20"/>
          <w:szCs w:val="24"/>
        </w:rPr>
        <w:t>3</w:t>
      </w:r>
      <w:r>
        <w:rPr>
          <w:rFonts w:ascii="Arial" w:eastAsia="Times New Roman" w:hAnsi="Arial" w:cs="Times New Roman"/>
          <w:kern w:val="0"/>
          <w:sz w:val="20"/>
          <w:szCs w:val="24"/>
        </w:rPr>
        <w:t xml:space="preserve">) </w:t>
      </w:r>
      <w:r w:rsidR="00272BEB">
        <w:rPr>
          <w:rFonts w:ascii="Arial" w:eastAsia="Times New Roman" w:hAnsi="Arial" w:cs="Times New Roman"/>
          <w:kern w:val="0"/>
          <w:sz w:val="20"/>
          <w:szCs w:val="24"/>
        </w:rPr>
        <w:t xml:space="preserve">Ne glede na določbo </w:t>
      </w:r>
      <w:r w:rsidR="005D4850">
        <w:rPr>
          <w:rFonts w:ascii="Arial" w:eastAsia="Times New Roman" w:hAnsi="Arial" w:cs="Times New Roman"/>
          <w:kern w:val="0"/>
          <w:sz w:val="20"/>
          <w:szCs w:val="24"/>
        </w:rPr>
        <w:t>10</w:t>
      </w:r>
      <w:r w:rsidR="00272BEB">
        <w:rPr>
          <w:rFonts w:ascii="Arial" w:eastAsia="Times New Roman" w:hAnsi="Arial" w:cs="Times New Roman"/>
          <w:kern w:val="0"/>
          <w:sz w:val="20"/>
          <w:szCs w:val="24"/>
        </w:rPr>
        <w:t xml:space="preserve">. člena te uredbe, lahko </w:t>
      </w:r>
      <w:r w:rsidR="005D4850" w:rsidRPr="00B775DE">
        <w:rPr>
          <w:rFonts w:ascii="Arial" w:eastAsia="Times New Roman" w:hAnsi="Arial" w:cs="Times New Roman"/>
          <w:kern w:val="0"/>
          <w:sz w:val="20"/>
          <w:szCs w:val="24"/>
        </w:rPr>
        <w:t>izvajalec mehanske obdelave komunalnih odpadkov izven območja iz 72. člena te uredbe</w:t>
      </w:r>
      <w:r w:rsidR="005D4850">
        <w:rPr>
          <w:rFonts w:ascii="Arial" w:eastAsia="Times New Roman" w:hAnsi="Arial" w:cs="Times New Roman"/>
          <w:kern w:val="0"/>
          <w:sz w:val="20"/>
          <w:szCs w:val="24"/>
        </w:rPr>
        <w:t>,</w:t>
      </w:r>
      <w:r w:rsidR="005D4850" w:rsidDel="005D4850">
        <w:rPr>
          <w:rFonts w:ascii="Arial" w:eastAsia="Times New Roman" w:hAnsi="Arial" w:cs="Times New Roman"/>
          <w:kern w:val="0"/>
          <w:sz w:val="20"/>
          <w:szCs w:val="24"/>
        </w:rPr>
        <w:t xml:space="preserve"> </w:t>
      </w:r>
      <w:r w:rsidR="005D4850">
        <w:rPr>
          <w:rFonts w:ascii="Arial" w:eastAsia="Times New Roman" w:hAnsi="Arial" w:cs="Times New Roman"/>
          <w:kern w:val="0"/>
          <w:sz w:val="20"/>
          <w:szCs w:val="24"/>
        </w:rPr>
        <w:t>d</w:t>
      </w:r>
      <w:r w:rsidR="00E65191" w:rsidRPr="00B775DE">
        <w:rPr>
          <w:rFonts w:ascii="Arial" w:eastAsia="Times New Roman" w:hAnsi="Arial" w:cs="Times New Roman"/>
          <w:kern w:val="0"/>
          <w:sz w:val="20"/>
          <w:szCs w:val="24"/>
        </w:rPr>
        <w:t xml:space="preserve">o vzpostavitve gospodarske javne službe po tej uredbi pošlje odpadke v postopek energetske izrabe R1 v Republiki Sloveniji ali drugi državi ob upoštevanju predpisov Republike Slovenije in </w:t>
      </w:r>
      <w:r w:rsidR="005D4850">
        <w:rPr>
          <w:rFonts w:ascii="Arial" w:eastAsia="Times New Roman" w:hAnsi="Arial" w:cs="Times New Roman"/>
          <w:kern w:val="0"/>
          <w:sz w:val="20"/>
          <w:szCs w:val="24"/>
        </w:rPr>
        <w:t>Evropske unije</w:t>
      </w:r>
      <w:r w:rsidR="00E65191" w:rsidRPr="00B775DE">
        <w:rPr>
          <w:rFonts w:ascii="Arial" w:eastAsia="Times New Roman" w:hAnsi="Arial" w:cs="Times New Roman"/>
          <w:kern w:val="0"/>
          <w:sz w:val="20"/>
          <w:szCs w:val="24"/>
        </w:rPr>
        <w:t xml:space="preserve">, ki urejajo pošiljke odpadkov.  </w:t>
      </w:r>
    </w:p>
    <w:p w14:paraId="7A5419D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7712EEC"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75.</w:t>
      </w:r>
      <w:r w:rsidRPr="00B775DE">
        <w:rPr>
          <w:rFonts w:ascii="Arial" w:hAnsi="Arial"/>
          <w:b/>
          <w:kern w:val="0"/>
          <w:sz w:val="20"/>
        </w:rPr>
        <w:tab/>
        <w:t>člen</w:t>
      </w:r>
    </w:p>
    <w:p w14:paraId="1C21BC20"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(prenehanje veljavnosti)</w:t>
      </w:r>
    </w:p>
    <w:p w14:paraId="553AC76E"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p>
    <w:p w14:paraId="4B019C74" w14:textId="77777777" w:rsidR="005D4850" w:rsidRPr="005D4850" w:rsidRDefault="005D4850" w:rsidP="005D4850">
      <w:pPr>
        <w:overflowPunct w:val="0"/>
        <w:autoSpaceDE w:val="0"/>
        <w:autoSpaceDN w:val="0"/>
        <w:adjustRightInd w:val="0"/>
        <w:spacing w:after="0" w:line="260" w:lineRule="exact"/>
        <w:ind w:left="284" w:hanging="284"/>
        <w:jc w:val="center"/>
        <w:textAlignment w:val="baseline"/>
        <w:rPr>
          <w:rFonts w:ascii="Arial" w:eastAsia="Times New Roman" w:hAnsi="Arial" w:cs="Times New Roman"/>
          <w:kern w:val="0"/>
          <w:sz w:val="20"/>
          <w:szCs w:val="24"/>
        </w:rPr>
      </w:pPr>
      <w:r w:rsidRPr="005D4850">
        <w:rPr>
          <w:rFonts w:ascii="Arial" w:eastAsia="Times New Roman" w:hAnsi="Arial" w:cs="Times New Roman"/>
          <w:kern w:val="0"/>
          <w:sz w:val="20"/>
          <w:szCs w:val="24"/>
        </w:rPr>
        <w:t>(1) Z dnem uveljavitve te uredbe preneha veljati Uredba o opravljanju obvezne državne gospodarske javne službe sežiganja komunalnih odpadkov (Uradni list RS, št. 67/22).</w:t>
      </w:r>
    </w:p>
    <w:p w14:paraId="17DBF1A6" w14:textId="77777777" w:rsidR="00E65191" w:rsidRPr="00B775DE" w:rsidRDefault="005D4850" w:rsidP="005D4850">
      <w:pPr>
        <w:tabs>
          <w:tab w:val="left" w:pos="708"/>
        </w:tabs>
        <w:spacing w:before="40" w:after="40" w:line="240" w:lineRule="auto"/>
        <w:jc w:val="both"/>
        <w:rPr>
          <w:rFonts w:ascii="Arial" w:eastAsia="Times New Roman" w:hAnsi="Arial" w:cs="Times New Roman"/>
          <w:kern w:val="0"/>
          <w:sz w:val="20"/>
          <w:szCs w:val="24"/>
        </w:rPr>
      </w:pPr>
      <w:r w:rsidRPr="005D4850">
        <w:rPr>
          <w:rFonts w:ascii="Arial" w:eastAsia="Times New Roman" w:hAnsi="Arial" w:cs="Times New Roman"/>
          <w:kern w:val="0"/>
          <w:sz w:val="20"/>
          <w:szCs w:val="24"/>
        </w:rPr>
        <w:t>(2) Ne glede na prejšnji odstavek se do prenehanja koncesije, podaljšane na podlagi postopka za podaljšanje koncesije, začetega na podlagi Uredbe o načinu opravljanja obvezne državne gospodarske javne službe sežiganja komunalnih odpadkov (Uradni list RS, št. 123/04, 106/05, 6/16, 44/22 – ZVO-2 in 67/22) in Uredbe o načinu, predmetu in pogojih opravljanja obvezne državne gospodarske javne službe sežiganja komunalnih odpadkov na območju občin Savinjske regije (Uradni list RS, št. 123/04, 106/05, 6/16, 44/22 – ZVO-2 in 67/22), uporabljajo določbe predpisov iz tega odstavka.</w:t>
      </w:r>
      <w:r w:rsidR="00E65191" w:rsidRPr="00B775DE">
        <w:rPr>
          <w:rFonts w:ascii="Arial" w:eastAsia="Times New Roman" w:hAnsi="Arial" w:cs="Times New Roman"/>
          <w:kern w:val="0"/>
          <w:sz w:val="20"/>
          <w:szCs w:val="24"/>
        </w:rPr>
        <w:t xml:space="preserve"> </w:t>
      </w:r>
    </w:p>
    <w:p w14:paraId="6BD2292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8825BD7"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76.</w:t>
      </w:r>
      <w:r w:rsidRPr="00B775DE">
        <w:rPr>
          <w:rFonts w:ascii="Arial" w:hAnsi="Arial"/>
          <w:b/>
          <w:kern w:val="0"/>
          <w:sz w:val="20"/>
        </w:rPr>
        <w:tab/>
        <w:t xml:space="preserve"> člen</w:t>
      </w:r>
    </w:p>
    <w:p w14:paraId="3C0A45CF" w14:textId="77777777" w:rsidR="00E65191" w:rsidRPr="00B775DE" w:rsidRDefault="00E65191" w:rsidP="00E65191">
      <w:pPr>
        <w:overflowPunct w:val="0"/>
        <w:autoSpaceDE w:val="0"/>
        <w:autoSpaceDN w:val="0"/>
        <w:adjustRightInd w:val="0"/>
        <w:spacing w:after="0" w:line="260" w:lineRule="exact"/>
        <w:ind w:left="284" w:hanging="284"/>
        <w:jc w:val="center"/>
        <w:textAlignment w:val="baseline"/>
        <w:rPr>
          <w:rFonts w:ascii="Arial" w:hAnsi="Arial"/>
          <w:b/>
          <w:kern w:val="0"/>
          <w:sz w:val="20"/>
        </w:rPr>
      </w:pPr>
      <w:r w:rsidRPr="00B775DE">
        <w:rPr>
          <w:rFonts w:ascii="Arial" w:hAnsi="Arial"/>
          <w:b/>
          <w:kern w:val="0"/>
          <w:sz w:val="20"/>
        </w:rPr>
        <w:t>(začetek veljavnosti)</w:t>
      </w:r>
    </w:p>
    <w:p w14:paraId="7124F60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1FF76F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uredba začne veljati petnajsti dan po objavi v Uradnem listu Republike Slovenije.</w:t>
      </w:r>
    </w:p>
    <w:bookmarkEnd w:id="6"/>
    <w:p w14:paraId="30837E2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F8A8BC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1206E2A" w14:textId="77777777" w:rsidR="00E65191" w:rsidRPr="00B775DE" w:rsidRDefault="00E65191" w:rsidP="00E65191">
      <w:pPr>
        <w:tabs>
          <w:tab w:val="left" w:pos="708"/>
        </w:tabs>
        <w:spacing w:before="40" w:after="40" w:line="240" w:lineRule="auto"/>
        <w:rPr>
          <w:rFonts w:ascii="Arial" w:eastAsia="Times New Roman" w:hAnsi="Arial" w:cs="Times New Roman"/>
          <w:bCs/>
          <w:kern w:val="0"/>
          <w:sz w:val="20"/>
          <w:szCs w:val="24"/>
        </w:rPr>
      </w:pPr>
      <w:r w:rsidRPr="00B775DE">
        <w:rPr>
          <w:rFonts w:ascii="Arial" w:eastAsia="Times New Roman" w:hAnsi="Arial" w:cs="Times New Roman"/>
          <w:bCs/>
          <w:kern w:val="0"/>
          <w:sz w:val="20"/>
          <w:szCs w:val="24"/>
        </w:rPr>
        <w:lastRenderedPageBreak/>
        <w:t>Št.</w:t>
      </w:r>
    </w:p>
    <w:p w14:paraId="142F0F3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Cs/>
          <w:kern w:val="0"/>
          <w:sz w:val="20"/>
          <w:szCs w:val="24"/>
        </w:rPr>
        <w:t xml:space="preserve">Ljubljana, dne </w:t>
      </w:r>
    </w:p>
    <w:p w14:paraId="6C665450" w14:textId="77777777" w:rsidR="00E65191" w:rsidRPr="00B775DE" w:rsidRDefault="00E65191" w:rsidP="00E65191">
      <w:pPr>
        <w:tabs>
          <w:tab w:val="left" w:pos="708"/>
        </w:tabs>
        <w:spacing w:before="40" w:after="40" w:line="240" w:lineRule="auto"/>
        <w:rPr>
          <w:rFonts w:ascii="Arial" w:eastAsia="Times New Roman" w:hAnsi="Arial" w:cs="Times New Roman"/>
          <w:bCs/>
          <w:kern w:val="0"/>
          <w:sz w:val="20"/>
          <w:szCs w:val="24"/>
        </w:rPr>
      </w:pPr>
      <w:r w:rsidRPr="00B775DE">
        <w:rPr>
          <w:rFonts w:ascii="Arial" w:eastAsia="Times New Roman" w:hAnsi="Arial" w:cs="Times New Roman"/>
          <w:kern w:val="0"/>
          <w:sz w:val="20"/>
          <w:szCs w:val="24"/>
        </w:rPr>
        <w:t>EVA 2024-2570-0037</w:t>
      </w:r>
    </w:p>
    <w:p w14:paraId="2CBD83E4"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t>Vlada Republike Slovenije</w:t>
      </w:r>
    </w:p>
    <w:p w14:paraId="7D797AFF"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t>dr. Robert Golob</w:t>
      </w:r>
    </w:p>
    <w:p w14:paraId="3870792E" w14:textId="77777777" w:rsidR="00E65191" w:rsidRPr="00B775DE" w:rsidRDefault="00E65191" w:rsidP="00E65191">
      <w:pPr>
        <w:tabs>
          <w:tab w:val="left" w:pos="708"/>
        </w:tabs>
        <w:spacing w:before="40" w:after="40" w:line="240" w:lineRule="auto"/>
        <w:jc w:val="center"/>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r>
      <w:r w:rsidRPr="00B775DE">
        <w:rPr>
          <w:rFonts w:ascii="Arial" w:eastAsia="Times New Roman" w:hAnsi="Arial" w:cs="Times New Roman"/>
          <w:b/>
          <w:bCs/>
          <w:kern w:val="0"/>
          <w:sz w:val="20"/>
          <w:szCs w:val="24"/>
        </w:rPr>
        <w:tab/>
        <w:t>predsednik</w:t>
      </w:r>
    </w:p>
    <w:p w14:paraId="4DE5ACF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br w:type="page"/>
      </w:r>
    </w:p>
    <w:p w14:paraId="7F29054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3BC393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PRILOGA 1</w:t>
      </w:r>
    </w:p>
    <w:p w14:paraId="46EB539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CF2773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A) Gospodarska javna služba</w:t>
      </w:r>
    </w:p>
    <w:p w14:paraId="0CD424A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418F63A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Mešani komunalni odpadki s številko 20 03 01</w:t>
      </w:r>
    </w:p>
    <w:p w14:paraId="34EDD11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27BECC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21" w:name="_Hlk176720489"/>
      <w:r w:rsidRPr="00B775DE">
        <w:rPr>
          <w:rFonts w:ascii="Arial" w:eastAsia="Times New Roman" w:hAnsi="Arial" w:cs="Times New Roman"/>
          <w:kern w:val="0"/>
          <w:sz w:val="20"/>
          <w:szCs w:val="24"/>
        </w:rPr>
        <w:t xml:space="preserve">Za </w:t>
      </w:r>
      <w:bookmarkStart w:id="22" w:name="_Hlk176721936"/>
      <w:r w:rsidRPr="00B775DE">
        <w:rPr>
          <w:rFonts w:ascii="Arial" w:eastAsia="Times New Roman" w:hAnsi="Arial" w:cs="Times New Roman"/>
          <w:kern w:val="0"/>
          <w:sz w:val="20"/>
          <w:szCs w:val="24"/>
        </w:rPr>
        <w:t xml:space="preserve">mešane komunalne odpadke s številko 20 03 01 </w:t>
      </w:r>
      <w:bookmarkStart w:id="23" w:name="_Hlk174287400"/>
      <w:bookmarkEnd w:id="21"/>
      <w:bookmarkEnd w:id="22"/>
      <w:r w:rsidRPr="00B775DE">
        <w:rPr>
          <w:rFonts w:ascii="Arial" w:eastAsia="Times New Roman" w:hAnsi="Arial" w:cs="Times New Roman"/>
          <w:kern w:val="0"/>
          <w:sz w:val="20"/>
          <w:szCs w:val="24"/>
        </w:rPr>
        <w:t xml:space="preserve">(v nadaljnjem besedilu: MKO) se največja količina gorljivih sestavin, ki se v posameznem koledarskem letu sežgejo v obratu v okviru storitev gospodarske javne službe, določi za vsako občino posebej kot vsota: </w:t>
      </w:r>
      <w:bookmarkEnd w:id="23"/>
    </w:p>
    <w:p w14:paraId="07382ED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169DB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24" w:name="_Hlk174293103"/>
      <w:bookmarkStart w:id="25" w:name="_Hlk174282121"/>
      <w:r w:rsidRPr="00B775DE">
        <w:rPr>
          <w:rFonts w:ascii="Arial" w:eastAsia="Times New Roman" w:hAnsi="Arial" w:cs="Times New Roman"/>
          <w:kern w:val="0"/>
          <w:sz w:val="20"/>
          <w:szCs w:val="24"/>
        </w:rPr>
        <w:tab/>
        <w:t xml:space="preserve">- največje </w:t>
      </w:r>
      <w:bookmarkStart w:id="26" w:name="_Hlk174282463"/>
      <w:r w:rsidRPr="00B775DE">
        <w:rPr>
          <w:rFonts w:ascii="Arial" w:eastAsia="Times New Roman" w:hAnsi="Arial" w:cs="Times New Roman"/>
          <w:kern w:val="0"/>
          <w:sz w:val="20"/>
          <w:szCs w:val="24"/>
        </w:rPr>
        <w:t xml:space="preserve">letne količine papirja </w:t>
      </w:r>
      <w:bookmarkEnd w:id="26"/>
      <w:r w:rsidRPr="00B775DE">
        <w:rPr>
          <w:rFonts w:ascii="Arial" w:eastAsia="Times New Roman" w:hAnsi="Arial" w:cs="Times New Roman"/>
          <w:kern w:val="0"/>
          <w:sz w:val="20"/>
          <w:szCs w:val="24"/>
        </w:rPr>
        <w:t>v MKO,</w:t>
      </w:r>
    </w:p>
    <w:bookmarkEnd w:id="24"/>
    <w:p w14:paraId="25055F9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b/>
        <w:t>- največje letne količine tekstila v MKO,</w:t>
      </w:r>
    </w:p>
    <w:p w14:paraId="5A31AE0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ab/>
        <w:t>- največje letne količine lesa v MKO,</w:t>
      </w:r>
    </w:p>
    <w:bookmarkEnd w:id="25"/>
    <w:p w14:paraId="3EED170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b/>
        <w:t xml:space="preserve">- največje letne količine plastike v MKO in </w:t>
      </w:r>
    </w:p>
    <w:p w14:paraId="2899705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b/>
        <w:t>- največje letne količine gorljivih drugih odpadkov v MKO.</w:t>
      </w:r>
    </w:p>
    <w:p w14:paraId="21786D3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27" w:name="_Hlk174290878"/>
    </w:p>
    <w:p w14:paraId="2401964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količine papirja, tekstila, lesa, plastike in gorljivih drugih odpadkov v MKO se v posameznem koledarskem letu za območje posamezne občine izračuna na podlagi naslednje enačbe:</w:t>
      </w:r>
    </w:p>
    <w:p w14:paraId="6BEE81A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7F09A1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i </w:t>
      </w:r>
      <w:r w:rsidRPr="00B775DE">
        <w:rPr>
          <w:rFonts w:ascii="Arial" w:eastAsia="Times New Roman" w:hAnsi="Arial" w:cs="Times New Roman"/>
          <w:b/>
          <w:kern w:val="0"/>
          <w:sz w:val="20"/>
          <w:szCs w:val="24"/>
        </w:rPr>
        <w:t>= (</w:t>
      </w:r>
      <w:bookmarkStart w:id="28" w:name="_Hlk174283726"/>
      <w:r w:rsidRPr="00B775DE">
        <w:rPr>
          <w:rFonts w:ascii="Arial" w:eastAsia="Times New Roman" w:hAnsi="Arial" w:cs="Times New Roman"/>
          <w:b/>
          <w:kern w:val="0"/>
          <w:sz w:val="20"/>
          <w:szCs w:val="24"/>
        </w:rPr>
        <w:t>letna količina MKO</w:t>
      </w:r>
      <w:bookmarkEnd w:id="28"/>
      <w:r w:rsidRPr="00B775DE">
        <w:rPr>
          <w:rFonts w:ascii="Arial" w:eastAsia="Times New Roman" w:hAnsi="Arial" w:cs="Times New Roman"/>
          <w:b/>
          <w:kern w:val="0"/>
          <w:sz w:val="20"/>
          <w:szCs w:val="24"/>
        </w:rPr>
        <w:t>) * (delež odpadka »i«) * (delež prebivalcev v občini)</w:t>
      </w:r>
    </w:p>
    <w:p w14:paraId="2453533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BAC6B6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10A1230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57"/>
        <w:gridCol w:w="6307"/>
        <w:gridCol w:w="134"/>
      </w:tblGrid>
      <w:tr w:rsidR="00E65191" w:rsidRPr="00B775DE" w14:paraId="704EA6B1" w14:textId="77777777" w:rsidTr="00C21643">
        <w:trPr>
          <w:gridAfter w:val="1"/>
          <w:wAfter w:w="140" w:type="dxa"/>
        </w:trPr>
        <w:tc>
          <w:tcPr>
            <w:tcW w:w="2093" w:type="dxa"/>
            <w:shd w:val="clear" w:color="auto" w:fill="auto"/>
          </w:tcPr>
          <w:p w14:paraId="10C906B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i</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0B12EE5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količina odpadka z oznako »i« v MKO</w:t>
            </w:r>
          </w:p>
        </w:tc>
      </w:tr>
      <w:tr w:rsidR="00E65191" w:rsidRPr="00B775DE" w14:paraId="16E5EBC1" w14:textId="77777777" w:rsidTr="00C21643">
        <w:trPr>
          <w:gridAfter w:val="1"/>
          <w:wAfter w:w="140" w:type="dxa"/>
        </w:trPr>
        <w:tc>
          <w:tcPr>
            <w:tcW w:w="2093" w:type="dxa"/>
            <w:shd w:val="clear" w:color="auto" w:fill="auto"/>
          </w:tcPr>
          <w:p w14:paraId="145DD6C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odpadek »i«   </w:t>
            </w:r>
            <w:r w:rsidRPr="00B775DE">
              <w:rPr>
                <w:rFonts w:ascii="Arial" w:eastAsia="Times New Roman" w:hAnsi="Arial" w:cs="Times New Roman"/>
                <w:kern w:val="0"/>
                <w:sz w:val="20"/>
                <w:szCs w:val="24"/>
              </w:rPr>
              <w:t xml:space="preserve">         </w:t>
            </w:r>
          </w:p>
        </w:tc>
        <w:tc>
          <w:tcPr>
            <w:tcW w:w="6545" w:type="dxa"/>
            <w:shd w:val="clear" w:color="auto" w:fill="auto"/>
            <w:vAlign w:val="center"/>
          </w:tcPr>
          <w:p w14:paraId="6F0466B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i = 1 za papir, i = 2 za tekstil, i = 3 za les, i = 4 za plastiko in i = 5 za gorljive druge odpadke</w:t>
            </w:r>
          </w:p>
        </w:tc>
      </w:tr>
      <w:tr w:rsidR="00E65191" w:rsidRPr="00B775DE" w14:paraId="53931AFE" w14:textId="77777777" w:rsidTr="00C21643">
        <w:trPr>
          <w:gridAfter w:val="1"/>
          <w:wAfter w:w="140" w:type="dxa"/>
        </w:trPr>
        <w:tc>
          <w:tcPr>
            <w:tcW w:w="2093" w:type="dxa"/>
            <w:shd w:val="clear" w:color="auto" w:fill="auto"/>
          </w:tcPr>
          <w:p w14:paraId="0D91FA1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letna količina MKO</w:t>
            </w:r>
          </w:p>
        </w:tc>
        <w:tc>
          <w:tcPr>
            <w:tcW w:w="6545" w:type="dxa"/>
            <w:shd w:val="clear" w:color="auto" w:fill="auto"/>
            <w:vAlign w:val="center"/>
          </w:tcPr>
          <w:p w14:paraId="3434404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MKO, ki nastanejo v posameznem koledarskem letu na ozemlju Republike Slovenije na podlagi modelnega izračuna scenarijev razvoja ravnanja s komunalnimi odpadki</w:t>
            </w:r>
          </w:p>
        </w:tc>
      </w:tr>
      <w:tr w:rsidR="00E65191" w:rsidRPr="00B775DE" w14:paraId="0E25DC6A" w14:textId="77777777" w:rsidTr="00C21643">
        <w:tc>
          <w:tcPr>
            <w:tcW w:w="2093" w:type="dxa"/>
            <w:shd w:val="clear" w:color="auto" w:fill="auto"/>
          </w:tcPr>
          <w:p w14:paraId="4D7F606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6545" w:type="dxa"/>
            <w:gridSpan w:val="2"/>
            <w:shd w:val="clear" w:color="auto" w:fill="auto"/>
            <w:vAlign w:val="center"/>
          </w:tcPr>
          <w:p w14:paraId="2AA16ED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r>
      <w:tr w:rsidR="00E65191" w:rsidRPr="00B775DE" w14:paraId="3B646D85" w14:textId="77777777" w:rsidTr="00C21643">
        <w:trPr>
          <w:gridAfter w:val="1"/>
          <w:wAfter w:w="140" w:type="dxa"/>
        </w:trPr>
        <w:tc>
          <w:tcPr>
            <w:tcW w:w="2093" w:type="dxa"/>
            <w:shd w:val="clear" w:color="auto" w:fill="auto"/>
          </w:tcPr>
          <w:p w14:paraId="5D858BB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odpadka »i«</w:t>
            </w:r>
          </w:p>
        </w:tc>
        <w:tc>
          <w:tcPr>
            <w:tcW w:w="6545" w:type="dxa"/>
            <w:shd w:val="clear" w:color="auto" w:fill="auto"/>
            <w:vAlign w:val="center"/>
          </w:tcPr>
          <w:p w14:paraId="674E216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povprečni delež odpadka »i« v MKO, ki nastanejo v posameznem koledarskem letu na ozemlju Republike Slovenije, in je ocenjen na podlagi rezultatov </w:t>
            </w:r>
            <w:proofErr w:type="spellStart"/>
            <w:r w:rsidRPr="00B775DE">
              <w:rPr>
                <w:rFonts w:ascii="Arial" w:eastAsia="Times New Roman" w:hAnsi="Arial" w:cs="Times New Roman"/>
                <w:kern w:val="0"/>
                <w:sz w:val="20"/>
                <w:szCs w:val="24"/>
              </w:rPr>
              <w:t>sortirnih</w:t>
            </w:r>
            <w:proofErr w:type="spellEnd"/>
            <w:r w:rsidRPr="00B775DE">
              <w:rPr>
                <w:rFonts w:ascii="Arial" w:eastAsia="Times New Roman" w:hAnsi="Arial" w:cs="Times New Roman"/>
                <w:kern w:val="0"/>
                <w:sz w:val="20"/>
                <w:szCs w:val="24"/>
              </w:rPr>
              <w:t xml:space="preserve"> analiz MKO, izdelanih za izhodiščno leto modelnega izračuna scenarijev razvoja ravnanja s komunalnimi odpadki</w:t>
            </w:r>
          </w:p>
        </w:tc>
      </w:tr>
      <w:tr w:rsidR="00E65191" w:rsidRPr="00B775DE" w14:paraId="16A05524" w14:textId="77777777" w:rsidTr="00C21643">
        <w:trPr>
          <w:gridAfter w:val="1"/>
          <w:wAfter w:w="140" w:type="dxa"/>
        </w:trPr>
        <w:tc>
          <w:tcPr>
            <w:tcW w:w="2093" w:type="dxa"/>
            <w:shd w:val="clear" w:color="auto" w:fill="auto"/>
          </w:tcPr>
          <w:p w14:paraId="16CA5FE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delež prebivalcev v občini</w:t>
            </w:r>
          </w:p>
        </w:tc>
        <w:tc>
          <w:tcPr>
            <w:tcW w:w="6545" w:type="dxa"/>
            <w:shd w:val="clear" w:color="auto" w:fill="auto"/>
          </w:tcPr>
          <w:p w14:paraId="6CCD2F6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prebivalcev s stalnim prebivališčem v občini, za območje katere se določa največja letna količina odpadka z oznako »i« v MKO</w:t>
            </w:r>
          </w:p>
        </w:tc>
      </w:tr>
    </w:tbl>
    <w:p w14:paraId="1FEF0DF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0F66B1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bookmarkEnd w:id="27"/>
    <w:p w14:paraId="7876D5A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Če je na podlagi rezultatov </w:t>
      </w:r>
      <w:proofErr w:type="spellStart"/>
      <w:r w:rsidRPr="00B775DE">
        <w:rPr>
          <w:rFonts w:ascii="Arial" w:eastAsia="Times New Roman" w:hAnsi="Arial" w:cs="Times New Roman"/>
          <w:kern w:val="0"/>
          <w:sz w:val="20"/>
          <w:szCs w:val="24"/>
        </w:rPr>
        <w:t>sortirnih</w:t>
      </w:r>
      <w:proofErr w:type="spellEnd"/>
      <w:r w:rsidRPr="00B775DE">
        <w:rPr>
          <w:rFonts w:ascii="Arial" w:eastAsia="Times New Roman" w:hAnsi="Arial" w:cs="Times New Roman"/>
          <w:kern w:val="0"/>
          <w:sz w:val="20"/>
          <w:szCs w:val="24"/>
        </w:rPr>
        <w:t xml:space="preserve"> analiz MKO, izdelanih za izhodiščno leto modelnega izračuna scenarijev razvoja ravnanja s komunalnimi odpadki, za območje posamezne občine ugotovljeno, da je bilo v </w:t>
      </w:r>
      <w:proofErr w:type="spellStart"/>
      <w:r w:rsidRPr="00B775DE">
        <w:rPr>
          <w:rFonts w:ascii="Arial" w:eastAsia="Times New Roman" w:hAnsi="Arial" w:cs="Times New Roman"/>
          <w:kern w:val="0"/>
          <w:sz w:val="20"/>
          <w:szCs w:val="24"/>
        </w:rPr>
        <w:t>izhodiščenem</w:t>
      </w:r>
      <w:proofErr w:type="spellEnd"/>
      <w:r w:rsidRPr="00B775DE">
        <w:rPr>
          <w:rFonts w:ascii="Arial" w:eastAsia="Times New Roman" w:hAnsi="Arial" w:cs="Times New Roman"/>
          <w:kern w:val="0"/>
          <w:sz w:val="20"/>
          <w:szCs w:val="24"/>
        </w:rPr>
        <w:t xml:space="preserve"> koledarskem letu zbrano več MKO na prebivalca, kot je </w:t>
      </w:r>
      <w:bookmarkStart w:id="29" w:name="_Hlk177305427"/>
      <w:r w:rsidRPr="00B775DE">
        <w:rPr>
          <w:rFonts w:ascii="Arial" w:eastAsia="Times New Roman" w:hAnsi="Arial" w:cs="Times New Roman"/>
          <w:kern w:val="0"/>
          <w:sz w:val="20"/>
          <w:szCs w:val="24"/>
        </w:rPr>
        <w:t xml:space="preserve">referenčna vrednost kazalnika za Republiko Slovenijo »količina MKO na prebivalca«, </w:t>
      </w:r>
      <w:bookmarkEnd w:id="29"/>
      <w:r w:rsidRPr="00B775DE">
        <w:rPr>
          <w:rFonts w:ascii="Arial" w:eastAsia="Times New Roman" w:hAnsi="Arial" w:cs="Times New Roman"/>
          <w:kern w:val="0"/>
          <w:sz w:val="20"/>
          <w:szCs w:val="24"/>
        </w:rPr>
        <w:t>se morajo MKO iz območja te občine pred oddajo gorljivih sestavin v obdelavo v okviru storitev gospodarske javne službe dodatno mehansko obdelati tako, da:</w:t>
      </w:r>
    </w:p>
    <w:p w14:paraId="01EE428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C7B01F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it-IT"/>
        </w:rPr>
      </w:pPr>
      <w:r w:rsidRPr="00B775DE">
        <w:rPr>
          <w:rFonts w:ascii="Arial" w:eastAsia="Times New Roman" w:hAnsi="Arial" w:cs="Times New Roman"/>
          <w:kern w:val="0"/>
          <w:sz w:val="20"/>
          <w:szCs w:val="24"/>
        </w:rPr>
        <w:tab/>
        <w:t xml:space="preserve">- se iz MKO izločijo </w:t>
      </w:r>
      <w:proofErr w:type="spellStart"/>
      <w:r w:rsidRPr="00B775DE">
        <w:rPr>
          <w:rFonts w:ascii="Arial" w:eastAsia="Times New Roman" w:hAnsi="Arial" w:cs="Times New Roman"/>
          <w:kern w:val="0"/>
          <w:sz w:val="20"/>
          <w:szCs w:val="24"/>
        </w:rPr>
        <w:t>reciklabilne</w:t>
      </w:r>
      <w:proofErr w:type="spellEnd"/>
      <w:r w:rsidRPr="00B775DE">
        <w:rPr>
          <w:rFonts w:ascii="Arial" w:eastAsia="Times New Roman" w:hAnsi="Arial" w:cs="Times New Roman"/>
          <w:kern w:val="0"/>
          <w:sz w:val="20"/>
          <w:szCs w:val="24"/>
        </w:rPr>
        <w:t xml:space="preserve"> sestavine in oddajo v recikliranje in</w:t>
      </w:r>
    </w:p>
    <w:p w14:paraId="06085C06"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r w:rsidRPr="00B775DE">
        <w:rPr>
          <w:rFonts w:ascii="Arial" w:eastAsia="Times New Roman" w:hAnsi="Arial" w:cs="Times New Roman"/>
          <w:kern w:val="0"/>
          <w:sz w:val="20"/>
          <w:szCs w:val="24"/>
        </w:rPr>
        <w:t>- se celotna letna količina MKO na prebivalca, ki je nastala na območju te občine, zmanjša najmanj na referenčno vrednost kazalnika za Republiko Slovenijo »količina MKO na prebivalca«;</w:t>
      </w:r>
    </w:p>
    <w:p w14:paraId="09BF0822" w14:textId="77777777" w:rsidR="00E65191" w:rsidRPr="00B775DE" w:rsidRDefault="00E65191" w:rsidP="00E65191">
      <w:pPr>
        <w:tabs>
          <w:tab w:val="left" w:pos="708"/>
        </w:tabs>
        <w:spacing w:before="40" w:after="40" w:line="240" w:lineRule="auto"/>
        <w:ind w:left="708"/>
        <w:rPr>
          <w:rFonts w:ascii="Arial" w:eastAsia="Times New Roman" w:hAnsi="Arial" w:cs="Times New Roman"/>
          <w:kern w:val="0"/>
          <w:sz w:val="20"/>
          <w:szCs w:val="24"/>
        </w:rPr>
      </w:pPr>
    </w:p>
    <w:p w14:paraId="00A7AB71" w14:textId="77777777" w:rsidR="00E65191" w:rsidRPr="00B775DE" w:rsidRDefault="00E65191" w:rsidP="00E65191">
      <w:pPr>
        <w:tabs>
          <w:tab w:val="left" w:pos="708"/>
        </w:tabs>
        <w:spacing w:before="40" w:after="40" w:line="240" w:lineRule="auto"/>
        <w:rPr>
          <w:rFonts w:ascii="Arial" w:eastAsia="Times New Roman" w:hAnsi="Arial" w:cs="Times New Roman"/>
          <w:b/>
          <w:bCs/>
          <w:kern w:val="0"/>
          <w:sz w:val="20"/>
          <w:szCs w:val="24"/>
        </w:rPr>
      </w:pPr>
      <w:r w:rsidRPr="00B775DE">
        <w:rPr>
          <w:rFonts w:ascii="Arial" w:eastAsia="Times New Roman" w:hAnsi="Arial" w:cs="Times New Roman"/>
          <w:b/>
          <w:bCs/>
          <w:kern w:val="0"/>
          <w:sz w:val="20"/>
          <w:szCs w:val="24"/>
        </w:rPr>
        <w:t>B) Posebne storitve</w:t>
      </w:r>
    </w:p>
    <w:p w14:paraId="3B68AC2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9A1EE9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1. Kosovni odpadki s številko 20 03 07</w:t>
      </w:r>
    </w:p>
    <w:p w14:paraId="144A537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271FDA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Za kosovne odpadke s številko 20 03 07 se največja količina gorljivih sestavin, </w:t>
      </w:r>
      <w:bookmarkStart w:id="30" w:name="_Hlk174291057"/>
      <w:r w:rsidRPr="00B775DE">
        <w:rPr>
          <w:rFonts w:ascii="Arial" w:eastAsia="Times New Roman" w:hAnsi="Arial" w:cs="Times New Roman"/>
          <w:kern w:val="0"/>
          <w:sz w:val="20"/>
          <w:szCs w:val="24"/>
        </w:rPr>
        <w:t xml:space="preserve">ki se v posameznem koledarskem letu lahko sežgejo, </w:t>
      </w:r>
      <w:bookmarkEnd w:id="30"/>
      <w:r w:rsidRPr="00B775DE">
        <w:rPr>
          <w:rFonts w:ascii="Arial" w:eastAsia="Times New Roman" w:hAnsi="Arial" w:cs="Times New Roman"/>
          <w:kern w:val="0"/>
          <w:sz w:val="20"/>
          <w:szCs w:val="24"/>
        </w:rPr>
        <w:t>določi na podlagi podatkov o:</w:t>
      </w:r>
    </w:p>
    <w:p w14:paraId="6A1D240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AFBB5A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letni količini zbranih kosovnih odpadkov v izhodiščnem letu modelnega izračuna scenarijev razvoja ravnanja s komunalnimi odpadki,</w:t>
      </w:r>
    </w:p>
    <w:p w14:paraId="257580D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sestavi kosovnih odpadkov v izhodiščnem letu modelnega izračuna scenarijev razvoja ravnanja s komunalnimi odpadki,</w:t>
      </w:r>
    </w:p>
    <w:p w14:paraId="27DDA86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ocenjenemu deležu </w:t>
      </w:r>
      <w:bookmarkStart w:id="31" w:name="_Hlk174290967"/>
      <w:r w:rsidRPr="00B775DE">
        <w:rPr>
          <w:rFonts w:ascii="Arial" w:eastAsia="Times New Roman" w:hAnsi="Arial" w:cs="Times New Roman"/>
          <w:kern w:val="0"/>
          <w:sz w:val="20"/>
          <w:szCs w:val="24"/>
        </w:rPr>
        <w:t xml:space="preserve">gorljivih sestavin v kosovnih odpadkih v izhodiščnem letu </w:t>
      </w:r>
      <w:bookmarkEnd w:id="31"/>
      <w:r w:rsidRPr="00B775DE">
        <w:rPr>
          <w:rFonts w:ascii="Arial" w:eastAsia="Times New Roman" w:hAnsi="Arial" w:cs="Times New Roman"/>
          <w:kern w:val="0"/>
          <w:sz w:val="20"/>
          <w:szCs w:val="24"/>
        </w:rPr>
        <w:t>ter</w:t>
      </w:r>
    </w:p>
    <w:p w14:paraId="7D91620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predpostavki, da se reciklira 30 odstotkov gorljivih sestavin v kosovnih odpadkih, ki se oddajo v predelavo v letu 2025, pri čemer se stopnja recikliranja gorljivih sestavin v kosovnih odpadkih do leta 2035 poveča na 40 odstotkov,</w:t>
      </w:r>
    </w:p>
    <w:p w14:paraId="4D69DF9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1B356E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količina gorljivih sestavin v kosovnih odpadkih, ki se v posameznem koledarskem letu lahko sežge v obratu  kot posebna storitev, se izračuna na podlagi naslednje enačbe:</w:t>
      </w:r>
    </w:p>
    <w:p w14:paraId="0818EA5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EE2644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kosovni </w:t>
      </w:r>
      <w:r w:rsidRPr="00B775DE">
        <w:rPr>
          <w:rFonts w:ascii="Arial" w:eastAsia="Times New Roman" w:hAnsi="Arial" w:cs="Times New Roman"/>
          <w:b/>
          <w:kern w:val="0"/>
          <w:sz w:val="20"/>
          <w:szCs w:val="24"/>
        </w:rPr>
        <w:t>= (letna količina) * (delež gorljivih sestavin) * (1 – delež recikliranja)</w:t>
      </w:r>
    </w:p>
    <w:p w14:paraId="0E2D770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13CC1E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12E6A94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589D4234" w14:textId="77777777" w:rsidTr="00C21643">
        <w:tc>
          <w:tcPr>
            <w:tcW w:w="2093" w:type="dxa"/>
            <w:shd w:val="clear" w:color="auto" w:fill="auto"/>
          </w:tcPr>
          <w:p w14:paraId="35F81E9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kosovni</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0ABB905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v kosovnih odpadkih, ki se v posameznem koledarskem letu lahko sežge v obratu </w:t>
            </w:r>
          </w:p>
        </w:tc>
      </w:tr>
      <w:tr w:rsidR="00E65191" w:rsidRPr="00B775DE" w14:paraId="2A2004C6" w14:textId="77777777" w:rsidTr="00C21643">
        <w:tc>
          <w:tcPr>
            <w:tcW w:w="2093" w:type="dxa"/>
            <w:shd w:val="clear" w:color="auto" w:fill="auto"/>
          </w:tcPr>
          <w:p w14:paraId="2401B49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707A97D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kosovnih odpadkov, ki nastanejo v posameznem koledarskem letu na ozemlju Republike Slovenije na podlagi modelnega izračuna scenarijev razvoja ravnanja s komunalnimi odpadki</w:t>
            </w:r>
          </w:p>
        </w:tc>
      </w:tr>
      <w:tr w:rsidR="00E65191" w:rsidRPr="00B775DE" w14:paraId="4471F6B2" w14:textId="77777777" w:rsidTr="00C21643">
        <w:tc>
          <w:tcPr>
            <w:tcW w:w="2093" w:type="dxa"/>
            <w:shd w:val="clear" w:color="auto" w:fill="auto"/>
          </w:tcPr>
          <w:p w14:paraId="2963E88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gorljivih sestavin</w:t>
            </w:r>
          </w:p>
        </w:tc>
        <w:tc>
          <w:tcPr>
            <w:tcW w:w="6545" w:type="dxa"/>
            <w:shd w:val="clear" w:color="auto" w:fill="auto"/>
            <w:vAlign w:val="center"/>
          </w:tcPr>
          <w:p w14:paraId="78DCA9F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povprečni delež gorljivih sestavin v kosovnih odpadkih, ki nastanejo v posameznem koledarskem letu na ozemlju Republike Slovenije, in je ocenjen na podlagi rezultatov obdelave kosovnih odpadkov, izdelanih za izhodiščno leto modelnega izračuna scenarijev razvoja ravnanja s komunalnimi odpadki</w:t>
            </w:r>
          </w:p>
        </w:tc>
      </w:tr>
      <w:tr w:rsidR="00E65191" w:rsidRPr="00B775DE" w14:paraId="45A329CB" w14:textId="77777777" w:rsidTr="00C21643">
        <w:tc>
          <w:tcPr>
            <w:tcW w:w="2093" w:type="dxa"/>
            <w:shd w:val="clear" w:color="auto" w:fill="auto"/>
          </w:tcPr>
          <w:p w14:paraId="6311F5E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4312DC8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gorljivih sestavin v kosovnih odpadkih, ki se oddajo v predelavo v izhodiščnem letu, pri čemer je najmanjši delež recikliranja gorljivih sestavin v kosovnih odpadkih v letu 2025 enak 30 odstotkov in se do leta 2035 poveča na 40odstotkov.</w:t>
            </w:r>
          </w:p>
        </w:tc>
      </w:tr>
    </w:tbl>
    <w:p w14:paraId="1F87292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F42F0A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615DEB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00E4CA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bookmarkStart w:id="32" w:name="_Hlk176723294"/>
      <w:r w:rsidRPr="00B775DE">
        <w:rPr>
          <w:rFonts w:ascii="Arial" w:eastAsia="Times New Roman" w:hAnsi="Arial" w:cs="Times New Roman"/>
          <w:b/>
          <w:kern w:val="0"/>
          <w:sz w:val="20"/>
          <w:szCs w:val="24"/>
        </w:rPr>
        <w:t>2. Ločeno zbrani komunalni odpadki iz papirja, kartona in lepenke s številko 20 01 01</w:t>
      </w:r>
    </w:p>
    <w:bookmarkEnd w:id="32"/>
    <w:p w14:paraId="6FA0712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92192A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33" w:name="_Hlk176720664"/>
      <w:r w:rsidRPr="00B775DE">
        <w:rPr>
          <w:rFonts w:ascii="Arial" w:eastAsia="Times New Roman" w:hAnsi="Arial" w:cs="Times New Roman"/>
          <w:kern w:val="0"/>
          <w:sz w:val="20"/>
          <w:szCs w:val="24"/>
        </w:rPr>
        <w:t xml:space="preserve">Za ločeno zbran papir, karton in lepenko s številko 20 01 01 </w:t>
      </w:r>
      <w:bookmarkEnd w:id="33"/>
      <w:r w:rsidRPr="00B775DE">
        <w:rPr>
          <w:rFonts w:ascii="Arial" w:eastAsia="Times New Roman" w:hAnsi="Arial" w:cs="Times New Roman"/>
          <w:kern w:val="0"/>
          <w:sz w:val="20"/>
          <w:szCs w:val="24"/>
        </w:rPr>
        <w:t xml:space="preserve">se največja letna količina </w:t>
      </w:r>
      <w:bookmarkStart w:id="34" w:name="_Hlk176757422"/>
      <w:r w:rsidRPr="00B775DE">
        <w:rPr>
          <w:rFonts w:ascii="Arial" w:eastAsia="Times New Roman" w:hAnsi="Arial" w:cs="Times New Roman"/>
          <w:kern w:val="0"/>
          <w:sz w:val="20"/>
          <w:szCs w:val="24"/>
        </w:rPr>
        <w:t>gorljivih sestavin</w:t>
      </w:r>
      <w:bookmarkEnd w:id="34"/>
      <w:r w:rsidRPr="00B775DE">
        <w:rPr>
          <w:rFonts w:ascii="Arial" w:eastAsia="Times New Roman" w:hAnsi="Arial" w:cs="Times New Roman"/>
          <w:kern w:val="0"/>
          <w:sz w:val="20"/>
          <w:szCs w:val="24"/>
        </w:rPr>
        <w:t>, ki se v posameznem koledarskem letu lahko sežge v obratu kot posebna storitev, določi na podlagi podatkov o:</w:t>
      </w:r>
    </w:p>
    <w:p w14:paraId="1803CE0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504001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35" w:name="_Hlk176137136"/>
      <w:r w:rsidRPr="00B775DE">
        <w:rPr>
          <w:rFonts w:ascii="Arial" w:eastAsia="Times New Roman" w:hAnsi="Arial" w:cs="Times New Roman"/>
          <w:kern w:val="0"/>
          <w:sz w:val="20"/>
          <w:szCs w:val="24"/>
        </w:rPr>
        <w:t xml:space="preserve">- letni količini </w:t>
      </w:r>
      <w:bookmarkStart w:id="36" w:name="_Hlk174294311"/>
      <w:r w:rsidRPr="00B775DE">
        <w:rPr>
          <w:rFonts w:ascii="Arial" w:eastAsia="Times New Roman" w:hAnsi="Arial" w:cs="Times New Roman"/>
          <w:kern w:val="0"/>
          <w:sz w:val="20"/>
          <w:szCs w:val="24"/>
        </w:rPr>
        <w:t xml:space="preserve">ločeno zbranih odpadkov iz papirja, kartona in lepenke </w:t>
      </w:r>
      <w:bookmarkEnd w:id="36"/>
      <w:r w:rsidRPr="00B775DE">
        <w:rPr>
          <w:rFonts w:ascii="Arial" w:eastAsia="Times New Roman" w:hAnsi="Arial" w:cs="Times New Roman"/>
          <w:kern w:val="0"/>
          <w:sz w:val="20"/>
          <w:szCs w:val="24"/>
        </w:rPr>
        <w:t xml:space="preserve">v izhodiščnem letu modelnega izračuna scenarijev razvoja ravnanja s komunalnimi odpadki </w:t>
      </w:r>
      <w:bookmarkEnd w:id="35"/>
      <w:r w:rsidRPr="00B775DE">
        <w:rPr>
          <w:rFonts w:ascii="Arial" w:eastAsia="Times New Roman" w:hAnsi="Arial" w:cs="Times New Roman"/>
          <w:kern w:val="0"/>
          <w:sz w:val="20"/>
          <w:szCs w:val="24"/>
        </w:rPr>
        <w:t>ter</w:t>
      </w:r>
    </w:p>
    <w:p w14:paraId="6585585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predpostavki, da se v izhodiščnem letu odda v recikliranje ali v pripravo za ponovno uporabo več kot 75 odstotkov teh ločeno zbranih odpadkov, pri čemer se delež recikliranja in priprave za ponovno uporabo do leta 2030 na 85 odstotkov in do leta 2035 poveča na 95 odstotkov.</w:t>
      </w:r>
    </w:p>
    <w:p w14:paraId="479BBCF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CADB0D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37" w:name="_Hlk176757097"/>
      <w:r w:rsidRPr="00B775DE">
        <w:rPr>
          <w:rFonts w:ascii="Arial" w:eastAsia="Times New Roman" w:hAnsi="Arial" w:cs="Times New Roman"/>
          <w:kern w:val="0"/>
          <w:sz w:val="20"/>
          <w:szCs w:val="24"/>
        </w:rPr>
        <w:lastRenderedPageBreak/>
        <w:t xml:space="preserve">Največja letna količina </w:t>
      </w:r>
      <w:bookmarkStart w:id="38" w:name="_Hlk176757642"/>
      <w:r w:rsidRPr="00B775DE">
        <w:rPr>
          <w:rFonts w:ascii="Arial" w:eastAsia="Times New Roman" w:hAnsi="Arial" w:cs="Times New Roman"/>
          <w:kern w:val="0"/>
          <w:sz w:val="20"/>
          <w:szCs w:val="24"/>
        </w:rPr>
        <w:t xml:space="preserve">gorljivih sestavin, ki nastanejo ob mehanski obdelavi </w:t>
      </w:r>
      <w:bookmarkEnd w:id="38"/>
      <w:r w:rsidRPr="00B775DE">
        <w:rPr>
          <w:rFonts w:ascii="Arial" w:eastAsia="Times New Roman" w:hAnsi="Arial" w:cs="Times New Roman"/>
          <w:kern w:val="0"/>
          <w:sz w:val="20"/>
          <w:szCs w:val="24"/>
        </w:rPr>
        <w:t>ločeno zbranih odpadkov iz papirja, kartona in lepenke s številko 20 01 01 in se v posameznem koledarskem letu lahko sežge v obratu kot posebna storitev, se izračuna na podlagi naslednje enačbe:</w:t>
      </w:r>
    </w:p>
    <w:p w14:paraId="6E650E4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5E1972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papir </w:t>
      </w:r>
      <w:r w:rsidRPr="00B775DE">
        <w:rPr>
          <w:rFonts w:ascii="Arial" w:eastAsia="Times New Roman" w:hAnsi="Arial" w:cs="Times New Roman"/>
          <w:b/>
          <w:kern w:val="0"/>
          <w:sz w:val="20"/>
          <w:szCs w:val="24"/>
        </w:rPr>
        <w:t>= (letna količina) * (1 – delež recikliranja)</w:t>
      </w:r>
    </w:p>
    <w:p w14:paraId="2A70999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CC141A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5D013B1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2B93E024" w14:textId="77777777" w:rsidTr="00C21643">
        <w:tc>
          <w:tcPr>
            <w:tcW w:w="2093" w:type="dxa"/>
            <w:shd w:val="clear" w:color="auto" w:fill="auto"/>
          </w:tcPr>
          <w:p w14:paraId="13442EB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papir</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39C0915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nastanejo ob mehanski obdelavi ločeno zbranih odpadkov iz papirja, kartona in lepenke in se v posameznem koledarskem letu lahko sežgejo </w:t>
            </w:r>
          </w:p>
        </w:tc>
      </w:tr>
      <w:tr w:rsidR="00E65191" w:rsidRPr="00B775DE" w14:paraId="5675F0B7" w14:textId="77777777" w:rsidTr="00C21643">
        <w:tc>
          <w:tcPr>
            <w:tcW w:w="2093" w:type="dxa"/>
            <w:shd w:val="clear" w:color="auto" w:fill="auto"/>
          </w:tcPr>
          <w:p w14:paraId="630A876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25F8D7A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zbranih odpadkov iz papirja, kartona in lepenke, ki se ločeno zberejo v posameznem koledarskem letu na ozemlju Republike Slovenije v okviru javne službe zbiranja na podlagi modelnega izračuna scenarijev razvoja ravnanja s komunalnimi odpadki</w:t>
            </w:r>
          </w:p>
        </w:tc>
      </w:tr>
      <w:tr w:rsidR="00E65191" w:rsidRPr="00B775DE" w14:paraId="3C3197F1" w14:textId="77777777" w:rsidTr="00C21643">
        <w:tc>
          <w:tcPr>
            <w:tcW w:w="2093" w:type="dxa"/>
            <w:shd w:val="clear" w:color="auto" w:fill="auto"/>
          </w:tcPr>
          <w:p w14:paraId="05A08E8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7B886FA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in priprave za ponovno uporabo ločeno zbranih odpadkov iz papirja, kartona in lepenke v izhodiščnem letu, pri čemer je delež recikliranja in priprave za ponovno uporabo v letu 2025 enak 75 odstotkov in se do leta 2030 poveča na 85odstotkov ter do leta 2035 na 95 odstotkov.</w:t>
            </w:r>
          </w:p>
        </w:tc>
      </w:tr>
      <w:bookmarkEnd w:id="37"/>
    </w:tbl>
    <w:p w14:paraId="559ECCB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81FA1D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09021B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39" w:name="_Hlk176759062"/>
      <w:r w:rsidRPr="00B775DE">
        <w:rPr>
          <w:rFonts w:ascii="Arial" w:eastAsia="Times New Roman" w:hAnsi="Arial" w:cs="Times New Roman"/>
          <w:kern w:val="0"/>
          <w:sz w:val="20"/>
          <w:szCs w:val="24"/>
        </w:rPr>
        <w:t xml:space="preserve">Največja letna količina gorljivih sestavin, ki nastanejo ob mehanski obdelavi ločeno zbrane papirne in kartonske embalažo ter embalaže iz lepenke s številko 15 01 01, embalaže, ki je pretežno iz papirja in je z mehansko obdelavo izločena iz ločeno zbrane mešane embalaže s številko 15 01 06 in iz sestavljene (kompozitne) embalaže s številko 15 01 05, ter za mešanico vseh teh vrst komunalnih odpadkov in </w:t>
      </w:r>
      <w:bookmarkStart w:id="40" w:name="_Hlk187934667"/>
      <w:r w:rsidRPr="00B775DE">
        <w:rPr>
          <w:rFonts w:ascii="Arial" w:eastAsia="Times New Roman" w:hAnsi="Arial" w:cs="Times New Roman"/>
          <w:kern w:val="0"/>
          <w:sz w:val="20"/>
          <w:szCs w:val="24"/>
        </w:rPr>
        <w:t>se v posameznem koledarskem letu kot posebna storitev sežge v obratu, se izračuna na podlagi naslednje enačbe</w:t>
      </w:r>
      <w:bookmarkEnd w:id="40"/>
      <w:r w:rsidRPr="00B775DE">
        <w:rPr>
          <w:rFonts w:ascii="Arial" w:eastAsia="Times New Roman" w:hAnsi="Arial" w:cs="Times New Roman"/>
          <w:kern w:val="0"/>
          <w:sz w:val="20"/>
          <w:szCs w:val="24"/>
        </w:rPr>
        <w:t>:</w:t>
      </w:r>
    </w:p>
    <w:p w14:paraId="3469A82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4645E4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papir </w:t>
      </w:r>
      <w:r w:rsidRPr="00B775DE">
        <w:rPr>
          <w:rFonts w:ascii="Arial" w:eastAsia="Times New Roman" w:hAnsi="Arial" w:cs="Times New Roman"/>
          <w:b/>
          <w:kern w:val="0"/>
          <w:sz w:val="20"/>
          <w:szCs w:val="24"/>
        </w:rPr>
        <w:t>= (letna količina) * (1 – delež recikliranja)</w:t>
      </w:r>
    </w:p>
    <w:p w14:paraId="29825A3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8CB046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6F7403B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66A48794" w14:textId="77777777" w:rsidTr="00C21643">
        <w:tc>
          <w:tcPr>
            <w:tcW w:w="2093" w:type="dxa"/>
            <w:shd w:val="clear" w:color="auto" w:fill="auto"/>
          </w:tcPr>
          <w:p w14:paraId="50C01ED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papir</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756CB68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količina gorljivih sestavin, ki se v posameznem koledarskem letu lahko sežge</w:t>
            </w:r>
          </w:p>
        </w:tc>
      </w:tr>
      <w:tr w:rsidR="00E65191" w:rsidRPr="00B775DE" w14:paraId="506527C6" w14:textId="77777777" w:rsidTr="00C21643">
        <w:tc>
          <w:tcPr>
            <w:tcW w:w="2093" w:type="dxa"/>
            <w:shd w:val="clear" w:color="auto" w:fill="auto"/>
          </w:tcPr>
          <w:p w14:paraId="50F22DE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75D6E6E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zbrane papirne in kartonske embalažo ter embalaže iz lepenke s številko 15 01 01, embalaže, ki je pretežno iz papirja in je z mehansko obdelavo izločena iz ločeno zbrane mešane embalaže s številko 15 01 06 in iz sestavljene (kompozitne) embalaže s številko 15 01 05, ki je ocenjena na podlagi modelnega izračuna scenarijev razvoja ravnanja s komunalnimi odpadki</w:t>
            </w:r>
          </w:p>
        </w:tc>
      </w:tr>
      <w:tr w:rsidR="00E65191" w:rsidRPr="00B775DE" w14:paraId="73288E55" w14:textId="77777777" w:rsidTr="00C21643">
        <w:tc>
          <w:tcPr>
            <w:tcW w:w="2093" w:type="dxa"/>
            <w:shd w:val="clear" w:color="auto" w:fill="auto"/>
          </w:tcPr>
          <w:p w14:paraId="53B3BA8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3106F66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in priprave za ponovno uporabo ločeno zbranih odpadkov iz papirja, kartona in lepenke v izhodiščnem letu, pri čemer je delež recikliranja in priprave za ponovno uporabo v letu 2025 enak 75 odstotkov in se do leta 2030 poveča na 85odstotkov ter do leta 2035 na 95 odstotkov.</w:t>
            </w:r>
          </w:p>
        </w:tc>
      </w:tr>
      <w:bookmarkEnd w:id="39"/>
    </w:tbl>
    <w:p w14:paraId="75E951C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2F440A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F61010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bookmarkStart w:id="41" w:name="_Hlk176723873"/>
      <w:r w:rsidRPr="00B775DE">
        <w:rPr>
          <w:rFonts w:ascii="Arial" w:eastAsia="Times New Roman" w:hAnsi="Arial" w:cs="Times New Roman"/>
          <w:b/>
          <w:kern w:val="0"/>
          <w:sz w:val="20"/>
          <w:szCs w:val="24"/>
        </w:rPr>
        <w:t>3. Ločeno zbrani komunalni odpadki iz plastike s številko 20 01 39</w:t>
      </w:r>
    </w:p>
    <w:bookmarkEnd w:id="41"/>
    <w:p w14:paraId="0771A33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D8F52D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42" w:name="_Hlk176721146"/>
      <w:r w:rsidRPr="00B775DE">
        <w:rPr>
          <w:rFonts w:ascii="Arial" w:eastAsia="Times New Roman" w:hAnsi="Arial" w:cs="Times New Roman"/>
          <w:kern w:val="0"/>
          <w:sz w:val="20"/>
          <w:szCs w:val="24"/>
        </w:rPr>
        <w:t>Za ločeno zbrano plastiko s številko 20 01 39</w:t>
      </w:r>
      <w:bookmarkEnd w:id="42"/>
      <w:r w:rsidRPr="00B775DE">
        <w:rPr>
          <w:rFonts w:ascii="Arial" w:eastAsia="Times New Roman" w:hAnsi="Arial" w:cs="Times New Roman"/>
          <w:kern w:val="0"/>
          <w:sz w:val="20"/>
          <w:szCs w:val="24"/>
        </w:rPr>
        <w:t xml:space="preserve"> se največja letna količina gorljivih sestavin določi na podlagi podatkov o:</w:t>
      </w:r>
    </w:p>
    <w:p w14:paraId="6E6AD8F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412CFD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letni količini ločeno zbranih odpadkov iz plastike v izhodiščnem letu modelnega izračuna scenarijev razvoja ravnanja s komunalnimi odpadki ter</w:t>
      </w:r>
    </w:p>
    <w:p w14:paraId="30BCC0B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predpostavki, da se v izhodiščnem letu odda v recikliranje ali v pripravo za ponovno uporabo najmanj 50 odstotkov teh ločeno zbranih odpadkov, pri čemer se delež oddaje v recikliranje ali v pripravo za ponovno uporabo do leta 2030 poveča na 55 odstotkov in do leta 2035 na 65 odstotkov.</w:t>
      </w:r>
    </w:p>
    <w:p w14:paraId="543A73F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17EAC4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w:t>
      </w:r>
      <w:bookmarkStart w:id="43" w:name="_Hlk176757858"/>
      <w:r w:rsidRPr="00B775DE">
        <w:rPr>
          <w:rFonts w:ascii="Arial" w:eastAsia="Times New Roman" w:hAnsi="Arial" w:cs="Times New Roman"/>
          <w:kern w:val="0"/>
          <w:sz w:val="20"/>
          <w:szCs w:val="24"/>
        </w:rPr>
        <w:t xml:space="preserve">gorljivih sestavin, ki nastanejo ob mehanski obdelavi </w:t>
      </w:r>
      <w:bookmarkEnd w:id="43"/>
      <w:r w:rsidRPr="00B775DE">
        <w:rPr>
          <w:rFonts w:ascii="Arial" w:eastAsia="Times New Roman" w:hAnsi="Arial" w:cs="Times New Roman"/>
          <w:kern w:val="0"/>
          <w:sz w:val="20"/>
          <w:szCs w:val="24"/>
        </w:rPr>
        <w:t>ločeno zbranih odpadkov iz plastike s številko 20 01 39 in se v posameznem koledarskem letu kot posebna storitev sežge v obratu, se izračuna na podlagi naslednje enačbe</w:t>
      </w:r>
    </w:p>
    <w:p w14:paraId="53A3334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plastika </w:t>
      </w:r>
      <w:r w:rsidRPr="00B775DE">
        <w:rPr>
          <w:rFonts w:ascii="Arial" w:eastAsia="Times New Roman" w:hAnsi="Arial" w:cs="Times New Roman"/>
          <w:b/>
          <w:kern w:val="0"/>
          <w:sz w:val="20"/>
          <w:szCs w:val="24"/>
        </w:rPr>
        <w:t>= (letna količina) * (1 – delež recikliranja)</w:t>
      </w:r>
    </w:p>
    <w:p w14:paraId="36F3C3D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0AD427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51DC630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37453038" w14:textId="77777777" w:rsidTr="00C21643">
        <w:tc>
          <w:tcPr>
            <w:tcW w:w="2093" w:type="dxa"/>
            <w:shd w:val="clear" w:color="auto" w:fill="auto"/>
          </w:tcPr>
          <w:p w14:paraId="0ED0683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plastike</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6C3B3AA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nastanejo ob mehanski obdelavi ločeno zbranih odpadkov iz plastike in se v posameznem koledarskem letu lahko sežgejo </w:t>
            </w:r>
          </w:p>
        </w:tc>
      </w:tr>
      <w:tr w:rsidR="00E65191" w:rsidRPr="00B775DE" w14:paraId="7DBAFE4B" w14:textId="77777777" w:rsidTr="00C21643">
        <w:tc>
          <w:tcPr>
            <w:tcW w:w="2093" w:type="dxa"/>
            <w:shd w:val="clear" w:color="auto" w:fill="auto"/>
          </w:tcPr>
          <w:p w14:paraId="7457A66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6197203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zbranih odpadkov iz plastike, ki se ločeno zberejo v posameznem koledarskem letu na ozemlju Republike Slovenije v okviru javne službe zbiranja na podlagi modelnega izračuna scenarijev razvoja ravnanja s komunalnimi odpadki</w:t>
            </w:r>
          </w:p>
        </w:tc>
      </w:tr>
      <w:tr w:rsidR="00E65191" w:rsidRPr="00B775DE" w14:paraId="6677EC64" w14:textId="77777777" w:rsidTr="00C21643">
        <w:tc>
          <w:tcPr>
            <w:tcW w:w="2093" w:type="dxa"/>
            <w:shd w:val="clear" w:color="auto" w:fill="auto"/>
          </w:tcPr>
          <w:p w14:paraId="09BA852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5393C1A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oddaje v recikliranje ali v pripravo za ponovno uporabo ločeno zbranih odpadkov iz plastike v izhodiščnem letu, pri čemer delež oddaje v recikliranje ali v pripravo za ponovno uporabo v letu 2025 ni manjši od 50 odstotkov in se do leta 2030 poveča najmanj na 55  odstotkov ter do leta 2035 najmanj na 65 odstotkov.</w:t>
            </w:r>
          </w:p>
        </w:tc>
      </w:tr>
    </w:tbl>
    <w:p w14:paraId="21B4AD4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B68DE7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12BCC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44" w:name="_Hlk176759650"/>
      <w:r w:rsidRPr="00B775DE">
        <w:rPr>
          <w:rFonts w:ascii="Arial" w:eastAsia="Times New Roman" w:hAnsi="Arial" w:cs="Times New Roman"/>
          <w:kern w:val="0"/>
          <w:sz w:val="20"/>
          <w:szCs w:val="24"/>
        </w:rPr>
        <w:t>Največja letna količina gorljivih sestavin, ki nastanejo ob mehanski obdelavi ločeno zbrane embalaže iz plastike</w:t>
      </w:r>
      <w:r w:rsidRPr="00B775DE">
        <w:rPr>
          <w:rFonts w:ascii="Arial" w:eastAsia="Times New Roman" w:hAnsi="Arial" w:cs="Times New Roman"/>
          <w:b/>
          <w:kern w:val="0"/>
          <w:sz w:val="20"/>
          <w:szCs w:val="24"/>
        </w:rPr>
        <w:t xml:space="preserve"> </w:t>
      </w:r>
      <w:r w:rsidRPr="00B775DE">
        <w:rPr>
          <w:rFonts w:ascii="Arial" w:eastAsia="Times New Roman" w:hAnsi="Arial" w:cs="Times New Roman"/>
          <w:kern w:val="0"/>
          <w:sz w:val="20"/>
          <w:szCs w:val="24"/>
        </w:rPr>
        <w:t>s številko 15 01 02 in za embalažo, ki je pretežno iz plastike in je z mehansko obdelavo izločena iz ločeno zbrane mešane embalaže s številko 15 01 06 in iz sestavljene (kompozitne) embalaže s številko 15 01 05, ter za mešanico vseh teh vrst komunalnih odpadkov in se v posameznem koledarskem lahko sežge v obratu kot posebna storitev, se izračuna na podlagi naslednje enačbe:</w:t>
      </w:r>
    </w:p>
    <w:p w14:paraId="384017D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DDF7C8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plastika </w:t>
      </w:r>
      <w:r w:rsidRPr="00B775DE">
        <w:rPr>
          <w:rFonts w:ascii="Arial" w:eastAsia="Times New Roman" w:hAnsi="Arial" w:cs="Times New Roman"/>
          <w:b/>
          <w:kern w:val="0"/>
          <w:sz w:val="20"/>
          <w:szCs w:val="24"/>
        </w:rPr>
        <w:t>= (letna količina) * (1 – delež recikliranja)</w:t>
      </w:r>
    </w:p>
    <w:p w14:paraId="51B936A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973CA2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7A1E968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01C24BE2" w14:textId="77777777" w:rsidTr="00C21643">
        <w:tc>
          <w:tcPr>
            <w:tcW w:w="2093" w:type="dxa"/>
            <w:shd w:val="clear" w:color="auto" w:fill="auto"/>
          </w:tcPr>
          <w:p w14:paraId="02809B0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plastika</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1AC7E5A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se v posameznem koledarskem letu lahko sežge </w:t>
            </w:r>
          </w:p>
        </w:tc>
      </w:tr>
      <w:tr w:rsidR="00E65191" w:rsidRPr="00B775DE" w14:paraId="4A744488" w14:textId="77777777" w:rsidTr="00C21643">
        <w:tc>
          <w:tcPr>
            <w:tcW w:w="2093" w:type="dxa"/>
            <w:shd w:val="clear" w:color="auto" w:fill="auto"/>
          </w:tcPr>
          <w:p w14:paraId="15E5CC2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2BD5F71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letna količina ločeno zbrane embalaže iz plastike s številko 15 01 02 in za embalažo, ki je pretežno iz plastike in je z mehansko obdelavo izločena iz ločeno zbrane mešane </w:t>
            </w:r>
            <w:proofErr w:type="spellStart"/>
            <w:r w:rsidRPr="00B775DE">
              <w:rPr>
                <w:rFonts w:ascii="Arial" w:eastAsia="Times New Roman" w:hAnsi="Arial" w:cs="Times New Roman"/>
                <w:kern w:val="0"/>
                <w:sz w:val="20"/>
                <w:szCs w:val="24"/>
              </w:rPr>
              <w:t>emblaže</w:t>
            </w:r>
            <w:proofErr w:type="spellEnd"/>
            <w:r w:rsidRPr="00B775DE">
              <w:rPr>
                <w:rFonts w:ascii="Arial" w:eastAsia="Times New Roman" w:hAnsi="Arial" w:cs="Times New Roman"/>
                <w:kern w:val="0"/>
                <w:sz w:val="20"/>
                <w:szCs w:val="24"/>
              </w:rPr>
              <w:t xml:space="preserve"> s številko 15 01 06 in iz sestavljene (kompozitne) embalaže s številko 15 01 05, ter za mešanico vseh teh vrst komunalnih odpadkov, ki je ocenjena na podlagi modelnega izračuna scenarijev razvoja ravnanja s komunalnimi odpadki</w:t>
            </w:r>
          </w:p>
        </w:tc>
      </w:tr>
      <w:tr w:rsidR="00E65191" w:rsidRPr="00B775DE" w14:paraId="05D580CB" w14:textId="77777777" w:rsidTr="00C21643">
        <w:tc>
          <w:tcPr>
            <w:tcW w:w="2093" w:type="dxa"/>
            <w:shd w:val="clear" w:color="auto" w:fill="auto"/>
          </w:tcPr>
          <w:p w14:paraId="6975EAD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6BBE7D3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oddaje v recikliranje ali v pripravo za ponovno uporabo ločeno zbranih odpadkov iz plastike v izhodiščnem letu, pri čemer delež oddaje v recikliranje ali v pripravo za ponovno uporabo v letu 2025 ni manjši 50 odstotkov in da se do leta 2030 poveča najmanj na 55 odstotkov ter do leta 2035 najmanj na 65 odstotkov.</w:t>
            </w:r>
          </w:p>
        </w:tc>
      </w:tr>
    </w:tbl>
    <w:p w14:paraId="6ABAA40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533171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Če je treba zaradi doseganja ciljev recikliranja odpadne embalaže v skladu z </w:t>
      </w:r>
      <w:r w:rsidRPr="00B775DE">
        <w:rPr>
          <w:rFonts w:ascii="Arial" w:eastAsia="Times New Roman" w:hAnsi="Arial" w:cs="Times New Roman"/>
          <w:i/>
          <w:kern w:val="0"/>
          <w:sz w:val="20"/>
          <w:szCs w:val="24"/>
        </w:rPr>
        <w:t>Uredbo (EU)</w:t>
      </w:r>
      <w:r w:rsidRPr="00B775DE">
        <w:rPr>
          <w:rFonts w:ascii="Arial" w:eastAsia="Times New Roman" w:hAnsi="Arial" w:cs="Times New Roman"/>
          <w:kern w:val="0"/>
          <w:sz w:val="20"/>
          <w:szCs w:val="24"/>
        </w:rPr>
        <w:t xml:space="preserve"> </w:t>
      </w:r>
      <w:r w:rsidRPr="00B775DE">
        <w:rPr>
          <w:rFonts w:ascii="Arial" w:eastAsia="Times New Roman" w:hAnsi="Arial" w:cs="Times New Roman"/>
          <w:i/>
          <w:kern w:val="0"/>
          <w:sz w:val="20"/>
          <w:szCs w:val="24"/>
        </w:rPr>
        <w:t>2024/NN/EU</w:t>
      </w:r>
      <w:r w:rsidRPr="00B775DE">
        <w:rPr>
          <w:rFonts w:ascii="Arial" w:eastAsia="Times New Roman" w:hAnsi="Arial" w:cs="Times New Roman"/>
          <w:kern w:val="0"/>
          <w:sz w:val="20"/>
          <w:szCs w:val="24"/>
        </w:rPr>
        <w:t xml:space="preserve"> povečati delež oddaje v recikliranje ali v pripravo za ponovno uporabo ločeno zbranih odpadkov iz plastike, povečano vrednost deleža za leto 2025 ter v letih 2030 in 2035 določi ministrstvo, pristojno za odpadke, in objavi na način iz petega odstavka 6. člena te uredbe.</w:t>
      </w:r>
    </w:p>
    <w:p w14:paraId="640A1EA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345ECB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bookmarkEnd w:id="44"/>
    <w:p w14:paraId="5C9612D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45DF2D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4. Ločeno zbrani komunalni odpadki iz lesa s številko 20 01 38</w:t>
      </w:r>
    </w:p>
    <w:p w14:paraId="233ACE9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21379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45" w:name="_Hlk176721340"/>
      <w:r w:rsidRPr="00B775DE">
        <w:rPr>
          <w:rFonts w:ascii="Arial" w:eastAsia="Times New Roman" w:hAnsi="Arial" w:cs="Times New Roman"/>
          <w:kern w:val="0"/>
          <w:sz w:val="20"/>
          <w:szCs w:val="24"/>
        </w:rPr>
        <w:t xml:space="preserve">Za ločeno zbran les s številko 20 01 38 </w:t>
      </w:r>
      <w:bookmarkStart w:id="46" w:name="_Hlk174296808"/>
      <w:bookmarkEnd w:id="45"/>
      <w:r w:rsidRPr="00B775DE">
        <w:rPr>
          <w:rFonts w:ascii="Arial" w:eastAsia="Times New Roman" w:hAnsi="Arial" w:cs="Times New Roman"/>
          <w:kern w:val="0"/>
          <w:sz w:val="20"/>
          <w:szCs w:val="24"/>
        </w:rPr>
        <w:t>se največja letna količina gorljivih sestavin, ki se v posameznem koledarskem letu lahko sežge v obratu kot posebna storitev, določi na podlagi podatkov o:</w:t>
      </w:r>
    </w:p>
    <w:p w14:paraId="6017C28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A8EE14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letni količini ločeno zbranih odpadkov iz lesa v izhodiščnem letu modelnega izračuna scenarijev razvoja ravnanja s komunalnimi odpadki ter</w:t>
      </w:r>
    </w:p>
    <w:p w14:paraId="2666378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predpostavki, da se v izhodiščnem letu odda v recikliranje ali v pripravo za ponovno uporabo okoli 25 odstotkov teh ločeno zbranih odpadkov, pri čemer se stopnja oddaje v recikliranje ali v pripravo za ponovno uporabo do leta 2030 poveča na nekaj več kot 30 odstotkov in do leta 2035 poveča na 38 odstotkov.</w:t>
      </w:r>
    </w:p>
    <w:p w14:paraId="3A6C960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2C535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količina gorljivih sestavin, ki nastanejo ob mehanski obdelavi ločeno zbranih odpadkov iz lesa s številko 20 01 38 in se v posameznem koledarskem letu lahko sežgejo v obratu kot posebna storitev, se izračuna na podlagi naslednje enačbe:</w:t>
      </w:r>
    </w:p>
    <w:p w14:paraId="12914D1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B47B16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les </w:t>
      </w:r>
      <w:r w:rsidRPr="00B775DE">
        <w:rPr>
          <w:rFonts w:ascii="Arial" w:eastAsia="Times New Roman" w:hAnsi="Arial" w:cs="Times New Roman"/>
          <w:b/>
          <w:kern w:val="0"/>
          <w:sz w:val="20"/>
          <w:szCs w:val="24"/>
        </w:rPr>
        <w:t>= (letna količina) * (1 – delež recikliranja)</w:t>
      </w:r>
    </w:p>
    <w:p w14:paraId="386D261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E5B156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1750CA1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2748F7E7" w14:textId="77777777" w:rsidTr="00C21643">
        <w:tc>
          <w:tcPr>
            <w:tcW w:w="2093" w:type="dxa"/>
            <w:shd w:val="clear" w:color="auto" w:fill="auto"/>
          </w:tcPr>
          <w:p w14:paraId="11668F2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les</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268DC19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nastanejo ob mehanski obdelavi ločeno zbranih odpadkov iz lesa in se v posameznem koledarskem letu lahko sežgejo </w:t>
            </w:r>
          </w:p>
        </w:tc>
      </w:tr>
      <w:tr w:rsidR="00E65191" w:rsidRPr="00B775DE" w14:paraId="3B93866E" w14:textId="77777777" w:rsidTr="00C21643">
        <w:tc>
          <w:tcPr>
            <w:tcW w:w="2093" w:type="dxa"/>
            <w:shd w:val="clear" w:color="auto" w:fill="auto"/>
          </w:tcPr>
          <w:p w14:paraId="355B334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06CB2D3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zbranih odpadkov iz lesa, ki se ločeno zberejo v posameznem koledarskem letu na ozemlju Republike Slovenije v okviru javne službe zbiranja na podlagi modelnega izračuna scenarijev razvoja ravnanja s komunalnimi odpadki</w:t>
            </w:r>
          </w:p>
        </w:tc>
      </w:tr>
      <w:tr w:rsidR="00E65191" w:rsidRPr="00B775DE" w14:paraId="78B83EF3" w14:textId="77777777" w:rsidTr="00C21643">
        <w:tc>
          <w:tcPr>
            <w:tcW w:w="2093" w:type="dxa"/>
            <w:shd w:val="clear" w:color="auto" w:fill="auto"/>
          </w:tcPr>
          <w:p w14:paraId="2598FAC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78DAB0A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in priprave za ponovno uporabo ločeno zbranih odpadkov iz lesa v izhodiščnem letu, pri čemer je delež oddaje v recikliranje ali v pripravo za ponovno uporabo v izhodiščnem letu okoli 25 odstotkov, ki se do leta 2030 poveča na 30 odstotkov in do leta 2035 na 38 odstotkov.</w:t>
            </w:r>
          </w:p>
        </w:tc>
      </w:tr>
      <w:bookmarkEnd w:id="46"/>
    </w:tbl>
    <w:p w14:paraId="4F53DE5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F85CFB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B7EF2C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47" w:name="_Hlk177745110"/>
      <w:r w:rsidRPr="00B775DE">
        <w:rPr>
          <w:rFonts w:ascii="Arial" w:eastAsia="Times New Roman" w:hAnsi="Arial" w:cs="Times New Roman"/>
          <w:kern w:val="0"/>
          <w:sz w:val="20"/>
          <w:szCs w:val="24"/>
        </w:rPr>
        <w:t>Največja letna količina gorljivih sestavin, ki nastanejo ob mehanski obdelavi ločeno zbrane embalaže iz lesa s številko 15 01 03 in se v posameznem koledarskem letu kot posebna storitev lahko sežge v obratu, se izračuna na podlagi naslednje enačbe:</w:t>
      </w:r>
    </w:p>
    <w:p w14:paraId="40349ED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DBDD90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plastika </w:t>
      </w:r>
      <w:r w:rsidRPr="00B775DE">
        <w:rPr>
          <w:rFonts w:ascii="Arial" w:eastAsia="Times New Roman" w:hAnsi="Arial" w:cs="Times New Roman"/>
          <w:b/>
          <w:kern w:val="0"/>
          <w:sz w:val="20"/>
          <w:szCs w:val="24"/>
        </w:rPr>
        <w:t>= (letna količina) * (1 – delež recikliranja)</w:t>
      </w:r>
    </w:p>
    <w:p w14:paraId="373B82E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11911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39CC254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6067237D" w14:textId="77777777" w:rsidTr="00C21643">
        <w:tc>
          <w:tcPr>
            <w:tcW w:w="2093" w:type="dxa"/>
            <w:shd w:val="clear" w:color="auto" w:fill="auto"/>
          </w:tcPr>
          <w:p w14:paraId="67BE3BA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plastika</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08026EF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se v posameznem koledarskem letu lahko sežge </w:t>
            </w:r>
          </w:p>
        </w:tc>
      </w:tr>
      <w:tr w:rsidR="00E65191" w:rsidRPr="00B775DE" w14:paraId="484C3106" w14:textId="77777777" w:rsidTr="00C21643">
        <w:tc>
          <w:tcPr>
            <w:tcW w:w="2093" w:type="dxa"/>
            <w:shd w:val="clear" w:color="auto" w:fill="auto"/>
          </w:tcPr>
          <w:p w14:paraId="6FC949A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lastRenderedPageBreak/>
              <w:t xml:space="preserve">letna količina </w:t>
            </w:r>
          </w:p>
        </w:tc>
        <w:tc>
          <w:tcPr>
            <w:tcW w:w="6545" w:type="dxa"/>
            <w:shd w:val="clear" w:color="auto" w:fill="auto"/>
            <w:vAlign w:val="center"/>
          </w:tcPr>
          <w:p w14:paraId="181A697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zbrane embalaže iz lesa s številko 15 01 03, ki je ocenjena na podlagi modelnega izračuna scenarijev razvoja ravnanja s komunalnimi odpadki</w:t>
            </w:r>
          </w:p>
        </w:tc>
      </w:tr>
      <w:tr w:rsidR="00E65191" w:rsidRPr="00B775DE" w14:paraId="5F87B6BB" w14:textId="77777777" w:rsidTr="00C21643">
        <w:tc>
          <w:tcPr>
            <w:tcW w:w="2093" w:type="dxa"/>
            <w:shd w:val="clear" w:color="auto" w:fill="auto"/>
          </w:tcPr>
          <w:p w14:paraId="2E01A1A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recikliranja</w:t>
            </w:r>
          </w:p>
        </w:tc>
        <w:tc>
          <w:tcPr>
            <w:tcW w:w="6545" w:type="dxa"/>
            <w:shd w:val="clear" w:color="auto" w:fill="auto"/>
          </w:tcPr>
          <w:p w14:paraId="0FA246E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in priprave za ponovno uporabo ločeno zbranih odpadkov iz lesa v izhodiščnem letu, pri čemer je delež oddaje v recikliranje ali v pripravo za ponovno uporabo v izhodiščnem letu 30 odstotkov, ki se do leta 2030 poveča na 30 odstotkov in do leta 2035 na 38 odstotkov.</w:t>
            </w:r>
          </w:p>
        </w:tc>
      </w:tr>
    </w:tbl>
    <w:p w14:paraId="747A0C7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bookmarkEnd w:id="47"/>
    <w:p w14:paraId="093CCD4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C9B0E0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5. Ločeno zbrani odpadki iz tekstila s številko 20 01 11</w:t>
      </w:r>
    </w:p>
    <w:p w14:paraId="637707F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6878DF9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Za ločeno zbran tekstil s številko 20 01 11</w:t>
      </w:r>
      <w:r w:rsidRPr="00B775DE">
        <w:rPr>
          <w:rFonts w:ascii="Arial" w:eastAsia="Times New Roman" w:hAnsi="Arial" w:cs="Times New Roman"/>
          <w:b/>
          <w:kern w:val="0"/>
          <w:sz w:val="20"/>
          <w:szCs w:val="24"/>
        </w:rPr>
        <w:t xml:space="preserve"> </w:t>
      </w:r>
      <w:r w:rsidRPr="00B775DE">
        <w:rPr>
          <w:rFonts w:ascii="Arial" w:eastAsia="Times New Roman" w:hAnsi="Arial" w:cs="Times New Roman"/>
          <w:kern w:val="0"/>
          <w:sz w:val="20"/>
          <w:szCs w:val="24"/>
        </w:rPr>
        <w:t>se največja letna količina gorljivih sestavin, ki se lahko odda v posameznem koledarskem letu v obdelavo, določi na podlagi podatkov o:</w:t>
      </w:r>
    </w:p>
    <w:p w14:paraId="0026E71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F7D515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letni količini ločeno zbranih odpadkov iz tekstila v izhodiščnem letu modelnega izračuna scenarijev razvoja ravnanja s komunalnimi odpadki ter</w:t>
      </w:r>
    </w:p>
    <w:p w14:paraId="35A7A3C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predpostavki, da se v izhodiščnem letu odda v recikliranje ali v pripravo za ponovno uporabo več kot 50 odstotkov teh ločeno zbranih odpadkov, pri čemer se stopnja oddaje v recikliranje ali v pripravo za ponovno uporabo do leta 2035 poveča na 70 odstotkov,</w:t>
      </w:r>
    </w:p>
    <w:p w14:paraId="7B439BC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BBB225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količina ločeno zbranih odpadkov iz tekstila s številko 20 01 11, ki se lahko odda v posameznem koledarskem letu v kot posebna storitev sežge v obratu, se izračuna na podlagi naslednje enačbe:</w:t>
      </w:r>
    </w:p>
    <w:p w14:paraId="05222F5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B7DEEB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tekstil </w:t>
      </w:r>
      <w:r w:rsidRPr="00B775DE">
        <w:rPr>
          <w:rFonts w:ascii="Arial" w:eastAsia="Times New Roman" w:hAnsi="Arial" w:cs="Times New Roman"/>
          <w:b/>
          <w:kern w:val="0"/>
          <w:sz w:val="20"/>
          <w:szCs w:val="24"/>
        </w:rPr>
        <w:t>= (letna količina) * (1 – delež recikliranja)</w:t>
      </w:r>
    </w:p>
    <w:p w14:paraId="793B0C4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6954373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5ED8522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7AA9E9E4" w14:textId="77777777" w:rsidTr="00C21643">
        <w:tc>
          <w:tcPr>
            <w:tcW w:w="2093" w:type="dxa"/>
            <w:shd w:val="clear" w:color="auto" w:fill="auto"/>
          </w:tcPr>
          <w:p w14:paraId="2BD4ECC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tekstil</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228C47C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se v posameznem koledarskem letu lahko sežge </w:t>
            </w:r>
          </w:p>
        </w:tc>
      </w:tr>
      <w:tr w:rsidR="00E65191" w:rsidRPr="00B775DE" w14:paraId="68B270EB" w14:textId="77777777" w:rsidTr="00C21643">
        <w:tc>
          <w:tcPr>
            <w:tcW w:w="2093" w:type="dxa"/>
            <w:shd w:val="clear" w:color="auto" w:fill="auto"/>
          </w:tcPr>
          <w:p w14:paraId="637EB8C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0F847CB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zbranih odpadkov iz tekstila, ki se ločeno zberejo v posameznem koledarskem letu na ozemlju Republike Slovenije v okviru javne službe zbiranja na podlagi modelnega izračuna scenarijev razvoja ravnanja s komunalnimi odpadki</w:t>
            </w:r>
          </w:p>
        </w:tc>
      </w:tr>
      <w:tr w:rsidR="00E65191" w:rsidRPr="00B775DE" w14:paraId="62C43EC8" w14:textId="77777777" w:rsidTr="00C21643">
        <w:tc>
          <w:tcPr>
            <w:tcW w:w="2093" w:type="dxa"/>
            <w:shd w:val="clear" w:color="auto" w:fill="auto"/>
          </w:tcPr>
          <w:p w14:paraId="20A2D6C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delež recikliranje</w:t>
            </w:r>
          </w:p>
        </w:tc>
        <w:tc>
          <w:tcPr>
            <w:tcW w:w="6545" w:type="dxa"/>
            <w:shd w:val="clear" w:color="auto" w:fill="auto"/>
          </w:tcPr>
          <w:p w14:paraId="2216E10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in priprave za ponovno uporabo ločeno zbranih odpadkov iz tekstila v izhodiščnem letu, pri čemer je delež recikliranja in priprave za ponovno uporabo v izhodiščnem letu 50 odstotkov, ki se do leta 2035 poveča na 70 odstotkov.</w:t>
            </w:r>
          </w:p>
        </w:tc>
      </w:tr>
    </w:tbl>
    <w:p w14:paraId="1DA96C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7A3100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5ABC10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Največja letna količina gorljivih sestavin, ki nastanejo ob mehanski obdelavi ločeno zbrane embalaže iz tekstila s številko 15 01 09 in se v posameznem koledarskem letu kot posebna storitev  lahko sežge v obratu, se izračuna na podlagi naslednje enačbe:</w:t>
      </w:r>
    </w:p>
    <w:p w14:paraId="7919F30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38C3AB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 xml:space="preserve">letna, tekstil </w:t>
      </w:r>
      <w:r w:rsidRPr="00B775DE">
        <w:rPr>
          <w:rFonts w:ascii="Arial" w:eastAsia="Times New Roman" w:hAnsi="Arial" w:cs="Times New Roman"/>
          <w:b/>
          <w:kern w:val="0"/>
          <w:sz w:val="20"/>
          <w:szCs w:val="24"/>
        </w:rPr>
        <w:t>= (letna količina) * (1 – delež recikliranja)</w:t>
      </w:r>
    </w:p>
    <w:p w14:paraId="65B45D2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366C50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kjer je:</w:t>
      </w:r>
    </w:p>
    <w:p w14:paraId="28A1CDA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0" w:type="auto"/>
        <w:tblLook w:val="04A0" w:firstRow="1" w:lastRow="0" w:firstColumn="1" w:lastColumn="0" w:noHBand="0" w:noVBand="1"/>
      </w:tblPr>
      <w:tblGrid>
        <w:gridCol w:w="2074"/>
        <w:gridCol w:w="6424"/>
      </w:tblGrid>
      <w:tr w:rsidR="00E65191" w:rsidRPr="00B775DE" w14:paraId="187BB9E7" w14:textId="77777777" w:rsidTr="00C21643">
        <w:tc>
          <w:tcPr>
            <w:tcW w:w="2093" w:type="dxa"/>
            <w:shd w:val="clear" w:color="auto" w:fill="auto"/>
          </w:tcPr>
          <w:p w14:paraId="625A476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M </w:t>
            </w:r>
            <w:r w:rsidRPr="00B775DE">
              <w:rPr>
                <w:rFonts w:ascii="Arial" w:eastAsia="Times New Roman" w:hAnsi="Arial" w:cs="Times New Roman"/>
                <w:b/>
                <w:kern w:val="0"/>
                <w:sz w:val="20"/>
                <w:szCs w:val="24"/>
                <w:vertAlign w:val="subscript"/>
              </w:rPr>
              <w:t>letna, tekstil</w:t>
            </w:r>
            <w:r w:rsidRPr="00B775DE">
              <w:rPr>
                <w:rFonts w:ascii="Arial" w:eastAsia="Times New Roman" w:hAnsi="Arial" w:cs="Times New Roman"/>
                <w:b/>
                <w:kern w:val="0"/>
                <w:sz w:val="20"/>
                <w:szCs w:val="24"/>
              </w:rPr>
              <w:t xml:space="preserve">  </w:t>
            </w:r>
          </w:p>
        </w:tc>
        <w:tc>
          <w:tcPr>
            <w:tcW w:w="6545" w:type="dxa"/>
            <w:shd w:val="clear" w:color="auto" w:fill="auto"/>
            <w:vAlign w:val="center"/>
          </w:tcPr>
          <w:p w14:paraId="3C72BAF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količina gorljivih sestavin, ki se v posameznem koledarskem letu lahko sežge </w:t>
            </w:r>
          </w:p>
        </w:tc>
      </w:tr>
      <w:tr w:rsidR="00E65191" w:rsidRPr="00B775DE" w14:paraId="54CD4298" w14:textId="77777777" w:rsidTr="00C21643">
        <w:tc>
          <w:tcPr>
            <w:tcW w:w="2093" w:type="dxa"/>
            <w:shd w:val="clear" w:color="auto" w:fill="auto"/>
          </w:tcPr>
          <w:p w14:paraId="5D97856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letna količina </w:t>
            </w:r>
          </w:p>
        </w:tc>
        <w:tc>
          <w:tcPr>
            <w:tcW w:w="6545" w:type="dxa"/>
            <w:shd w:val="clear" w:color="auto" w:fill="auto"/>
            <w:vAlign w:val="center"/>
          </w:tcPr>
          <w:p w14:paraId="18E6440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letna količina ločeno zbrane embalaže iz tekstila s številko 15 01 09, ki je ocenjena na podlagi modelnega izračuna scenarijev razvoja ravnanja s komunalnimi odpadki</w:t>
            </w:r>
          </w:p>
        </w:tc>
      </w:tr>
      <w:tr w:rsidR="00E65191" w:rsidRPr="00B775DE" w14:paraId="19CA26BA" w14:textId="77777777" w:rsidTr="00C21643">
        <w:tc>
          <w:tcPr>
            <w:tcW w:w="2093" w:type="dxa"/>
            <w:shd w:val="clear" w:color="auto" w:fill="auto"/>
          </w:tcPr>
          <w:p w14:paraId="6180B0E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lastRenderedPageBreak/>
              <w:t>delež recikliranja</w:t>
            </w:r>
          </w:p>
        </w:tc>
        <w:tc>
          <w:tcPr>
            <w:tcW w:w="6545" w:type="dxa"/>
            <w:shd w:val="clear" w:color="auto" w:fill="auto"/>
          </w:tcPr>
          <w:p w14:paraId="2110BA5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delež recikliranja in priprave za ponovno uporabo ločeno zbranih odpadkov iz tekstila v izhodiščnem letu, pri čemer je delež oddaje v recikliranje ali v pripravo za ponovno uporabo v izhodiščnem letu 50 odstotkov, ki se do leta 2035 na 70 odstotkov.</w:t>
            </w:r>
          </w:p>
        </w:tc>
      </w:tr>
    </w:tbl>
    <w:p w14:paraId="7B3C761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98B96B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B20D6A5" w14:textId="77777777" w:rsidR="00E65191" w:rsidRPr="00B775DE" w:rsidRDefault="00E65191" w:rsidP="00E65191">
      <w:pPr>
        <w:rPr>
          <w:rFonts w:ascii="Arial" w:eastAsia="Times New Roman" w:hAnsi="Arial" w:cs="Times New Roman"/>
          <w:kern w:val="0"/>
          <w:sz w:val="20"/>
          <w:szCs w:val="24"/>
        </w:rPr>
      </w:pPr>
      <w:r w:rsidRPr="00B775DE">
        <w:rPr>
          <w:rFonts w:ascii="Arial" w:eastAsia="Times New Roman" w:hAnsi="Arial" w:cs="Times New Roman"/>
          <w:kern w:val="0"/>
          <w:sz w:val="20"/>
          <w:szCs w:val="24"/>
        </w:rPr>
        <w:br w:type="page"/>
      </w:r>
    </w:p>
    <w:p w14:paraId="15D769A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FE2E1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PRILOGA 2</w:t>
      </w:r>
    </w:p>
    <w:p w14:paraId="493A5E0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5F36053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Največje letne količine gorljivih sestavin komunalnih odpadkov, ki se sežigajo v okviru storitev gospodarske javne službe ali kot posebna storitev gospodarske javne službe</w:t>
      </w:r>
    </w:p>
    <w:p w14:paraId="3671E9B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B1EEA5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1. del</w:t>
      </w:r>
      <w:r w:rsidRPr="00B775DE">
        <w:rPr>
          <w:rFonts w:ascii="Arial" w:eastAsia="Times New Roman" w:hAnsi="Arial" w:cs="Times New Roman"/>
          <w:kern w:val="0"/>
          <w:sz w:val="20"/>
          <w:szCs w:val="24"/>
        </w:rPr>
        <w:t xml:space="preserve"> - največja letna količina gorljivih sestavin, ki nastanejo po mehanski obdelavi mešanih komunalnih odpadkov in se sežigajo kot storitev gospodarske javne službe, je v tekočem letu za naslednje leto navedena </w:t>
      </w:r>
      <w:bookmarkStart w:id="48" w:name="_Hlk179304359"/>
      <w:r w:rsidRPr="00B775DE">
        <w:rPr>
          <w:rFonts w:ascii="Arial" w:eastAsia="Times New Roman" w:hAnsi="Arial" w:cs="Times New Roman"/>
          <w:kern w:val="0"/>
          <w:sz w:val="20"/>
          <w:szCs w:val="24"/>
        </w:rPr>
        <w:t>v obliki in s podatki iz spodnje tabele.</w:t>
      </w:r>
      <w:bookmarkEnd w:id="48"/>
    </w:p>
    <w:p w14:paraId="7C0FF60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8774" w:type="dxa"/>
        <w:tblInd w:w="85" w:type="dxa"/>
        <w:tblCellMar>
          <w:left w:w="70" w:type="dxa"/>
          <w:right w:w="70" w:type="dxa"/>
        </w:tblCellMar>
        <w:tblLook w:val="04A0" w:firstRow="1" w:lastRow="0" w:firstColumn="1" w:lastColumn="0" w:noHBand="0" w:noVBand="1"/>
      </w:tblPr>
      <w:tblGrid>
        <w:gridCol w:w="1340"/>
        <w:gridCol w:w="1263"/>
        <w:gridCol w:w="1263"/>
        <w:gridCol w:w="1263"/>
        <w:gridCol w:w="1275"/>
        <w:gridCol w:w="1276"/>
        <w:gridCol w:w="1276"/>
      </w:tblGrid>
      <w:tr w:rsidR="00E65191" w:rsidRPr="00B775DE" w14:paraId="63C203C9" w14:textId="77777777" w:rsidTr="00C21643">
        <w:trPr>
          <w:trHeight w:val="1800"/>
        </w:trPr>
        <w:tc>
          <w:tcPr>
            <w:tcW w:w="1240" w:type="dxa"/>
            <w:tcBorders>
              <w:top w:val="single" w:sz="12" w:space="0" w:color="auto"/>
              <w:left w:val="single" w:sz="12" w:space="0" w:color="auto"/>
              <w:bottom w:val="nil"/>
              <w:right w:val="nil"/>
            </w:tcBorders>
            <w:shd w:val="clear" w:color="auto" w:fill="auto"/>
            <w:vAlign w:val="bottom"/>
            <w:hideMark/>
          </w:tcPr>
          <w:p w14:paraId="0B5F154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bookmarkStart w:id="49" w:name="_Hlk179304532"/>
            <w:r w:rsidRPr="00B775DE">
              <w:rPr>
                <w:rFonts w:ascii="Arial" w:eastAsia="Times New Roman" w:hAnsi="Arial" w:cs="Times New Roman"/>
                <w:b/>
                <w:kern w:val="0"/>
                <w:sz w:val="20"/>
                <w:szCs w:val="24"/>
              </w:rPr>
              <w:t> </w:t>
            </w:r>
          </w:p>
        </w:tc>
        <w:tc>
          <w:tcPr>
            <w:tcW w:w="1240" w:type="dxa"/>
            <w:tcBorders>
              <w:top w:val="single" w:sz="12" w:space="0" w:color="auto"/>
              <w:left w:val="single" w:sz="12" w:space="0" w:color="auto"/>
              <w:bottom w:val="nil"/>
              <w:right w:val="single" w:sz="4" w:space="0" w:color="auto"/>
            </w:tcBorders>
            <w:shd w:val="clear" w:color="auto" w:fill="auto"/>
            <w:vAlign w:val="bottom"/>
            <w:hideMark/>
          </w:tcPr>
          <w:p w14:paraId="59C04CC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p w14:paraId="414EAED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20" w:type="dxa"/>
            <w:tcBorders>
              <w:top w:val="single" w:sz="12" w:space="0" w:color="auto"/>
              <w:left w:val="nil"/>
              <w:bottom w:val="nil"/>
              <w:right w:val="single" w:sz="4" w:space="0" w:color="auto"/>
            </w:tcBorders>
            <w:shd w:val="clear" w:color="auto" w:fill="auto"/>
            <w:vAlign w:val="bottom"/>
            <w:hideMark/>
          </w:tcPr>
          <w:p w14:paraId="029700B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največja letna količina goriva iz mešanih komunalnih odpadkov </w:t>
            </w:r>
          </w:p>
          <w:p w14:paraId="760361A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47" w:type="dxa"/>
            <w:tcBorders>
              <w:top w:val="single" w:sz="12" w:space="0" w:color="auto"/>
              <w:left w:val="nil"/>
              <w:bottom w:val="nil"/>
              <w:right w:val="single" w:sz="4" w:space="0" w:color="auto"/>
            </w:tcBorders>
            <w:shd w:val="clear" w:color="auto" w:fill="auto"/>
            <w:vAlign w:val="bottom"/>
            <w:hideMark/>
          </w:tcPr>
          <w:p w14:paraId="7AC6BA4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največja letna količina goriva iz mešanih komunalnih odpadkov </w:t>
            </w:r>
          </w:p>
          <w:p w14:paraId="34E45E5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5" w:type="dxa"/>
            <w:tcBorders>
              <w:top w:val="single" w:sz="12" w:space="0" w:color="auto"/>
              <w:left w:val="nil"/>
              <w:bottom w:val="nil"/>
              <w:right w:val="single" w:sz="4" w:space="0" w:color="auto"/>
            </w:tcBorders>
            <w:shd w:val="clear" w:color="auto" w:fill="auto"/>
            <w:vAlign w:val="bottom"/>
            <w:hideMark/>
          </w:tcPr>
          <w:p w14:paraId="38047D9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največja letna količina goriva iz mešanih komunalnih odpadkov </w:t>
            </w:r>
          </w:p>
          <w:p w14:paraId="1F52A3A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nil"/>
              <w:bottom w:val="nil"/>
              <w:right w:val="single" w:sz="4" w:space="0" w:color="auto"/>
            </w:tcBorders>
            <w:shd w:val="clear" w:color="auto" w:fill="auto"/>
            <w:vAlign w:val="bottom"/>
            <w:hideMark/>
          </w:tcPr>
          <w:p w14:paraId="405C43E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največja letna količina goriva iz mešanih komunalnih odpadkov </w:t>
            </w:r>
          </w:p>
          <w:p w14:paraId="2EA6151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nil"/>
              <w:bottom w:val="nil"/>
              <w:right w:val="single" w:sz="12" w:space="0" w:color="auto"/>
            </w:tcBorders>
            <w:shd w:val="clear" w:color="auto" w:fill="auto"/>
            <w:vAlign w:val="bottom"/>
            <w:hideMark/>
          </w:tcPr>
          <w:p w14:paraId="3484E0B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 xml:space="preserve">največja letna količina goriva iz mešanih komunalnih odpadkov </w:t>
            </w:r>
          </w:p>
          <w:p w14:paraId="68AD848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r>
      <w:tr w:rsidR="00E65191" w:rsidRPr="00B775DE" w14:paraId="5E76004E" w14:textId="77777777" w:rsidTr="00C21643">
        <w:trPr>
          <w:trHeight w:val="345"/>
        </w:trPr>
        <w:tc>
          <w:tcPr>
            <w:tcW w:w="1240" w:type="dxa"/>
            <w:tcBorders>
              <w:top w:val="nil"/>
              <w:left w:val="single" w:sz="12" w:space="0" w:color="auto"/>
              <w:bottom w:val="single" w:sz="12" w:space="0" w:color="auto"/>
              <w:right w:val="nil"/>
            </w:tcBorders>
            <w:shd w:val="clear" w:color="auto" w:fill="auto"/>
            <w:noWrap/>
            <w:vAlign w:val="bottom"/>
            <w:hideMark/>
          </w:tcPr>
          <w:p w14:paraId="2518209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240" w:type="dxa"/>
            <w:tcBorders>
              <w:top w:val="nil"/>
              <w:left w:val="single" w:sz="12" w:space="0" w:color="auto"/>
              <w:bottom w:val="single" w:sz="12" w:space="0" w:color="auto"/>
              <w:right w:val="single" w:sz="4" w:space="0" w:color="auto"/>
            </w:tcBorders>
            <w:shd w:val="clear" w:color="auto" w:fill="auto"/>
            <w:noWrap/>
            <w:vAlign w:val="bottom"/>
            <w:hideMark/>
          </w:tcPr>
          <w:p w14:paraId="29A63FC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220" w:type="dxa"/>
            <w:tcBorders>
              <w:top w:val="nil"/>
              <w:left w:val="nil"/>
              <w:bottom w:val="single" w:sz="12" w:space="0" w:color="auto"/>
              <w:right w:val="single" w:sz="4" w:space="0" w:color="auto"/>
            </w:tcBorders>
            <w:shd w:val="clear" w:color="auto" w:fill="auto"/>
            <w:noWrap/>
            <w:vAlign w:val="bottom"/>
            <w:hideMark/>
          </w:tcPr>
          <w:p w14:paraId="69E8AA3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 xml:space="preserve">plastika  </w:t>
            </w:r>
          </w:p>
        </w:tc>
        <w:tc>
          <w:tcPr>
            <w:tcW w:w="1247" w:type="dxa"/>
            <w:tcBorders>
              <w:top w:val="nil"/>
              <w:left w:val="nil"/>
              <w:bottom w:val="single" w:sz="12" w:space="0" w:color="auto"/>
              <w:right w:val="single" w:sz="4" w:space="0" w:color="auto"/>
            </w:tcBorders>
            <w:shd w:val="clear" w:color="auto" w:fill="auto"/>
            <w:noWrap/>
            <w:vAlign w:val="bottom"/>
            <w:hideMark/>
          </w:tcPr>
          <w:p w14:paraId="1DD7481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275" w:type="dxa"/>
            <w:tcBorders>
              <w:top w:val="nil"/>
              <w:left w:val="nil"/>
              <w:bottom w:val="single" w:sz="12" w:space="0" w:color="auto"/>
              <w:right w:val="single" w:sz="4" w:space="0" w:color="auto"/>
            </w:tcBorders>
            <w:shd w:val="clear" w:color="auto" w:fill="auto"/>
            <w:noWrap/>
            <w:vAlign w:val="bottom"/>
            <w:hideMark/>
          </w:tcPr>
          <w:p w14:paraId="66F6609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tekstil</w:t>
            </w:r>
          </w:p>
        </w:tc>
        <w:tc>
          <w:tcPr>
            <w:tcW w:w="1276" w:type="dxa"/>
            <w:tcBorders>
              <w:top w:val="nil"/>
              <w:left w:val="nil"/>
              <w:bottom w:val="single" w:sz="12" w:space="0" w:color="auto"/>
              <w:right w:val="single" w:sz="4" w:space="0" w:color="auto"/>
            </w:tcBorders>
            <w:shd w:val="clear" w:color="auto" w:fill="auto"/>
            <w:noWrap/>
            <w:vAlign w:val="bottom"/>
            <w:hideMark/>
          </w:tcPr>
          <w:p w14:paraId="14E47BD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drugi gorljivi</w:t>
            </w:r>
          </w:p>
        </w:tc>
        <w:tc>
          <w:tcPr>
            <w:tcW w:w="1276" w:type="dxa"/>
            <w:tcBorders>
              <w:top w:val="nil"/>
              <w:left w:val="nil"/>
              <w:bottom w:val="single" w:sz="12" w:space="0" w:color="auto"/>
              <w:right w:val="single" w:sz="12" w:space="0" w:color="auto"/>
            </w:tcBorders>
            <w:shd w:val="clear" w:color="auto" w:fill="auto"/>
            <w:noWrap/>
            <w:vAlign w:val="bottom"/>
            <w:hideMark/>
          </w:tcPr>
          <w:p w14:paraId="1C6EB72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3F272335" w14:textId="77777777" w:rsidTr="00C21643">
        <w:trPr>
          <w:trHeight w:val="340"/>
        </w:trPr>
        <w:tc>
          <w:tcPr>
            <w:tcW w:w="12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FF68AB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izhodiščno leto </w:t>
            </w:r>
            <w:r w:rsidRPr="00B775DE">
              <w:rPr>
                <w:rFonts w:ascii="Arial" w:eastAsia="Times New Roman" w:hAnsi="Arial" w:cs="Times New Roman"/>
                <w:b/>
                <w:kern w:val="0"/>
                <w:sz w:val="20"/>
                <w:szCs w:val="24"/>
                <w:vertAlign w:val="superscript"/>
              </w:rPr>
              <w:t>(a)</w:t>
            </w:r>
          </w:p>
        </w:tc>
        <w:tc>
          <w:tcPr>
            <w:tcW w:w="1240" w:type="dxa"/>
            <w:tcBorders>
              <w:top w:val="nil"/>
              <w:left w:val="nil"/>
              <w:bottom w:val="single" w:sz="4" w:space="0" w:color="auto"/>
              <w:right w:val="single" w:sz="4" w:space="0" w:color="auto"/>
            </w:tcBorders>
            <w:shd w:val="clear" w:color="auto" w:fill="auto"/>
            <w:noWrap/>
            <w:vAlign w:val="bottom"/>
            <w:hideMark/>
          </w:tcPr>
          <w:p w14:paraId="6033D11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3EEA288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382127C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6AFF85E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67C1113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74BE2F3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3B41F025"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5B7E7F6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naslednje leto </w:t>
            </w:r>
            <w:r w:rsidRPr="00B775DE">
              <w:rPr>
                <w:rFonts w:ascii="Arial" w:eastAsia="Times New Roman" w:hAnsi="Arial" w:cs="Times New Roman"/>
                <w:b/>
                <w:kern w:val="0"/>
                <w:sz w:val="20"/>
                <w:szCs w:val="24"/>
                <w:vertAlign w:val="superscript"/>
              </w:rPr>
              <w:t>(b)</w:t>
            </w:r>
            <w:r w:rsidRPr="00B775DE">
              <w:rPr>
                <w:rFonts w:ascii="Arial" w:eastAsia="Times New Roman" w:hAnsi="Arial" w:cs="Times New Roman"/>
                <w:b/>
                <w:kern w:val="0"/>
                <w:sz w:val="20"/>
                <w:szCs w:val="24"/>
              </w:rPr>
              <w:t xml:space="preserve"> </w:t>
            </w:r>
            <w:r w:rsidRPr="00B775DE">
              <w:rPr>
                <w:rFonts w:ascii="Arial" w:eastAsia="Times New Roman" w:hAnsi="Arial" w:cs="Times New Roman"/>
                <w:kern w:val="0"/>
                <w:sz w:val="20"/>
                <w:szCs w:val="24"/>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1EEA290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183585A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58553EC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5955E30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4EF29C9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4C6E370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58A06669"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6BA684C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bookmarkStart w:id="50" w:name="_Hlk179303727"/>
            <w:r w:rsidRPr="00B775DE">
              <w:rPr>
                <w:rFonts w:ascii="Arial" w:eastAsia="Times New Roman" w:hAnsi="Arial" w:cs="Times New Roman"/>
                <w:b/>
                <w:kern w:val="0"/>
                <w:sz w:val="20"/>
                <w:szCs w:val="24"/>
              </w:rPr>
              <w:t xml:space="preserve">prvo leto desetletja </w:t>
            </w:r>
            <w:r w:rsidRPr="00B775DE">
              <w:rPr>
                <w:rFonts w:ascii="Arial" w:eastAsia="Times New Roman" w:hAnsi="Arial" w:cs="Times New Roman"/>
                <w:b/>
                <w:kern w:val="0"/>
                <w:sz w:val="20"/>
                <w:szCs w:val="24"/>
                <w:vertAlign w:val="superscript"/>
              </w:rPr>
              <w:t>(c)</w:t>
            </w:r>
            <w:bookmarkEnd w:id="50"/>
          </w:p>
        </w:tc>
        <w:tc>
          <w:tcPr>
            <w:tcW w:w="1240" w:type="dxa"/>
            <w:tcBorders>
              <w:top w:val="nil"/>
              <w:left w:val="nil"/>
              <w:bottom w:val="single" w:sz="4" w:space="0" w:color="auto"/>
              <w:right w:val="single" w:sz="4" w:space="0" w:color="auto"/>
            </w:tcBorders>
            <w:shd w:val="clear" w:color="auto" w:fill="auto"/>
            <w:noWrap/>
            <w:vAlign w:val="bottom"/>
            <w:hideMark/>
          </w:tcPr>
          <w:p w14:paraId="6E41594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5C0AEA9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29D7393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40BAC4F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5822938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4182F93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0A044965"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1C85AE6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40" w:type="dxa"/>
            <w:tcBorders>
              <w:top w:val="nil"/>
              <w:left w:val="nil"/>
              <w:bottom w:val="single" w:sz="4" w:space="0" w:color="auto"/>
              <w:right w:val="single" w:sz="4" w:space="0" w:color="auto"/>
            </w:tcBorders>
            <w:shd w:val="clear" w:color="auto" w:fill="auto"/>
            <w:noWrap/>
            <w:vAlign w:val="bottom"/>
          </w:tcPr>
          <w:p w14:paraId="4F805A3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tcPr>
          <w:p w14:paraId="0A12D88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1009DBB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653E83B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tcPr>
          <w:p w14:paraId="2A50294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604D215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528C73B2"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61804BC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40" w:type="dxa"/>
            <w:tcBorders>
              <w:top w:val="nil"/>
              <w:left w:val="nil"/>
              <w:bottom w:val="single" w:sz="4" w:space="0" w:color="auto"/>
              <w:right w:val="single" w:sz="4" w:space="0" w:color="auto"/>
            </w:tcBorders>
            <w:shd w:val="clear" w:color="auto" w:fill="auto"/>
            <w:noWrap/>
            <w:vAlign w:val="bottom"/>
          </w:tcPr>
          <w:p w14:paraId="11E90CC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tcPr>
          <w:p w14:paraId="349D150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093D61E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12E0932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tcPr>
          <w:p w14:paraId="4C7A5BF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0D27FFC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155B890F"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713F5DE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zadnje leto desetletja </w:t>
            </w:r>
            <w:r w:rsidRPr="00B775DE">
              <w:rPr>
                <w:rFonts w:ascii="Arial" w:eastAsia="Times New Roman" w:hAnsi="Arial" w:cs="Times New Roman"/>
                <w:b/>
                <w:kern w:val="0"/>
                <w:sz w:val="20"/>
                <w:szCs w:val="24"/>
                <w:vertAlign w:val="superscript"/>
              </w:rPr>
              <w:t>(d)</w:t>
            </w:r>
          </w:p>
        </w:tc>
        <w:tc>
          <w:tcPr>
            <w:tcW w:w="1240" w:type="dxa"/>
            <w:tcBorders>
              <w:top w:val="nil"/>
              <w:left w:val="nil"/>
              <w:bottom w:val="single" w:sz="4" w:space="0" w:color="auto"/>
              <w:right w:val="single" w:sz="4" w:space="0" w:color="auto"/>
            </w:tcBorders>
            <w:shd w:val="clear" w:color="auto" w:fill="auto"/>
            <w:noWrap/>
            <w:vAlign w:val="bottom"/>
            <w:hideMark/>
          </w:tcPr>
          <w:p w14:paraId="2702A33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2B3C3A4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4095036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2FB023B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1356FE2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0B60A30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bl>
    <w:p w14:paraId="73A5B06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366E5DB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(a) </w:t>
      </w:r>
      <w:r w:rsidRPr="00B775DE">
        <w:rPr>
          <w:rFonts w:ascii="Arial" w:eastAsia="Times New Roman" w:hAnsi="Arial" w:cs="Times New Roman"/>
          <w:kern w:val="0"/>
          <w:sz w:val="20"/>
          <w:szCs w:val="24"/>
        </w:rPr>
        <w:t>izhodiščno leto za izračun scenarijev razvoja ravnanja s komunalnimi odpadki,</w:t>
      </w:r>
    </w:p>
    <w:p w14:paraId="430D920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(b)</w:t>
      </w:r>
      <w:r w:rsidRPr="00B775DE">
        <w:rPr>
          <w:rFonts w:ascii="Arial" w:eastAsia="Times New Roman" w:hAnsi="Arial" w:cs="Times New Roman"/>
          <w:kern w:val="0"/>
          <w:sz w:val="20"/>
          <w:szCs w:val="24"/>
        </w:rPr>
        <w:t xml:space="preserve"> naslednje leto je leto, za katerega je določena največja letna količina gorljivih sestavin komunalnih odpadkov,</w:t>
      </w:r>
    </w:p>
    <w:p w14:paraId="7AA866B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(c) </w:t>
      </w:r>
      <w:r w:rsidRPr="00B775DE">
        <w:rPr>
          <w:rFonts w:ascii="Arial" w:eastAsia="Times New Roman" w:hAnsi="Arial" w:cs="Times New Roman"/>
          <w:kern w:val="0"/>
          <w:sz w:val="20"/>
          <w:szCs w:val="24"/>
        </w:rPr>
        <w:t>prvo leto desetletja po letu, za katerega je določena največja letna količina gorljivih sestavin komunalnih odpadkov,</w:t>
      </w:r>
    </w:p>
    <w:p w14:paraId="2978851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(d) </w:t>
      </w:r>
      <w:r w:rsidRPr="00B775DE">
        <w:rPr>
          <w:rFonts w:ascii="Arial" w:eastAsia="Times New Roman" w:hAnsi="Arial" w:cs="Times New Roman"/>
          <w:kern w:val="0"/>
          <w:sz w:val="20"/>
          <w:szCs w:val="24"/>
        </w:rPr>
        <w:t>zadnje leto desetletja po letu, za katerega je določena največja letna količina gorljivih sestavin komunalnih odpadkov.</w:t>
      </w:r>
    </w:p>
    <w:bookmarkEnd w:id="49"/>
    <w:p w14:paraId="0F95C54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FBD0D8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Največje letne količine gorljivih sestavin iz papirja, plastike, lesa, tekstila in drugih gorljivih sestavin mešanih komunalnih odpadkov so podane kot indikativne vrednosti, ki ne smejo biti presežene za več kot 25 odstotkov. Če so te indikativne vrednosti presežene za več kot 25 odstotkov mora izvajalec mehanske obdelave mešanih komunalnih odpadkov:</w:t>
      </w:r>
    </w:p>
    <w:p w14:paraId="12BDCA3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1604754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a) ugotoviti, ali so ti mešani komunalni odpadki nastali na območju občine, za katero je bilo ocenjeno na podlagi rezultatov </w:t>
      </w:r>
      <w:proofErr w:type="spellStart"/>
      <w:r w:rsidRPr="00B775DE">
        <w:rPr>
          <w:rFonts w:ascii="Arial" w:eastAsia="Times New Roman" w:hAnsi="Arial" w:cs="Times New Roman"/>
          <w:kern w:val="0"/>
          <w:sz w:val="20"/>
          <w:szCs w:val="24"/>
        </w:rPr>
        <w:t>sortirnih</w:t>
      </w:r>
      <w:proofErr w:type="spellEnd"/>
      <w:r w:rsidRPr="00B775DE">
        <w:rPr>
          <w:rFonts w:ascii="Arial" w:eastAsia="Times New Roman" w:hAnsi="Arial" w:cs="Times New Roman"/>
          <w:kern w:val="0"/>
          <w:sz w:val="20"/>
          <w:szCs w:val="24"/>
        </w:rPr>
        <w:t xml:space="preserve"> analiz mešanih komunalnih odpadkov (v nadaljnjem besedilu: MKO), izdelanih za izhodiščno leto modelnega izračuna scenarijev razvoja ravnanja s komunalnimi odpadki, da letna količina zbranih mešanih komunalnih, preračunana na prebivalca, presega referenčno vrednost kazalnika za Republiko Slovenijo »količina MKO na prebivalca«;</w:t>
      </w:r>
      <w:r w:rsidRPr="00B775DE" w:rsidDel="007E37A7">
        <w:rPr>
          <w:rFonts w:ascii="Arial" w:eastAsia="Times New Roman" w:hAnsi="Arial" w:cs="Times New Roman"/>
          <w:kern w:val="0"/>
          <w:sz w:val="20"/>
          <w:szCs w:val="24"/>
        </w:rPr>
        <w:t xml:space="preserve"> </w:t>
      </w:r>
    </w:p>
    <w:p w14:paraId="44140CF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b) opozoriti izvajalca </w:t>
      </w:r>
      <w:proofErr w:type="spellStart"/>
      <w:r w:rsidRPr="00B775DE">
        <w:rPr>
          <w:rFonts w:ascii="Arial" w:eastAsia="Times New Roman" w:hAnsi="Arial" w:cs="Times New Roman"/>
          <w:kern w:val="0"/>
          <w:sz w:val="20"/>
          <w:szCs w:val="24"/>
        </w:rPr>
        <w:t>avne</w:t>
      </w:r>
      <w:proofErr w:type="spellEnd"/>
      <w:r w:rsidRPr="00B775DE">
        <w:rPr>
          <w:rFonts w:ascii="Arial" w:eastAsia="Times New Roman" w:hAnsi="Arial" w:cs="Times New Roman"/>
          <w:kern w:val="0"/>
          <w:sz w:val="20"/>
          <w:szCs w:val="24"/>
        </w:rPr>
        <w:t xml:space="preserve"> službe zbiranja, ki je take mešane komunalne odpadke predal v mehansko obdelavo, na izvajanje ukrepov za bolj učinkovito ločeno zbiranje komunalnih odpadkov;</w:t>
      </w:r>
    </w:p>
    <w:p w14:paraId="504165D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c) povečati učinkovitost izločevanja reciklabilnih odpadnih snovi iz prevzetih mešanih komunalnih odpadkov, z namenom, da za papir, plastiko, les in tekstil največje letne količine gorljivih sestavin ne presegajo v zgornji tabeli navedenih indikativnih vrednosti za več kot 25 odstotkov.</w:t>
      </w:r>
    </w:p>
    <w:p w14:paraId="77EC152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6F59B7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75B0E8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2. del</w:t>
      </w:r>
      <w:r w:rsidRPr="00B775DE">
        <w:rPr>
          <w:rFonts w:ascii="Arial" w:eastAsia="Times New Roman" w:hAnsi="Arial" w:cs="Times New Roman"/>
          <w:kern w:val="0"/>
          <w:sz w:val="20"/>
          <w:szCs w:val="24"/>
        </w:rPr>
        <w:t xml:space="preserve"> - največja letna količina gorljivih sestavin, ki nastanejo po mehanski obdelavi kosovnih odpadkov s številko 20 03 07, ločeno zbranega papirja, kartona in lepenke s številko 20 01 01, ločeno zbrane plastike s številko 20 01 39, ločeno zbranega lesa s številko 20 01 38 in ločeno zbranega tekstila s številko 20 01 11, zbranih v okviru storitev javne službe zbiranja, in se sežigajo kot posebna storitev, </w:t>
      </w:r>
      <w:bookmarkStart w:id="51" w:name="_Hlk179305121"/>
      <w:r w:rsidRPr="00B775DE">
        <w:rPr>
          <w:rFonts w:ascii="Arial" w:eastAsia="Times New Roman" w:hAnsi="Arial" w:cs="Times New Roman"/>
          <w:kern w:val="0"/>
          <w:sz w:val="20"/>
          <w:szCs w:val="24"/>
        </w:rPr>
        <w:t>je v tekočem letu za naslednje leto navedena v obliki in s podatki iz spodnje tabele.</w:t>
      </w:r>
    </w:p>
    <w:bookmarkEnd w:id="51"/>
    <w:p w14:paraId="4B4873F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8774" w:type="dxa"/>
        <w:tblInd w:w="85" w:type="dxa"/>
        <w:tblCellMar>
          <w:left w:w="70" w:type="dxa"/>
          <w:right w:w="70" w:type="dxa"/>
        </w:tblCellMar>
        <w:tblLook w:val="04A0" w:firstRow="1" w:lastRow="0" w:firstColumn="1" w:lastColumn="0" w:noHBand="0" w:noVBand="1"/>
      </w:tblPr>
      <w:tblGrid>
        <w:gridCol w:w="1340"/>
        <w:gridCol w:w="1263"/>
        <w:gridCol w:w="1263"/>
        <w:gridCol w:w="1263"/>
        <w:gridCol w:w="1275"/>
        <w:gridCol w:w="1276"/>
        <w:gridCol w:w="1276"/>
      </w:tblGrid>
      <w:tr w:rsidR="00E65191" w:rsidRPr="00B775DE" w14:paraId="21520D77" w14:textId="77777777" w:rsidTr="00C21643">
        <w:trPr>
          <w:trHeight w:val="1800"/>
        </w:trPr>
        <w:tc>
          <w:tcPr>
            <w:tcW w:w="1240" w:type="dxa"/>
            <w:tcBorders>
              <w:top w:val="single" w:sz="12" w:space="0" w:color="auto"/>
              <w:left w:val="single" w:sz="12" w:space="0" w:color="auto"/>
              <w:bottom w:val="nil"/>
              <w:right w:val="nil"/>
            </w:tcBorders>
            <w:shd w:val="clear" w:color="auto" w:fill="auto"/>
            <w:vAlign w:val="bottom"/>
            <w:hideMark/>
          </w:tcPr>
          <w:p w14:paraId="35964D7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w:t>
            </w:r>
          </w:p>
        </w:tc>
        <w:tc>
          <w:tcPr>
            <w:tcW w:w="1240" w:type="dxa"/>
            <w:tcBorders>
              <w:top w:val="single" w:sz="12" w:space="0" w:color="auto"/>
              <w:left w:val="single" w:sz="12" w:space="0" w:color="auto"/>
              <w:bottom w:val="nil"/>
              <w:right w:val="single" w:sz="4" w:space="0" w:color="auto"/>
            </w:tcBorders>
            <w:shd w:val="clear" w:color="auto" w:fill="auto"/>
            <w:vAlign w:val="bottom"/>
            <w:hideMark/>
          </w:tcPr>
          <w:p w14:paraId="6226633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w:t>
            </w:r>
          </w:p>
          <w:p w14:paraId="75B8E30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20" w:type="dxa"/>
            <w:tcBorders>
              <w:top w:val="single" w:sz="12" w:space="0" w:color="auto"/>
              <w:left w:val="nil"/>
              <w:right w:val="single" w:sz="4" w:space="0" w:color="auto"/>
            </w:tcBorders>
            <w:shd w:val="clear" w:color="auto" w:fill="auto"/>
            <w:vAlign w:val="bottom"/>
            <w:hideMark/>
          </w:tcPr>
          <w:p w14:paraId="50EBAB7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p w14:paraId="7C1EA9C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47" w:type="dxa"/>
            <w:tcBorders>
              <w:top w:val="single" w:sz="12" w:space="0" w:color="auto"/>
              <w:left w:val="nil"/>
              <w:bottom w:val="nil"/>
              <w:right w:val="single" w:sz="4" w:space="0" w:color="auto"/>
            </w:tcBorders>
            <w:shd w:val="clear" w:color="auto" w:fill="auto"/>
            <w:vAlign w:val="bottom"/>
            <w:hideMark/>
          </w:tcPr>
          <w:p w14:paraId="3F635F0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p w14:paraId="62416A9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5" w:type="dxa"/>
            <w:tcBorders>
              <w:top w:val="single" w:sz="12" w:space="0" w:color="auto"/>
              <w:left w:val="nil"/>
              <w:bottom w:val="nil"/>
              <w:right w:val="single" w:sz="4" w:space="0" w:color="auto"/>
            </w:tcBorders>
            <w:shd w:val="clear" w:color="auto" w:fill="auto"/>
            <w:vAlign w:val="bottom"/>
            <w:hideMark/>
          </w:tcPr>
          <w:p w14:paraId="02A2A43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p w14:paraId="3482431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nil"/>
              <w:bottom w:val="nil"/>
              <w:right w:val="single" w:sz="4" w:space="0" w:color="auto"/>
            </w:tcBorders>
            <w:shd w:val="clear" w:color="auto" w:fill="auto"/>
            <w:vAlign w:val="bottom"/>
            <w:hideMark/>
          </w:tcPr>
          <w:p w14:paraId="0453DDC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p w14:paraId="206F529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nil"/>
              <w:bottom w:val="nil"/>
              <w:right w:val="single" w:sz="4" w:space="0" w:color="auto"/>
            </w:tcBorders>
            <w:shd w:val="clear" w:color="auto" w:fill="auto"/>
            <w:vAlign w:val="bottom"/>
            <w:hideMark/>
          </w:tcPr>
          <w:p w14:paraId="69C1238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p w14:paraId="317CF1B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r>
      <w:tr w:rsidR="00E65191" w:rsidRPr="00B775DE" w14:paraId="2F34BE50" w14:textId="77777777" w:rsidTr="00C21643">
        <w:trPr>
          <w:trHeight w:val="345"/>
        </w:trPr>
        <w:tc>
          <w:tcPr>
            <w:tcW w:w="1240" w:type="dxa"/>
            <w:tcBorders>
              <w:top w:val="nil"/>
              <w:left w:val="single" w:sz="12" w:space="0" w:color="auto"/>
              <w:bottom w:val="single" w:sz="12" w:space="0" w:color="auto"/>
              <w:right w:val="nil"/>
            </w:tcBorders>
            <w:shd w:val="clear" w:color="auto" w:fill="auto"/>
            <w:noWrap/>
            <w:vAlign w:val="bottom"/>
            <w:hideMark/>
          </w:tcPr>
          <w:p w14:paraId="63DB5E1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240" w:type="dxa"/>
            <w:tcBorders>
              <w:top w:val="nil"/>
              <w:left w:val="single" w:sz="12" w:space="0" w:color="auto"/>
              <w:bottom w:val="single" w:sz="12" w:space="0" w:color="auto"/>
              <w:right w:val="single" w:sz="6" w:space="0" w:color="auto"/>
            </w:tcBorders>
            <w:shd w:val="clear" w:color="auto" w:fill="auto"/>
            <w:noWrap/>
            <w:vAlign w:val="bottom"/>
            <w:hideMark/>
          </w:tcPr>
          <w:p w14:paraId="71B5FD6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kosovni odpadki</w:t>
            </w:r>
          </w:p>
        </w:tc>
        <w:tc>
          <w:tcPr>
            <w:tcW w:w="1220" w:type="dxa"/>
            <w:tcBorders>
              <w:top w:val="nil"/>
              <w:left w:val="single" w:sz="6" w:space="0" w:color="auto"/>
              <w:bottom w:val="single" w:sz="12" w:space="0" w:color="auto"/>
              <w:right w:val="single" w:sz="4" w:space="0" w:color="auto"/>
            </w:tcBorders>
            <w:shd w:val="clear" w:color="auto" w:fill="auto"/>
            <w:noWrap/>
            <w:vAlign w:val="bottom"/>
            <w:hideMark/>
          </w:tcPr>
          <w:p w14:paraId="6DC7898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247" w:type="dxa"/>
            <w:tcBorders>
              <w:top w:val="nil"/>
              <w:left w:val="nil"/>
              <w:bottom w:val="single" w:sz="12" w:space="0" w:color="auto"/>
              <w:right w:val="single" w:sz="4" w:space="0" w:color="auto"/>
            </w:tcBorders>
            <w:shd w:val="clear" w:color="auto" w:fill="auto"/>
            <w:noWrap/>
            <w:vAlign w:val="bottom"/>
            <w:hideMark/>
          </w:tcPr>
          <w:p w14:paraId="1AF4A8F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 xml:space="preserve">plastika  </w:t>
            </w:r>
          </w:p>
        </w:tc>
        <w:tc>
          <w:tcPr>
            <w:tcW w:w="1275" w:type="dxa"/>
            <w:tcBorders>
              <w:top w:val="nil"/>
              <w:left w:val="nil"/>
              <w:bottom w:val="single" w:sz="12" w:space="0" w:color="auto"/>
              <w:right w:val="single" w:sz="4" w:space="0" w:color="auto"/>
            </w:tcBorders>
            <w:shd w:val="clear" w:color="auto" w:fill="auto"/>
            <w:noWrap/>
            <w:vAlign w:val="bottom"/>
            <w:hideMark/>
          </w:tcPr>
          <w:p w14:paraId="37039F6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276" w:type="dxa"/>
            <w:tcBorders>
              <w:top w:val="nil"/>
              <w:left w:val="nil"/>
              <w:bottom w:val="single" w:sz="12" w:space="0" w:color="auto"/>
              <w:right w:val="single" w:sz="4" w:space="0" w:color="auto"/>
            </w:tcBorders>
            <w:shd w:val="clear" w:color="auto" w:fill="auto"/>
            <w:noWrap/>
            <w:vAlign w:val="bottom"/>
            <w:hideMark/>
          </w:tcPr>
          <w:p w14:paraId="2106A2F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tekstil</w:t>
            </w:r>
          </w:p>
        </w:tc>
        <w:tc>
          <w:tcPr>
            <w:tcW w:w="1276" w:type="dxa"/>
            <w:tcBorders>
              <w:top w:val="nil"/>
              <w:left w:val="nil"/>
              <w:bottom w:val="single" w:sz="12" w:space="0" w:color="auto"/>
              <w:right w:val="single" w:sz="12" w:space="0" w:color="auto"/>
            </w:tcBorders>
            <w:shd w:val="clear" w:color="auto" w:fill="auto"/>
            <w:noWrap/>
            <w:vAlign w:val="bottom"/>
            <w:hideMark/>
          </w:tcPr>
          <w:p w14:paraId="16A7675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69903A04" w14:textId="77777777" w:rsidTr="00C21643">
        <w:trPr>
          <w:trHeight w:val="340"/>
        </w:trPr>
        <w:tc>
          <w:tcPr>
            <w:tcW w:w="12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75DC0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izhodiščno leto </w:t>
            </w:r>
            <w:r w:rsidRPr="00B775DE">
              <w:rPr>
                <w:rFonts w:ascii="Arial" w:eastAsia="Times New Roman" w:hAnsi="Arial" w:cs="Times New Roman"/>
                <w:b/>
                <w:kern w:val="0"/>
                <w:sz w:val="20"/>
                <w:szCs w:val="24"/>
                <w:vertAlign w:val="superscript"/>
              </w:rPr>
              <w:t>(a)</w:t>
            </w:r>
          </w:p>
        </w:tc>
        <w:tc>
          <w:tcPr>
            <w:tcW w:w="1240" w:type="dxa"/>
            <w:tcBorders>
              <w:top w:val="nil"/>
              <w:left w:val="nil"/>
              <w:bottom w:val="single" w:sz="4" w:space="0" w:color="auto"/>
              <w:right w:val="single" w:sz="4" w:space="0" w:color="auto"/>
            </w:tcBorders>
            <w:shd w:val="clear" w:color="auto" w:fill="auto"/>
            <w:noWrap/>
            <w:vAlign w:val="bottom"/>
            <w:hideMark/>
          </w:tcPr>
          <w:p w14:paraId="6585DD2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5B81928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14E041A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7A447FD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30E9F7F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1ADB491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160D541C"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5D0EA7E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naslednje leto </w:t>
            </w:r>
            <w:r w:rsidRPr="00B775DE">
              <w:rPr>
                <w:rFonts w:ascii="Arial" w:eastAsia="Times New Roman" w:hAnsi="Arial" w:cs="Times New Roman"/>
                <w:b/>
                <w:kern w:val="0"/>
                <w:sz w:val="20"/>
                <w:szCs w:val="24"/>
                <w:vertAlign w:val="superscript"/>
              </w:rPr>
              <w:t>(b)</w:t>
            </w:r>
            <w:r w:rsidRPr="00B775DE">
              <w:rPr>
                <w:rFonts w:ascii="Arial" w:eastAsia="Times New Roman" w:hAnsi="Arial" w:cs="Times New Roman"/>
                <w:b/>
                <w:kern w:val="0"/>
                <w:sz w:val="20"/>
                <w:szCs w:val="24"/>
              </w:rPr>
              <w:t xml:space="preserve"> </w:t>
            </w:r>
            <w:r w:rsidRPr="00B775DE">
              <w:rPr>
                <w:rFonts w:ascii="Arial" w:eastAsia="Times New Roman" w:hAnsi="Arial" w:cs="Times New Roman"/>
                <w:kern w:val="0"/>
                <w:sz w:val="20"/>
                <w:szCs w:val="24"/>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164C642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0BABAD4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54222BB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3DF4FA6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7A372E3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31F4C3E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7F68FB41"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1860771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prvo leto desetletja </w:t>
            </w:r>
            <w:r w:rsidRPr="00B775DE">
              <w:rPr>
                <w:rFonts w:ascii="Arial" w:eastAsia="Times New Roman" w:hAnsi="Arial" w:cs="Times New Roman"/>
                <w:b/>
                <w:kern w:val="0"/>
                <w:sz w:val="20"/>
                <w:szCs w:val="24"/>
                <w:vertAlign w:val="superscript"/>
              </w:rPr>
              <w:t>(c)</w:t>
            </w:r>
          </w:p>
        </w:tc>
        <w:tc>
          <w:tcPr>
            <w:tcW w:w="1240" w:type="dxa"/>
            <w:tcBorders>
              <w:top w:val="nil"/>
              <w:left w:val="nil"/>
              <w:bottom w:val="single" w:sz="4" w:space="0" w:color="auto"/>
              <w:right w:val="single" w:sz="4" w:space="0" w:color="auto"/>
            </w:tcBorders>
            <w:shd w:val="clear" w:color="auto" w:fill="auto"/>
            <w:noWrap/>
            <w:vAlign w:val="bottom"/>
            <w:hideMark/>
          </w:tcPr>
          <w:p w14:paraId="47C45FD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539D18A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4CC7102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0BC2F04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508873F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1DD4951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5DD154C4"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797BF3A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40" w:type="dxa"/>
            <w:tcBorders>
              <w:top w:val="nil"/>
              <w:left w:val="nil"/>
              <w:bottom w:val="single" w:sz="4" w:space="0" w:color="auto"/>
              <w:right w:val="single" w:sz="4" w:space="0" w:color="auto"/>
            </w:tcBorders>
            <w:shd w:val="clear" w:color="auto" w:fill="auto"/>
            <w:noWrap/>
            <w:vAlign w:val="bottom"/>
          </w:tcPr>
          <w:p w14:paraId="233E73F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tcPr>
          <w:p w14:paraId="2DF42DD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0B8F59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1574553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tcPr>
          <w:p w14:paraId="2AF575E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25B9A3E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4DFD493D"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42ADD57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40" w:type="dxa"/>
            <w:tcBorders>
              <w:top w:val="nil"/>
              <w:left w:val="nil"/>
              <w:bottom w:val="single" w:sz="4" w:space="0" w:color="auto"/>
              <w:right w:val="single" w:sz="4" w:space="0" w:color="auto"/>
            </w:tcBorders>
            <w:shd w:val="clear" w:color="auto" w:fill="auto"/>
            <w:noWrap/>
            <w:vAlign w:val="bottom"/>
          </w:tcPr>
          <w:p w14:paraId="21E3368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tcPr>
          <w:p w14:paraId="24AEF1D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6681A6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16ED53F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tcPr>
          <w:p w14:paraId="29BB3FB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0F8720A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65A01290"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08EF927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zadnje leto desetletja </w:t>
            </w:r>
            <w:r w:rsidRPr="00B775DE">
              <w:rPr>
                <w:rFonts w:ascii="Arial" w:eastAsia="Times New Roman" w:hAnsi="Arial" w:cs="Times New Roman"/>
                <w:b/>
                <w:kern w:val="0"/>
                <w:sz w:val="20"/>
                <w:szCs w:val="24"/>
                <w:vertAlign w:val="superscript"/>
              </w:rPr>
              <w:t>(d)</w:t>
            </w:r>
          </w:p>
        </w:tc>
        <w:tc>
          <w:tcPr>
            <w:tcW w:w="1240" w:type="dxa"/>
            <w:tcBorders>
              <w:top w:val="nil"/>
              <w:left w:val="nil"/>
              <w:bottom w:val="single" w:sz="4" w:space="0" w:color="auto"/>
              <w:right w:val="single" w:sz="4" w:space="0" w:color="auto"/>
            </w:tcBorders>
            <w:shd w:val="clear" w:color="auto" w:fill="auto"/>
            <w:noWrap/>
            <w:vAlign w:val="bottom"/>
            <w:hideMark/>
          </w:tcPr>
          <w:p w14:paraId="69D18E0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20" w:type="dxa"/>
            <w:tcBorders>
              <w:top w:val="nil"/>
              <w:left w:val="nil"/>
              <w:bottom w:val="single" w:sz="4" w:space="0" w:color="auto"/>
              <w:right w:val="single" w:sz="4" w:space="0" w:color="auto"/>
            </w:tcBorders>
            <w:shd w:val="clear" w:color="auto" w:fill="auto"/>
            <w:noWrap/>
            <w:vAlign w:val="bottom"/>
            <w:hideMark/>
          </w:tcPr>
          <w:p w14:paraId="27429D5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419B545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7F008FB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539612B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3F59731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bl>
    <w:p w14:paraId="48F511C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7CB7D59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(a) </w:t>
      </w:r>
      <w:r w:rsidRPr="00B775DE">
        <w:rPr>
          <w:rFonts w:ascii="Arial" w:eastAsia="Times New Roman" w:hAnsi="Arial" w:cs="Times New Roman"/>
          <w:kern w:val="0"/>
          <w:sz w:val="20"/>
          <w:szCs w:val="24"/>
        </w:rPr>
        <w:t>izhodiščno leto za izračun scenarijev razvoja ravnanja s komunalnimi odpadki,</w:t>
      </w:r>
    </w:p>
    <w:p w14:paraId="338AA51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(b)</w:t>
      </w:r>
      <w:r w:rsidRPr="00B775DE">
        <w:rPr>
          <w:rFonts w:ascii="Arial" w:eastAsia="Times New Roman" w:hAnsi="Arial" w:cs="Times New Roman"/>
          <w:kern w:val="0"/>
          <w:sz w:val="20"/>
          <w:szCs w:val="24"/>
        </w:rPr>
        <w:t xml:space="preserve"> naslednje leto je leto, za katerega je določena največja letna količina gorljivih sestavin komunalnih odpadkov,</w:t>
      </w:r>
    </w:p>
    <w:p w14:paraId="68ECB1C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(c) </w:t>
      </w:r>
      <w:r w:rsidRPr="00B775DE">
        <w:rPr>
          <w:rFonts w:ascii="Arial" w:eastAsia="Times New Roman" w:hAnsi="Arial" w:cs="Times New Roman"/>
          <w:kern w:val="0"/>
          <w:sz w:val="20"/>
          <w:szCs w:val="24"/>
        </w:rPr>
        <w:t>prvo leto desetletja po letu, za katerega je določena največja letna količina gorljivih sestavin komunalnih odpadkov,</w:t>
      </w:r>
    </w:p>
    <w:p w14:paraId="5B6D2F9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(d) </w:t>
      </w:r>
      <w:r w:rsidRPr="00B775DE">
        <w:rPr>
          <w:rFonts w:ascii="Arial" w:eastAsia="Times New Roman" w:hAnsi="Arial" w:cs="Times New Roman"/>
          <w:kern w:val="0"/>
          <w:sz w:val="20"/>
          <w:szCs w:val="24"/>
        </w:rPr>
        <w:t>zadnje leto desetletja po letu, za katerega je določena največja letna količina gorljivih sestavin komunalnih odpadkov.</w:t>
      </w:r>
    </w:p>
    <w:p w14:paraId="06C8210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6A6F91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EAE6CA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3. del - </w:t>
      </w:r>
      <w:r w:rsidRPr="00B775DE">
        <w:rPr>
          <w:rFonts w:ascii="Arial" w:eastAsia="Times New Roman" w:hAnsi="Arial" w:cs="Times New Roman"/>
          <w:kern w:val="0"/>
          <w:sz w:val="20"/>
          <w:szCs w:val="24"/>
        </w:rPr>
        <w:t>največja letna količina gorljivih sestavin, ki nastanejo po mehanski obdelavi ločeno zbrane odpadne embalaže, ki je zbrana v okviru storitev javne službe zbiranja, in se lahko sežigajo kot posebna storitev, je v tekočem letu za naslednje leto navedena v obliki in s podatki iz spodnje tabele.</w:t>
      </w:r>
    </w:p>
    <w:p w14:paraId="548BFEB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7534" w:type="dxa"/>
        <w:tblInd w:w="85" w:type="dxa"/>
        <w:tblCellMar>
          <w:left w:w="70" w:type="dxa"/>
          <w:right w:w="70" w:type="dxa"/>
        </w:tblCellMar>
        <w:tblLook w:val="04A0" w:firstRow="1" w:lastRow="0" w:firstColumn="1" w:lastColumn="0" w:noHBand="0" w:noVBand="1"/>
      </w:tblPr>
      <w:tblGrid>
        <w:gridCol w:w="1340"/>
        <w:gridCol w:w="1220"/>
        <w:gridCol w:w="1247"/>
        <w:gridCol w:w="1275"/>
        <w:gridCol w:w="1276"/>
        <w:gridCol w:w="1276"/>
      </w:tblGrid>
      <w:tr w:rsidR="00E65191" w:rsidRPr="00B775DE" w14:paraId="4E858762" w14:textId="77777777" w:rsidTr="00C21643">
        <w:trPr>
          <w:trHeight w:val="1800"/>
        </w:trPr>
        <w:tc>
          <w:tcPr>
            <w:tcW w:w="1240" w:type="dxa"/>
            <w:tcBorders>
              <w:top w:val="single" w:sz="12" w:space="0" w:color="auto"/>
              <w:left w:val="single" w:sz="12" w:space="0" w:color="auto"/>
              <w:bottom w:val="nil"/>
              <w:right w:val="single" w:sz="12" w:space="0" w:color="auto"/>
            </w:tcBorders>
            <w:shd w:val="clear" w:color="auto" w:fill="auto"/>
            <w:vAlign w:val="bottom"/>
            <w:hideMark/>
          </w:tcPr>
          <w:p w14:paraId="19B7927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bookmarkStart w:id="52" w:name="_Hlk179305730"/>
            <w:r w:rsidRPr="00B775DE">
              <w:rPr>
                <w:rFonts w:ascii="Arial" w:eastAsia="Times New Roman" w:hAnsi="Arial" w:cs="Times New Roman"/>
                <w:b/>
                <w:kern w:val="0"/>
                <w:sz w:val="20"/>
                <w:szCs w:val="24"/>
              </w:rPr>
              <w:t> </w:t>
            </w:r>
          </w:p>
        </w:tc>
        <w:tc>
          <w:tcPr>
            <w:tcW w:w="1220" w:type="dxa"/>
            <w:tcBorders>
              <w:top w:val="single" w:sz="12" w:space="0" w:color="auto"/>
              <w:left w:val="single" w:sz="12" w:space="0" w:color="auto"/>
              <w:bottom w:val="nil"/>
              <w:right w:val="single" w:sz="4" w:space="0" w:color="auto"/>
            </w:tcBorders>
            <w:shd w:val="clear" w:color="auto" w:fill="auto"/>
            <w:vAlign w:val="bottom"/>
            <w:hideMark/>
          </w:tcPr>
          <w:p w14:paraId="327AACD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zbrane odpadne embalaže</w:t>
            </w:r>
          </w:p>
          <w:p w14:paraId="27462E4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47" w:type="dxa"/>
            <w:tcBorders>
              <w:top w:val="single" w:sz="12" w:space="0" w:color="auto"/>
              <w:left w:val="single" w:sz="6" w:space="0" w:color="auto"/>
              <w:bottom w:val="nil"/>
              <w:right w:val="single" w:sz="4" w:space="0" w:color="auto"/>
            </w:tcBorders>
            <w:shd w:val="clear" w:color="auto" w:fill="auto"/>
            <w:vAlign w:val="bottom"/>
            <w:hideMark/>
          </w:tcPr>
          <w:p w14:paraId="4A6AB9D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zbrane odpadne embalaže</w:t>
            </w:r>
          </w:p>
          <w:p w14:paraId="7B67D7E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5" w:type="dxa"/>
            <w:tcBorders>
              <w:top w:val="single" w:sz="12" w:space="0" w:color="auto"/>
              <w:left w:val="single" w:sz="6" w:space="0" w:color="auto"/>
              <w:bottom w:val="nil"/>
              <w:right w:val="single" w:sz="4" w:space="0" w:color="auto"/>
            </w:tcBorders>
            <w:shd w:val="clear" w:color="auto" w:fill="auto"/>
            <w:vAlign w:val="bottom"/>
            <w:hideMark/>
          </w:tcPr>
          <w:p w14:paraId="59D2833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zbrane odpadne embalaže</w:t>
            </w:r>
          </w:p>
          <w:p w14:paraId="7C01E8E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single" w:sz="6" w:space="0" w:color="auto"/>
              <w:bottom w:val="nil"/>
              <w:right w:val="single" w:sz="4" w:space="0" w:color="auto"/>
            </w:tcBorders>
            <w:shd w:val="clear" w:color="auto" w:fill="auto"/>
            <w:vAlign w:val="bottom"/>
            <w:hideMark/>
          </w:tcPr>
          <w:p w14:paraId="705161D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zbrane odpadne embalaže</w:t>
            </w:r>
          </w:p>
          <w:p w14:paraId="7D22CF9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single" w:sz="6" w:space="0" w:color="auto"/>
              <w:bottom w:val="nil"/>
              <w:right w:val="single" w:sz="12" w:space="0" w:color="auto"/>
            </w:tcBorders>
            <w:shd w:val="clear" w:color="auto" w:fill="auto"/>
            <w:vAlign w:val="bottom"/>
            <w:hideMark/>
          </w:tcPr>
          <w:p w14:paraId="3B81C78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letna količina goriva iz obdelave v okviru občinske JS ločeno zbrane odpadne embalaže</w:t>
            </w:r>
          </w:p>
          <w:p w14:paraId="7CCFE4B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r>
      <w:tr w:rsidR="00E65191" w:rsidRPr="00B775DE" w14:paraId="3ED83168" w14:textId="77777777" w:rsidTr="00C21643">
        <w:trPr>
          <w:trHeight w:val="345"/>
        </w:trPr>
        <w:tc>
          <w:tcPr>
            <w:tcW w:w="1240" w:type="dxa"/>
            <w:tcBorders>
              <w:top w:val="nil"/>
              <w:left w:val="single" w:sz="12" w:space="0" w:color="auto"/>
              <w:bottom w:val="single" w:sz="12" w:space="0" w:color="auto"/>
              <w:right w:val="single" w:sz="12" w:space="0" w:color="auto"/>
            </w:tcBorders>
            <w:shd w:val="clear" w:color="auto" w:fill="auto"/>
            <w:noWrap/>
            <w:vAlign w:val="bottom"/>
            <w:hideMark/>
          </w:tcPr>
          <w:p w14:paraId="73A7AB3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220" w:type="dxa"/>
            <w:tcBorders>
              <w:top w:val="nil"/>
              <w:left w:val="single" w:sz="12" w:space="0" w:color="auto"/>
              <w:bottom w:val="single" w:sz="12" w:space="0" w:color="auto"/>
              <w:right w:val="single" w:sz="4" w:space="0" w:color="auto"/>
            </w:tcBorders>
            <w:shd w:val="clear" w:color="auto" w:fill="auto"/>
            <w:noWrap/>
            <w:vAlign w:val="bottom"/>
            <w:hideMark/>
          </w:tcPr>
          <w:p w14:paraId="02605D6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247" w:type="dxa"/>
            <w:tcBorders>
              <w:top w:val="nil"/>
              <w:left w:val="nil"/>
              <w:bottom w:val="single" w:sz="12" w:space="0" w:color="auto"/>
              <w:right w:val="single" w:sz="4" w:space="0" w:color="auto"/>
            </w:tcBorders>
            <w:shd w:val="clear" w:color="auto" w:fill="auto"/>
            <w:noWrap/>
            <w:vAlign w:val="bottom"/>
            <w:hideMark/>
          </w:tcPr>
          <w:p w14:paraId="45EC458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 xml:space="preserve">plastika  </w:t>
            </w:r>
          </w:p>
        </w:tc>
        <w:tc>
          <w:tcPr>
            <w:tcW w:w="1275" w:type="dxa"/>
            <w:tcBorders>
              <w:top w:val="nil"/>
              <w:left w:val="nil"/>
              <w:bottom w:val="single" w:sz="12" w:space="0" w:color="auto"/>
              <w:right w:val="single" w:sz="4" w:space="0" w:color="auto"/>
            </w:tcBorders>
            <w:shd w:val="clear" w:color="auto" w:fill="auto"/>
            <w:noWrap/>
            <w:vAlign w:val="bottom"/>
            <w:hideMark/>
          </w:tcPr>
          <w:p w14:paraId="1433673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276" w:type="dxa"/>
            <w:tcBorders>
              <w:top w:val="nil"/>
              <w:left w:val="nil"/>
              <w:bottom w:val="single" w:sz="12" w:space="0" w:color="auto"/>
              <w:right w:val="single" w:sz="4" w:space="0" w:color="auto"/>
            </w:tcBorders>
            <w:shd w:val="clear" w:color="auto" w:fill="auto"/>
            <w:noWrap/>
            <w:vAlign w:val="bottom"/>
            <w:hideMark/>
          </w:tcPr>
          <w:p w14:paraId="130AA0E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tekstil</w:t>
            </w:r>
          </w:p>
        </w:tc>
        <w:tc>
          <w:tcPr>
            <w:tcW w:w="1276" w:type="dxa"/>
            <w:tcBorders>
              <w:top w:val="nil"/>
              <w:left w:val="nil"/>
              <w:bottom w:val="single" w:sz="12" w:space="0" w:color="auto"/>
              <w:right w:val="single" w:sz="12" w:space="0" w:color="auto"/>
            </w:tcBorders>
            <w:shd w:val="clear" w:color="auto" w:fill="auto"/>
            <w:noWrap/>
            <w:vAlign w:val="bottom"/>
            <w:hideMark/>
          </w:tcPr>
          <w:p w14:paraId="19CBE9E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7D4AB7D9" w14:textId="77777777" w:rsidTr="00C21643">
        <w:trPr>
          <w:trHeight w:val="340"/>
        </w:trPr>
        <w:tc>
          <w:tcPr>
            <w:tcW w:w="12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6EC465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izhodiščno leto </w:t>
            </w:r>
            <w:r w:rsidRPr="00B775DE">
              <w:rPr>
                <w:rFonts w:ascii="Arial" w:eastAsia="Times New Roman" w:hAnsi="Arial" w:cs="Times New Roman"/>
                <w:b/>
                <w:kern w:val="0"/>
                <w:sz w:val="20"/>
                <w:szCs w:val="24"/>
                <w:vertAlign w:val="superscript"/>
              </w:rPr>
              <w:t>(a)</w:t>
            </w:r>
          </w:p>
        </w:tc>
        <w:tc>
          <w:tcPr>
            <w:tcW w:w="1220" w:type="dxa"/>
            <w:tcBorders>
              <w:top w:val="nil"/>
              <w:left w:val="nil"/>
              <w:bottom w:val="single" w:sz="4" w:space="0" w:color="auto"/>
              <w:right w:val="single" w:sz="4" w:space="0" w:color="auto"/>
            </w:tcBorders>
            <w:shd w:val="clear" w:color="auto" w:fill="auto"/>
            <w:noWrap/>
            <w:vAlign w:val="bottom"/>
            <w:hideMark/>
          </w:tcPr>
          <w:p w14:paraId="3154209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03744E8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1FF45D1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7CA3237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1994D20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1BE8A6AE"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367C077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naslednje leto </w:t>
            </w:r>
            <w:r w:rsidRPr="00B775DE">
              <w:rPr>
                <w:rFonts w:ascii="Arial" w:eastAsia="Times New Roman" w:hAnsi="Arial" w:cs="Times New Roman"/>
                <w:b/>
                <w:kern w:val="0"/>
                <w:sz w:val="20"/>
                <w:szCs w:val="24"/>
                <w:vertAlign w:val="superscript"/>
              </w:rPr>
              <w:t>(b)</w:t>
            </w:r>
            <w:r w:rsidRPr="00B775DE">
              <w:rPr>
                <w:rFonts w:ascii="Arial" w:eastAsia="Times New Roman" w:hAnsi="Arial" w:cs="Times New Roman"/>
                <w:b/>
                <w:kern w:val="0"/>
                <w:sz w:val="20"/>
                <w:szCs w:val="24"/>
              </w:rPr>
              <w:t xml:space="preserve"> </w:t>
            </w:r>
            <w:r w:rsidRPr="00B775DE">
              <w:rPr>
                <w:rFonts w:ascii="Arial" w:eastAsia="Times New Roman" w:hAnsi="Arial" w:cs="Times New Roman"/>
                <w:kern w:val="0"/>
                <w:sz w:val="20"/>
                <w:szCs w:val="24"/>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14:paraId="4F36BE4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022EEBD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5D1B1BA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73FFDEF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3A1A3ED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4218AFC1"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474F110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prvo leto desetletja </w:t>
            </w:r>
            <w:r w:rsidRPr="00B775DE">
              <w:rPr>
                <w:rFonts w:ascii="Arial" w:eastAsia="Times New Roman" w:hAnsi="Arial" w:cs="Times New Roman"/>
                <w:b/>
                <w:kern w:val="0"/>
                <w:sz w:val="20"/>
                <w:szCs w:val="24"/>
                <w:vertAlign w:val="superscript"/>
              </w:rPr>
              <w:t>(c)</w:t>
            </w:r>
          </w:p>
        </w:tc>
        <w:tc>
          <w:tcPr>
            <w:tcW w:w="1220" w:type="dxa"/>
            <w:tcBorders>
              <w:top w:val="nil"/>
              <w:left w:val="nil"/>
              <w:bottom w:val="single" w:sz="4" w:space="0" w:color="auto"/>
              <w:right w:val="single" w:sz="4" w:space="0" w:color="auto"/>
            </w:tcBorders>
            <w:shd w:val="clear" w:color="auto" w:fill="auto"/>
            <w:noWrap/>
            <w:vAlign w:val="bottom"/>
            <w:hideMark/>
          </w:tcPr>
          <w:p w14:paraId="3F4C9BF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7907766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2E56C91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526DC96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58D36D6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75CE3E89"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481B66D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20" w:type="dxa"/>
            <w:tcBorders>
              <w:top w:val="nil"/>
              <w:left w:val="nil"/>
              <w:bottom w:val="single" w:sz="4" w:space="0" w:color="auto"/>
              <w:right w:val="single" w:sz="4" w:space="0" w:color="auto"/>
            </w:tcBorders>
            <w:shd w:val="clear" w:color="auto" w:fill="auto"/>
            <w:noWrap/>
            <w:vAlign w:val="bottom"/>
          </w:tcPr>
          <w:p w14:paraId="5E44226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76E80E3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3F768DE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tcPr>
          <w:p w14:paraId="422DBD3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6FC1B87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215D95C9"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04420C7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20" w:type="dxa"/>
            <w:tcBorders>
              <w:top w:val="nil"/>
              <w:left w:val="nil"/>
              <w:bottom w:val="single" w:sz="4" w:space="0" w:color="auto"/>
              <w:right w:val="single" w:sz="4" w:space="0" w:color="auto"/>
            </w:tcBorders>
            <w:shd w:val="clear" w:color="auto" w:fill="auto"/>
            <w:noWrap/>
            <w:vAlign w:val="bottom"/>
          </w:tcPr>
          <w:p w14:paraId="74E55DC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1E4BF47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62ED2F7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tcPr>
          <w:p w14:paraId="4042228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4434318C"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61484750"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1E48164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zadnje leto desetletja </w:t>
            </w:r>
            <w:r w:rsidRPr="00B775DE">
              <w:rPr>
                <w:rFonts w:ascii="Arial" w:eastAsia="Times New Roman" w:hAnsi="Arial" w:cs="Times New Roman"/>
                <w:b/>
                <w:kern w:val="0"/>
                <w:sz w:val="20"/>
                <w:szCs w:val="24"/>
                <w:vertAlign w:val="superscript"/>
              </w:rPr>
              <w:t>(d)</w:t>
            </w:r>
          </w:p>
        </w:tc>
        <w:tc>
          <w:tcPr>
            <w:tcW w:w="1220" w:type="dxa"/>
            <w:tcBorders>
              <w:top w:val="nil"/>
              <w:left w:val="nil"/>
              <w:bottom w:val="single" w:sz="4" w:space="0" w:color="auto"/>
              <w:right w:val="single" w:sz="4" w:space="0" w:color="auto"/>
            </w:tcBorders>
            <w:shd w:val="clear" w:color="auto" w:fill="auto"/>
            <w:noWrap/>
            <w:vAlign w:val="bottom"/>
            <w:hideMark/>
          </w:tcPr>
          <w:p w14:paraId="4E8AE4C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41786BD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43CE932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66F08D9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3574EA2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bl>
    <w:p w14:paraId="2CE4C42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5F45917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(a) </w:t>
      </w:r>
      <w:r w:rsidRPr="00B775DE">
        <w:rPr>
          <w:rFonts w:ascii="Arial" w:eastAsia="Times New Roman" w:hAnsi="Arial" w:cs="Times New Roman"/>
          <w:kern w:val="0"/>
          <w:sz w:val="20"/>
          <w:szCs w:val="24"/>
        </w:rPr>
        <w:t>izhodiščno leto za izračun scenarijev razvoja ravnanja s komunalnimi odpadki,</w:t>
      </w:r>
    </w:p>
    <w:p w14:paraId="0AEB3E4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(b)</w:t>
      </w:r>
      <w:r w:rsidRPr="00B775DE">
        <w:rPr>
          <w:rFonts w:ascii="Arial" w:eastAsia="Times New Roman" w:hAnsi="Arial" w:cs="Times New Roman"/>
          <w:kern w:val="0"/>
          <w:sz w:val="20"/>
          <w:szCs w:val="24"/>
        </w:rPr>
        <w:t xml:space="preserve"> naslednje leto je leto, za katerega je določena največja letna količina gorljivih sestavin komunalnih odpadkov,</w:t>
      </w:r>
    </w:p>
    <w:p w14:paraId="7DC109C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(c) </w:t>
      </w:r>
      <w:r w:rsidRPr="00B775DE">
        <w:rPr>
          <w:rFonts w:ascii="Arial" w:eastAsia="Times New Roman" w:hAnsi="Arial" w:cs="Times New Roman"/>
          <w:kern w:val="0"/>
          <w:sz w:val="20"/>
          <w:szCs w:val="24"/>
        </w:rPr>
        <w:t xml:space="preserve">prvo leto desetletja po letu, za katerega je določena največja letna količina gorljivih sestavin komunalnih </w:t>
      </w:r>
      <w:proofErr w:type="spellStart"/>
      <w:r w:rsidRPr="00B775DE">
        <w:rPr>
          <w:rFonts w:ascii="Arial" w:eastAsia="Times New Roman" w:hAnsi="Arial" w:cs="Times New Roman"/>
          <w:kern w:val="0"/>
          <w:sz w:val="20"/>
          <w:szCs w:val="24"/>
        </w:rPr>
        <w:t>odđadkov</w:t>
      </w:r>
      <w:proofErr w:type="spellEnd"/>
      <w:r w:rsidRPr="00B775DE">
        <w:rPr>
          <w:rFonts w:ascii="Arial" w:eastAsia="Times New Roman" w:hAnsi="Arial" w:cs="Times New Roman"/>
          <w:kern w:val="0"/>
          <w:sz w:val="20"/>
          <w:szCs w:val="24"/>
        </w:rPr>
        <w:t>,</w:t>
      </w:r>
    </w:p>
    <w:p w14:paraId="71A0E4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(d) </w:t>
      </w:r>
      <w:r w:rsidRPr="00B775DE">
        <w:rPr>
          <w:rFonts w:ascii="Arial" w:eastAsia="Times New Roman" w:hAnsi="Arial" w:cs="Times New Roman"/>
          <w:kern w:val="0"/>
          <w:sz w:val="20"/>
          <w:szCs w:val="24"/>
        </w:rPr>
        <w:t>zadnje leto desetletja po letu, za katerega je določena največja letna količina gorljivih sestavin komunalnih odpadkov.</w:t>
      </w:r>
    </w:p>
    <w:p w14:paraId="447AEC1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AC08E7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bookmarkEnd w:id="52"/>
    <w:p w14:paraId="0826501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4. del - </w:t>
      </w:r>
      <w:r w:rsidRPr="00B775DE">
        <w:rPr>
          <w:rFonts w:ascii="Arial" w:eastAsia="Times New Roman" w:hAnsi="Arial" w:cs="Times New Roman"/>
          <w:kern w:val="0"/>
          <w:sz w:val="20"/>
          <w:szCs w:val="24"/>
        </w:rPr>
        <w:t>največja letna količina gorljivih sestavin, ki nastanejo po mehanski obdelavi ločeno zbranih frakcij komunalnih odpadkov, ki so zbrani izven okvira storitev javne službe zbiranja, in se lahko sežigajo kot posebna storitev, je v tekočem letu za naslednje leto navedena v obliki in s podatki iz spodnje tabele.</w:t>
      </w:r>
    </w:p>
    <w:p w14:paraId="40DB223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bl>
      <w:tblPr>
        <w:tblW w:w="6258" w:type="dxa"/>
        <w:tblInd w:w="85" w:type="dxa"/>
        <w:tblCellMar>
          <w:left w:w="70" w:type="dxa"/>
          <w:right w:w="70" w:type="dxa"/>
        </w:tblCellMar>
        <w:tblLook w:val="04A0" w:firstRow="1" w:lastRow="0" w:firstColumn="1" w:lastColumn="0" w:noHBand="0" w:noVBand="1"/>
      </w:tblPr>
      <w:tblGrid>
        <w:gridCol w:w="1340"/>
        <w:gridCol w:w="1263"/>
        <w:gridCol w:w="1263"/>
        <w:gridCol w:w="1275"/>
        <w:gridCol w:w="1276"/>
      </w:tblGrid>
      <w:tr w:rsidR="00E65191" w:rsidRPr="00B775DE" w14:paraId="28DCC6CC" w14:textId="77777777" w:rsidTr="00C21643">
        <w:trPr>
          <w:trHeight w:val="1800"/>
        </w:trPr>
        <w:tc>
          <w:tcPr>
            <w:tcW w:w="1240" w:type="dxa"/>
            <w:tcBorders>
              <w:top w:val="single" w:sz="12" w:space="0" w:color="auto"/>
              <w:left w:val="single" w:sz="12" w:space="0" w:color="auto"/>
              <w:bottom w:val="nil"/>
              <w:right w:val="single" w:sz="12" w:space="0" w:color="auto"/>
            </w:tcBorders>
            <w:shd w:val="clear" w:color="auto" w:fill="auto"/>
            <w:vAlign w:val="bottom"/>
            <w:hideMark/>
          </w:tcPr>
          <w:p w14:paraId="31BBDFE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w:t>
            </w:r>
          </w:p>
        </w:tc>
        <w:tc>
          <w:tcPr>
            <w:tcW w:w="1220" w:type="dxa"/>
            <w:tcBorders>
              <w:top w:val="single" w:sz="12" w:space="0" w:color="auto"/>
              <w:left w:val="nil"/>
              <w:bottom w:val="nil"/>
              <w:right w:val="single" w:sz="4" w:space="0" w:color="auto"/>
            </w:tcBorders>
            <w:shd w:val="clear" w:color="auto" w:fill="auto"/>
            <w:vAlign w:val="bottom"/>
            <w:hideMark/>
          </w:tcPr>
          <w:p w14:paraId="0F8AB2C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količina goriva iz obdelave izven občinske JS ločeno zbranih komunalnih odpadkov</w:t>
            </w:r>
          </w:p>
          <w:p w14:paraId="56F89BA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47" w:type="dxa"/>
            <w:tcBorders>
              <w:top w:val="single" w:sz="12" w:space="0" w:color="auto"/>
              <w:left w:val="nil"/>
              <w:bottom w:val="nil"/>
              <w:right w:val="single" w:sz="4" w:space="0" w:color="auto"/>
            </w:tcBorders>
            <w:shd w:val="clear" w:color="auto" w:fill="auto"/>
            <w:vAlign w:val="bottom"/>
            <w:hideMark/>
          </w:tcPr>
          <w:p w14:paraId="1A7789E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količina goriva iz obdelave izven občinske JS ločeno zbranih komunalnih odpadkov</w:t>
            </w:r>
          </w:p>
          <w:p w14:paraId="76F2BDB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5" w:type="dxa"/>
            <w:tcBorders>
              <w:top w:val="single" w:sz="12" w:space="0" w:color="auto"/>
              <w:left w:val="nil"/>
              <w:bottom w:val="nil"/>
              <w:right w:val="single" w:sz="4" w:space="0" w:color="auto"/>
            </w:tcBorders>
            <w:shd w:val="clear" w:color="auto" w:fill="auto"/>
            <w:vAlign w:val="bottom"/>
            <w:hideMark/>
          </w:tcPr>
          <w:p w14:paraId="5964B19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količina goriva iz obdelave izven občinske JS ločeno zbranih komunalnih odpadkov</w:t>
            </w:r>
          </w:p>
          <w:p w14:paraId="06FD591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c>
          <w:tcPr>
            <w:tcW w:w="1276" w:type="dxa"/>
            <w:tcBorders>
              <w:top w:val="single" w:sz="12" w:space="0" w:color="auto"/>
              <w:left w:val="nil"/>
              <w:bottom w:val="nil"/>
              <w:right w:val="single" w:sz="4" w:space="0" w:color="auto"/>
            </w:tcBorders>
            <w:shd w:val="clear" w:color="auto" w:fill="auto"/>
            <w:vAlign w:val="bottom"/>
            <w:hideMark/>
          </w:tcPr>
          <w:p w14:paraId="4050083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največja količina goriva iz obdelave izven občinske JS ločeno zbranih komunalnih odpadkov</w:t>
            </w:r>
          </w:p>
          <w:p w14:paraId="59583B0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(t/leto)</w:t>
            </w:r>
          </w:p>
        </w:tc>
      </w:tr>
      <w:tr w:rsidR="00E65191" w:rsidRPr="00B775DE" w14:paraId="0379A45A" w14:textId="77777777" w:rsidTr="00C21643">
        <w:trPr>
          <w:trHeight w:val="345"/>
        </w:trPr>
        <w:tc>
          <w:tcPr>
            <w:tcW w:w="1240" w:type="dxa"/>
            <w:tcBorders>
              <w:top w:val="nil"/>
              <w:left w:val="single" w:sz="12" w:space="0" w:color="auto"/>
              <w:bottom w:val="single" w:sz="12" w:space="0" w:color="auto"/>
              <w:right w:val="single" w:sz="12" w:space="0" w:color="auto"/>
            </w:tcBorders>
            <w:shd w:val="clear" w:color="auto" w:fill="auto"/>
            <w:noWrap/>
            <w:vAlign w:val="bottom"/>
            <w:hideMark/>
          </w:tcPr>
          <w:p w14:paraId="38C3386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220" w:type="dxa"/>
            <w:tcBorders>
              <w:top w:val="nil"/>
              <w:left w:val="single" w:sz="12" w:space="0" w:color="auto"/>
              <w:bottom w:val="single" w:sz="12" w:space="0" w:color="auto"/>
              <w:right w:val="single" w:sz="4" w:space="0" w:color="auto"/>
            </w:tcBorders>
            <w:shd w:val="clear" w:color="auto" w:fill="auto"/>
            <w:noWrap/>
            <w:vAlign w:val="bottom"/>
            <w:hideMark/>
          </w:tcPr>
          <w:p w14:paraId="3456CAE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247" w:type="dxa"/>
            <w:tcBorders>
              <w:top w:val="nil"/>
              <w:left w:val="nil"/>
              <w:bottom w:val="single" w:sz="12" w:space="0" w:color="auto"/>
              <w:right w:val="single" w:sz="4" w:space="0" w:color="auto"/>
            </w:tcBorders>
            <w:shd w:val="clear" w:color="auto" w:fill="auto"/>
            <w:noWrap/>
            <w:vAlign w:val="bottom"/>
            <w:hideMark/>
          </w:tcPr>
          <w:p w14:paraId="00B244A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 xml:space="preserve">plastika  </w:t>
            </w:r>
          </w:p>
        </w:tc>
        <w:tc>
          <w:tcPr>
            <w:tcW w:w="1275" w:type="dxa"/>
            <w:tcBorders>
              <w:top w:val="nil"/>
              <w:left w:val="nil"/>
              <w:bottom w:val="single" w:sz="12" w:space="0" w:color="auto"/>
              <w:right w:val="single" w:sz="4" w:space="0" w:color="auto"/>
            </w:tcBorders>
            <w:shd w:val="clear" w:color="auto" w:fill="auto"/>
            <w:noWrap/>
            <w:vAlign w:val="bottom"/>
            <w:hideMark/>
          </w:tcPr>
          <w:p w14:paraId="52007A8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276" w:type="dxa"/>
            <w:tcBorders>
              <w:top w:val="nil"/>
              <w:left w:val="nil"/>
              <w:bottom w:val="single" w:sz="12" w:space="0" w:color="auto"/>
              <w:right w:val="single" w:sz="12" w:space="0" w:color="auto"/>
            </w:tcBorders>
            <w:shd w:val="clear" w:color="auto" w:fill="auto"/>
            <w:noWrap/>
            <w:vAlign w:val="bottom"/>
            <w:hideMark/>
          </w:tcPr>
          <w:p w14:paraId="77689DC6"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3567D906" w14:textId="77777777" w:rsidTr="00C21643">
        <w:trPr>
          <w:trHeight w:val="340"/>
        </w:trPr>
        <w:tc>
          <w:tcPr>
            <w:tcW w:w="12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CA2C81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izhodiščno leto </w:t>
            </w:r>
            <w:r w:rsidRPr="00B775DE">
              <w:rPr>
                <w:rFonts w:ascii="Arial" w:eastAsia="Times New Roman" w:hAnsi="Arial" w:cs="Times New Roman"/>
                <w:b/>
                <w:kern w:val="0"/>
                <w:sz w:val="20"/>
                <w:szCs w:val="24"/>
                <w:vertAlign w:val="superscript"/>
              </w:rPr>
              <w:t>(a)</w:t>
            </w:r>
          </w:p>
        </w:tc>
        <w:tc>
          <w:tcPr>
            <w:tcW w:w="1220" w:type="dxa"/>
            <w:tcBorders>
              <w:top w:val="nil"/>
              <w:left w:val="nil"/>
              <w:bottom w:val="single" w:sz="4" w:space="0" w:color="auto"/>
              <w:right w:val="single" w:sz="4" w:space="0" w:color="auto"/>
            </w:tcBorders>
            <w:shd w:val="clear" w:color="auto" w:fill="auto"/>
            <w:noWrap/>
            <w:vAlign w:val="bottom"/>
            <w:hideMark/>
          </w:tcPr>
          <w:p w14:paraId="3BE216E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6B9691E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0A677AC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3EDCBDB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330492E6"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6BFD7B17"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lastRenderedPageBreak/>
              <w:t xml:space="preserve">naslednje leto </w:t>
            </w:r>
            <w:r w:rsidRPr="00B775DE">
              <w:rPr>
                <w:rFonts w:ascii="Arial" w:eastAsia="Times New Roman" w:hAnsi="Arial" w:cs="Times New Roman"/>
                <w:b/>
                <w:kern w:val="0"/>
                <w:sz w:val="20"/>
                <w:szCs w:val="24"/>
                <w:vertAlign w:val="superscript"/>
              </w:rPr>
              <w:t>(b)</w:t>
            </w:r>
            <w:r w:rsidRPr="00B775DE">
              <w:rPr>
                <w:rFonts w:ascii="Arial" w:eastAsia="Times New Roman" w:hAnsi="Arial" w:cs="Times New Roman"/>
                <w:b/>
                <w:kern w:val="0"/>
                <w:sz w:val="20"/>
                <w:szCs w:val="24"/>
              </w:rPr>
              <w:t xml:space="preserve"> </w:t>
            </w:r>
            <w:r w:rsidRPr="00B775DE">
              <w:rPr>
                <w:rFonts w:ascii="Arial" w:eastAsia="Times New Roman" w:hAnsi="Arial" w:cs="Times New Roman"/>
                <w:kern w:val="0"/>
                <w:sz w:val="20"/>
                <w:szCs w:val="24"/>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14:paraId="76681F3B"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138320A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2887A69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770FC4FA"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0CA73878"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5184409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prvo leto desetletja </w:t>
            </w:r>
            <w:r w:rsidRPr="00B775DE">
              <w:rPr>
                <w:rFonts w:ascii="Arial" w:eastAsia="Times New Roman" w:hAnsi="Arial" w:cs="Times New Roman"/>
                <w:b/>
                <w:kern w:val="0"/>
                <w:sz w:val="20"/>
                <w:szCs w:val="24"/>
                <w:vertAlign w:val="superscript"/>
              </w:rPr>
              <w:t>(c)</w:t>
            </w:r>
          </w:p>
        </w:tc>
        <w:tc>
          <w:tcPr>
            <w:tcW w:w="1220" w:type="dxa"/>
            <w:tcBorders>
              <w:top w:val="nil"/>
              <w:left w:val="nil"/>
              <w:bottom w:val="single" w:sz="4" w:space="0" w:color="auto"/>
              <w:right w:val="single" w:sz="4" w:space="0" w:color="auto"/>
            </w:tcBorders>
            <w:shd w:val="clear" w:color="auto" w:fill="auto"/>
            <w:noWrap/>
            <w:vAlign w:val="bottom"/>
            <w:hideMark/>
          </w:tcPr>
          <w:p w14:paraId="59ADF1A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011CCB5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48B0C3F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405B610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5075D7FF"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062E1A0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20" w:type="dxa"/>
            <w:tcBorders>
              <w:top w:val="nil"/>
              <w:left w:val="nil"/>
              <w:bottom w:val="single" w:sz="4" w:space="0" w:color="auto"/>
              <w:right w:val="single" w:sz="4" w:space="0" w:color="auto"/>
            </w:tcBorders>
            <w:shd w:val="clear" w:color="auto" w:fill="auto"/>
            <w:noWrap/>
            <w:vAlign w:val="bottom"/>
          </w:tcPr>
          <w:p w14:paraId="31A94E7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47350A5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58DAB24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58F52ABF"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4BB3AC39"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tcPr>
          <w:p w14:paraId="53EC401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w:t>
            </w:r>
          </w:p>
        </w:tc>
        <w:tc>
          <w:tcPr>
            <w:tcW w:w="1220" w:type="dxa"/>
            <w:tcBorders>
              <w:top w:val="nil"/>
              <w:left w:val="nil"/>
              <w:bottom w:val="single" w:sz="4" w:space="0" w:color="auto"/>
              <w:right w:val="single" w:sz="4" w:space="0" w:color="auto"/>
            </w:tcBorders>
            <w:shd w:val="clear" w:color="auto" w:fill="auto"/>
            <w:noWrap/>
            <w:vAlign w:val="bottom"/>
          </w:tcPr>
          <w:p w14:paraId="2963356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tcPr>
          <w:p w14:paraId="5E05819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tcPr>
          <w:p w14:paraId="14498CB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tcPr>
          <w:p w14:paraId="64A93DC5"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r w:rsidR="00E65191" w:rsidRPr="00B775DE" w14:paraId="7DF6A43B" w14:textId="77777777" w:rsidTr="00C21643">
        <w:trPr>
          <w:trHeight w:val="34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46E2D1A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zadnje leto desetletja </w:t>
            </w:r>
            <w:r w:rsidRPr="00B775DE">
              <w:rPr>
                <w:rFonts w:ascii="Arial" w:eastAsia="Times New Roman" w:hAnsi="Arial" w:cs="Times New Roman"/>
                <w:b/>
                <w:kern w:val="0"/>
                <w:sz w:val="20"/>
                <w:szCs w:val="24"/>
                <w:vertAlign w:val="superscript"/>
              </w:rPr>
              <w:t>(d)</w:t>
            </w:r>
          </w:p>
        </w:tc>
        <w:tc>
          <w:tcPr>
            <w:tcW w:w="1220" w:type="dxa"/>
            <w:tcBorders>
              <w:top w:val="nil"/>
              <w:left w:val="nil"/>
              <w:bottom w:val="single" w:sz="4" w:space="0" w:color="auto"/>
              <w:right w:val="single" w:sz="4" w:space="0" w:color="auto"/>
            </w:tcBorders>
            <w:shd w:val="clear" w:color="auto" w:fill="auto"/>
            <w:noWrap/>
            <w:vAlign w:val="bottom"/>
            <w:hideMark/>
          </w:tcPr>
          <w:p w14:paraId="0691264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47" w:type="dxa"/>
            <w:tcBorders>
              <w:top w:val="nil"/>
              <w:left w:val="nil"/>
              <w:bottom w:val="single" w:sz="4" w:space="0" w:color="auto"/>
              <w:right w:val="single" w:sz="4" w:space="0" w:color="auto"/>
            </w:tcBorders>
            <w:shd w:val="clear" w:color="auto" w:fill="auto"/>
            <w:noWrap/>
            <w:vAlign w:val="bottom"/>
            <w:hideMark/>
          </w:tcPr>
          <w:p w14:paraId="0975E68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0B1AA5F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tc>
        <w:tc>
          <w:tcPr>
            <w:tcW w:w="1276" w:type="dxa"/>
            <w:tcBorders>
              <w:top w:val="nil"/>
              <w:left w:val="nil"/>
              <w:bottom w:val="single" w:sz="4" w:space="0" w:color="auto"/>
              <w:right w:val="single" w:sz="12" w:space="0" w:color="auto"/>
            </w:tcBorders>
            <w:shd w:val="clear" w:color="auto" w:fill="auto"/>
            <w:noWrap/>
            <w:vAlign w:val="bottom"/>
            <w:hideMark/>
          </w:tcPr>
          <w:p w14:paraId="185E8A91"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c>
      </w:tr>
    </w:tbl>
    <w:p w14:paraId="7A07572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06A8615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(a) </w:t>
      </w:r>
      <w:r w:rsidRPr="00B775DE">
        <w:rPr>
          <w:rFonts w:ascii="Arial" w:eastAsia="Times New Roman" w:hAnsi="Arial" w:cs="Times New Roman"/>
          <w:kern w:val="0"/>
          <w:sz w:val="20"/>
          <w:szCs w:val="24"/>
        </w:rPr>
        <w:t>izhodiščno leto za izračun scenarijev razvoja ravnanja s komunalnimi odpadki,</w:t>
      </w:r>
    </w:p>
    <w:p w14:paraId="04AB3A8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(b)</w:t>
      </w:r>
      <w:r w:rsidRPr="00B775DE">
        <w:rPr>
          <w:rFonts w:ascii="Arial" w:eastAsia="Times New Roman" w:hAnsi="Arial" w:cs="Times New Roman"/>
          <w:kern w:val="0"/>
          <w:sz w:val="20"/>
          <w:szCs w:val="24"/>
        </w:rPr>
        <w:t xml:space="preserve"> naslednje leto je leto, za katerega je določena največja letna količina gorljivih sestavin komunalnih odpadkov,</w:t>
      </w:r>
    </w:p>
    <w:p w14:paraId="37F0DA1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(c) </w:t>
      </w:r>
      <w:r w:rsidRPr="00B775DE">
        <w:rPr>
          <w:rFonts w:ascii="Arial" w:eastAsia="Times New Roman" w:hAnsi="Arial" w:cs="Times New Roman"/>
          <w:kern w:val="0"/>
          <w:sz w:val="20"/>
          <w:szCs w:val="24"/>
        </w:rPr>
        <w:t xml:space="preserve">prvo leto desetletja po letu, za katerega je določena največja letna količina gorljivih sestavin komunalnih </w:t>
      </w:r>
      <w:proofErr w:type="spellStart"/>
      <w:r w:rsidRPr="00B775DE">
        <w:rPr>
          <w:rFonts w:ascii="Arial" w:eastAsia="Times New Roman" w:hAnsi="Arial" w:cs="Times New Roman"/>
          <w:kern w:val="0"/>
          <w:sz w:val="20"/>
          <w:szCs w:val="24"/>
        </w:rPr>
        <w:t>odđadkov</w:t>
      </w:r>
      <w:proofErr w:type="spellEnd"/>
      <w:r w:rsidRPr="00B775DE">
        <w:rPr>
          <w:rFonts w:ascii="Arial" w:eastAsia="Times New Roman" w:hAnsi="Arial" w:cs="Times New Roman"/>
          <w:kern w:val="0"/>
          <w:sz w:val="20"/>
          <w:szCs w:val="24"/>
        </w:rPr>
        <w:t>,</w:t>
      </w:r>
    </w:p>
    <w:p w14:paraId="2DEB225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vertAlign w:val="superscript"/>
        </w:rPr>
        <w:t xml:space="preserve">(d) </w:t>
      </w:r>
      <w:r w:rsidRPr="00B775DE">
        <w:rPr>
          <w:rFonts w:ascii="Arial" w:eastAsia="Times New Roman" w:hAnsi="Arial" w:cs="Times New Roman"/>
          <w:kern w:val="0"/>
          <w:sz w:val="20"/>
          <w:szCs w:val="24"/>
        </w:rPr>
        <w:t>zadnje leto desetletja po letu, za katerega je določena največja letna količina gorljivih sestavin komunalnih odpadkov.</w:t>
      </w:r>
    </w:p>
    <w:p w14:paraId="3090F46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3FC6E2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5. del – </w:t>
      </w:r>
      <w:r w:rsidRPr="00B775DE">
        <w:rPr>
          <w:rFonts w:ascii="Arial" w:eastAsia="Times New Roman" w:hAnsi="Arial" w:cs="Times New Roman"/>
          <w:kern w:val="0"/>
          <w:sz w:val="20"/>
          <w:szCs w:val="24"/>
        </w:rPr>
        <w:t xml:space="preserve">grafični prikaz </w:t>
      </w:r>
      <w:proofErr w:type="spellStart"/>
      <w:r w:rsidRPr="00B775DE">
        <w:rPr>
          <w:rFonts w:ascii="Arial" w:eastAsia="Times New Roman" w:hAnsi="Arial" w:cs="Times New Roman"/>
          <w:kern w:val="0"/>
          <w:sz w:val="20"/>
          <w:szCs w:val="24"/>
        </w:rPr>
        <w:t>predvidenga</w:t>
      </w:r>
      <w:proofErr w:type="spellEnd"/>
      <w:r w:rsidRPr="00B775DE">
        <w:rPr>
          <w:rFonts w:ascii="Arial" w:eastAsia="Times New Roman" w:hAnsi="Arial" w:cs="Times New Roman"/>
          <w:kern w:val="0"/>
          <w:sz w:val="20"/>
          <w:szCs w:val="24"/>
        </w:rPr>
        <w:t xml:space="preserve"> izpolnjevanja ciljev recikliranja odpadkov iz </w:t>
      </w:r>
      <w:r w:rsidRPr="00B775DE">
        <w:rPr>
          <w:rFonts w:ascii="Arial" w:eastAsia="Times New Roman" w:hAnsi="Arial" w:cs="Times New Roman"/>
          <w:i/>
          <w:kern w:val="0"/>
          <w:sz w:val="20"/>
          <w:szCs w:val="24"/>
        </w:rPr>
        <w:t>Direktive 2008/98/ES</w:t>
      </w:r>
      <w:r w:rsidRPr="00B775DE">
        <w:rPr>
          <w:rFonts w:ascii="Arial" w:eastAsia="Times New Roman" w:hAnsi="Arial" w:cs="Times New Roman"/>
          <w:kern w:val="0"/>
          <w:sz w:val="20"/>
          <w:szCs w:val="24"/>
        </w:rPr>
        <w:t xml:space="preserve">, ki se nanašajo na komunalne odpadke, ter ciljev recikliranja celotne odpadne embalaže in odpadne embalaže iz papirja, plastike in lesa iz </w:t>
      </w:r>
      <w:r w:rsidRPr="00B775DE">
        <w:rPr>
          <w:rFonts w:ascii="Arial" w:eastAsia="Times New Roman" w:hAnsi="Arial" w:cs="Times New Roman"/>
          <w:i/>
          <w:kern w:val="0"/>
          <w:sz w:val="20"/>
          <w:szCs w:val="24"/>
        </w:rPr>
        <w:t>Uredbe (EU) 2024/NN/EU</w:t>
      </w:r>
      <w:r w:rsidRPr="00B775DE">
        <w:rPr>
          <w:rFonts w:ascii="Arial" w:eastAsia="Times New Roman" w:hAnsi="Arial" w:cs="Times New Roman"/>
          <w:kern w:val="0"/>
          <w:sz w:val="20"/>
          <w:szCs w:val="24"/>
        </w:rPr>
        <w:t>.</w:t>
      </w:r>
    </w:p>
    <w:p w14:paraId="461BA9F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E55092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b/>
          <w:kern w:val="0"/>
          <w:sz w:val="20"/>
          <w:szCs w:val="24"/>
        </w:rPr>
        <w:t xml:space="preserve">6. del – </w:t>
      </w:r>
      <w:r w:rsidRPr="00B775DE">
        <w:rPr>
          <w:rFonts w:ascii="Arial" w:eastAsia="Times New Roman" w:hAnsi="Arial" w:cs="Times New Roman"/>
          <w:kern w:val="0"/>
          <w:sz w:val="20"/>
          <w:szCs w:val="24"/>
        </w:rPr>
        <w:t>grafični prikaz scenarija največjih letnih količin gorljivih sestavin, ki nastanejo po mehanski obdelavi komunalnih odpadkov, ki so zbrani v okviru javne službe zbiranja, in se sežigajo v obratih kot storitev gospodarske javne službe za obdobje najmanj naslednjih 10 let po letu, za katerega so določene največje letne količine gorljivih sestavin.</w:t>
      </w:r>
    </w:p>
    <w:p w14:paraId="0F4C1600"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74F4BDC3"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6C20D1C8" w14:textId="77777777" w:rsidR="00E65191" w:rsidRPr="00B775DE" w:rsidRDefault="00E65191" w:rsidP="00E65191">
      <w:pPr>
        <w:rPr>
          <w:rFonts w:ascii="Arial" w:eastAsia="Times New Roman" w:hAnsi="Arial" w:cs="Times New Roman"/>
          <w:b/>
          <w:kern w:val="0"/>
          <w:sz w:val="20"/>
          <w:szCs w:val="24"/>
        </w:rPr>
      </w:pPr>
      <w:r w:rsidRPr="00B775DE">
        <w:rPr>
          <w:rFonts w:ascii="Arial" w:eastAsia="Times New Roman" w:hAnsi="Arial" w:cs="Times New Roman"/>
          <w:b/>
          <w:kern w:val="0"/>
          <w:sz w:val="20"/>
          <w:szCs w:val="24"/>
        </w:rPr>
        <w:br w:type="page"/>
      </w:r>
    </w:p>
    <w:p w14:paraId="421CCDE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lastRenderedPageBreak/>
        <w:t>PRILOGA 3</w:t>
      </w:r>
    </w:p>
    <w:p w14:paraId="6613240D"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075AF578"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Obseg podatkov, ki jih morajo poročati izvajalci mehanske obdelave komunalnih odpadkov v informacijski sistem okolja</w:t>
      </w:r>
    </w:p>
    <w:p w14:paraId="4787C1E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noProof/>
          <w:kern w:val="0"/>
          <w:sz w:val="20"/>
          <w:szCs w:val="24"/>
          <w:lang w:eastAsia="sl-SI"/>
        </w:rPr>
        <w:drawing>
          <wp:inline distT="0" distB="0" distL="0" distR="0" wp14:anchorId="627C1648" wp14:editId="4D6FB2B4">
            <wp:extent cx="4587875" cy="299148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7875" cy="2991485"/>
                    </a:xfrm>
                    <a:prstGeom prst="rect">
                      <a:avLst/>
                    </a:prstGeom>
                    <a:noFill/>
                    <a:ln>
                      <a:noFill/>
                    </a:ln>
                  </pic:spPr>
                </pic:pic>
              </a:graphicData>
            </a:graphic>
          </wp:inline>
        </w:drawing>
      </w:r>
    </w:p>
    <w:p w14:paraId="3E26956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Izvajalci mehanske obdelave dnevno poročajo v informacijski sistem okolja o pošiljkah odpadkov:</w:t>
      </w:r>
    </w:p>
    <w:p w14:paraId="693F86F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452A4C3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 ki jih prevzamejo v mehansko obdelavo od izvajalcev storitev javne službe zbiranja;</w:t>
      </w:r>
    </w:p>
    <w:p w14:paraId="02BA853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b) ki jih prevzamejo v mehansko obdelavo od zbiralcev odpadkov, ki v imenu in za račun „organizacije, pristojne za odgovornost proizvajalcev“ zbirajo odpadno embalažo, ki nastaja zaradi izvajanja trgovinske in turistične dejavnosti;</w:t>
      </w:r>
    </w:p>
    <w:p w14:paraId="4895616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c) </w:t>
      </w:r>
      <w:bookmarkStart w:id="53" w:name="_Hlk177312792"/>
      <w:r w:rsidRPr="00B775DE">
        <w:rPr>
          <w:rFonts w:ascii="Arial" w:eastAsia="Times New Roman" w:hAnsi="Arial" w:cs="Times New Roman"/>
          <w:kern w:val="0"/>
          <w:sz w:val="20"/>
          <w:szCs w:val="24"/>
        </w:rPr>
        <w:t>ki jih oddajo v recikliranje ali v pripravo za ponovno uporabo, razvrščene po velikosti ali drugih fizikalnih lastnostih ali vrstah materialov, kot</w:t>
      </w:r>
      <w:bookmarkEnd w:id="53"/>
      <w:r w:rsidRPr="00B775DE">
        <w:rPr>
          <w:rFonts w:ascii="Arial" w:eastAsia="Times New Roman" w:hAnsi="Arial" w:cs="Times New Roman"/>
          <w:kern w:val="0"/>
          <w:sz w:val="20"/>
          <w:szCs w:val="24"/>
        </w:rPr>
        <w:t xml:space="preserve"> odpadke iz papirja, plastike, kovin, stekla, lesa in tekstila iz podskupine odpadkov s številko 19 12, če gre za mehansko obdelavo ločeno zbranih frakcij komunalnih odpadkov iz papirja, plastike, kovin, stekla, lesa in tekstila iz podskupin odpadkov s številko 20 01 in 15 01;</w:t>
      </w:r>
    </w:p>
    <w:p w14:paraId="25C67EC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d) ki jih oddajo v recikliranje ali v pripravo za ponovno uporabo, razvrščene po velikosti ali drugih fizikalnih lastnostih ali vrstah materialov, kot odpadke iz papirja, plastike, kovin, stekla in tekstila iz podskupine odpadkov s številko 19 12, če gre za mehansko obdelavo kompozitne embalaže in mešane embalaže;</w:t>
      </w:r>
    </w:p>
    <w:p w14:paraId="4AFA079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e) ki jih oddajo v recikliranje kot odpadke iz papirja, plastike, kovin, stekla, lesa, tekstila in mineralov iz podskupine odpadkov s številko 19 12, če gre za mehansko obdelavo mešanih komunalnih odpadkov in kosovnih odpadkov;</w:t>
      </w:r>
    </w:p>
    <w:p w14:paraId="7501CBE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f) ki jih oddajo v odlaganje kot odpadke iz mineralov s številko 19 12 09, če so nastali po mehanski obdelavi mešanih komunalnih odpadkov in kosovnih odpadkov;</w:t>
      </w:r>
    </w:p>
    <w:p w14:paraId="60F9130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g) ki jih oddajo v biološko aerobno ali anaerobno obdelavo zaradi biološke stabilizacije pred odlaganjem kot mešane komunalne odpadke po njihovi mehanski obdelavi; </w:t>
      </w:r>
    </w:p>
    <w:p w14:paraId="4E5C860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h) ki jih oddajo v sežig izvajalcu gospodarske javne službe kot gorljivo sestavino komunalnih odpadkov, ki ni </w:t>
      </w:r>
      <w:proofErr w:type="spellStart"/>
      <w:r w:rsidRPr="00B775DE">
        <w:rPr>
          <w:rFonts w:ascii="Arial" w:eastAsia="Times New Roman" w:hAnsi="Arial" w:cs="Times New Roman"/>
          <w:kern w:val="0"/>
          <w:sz w:val="20"/>
          <w:szCs w:val="24"/>
        </w:rPr>
        <w:t>reciklabilna</w:t>
      </w:r>
      <w:proofErr w:type="spellEnd"/>
      <w:r w:rsidRPr="00B775DE">
        <w:rPr>
          <w:rFonts w:ascii="Arial" w:eastAsia="Times New Roman" w:hAnsi="Arial" w:cs="Times New Roman"/>
          <w:kern w:val="0"/>
          <w:sz w:val="20"/>
          <w:szCs w:val="24"/>
        </w:rPr>
        <w:t xml:space="preserve"> in ni primerna za ponovno uporabo in nastane po </w:t>
      </w:r>
      <w:bookmarkStart w:id="54" w:name="_Hlk177319131"/>
      <w:r w:rsidRPr="00B775DE">
        <w:rPr>
          <w:rFonts w:ascii="Arial" w:eastAsia="Times New Roman" w:hAnsi="Arial" w:cs="Times New Roman"/>
          <w:kern w:val="0"/>
          <w:sz w:val="20"/>
          <w:szCs w:val="24"/>
        </w:rPr>
        <w:t xml:space="preserve">mehanski obdelavi komunalnih odpadkov </w:t>
      </w:r>
      <w:bookmarkEnd w:id="54"/>
      <w:r w:rsidRPr="00B775DE">
        <w:rPr>
          <w:rFonts w:ascii="Arial" w:eastAsia="Times New Roman" w:hAnsi="Arial" w:cs="Times New Roman"/>
          <w:kern w:val="0"/>
          <w:sz w:val="20"/>
          <w:szCs w:val="24"/>
        </w:rPr>
        <w:t>iz točk c), d) in e) tega odstavka,</w:t>
      </w:r>
    </w:p>
    <w:p w14:paraId="4E8DBB9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i) ki jih oddajo v obrate, ki jih ne upravljajo izvajalci gospodarske javne službe, kot gorljivo sestavino komunalnih odpadkov, ki ni </w:t>
      </w:r>
      <w:proofErr w:type="spellStart"/>
      <w:r w:rsidRPr="00B775DE">
        <w:rPr>
          <w:rFonts w:ascii="Arial" w:eastAsia="Times New Roman" w:hAnsi="Arial" w:cs="Times New Roman"/>
          <w:kern w:val="0"/>
          <w:sz w:val="20"/>
          <w:szCs w:val="24"/>
        </w:rPr>
        <w:t>reciklabilna</w:t>
      </w:r>
      <w:proofErr w:type="spellEnd"/>
      <w:r w:rsidRPr="00B775DE">
        <w:rPr>
          <w:rFonts w:ascii="Arial" w:eastAsia="Times New Roman" w:hAnsi="Arial" w:cs="Times New Roman"/>
          <w:kern w:val="0"/>
          <w:sz w:val="20"/>
          <w:szCs w:val="24"/>
        </w:rPr>
        <w:t xml:space="preserve"> in ni primerna za ponovno uporabo in nastane po mehanski obdelavi odpadne embalaže iz točk b), c) in d) tega odstavka.</w:t>
      </w:r>
    </w:p>
    <w:p w14:paraId="2E635B6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4B6C22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Izvajalci mehanske obdelave v zvezi s pošiljkami iz prejšnjega odstavka v informacijski sistem okolja poročajo poleg podatkov iz evidenčnega lista tudi o:</w:t>
      </w:r>
    </w:p>
    <w:p w14:paraId="624256E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60D0A3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a) občinah, kjer so bili komunalni odpadki, ki so prevzeti v mehansko obdelavo, zbrani, če gre za pošiljke iz točk a) in b) iz prejšnjega odstavka,</w:t>
      </w:r>
    </w:p>
    <w:p w14:paraId="5D4D336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bookmarkStart w:id="55" w:name="_Hlk177321535"/>
      <w:r w:rsidRPr="00B775DE">
        <w:rPr>
          <w:rFonts w:ascii="Arial" w:eastAsia="Times New Roman" w:hAnsi="Arial" w:cs="Times New Roman"/>
          <w:kern w:val="0"/>
          <w:sz w:val="20"/>
          <w:szCs w:val="24"/>
        </w:rPr>
        <w:t>b) občinah, kjer so bili komunalni odpadki, ki so mehansko obdelani, zbrani, če gre za pošiljke iz točk c), d), e)</w:t>
      </w:r>
      <w:bookmarkStart w:id="56" w:name="_Hlk177319237"/>
      <w:r w:rsidRPr="00B775DE">
        <w:rPr>
          <w:rFonts w:ascii="Arial" w:eastAsia="Times New Roman" w:hAnsi="Arial" w:cs="Times New Roman"/>
          <w:kern w:val="0"/>
          <w:sz w:val="20"/>
          <w:szCs w:val="24"/>
        </w:rPr>
        <w:t xml:space="preserve">, f) in g) iz prejšnjega </w:t>
      </w:r>
      <w:proofErr w:type="spellStart"/>
      <w:r w:rsidRPr="00B775DE">
        <w:rPr>
          <w:rFonts w:ascii="Arial" w:eastAsia="Times New Roman" w:hAnsi="Arial" w:cs="Times New Roman"/>
          <w:kern w:val="0"/>
          <w:sz w:val="20"/>
          <w:szCs w:val="24"/>
        </w:rPr>
        <w:t>odstavka</w:t>
      </w:r>
      <w:bookmarkEnd w:id="56"/>
      <w:r w:rsidRPr="00B775DE">
        <w:rPr>
          <w:rFonts w:ascii="Arial" w:eastAsia="Times New Roman" w:hAnsi="Arial" w:cs="Times New Roman"/>
          <w:kern w:val="0"/>
          <w:sz w:val="20"/>
          <w:szCs w:val="24"/>
        </w:rPr>
        <w:t>,</w:t>
      </w:r>
      <w:bookmarkEnd w:id="55"/>
      <w:r w:rsidRPr="00B775DE">
        <w:rPr>
          <w:rFonts w:ascii="Arial" w:eastAsia="Times New Roman" w:hAnsi="Arial" w:cs="Times New Roman"/>
          <w:kern w:val="0"/>
          <w:sz w:val="20"/>
          <w:szCs w:val="24"/>
        </w:rPr>
        <w:t>c</w:t>
      </w:r>
      <w:proofErr w:type="spellEnd"/>
      <w:r w:rsidRPr="00B775DE">
        <w:rPr>
          <w:rFonts w:ascii="Arial" w:eastAsia="Times New Roman" w:hAnsi="Arial" w:cs="Times New Roman"/>
          <w:kern w:val="0"/>
          <w:sz w:val="20"/>
          <w:szCs w:val="24"/>
        </w:rPr>
        <w:t>) občinah, kjer so bili komunalni odpadki zbrani, in vrsti komunalnega odpadka, ki je bil mehansko obdelan, če gre gorljivo sestavino komunalnih odpadkov iz prvega odstavka 2. člena te uredbe in pošiljko iz točke h) in i) prejšnjega odstavka.</w:t>
      </w:r>
    </w:p>
    <w:p w14:paraId="75B9A6F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6E476CE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Izvajalec mehanske obdelave mora zagotoviti za prevzete mešane komunalne odpadke ločeno za vsako občino izvedbo </w:t>
      </w:r>
      <w:proofErr w:type="spellStart"/>
      <w:r w:rsidRPr="00B775DE">
        <w:rPr>
          <w:rFonts w:ascii="Arial" w:eastAsia="Times New Roman" w:hAnsi="Arial" w:cs="Times New Roman"/>
          <w:kern w:val="0"/>
          <w:sz w:val="20"/>
          <w:szCs w:val="24"/>
        </w:rPr>
        <w:t>sortirne</w:t>
      </w:r>
      <w:proofErr w:type="spellEnd"/>
      <w:r w:rsidRPr="00B775DE">
        <w:rPr>
          <w:rFonts w:ascii="Arial" w:eastAsia="Times New Roman" w:hAnsi="Arial" w:cs="Times New Roman"/>
          <w:kern w:val="0"/>
          <w:sz w:val="20"/>
          <w:szCs w:val="24"/>
        </w:rPr>
        <w:t xml:space="preserve"> analize mešanih komunalnih odpadkov v skladu s predpisom, ki ureja tovrstno analizo, in o rezultatih </w:t>
      </w:r>
      <w:proofErr w:type="spellStart"/>
      <w:r w:rsidRPr="00B775DE">
        <w:rPr>
          <w:rFonts w:ascii="Arial" w:eastAsia="Times New Roman" w:hAnsi="Arial" w:cs="Times New Roman"/>
          <w:kern w:val="0"/>
          <w:sz w:val="20"/>
          <w:szCs w:val="24"/>
        </w:rPr>
        <w:t>sortirne</w:t>
      </w:r>
      <w:proofErr w:type="spellEnd"/>
      <w:r w:rsidRPr="00B775DE">
        <w:rPr>
          <w:rFonts w:ascii="Arial" w:eastAsia="Times New Roman" w:hAnsi="Arial" w:cs="Times New Roman"/>
          <w:kern w:val="0"/>
          <w:sz w:val="20"/>
          <w:szCs w:val="24"/>
        </w:rPr>
        <w:t xml:space="preserve"> analize poročati v informacijski sistem okolja.</w:t>
      </w:r>
    </w:p>
    <w:p w14:paraId="4529E10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72AA1D1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32BA00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3BA6F2E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0EC150E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29497540" w14:textId="77777777" w:rsidR="00E65191" w:rsidRPr="00B775DE" w:rsidRDefault="00E65191" w:rsidP="00E65191">
      <w:pPr>
        <w:rPr>
          <w:rFonts w:ascii="Arial" w:eastAsia="Times New Roman" w:hAnsi="Arial" w:cs="Times New Roman"/>
          <w:b/>
          <w:kern w:val="0"/>
          <w:sz w:val="20"/>
          <w:szCs w:val="24"/>
        </w:rPr>
      </w:pPr>
      <w:r w:rsidRPr="00B775DE">
        <w:rPr>
          <w:rFonts w:ascii="Arial" w:eastAsia="Times New Roman" w:hAnsi="Arial" w:cs="Times New Roman"/>
          <w:b/>
          <w:kern w:val="0"/>
          <w:sz w:val="20"/>
          <w:szCs w:val="24"/>
        </w:rPr>
        <w:br w:type="page"/>
      </w:r>
    </w:p>
    <w:p w14:paraId="0223EF19"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lastRenderedPageBreak/>
        <w:t>PRILOGA 4</w:t>
      </w:r>
    </w:p>
    <w:p w14:paraId="37983334"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p w14:paraId="64F1104E"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r w:rsidRPr="00B775DE">
        <w:rPr>
          <w:rFonts w:ascii="Arial" w:eastAsia="Times New Roman" w:hAnsi="Arial" w:cs="Times New Roman"/>
          <w:b/>
          <w:kern w:val="0"/>
          <w:sz w:val="20"/>
          <w:szCs w:val="24"/>
        </w:rPr>
        <w:t>AMORTIZACIJSKE STOPNJE OPREDMETENIH OSNOVNIH SREDSTEV, KI SE UPORABLJAJO ZA OPRAVLJANJE JAVNE SLUŽBE</w:t>
      </w:r>
    </w:p>
    <w:p w14:paraId="0F0B7CF2" w14:textId="77777777" w:rsidR="00E65191" w:rsidRPr="00B775DE" w:rsidRDefault="00E65191" w:rsidP="00E65191">
      <w:pPr>
        <w:tabs>
          <w:tab w:val="left" w:pos="708"/>
        </w:tabs>
        <w:spacing w:before="40" w:after="40" w:line="240" w:lineRule="auto"/>
        <w:rPr>
          <w:rFonts w:ascii="Arial" w:eastAsia="Times New Roman" w:hAnsi="Arial" w:cs="Times New Roman"/>
          <w:b/>
          <w:kern w:val="0"/>
          <w:sz w:val="20"/>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84"/>
        <w:gridCol w:w="1536"/>
        <w:gridCol w:w="1992"/>
      </w:tblGrid>
      <w:tr w:rsidR="00E65191" w:rsidRPr="00B775DE" w14:paraId="6941848F" w14:textId="77777777" w:rsidTr="00C21643">
        <w:tc>
          <w:tcPr>
            <w:tcW w:w="8112" w:type="dxa"/>
            <w:gridSpan w:val="3"/>
            <w:tcBorders>
              <w:top w:val="single" w:sz="6" w:space="0" w:color="auto"/>
              <w:left w:val="single" w:sz="6" w:space="0" w:color="auto"/>
              <w:bottom w:val="single" w:sz="6" w:space="0" w:color="auto"/>
              <w:right w:val="single" w:sz="6" w:space="0" w:color="auto"/>
            </w:tcBorders>
          </w:tcPr>
          <w:p w14:paraId="46C5060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AMORTIZACIJSKE STOPNJE OPREDMETENIH OSNOVNIH SREDSTEV, KI SE UPORABLJAJO</w:t>
            </w:r>
          </w:p>
          <w:p w14:paraId="0F84807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ZA OPRAVLJANJE JAVNE SLUŽBE</w:t>
            </w:r>
          </w:p>
        </w:tc>
      </w:tr>
      <w:tr w:rsidR="00E65191" w:rsidRPr="00B775DE" w14:paraId="6E9BE26A" w14:textId="77777777" w:rsidTr="00C21643">
        <w:tc>
          <w:tcPr>
            <w:tcW w:w="4584" w:type="dxa"/>
            <w:tcBorders>
              <w:top w:val="single" w:sz="6" w:space="0" w:color="auto"/>
              <w:left w:val="single" w:sz="6" w:space="0" w:color="auto"/>
              <w:bottom w:val="single" w:sz="6" w:space="0" w:color="auto"/>
              <w:right w:val="single" w:sz="6" w:space="0" w:color="auto"/>
            </w:tcBorders>
            <w:vAlign w:val="center"/>
          </w:tcPr>
          <w:p w14:paraId="118763A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Amortizacijska skupina</w:t>
            </w:r>
          </w:p>
        </w:tc>
        <w:tc>
          <w:tcPr>
            <w:tcW w:w="1536" w:type="dxa"/>
            <w:tcBorders>
              <w:top w:val="single" w:sz="6" w:space="0" w:color="auto"/>
              <w:left w:val="single" w:sz="6" w:space="0" w:color="auto"/>
              <w:bottom w:val="single" w:sz="6" w:space="0" w:color="auto"/>
              <w:right w:val="single" w:sz="6" w:space="0" w:color="auto"/>
            </w:tcBorders>
            <w:vAlign w:val="center"/>
          </w:tcPr>
          <w:p w14:paraId="1206C14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Življenjska doba (v letih)</w:t>
            </w:r>
          </w:p>
        </w:tc>
        <w:tc>
          <w:tcPr>
            <w:tcW w:w="1992" w:type="dxa"/>
            <w:tcBorders>
              <w:top w:val="single" w:sz="6" w:space="0" w:color="auto"/>
              <w:left w:val="single" w:sz="6" w:space="0" w:color="auto"/>
              <w:bottom w:val="single" w:sz="6" w:space="0" w:color="auto"/>
              <w:right w:val="single" w:sz="6" w:space="0" w:color="auto"/>
            </w:tcBorders>
            <w:vAlign w:val="center"/>
          </w:tcPr>
          <w:p w14:paraId="2830AE4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Amortizacijska stopnja (v odstotkih)</w:t>
            </w:r>
          </w:p>
        </w:tc>
      </w:tr>
      <w:tr w:rsidR="00E65191" w:rsidRPr="00B775DE" w14:paraId="2F580FD4" w14:textId="77777777" w:rsidTr="00C21643">
        <w:tc>
          <w:tcPr>
            <w:tcW w:w="4584" w:type="dxa"/>
            <w:tcBorders>
              <w:top w:val="single" w:sz="6" w:space="0" w:color="auto"/>
              <w:left w:val="single" w:sz="6" w:space="0" w:color="auto"/>
              <w:bottom w:val="single" w:sz="6" w:space="0" w:color="auto"/>
              <w:right w:val="single" w:sz="6" w:space="0" w:color="auto"/>
            </w:tcBorders>
            <w:vAlign w:val="center"/>
          </w:tcPr>
          <w:p w14:paraId="6D49F4E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   Naprava za sežig odpadkov (sprejemnica, kurišče, parni kotel)</w:t>
            </w:r>
          </w:p>
        </w:tc>
        <w:tc>
          <w:tcPr>
            <w:tcW w:w="1536" w:type="dxa"/>
            <w:tcBorders>
              <w:top w:val="single" w:sz="6" w:space="0" w:color="auto"/>
              <w:left w:val="single" w:sz="6" w:space="0" w:color="auto"/>
              <w:bottom w:val="single" w:sz="6" w:space="0" w:color="auto"/>
              <w:right w:val="single" w:sz="6" w:space="0" w:color="auto"/>
            </w:tcBorders>
            <w:vAlign w:val="center"/>
          </w:tcPr>
          <w:p w14:paraId="4945B15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vAlign w:val="center"/>
          </w:tcPr>
          <w:p w14:paraId="11B03118"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r w:rsidR="00E65191" w:rsidRPr="00B775DE" w14:paraId="6C1AD577" w14:textId="77777777" w:rsidTr="00C21643">
        <w:tc>
          <w:tcPr>
            <w:tcW w:w="4584" w:type="dxa"/>
            <w:tcBorders>
              <w:top w:val="single" w:sz="6" w:space="0" w:color="auto"/>
              <w:left w:val="nil"/>
              <w:bottom w:val="single" w:sz="6" w:space="0" w:color="auto"/>
              <w:right w:val="single" w:sz="6" w:space="0" w:color="auto"/>
            </w:tcBorders>
          </w:tcPr>
          <w:p w14:paraId="6064150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1.1. Dozirni sistem sprejemnice</w:t>
            </w:r>
          </w:p>
        </w:tc>
        <w:tc>
          <w:tcPr>
            <w:tcW w:w="1536" w:type="dxa"/>
            <w:tcBorders>
              <w:top w:val="single" w:sz="6" w:space="0" w:color="auto"/>
              <w:left w:val="single" w:sz="6" w:space="0" w:color="auto"/>
              <w:bottom w:val="single" w:sz="6" w:space="0" w:color="auto"/>
              <w:right w:val="single" w:sz="6" w:space="0" w:color="auto"/>
            </w:tcBorders>
          </w:tcPr>
          <w:p w14:paraId="7A868AC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c>
          <w:tcPr>
            <w:tcW w:w="1992" w:type="dxa"/>
            <w:tcBorders>
              <w:top w:val="single" w:sz="6" w:space="0" w:color="auto"/>
              <w:left w:val="single" w:sz="6" w:space="0" w:color="auto"/>
              <w:bottom w:val="single" w:sz="6" w:space="0" w:color="auto"/>
              <w:right w:val="nil"/>
            </w:tcBorders>
          </w:tcPr>
          <w:p w14:paraId="1687A03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r>
      <w:tr w:rsidR="00E65191" w:rsidRPr="00B775DE" w14:paraId="57E8434A" w14:textId="77777777" w:rsidTr="00C21643">
        <w:tc>
          <w:tcPr>
            <w:tcW w:w="4584" w:type="dxa"/>
            <w:tcBorders>
              <w:top w:val="single" w:sz="6" w:space="0" w:color="auto"/>
              <w:left w:val="single" w:sz="6" w:space="0" w:color="auto"/>
              <w:bottom w:val="single" w:sz="6" w:space="0" w:color="auto"/>
              <w:right w:val="single" w:sz="6" w:space="0" w:color="auto"/>
            </w:tcBorders>
            <w:vAlign w:val="center"/>
          </w:tcPr>
          <w:p w14:paraId="5C7C34DC"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1.2. Dozirni sistem za dovod goriva v kurišče (polži, </w:t>
            </w:r>
            <w:proofErr w:type="spellStart"/>
            <w:r w:rsidRPr="00B775DE">
              <w:rPr>
                <w:rFonts w:ascii="Arial" w:eastAsia="Times New Roman" w:hAnsi="Arial" w:cs="Times New Roman"/>
                <w:kern w:val="0"/>
                <w:sz w:val="20"/>
                <w:szCs w:val="24"/>
              </w:rPr>
              <w:t>dozirke</w:t>
            </w:r>
            <w:proofErr w:type="spellEnd"/>
            <w:r w:rsidRPr="00B775DE">
              <w:rPr>
                <w:rFonts w:ascii="Arial" w:eastAsia="Times New Roman" w:hAnsi="Arial" w:cs="Times New Roman"/>
                <w:kern w:val="0"/>
                <w:sz w:val="20"/>
                <w:szCs w:val="24"/>
              </w:rPr>
              <w:t>)</w:t>
            </w:r>
          </w:p>
        </w:tc>
        <w:tc>
          <w:tcPr>
            <w:tcW w:w="1536" w:type="dxa"/>
            <w:tcBorders>
              <w:top w:val="single" w:sz="6" w:space="0" w:color="auto"/>
              <w:left w:val="single" w:sz="6" w:space="0" w:color="auto"/>
              <w:bottom w:val="single" w:sz="6" w:space="0" w:color="auto"/>
              <w:right w:val="single" w:sz="6" w:space="0" w:color="auto"/>
            </w:tcBorders>
            <w:vAlign w:val="center"/>
          </w:tcPr>
          <w:p w14:paraId="2404B4D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c>
          <w:tcPr>
            <w:tcW w:w="1992" w:type="dxa"/>
            <w:tcBorders>
              <w:top w:val="single" w:sz="6" w:space="0" w:color="auto"/>
              <w:left w:val="single" w:sz="6" w:space="0" w:color="auto"/>
              <w:bottom w:val="single" w:sz="6" w:space="0" w:color="auto"/>
              <w:right w:val="single" w:sz="6" w:space="0" w:color="auto"/>
            </w:tcBorders>
            <w:vAlign w:val="center"/>
          </w:tcPr>
          <w:p w14:paraId="639B4D10"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r>
      <w:tr w:rsidR="00E65191" w:rsidRPr="00B775DE" w14:paraId="114D3697" w14:textId="77777777" w:rsidTr="00C21643">
        <w:tc>
          <w:tcPr>
            <w:tcW w:w="4584" w:type="dxa"/>
            <w:tcBorders>
              <w:top w:val="single" w:sz="6" w:space="0" w:color="auto"/>
              <w:left w:val="single" w:sz="6" w:space="0" w:color="auto"/>
              <w:bottom w:val="single" w:sz="6" w:space="0" w:color="auto"/>
              <w:right w:val="single" w:sz="6" w:space="0" w:color="auto"/>
            </w:tcBorders>
            <w:vAlign w:val="center"/>
          </w:tcPr>
          <w:p w14:paraId="046A5DF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1.3. Ventilatorji za dovod/odvod zraka kurišča</w:t>
            </w:r>
          </w:p>
        </w:tc>
        <w:tc>
          <w:tcPr>
            <w:tcW w:w="1536" w:type="dxa"/>
            <w:tcBorders>
              <w:top w:val="single" w:sz="6" w:space="0" w:color="auto"/>
              <w:left w:val="single" w:sz="6" w:space="0" w:color="auto"/>
              <w:bottom w:val="single" w:sz="6" w:space="0" w:color="auto"/>
              <w:right w:val="single" w:sz="6" w:space="0" w:color="auto"/>
            </w:tcBorders>
            <w:vAlign w:val="center"/>
          </w:tcPr>
          <w:p w14:paraId="7FA40F7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c>
          <w:tcPr>
            <w:tcW w:w="1992" w:type="dxa"/>
            <w:tcBorders>
              <w:top w:val="single" w:sz="6" w:space="0" w:color="auto"/>
              <w:left w:val="single" w:sz="6" w:space="0" w:color="auto"/>
              <w:bottom w:val="single" w:sz="6" w:space="0" w:color="auto"/>
              <w:right w:val="single" w:sz="6" w:space="0" w:color="auto"/>
            </w:tcBorders>
            <w:vAlign w:val="center"/>
          </w:tcPr>
          <w:p w14:paraId="53F24BA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r>
      <w:tr w:rsidR="00E65191" w:rsidRPr="00B775DE" w14:paraId="22BB737C" w14:textId="77777777" w:rsidTr="00C21643">
        <w:tc>
          <w:tcPr>
            <w:tcW w:w="4584" w:type="dxa"/>
            <w:tcBorders>
              <w:top w:val="single" w:sz="6" w:space="0" w:color="auto"/>
              <w:left w:val="single" w:sz="6" w:space="0" w:color="auto"/>
              <w:bottom w:val="single" w:sz="6" w:space="0" w:color="auto"/>
              <w:right w:val="single" w:sz="6" w:space="0" w:color="auto"/>
            </w:tcBorders>
            <w:vAlign w:val="center"/>
          </w:tcPr>
          <w:p w14:paraId="5A33E811"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1.4. Sistem za odstranjevanje pepela iz kurišča (polži, rešetke)</w:t>
            </w:r>
          </w:p>
        </w:tc>
        <w:tc>
          <w:tcPr>
            <w:tcW w:w="1536" w:type="dxa"/>
            <w:tcBorders>
              <w:top w:val="single" w:sz="6" w:space="0" w:color="auto"/>
              <w:left w:val="single" w:sz="6" w:space="0" w:color="auto"/>
              <w:bottom w:val="single" w:sz="6" w:space="0" w:color="auto"/>
              <w:right w:val="single" w:sz="6" w:space="0" w:color="auto"/>
            </w:tcBorders>
            <w:vAlign w:val="center"/>
          </w:tcPr>
          <w:p w14:paraId="145AAA4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c>
          <w:tcPr>
            <w:tcW w:w="1992" w:type="dxa"/>
            <w:tcBorders>
              <w:top w:val="single" w:sz="6" w:space="0" w:color="auto"/>
              <w:left w:val="single" w:sz="6" w:space="0" w:color="auto"/>
              <w:bottom w:val="single" w:sz="6" w:space="0" w:color="auto"/>
              <w:right w:val="single" w:sz="6" w:space="0" w:color="auto"/>
            </w:tcBorders>
            <w:vAlign w:val="center"/>
          </w:tcPr>
          <w:p w14:paraId="7542E79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r>
      <w:tr w:rsidR="00E65191" w:rsidRPr="00B775DE" w14:paraId="67640F1D" w14:textId="77777777" w:rsidTr="00C21643">
        <w:tc>
          <w:tcPr>
            <w:tcW w:w="4584" w:type="dxa"/>
            <w:tcBorders>
              <w:top w:val="single" w:sz="6" w:space="0" w:color="auto"/>
              <w:left w:val="single" w:sz="6" w:space="0" w:color="auto"/>
              <w:bottom w:val="single" w:sz="6" w:space="0" w:color="auto"/>
              <w:right w:val="single" w:sz="6" w:space="0" w:color="auto"/>
            </w:tcBorders>
          </w:tcPr>
          <w:p w14:paraId="0C4A179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1.5. Šamotna obloga kurišča</w:t>
            </w:r>
          </w:p>
        </w:tc>
        <w:tc>
          <w:tcPr>
            <w:tcW w:w="1536" w:type="dxa"/>
            <w:tcBorders>
              <w:top w:val="single" w:sz="6" w:space="0" w:color="auto"/>
              <w:left w:val="single" w:sz="6" w:space="0" w:color="auto"/>
              <w:bottom w:val="single" w:sz="6" w:space="0" w:color="auto"/>
              <w:right w:val="single" w:sz="6" w:space="0" w:color="auto"/>
            </w:tcBorders>
          </w:tcPr>
          <w:p w14:paraId="1178CB6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c>
          <w:tcPr>
            <w:tcW w:w="1992" w:type="dxa"/>
            <w:tcBorders>
              <w:top w:val="single" w:sz="6" w:space="0" w:color="auto"/>
              <w:left w:val="single" w:sz="6" w:space="0" w:color="auto"/>
              <w:bottom w:val="single" w:sz="6" w:space="0" w:color="auto"/>
              <w:right w:val="single" w:sz="6" w:space="0" w:color="auto"/>
            </w:tcBorders>
          </w:tcPr>
          <w:p w14:paraId="621F574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r>
      <w:tr w:rsidR="00E65191" w:rsidRPr="00B775DE" w14:paraId="1A6AC119" w14:textId="77777777" w:rsidTr="00C21643">
        <w:tc>
          <w:tcPr>
            <w:tcW w:w="4584" w:type="dxa"/>
            <w:tcBorders>
              <w:top w:val="single" w:sz="6" w:space="0" w:color="auto"/>
              <w:left w:val="single" w:sz="6" w:space="0" w:color="auto"/>
              <w:bottom w:val="single" w:sz="6" w:space="0" w:color="auto"/>
              <w:right w:val="single" w:sz="6" w:space="0" w:color="auto"/>
            </w:tcBorders>
          </w:tcPr>
          <w:p w14:paraId="04A4C0F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   Sistem čiščenja dimnih plinov</w:t>
            </w:r>
          </w:p>
        </w:tc>
        <w:tc>
          <w:tcPr>
            <w:tcW w:w="1536" w:type="dxa"/>
            <w:tcBorders>
              <w:top w:val="single" w:sz="6" w:space="0" w:color="auto"/>
              <w:left w:val="single" w:sz="6" w:space="0" w:color="auto"/>
              <w:bottom w:val="single" w:sz="6" w:space="0" w:color="auto"/>
              <w:right w:val="single" w:sz="6" w:space="0" w:color="auto"/>
            </w:tcBorders>
          </w:tcPr>
          <w:p w14:paraId="3F8AF5F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tcPr>
          <w:p w14:paraId="510A7D0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r w:rsidR="00E65191" w:rsidRPr="00B775DE" w14:paraId="0102F210" w14:textId="77777777" w:rsidTr="00C21643">
        <w:tc>
          <w:tcPr>
            <w:tcW w:w="4584" w:type="dxa"/>
            <w:tcBorders>
              <w:top w:val="single" w:sz="6" w:space="0" w:color="auto"/>
              <w:left w:val="single" w:sz="6" w:space="0" w:color="auto"/>
              <w:bottom w:val="single" w:sz="6" w:space="0" w:color="auto"/>
              <w:right w:val="single" w:sz="6" w:space="0" w:color="auto"/>
            </w:tcBorders>
          </w:tcPr>
          <w:p w14:paraId="0C7E89D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3.   Sistem trajnega monitoringa</w:t>
            </w:r>
          </w:p>
        </w:tc>
        <w:tc>
          <w:tcPr>
            <w:tcW w:w="1536" w:type="dxa"/>
            <w:tcBorders>
              <w:top w:val="single" w:sz="6" w:space="0" w:color="auto"/>
              <w:left w:val="single" w:sz="6" w:space="0" w:color="auto"/>
              <w:bottom w:val="single" w:sz="6" w:space="0" w:color="auto"/>
              <w:right w:val="single" w:sz="6" w:space="0" w:color="auto"/>
            </w:tcBorders>
          </w:tcPr>
          <w:p w14:paraId="6D7BBC73"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c>
          <w:tcPr>
            <w:tcW w:w="1992" w:type="dxa"/>
            <w:tcBorders>
              <w:top w:val="single" w:sz="6" w:space="0" w:color="auto"/>
              <w:left w:val="single" w:sz="6" w:space="0" w:color="auto"/>
              <w:bottom w:val="single" w:sz="6" w:space="0" w:color="auto"/>
              <w:right w:val="single" w:sz="6" w:space="0" w:color="auto"/>
            </w:tcBorders>
          </w:tcPr>
          <w:p w14:paraId="3EF96776"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r>
      <w:tr w:rsidR="00E65191" w:rsidRPr="00B775DE" w14:paraId="5CD06290" w14:textId="77777777" w:rsidTr="00C21643">
        <w:tc>
          <w:tcPr>
            <w:tcW w:w="4584" w:type="dxa"/>
            <w:tcBorders>
              <w:top w:val="single" w:sz="6" w:space="0" w:color="auto"/>
              <w:left w:val="single" w:sz="6" w:space="0" w:color="auto"/>
              <w:bottom w:val="single" w:sz="6" w:space="0" w:color="auto"/>
              <w:right w:val="single" w:sz="6" w:space="0" w:color="auto"/>
            </w:tcBorders>
            <w:vAlign w:val="center"/>
          </w:tcPr>
          <w:p w14:paraId="690CFB4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4.   Parna turbina z generatorjem in pripadajočo stikalno opremo ter kondenzatorjem</w:t>
            </w:r>
          </w:p>
        </w:tc>
        <w:tc>
          <w:tcPr>
            <w:tcW w:w="1536" w:type="dxa"/>
            <w:tcBorders>
              <w:top w:val="single" w:sz="6" w:space="0" w:color="auto"/>
              <w:left w:val="single" w:sz="6" w:space="0" w:color="auto"/>
              <w:bottom w:val="single" w:sz="6" w:space="0" w:color="auto"/>
              <w:right w:val="single" w:sz="6" w:space="0" w:color="auto"/>
            </w:tcBorders>
            <w:vAlign w:val="center"/>
          </w:tcPr>
          <w:p w14:paraId="32106D65"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vAlign w:val="center"/>
          </w:tcPr>
          <w:p w14:paraId="3B418D2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r w:rsidR="00E65191" w:rsidRPr="00B775DE" w14:paraId="6095FE63" w14:textId="77777777" w:rsidTr="00C21643">
        <w:tc>
          <w:tcPr>
            <w:tcW w:w="4584" w:type="dxa"/>
            <w:tcBorders>
              <w:top w:val="single" w:sz="6" w:space="0" w:color="auto"/>
              <w:left w:val="single" w:sz="6" w:space="0" w:color="auto"/>
              <w:bottom w:val="single" w:sz="6" w:space="0" w:color="auto"/>
              <w:right w:val="single" w:sz="6" w:space="0" w:color="auto"/>
            </w:tcBorders>
          </w:tcPr>
          <w:p w14:paraId="416208E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   Reducirno hladilna postaja s toplotno postajo</w:t>
            </w:r>
          </w:p>
        </w:tc>
        <w:tc>
          <w:tcPr>
            <w:tcW w:w="1536" w:type="dxa"/>
            <w:tcBorders>
              <w:top w:val="single" w:sz="6" w:space="0" w:color="auto"/>
              <w:left w:val="single" w:sz="6" w:space="0" w:color="auto"/>
              <w:bottom w:val="single" w:sz="6" w:space="0" w:color="auto"/>
              <w:right w:val="single" w:sz="6" w:space="0" w:color="auto"/>
            </w:tcBorders>
          </w:tcPr>
          <w:p w14:paraId="68FC508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tcPr>
          <w:p w14:paraId="32AAE167"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r w:rsidR="00E65191" w:rsidRPr="00B775DE" w14:paraId="389BA2D6" w14:textId="77777777" w:rsidTr="00C21643">
        <w:tc>
          <w:tcPr>
            <w:tcW w:w="4584" w:type="dxa"/>
            <w:tcBorders>
              <w:top w:val="single" w:sz="6" w:space="0" w:color="auto"/>
              <w:left w:val="single" w:sz="6" w:space="0" w:color="auto"/>
              <w:bottom w:val="single" w:sz="6" w:space="0" w:color="auto"/>
              <w:right w:val="single" w:sz="6" w:space="0" w:color="auto"/>
            </w:tcBorders>
          </w:tcPr>
          <w:p w14:paraId="754D113A"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6.   Sistem za zbiranje </w:t>
            </w:r>
            <w:proofErr w:type="spellStart"/>
            <w:r w:rsidRPr="00B775DE">
              <w:rPr>
                <w:rFonts w:ascii="Arial" w:eastAsia="Times New Roman" w:hAnsi="Arial" w:cs="Times New Roman"/>
                <w:kern w:val="0"/>
                <w:sz w:val="20"/>
                <w:szCs w:val="24"/>
              </w:rPr>
              <w:t>kondenza</w:t>
            </w:r>
            <w:proofErr w:type="spellEnd"/>
          </w:p>
        </w:tc>
        <w:tc>
          <w:tcPr>
            <w:tcW w:w="1536" w:type="dxa"/>
            <w:tcBorders>
              <w:top w:val="single" w:sz="6" w:space="0" w:color="auto"/>
              <w:left w:val="single" w:sz="6" w:space="0" w:color="auto"/>
              <w:bottom w:val="single" w:sz="6" w:space="0" w:color="auto"/>
              <w:right w:val="single" w:sz="6" w:space="0" w:color="auto"/>
            </w:tcBorders>
          </w:tcPr>
          <w:p w14:paraId="289AC22D"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tcPr>
          <w:p w14:paraId="5418059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r w:rsidR="00E65191" w:rsidRPr="00B775DE" w14:paraId="6E842328" w14:textId="77777777" w:rsidTr="00C21643">
        <w:tc>
          <w:tcPr>
            <w:tcW w:w="4584" w:type="dxa"/>
            <w:tcBorders>
              <w:top w:val="single" w:sz="6" w:space="0" w:color="auto"/>
              <w:left w:val="single" w:sz="6" w:space="0" w:color="auto"/>
              <w:bottom w:val="single" w:sz="6" w:space="0" w:color="auto"/>
              <w:right w:val="single" w:sz="6" w:space="0" w:color="auto"/>
            </w:tcBorders>
          </w:tcPr>
          <w:p w14:paraId="45C2C6EE"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7. Dimniki</w:t>
            </w:r>
          </w:p>
        </w:tc>
        <w:tc>
          <w:tcPr>
            <w:tcW w:w="1536" w:type="dxa"/>
            <w:tcBorders>
              <w:top w:val="single" w:sz="6" w:space="0" w:color="auto"/>
              <w:left w:val="single" w:sz="6" w:space="0" w:color="auto"/>
              <w:bottom w:val="single" w:sz="6" w:space="0" w:color="auto"/>
              <w:right w:val="single" w:sz="6" w:space="0" w:color="auto"/>
            </w:tcBorders>
          </w:tcPr>
          <w:p w14:paraId="5C567479"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tcPr>
          <w:p w14:paraId="7BBF21E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r w:rsidR="00E65191" w:rsidRPr="00B775DE" w14:paraId="115C908B" w14:textId="77777777" w:rsidTr="00C21643">
        <w:tc>
          <w:tcPr>
            <w:tcW w:w="4584" w:type="dxa"/>
            <w:tcBorders>
              <w:top w:val="single" w:sz="6" w:space="0" w:color="auto"/>
              <w:left w:val="single" w:sz="6" w:space="0" w:color="auto"/>
              <w:bottom w:val="single" w:sz="6" w:space="0" w:color="auto"/>
              <w:right w:val="single" w:sz="6" w:space="0" w:color="auto"/>
            </w:tcBorders>
          </w:tcPr>
          <w:p w14:paraId="5E45B522"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8.   Parni razvod</w:t>
            </w:r>
          </w:p>
        </w:tc>
        <w:tc>
          <w:tcPr>
            <w:tcW w:w="1536" w:type="dxa"/>
            <w:tcBorders>
              <w:top w:val="single" w:sz="6" w:space="0" w:color="auto"/>
              <w:left w:val="single" w:sz="6" w:space="0" w:color="auto"/>
              <w:bottom w:val="single" w:sz="6" w:space="0" w:color="auto"/>
              <w:right w:val="single" w:sz="6" w:space="0" w:color="auto"/>
            </w:tcBorders>
          </w:tcPr>
          <w:p w14:paraId="3342C014"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20,00</w:t>
            </w:r>
          </w:p>
        </w:tc>
        <w:tc>
          <w:tcPr>
            <w:tcW w:w="1992" w:type="dxa"/>
            <w:tcBorders>
              <w:top w:val="single" w:sz="6" w:space="0" w:color="auto"/>
              <w:left w:val="single" w:sz="6" w:space="0" w:color="auto"/>
              <w:bottom w:val="single" w:sz="6" w:space="0" w:color="auto"/>
              <w:right w:val="single" w:sz="6" w:space="0" w:color="auto"/>
            </w:tcBorders>
          </w:tcPr>
          <w:p w14:paraId="22CF9A3B"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r w:rsidRPr="00B775DE">
              <w:rPr>
                <w:rFonts w:ascii="Arial" w:eastAsia="Times New Roman" w:hAnsi="Arial" w:cs="Times New Roman"/>
                <w:kern w:val="0"/>
                <w:sz w:val="20"/>
                <w:szCs w:val="24"/>
              </w:rPr>
              <w:t>5,00</w:t>
            </w:r>
          </w:p>
        </w:tc>
      </w:tr>
    </w:tbl>
    <w:p w14:paraId="2721E66F" w14:textId="77777777" w:rsidR="00E65191" w:rsidRPr="00B775DE" w:rsidRDefault="00E65191" w:rsidP="00E65191">
      <w:pPr>
        <w:tabs>
          <w:tab w:val="left" w:pos="708"/>
        </w:tabs>
        <w:spacing w:before="40" w:after="40" w:line="240" w:lineRule="auto"/>
        <w:rPr>
          <w:rFonts w:ascii="Arial" w:eastAsia="Times New Roman" w:hAnsi="Arial" w:cs="Times New Roman"/>
          <w:kern w:val="0"/>
          <w:sz w:val="20"/>
          <w:szCs w:val="24"/>
        </w:rPr>
      </w:pPr>
    </w:p>
    <w:p w14:paraId="5A92042B" w14:textId="77777777" w:rsidR="00E65191" w:rsidRPr="00B775DE" w:rsidRDefault="00E65191" w:rsidP="00E65191">
      <w:pPr>
        <w:rPr>
          <w:rFonts w:ascii="Arial" w:eastAsia="Times New Roman" w:hAnsi="Arial" w:cs="Times New Roman"/>
          <w:kern w:val="0"/>
          <w:sz w:val="20"/>
          <w:szCs w:val="24"/>
        </w:rPr>
      </w:pPr>
      <w:r w:rsidRPr="00B775DE">
        <w:rPr>
          <w:rFonts w:ascii="Arial" w:eastAsia="Times New Roman" w:hAnsi="Arial" w:cs="Times New Roman"/>
          <w:kern w:val="0"/>
          <w:sz w:val="20"/>
          <w:szCs w:val="24"/>
        </w:rPr>
        <w:br w:type="page"/>
      </w:r>
    </w:p>
    <w:bookmarkEnd w:id="5"/>
    <w:p w14:paraId="2EB6C947" w14:textId="77777777" w:rsidR="00E65191" w:rsidRPr="00B775DE" w:rsidRDefault="00E65191" w:rsidP="00E65191">
      <w:pPr>
        <w:tabs>
          <w:tab w:val="left" w:pos="284"/>
          <w:tab w:val="right" w:pos="9638"/>
        </w:tabs>
        <w:spacing w:before="240" w:after="240" w:line="240" w:lineRule="auto"/>
        <w:jc w:val="both"/>
        <w:rPr>
          <w:rFonts w:ascii="Arial" w:eastAsia="Times New Roman" w:hAnsi="Arial" w:cs="Arial"/>
          <w:b/>
          <w:bCs/>
          <w:kern w:val="0"/>
          <w:sz w:val="20"/>
          <w:szCs w:val="20"/>
        </w:rPr>
      </w:pPr>
      <w:r w:rsidRPr="00B775DE">
        <w:rPr>
          <w:rFonts w:ascii="Arial" w:eastAsia="Times New Roman" w:hAnsi="Arial" w:cs="Arial"/>
          <w:b/>
          <w:bCs/>
          <w:kern w:val="0"/>
          <w:sz w:val="20"/>
          <w:szCs w:val="20"/>
        </w:rPr>
        <w:lastRenderedPageBreak/>
        <w:t>OBRAZLOŽITEV</w:t>
      </w:r>
      <w:r w:rsidRPr="00B775DE">
        <w:rPr>
          <w:rFonts w:ascii="Arial" w:eastAsia="Times New Roman" w:hAnsi="Arial" w:cs="Arial"/>
          <w:b/>
          <w:bCs/>
          <w:kern w:val="0"/>
          <w:sz w:val="20"/>
          <w:szCs w:val="20"/>
        </w:rPr>
        <w:tab/>
      </w:r>
    </w:p>
    <w:p w14:paraId="35547299" w14:textId="77777777" w:rsidR="00E65191" w:rsidRPr="00B775DE" w:rsidRDefault="00E65191" w:rsidP="00E65191">
      <w:pPr>
        <w:tabs>
          <w:tab w:val="left" w:pos="284"/>
          <w:tab w:val="right" w:pos="9638"/>
        </w:tabs>
        <w:spacing w:before="240" w:after="240" w:line="240" w:lineRule="auto"/>
        <w:jc w:val="both"/>
        <w:rPr>
          <w:rFonts w:ascii="Arial" w:eastAsia="Times New Roman" w:hAnsi="Arial" w:cs="Arial"/>
          <w:b/>
          <w:bCs/>
          <w:kern w:val="0"/>
          <w:sz w:val="20"/>
          <w:szCs w:val="20"/>
        </w:rPr>
      </w:pPr>
      <w:r w:rsidRPr="00B775DE">
        <w:rPr>
          <w:rFonts w:ascii="Arial" w:eastAsia="Times New Roman" w:hAnsi="Arial" w:cs="Arial"/>
          <w:b/>
          <w:bCs/>
          <w:kern w:val="0"/>
          <w:sz w:val="20"/>
          <w:szCs w:val="20"/>
        </w:rPr>
        <w:t xml:space="preserve">I. </w:t>
      </w:r>
      <w:r w:rsidRPr="00B775DE">
        <w:rPr>
          <w:rFonts w:ascii="Arial" w:eastAsia="Times New Roman" w:hAnsi="Arial" w:cs="Arial"/>
          <w:b/>
          <w:bCs/>
          <w:kern w:val="0"/>
          <w:sz w:val="20"/>
          <w:szCs w:val="20"/>
        </w:rPr>
        <w:tab/>
        <w:t>UVOD</w:t>
      </w:r>
    </w:p>
    <w:p w14:paraId="03BD2E34" w14:textId="77777777" w:rsidR="00E65191" w:rsidRPr="00B775DE" w:rsidRDefault="00E65191" w:rsidP="00E65191">
      <w:pPr>
        <w:tabs>
          <w:tab w:val="left" w:pos="284"/>
          <w:tab w:val="right" w:pos="9638"/>
        </w:tabs>
        <w:spacing w:before="240" w:after="240" w:line="240" w:lineRule="auto"/>
        <w:jc w:val="both"/>
        <w:rPr>
          <w:rFonts w:ascii="Arial" w:eastAsia="Times New Roman" w:hAnsi="Arial" w:cs="Arial"/>
          <w:b/>
          <w:bCs/>
          <w:kern w:val="0"/>
          <w:sz w:val="20"/>
          <w:szCs w:val="20"/>
        </w:rPr>
      </w:pPr>
      <w:r w:rsidRPr="00B775DE">
        <w:rPr>
          <w:rFonts w:ascii="Arial" w:eastAsia="Times New Roman" w:hAnsi="Arial" w:cs="Arial"/>
          <w:b/>
          <w:bCs/>
          <w:kern w:val="0"/>
          <w:sz w:val="20"/>
          <w:szCs w:val="20"/>
        </w:rPr>
        <w:t>1.</w:t>
      </w:r>
      <w:r w:rsidRPr="00B775DE">
        <w:rPr>
          <w:rFonts w:ascii="Arial" w:eastAsia="Times New Roman" w:hAnsi="Arial" w:cs="Arial"/>
          <w:b/>
          <w:bCs/>
          <w:kern w:val="0"/>
          <w:sz w:val="20"/>
          <w:szCs w:val="20"/>
        </w:rPr>
        <w:tab/>
        <w:t>Pravna podlaga</w:t>
      </w:r>
    </w:p>
    <w:p w14:paraId="0BA23379"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Pravna podlaga za Uredbo o opravljanju obvezne državne gospodarske javne službe sežiganja komunalnih odpadkov so šesti odstavek 24. člena, prvi odstavek 175. člena in prvi in deveti odstavek 232. člena Zakona o varstvu okolja (Uradni list RS, št. 44/22, 18/23 – ZDU-1O, 78/23 – ZUNPEOVE in 23/24).</w:t>
      </w:r>
    </w:p>
    <w:p w14:paraId="689D4D5F" w14:textId="77777777" w:rsidR="00E65191" w:rsidRPr="00B775DE" w:rsidRDefault="00E65191" w:rsidP="00E65191">
      <w:pPr>
        <w:tabs>
          <w:tab w:val="left" w:pos="284"/>
          <w:tab w:val="right" w:pos="9638"/>
        </w:tabs>
        <w:spacing w:before="240" w:after="240" w:line="240" w:lineRule="auto"/>
        <w:jc w:val="both"/>
        <w:rPr>
          <w:rFonts w:ascii="Arial" w:eastAsia="Times New Roman" w:hAnsi="Arial" w:cs="Arial"/>
          <w:b/>
          <w:bCs/>
          <w:kern w:val="0"/>
          <w:sz w:val="20"/>
          <w:szCs w:val="20"/>
        </w:rPr>
      </w:pPr>
      <w:r w:rsidRPr="00B775DE">
        <w:rPr>
          <w:rFonts w:ascii="Arial" w:eastAsia="Times New Roman" w:hAnsi="Arial" w:cs="Arial"/>
          <w:b/>
          <w:bCs/>
          <w:kern w:val="0"/>
          <w:sz w:val="20"/>
          <w:szCs w:val="20"/>
        </w:rPr>
        <w:t>2.</w:t>
      </w:r>
      <w:r w:rsidRPr="00B775DE">
        <w:rPr>
          <w:rFonts w:ascii="Arial" w:eastAsia="Times New Roman" w:hAnsi="Arial" w:cs="Arial"/>
          <w:b/>
          <w:bCs/>
          <w:kern w:val="0"/>
          <w:sz w:val="20"/>
          <w:szCs w:val="20"/>
        </w:rPr>
        <w:tab/>
        <w:t>Splošna obrazložitev predloga uredbe</w:t>
      </w:r>
    </w:p>
    <w:p w14:paraId="75AE19FD"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Zakon o varstvu okolja (Uradni list RS, št. 44/22, 18/23 – ZDU-1O in 78/23 – ZUNPEOVE) v 1. točki prvega odstavka 232. člena določa obvezno državno gospodarsko javno službo varstva okolja sežiganje določenih vrst komunalnih odpadkov in v devetem odstavku, da Vlada Republike Slovenije podrobneje predpiše dejavnosti in določi način opravljanja obvezne gospodarske javne službe skladno z zakonom. </w:t>
      </w:r>
    </w:p>
    <w:p w14:paraId="3327EF01"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To področje trenutno ureja Uredba o opravljanju obvezne državne gospodarske javne službe sežiganja komunalnih odpadkov (Uradni list RS, št. 67/22), ki jo nadomesti predlagani predpis.</w:t>
      </w:r>
    </w:p>
    <w:p w14:paraId="1E08C904"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Z osnutkom Uredbe o opravljanju obvezne državne gospodarske javne službe sežiganja komunalnih odpadkov (v nadaljnjem besedilu: gospodarska javna služba) se podrobneje predpisuje dejavnost opravljanja gospodarske javne službe, določa način njenega opravljanja, pogoje za zagotavljanje in uporabo storitev javne službe, pravice in obveznosti uporabnikov, druge elemente, pomembne za opravljanje gospodarske javne službe, finančno jamstvo za opravljanje dejavnosti gospodarske javne službe in oblikovanje cene storitev gospodarske javne službe.</w:t>
      </w:r>
    </w:p>
    <w:p w14:paraId="52145526"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Osnutek uredbe je tudi koncesijski akt, s katerim se določijo predmet in pogoji za podelitev koncesije za izvajanje gospodarske javne službe in predpišejo razlogi za odvzem koncesije.</w:t>
      </w:r>
    </w:p>
    <w:p w14:paraId="71138392"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S to uredbo želi Republika Slovenija zagotoviti izgradnjo primernih objektov, ki bodo omogočali sežig gorljivih komunalnih odpadkov, nastalih na ozemlju RS, primernih za energijsko izrabo ter tako poleg ostalega povišali prepotrebno samozadostnost in prilagodljivost države na  področju ravnanja z odpadki.</w:t>
      </w:r>
    </w:p>
    <w:p w14:paraId="14AB600B"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RS na področju predelave in odstranjevanja odpadkov s termično obdelavo namreč ni samozadostna in je odvisna od objektov v tujini, kar potrjuje podatek o izvozu v postopke termične obdelave v tujino približno 165.000 ton (gorivo iz odpadkov 19 12 10 in drugih odpadkov iz mehanske obdelave odpadkov s številko 19 12 12, ki so gorljivi) leta 2017, v letu 2021 pa ta količina že presegla 212.000 ton (od tega 173.160 t  odpadka z oznako 19 12 12)</w:t>
      </w:r>
    </w:p>
    <w:p w14:paraId="0D903DF9"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Ker je edina trenutno delujoča namenska naprava za termično obdelavo gorljivih </w:t>
      </w:r>
      <w:proofErr w:type="spellStart"/>
      <w:r w:rsidRPr="00B775DE">
        <w:rPr>
          <w:rFonts w:ascii="Arial" w:eastAsia="Times New Roman" w:hAnsi="Arial" w:cs="Times New Roman"/>
          <w:kern w:val="0"/>
          <w:sz w:val="20"/>
          <w:szCs w:val="24"/>
        </w:rPr>
        <w:t>nereciklabilnih</w:t>
      </w:r>
      <w:proofErr w:type="spellEnd"/>
      <w:r w:rsidRPr="00B775DE">
        <w:rPr>
          <w:rFonts w:ascii="Arial" w:eastAsia="Times New Roman" w:hAnsi="Arial" w:cs="Times New Roman"/>
          <w:kern w:val="0"/>
          <w:sz w:val="20"/>
          <w:szCs w:val="24"/>
        </w:rPr>
        <w:t xml:space="preserve"> odpadkov iz mehanske obdelave komunalnih odpadkov v letu 2021 sprejela 24.886,89 t tovrstnih odpadkov to pomeni, da je bilo v tem letu pokritih manj kot 15 odstotkov potreb in posledično samozadostnost Slovenije na tem področju ni zagotovljena. </w:t>
      </w:r>
    </w:p>
    <w:p w14:paraId="71A620DE"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Logistične težave pri čezmejnem premeščanju odpadkov na energetsko izrabo odpadkov v tujino (težave s pridobivanjem soglasij, zmanjšana ponudba prostih kapacitet) so to problematiko še nekoliko zaostrile, zato so se ti odpadki začeli prekomerno kopičiti in neustrezno skladiščiti na različnih lokacijah po Sloveniji. </w:t>
      </w:r>
    </w:p>
    <w:p w14:paraId="0D47D352"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Pri nadaljevanju teh trendov je možno pričakovati škodljive vplive tako na okolje kot na zdravje ljudi zaradi kopičenja gorljivih odpadkov pri izvajalcih obdelave mešanih komunalnih odpadkov ali njihovega odlaganja v nasprotju s sprejetimi pravili.</w:t>
      </w:r>
    </w:p>
    <w:p w14:paraId="1782AF35"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Postopki termične obdelave odpadkov imajo v hierarhiji ravnanja z odpadki prednost pred odstranjevanjem s postopkom odlaganja, hierarhična prednost pa je dana preprečevanju nastajanja, ponovni uporabi in recikliranju odpadkov. Slovenija ne sledi praksam »tradicionalno sežigalniških« držav, kjer so mešani komunalni odpadki sežgani brez ali z minimalno stopnjo obdelave. Vzpostavljena je infrastruktura centrov za ravnanje s komunalnimi odpadki, v katerih </w:t>
      </w:r>
      <w:r w:rsidRPr="00B775DE">
        <w:rPr>
          <w:rFonts w:ascii="Arial" w:eastAsia="Times New Roman" w:hAnsi="Arial" w:cs="Times New Roman"/>
          <w:kern w:val="0"/>
          <w:sz w:val="20"/>
          <w:szCs w:val="24"/>
        </w:rPr>
        <w:lastRenderedPageBreak/>
        <w:t>se mešani komunalni odpadki mehansko in biološko obdelajo, pri čemer so frakcije odpadkov, primernih za recikliranje v okviru izvajanja javne službe obdelave komunalnih odpadkov, izločene iz toka odpadkov in predane v postopke nadaljnje predelave.</w:t>
      </w:r>
    </w:p>
    <w:p w14:paraId="0B88437F"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V postopke termične obdelave bodo v okviru javne službe zato usmerjeni le odpadki oz. frakcije, ki jih ni možno reciklirati in presegajo parametre za odlaganje na odlagališčih za nenevarne odpadke.</w:t>
      </w:r>
    </w:p>
    <w:p w14:paraId="05921E4E"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Skladno z dokumentom Komisije COM(2017) 34 </w:t>
      </w:r>
      <w:proofErr w:type="spellStart"/>
      <w:r w:rsidRPr="00B775DE">
        <w:rPr>
          <w:rFonts w:ascii="Arial" w:eastAsia="Times New Roman" w:hAnsi="Arial" w:cs="Times New Roman"/>
          <w:kern w:val="0"/>
          <w:sz w:val="20"/>
          <w:szCs w:val="24"/>
        </w:rPr>
        <w:t>final</w:t>
      </w:r>
      <w:proofErr w:type="spellEnd"/>
      <w:r w:rsidRPr="00B775DE">
        <w:rPr>
          <w:rFonts w:ascii="Arial" w:eastAsia="Times New Roman" w:hAnsi="Arial" w:cs="Times New Roman"/>
          <w:kern w:val="0"/>
          <w:sz w:val="20"/>
          <w:szCs w:val="24"/>
        </w:rPr>
        <w:t xml:space="preserve"> bi morale države članice pri pregledu nacionalnih načrtov za ravnanje z odpadki in ocenjevanju potrebe po dodatni zmogljivosti za pridobivanje energije iz odpadkov za obdelavo odpadkov, ki jih ni mogoče reciklirati (npr. sežiganje), upoštevati dolgoročno perspektivo ter natančno proučiti naslednje dejavnike:</w:t>
      </w:r>
    </w:p>
    <w:p w14:paraId="51A14E88"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vpliv obstoječih in predlaganih obveznosti ločenega zbiranja in ciljev glede recikliranja na razpoložljivost surovin za obratovanje novih sežigalnic v njihovi celotni življenjski dobi (20–30 let);</w:t>
      </w:r>
    </w:p>
    <w:p w14:paraId="344E9A16"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razpoložljivo zmogljivost za </w:t>
      </w:r>
      <w:proofErr w:type="spellStart"/>
      <w:r w:rsidRPr="00B775DE">
        <w:rPr>
          <w:rFonts w:ascii="Arial" w:eastAsia="Times New Roman" w:hAnsi="Arial" w:cs="Times New Roman"/>
          <w:kern w:val="0"/>
          <w:sz w:val="20"/>
          <w:szCs w:val="24"/>
        </w:rPr>
        <w:t>sosežiganje</w:t>
      </w:r>
      <w:proofErr w:type="spellEnd"/>
      <w:r w:rsidRPr="00B775DE">
        <w:rPr>
          <w:rFonts w:ascii="Arial" w:eastAsia="Times New Roman" w:hAnsi="Arial" w:cs="Times New Roman"/>
          <w:kern w:val="0"/>
          <w:sz w:val="20"/>
          <w:szCs w:val="24"/>
        </w:rPr>
        <w:t xml:space="preserve"> v kurilnih napravah ter v cementnih in apnenih pečeh ali pri drugih ustreznih industrijskih postopkih ter </w:t>
      </w:r>
    </w:p>
    <w:p w14:paraId="467A204C"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načrtovano ali obstoječo zmogljivost v sosednjih državah.</w:t>
      </w:r>
    </w:p>
    <w:p w14:paraId="5635E970"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Glede na naštete dejavnike pri ocenjevanju potrebe po dodatni zmogljivosti naprav za pridobivanje energije iz odpadkov, ki jih ni mogoče reciklirati, ugotavljamo:</w:t>
      </w:r>
    </w:p>
    <w:p w14:paraId="6D4941C1"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vpliv obstoječih in predlaganih obveznosti ločenega zbiranja in ciljev glede recikliranja na razpoložljivost surovin za obratovanje novih naprav v njihovi celotni življenjski dobi je upoštevan. V tem programu je upoštevan model (scenarij) doseganja ciljev recikliranja za Slovenijo, ki je na podlagi podatkov izhodiščnega leta 2021 realno izvedljiv, s poudarkom na potencialu možnega recikliranja komunalnih odpadkov in z določeno maksimalno količino sežiganja komunalnih odpadkov. Tudi ob doseženih ciljih recikliranja bo količina goriva iz komunalnih odpadkov, izračunana za leto 2030, ustrezno visoka, da bo zagotovljeno obratovanje vseh obstoječih in novih naprav;</w:t>
      </w:r>
    </w:p>
    <w:p w14:paraId="2E6C81AD"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razpoložljiva zmogljivost za </w:t>
      </w:r>
      <w:proofErr w:type="spellStart"/>
      <w:r w:rsidRPr="00B775DE">
        <w:rPr>
          <w:rFonts w:ascii="Arial" w:eastAsia="Times New Roman" w:hAnsi="Arial" w:cs="Times New Roman"/>
          <w:kern w:val="0"/>
          <w:sz w:val="20"/>
          <w:szCs w:val="24"/>
        </w:rPr>
        <w:t>sosežiganje</w:t>
      </w:r>
      <w:proofErr w:type="spellEnd"/>
      <w:r w:rsidRPr="00B775DE">
        <w:rPr>
          <w:rFonts w:ascii="Arial" w:eastAsia="Times New Roman" w:hAnsi="Arial" w:cs="Times New Roman"/>
          <w:kern w:val="0"/>
          <w:sz w:val="20"/>
          <w:szCs w:val="24"/>
        </w:rPr>
        <w:t xml:space="preserve"> v kurilnih napravah ter v cementnih in apnenih pečeh ali pri drugih ustreznih industrijskih postopkih ni v celoti na voljo, poleg tega je treba upoštevati, da se bo zaradi boljšega ločevanja in višje stopnje recikliranja zniževala tudi kalorična vrednost </w:t>
      </w:r>
      <w:bookmarkStart w:id="57" w:name="_Hlk179324694"/>
      <w:r w:rsidRPr="00B775DE">
        <w:rPr>
          <w:rFonts w:ascii="Arial" w:eastAsia="Times New Roman" w:hAnsi="Arial" w:cs="Times New Roman"/>
          <w:kern w:val="0"/>
          <w:sz w:val="20"/>
          <w:szCs w:val="24"/>
        </w:rPr>
        <w:t>gorljivih odpadkov</w:t>
      </w:r>
      <w:bookmarkEnd w:id="57"/>
      <w:r w:rsidRPr="00B775DE">
        <w:rPr>
          <w:rFonts w:ascii="Arial" w:eastAsia="Times New Roman" w:hAnsi="Arial" w:cs="Times New Roman"/>
          <w:kern w:val="0"/>
          <w:sz w:val="20"/>
          <w:szCs w:val="24"/>
        </w:rPr>
        <w:t xml:space="preserve">, nastalih z mehansko obdelavo mešanih komunalnih odpadkov (ocena zniževanja s 16 MJ/kg na 11 MJ/kg), in bo posledično še težje najti rešitev za predelavo v industrijskih napravah, ki za </w:t>
      </w:r>
      <w:proofErr w:type="spellStart"/>
      <w:r w:rsidRPr="00B775DE">
        <w:rPr>
          <w:rFonts w:ascii="Arial" w:eastAsia="Times New Roman" w:hAnsi="Arial" w:cs="Times New Roman"/>
          <w:kern w:val="0"/>
          <w:sz w:val="20"/>
          <w:szCs w:val="24"/>
        </w:rPr>
        <w:t>sosežig</w:t>
      </w:r>
      <w:proofErr w:type="spellEnd"/>
      <w:r w:rsidRPr="00B775DE">
        <w:rPr>
          <w:rFonts w:ascii="Arial" w:eastAsia="Times New Roman" w:hAnsi="Arial" w:cs="Times New Roman"/>
          <w:kern w:val="0"/>
          <w:sz w:val="20"/>
          <w:szCs w:val="24"/>
        </w:rPr>
        <w:t xml:space="preserve"> pričakujejo visokokakovostno (in kalorično) gorivo;</w:t>
      </w:r>
    </w:p>
    <w:p w14:paraId="13B7875E"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ob upoštevanju zmogljivosti za energetsko izrabo odpadkov v sosednjih državah je treba upoštevati tudi dejstvo, da se dostop do teh naprav zaradi ohranjanja samozadostnosti v sprejemnih državah omejuje. Kot navedeno v prejšnjem odstavku, bo znižana kalorična vrednost goriva zaradi boljše stopnje recikliranja odpadkov predstavljala težavo pri pošiljanju teh odpadkov na obdelavo v industrijske naprave zunaj Slovenije. Prav tako ni zanemarljiv vpliv transporta. Ocenjena količina gorljivih odpadkov, nastalih z mehansko obdelavo komunalnih odpadkov in poslanih na postopke (termične) predelave oziroma odstranjevanja zunaj Slovenije (173.000 ton), predstavlja 8.600 vozil letno za transport odpadkov na relaciji do povprečne lokacije naprave za termično obdelavo, oddaljeni 420 kilometrov.</w:t>
      </w:r>
    </w:p>
    <w:p w14:paraId="02D0D980" w14:textId="77777777" w:rsidR="00E65191" w:rsidRPr="00B775DE" w:rsidRDefault="00E65191" w:rsidP="00E65191">
      <w:pPr>
        <w:spacing w:after="0" w:line="260" w:lineRule="atLeast"/>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Vsebina Uredbe:</w:t>
      </w:r>
    </w:p>
    <w:p w14:paraId="2134A765" w14:textId="77777777" w:rsidR="00E65191" w:rsidRPr="00B775DE" w:rsidRDefault="00E65191" w:rsidP="00E65191">
      <w:pPr>
        <w:spacing w:after="0" w:line="260" w:lineRule="atLeast"/>
        <w:jc w:val="both"/>
        <w:rPr>
          <w:rFonts w:ascii="Arial" w:eastAsia="Times New Roman" w:hAnsi="Arial" w:cs="Times New Roman"/>
          <w:b/>
          <w:kern w:val="0"/>
          <w:sz w:val="20"/>
          <w:szCs w:val="24"/>
        </w:rPr>
      </w:pPr>
    </w:p>
    <w:p w14:paraId="7C068164" w14:textId="77777777" w:rsidR="00E65191" w:rsidRPr="00B775DE" w:rsidRDefault="00E65191" w:rsidP="00E65191">
      <w:pPr>
        <w:numPr>
          <w:ilvl w:val="0"/>
          <w:numId w:val="13"/>
        </w:num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V osnutku novega predpisa (6. ČLEN) je letna količina odpadkov za obdelavo v okviru javne službe 140.000 ton. V uredbi sprejeti maja 2022 je predvidena količina za izvajanje javne službe določena na 180.000 t letno</w:t>
      </w:r>
    </w:p>
    <w:p w14:paraId="209ED6E9"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Količine predvidene za javno službo izhajajo iz Programa ravnanja z odpadki in program preprečevanja odpadkov Republike Slovenije 2022 (OPRO 2022), ki ga je MOP pripravilo za izvrševanje obveznosti iz predpisov EU, ki se nanašajo na oblikovanje programov na področju varstva okolja. Program sledi strateškim usmeritvam evropskih politik, ki ob poudarjanju preprečevanja nastajanja odpadkov dajejo prednost pripravi odpadkov za ponovno uporabo in njihovemu recikliranju pred energetsko predelavo odpadkov, predelavi odpadkov pa prednost pred njihovim odstranjevanjem, če in kjer je to najboljša možnost z vidika varstva okolja, ob upoštevanju tehnične izvedljivosti in ekonomske smiselnosti.</w:t>
      </w:r>
    </w:p>
    <w:p w14:paraId="08A76C9C" w14:textId="77777777" w:rsidR="00E65191" w:rsidRPr="00B775DE" w:rsidRDefault="00E65191" w:rsidP="00E65191">
      <w:pPr>
        <w:spacing w:after="0" w:line="260" w:lineRule="atLeast"/>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V tem programu je za ravnanje s komunalnimi odpadki predviden scenarij izvedljivega obsega priprave za ponovno uporabo in recikliranja komunalnih odpadkov, ki je ciljni scenarij za Slovenijo in na podlagi podatkov izhodiščnega leta 2019 realno izvedljiv, s poudarkom na potencialu možnega recikliranja komunalnih odpadkov in z določeno maksimalno količino sežiganja komunalnih odpadkov. Scenarij ob upoštevanju ukrepov tega programa zagotavlja, da bo Slovenija dosegla vse EU </w:t>
      </w:r>
      <w:proofErr w:type="spellStart"/>
      <w:r w:rsidRPr="00B775DE">
        <w:rPr>
          <w:rFonts w:ascii="Arial" w:eastAsia="Times New Roman" w:hAnsi="Arial" w:cs="Times New Roman"/>
          <w:kern w:val="0"/>
          <w:sz w:val="20"/>
          <w:szCs w:val="24"/>
        </w:rPr>
        <w:t>okoljske</w:t>
      </w:r>
      <w:proofErr w:type="spellEnd"/>
      <w:r w:rsidRPr="00B775DE">
        <w:rPr>
          <w:rFonts w:ascii="Arial" w:eastAsia="Times New Roman" w:hAnsi="Arial" w:cs="Times New Roman"/>
          <w:kern w:val="0"/>
          <w:sz w:val="20"/>
          <w:szCs w:val="24"/>
        </w:rPr>
        <w:t xml:space="preserve"> cilje s področja ravnanja s komunalnimi odpadki.</w:t>
      </w:r>
    </w:p>
    <w:p w14:paraId="19FE467C"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OPRO pa je bil v zvezi z določitvijo največjih letnih količin gorljivih komunalnih odpadkov za izvedbo gospodarske javne službe sežiganja komunalnih odpadkov dopolnjen </w:t>
      </w:r>
      <w:bookmarkStart w:id="58" w:name="_Hlk189732614"/>
      <w:r w:rsidRPr="00B775DE">
        <w:rPr>
          <w:rFonts w:ascii="Arial" w:eastAsia="Times New Roman" w:hAnsi="Arial" w:cs="Times New Roman"/>
          <w:kern w:val="0"/>
          <w:sz w:val="20"/>
          <w:szCs w:val="24"/>
        </w:rPr>
        <w:t xml:space="preserve">z analizo ravnanja s komunalnimi odpadki za leto 2021. </w:t>
      </w:r>
      <w:bookmarkEnd w:id="58"/>
    </w:p>
    <w:p w14:paraId="4AE2C429" w14:textId="77777777" w:rsidR="00E65191" w:rsidRPr="00B775DE" w:rsidRDefault="00E65191" w:rsidP="00E65191">
      <w:pPr>
        <w:spacing w:after="0" w:line="260" w:lineRule="atLeast"/>
        <w:rPr>
          <w:rFonts w:ascii="Arial" w:eastAsia="Times New Roman" w:hAnsi="Arial" w:cs="Times New Roman"/>
          <w:kern w:val="0"/>
          <w:sz w:val="20"/>
          <w:szCs w:val="24"/>
        </w:rPr>
      </w:pPr>
    </w:p>
    <w:p w14:paraId="788C2CD0"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noProof/>
          <w:kern w:val="0"/>
          <w:sz w:val="20"/>
          <w:szCs w:val="24"/>
          <w:lang w:eastAsia="sl-SI"/>
        </w:rPr>
        <w:drawing>
          <wp:inline distT="0" distB="0" distL="0" distR="0" wp14:anchorId="51278878" wp14:editId="74AB3EB4">
            <wp:extent cx="5937885" cy="4017645"/>
            <wp:effectExtent l="0" t="0" r="5715" b="1905"/>
            <wp:docPr id="189239146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885" cy="4017645"/>
                    </a:xfrm>
                    <a:prstGeom prst="rect">
                      <a:avLst/>
                    </a:prstGeom>
                    <a:noFill/>
                  </pic:spPr>
                </pic:pic>
              </a:graphicData>
            </a:graphic>
          </wp:inline>
        </w:drawing>
      </w:r>
    </w:p>
    <w:p w14:paraId="34A01230" w14:textId="77777777" w:rsidR="00E65191" w:rsidRPr="00B775DE" w:rsidRDefault="00E65191" w:rsidP="00E65191">
      <w:pPr>
        <w:spacing w:after="0" w:line="260" w:lineRule="atLeast"/>
        <w:rPr>
          <w:rFonts w:ascii="Arial" w:eastAsia="Times New Roman" w:hAnsi="Arial" w:cs="Times New Roman"/>
          <w:kern w:val="0"/>
          <w:sz w:val="20"/>
          <w:szCs w:val="24"/>
        </w:rPr>
      </w:pPr>
    </w:p>
    <w:p w14:paraId="7BE68131"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Pri določanju količin (največ 140.000 ton za izvajanje javne službe in največ 80.000 t kot presežek za izvedbo posebnih storitev), smo upoštevali:</w:t>
      </w:r>
    </w:p>
    <w:p w14:paraId="54F73920"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Uveljavitev Uredbe o zmanjšanju vpliva nekaterih plastičnih proizvodov na okolje</w:t>
      </w:r>
    </w:p>
    <w:p w14:paraId="2B575213"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Uredbo (EU) o embalaži in odpadni embalaži, ki je sicer v fazi predloga vendar lahko pričakujemo sprejem pred postavitvijo dodatnih naprav. Cilj predloga uredbe je zaustaviti in obrniti letni trend naraščanja količine odpadne embalaže. Zajete so prepovedi določenih oblik  embalaže, ukrepi za spodbujanje omogočanja embalaže primerne za ponovno uporabo ali ponovno polnjenje, določila o minimalni vsebnosti recikliranih materialov, uvedba kavcijskega sistema za plastenke in pločevinke, </w:t>
      </w:r>
    </w:p>
    <w:p w14:paraId="4FF46763"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Predlog direktive Evropskega parlamenta in Sveta o spremembi Direktive 2008/98/ES o odpadkih ki je bil pripravljen v luči nujnih prizadevanj za preprečevanje odpadnega tekstila in odpadne hrane ter učinkovitega ravnanja s tema tokovoma odpadkov. Glede na študijo Skupnega raziskovalnega središča (JRC) se trenutno približno 78 % </w:t>
      </w:r>
      <w:proofErr w:type="spellStart"/>
      <w:r w:rsidRPr="00B775DE">
        <w:rPr>
          <w:rFonts w:ascii="Arial" w:eastAsia="Times New Roman" w:hAnsi="Arial" w:cs="Times New Roman"/>
          <w:kern w:val="0"/>
          <w:sz w:val="20"/>
          <w:szCs w:val="24"/>
        </w:rPr>
        <w:t>popotrošniškega</w:t>
      </w:r>
      <w:proofErr w:type="spellEnd"/>
      <w:r w:rsidRPr="00B775DE">
        <w:rPr>
          <w:rFonts w:ascii="Arial" w:eastAsia="Times New Roman" w:hAnsi="Arial" w:cs="Times New Roman"/>
          <w:kern w:val="0"/>
          <w:sz w:val="20"/>
          <w:szCs w:val="24"/>
        </w:rPr>
        <w:t xml:space="preserve"> odpadnega tekstila, ki zajema oblačila in obutev, tekstil iz gospodinjstev in tehnične tekstilne izdelke, ne zbira ločeno in konča v mešanih gospodinjskih odpadkih, namenjenih sežiganju ali odlaganju na odlagališčih. </w:t>
      </w:r>
    </w:p>
    <w:p w14:paraId="6E2F1B8D"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Po oceni Skupnega raziskovalnega središča EU se trenutno se reciklira manj kot 1 % tekstilnih odpadkov. Pri tem se mehansko recikliranje v zaprti zanki izvaja z najčistejšimi in </w:t>
      </w:r>
      <w:r w:rsidRPr="00B775DE">
        <w:rPr>
          <w:rFonts w:ascii="Arial" w:eastAsia="Times New Roman" w:hAnsi="Arial" w:cs="Times New Roman"/>
          <w:kern w:val="0"/>
          <w:sz w:val="20"/>
          <w:szCs w:val="24"/>
        </w:rPr>
        <w:lastRenderedPageBreak/>
        <w:t>najbolj homogenimi tekstilnimi odpadki. Na trgu prevladujejo sintetična vlakna (približno 64 %); 60 70 % vlaken na trgu je mešanih. Medtem ko je obdelava mešanic z mehanskim recikliranjem zelo omejena lahko kemično recikliranje obdela kompleksne in mešane tekstilne odpadke.</w:t>
      </w:r>
    </w:p>
    <w:p w14:paraId="2040E137"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Ukrepe za doseganje ciljev Programa preprečevanja odpadkov (tabela 106 OPRO), ki vodijo v zmanjšanje količine odpadkov v gospodinjstvih.</w:t>
      </w:r>
    </w:p>
    <w:p w14:paraId="740CD185"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Ukrepe Programa ravnanja z odpadki za doseganje ciljev zbiranja, recikliranja in odlaganja odpadkov (tabela 107 OPRO) med drugim uvedba dodatnih ukrepov v občinah, kjer izvajanje obvezne občinske gospodarske javne službe zbiranja komunalnih odpadkov (v nadaljnjem besedilu: javna služba zbiranja) izkazuje podpovprečne rezultate pri ločenem zbiranju komunalnih odpadkov. Izmenjava dobrih praks.</w:t>
      </w:r>
    </w:p>
    <w:p w14:paraId="2ACED3A7"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Dejstvo, da je osnovna naloga izvajalcev GJS obdelave določenih vrst komunalnih odpadkov obdelava MKO. Ločeno zbrane frakcije komunalnih odpadkov ne končajo nujno v regijskih centrih saj zakonodaja izvajalcem javnih služb zbiranja omogoča, da ločeno zbrane frakcije oddajajo neposredno osebam vpisanim v evidenco zbiralcev oziroma osebam z OVD za predelavo teh odpadkov.</w:t>
      </w:r>
    </w:p>
    <w:p w14:paraId="5B9A7CB7"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 xml:space="preserve">kemična reciklaža </w:t>
      </w:r>
    </w:p>
    <w:p w14:paraId="50AF6A85" w14:textId="77777777" w:rsidR="00E65191" w:rsidRPr="00B775DE" w:rsidRDefault="00E65191" w:rsidP="00E65191">
      <w:p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Izvedbeni akti nekaterih evropskih predpisov (SUP, Uredba o plastičnih materialih za stik z živili, …) poleg mehanskega recikliranja že vsebujejo tudi dodatne vrste recikliranja vključno s kemičnim recikliranjem. V postopkih kot so </w:t>
      </w:r>
      <w:proofErr w:type="spellStart"/>
      <w:r w:rsidRPr="00B775DE">
        <w:rPr>
          <w:rFonts w:ascii="Arial" w:eastAsia="Times New Roman" w:hAnsi="Arial" w:cs="Times New Roman"/>
          <w:kern w:val="0"/>
          <w:sz w:val="20"/>
          <w:szCs w:val="24"/>
        </w:rPr>
        <w:t>depoleimerizacija</w:t>
      </w:r>
      <w:proofErr w:type="spellEnd"/>
      <w:r w:rsidRPr="00B775DE">
        <w:rPr>
          <w:rFonts w:ascii="Arial" w:eastAsia="Times New Roman" w:hAnsi="Arial" w:cs="Times New Roman"/>
          <w:kern w:val="0"/>
          <w:sz w:val="20"/>
          <w:szCs w:val="24"/>
        </w:rPr>
        <w:t xml:space="preserve">, piroliza, … lahko kot produkt nastaja gorivo (kar ni opredeljeno kot recikliranje) ali surovina, ki je osnova za izdelavo novih izdelkov iz plastike (v tem primeru je postopek opredeljen kot recikliranje). Združenje PLASTICS EUROPE napoveduje obsežne investicije (2,6 MRD EUR do 2025) v obrate za kemično reciklažo (vir </w:t>
      </w:r>
      <w:hyperlink r:id="rId13" w:history="1">
        <w:r w:rsidRPr="00B775DE">
          <w:rPr>
            <w:rFonts w:ascii="Arial" w:eastAsia="Times New Roman" w:hAnsi="Arial" w:cs="Times New Roman"/>
            <w:color w:val="0000FF"/>
            <w:kern w:val="0"/>
            <w:sz w:val="20"/>
            <w:szCs w:val="24"/>
            <w:u w:val="single"/>
          </w:rPr>
          <w:t>https://plasticseurope.org</w:t>
        </w:r>
      </w:hyperlink>
      <w:r w:rsidRPr="00B775DE">
        <w:rPr>
          <w:rFonts w:ascii="Arial" w:eastAsia="Times New Roman" w:hAnsi="Arial" w:cs="Times New Roman"/>
          <w:kern w:val="0"/>
          <w:sz w:val="20"/>
          <w:szCs w:val="24"/>
        </w:rPr>
        <w:t>). Zato lahko pričakujemo, da bo nereciklabilni del plastičnih odpadkov preusmerjen v te postopke.</w:t>
      </w:r>
    </w:p>
    <w:p w14:paraId="74965BB0" w14:textId="77777777" w:rsidR="00E65191" w:rsidRPr="00B775DE" w:rsidRDefault="00E65191" w:rsidP="00E65191">
      <w:pPr>
        <w:numPr>
          <w:ilvl w:val="0"/>
          <w:numId w:val="12"/>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Prav tako je v uredbi, ki ureja zbiranje komunalnih odpadkov določena obveznost izvajalca, da v zbirnem centru omogoči izvajalcu priprave za ponovno uporabo, da vsaj iz prevzetega odpadnega tekstila, oblačil in kosovnih odpadkov izloči odpadke, primerne za pripravo za ponovno uporabo, in mu jih odda.</w:t>
      </w:r>
    </w:p>
    <w:p w14:paraId="474853F1" w14:textId="77777777" w:rsidR="00E65191" w:rsidRPr="00B775DE" w:rsidRDefault="00E65191" w:rsidP="00E65191">
      <w:pPr>
        <w:numPr>
          <w:ilvl w:val="0"/>
          <w:numId w:val="13"/>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Osnutek vsebuje tudi metodologijo določanja cen storitev javne službe (13. - 22. ČLEN) s poudarkom, da morajo prihodki prodaje nastale toplote, elektrike in morebitnih posebnih storitev prispevati k zmanjševanju izračunane lastne cene. Uredba vsebuje člene, ki določajo metodologijo za oblikovanje cene storitve javne službe in poročanje v zvezi s tem. Dodana je tudi določba o finančnem jamstvu (36. ČLEN) za zavarovanje izvedbe ukrepov, ki jih mora upravljavec izvajati v primeru prekomerne obremenitve okolja. </w:t>
      </w:r>
    </w:p>
    <w:p w14:paraId="3CC918B2" w14:textId="77777777" w:rsidR="00E65191" w:rsidRPr="00B775DE" w:rsidRDefault="00E65191" w:rsidP="00E65191">
      <w:pPr>
        <w:numPr>
          <w:ilvl w:val="0"/>
          <w:numId w:val="13"/>
        </w:numPr>
        <w:overflowPunct w:val="0"/>
        <w:autoSpaceDE w:val="0"/>
        <w:autoSpaceDN w:val="0"/>
        <w:adjustRightInd w:val="0"/>
        <w:spacing w:after="0" w:line="260" w:lineRule="exact"/>
        <w:textAlignment w:val="baseline"/>
        <w:rPr>
          <w:rFonts w:ascii="Arial" w:eastAsia="Times New Roman" w:hAnsi="Arial" w:cs="Times New Roman"/>
          <w:kern w:val="0"/>
          <w:sz w:val="20"/>
          <w:szCs w:val="24"/>
        </w:rPr>
      </w:pPr>
      <w:r w:rsidRPr="00B775DE">
        <w:rPr>
          <w:rFonts w:ascii="Arial" w:eastAsia="Times New Roman" w:hAnsi="Arial" w:cs="Times New Roman"/>
          <w:kern w:val="0"/>
          <w:sz w:val="20"/>
          <w:szCs w:val="24"/>
        </w:rPr>
        <w:t>Med merili za izbor koncesionarja v konkurenčnem postopku je dodana ocena osnovnih značilnosti lokacije predvidene sežigalnice na podlagi gostote naseljenosti, geografske lege in meteoroloških pogojev ter obstoječega stanja okolja.</w:t>
      </w:r>
    </w:p>
    <w:p w14:paraId="09C53DD5" w14:textId="77777777" w:rsidR="00E65191" w:rsidRPr="00B775DE" w:rsidRDefault="00E65191" w:rsidP="00E65191">
      <w:pPr>
        <w:numPr>
          <w:ilvl w:val="0"/>
          <w:numId w:val="13"/>
        </w:numPr>
        <w:spacing w:after="0" w:line="260" w:lineRule="atLeast"/>
        <w:rPr>
          <w:rFonts w:ascii="Arial" w:eastAsia="Times New Roman" w:hAnsi="Arial" w:cs="Times New Roman"/>
          <w:kern w:val="0"/>
          <w:sz w:val="20"/>
          <w:szCs w:val="24"/>
        </w:rPr>
      </w:pPr>
      <w:r w:rsidRPr="00B775DE">
        <w:rPr>
          <w:rFonts w:ascii="Arial" w:eastAsia="Times New Roman" w:hAnsi="Arial" w:cs="Times New Roman"/>
          <w:kern w:val="0"/>
          <w:sz w:val="20"/>
          <w:szCs w:val="24"/>
        </w:rPr>
        <w:t>Omejena je tudi maksimalna kapaciteta novih naprav. (29. ČLEN, veljavna uredba tega določila ne vsebuje)</w:t>
      </w:r>
    </w:p>
    <w:p w14:paraId="6EE1CDB2" w14:textId="77777777" w:rsidR="00E65191" w:rsidRPr="00B775DE" w:rsidRDefault="00E65191" w:rsidP="00E65191">
      <w:pPr>
        <w:spacing w:after="0" w:line="260" w:lineRule="atLeast"/>
        <w:rPr>
          <w:rFonts w:ascii="Arial" w:eastAsia="Times New Roman" w:hAnsi="Arial" w:cs="Times New Roman"/>
          <w:kern w:val="0"/>
          <w:sz w:val="20"/>
          <w:szCs w:val="24"/>
        </w:rPr>
      </w:pPr>
    </w:p>
    <w:p w14:paraId="679D2424" w14:textId="77777777" w:rsidR="00E65191" w:rsidRPr="00B775DE" w:rsidRDefault="00E65191" w:rsidP="00E65191">
      <w:pPr>
        <w:tabs>
          <w:tab w:val="left" w:pos="284"/>
          <w:tab w:val="right" w:pos="9638"/>
        </w:tabs>
        <w:spacing w:before="240" w:after="240" w:line="240" w:lineRule="auto"/>
        <w:jc w:val="both"/>
        <w:rPr>
          <w:rFonts w:ascii="Arial" w:eastAsia="Times New Roman" w:hAnsi="Arial" w:cs="Arial"/>
          <w:b/>
          <w:bCs/>
          <w:kern w:val="0"/>
          <w:sz w:val="20"/>
          <w:szCs w:val="20"/>
        </w:rPr>
      </w:pPr>
      <w:r w:rsidRPr="00B775DE">
        <w:rPr>
          <w:rFonts w:ascii="Arial" w:eastAsia="Times New Roman" w:hAnsi="Arial" w:cs="Arial"/>
          <w:b/>
          <w:bCs/>
          <w:kern w:val="0"/>
          <w:sz w:val="20"/>
          <w:szCs w:val="20"/>
        </w:rPr>
        <w:t>II</w:t>
      </w:r>
      <w:bookmarkStart w:id="59" w:name="_Hlk180654679"/>
      <w:r w:rsidRPr="00B775DE">
        <w:rPr>
          <w:rFonts w:ascii="Arial" w:eastAsia="Times New Roman" w:hAnsi="Arial" w:cs="Arial"/>
          <w:b/>
          <w:bCs/>
          <w:kern w:val="0"/>
          <w:sz w:val="20"/>
          <w:szCs w:val="20"/>
        </w:rPr>
        <w:t>. VSEBINSKA OBRAZLOŽITEV PREDLAGANIH REŠITEV</w:t>
      </w:r>
    </w:p>
    <w:p w14:paraId="12806A4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637AAAB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I.</w:t>
      </w:r>
      <w:r w:rsidRPr="00B775DE">
        <w:rPr>
          <w:rFonts w:ascii="Arial" w:eastAsia="Times New Roman" w:hAnsi="Arial" w:cs="Times New Roman"/>
          <w:b/>
          <w:kern w:val="0"/>
          <w:sz w:val="20"/>
          <w:szCs w:val="24"/>
        </w:rPr>
        <w:tab/>
        <w:t>Splošne določbe</w:t>
      </w:r>
    </w:p>
    <w:p w14:paraId="73F3344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5429317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 členu</w:t>
      </w:r>
    </w:p>
    <w:p w14:paraId="4B5B08A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je določena vsebina uredbe, in sicer podrobnejša pravila za izvajanja obvezne gospodarske </w:t>
      </w:r>
      <w:proofErr w:type="spellStart"/>
      <w:r w:rsidRPr="00B775DE">
        <w:rPr>
          <w:rFonts w:ascii="Arial" w:eastAsia="Times New Roman" w:hAnsi="Arial" w:cs="Times New Roman"/>
          <w:kern w:val="0"/>
          <w:sz w:val="20"/>
          <w:szCs w:val="24"/>
        </w:rPr>
        <w:t>gospodarske</w:t>
      </w:r>
      <w:proofErr w:type="spellEnd"/>
      <w:r w:rsidRPr="00B775DE">
        <w:rPr>
          <w:rFonts w:ascii="Arial" w:eastAsia="Times New Roman" w:hAnsi="Arial" w:cs="Times New Roman"/>
          <w:kern w:val="0"/>
          <w:sz w:val="20"/>
          <w:szCs w:val="24"/>
        </w:rPr>
        <w:t xml:space="preserve"> javne službe, hkrati pa ta člen tudi določa, da je uredba tudi koncesijski akt za podelitev koncesije za izvajanje omenjene gospodarske javne službe. </w:t>
      </w:r>
    </w:p>
    <w:p w14:paraId="7E68D75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71B416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 členu</w:t>
      </w:r>
    </w:p>
    <w:p w14:paraId="0BA83FC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V tem členu je določen predmet gospodarske javne službe, in sicer vrste komunalnih odpadkov, ki se sežigajo v okviru gospodarske javne službe. Glede na to, da gre za gospodarsko javno gospodarsko službo, ta člen določa, da se lahko v okviru izvajanja gospodarske javne službe sežigajo samo odpadki, ki nastajajo na območju Republike Slovenije, in sicer le tisti, ki niso primerni za recikliranje. </w:t>
      </w:r>
    </w:p>
    <w:p w14:paraId="50A3230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D82F7A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b/>
          <w:kern w:val="0"/>
          <w:sz w:val="20"/>
          <w:szCs w:val="24"/>
        </w:rPr>
        <w:t>K 3. členu</w:t>
      </w:r>
    </w:p>
    <w:p w14:paraId="4463285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je določen pomen nekaterih izrazov, ki so uporabljeni v uredbi. </w:t>
      </w:r>
    </w:p>
    <w:p w14:paraId="2B0F82A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D14DE0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 členu</w:t>
      </w:r>
    </w:p>
    <w:p w14:paraId="74954D7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je določeno, kateri zakoni in podzakonski predpisi se uporabljajo za vprašanja, ki niso določena s to uredbo, so pa z njo povezana. </w:t>
      </w:r>
    </w:p>
    <w:p w14:paraId="1ECA83B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5A2AB14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II. Način opravljanja gospodarske javne službe</w:t>
      </w:r>
    </w:p>
    <w:p w14:paraId="32E0EA4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988AA0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1.</w:t>
      </w:r>
      <w:r w:rsidRPr="00B775DE">
        <w:rPr>
          <w:rFonts w:ascii="Arial" w:eastAsia="Times New Roman" w:hAnsi="Arial" w:cs="Times New Roman"/>
          <w:b/>
          <w:kern w:val="0"/>
          <w:sz w:val="20"/>
          <w:szCs w:val="24"/>
        </w:rPr>
        <w:tab/>
        <w:t>Organizacijska in prostorska zasnova opravljanja gospodarske javne službe</w:t>
      </w:r>
    </w:p>
    <w:p w14:paraId="0AF0325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3BC77B2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 členu</w:t>
      </w:r>
    </w:p>
    <w:p w14:paraId="6ECD9C8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V tem členu je določeno, da gospodarske javne službe ne bo izvajala država neposredno, temveč bo zanjo podelila koncesijo.</w:t>
      </w:r>
    </w:p>
    <w:p w14:paraId="60FADAC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tudi določa, prispevna območja, za katera se išče koncesionar, ki bo od posameznih centrov za ravnanje s komunalnimi odpadki v okviru javne službe prevzemal gorljive </w:t>
      </w:r>
      <w:proofErr w:type="spellStart"/>
      <w:r w:rsidRPr="00B775DE">
        <w:rPr>
          <w:rFonts w:ascii="Arial" w:eastAsia="Times New Roman" w:hAnsi="Arial" w:cs="Times New Roman"/>
          <w:kern w:val="0"/>
          <w:sz w:val="20"/>
          <w:szCs w:val="24"/>
        </w:rPr>
        <w:t>nereciklabilne</w:t>
      </w:r>
      <w:proofErr w:type="spellEnd"/>
      <w:r w:rsidRPr="00B775DE">
        <w:rPr>
          <w:rFonts w:ascii="Arial" w:eastAsia="Times New Roman" w:hAnsi="Arial" w:cs="Times New Roman"/>
          <w:kern w:val="0"/>
          <w:sz w:val="20"/>
          <w:szCs w:val="24"/>
        </w:rPr>
        <w:t xml:space="preserve"> komunalne odpadke.</w:t>
      </w:r>
    </w:p>
    <w:p w14:paraId="12A9031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Dovoljena oblika obdelave je predelava odpadkov po postopku R1 »Uporaba predvsem kot gorivo ali drugače za pridobivanje energije.</w:t>
      </w:r>
    </w:p>
    <w:p w14:paraId="78E8D65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774601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 členu</w:t>
      </w:r>
    </w:p>
    <w:p w14:paraId="66961B2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je določeno, da bodo gorljive komunalne odpadke na območju Republike Slovenije sežigale največ tri sežigalnice. </w:t>
      </w:r>
    </w:p>
    <w:p w14:paraId="279CA31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w:t>
      </w:r>
      <w:r w:rsidR="00BB0337">
        <w:rPr>
          <w:rFonts w:ascii="Arial" w:eastAsia="Times New Roman" w:hAnsi="Arial" w:cs="Times New Roman"/>
          <w:kern w:val="0"/>
          <w:sz w:val="20"/>
          <w:szCs w:val="24"/>
        </w:rPr>
        <w:t xml:space="preserve">z namenom doseganja ciljev recikliranja komunalnih odpadkov </w:t>
      </w:r>
      <w:r w:rsidR="00BB0337" w:rsidRPr="00B775DE">
        <w:rPr>
          <w:rFonts w:ascii="Arial" w:eastAsia="Times New Roman" w:hAnsi="Arial" w:cs="Times New Roman"/>
          <w:kern w:val="0"/>
          <w:sz w:val="20"/>
          <w:szCs w:val="24"/>
        </w:rPr>
        <w:t xml:space="preserve">iz Direktive 2008/98/ES </w:t>
      </w:r>
      <w:r w:rsidRPr="00B775DE">
        <w:rPr>
          <w:rFonts w:ascii="Arial" w:eastAsia="Times New Roman" w:hAnsi="Arial" w:cs="Times New Roman"/>
          <w:kern w:val="0"/>
          <w:sz w:val="20"/>
          <w:szCs w:val="24"/>
        </w:rPr>
        <w:t xml:space="preserve">določa tudi predvideno največjo letno količino odpadkov, ki se obdelajo v okviru gospodarske javne službe. Ta količina je določena na podlagi podatkov o količinah mešanih komunalnih odpadkov in nekaterih vrst ločeno zbranih komunalnih odpadkov, nastalih v Republiki Sloveniji, ter na podlagi ciljev recikliranja komunalnih odpadkov iz Direktive 2008/98/ES, do katerih bo mogoče priti z natančnejšim ločevanjem odpadkov na izvoru in drugimi ukrepi. Iz </w:t>
      </w:r>
      <w:proofErr w:type="spellStart"/>
      <w:r w:rsidRPr="00B775DE">
        <w:rPr>
          <w:rFonts w:ascii="Arial" w:eastAsia="Times New Roman" w:hAnsi="Arial" w:cs="Times New Roman"/>
          <w:kern w:val="0"/>
          <w:sz w:val="20"/>
          <w:szCs w:val="24"/>
        </w:rPr>
        <w:t>sortirnih</w:t>
      </w:r>
      <w:proofErr w:type="spellEnd"/>
      <w:r w:rsidRPr="00B775DE">
        <w:rPr>
          <w:rFonts w:ascii="Arial" w:eastAsia="Times New Roman" w:hAnsi="Arial" w:cs="Times New Roman"/>
          <w:kern w:val="0"/>
          <w:sz w:val="20"/>
          <w:szCs w:val="24"/>
        </w:rPr>
        <w:t xml:space="preserve"> analiz mešanih komunalnih odpadkov namreč izhaja, da je na ravni slovenskega povprečja v mešanih komunalnih odpadkih še vedno znaten delež frakcij, ki bi jih bilo mogoče ločiti na izvoru in tako povečati delež odpadkov, ki jih je mogoče reciklirati. </w:t>
      </w:r>
    </w:p>
    <w:p w14:paraId="3F29E08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Proste zmogljivosti infrastrukture se lahko uporabijo za posebne storitve (sežig </w:t>
      </w:r>
      <w:proofErr w:type="spellStart"/>
      <w:r w:rsidRPr="00B775DE">
        <w:rPr>
          <w:rFonts w:ascii="Arial" w:eastAsia="Times New Roman" w:hAnsi="Arial" w:cs="Times New Roman"/>
          <w:kern w:val="0"/>
          <w:sz w:val="20"/>
          <w:szCs w:val="24"/>
        </w:rPr>
        <w:t>nereciklabilnega</w:t>
      </w:r>
      <w:proofErr w:type="spellEnd"/>
      <w:r w:rsidRPr="00B775DE">
        <w:rPr>
          <w:rFonts w:ascii="Arial" w:eastAsia="Times New Roman" w:hAnsi="Arial" w:cs="Times New Roman"/>
          <w:kern w:val="0"/>
          <w:sz w:val="20"/>
          <w:szCs w:val="24"/>
        </w:rPr>
        <w:t xml:space="preserve"> gorljivega dela ločeno zbranih odpadkov zbranih v okviru javne službe zbiranja, ki pa se ne obdelajo v okviru javne službe, ali blat komunalnih čistilnih naprav) le s soglasjem koncedenta, ki določi njihove količine.</w:t>
      </w:r>
    </w:p>
    <w:p w14:paraId="449885B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Ker obstaja tveganje, da bodo zaradi spremenjenih in spremenljivih razmer v drugih državah tokovi za termično obdelavo preostanka komunalnih odpadkov zastajali, s čimer že imamo slabe izkušnje in kar ima negativne posledice za okolje, se s to uredbo vzpostavlja sistemska rešitev za sežiganje ostankov komunalnih odpadkov, ki jih ni mogoče reciklirati. Edina trenutno delujoča namenska naprava za termično obdelavo gorljivih odpadkov, nastalih po obdelavi komunalnih odpadkov, ki jih ni mogoče reciklirati, ima zmogljivost 40.000 t/leto (pri čemer del te zmogljivosti odpade na sežiganje odpadnega blata iz komunalnih čistilnih naprav, ki niso komunalni odpadek) in tako zadošča za manj kot 17 odstotkov trenutnih slovenskih potreb, zato ne zagotavlja samozadostnosti Slovenije na tem področju. </w:t>
      </w:r>
    </w:p>
    <w:p w14:paraId="2A4DDCE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Glede na zahteve po čim večjem recikliranju komunalnih odpadkov (scenarij razvoja ravnanja s komunalnimi odpadki predvideva manjšo potrebo po energetski predelavi gorljivih odpadkov, nastalih po mehanski obdelavi komunalnih odpadkov) je zmogljivost javne službe zaradi izvedljivosti ukrepov ravnanja s komunalnimi odpadki omejena na  140.000 ton/leto energetske obdelave teh gorljivih odpadkov. </w:t>
      </w:r>
    </w:p>
    <w:p w14:paraId="0820383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Navedena količina predstavlja izhaja iz projekcije zahtev recikliranja, ki so izdelane za dva scenarija (scenarij I je ohlapnejši, scenarij II pa ambicioznejši), ki oba zagotavljata doseganje ciljev recikliranja iz Direktive o odpadkih 2008/98/ES. </w:t>
      </w:r>
    </w:p>
    <w:p w14:paraId="5719C64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koncesijski pogodbi bo tudi določilo, da bo največje količine za sežig za prihodnje leto ter predvidene količine za 10-letno obdobje Vlada RS, ob upoštevanju ciljev recikliranja določala z vsakoletnim sklepom. </w:t>
      </w:r>
    </w:p>
    <w:p w14:paraId="12D8C7B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Z namenom doseganja ciljev recikliranja je predvideno tudi omejevanje sežiga gorljivih sestavin iz ločeno zbranih komunalnih odpadkov.</w:t>
      </w:r>
    </w:p>
    <w:p w14:paraId="2172B89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Način izračuna največjih količin je v prilogi I.</w:t>
      </w:r>
    </w:p>
    <w:p w14:paraId="492004B2" w14:textId="77777777" w:rsidR="00E65191" w:rsidRPr="00B775DE" w:rsidRDefault="00BB0337" w:rsidP="00E65191">
      <w:pPr>
        <w:tabs>
          <w:tab w:val="left" w:pos="708"/>
        </w:tabs>
        <w:spacing w:before="40" w:after="40" w:line="240" w:lineRule="auto"/>
        <w:jc w:val="both"/>
        <w:rPr>
          <w:rFonts w:ascii="Arial" w:eastAsia="Times New Roman" w:hAnsi="Arial" w:cs="Times New Roman"/>
          <w:kern w:val="0"/>
          <w:sz w:val="20"/>
          <w:szCs w:val="24"/>
        </w:rPr>
      </w:pPr>
      <w:r>
        <w:rPr>
          <w:rFonts w:ascii="Arial" w:eastAsia="Times New Roman" w:hAnsi="Arial" w:cs="Times New Roman"/>
          <w:kern w:val="0"/>
          <w:sz w:val="20"/>
          <w:szCs w:val="24"/>
        </w:rPr>
        <w:t>R</w:t>
      </w:r>
      <w:r w:rsidRPr="00BB0337">
        <w:rPr>
          <w:rFonts w:ascii="Arial" w:eastAsia="Times New Roman" w:hAnsi="Arial" w:cs="Times New Roman"/>
          <w:kern w:val="0"/>
          <w:sz w:val="20"/>
          <w:szCs w:val="24"/>
        </w:rPr>
        <w:t xml:space="preserve">ačunski model </w:t>
      </w:r>
      <w:r>
        <w:rPr>
          <w:rFonts w:ascii="Arial" w:eastAsia="Times New Roman" w:hAnsi="Arial" w:cs="Times New Roman"/>
          <w:kern w:val="0"/>
          <w:sz w:val="20"/>
          <w:szCs w:val="24"/>
        </w:rPr>
        <w:t>za določanje količin</w:t>
      </w:r>
      <w:r w:rsidRPr="00BB0337">
        <w:rPr>
          <w:rFonts w:ascii="Arial" w:eastAsia="Times New Roman" w:hAnsi="Arial" w:cs="Times New Roman"/>
          <w:kern w:val="0"/>
          <w:sz w:val="20"/>
          <w:szCs w:val="24"/>
        </w:rPr>
        <w:t xml:space="preserve"> temelji na analizi trenutnega stanja komunalnih odpadkov v Sloveniji, predpostavkah prihodnjih trendov ter zakonodajnih zahtevah. Upoštevane so bile tudi tehnične značilnosti obstoječih in načrtovanih obratov za obdelavo odpadkov ter energijske vrednosti posameznih frakcij. Model vključuje različne scenarije ločenega zbiranja, recikliranja in energetske izrabe, kar omogoča prilagodljivo načrtovanje infrastrukture za obdelavo gorljivih frakcij v različnih razmerah</w:t>
      </w:r>
      <w:r>
        <w:rPr>
          <w:rFonts w:ascii="Arial" w:eastAsia="Times New Roman" w:hAnsi="Arial" w:cs="Times New Roman"/>
          <w:kern w:val="0"/>
          <w:sz w:val="20"/>
          <w:szCs w:val="24"/>
        </w:rPr>
        <w:t xml:space="preserve"> z upoštevanjem osnovnega vodila, da so doseženi cilji recikliranja komunalnih odpadkov iz Direktive 2008/98 ES.</w:t>
      </w:r>
    </w:p>
    <w:p w14:paraId="6C60EEF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5DBC4C7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BCDC60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2.</w:t>
      </w:r>
      <w:r w:rsidRPr="00B775DE">
        <w:rPr>
          <w:rFonts w:ascii="Arial" w:eastAsia="Times New Roman" w:hAnsi="Arial" w:cs="Times New Roman"/>
          <w:b/>
          <w:kern w:val="0"/>
          <w:sz w:val="20"/>
          <w:szCs w:val="24"/>
        </w:rPr>
        <w:tab/>
        <w:t>Vrsta in obseg storitev gospodarske javne službe</w:t>
      </w:r>
    </w:p>
    <w:p w14:paraId="4031A8E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C292A3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 členu</w:t>
      </w:r>
    </w:p>
    <w:p w14:paraId="62445AD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so podrobneje določene posamezne storitve, ki skupaj sestavljajo gospodarsko javno službo sežiganja gorljivih komunalnih odpadkov. Tako mora poleg postopkov povezanih s termično obdelavo odpadkov zagotoviti tudi obdelavo ostankov sežiga, ustrezno obveščanje javnosti ter vzdrževanje infrastrukture. </w:t>
      </w:r>
    </w:p>
    <w:p w14:paraId="735DB70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D4482D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3.</w:t>
      </w:r>
      <w:r w:rsidRPr="00B775DE">
        <w:rPr>
          <w:rFonts w:ascii="Arial" w:eastAsia="Times New Roman" w:hAnsi="Arial" w:cs="Times New Roman"/>
          <w:b/>
          <w:kern w:val="0"/>
          <w:sz w:val="20"/>
          <w:szCs w:val="24"/>
        </w:rPr>
        <w:tab/>
        <w:t>Pravila izvajanja gospodarske javne službe</w:t>
      </w:r>
    </w:p>
    <w:p w14:paraId="785BEAD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94CFC4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8. členu</w:t>
      </w:r>
    </w:p>
    <w:p w14:paraId="1976A58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so določena pravila za izvajanje gospodarske javne službe, med njimi, da se javna služba izvaja kontinuirano in da se prevzeti gorljivi komunalni odpadki sežigajo redno in brez zastojev, ki bi povzročili kopičenje gorljivih komunalnih odpadkov ter da je pri sežiganju treba zagotavljati ustrezno energetsko učinkovitost (proizvodnjo toplotne ali električne energije) da je proces okarakteriziran kot energetska izraba (R1) in ne kot odstranjevanje s sežigom (D10). </w:t>
      </w:r>
    </w:p>
    <w:p w14:paraId="77B90A6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0CFF90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4.</w:t>
      </w:r>
      <w:r w:rsidRPr="00B775DE">
        <w:rPr>
          <w:rFonts w:ascii="Arial" w:eastAsia="Times New Roman" w:hAnsi="Arial" w:cs="Times New Roman"/>
          <w:b/>
          <w:kern w:val="0"/>
          <w:sz w:val="20"/>
          <w:szCs w:val="24"/>
        </w:rPr>
        <w:tab/>
        <w:t>Pravila ravnanja za uporabnike storitev gospodarske javne službe in posebnih storitev</w:t>
      </w:r>
    </w:p>
    <w:p w14:paraId="1590D6E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09174E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9. členu</w:t>
      </w:r>
    </w:p>
    <w:p w14:paraId="173F58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V tem členu so določeni uporabniki storitev obvezne gospodarske </w:t>
      </w:r>
      <w:proofErr w:type="spellStart"/>
      <w:r w:rsidRPr="00B775DE">
        <w:rPr>
          <w:rFonts w:ascii="Arial" w:eastAsia="Times New Roman" w:hAnsi="Arial" w:cs="Times New Roman"/>
          <w:kern w:val="0"/>
          <w:sz w:val="20"/>
          <w:szCs w:val="24"/>
        </w:rPr>
        <w:t>gospodarske</w:t>
      </w:r>
      <w:proofErr w:type="spellEnd"/>
      <w:r w:rsidRPr="00B775DE">
        <w:rPr>
          <w:rFonts w:ascii="Arial" w:eastAsia="Times New Roman" w:hAnsi="Arial" w:cs="Times New Roman"/>
          <w:kern w:val="0"/>
          <w:sz w:val="20"/>
          <w:szCs w:val="24"/>
        </w:rPr>
        <w:t xml:space="preserve"> javne službe in uporabniki posebnih storitev na tej infrastrukturi. </w:t>
      </w:r>
    </w:p>
    <w:p w14:paraId="7424AE1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E37D33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Objekti in naprave sežigalnice imajo status infrastrukture državnega pomena (torej jih prištevamo med ključne infrastrukturne objekte in omrežja, ki so strateškega pomena za državo) za čas izvajanja koncesije gospodarske javne službe ne glede na to, ali so v lasti oseb zasebnega ali javnega prava. </w:t>
      </w:r>
    </w:p>
    <w:p w14:paraId="7EADDE0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F2BD3F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7F6E81E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10. členu</w:t>
      </w:r>
    </w:p>
    <w:p w14:paraId="4D7AE5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pravila za uporabnike storitev javne službe in pravila za uporabnike posebnih storitev.</w:t>
      </w:r>
    </w:p>
    <w:p w14:paraId="7EB86EE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Uporaba storitev gospodarske javne službe obvezna za vse uporabnike gospodarske javne službe v Republiki Sloveniji, to je za vse centre za ravnanje s komunalnimi odpadki. To določilo je skladno s 5. členom zakona o gospodarskih javnih službah, ki določa da je uporaba javnih dobrin, ki se zagotavljajo z obveznimi gospodarskimi javnimi službami, obvezna. Ta člen ureja tudi položaj, ko izvajalec gospodarske javne službe zaradi okvare ali izrednega dogodka ne more zagotoviti izvajanja gospodarske javne službe. </w:t>
      </w:r>
    </w:p>
    <w:p w14:paraId="0482B04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Uporabnik javne službe (izvajalec obdelave) mora zagotoviti skladiščenje odpadkov pred oddajo izvajalcu javne službe sežiga, ki onemogoča negativne vplive na primernost odpadkov za sežig. Prav tako mora zagotoviti vodenje evidenc o mehanski obdelavi mešanih komunalnih odpadkov po občinah, vključno s podatki o izločenih reciklabilnih in gorljivih sestavinah ter o tem poročati v informacijski sistem.</w:t>
      </w:r>
    </w:p>
    <w:p w14:paraId="24B0E45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Uporabniki posebnih storitev morajo gorljive komunalne odpadke pravilno skladiščiti, da niso izpostavljeni vremenskim vplivom. Izvajalci mehanske obdelave teh odpadkov morajo voditi natančne evidence o prevzemu, obdelavi in razvrščanju odpadkov po vrstah in občinah ter zagotoviti, da se gorljive sestavine, neprimerne za recikliranje, ustrezno skladiščijo in oddajajo v sežig izvajalcem gospodarske javne službe na območju, kjer so bili odpadki zbrani. Količine odpadkov za sežig ne smejo presegati določenih letnih omejitev, pri čemer je treba podatke redno poročati v informacijski sistem okolja.</w:t>
      </w:r>
    </w:p>
    <w:p w14:paraId="31359E7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10C735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5B2FC4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5.</w:t>
      </w:r>
      <w:r w:rsidRPr="00B775DE">
        <w:rPr>
          <w:rFonts w:ascii="Arial" w:eastAsia="Times New Roman" w:hAnsi="Arial" w:cs="Times New Roman"/>
          <w:b/>
          <w:kern w:val="0"/>
          <w:sz w:val="20"/>
          <w:szCs w:val="24"/>
        </w:rPr>
        <w:tab/>
        <w:t xml:space="preserve">Pravila ravnanja za uporabnike storitev gospodarske javne službe </w:t>
      </w:r>
    </w:p>
    <w:p w14:paraId="3E85C1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C6E9F6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11. členu</w:t>
      </w:r>
    </w:p>
    <w:p w14:paraId="2AE5421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morajo centri za ravnanje s komunalnimi odpadki kot uporabniki gospodarske javne službe posredovati podatke o količinah sprejetih komunalnih odpadkov in količinah posameznih vrst gorljivih komunalnih odpadkov, ki so jih oddali v sežig. </w:t>
      </w:r>
    </w:p>
    <w:p w14:paraId="3825AE9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8A6E9B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6.</w:t>
      </w:r>
      <w:r w:rsidRPr="00B775DE">
        <w:rPr>
          <w:rFonts w:ascii="Arial" w:eastAsia="Times New Roman" w:hAnsi="Arial" w:cs="Times New Roman"/>
          <w:b/>
          <w:kern w:val="0"/>
          <w:sz w:val="20"/>
          <w:szCs w:val="24"/>
        </w:rPr>
        <w:tab/>
        <w:t>Viri financiranja gospodarske javne službe</w:t>
      </w:r>
    </w:p>
    <w:p w14:paraId="565FC5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335150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12. členu</w:t>
      </w:r>
    </w:p>
    <w:p w14:paraId="1674A48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načine financiranja gospodarske javne službe. Ta se financira s plačili uporabnikov in prihodki od prodaje toplotne ali električne energije. </w:t>
      </w:r>
    </w:p>
    <w:p w14:paraId="13D8B9F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C631A4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7.</w:t>
      </w:r>
      <w:r w:rsidRPr="00B775DE">
        <w:rPr>
          <w:rFonts w:ascii="Arial" w:eastAsia="Times New Roman" w:hAnsi="Arial" w:cs="Times New Roman"/>
          <w:b/>
          <w:kern w:val="0"/>
          <w:sz w:val="20"/>
          <w:szCs w:val="24"/>
        </w:rPr>
        <w:tab/>
        <w:t>Cena storitev gospodarske javne službe</w:t>
      </w:r>
    </w:p>
    <w:p w14:paraId="00F44F6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796865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13. členu</w:t>
      </w:r>
    </w:p>
    <w:p w14:paraId="24ABCD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 xml:space="preserve">Ta člen daje Vladi RS pooblastilo, da s sklepom določi ceno storitve. Določa tudi daje cena oblikovana na enoto storitve (EUR/t). Določeno je tudi obdobje za katerega se določi cena. </w:t>
      </w:r>
    </w:p>
    <w:p w14:paraId="6DEC524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E1C65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27FE9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01F664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K 14. členu</w:t>
      </w:r>
    </w:p>
    <w:p w14:paraId="0FA2F8E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kdo pripravi predlog cene, kaj mora upoštevati (projekcija rasti cen, projekcija sestave komunalnih odpadkov, obračunski izkaz naprave v preteklem obdobju).  Določa, da morajo elementi cene temeljiti na revidiranih računovodski izkazih. Določa tudi postopek določanja cene za izvajalca, ki šele začenja izvajati dejavnost (in ne poseduje podatkov za predhodno triletno obdobje).  </w:t>
      </w:r>
    </w:p>
    <w:p w14:paraId="7A3454B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4A3E32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15. členu</w:t>
      </w:r>
    </w:p>
    <w:p w14:paraId="5E4E18D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določa postopek ravnanja v primeru, če ministrstvo pri pripravi predloga cene ugotovi, da elementi predlagane cene ali njen niso oblikovani v skladu s to uredbo in posledično pozove izvajalca k predložitvi popravljenega ali dopolnjenega izkaza in predloga cene. Ministrstvo lahko na podlagi tega člena pozove izvajalca k pripravi in predložitvi načrta za povečanje stroškovne učinkovitosti izvajanja javne službe. Če izvajalec ne predloži ustreznega načrta lahko ministrstvo samo pripravi tak predlog cene, da njena rast ni večja od treh odstotnih točk indeksa rasti cen življenjskih potrebščin.</w:t>
      </w:r>
    </w:p>
    <w:p w14:paraId="751B1F5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določi tudi možnost, da Vlada določi ceno, ki presega omejitev rasti cene, če soglaša s predloženim načrtom za povečanje stroškovne učinkovitosti izvajanja gospodarske javne službe.</w:t>
      </w:r>
    </w:p>
    <w:p w14:paraId="2C8DE11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9FFECE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16. členu</w:t>
      </w:r>
    </w:p>
    <w:p w14:paraId="4A30BF7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 xml:space="preserve">Člen določa kateri stroški so podlaga za oblikovanje cene. Poleg stroškov vezanih na prevzem (transport , morebitna obdelava pred sežiganjem) in obdelavo (sežiganje, obdelava ostankov po sežigu, vzdrževanje objektov infrastrukture ) je vključen tudi zmeren dobiček dosežen z izvajanjem storitev gospodarske javne službe opredeljen v Sklepu Komisije o uporabi člena 106(2) Pogodbe o delovanju Evropske unije za državno pomoč v obliki nadomestila za javne storitve. </w:t>
      </w:r>
    </w:p>
    <w:p w14:paraId="4B2F59F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729AD84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17. členu</w:t>
      </w:r>
    </w:p>
    <w:p w14:paraId="3968188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pojasnjuje elemente cene med katere sodijo upravičeni stroški in odbitne postavke, ki so podrobneje opisani v 18. in 19. členu. Cena storitve se izračuna kot razlika vrednosti upravičenih stroškov in odbitnih postavk, ter deli s količino prevzetih odpadkov.</w:t>
      </w:r>
    </w:p>
    <w:p w14:paraId="69829D5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2DAA3F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18. členu</w:t>
      </w:r>
    </w:p>
    <w:p w14:paraId="28D2002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Člen pojasnjuje kateri stroški so upravičeni (torej jih je mogoče povezati z izvajanjem storitev javne službe) in našteva skupine v katere se ti stroški razvrstijo. </w:t>
      </w:r>
    </w:p>
    <w:p w14:paraId="1B5C601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Člen podaja navodila glede amortizacije osnovnih sredstev in uporabe amortizacijskih stopenj iz priloge tega predpisa. </w:t>
      </w:r>
    </w:p>
    <w:p w14:paraId="41DFF5C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Ustreznost razporejanja stroškov mora preveriti revizor in o tem izdati posebno poročilo. </w:t>
      </w:r>
    </w:p>
    <w:p w14:paraId="47E3AF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Določa tudi, da mora biti, v primeru ko izvajalec infrastrukturo najema, najemnina obračunana v višini stroškov amortizacije najete infrastrukture . </w:t>
      </w:r>
    </w:p>
    <w:p w14:paraId="04E1D80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728EA0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19. členu</w:t>
      </w:r>
    </w:p>
    <w:p w14:paraId="27A690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pojasnjuje katere odbitne postavke izvajalec vključi v izračun cene (prihodke od prodaje proizvedene električne ali toplotne energije ali drugih proizvodov sežiganja). Med odbitne postavke mora izvajalec všteti tudi regulacijski popravek (razlika med prihodki in upravičenimi stroški za preteklo obdobje, ki ceno lahko zmanjšuje ali povečuje), neupravičene elemente cene ter druge prihodke iz preteklega obračunskega obdobja.</w:t>
      </w:r>
    </w:p>
    <w:p w14:paraId="3BF3A1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C8C189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20. členu</w:t>
      </w:r>
    </w:p>
    <w:p w14:paraId="759946A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ureja možnost določitve nove cene do konca tekočega obdobja, če ministrstvo na podlagi predloženih poročil ugotovi, da so prihodki za več kot deset odstotkov odstopali od upravičenih stroškov.</w:t>
      </w:r>
    </w:p>
    <w:p w14:paraId="14386C0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395300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21. členu</w:t>
      </w:r>
    </w:p>
    <w:p w14:paraId="1D6003B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Člen ureja storitve in odpadkov, ki so lahko predmet storitve, ki jih ob uporabi javne infrastrukture izvaja izvajalec javne službe in niso storitve javne službe – posebne storitve. Te storitve lahko izvaja le ob soglasju koncedenta. Izvajanje takih storitev je namenjeno zmanjšanju cene storitve javne službe. </w:t>
      </w:r>
    </w:p>
    <w:p w14:paraId="077C2DE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Člen izrecno določa da je izvajanje posebnih storitev </w:t>
      </w:r>
      <w:r w:rsidRPr="00B775DE">
        <w:rPr>
          <w:rFonts w:ascii="Arial" w:eastAsia="Times New Roman" w:hAnsi="Arial" w:cs="Times New Roman"/>
          <w:b/>
          <w:kern w:val="0"/>
          <w:sz w:val="20"/>
          <w:szCs w:val="24"/>
        </w:rPr>
        <w:t>omejeno na odpadke nastale v Republiki Sloveniji</w:t>
      </w:r>
      <w:r w:rsidRPr="00B775DE">
        <w:rPr>
          <w:rFonts w:ascii="Arial" w:eastAsia="Times New Roman" w:hAnsi="Arial" w:cs="Times New Roman"/>
          <w:kern w:val="0"/>
          <w:sz w:val="20"/>
          <w:szCs w:val="24"/>
        </w:rPr>
        <w:t>.</w:t>
      </w:r>
    </w:p>
    <w:p w14:paraId="41FA7C6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183EBD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CFC52B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8.</w:t>
      </w:r>
      <w:r w:rsidRPr="00B775DE">
        <w:rPr>
          <w:rFonts w:ascii="Arial" w:eastAsia="Times New Roman" w:hAnsi="Arial" w:cs="Times New Roman"/>
          <w:b/>
          <w:kern w:val="0"/>
          <w:sz w:val="20"/>
          <w:szCs w:val="24"/>
        </w:rPr>
        <w:tab/>
        <w:t xml:space="preserve">Pogodba o uporabi storitev gospodarske javne službe in plačila uporabnikov storitev gospodarske javne službe </w:t>
      </w:r>
    </w:p>
    <w:p w14:paraId="76FD9FE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7AED2D8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22. členu</w:t>
      </w:r>
    </w:p>
    <w:p w14:paraId="77F8533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določa obveznost izvajalca in uporabnika storitev javne službe k sklenitvi pogodbe.</w:t>
      </w:r>
    </w:p>
    <w:p w14:paraId="0C9CF6E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V pogodbi o opravljanju storitve se določijo zlasti: predvidena letna količina odpadkov in čas trajanja (enak trajanju koncesijske pogodbe) ter medsebojna razmerja v zvezi z izvajanjem javne službe.</w:t>
      </w:r>
    </w:p>
    <w:p w14:paraId="7CB84C2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Določa tudi mesečno plačilo storitev javne službe na podlagi oddanih količin odpadkov izvajalcu.</w:t>
      </w:r>
    </w:p>
    <w:p w14:paraId="454FB29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D832D1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C6583D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III</w:t>
      </w:r>
      <w:r w:rsidRPr="00B775DE">
        <w:rPr>
          <w:rFonts w:ascii="Arial" w:eastAsia="Times New Roman" w:hAnsi="Arial" w:cs="Times New Roman"/>
          <w:b/>
          <w:kern w:val="0"/>
          <w:sz w:val="20"/>
          <w:szCs w:val="24"/>
        </w:rPr>
        <w:tab/>
        <w:t>Koncesija</w:t>
      </w:r>
    </w:p>
    <w:p w14:paraId="6D801A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68119C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lastRenderedPageBreak/>
        <w:t>1.</w:t>
      </w:r>
      <w:r w:rsidRPr="00B775DE">
        <w:rPr>
          <w:rFonts w:ascii="Arial" w:eastAsia="Times New Roman" w:hAnsi="Arial" w:cs="Times New Roman"/>
          <w:b/>
          <w:kern w:val="0"/>
          <w:sz w:val="20"/>
          <w:szCs w:val="24"/>
        </w:rPr>
        <w:tab/>
        <w:t>Podelitev koncesije</w:t>
      </w:r>
    </w:p>
    <w:p w14:paraId="01C71B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E70EB5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K 23. členu</w:t>
      </w:r>
    </w:p>
    <w:p w14:paraId="5D004EE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se koncesija lahko podeli največ trem koncesionarjem (en koncesionar na eno sežigalnico), kar lahko tudi pomeni, da en koncesionar upravlja več sežigalnic. Določa todi, da naloge koncedenta v postopku podelitve koncesije do izdaje odločbe in koncesijskem razmerju izvaja ministrstvo.</w:t>
      </w:r>
    </w:p>
    <w:p w14:paraId="6FE0DC6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0740A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EB1616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2.</w:t>
      </w:r>
      <w:r w:rsidRPr="00B775DE">
        <w:rPr>
          <w:rFonts w:ascii="Arial" w:eastAsia="Times New Roman" w:hAnsi="Arial" w:cs="Times New Roman"/>
          <w:b/>
          <w:kern w:val="0"/>
          <w:sz w:val="20"/>
          <w:szCs w:val="24"/>
        </w:rPr>
        <w:tab/>
        <w:t>Pogoji, ki jih mora izpolnjevati koncesionar</w:t>
      </w:r>
    </w:p>
    <w:p w14:paraId="15F32C8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CFFE4A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24. členu</w:t>
      </w:r>
    </w:p>
    <w:p w14:paraId="6FF48C1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je lahko koncesionar fizična ali pravna oseba, če izpolnjuje pogoje, določene s to uredbo za izvajanje gospodarske javne službe. </w:t>
      </w:r>
    </w:p>
    <w:p w14:paraId="13AE9CD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CC3487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25. členu</w:t>
      </w:r>
    </w:p>
    <w:p w14:paraId="5ABF895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pogoje, ki jih mora izpolnjevati koncesionar.</w:t>
      </w:r>
    </w:p>
    <w:p w14:paraId="0105C55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Poleg registracije za ravnanje z odpadki ter pridobitve vseh ustreznih dovoljenj in soglasij so med </w:t>
      </w:r>
      <w:proofErr w:type="spellStart"/>
      <w:r w:rsidRPr="00B775DE">
        <w:rPr>
          <w:rFonts w:ascii="Arial" w:eastAsia="Times New Roman" w:hAnsi="Arial" w:cs="Times New Roman"/>
          <w:kern w:val="0"/>
          <w:sz w:val="20"/>
          <w:szCs w:val="24"/>
        </w:rPr>
        <w:t>pogoii</w:t>
      </w:r>
      <w:proofErr w:type="spellEnd"/>
      <w:r w:rsidRPr="00B775DE">
        <w:rPr>
          <w:rFonts w:ascii="Arial" w:eastAsia="Times New Roman" w:hAnsi="Arial" w:cs="Times New Roman"/>
          <w:kern w:val="0"/>
          <w:sz w:val="20"/>
          <w:szCs w:val="24"/>
        </w:rPr>
        <w:t xml:space="preserve"> tudi:</w:t>
      </w:r>
    </w:p>
    <w:p w14:paraId="556FC36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Zagotovitev sprejema odpadkov s kurilno vrednostjo nad 6.000 kJ/kg. </w:t>
      </w:r>
      <w:proofErr w:type="spellStart"/>
      <w:r w:rsidRPr="00B775DE">
        <w:rPr>
          <w:rFonts w:ascii="Arial" w:eastAsia="Times New Roman" w:hAnsi="Arial" w:cs="Times New Roman"/>
          <w:kern w:val="0"/>
          <w:sz w:val="20"/>
          <w:szCs w:val="24"/>
        </w:rPr>
        <w:t>s.s</w:t>
      </w:r>
      <w:proofErr w:type="spellEnd"/>
      <w:r w:rsidRPr="00B775DE">
        <w:rPr>
          <w:rFonts w:ascii="Arial" w:eastAsia="Times New Roman" w:hAnsi="Arial" w:cs="Times New Roman"/>
          <w:kern w:val="0"/>
          <w:sz w:val="20"/>
          <w:szCs w:val="24"/>
        </w:rPr>
        <w:t>. Odpadkov s tako kurilno vrednostjo  ni dovoljeno odlagati na odlagališča nenevarnih odpadkov, naprave, ki obratujejo na trgu (cementarne , …) pa kot pogoj za sprejem zahtevajo precej višjo kurilno vrednost. Nadalje določa, da obveznosti do virov sredstev ne porežejo 66odstotkov sredstev v bilanci stanja koncesionarja ter da od države, lokalne skupnosti ali družb v katerih je kot lastnik udeležena občina ali država nima pridobljenega poroštva za obveznosti iz naslova zadolževanja.</w:t>
      </w:r>
    </w:p>
    <w:p w14:paraId="3BA79CA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832C4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E9E0EE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0AE921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3.</w:t>
      </w:r>
      <w:r w:rsidRPr="00B775DE">
        <w:rPr>
          <w:rFonts w:ascii="Arial" w:eastAsia="Times New Roman" w:hAnsi="Arial" w:cs="Times New Roman"/>
          <w:b/>
          <w:kern w:val="0"/>
          <w:sz w:val="20"/>
          <w:szCs w:val="24"/>
        </w:rPr>
        <w:tab/>
        <w:t>Začetek in čas izvajanja koncesije gospodarske javne službe</w:t>
      </w:r>
    </w:p>
    <w:p w14:paraId="5427D5A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73C11D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26. členu</w:t>
      </w:r>
    </w:p>
    <w:p w14:paraId="7685BC2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se koncesijsko razmerje začne s podpisom koncesijske pogodbe.</w:t>
      </w:r>
    </w:p>
    <w:p w14:paraId="038FE37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4216D24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27. členu</w:t>
      </w:r>
    </w:p>
    <w:p w14:paraId="008CE9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je čas izvajanja koncesije gospodarske javne službe do 30 let. Pri določitvi časa trajanja koncesije se upoštevajo tudi  parametri iz 23. člena ZNKP, ki določa, da pri koncesijah, ki trajajo dlje od pet let, koncesija traja največ tako dolgo, da ne presega obdobja, v katerem lahko koncesionar upravičeno pričakuje, da se mu bodo povrnile naložbe, izvedene za izvajanje gradenj in storitev, pri čemer se upošteva primeren dobiček. Koncedent pri izračunu upošteva začetne in naknadne naložbe, potrebne za uresničitev določenih pogodbenih ciljev; isti člen tudi določa: 3) Za primeren dobiček iz prejšnjega odstavka velja opredelitev iz Uredbe 1370/2007/ES, ki primeren dobiček določa kot stopnjo donosa kapitala, ki je običajna za sektor v tej državi članici EU in ki mora upoštevati operativno tveganje ter tveganje ali odsotnost tveganja koncesionarja zaradi posegov organov oblasti.</w:t>
      </w:r>
    </w:p>
    <w:p w14:paraId="38D443C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237FBE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4.</w:t>
      </w:r>
      <w:r w:rsidRPr="00B775DE">
        <w:rPr>
          <w:rFonts w:ascii="Arial" w:eastAsia="Times New Roman" w:hAnsi="Arial" w:cs="Times New Roman"/>
          <w:b/>
          <w:kern w:val="0"/>
          <w:sz w:val="20"/>
          <w:szCs w:val="24"/>
        </w:rPr>
        <w:tab/>
        <w:t>Postopek izbire koncesionarja</w:t>
      </w:r>
    </w:p>
    <w:p w14:paraId="78C7F2C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9BACEE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28. členu</w:t>
      </w:r>
    </w:p>
    <w:p w14:paraId="7E9F8C4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it-IT"/>
        </w:rPr>
      </w:pPr>
      <w:r w:rsidRPr="00B775DE">
        <w:rPr>
          <w:rFonts w:ascii="Arial" w:eastAsia="Times New Roman" w:hAnsi="Arial" w:cs="Times New Roman"/>
          <w:kern w:val="0"/>
          <w:sz w:val="20"/>
          <w:szCs w:val="24"/>
        </w:rPr>
        <w:t xml:space="preserve">Ta člen določa obliko in postopek javnega razpisa. </w:t>
      </w:r>
      <w:r w:rsidR="00C40A98" w:rsidRPr="00C40A98">
        <w:rPr>
          <w:rFonts w:ascii="Arial" w:eastAsia="Times New Roman" w:hAnsi="Arial" w:cs="Times New Roman"/>
          <w:kern w:val="0"/>
          <w:sz w:val="20"/>
          <w:szCs w:val="24"/>
        </w:rPr>
        <w:t>Javni razpis se izvede ločeno za posamezna območja izvajanja gospodarske javne službe.</w:t>
      </w:r>
      <w:r w:rsidR="00C40A98">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 xml:space="preserve">Koncesija se lahko podeli zgolj na podlagi javnega razpisa. Izbira koncesionarja poteka s postopkom konkurenčnega dialoga (v skladu z določbami zakona, ki ureja javno-zasebno partnerstvo, in zakona, ki ureja nekatere koncesijske pogodbe), tako da bo mogoče v njegovem okviru opredeliti vse končne vsebine koncesijskega razmerja. V skladu z ZNKP postopek izbire ni več (posebni) upravni postopek, temveč je akt izbora akt poslovanja, ki se izpodbija v postopku revizije pred Državno revizijsko komisijo. Zoper odločitev </w:t>
      </w:r>
      <w:r w:rsidRPr="00B775DE">
        <w:rPr>
          <w:rFonts w:ascii="Arial" w:eastAsia="Times New Roman" w:hAnsi="Arial" w:cs="Times New Roman"/>
          <w:kern w:val="0"/>
          <w:sz w:val="20"/>
          <w:szCs w:val="24"/>
        </w:rPr>
        <w:lastRenderedPageBreak/>
        <w:t>slednje je dopusten upravni spor. Ne glede na to predlog uredbe določa vsebino javnega razpisa, pogoje in merila že na ravni uredbe kot predpisa materialnega prava in tako v bistvenem opredeljuje vsebino bodočega koncesijskega razmerja. Posebej so pogoji in/oziroma merila opredeljeni v 29. in 30. členu predloga uredbe.</w:t>
      </w:r>
    </w:p>
    <w:p w14:paraId="49D5EB1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EA7D2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74364D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29. členu</w:t>
      </w:r>
    </w:p>
    <w:p w14:paraId="6F80A55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pogoje za sodelovanje v postopku javnega razpisa za podelitev koncesije. V skladu z ZNKP izbira ni več upravna zadeva, temveč je akt izbora akt poslovanja, ki se izpodbija v postopku revizije pred Državno revizijsko komisijo. Ne glede na to predlog uredbe določa vsebino javnega razpisa, pogoje in merila že na ravni uredbe kot predpisa materialnega prava, četudi je v skladu s členi 46.–50. ZNKP to lahko urejeno v javnem razpisu. Glede pogojev, ki so urejeni v 21. členu predloga uredbe (točka 1. do 10. tretjega odstavka), 46. člen ZNKP pooblašča koncedenta, da se ti določijo v obvestilu o koncesiji (to je v javnem razpisu), v naslednjem 47. členu ZNKP pa, da v obvestilu o koncesiji določi dokazila za izpolnjevanje pogojev. Pogoji in dokazila, ki niso določeni v 29. členu, bodo določeni v razpisni dokumentaciji v skladu z napotilom iz 12. točke tretjega odstavka in šestim odstavkom tega člena. Če oseba še nima sežigalnice odpadkov, lahko kljub temu sodeluje v postopku javnega razpisa za podelitev koncesije, če poda izjavo, v kateri se zaveže, da bo sežigalnico za sežiganje gorljivih komunalnih odpadkov zgradila in začela opravljati gospodarsko javno službo najkasneje v sedmih letih od podelitve koncesije. Predlog uredbe sicer v drugem odstavku še povzema omejitev iz 38. člena ZJZP, ki preprečuje isti osebi, da v več prijavah nastopa v različnih vlogah. Prijavitelj mora sicer izpolnjevati tudi morebitne druge pogoje za izvajanje dejavnosti, ki jih določajo drugi predpisi.</w:t>
      </w:r>
    </w:p>
    <w:p w14:paraId="3553994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Člen vsebuje tudi omejitev nazivne kapacitete sežigalnic.  Skupna letna zmogljivost vseh obstoječih in novih sežigalnic s podeljenimi koncesijami ne sme presegati letne količine 220.000 ton.</w:t>
      </w:r>
    </w:p>
    <w:p w14:paraId="632B115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6449EA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30. členu</w:t>
      </w:r>
    </w:p>
    <w:p w14:paraId="11865B8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merila, na podlagi katerih se bodo v postopku izbire koncesionarja izbrale najugodnejše prijave. Ne glede na to, da po ZNKP izbira ni več upravna zadeva, predlog uredbe določa vsebino javnega razpisa, pogoje in merila že na ravni uredbe kot predpisa materialnega prava, četudi je v skladu s členi 46.–50. ZNKP to lahko urejeno v javnem razpisu. Glede meril, ki so urejena v 22. členu predloga uredbe, 49. in 50. člen ZNKP določata, da se določijo v obvestilu o koncesiji (to je javnem razpisu). ZNKP natančneje v 50. členu ureja, da se koncesionar izbere na podlagi meril za izbor, ki jih določi koncedent, ta pa mora v obvestilu o koncesiji zagotoviti opis koncesije, minimalne zahteve, ki morajo biti izpolnjene, pogoje za sodelovanje in opis meril za izbor. To pomeni, da se pri razpisu določijo vsi parametri meril vključno z utežmi za oceno meril. Med merila so dodane tudi projektirane vrednosti emisij onesnaževal v okolje, četudi bodo morale vse sežigalnice obratovati znotraj mejnih vrednosti, kot jih določajo Zaključki o BAT za sežiganje odpadkov. Mejne vrednosti torej niso vprašanje, temveč nuja. Merilo vzpodbuja ponudnike k načrtovanju naprav, ki bodo zagotavljale čim nižje vrednosti onesnaževal v okolje</w:t>
      </w:r>
    </w:p>
    <w:p w14:paraId="6A72507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Med merili je tudi ocena osnovnih značilnosti lokacije predvidene sežigalnice na podlagi gostote naseljenosti, geografske lege in meteoroloških pogojev ter obstoječega stanja okolja.</w:t>
      </w:r>
    </w:p>
    <w:p w14:paraId="3E85B9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B36B04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5.</w:t>
      </w:r>
      <w:r w:rsidRPr="00B775DE">
        <w:rPr>
          <w:rFonts w:ascii="Arial" w:eastAsia="Times New Roman" w:hAnsi="Arial" w:cs="Times New Roman"/>
          <w:b/>
          <w:kern w:val="0"/>
          <w:sz w:val="20"/>
          <w:szCs w:val="24"/>
        </w:rPr>
        <w:tab/>
        <w:t>Organ, ki opravi izbor koncesionarja, in organ, pristojen za sklenitev koncesijske pogodbe</w:t>
      </w:r>
    </w:p>
    <w:p w14:paraId="6C14E7A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90818C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31. členu</w:t>
      </w:r>
    </w:p>
    <w:p w14:paraId="46AAA6B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kdaj se šteje, da je razpis uspešen, in primere, ko je treba razpis ponoviti.</w:t>
      </w:r>
    </w:p>
    <w:p w14:paraId="1BCA850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35E79D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32. členu</w:t>
      </w:r>
    </w:p>
    <w:p w14:paraId="1A75299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postopek izbire koncesionarja (odpiranje prijav, sestavo strokovne komisije za izbor, odločitev o </w:t>
      </w:r>
      <w:proofErr w:type="spellStart"/>
      <w:r w:rsidRPr="00B775DE">
        <w:rPr>
          <w:rFonts w:ascii="Arial" w:eastAsia="Times New Roman" w:hAnsi="Arial" w:cs="Times New Roman"/>
          <w:kern w:val="0"/>
          <w:sz w:val="20"/>
          <w:szCs w:val="24"/>
        </w:rPr>
        <w:t>izbiri,veljavnost</w:t>
      </w:r>
      <w:proofErr w:type="spellEnd"/>
      <w:r w:rsidRPr="00B775DE">
        <w:rPr>
          <w:rFonts w:ascii="Arial" w:eastAsia="Times New Roman" w:hAnsi="Arial" w:cs="Times New Roman"/>
          <w:kern w:val="0"/>
          <w:sz w:val="20"/>
          <w:szCs w:val="24"/>
        </w:rPr>
        <w:t>…)</w:t>
      </w:r>
    </w:p>
    <w:p w14:paraId="1BC847D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6D78C45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6.</w:t>
      </w:r>
      <w:r w:rsidRPr="00B775DE">
        <w:rPr>
          <w:rFonts w:ascii="Arial" w:eastAsia="Times New Roman" w:hAnsi="Arial" w:cs="Times New Roman"/>
          <w:b/>
          <w:kern w:val="0"/>
          <w:sz w:val="20"/>
          <w:szCs w:val="24"/>
        </w:rPr>
        <w:tab/>
        <w:t>Koncesijsko razmerje</w:t>
      </w:r>
    </w:p>
    <w:p w14:paraId="4D122C0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D2F04E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33. členu</w:t>
      </w:r>
    </w:p>
    <w:p w14:paraId="1FDB999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kern w:val="0"/>
          <w:sz w:val="20"/>
          <w:szCs w:val="24"/>
        </w:rPr>
        <w:lastRenderedPageBreak/>
        <w:t xml:space="preserve">Ta člen določa, da koncesionar v skladu z ureditvijo v predpisih, ki urejajo javno-zasebno partnerstvo, prevzema večino operativnih tveganj, povezanih z izvajanjem koncesije. </w:t>
      </w:r>
    </w:p>
    <w:p w14:paraId="469EF10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5A91202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34. členu</w:t>
      </w:r>
    </w:p>
    <w:p w14:paraId="0C8AB7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postopek za sklenitev koncesijske pogodbe, pri čemer je veljavnost koncesijske pogodbe vezana na predložitev finančnega jamstva za pravočasen začetek izvajanja pogodbenih obveznosti.</w:t>
      </w:r>
    </w:p>
    <w:p w14:paraId="40BFF24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EBEFB3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35. členu</w:t>
      </w:r>
    </w:p>
    <w:p w14:paraId="1FB944C1" w14:textId="77777777" w:rsidR="00E65191" w:rsidRPr="00893884"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obvezne vsebine koncesijske pogodbe. V koncesijski pogodbi se določi tudi večina operativnih tveganj iz 25. člena te uredbe. Vsebino koncesijske pogodbe podrobneje določajo 57. </w:t>
      </w:r>
      <w:r w:rsidRPr="00893884">
        <w:rPr>
          <w:rFonts w:ascii="Arial" w:eastAsia="Times New Roman" w:hAnsi="Arial" w:cs="Times New Roman"/>
          <w:kern w:val="0"/>
          <w:sz w:val="20"/>
          <w:szCs w:val="24"/>
        </w:rPr>
        <w:t>in naslednji členi ZNKP.</w:t>
      </w:r>
    </w:p>
    <w:p w14:paraId="218F61AD" w14:textId="77777777" w:rsidR="00E65191" w:rsidRPr="00893884"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4A30138" w14:textId="77777777" w:rsidR="00E65191" w:rsidRPr="00893884" w:rsidRDefault="00CE0858" w:rsidP="00E65191">
      <w:pPr>
        <w:tabs>
          <w:tab w:val="left" w:pos="708"/>
        </w:tabs>
        <w:spacing w:before="40" w:after="40" w:line="240" w:lineRule="auto"/>
        <w:jc w:val="both"/>
        <w:rPr>
          <w:rFonts w:ascii="Arial" w:eastAsia="Times New Roman" w:hAnsi="Arial" w:cs="Times New Roman"/>
          <w:b/>
          <w:kern w:val="0"/>
          <w:sz w:val="20"/>
          <w:szCs w:val="24"/>
        </w:rPr>
      </w:pPr>
      <w:r w:rsidRPr="00893884">
        <w:rPr>
          <w:rFonts w:ascii="Arial" w:eastAsia="Times New Roman" w:hAnsi="Arial" w:cs="Times New Roman"/>
          <w:b/>
          <w:kern w:val="0"/>
          <w:sz w:val="20"/>
          <w:szCs w:val="24"/>
        </w:rPr>
        <w:t>K 36. členu</w:t>
      </w:r>
    </w:p>
    <w:p w14:paraId="4C726CE0" w14:textId="77777777" w:rsidR="00E65191"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893884">
        <w:rPr>
          <w:rFonts w:ascii="Arial" w:eastAsia="Times New Roman" w:hAnsi="Arial" w:cs="Times New Roman"/>
          <w:kern w:val="0"/>
          <w:sz w:val="20"/>
          <w:szCs w:val="24"/>
        </w:rPr>
        <w:t>Ta člen določa, da mora koncesionar za čas trajanja koncesijskega razmerja za izvajanje gospodarske javne službe</w:t>
      </w:r>
      <w:r w:rsidRPr="00B775DE">
        <w:rPr>
          <w:rFonts w:ascii="Arial" w:eastAsia="Times New Roman" w:hAnsi="Arial" w:cs="Times New Roman"/>
          <w:kern w:val="0"/>
          <w:sz w:val="20"/>
          <w:szCs w:val="24"/>
        </w:rPr>
        <w:t xml:space="preserve"> zagotavljati finančno jamstvo za zavarovanje izvedbe ukrepov, določenih v okoljevarstvenem dovoljenju, in za primere kot je morebitna čezmerna obremenitev okolja in ostale iz prvega odstavka tega člena. Upravičenec do sredstev finančnega jamstva iz tega člena je </w:t>
      </w:r>
      <w:r w:rsidR="00B6339D">
        <w:rPr>
          <w:rFonts w:ascii="Arial" w:eastAsia="Times New Roman" w:hAnsi="Arial" w:cs="Times New Roman"/>
          <w:kern w:val="0"/>
          <w:sz w:val="20"/>
          <w:szCs w:val="24"/>
        </w:rPr>
        <w:t>Republika Slovenija</w:t>
      </w:r>
      <w:r w:rsidRPr="00B775DE">
        <w:rPr>
          <w:rFonts w:ascii="Arial" w:eastAsia="Times New Roman" w:hAnsi="Arial" w:cs="Times New Roman"/>
          <w:kern w:val="0"/>
          <w:sz w:val="20"/>
          <w:szCs w:val="24"/>
        </w:rPr>
        <w:t xml:space="preserve">. Ta člen določa tudi način izračuna višine finančnega jamstva, ki je vezana na predvideno letno količino in ceno storitve. </w:t>
      </w:r>
    </w:p>
    <w:p w14:paraId="5CC7BBAB" w14:textId="77777777" w:rsidR="00B6339D" w:rsidRPr="00B775DE" w:rsidRDefault="00B6339D" w:rsidP="00E65191">
      <w:pPr>
        <w:tabs>
          <w:tab w:val="left" w:pos="708"/>
        </w:tabs>
        <w:spacing w:before="40" w:after="40" w:line="240" w:lineRule="auto"/>
        <w:jc w:val="both"/>
        <w:rPr>
          <w:rFonts w:ascii="Arial" w:eastAsia="Times New Roman" w:hAnsi="Arial" w:cs="Times New Roman"/>
          <w:kern w:val="0"/>
          <w:sz w:val="20"/>
          <w:szCs w:val="24"/>
        </w:rPr>
      </w:pPr>
      <w:r w:rsidRPr="00B6339D">
        <w:rPr>
          <w:rFonts w:ascii="Arial" w:eastAsia="Times New Roman" w:hAnsi="Arial" w:cs="Times New Roman"/>
          <w:kern w:val="0"/>
          <w:sz w:val="20"/>
          <w:szCs w:val="24"/>
        </w:rPr>
        <w:t>Finančno jamstvo je namenjeno hitremu ukrepanju koncedenta, ki v primeru navedenih kršitev lahko sproži prve ukrepe (kot je npr. zagotovitev začasne obdelave na drugi lokaciji , saj je treba upoštevati možnost da obrat vsaj začasno ne bo deloval).</w:t>
      </w:r>
    </w:p>
    <w:p w14:paraId="7577775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32A5E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B6CFF2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F865F1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0FA6B2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1EDB3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710CFA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AFAFAE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9795E5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0242BF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6B72A6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BE16C9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20F71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58E972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A4A65E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33501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37436E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C6B87A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43FC09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noProof/>
          <w:kern w:val="0"/>
          <w:sz w:val="20"/>
          <w:szCs w:val="24"/>
          <w:lang w:eastAsia="sl-SI"/>
        </w:rPr>
        <w:drawing>
          <wp:anchor distT="0" distB="0" distL="114300" distR="114300" simplePos="0" relativeHeight="251661312" behindDoc="0" locked="0" layoutInCell="1" allowOverlap="1" wp14:anchorId="68917ACC" wp14:editId="23A31037">
            <wp:simplePos x="0" y="0"/>
            <wp:positionH relativeFrom="column">
              <wp:posOffset>4386</wp:posOffset>
            </wp:positionH>
            <wp:positionV relativeFrom="paragraph">
              <wp:posOffset>-2952056</wp:posOffset>
            </wp:positionV>
            <wp:extent cx="5047615" cy="3086735"/>
            <wp:effectExtent l="0" t="0" r="635" b="0"/>
            <wp:wrapSquare wrapText="bothSides"/>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anchor>
        </w:drawing>
      </w:r>
    </w:p>
    <w:p w14:paraId="6CCB96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Predložitev finančnega jamstva je pogoj za veljavnost koncesijske pogodbe in izvajanje gospodarske javne službe.</w:t>
      </w:r>
    </w:p>
    <w:p w14:paraId="59466C98" w14:textId="77777777" w:rsidR="00B6339D" w:rsidRPr="00B6339D" w:rsidRDefault="00B6339D" w:rsidP="00B6339D">
      <w:pPr>
        <w:tabs>
          <w:tab w:val="left" w:pos="708"/>
        </w:tabs>
        <w:spacing w:before="40" w:after="40" w:line="240" w:lineRule="auto"/>
        <w:jc w:val="both"/>
        <w:rPr>
          <w:rFonts w:ascii="Arial" w:eastAsia="Times New Roman" w:hAnsi="Arial" w:cs="Times New Roman"/>
          <w:kern w:val="0"/>
          <w:sz w:val="20"/>
          <w:szCs w:val="24"/>
        </w:rPr>
      </w:pPr>
      <w:r w:rsidRPr="00B6339D">
        <w:rPr>
          <w:rFonts w:ascii="Arial" w:eastAsia="Times New Roman" w:hAnsi="Arial" w:cs="Times New Roman"/>
          <w:kern w:val="0"/>
          <w:sz w:val="20"/>
          <w:szCs w:val="24"/>
        </w:rPr>
        <w:t xml:space="preserve">Unovčenje finančnega jamstva pa koncesionarja ne odvezuje odgovornosti za morebitno povzročeno </w:t>
      </w:r>
      <w:proofErr w:type="spellStart"/>
      <w:r w:rsidRPr="00B6339D">
        <w:rPr>
          <w:rFonts w:ascii="Arial" w:eastAsia="Times New Roman" w:hAnsi="Arial" w:cs="Times New Roman"/>
          <w:kern w:val="0"/>
          <w:sz w:val="20"/>
          <w:szCs w:val="24"/>
        </w:rPr>
        <w:t>okoljsko</w:t>
      </w:r>
      <w:proofErr w:type="spellEnd"/>
      <w:r w:rsidRPr="00B6339D">
        <w:rPr>
          <w:rFonts w:ascii="Arial" w:eastAsia="Times New Roman" w:hAnsi="Arial" w:cs="Times New Roman"/>
          <w:kern w:val="0"/>
          <w:sz w:val="20"/>
          <w:szCs w:val="24"/>
        </w:rPr>
        <w:t xml:space="preserve"> škodo.</w:t>
      </w:r>
    </w:p>
    <w:p w14:paraId="7DC0E0F3" w14:textId="77777777" w:rsidR="00E65191" w:rsidRDefault="00B6339D" w:rsidP="00B6339D">
      <w:pPr>
        <w:tabs>
          <w:tab w:val="left" w:pos="708"/>
        </w:tabs>
        <w:spacing w:before="40" w:after="40" w:line="240" w:lineRule="auto"/>
        <w:jc w:val="both"/>
        <w:rPr>
          <w:rFonts w:ascii="Arial" w:eastAsia="Times New Roman" w:hAnsi="Arial" w:cs="Times New Roman"/>
          <w:kern w:val="0"/>
          <w:sz w:val="20"/>
          <w:szCs w:val="24"/>
        </w:rPr>
      </w:pPr>
      <w:r w:rsidRPr="00B6339D">
        <w:rPr>
          <w:rFonts w:ascii="Arial" w:eastAsia="Times New Roman" w:hAnsi="Arial" w:cs="Times New Roman"/>
          <w:kern w:val="0"/>
          <w:sz w:val="20"/>
          <w:szCs w:val="24"/>
        </w:rPr>
        <w:t xml:space="preserve">Delovanje obrata in obveznosti upravljavca pa poleg predpisov, ki urejajo izvajanje javne službe, urejajo tudi drugi predpisi, kot so Zakon o varstvu okolja, Uredba o sežigalnicah odpadkov in napravah za </w:t>
      </w:r>
      <w:proofErr w:type="spellStart"/>
      <w:r w:rsidRPr="00B6339D">
        <w:rPr>
          <w:rFonts w:ascii="Arial" w:eastAsia="Times New Roman" w:hAnsi="Arial" w:cs="Times New Roman"/>
          <w:kern w:val="0"/>
          <w:sz w:val="20"/>
          <w:szCs w:val="24"/>
        </w:rPr>
        <w:t>sosežig</w:t>
      </w:r>
      <w:proofErr w:type="spellEnd"/>
      <w:r w:rsidRPr="00B6339D">
        <w:rPr>
          <w:rFonts w:ascii="Arial" w:eastAsia="Times New Roman" w:hAnsi="Arial" w:cs="Times New Roman"/>
          <w:kern w:val="0"/>
          <w:sz w:val="20"/>
          <w:szCs w:val="24"/>
        </w:rPr>
        <w:t xml:space="preserve"> ter Uredba o vrstah dejavnosti in naprav, ki povzročajo industrijske emisije. Povzročitelj obremenitve mora v skladu s prvim odstavkom 11. člena Zakona o varstvu okolja (Uradni list RS, št. 44/22, 18/23 – ZDU-1O, 78/23 – ZUNPEOVE in 23/24, v nadaljevanju. ZVO-2) izvesti vse ukrepe, predpisane za preprečevanje in zmanjšanje obremenjevanja okolja, ter je odgovoren za odpravo vira čezmernega obremenjevanja okolja in njegovih posledic (prav tako pa tudi njegov pravni naslednik).</w:t>
      </w:r>
    </w:p>
    <w:p w14:paraId="6B82D365" w14:textId="77777777" w:rsidR="00B6339D" w:rsidRPr="00B775DE" w:rsidRDefault="00B6339D" w:rsidP="00B6339D">
      <w:pPr>
        <w:tabs>
          <w:tab w:val="left" w:pos="708"/>
        </w:tabs>
        <w:spacing w:before="40" w:after="40" w:line="240" w:lineRule="auto"/>
        <w:jc w:val="both"/>
        <w:rPr>
          <w:rFonts w:ascii="Arial" w:eastAsia="Times New Roman" w:hAnsi="Arial" w:cs="Times New Roman"/>
          <w:kern w:val="0"/>
          <w:sz w:val="20"/>
          <w:szCs w:val="24"/>
        </w:rPr>
      </w:pPr>
    </w:p>
    <w:p w14:paraId="14F4B31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lastRenderedPageBreak/>
        <w:t>K 37. členu</w:t>
      </w:r>
    </w:p>
    <w:p w14:paraId="0A884F4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ima koncesionar na podlagi koncesijske pogodbe posebno oziroma izključno pravico opravljati storitve, ki so predmet gospodarske javne službe na območju izvajanja javne službe iz 6. člena te uredbe, te storitve pa mora opravljati v svojem imenu in za svoj račun.</w:t>
      </w:r>
    </w:p>
    <w:p w14:paraId="2A5543C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416415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38. členu</w:t>
      </w:r>
    </w:p>
    <w:p w14:paraId="04D4D5B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ob neskladju med koncesijskim aktom in koncesijsko pogodbo velja koncesijski akt, koncesijska pogodba, ki je v nasprotju z zakonom ali to uredbo, pa je v tem delu neveljavna.</w:t>
      </w:r>
    </w:p>
    <w:p w14:paraId="74166DD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B7FE39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39. členu</w:t>
      </w:r>
    </w:p>
    <w:p w14:paraId="1449CFE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lahko po sklenitvi koncesijske pogodbe koncedent spremeni koncesijski akt, če je treba v javnem interesu spremeniti način in pogoje izvajanja koncesije ali izvesti druge ukrepe v javnem interesu, kar vključuje tudi spremembo te uredbe zaradi spremembe količin trdnih gorljivih odpadkov, ki nastajajo na območju Republike Slovenije.</w:t>
      </w:r>
    </w:p>
    <w:p w14:paraId="6EB87F9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Ob neskladju med koncesijskim aktom in koncesijsko pogodbo velja koncesijski akt, koncesijska pogodba, ki je v nasprotju z zakonom ali to uredbo, pa je v tem delu neveljavna.</w:t>
      </w:r>
    </w:p>
    <w:p w14:paraId="3702CA8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12133D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40. členu</w:t>
      </w:r>
    </w:p>
    <w:p w14:paraId="71CF079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je trajanje koncesijskega razmerja opredeljeno s koncesijsko pogodbo ter da začne teči z dnem začetka veljavnosti koncesijske pogodbe.</w:t>
      </w:r>
    </w:p>
    <w:p w14:paraId="2E63EE9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AC4490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7.</w:t>
      </w:r>
      <w:r w:rsidRPr="00B775DE">
        <w:rPr>
          <w:rFonts w:ascii="Arial" w:eastAsia="Times New Roman" w:hAnsi="Arial" w:cs="Times New Roman"/>
          <w:b/>
          <w:kern w:val="0"/>
          <w:sz w:val="20"/>
          <w:szCs w:val="24"/>
        </w:rPr>
        <w:tab/>
        <w:t>Razmerja koncesionarja do uporabnikov in koncedenta</w:t>
      </w:r>
    </w:p>
    <w:p w14:paraId="67318FC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3653B5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41. členu</w:t>
      </w:r>
    </w:p>
    <w:p w14:paraId="0DA1D94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pravila za izvajanje dejavnosti gospodarske javne službe. Zahtevana je skladnost z zakoni, podzakonskimi predpisih in splošnimi pravnimi akti. Koncesionar nosi vse stroške v zvezi z izvajanjem javne službe ter zagotovi  ustrezne finančne, kadrovske in tehnične zmogljivosti za njeno izvajanje.</w:t>
      </w:r>
    </w:p>
    <w:p w14:paraId="1519A25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Določa tudi obveznost zagotovitve delovanja javne službe v primeru stavke zaposlenih delavcev.</w:t>
      </w:r>
    </w:p>
    <w:p w14:paraId="137658E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E3E23B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42. členu</w:t>
      </w:r>
    </w:p>
    <w:p w14:paraId="70EDC0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zahteve koncesionarju za obveščanje koncedenta o vseh pomembnih dogodkih in okoliščinah, ki bi lahko vplivali na izvajanje koncesije. </w:t>
      </w:r>
    </w:p>
    <w:p w14:paraId="6BFF139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39E818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43. členu</w:t>
      </w:r>
    </w:p>
    <w:p w14:paraId="62DB3E5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razmejuje odgovornosti </w:t>
      </w:r>
      <w:proofErr w:type="spellStart"/>
      <w:r w:rsidRPr="00B775DE">
        <w:rPr>
          <w:rFonts w:ascii="Arial" w:eastAsia="Times New Roman" w:hAnsi="Arial" w:cs="Times New Roman"/>
          <w:kern w:val="0"/>
          <w:sz w:val="20"/>
          <w:szCs w:val="24"/>
        </w:rPr>
        <w:t>koncendenta</w:t>
      </w:r>
      <w:proofErr w:type="spellEnd"/>
      <w:r w:rsidRPr="00B775DE">
        <w:rPr>
          <w:rFonts w:ascii="Arial" w:eastAsia="Times New Roman" w:hAnsi="Arial" w:cs="Times New Roman"/>
          <w:kern w:val="0"/>
          <w:sz w:val="20"/>
          <w:szCs w:val="24"/>
        </w:rPr>
        <w:t xml:space="preserve"> in koncesionarja v zvezi z izvajanjem gospodarske javne službe.</w:t>
      </w:r>
    </w:p>
    <w:p w14:paraId="0FF3F2A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CB03F4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44. členu</w:t>
      </w:r>
    </w:p>
    <w:p w14:paraId="3078DF3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dolžnosti in pravice </w:t>
      </w:r>
      <w:proofErr w:type="spellStart"/>
      <w:r w:rsidRPr="00B775DE">
        <w:rPr>
          <w:rFonts w:ascii="Arial" w:eastAsia="Times New Roman" w:hAnsi="Arial" w:cs="Times New Roman"/>
          <w:kern w:val="0"/>
          <w:sz w:val="20"/>
          <w:szCs w:val="24"/>
        </w:rPr>
        <w:t>koncendenta</w:t>
      </w:r>
      <w:proofErr w:type="spellEnd"/>
      <w:r w:rsidRPr="00B775DE">
        <w:rPr>
          <w:rFonts w:ascii="Arial" w:eastAsia="Times New Roman" w:hAnsi="Arial" w:cs="Times New Roman"/>
          <w:kern w:val="0"/>
          <w:sz w:val="20"/>
          <w:szCs w:val="24"/>
        </w:rPr>
        <w:t>.</w:t>
      </w:r>
    </w:p>
    <w:p w14:paraId="2816FE1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51EA76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45. členu</w:t>
      </w:r>
    </w:p>
    <w:p w14:paraId="5408D53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pravice upravljavcev centrov za ravnanje s komunalnimi odpadki, ki so uporabniki storitve (nemoteno zagotavljanje storitve, enako obravnavo, uporabo storitve pod pogoji iz predpisa, možnost pritožbe na izvedbo storitve)</w:t>
      </w:r>
    </w:p>
    <w:p w14:paraId="71E94F3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E8FCFF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it-IT"/>
        </w:rPr>
      </w:pPr>
      <w:r w:rsidRPr="00B775DE">
        <w:rPr>
          <w:rFonts w:ascii="Arial" w:eastAsia="Times New Roman" w:hAnsi="Arial" w:cs="Times New Roman"/>
          <w:b/>
          <w:kern w:val="0"/>
          <w:sz w:val="20"/>
          <w:szCs w:val="24"/>
        </w:rPr>
        <w:t>8.</w:t>
      </w:r>
      <w:r w:rsidRPr="00B775DE">
        <w:rPr>
          <w:rFonts w:ascii="Arial" w:eastAsia="Times New Roman" w:hAnsi="Arial" w:cs="Times New Roman"/>
          <w:b/>
          <w:kern w:val="0"/>
          <w:sz w:val="20"/>
          <w:szCs w:val="24"/>
        </w:rPr>
        <w:tab/>
        <w:t>Pravice in obveznosti koncesionarja</w:t>
      </w:r>
    </w:p>
    <w:p w14:paraId="0E29DD0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7710DBA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it-IT"/>
        </w:rPr>
      </w:pPr>
      <w:r w:rsidRPr="00B775DE">
        <w:rPr>
          <w:rFonts w:ascii="Arial" w:eastAsia="Times New Roman" w:hAnsi="Arial" w:cs="Times New Roman"/>
          <w:b/>
          <w:kern w:val="0"/>
          <w:sz w:val="20"/>
          <w:szCs w:val="24"/>
        </w:rPr>
        <w:t>K 46. členu</w:t>
      </w:r>
    </w:p>
    <w:p w14:paraId="5CC8C4B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pravice koncesionarja. Lahko izvaja tudi drugo dejavnost če to ne vpliva na izvajanje javne službe.</w:t>
      </w:r>
    </w:p>
    <w:p w14:paraId="1D3013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856A5E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K 47. členu</w:t>
      </w:r>
    </w:p>
    <w:p w14:paraId="0F271E6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it-IT"/>
        </w:rPr>
      </w:pPr>
      <w:r w:rsidRPr="00B775DE">
        <w:rPr>
          <w:rFonts w:ascii="Arial" w:eastAsia="Times New Roman" w:hAnsi="Arial" w:cs="Times New Roman"/>
          <w:kern w:val="0"/>
          <w:sz w:val="20"/>
          <w:szCs w:val="24"/>
        </w:rPr>
        <w:lastRenderedPageBreak/>
        <w:t xml:space="preserve">Ta člen določa obveznosti  koncesionarja. Poleg rednega izvajanja dejavnosti, obratovalnega </w:t>
      </w:r>
      <w:proofErr w:type="spellStart"/>
      <w:r w:rsidRPr="00B775DE">
        <w:rPr>
          <w:rFonts w:ascii="Arial" w:eastAsia="Times New Roman" w:hAnsi="Arial" w:cs="Times New Roman"/>
          <w:kern w:val="0"/>
          <w:sz w:val="20"/>
          <w:szCs w:val="24"/>
        </w:rPr>
        <w:t>monoitoringa</w:t>
      </w:r>
      <w:proofErr w:type="spellEnd"/>
      <w:r w:rsidRPr="00B775DE">
        <w:rPr>
          <w:rFonts w:ascii="Arial" w:eastAsia="Times New Roman" w:hAnsi="Arial" w:cs="Times New Roman"/>
          <w:kern w:val="0"/>
          <w:sz w:val="20"/>
          <w:szCs w:val="24"/>
        </w:rPr>
        <w:t xml:space="preserve"> priprave poročil in poslovnih načrtov mora v primeru izvajanja druge dejavnosti voditi ločeno računovodstvo in ločeno spremljanje stroškov izvajanja. Zagotoviti mora, da sodila za razdelitev stroškov med obe dejavnosti preveri revizor.</w:t>
      </w:r>
    </w:p>
    <w:p w14:paraId="6AC72C7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600B3A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3F90E5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48. členu</w:t>
      </w:r>
    </w:p>
    <w:p w14:paraId="54A734F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obveznost obveščanja javnosti in nabor podatkov, o katerih mora javnost obveščati, vsi omenjeni podatki pa morajo biti javno dostopni na spletni strani še najmanj dve leti po prenehanju izvajanja gospodarske javne službe.</w:t>
      </w:r>
    </w:p>
    <w:p w14:paraId="2DA86F2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31BE041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9.</w:t>
      </w:r>
      <w:r w:rsidRPr="00B775DE">
        <w:rPr>
          <w:rFonts w:ascii="Arial" w:eastAsia="Times New Roman" w:hAnsi="Arial" w:cs="Times New Roman"/>
          <w:b/>
          <w:kern w:val="0"/>
          <w:sz w:val="20"/>
          <w:szCs w:val="24"/>
        </w:rPr>
        <w:tab/>
        <w:t>Enostranski ukrepi v javnem interesu</w:t>
      </w:r>
    </w:p>
    <w:p w14:paraId="61AEB7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6B5F94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49. členu</w:t>
      </w:r>
    </w:p>
    <w:p w14:paraId="0E2856D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lahko </w:t>
      </w:r>
      <w:proofErr w:type="spellStart"/>
      <w:r w:rsidRPr="00B775DE">
        <w:rPr>
          <w:rFonts w:ascii="Arial" w:eastAsia="Times New Roman" w:hAnsi="Arial" w:cs="Times New Roman"/>
          <w:kern w:val="0"/>
          <w:sz w:val="20"/>
          <w:szCs w:val="24"/>
        </w:rPr>
        <w:t>koncendent</w:t>
      </w:r>
      <w:proofErr w:type="spellEnd"/>
      <w:r w:rsidRPr="00B775DE">
        <w:rPr>
          <w:rFonts w:ascii="Arial" w:eastAsia="Times New Roman" w:hAnsi="Arial" w:cs="Times New Roman"/>
          <w:kern w:val="0"/>
          <w:sz w:val="20"/>
          <w:szCs w:val="24"/>
        </w:rPr>
        <w:t xml:space="preserve"> enostransko (v obliki izrednega nadzora ali navodil) poseže v koncesijsko razmerje, če je treba zavarovati javni interes. </w:t>
      </w:r>
    </w:p>
    <w:p w14:paraId="3C98EF6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224B56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10.</w:t>
      </w:r>
      <w:r w:rsidRPr="00B775DE">
        <w:rPr>
          <w:rFonts w:ascii="Arial" w:eastAsia="Times New Roman" w:hAnsi="Arial" w:cs="Times New Roman"/>
          <w:b/>
          <w:kern w:val="0"/>
          <w:sz w:val="20"/>
          <w:szCs w:val="24"/>
        </w:rPr>
        <w:tab/>
        <w:t>Poročanje in nadzor</w:t>
      </w:r>
    </w:p>
    <w:p w14:paraId="654F333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A6C8AD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50. členu</w:t>
      </w:r>
    </w:p>
    <w:p w14:paraId="2116327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zahteve glede vodenja evidenc, poročanja ministrstvu in hrambe podatkov.</w:t>
      </w:r>
    </w:p>
    <w:p w14:paraId="6B9BD8F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4DEBF9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51. členu</w:t>
      </w:r>
    </w:p>
    <w:p w14:paraId="0067D6B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podrobnejše zahteve glede poročanja ter tudi, da se posamezne podrobnosti glede poročanja uredijo v koncesijski pogodbi.</w:t>
      </w:r>
    </w:p>
    <w:p w14:paraId="2AA44D4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C352B6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52. členu</w:t>
      </w:r>
    </w:p>
    <w:p w14:paraId="1ECF06C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rok za pošiljanje letnih poročil o poslovanju ministrstvu, in sicer za poslovanje za preteklo poslovno leto in za predvideno poslovanje za prihodnje poslovno leto ter revidirano poročilo iz katerega so razvidna sodila in ločeno poslovanje.</w:t>
      </w:r>
    </w:p>
    <w:p w14:paraId="0742E92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CF7BBF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53. členu</w:t>
      </w:r>
    </w:p>
    <w:p w14:paraId="36F1AB3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nadzor nad izvajanjem </w:t>
      </w:r>
      <w:r w:rsidR="00836E89">
        <w:rPr>
          <w:rFonts w:ascii="Arial" w:eastAsia="Times New Roman" w:hAnsi="Arial" w:cs="Times New Roman"/>
          <w:kern w:val="0"/>
          <w:sz w:val="20"/>
          <w:szCs w:val="24"/>
        </w:rPr>
        <w:t>določb te uredbe</w:t>
      </w:r>
      <w:r w:rsidRPr="00B775DE">
        <w:rPr>
          <w:rFonts w:ascii="Arial" w:eastAsia="Times New Roman" w:hAnsi="Arial" w:cs="Times New Roman"/>
          <w:kern w:val="0"/>
          <w:sz w:val="20"/>
          <w:szCs w:val="24"/>
        </w:rPr>
        <w:t xml:space="preserve"> opravljata ministrstvo ter </w:t>
      </w:r>
      <w:r w:rsidR="00836E89" w:rsidRPr="00B775DE">
        <w:rPr>
          <w:rFonts w:ascii="Arial" w:eastAsia="Times New Roman" w:hAnsi="Arial" w:cs="Times New Roman"/>
          <w:kern w:val="0"/>
          <w:sz w:val="20"/>
          <w:szCs w:val="24"/>
        </w:rPr>
        <w:t>inšpek</w:t>
      </w:r>
      <w:r w:rsidR="00836E89">
        <w:rPr>
          <w:rFonts w:ascii="Arial" w:eastAsia="Times New Roman" w:hAnsi="Arial" w:cs="Times New Roman"/>
          <w:kern w:val="0"/>
          <w:sz w:val="20"/>
          <w:szCs w:val="24"/>
        </w:rPr>
        <w:t>cija</w:t>
      </w:r>
      <w:r w:rsidRPr="00B775DE">
        <w:rPr>
          <w:rFonts w:ascii="Arial" w:eastAsia="Times New Roman" w:hAnsi="Arial" w:cs="Times New Roman"/>
          <w:kern w:val="0"/>
          <w:sz w:val="20"/>
          <w:szCs w:val="24"/>
        </w:rPr>
        <w:t xml:space="preserve">, </w:t>
      </w:r>
      <w:r w:rsidR="00836E89" w:rsidRPr="00B775DE">
        <w:rPr>
          <w:rFonts w:ascii="Arial" w:eastAsia="Times New Roman" w:hAnsi="Arial" w:cs="Times New Roman"/>
          <w:kern w:val="0"/>
          <w:sz w:val="20"/>
          <w:szCs w:val="24"/>
        </w:rPr>
        <w:t>pristoj</w:t>
      </w:r>
      <w:r w:rsidR="00836E89">
        <w:rPr>
          <w:rFonts w:ascii="Arial" w:eastAsia="Times New Roman" w:hAnsi="Arial" w:cs="Times New Roman"/>
          <w:kern w:val="0"/>
          <w:sz w:val="20"/>
          <w:szCs w:val="24"/>
        </w:rPr>
        <w:t>na</w:t>
      </w:r>
      <w:r w:rsidR="00836E89" w:rsidRPr="00B775DE">
        <w:rPr>
          <w:rFonts w:ascii="Arial" w:eastAsia="Times New Roman" w:hAnsi="Arial" w:cs="Times New Roman"/>
          <w:kern w:val="0"/>
          <w:sz w:val="20"/>
          <w:szCs w:val="24"/>
        </w:rPr>
        <w:t xml:space="preserve"> </w:t>
      </w:r>
      <w:r w:rsidRPr="00B775DE">
        <w:rPr>
          <w:rFonts w:ascii="Arial" w:eastAsia="Times New Roman" w:hAnsi="Arial" w:cs="Times New Roman"/>
          <w:kern w:val="0"/>
          <w:sz w:val="20"/>
          <w:szCs w:val="24"/>
        </w:rPr>
        <w:t xml:space="preserve">za okolje. Določa tudi zahtevo po omogočanju nadzora in način izvedbe nadzora. </w:t>
      </w:r>
    </w:p>
    <w:p w14:paraId="7041822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C2B7FC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11.</w:t>
      </w:r>
      <w:r w:rsidRPr="00B775DE">
        <w:rPr>
          <w:rFonts w:ascii="Arial" w:eastAsia="Times New Roman" w:hAnsi="Arial" w:cs="Times New Roman"/>
          <w:b/>
          <w:kern w:val="0"/>
          <w:sz w:val="20"/>
          <w:szCs w:val="24"/>
        </w:rPr>
        <w:tab/>
        <w:t>Prenos koncesijskega razmerja</w:t>
      </w:r>
    </w:p>
    <w:p w14:paraId="4BD15B7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9ADE4B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54. členu</w:t>
      </w:r>
    </w:p>
    <w:p w14:paraId="5F2BA1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ureja možnost prenosa koncesije na drugo osebo ob pridobljenem soglasju koncedenta. Ta možnost se podrobneje določi s koncesijsko pogodbo. </w:t>
      </w:r>
    </w:p>
    <w:p w14:paraId="27DB1E3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C2225B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12.</w:t>
      </w:r>
      <w:r w:rsidRPr="00B775DE">
        <w:rPr>
          <w:rFonts w:ascii="Arial" w:eastAsia="Times New Roman" w:hAnsi="Arial" w:cs="Times New Roman"/>
          <w:b/>
          <w:kern w:val="0"/>
          <w:sz w:val="20"/>
          <w:szCs w:val="24"/>
        </w:rPr>
        <w:tab/>
        <w:t>Prenehanje koncesijskega razmerja</w:t>
      </w:r>
    </w:p>
    <w:p w14:paraId="650E27E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B1EF41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55. členu</w:t>
      </w:r>
    </w:p>
    <w:p w14:paraId="1D86B7E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tri možnosti za prenehanje koncesijskega razmerja: prenehanje koncesijske pogodbe, prenehanje koncesionarja ali odkup koncesije. </w:t>
      </w:r>
    </w:p>
    <w:p w14:paraId="544AC0F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52D96A3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56. členu</w:t>
      </w:r>
    </w:p>
    <w:p w14:paraId="79CDB44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štiri pogoje za prenehanje koncesijske pogodbe, ki se podrobneje opredelijo v koncesijski pogodbi. </w:t>
      </w:r>
    </w:p>
    <w:p w14:paraId="638AB76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BAAC48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57. členu</w:t>
      </w:r>
    </w:p>
    <w:p w14:paraId="4143692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koncesijska pogodba poteče s potekom roka, za katerega je bila sklenjena. </w:t>
      </w:r>
    </w:p>
    <w:p w14:paraId="5225064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16DE1B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58. členu</w:t>
      </w:r>
    </w:p>
    <w:p w14:paraId="1F78740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kdaj lahko koncesijsko pogodbo razdre </w:t>
      </w:r>
      <w:proofErr w:type="spellStart"/>
      <w:r w:rsidRPr="00B775DE">
        <w:rPr>
          <w:rFonts w:ascii="Arial" w:eastAsia="Times New Roman" w:hAnsi="Arial" w:cs="Times New Roman"/>
          <w:kern w:val="0"/>
          <w:sz w:val="20"/>
          <w:szCs w:val="24"/>
        </w:rPr>
        <w:t>koncendent</w:t>
      </w:r>
      <w:proofErr w:type="spellEnd"/>
      <w:r w:rsidRPr="00B775DE">
        <w:rPr>
          <w:rFonts w:ascii="Arial" w:eastAsia="Times New Roman" w:hAnsi="Arial" w:cs="Times New Roman"/>
          <w:kern w:val="0"/>
          <w:sz w:val="20"/>
          <w:szCs w:val="24"/>
        </w:rPr>
        <w:t xml:space="preserve"> ali koncesionar. Člen tudi določa, da je ob enostranskem razdrtju koncesijske pogodbe druga stran upravičena do povračila škode, ki je nastala zaradi takšnega razdrtja. </w:t>
      </w:r>
    </w:p>
    <w:p w14:paraId="6B0929C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995B32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59. členu</w:t>
      </w:r>
    </w:p>
    <w:p w14:paraId="5F07C28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lahko vsaka stranka odstopi od koncesijske pogodbe, če je to v koncesijski pogodbi izrecno določeno in če druga stranka krši koncesijsko pogodbo, določa pa tudi, kaj se ne šteje za kršitev pogodbe na strani </w:t>
      </w:r>
      <w:proofErr w:type="spellStart"/>
      <w:r w:rsidRPr="00B775DE">
        <w:rPr>
          <w:rFonts w:ascii="Arial" w:eastAsia="Times New Roman" w:hAnsi="Arial" w:cs="Times New Roman"/>
          <w:kern w:val="0"/>
          <w:sz w:val="20"/>
          <w:szCs w:val="24"/>
        </w:rPr>
        <w:t>koncendenta</w:t>
      </w:r>
      <w:proofErr w:type="spellEnd"/>
      <w:r w:rsidRPr="00B775DE">
        <w:rPr>
          <w:rFonts w:ascii="Arial" w:eastAsia="Times New Roman" w:hAnsi="Arial" w:cs="Times New Roman"/>
          <w:kern w:val="0"/>
          <w:sz w:val="20"/>
          <w:szCs w:val="24"/>
        </w:rPr>
        <w:t xml:space="preserve">. </w:t>
      </w:r>
    </w:p>
    <w:p w14:paraId="47BF891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9FA35F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60. členu</w:t>
      </w:r>
    </w:p>
    <w:p w14:paraId="2EF4B73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da lahko koncesijska pogodba zaradi bistveno spremenjenih okoliščin ekonomskega ali sistemskega značaja preneha tudi na podlagi sporazuma obeh pogodbenih strank.</w:t>
      </w:r>
    </w:p>
    <w:p w14:paraId="7D26AB0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F7CF04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61. členu</w:t>
      </w:r>
    </w:p>
    <w:p w14:paraId="071ADCF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koncesijsko razmerje preneha ob prenehanju koncesionarja, če ta nima univerzalnega pravnega naslednika, in ob stečaju. </w:t>
      </w:r>
    </w:p>
    <w:p w14:paraId="2C9C9FC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FAAE5F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pl-PL"/>
        </w:rPr>
      </w:pPr>
      <w:r w:rsidRPr="00B775DE">
        <w:rPr>
          <w:rFonts w:ascii="Arial" w:eastAsia="Times New Roman" w:hAnsi="Arial" w:cs="Times New Roman"/>
          <w:b/>
          <w:kern w:val="0"/>
          <w:sz w:val="20"/>
          <w:szCs w:val="24"/>
        </w:rPr>
        <w:t>K 62. členu</w:t>
      </w:r>
    </w:p>
    <w:p w14:paraId="2A452FE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 xml:space="preserve">Ta člen določa, da se lahko koncedent in koncesionar dogovorita o odkupu koncesije. Odkup je mogoč le tako, da vsa infrastruktura in obveznosti preidejo na </w:t>
      </w:r>
      <w:proofErr w:type="spellStart"/>
      <w:r w:rsidRPr="00B775DE">
        <w:rPr>
          <w:rFonts w:ascii="Arial" w:eastAsia="Times New Roman" w:hAnsi="Arial" w:cs="Times New Roman"/>
          <w:kern w:val="0"/>
          <w:sz w:val="20"/>
          <w:szCs w:val="24"/>
        </w:rPr>
        <w:t>koncendenta</w:t>
      </w:r>
      <w:proofErr w:type="spellEnd"/>
      <w:r w:rsidRPr="00B775DE">
        <w:rPr>
          <w:rFonts w:ascii="Arial" w:eastAsia="Times New Roman" w:hAnsi="Arial" w:cs="Times New Roman"/>
          <w:kern w:val="0"/>
          <w:sz w:val="20"/>
          <w:szCs w:val="24"/>
        </w:rPr>
        <w:t xml:space="preserve">. </w:t>
      </w:r>
    </w:p>
    <w:p w14:paraId="3B4BEF2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B22D8D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it-IT"/>
        </w:rPr>
      </w:pPr>
      <w:r w:rsidRPr="00B775DE">
        <w:rPr>
          <w:rFonts w:ascii="Arial" w:eastAsia="Times New Roman" w:hAnsi="Arial" w:cs="Times New Roman"/>
          <w:b/>
          <w:kern w:val="0"/>
          <w:sz w:val="20"/>
          <w:szCs w:val="24"/>
        </w:rPr>
        <w:t>13.</w:t>
      </w:r>
      <w:r w:rsidRPr="00B775DE">
        <w:rPr>
          <w:rFonts w:ascii="Arial" w:eastAsia="Times New Roman" w:hAnsi="Arial" w:cs="Times New Roman"/>
          <w:b/>
          <w:kern w:val="0"/>
          <w:sz w:val="20"/>
          <w:szCs w:val="24"/>
        </w:rPr>
        <w:tab/>
        <w:t>Višja sila in spremenjene okoliščine</w:t>
      </w:r>
    </w:p>
    <w:p w14:paraId="32E5FEA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C68512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it-IT"/>
        </w:rPr>
      </w:pPr>
      <w:r w:rsidRPr="00B775DE">
        <w:rPr>
          <w:rFonts w:ascii="Arial" w:eastAsia="Times New Roman" w:hAnsi="Arial" w:cs="Times New Roman"/>
          <w:b/>
          <w:kern w:val="0"/>
          <w:sz w:val="20"/>
          <w:szCs w:val="24"/>
        </w:rPr>
        <w:t>K 63. členu</w:t>
      </w:r>
    </w:p>
    <w:p w14:paraId="08FED76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ureja izvajanje koncesijskih obveznosti ob nastanku višje sile, pri čemer lahko to vodi tudi v sporazumno prenehanje koncesijskega razmerja. Koncesionarju daj možnost zahtevka za povračilo stroškov, ki so nastali zaradi opravljanja gospodarske javne službe v nepredvidljivih okoliščinah.</w:t>
      </w:r>
    </w:p>
    <w:p w14:paraId="339A83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9A5545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64. členu</w:t>
      </w:r>
    </w:p>
    <w:p w14:paraId="66A269A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ureja stanje, če po sklenitvi koncesijske pogodbe nastanejo okoliščine, ki bistveno otežujejo izpolnjevanje obveznosti koncesionarja ali </w:t>
      </w:r>
      <w:proofErr w:type="spellStart"/>
      <w:r w:rsidRPr="00B775DE">
        <w:rPr>
          <w:rFonts w:ascii="Arial" w:eastAsia="Times New Roman" w:hAnsi="Arial" w:cs="Times New Roman"/>
          <w:kern w:val="0"/>
          <w:sz w:val="20"/>
          <w:szCs w:val="24"/>
        </w:rPr>
        <w:t>koncendenta</w:t>
      </w:r>
      <w:proofErr w:type="spellEnd"/>
      <w:r w:rsidRPr="00B775DE">
        <w:rPr>
          <w:rFonts w:ascii="Arial" w:eastAsia="Times New Roman" w:hAnsi="Arial" w:cs="Times New Roman"/>
          <w:kern w:val="0"/>
          <w:sz w:val="20"/>
          <w:szCs w:val="24"/>
        </w:rPr>
        <w:t xml:space="preserve">, in sicer v taki meri, da bi bilo pogodbena tveganja nepravično prevaliti pretežno ali izključno le na eno od strank. </w:t>
      </w:r>
    </w:p>
    <w:p w14:paraId="7FBBD46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3D1529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it-IT"/>
        </w:rPr>
      </w:pPr>
      <w:r w:rsidRPr="00B775DE">
        <w:rPr>
          <w:rFonts w:ascii="Arial" w:eastAsia="Times New Roman" w:hAnsi="Arial" w:cs="Times New Roman"/>
          <w:b/>
          <w:kern w:val="0"/>
          <w:sz w:val="20"/>
          <w:szCs w:val="24"/>
        </w:rPr>
        <w:t>14.</w:t>
      </w:r>
      <w:r w:rsidRPr="00B775DE">
        <w:rPr>
          <w:rFonts w:ascii="Arial" w:eastAsia="Times New Roman" w:hAnsi="Arial" w:cs="Times New Roman"/>
          <w:b/>
          <w:kern w:val="0"/>
          <w:sz w:val="20"/>
          <w:szCs w:val="24"/>
        </w:rPr>
        <w:tab/>
        <w:t>Uporaba prava in reševanje sporov</w:t>
      </w:r>
    </w:p>
    <w:p w14:paraId="705AEBA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B0E923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it-IT"/>
        </w:rPr>
      </w:pPr>
      <w:r w:rsidRPr="00B775DE">
        <w:rPr>
          <w:rFonts w:ascii="Arial" w:eastAsia="Times New Roman" w:hAnsi="Arial" w:cs="Times New Roman"/>
          <w:b/>
          <w:kern w:val="0"/>
          <w:sz w:val="20"/>
          <w:szCs w:val="24"/>
        </w:rPr>
        <w:t>K 65. členu</w:t>
      </w:r>
    </w:p>
    <w:p w14:paraId="290B7B2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it-IT"/>
        </w:rPr>
      </w:pPr>
      <w:r w:rsidRPr="00B775DE">
        <w:rPr>
          <w:rFonts w:ascii="Arial" w:eastAsia="Times New Roman" w:hAnsi="Arial" w:cs="Times New Roman"/>
          <w:kern w:val="0"/>
          <w:sz w:val="20"/>
          <w:szCs w:val="24"/>
        </w:rPr>
        <w:t xml:space="preserve">Ta člen določa izključno uporabo pravnega reda Republike Slovenije za vsa civilnopravna razmerja. </w:t>
      </w:r>
    </w:p>
    <w:p w14:paraId="388166A8" w14:textId="77777777" w:rsidR="00E65191" w:rsidRPr="00B775DE" w:rsidRDefault="00E65191" w:rsidP="00E65191">
      <w:pPr>
        <w:tabs>
          <w:tab w:val="left" w:pos="708"/>
        </w:tabs>
        <w:spacing w:before="40" w:after="40" w:line="240" w:lineRule="auto"/>
        <w:jc w:val="both"/>
        <w:rPr>
          <w:rFonts w:ascii="Arial" w:eastAsia="Times New Roman" w:hAnsi="Arial" w:cs="Times New Roman"/>
          <w:i/>
          <w:kern w:val="0"/>
          <w:sz w:val="20"/>
          <w:szCs w:val="24"/>
        </w:rPr>
      </w:pPr>
    </w:p>
    <w:p w14:paraId="574C17C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66. členu</w:t>
      </w:r>
    </w:p>
    <w:p w14:paraId="1D399BA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da o sporih iz razmerij, povezanih z izvajanjem gospodarske javne službe, ne morejo odločati tuja sodišča ali domača ali tuja arbitraža. </w:t>
      </w:r>
    </w:p>
    <w:p w14:paraId="4614B4B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36513D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b/>
          <w:kern w:val="0"/>
          <w:sz w:val="20"/>
          <w:szCs w:val="24"/>
        </w:rPr>
        <w:t>IV.</w:t>
      </w:r>
      <w:r w:rsidRPr="00B775DE">
        <w:rPr>
          <w:rFonts w:ascii="Arial" w:eastAsia="Times New Roman" w:hAnsi="Arial" w:cs="Times New Roman"/>
          <w:b/>
          <w:kern w:val="0"/>
          <w:sz w:val="20"/>
          <w:szCs w:val="24"/>
        </w:rPr>
        <w:tab/>
        <w:t>Kazenske določbe</w:t>
      </w:r>
    </w:p>
    <w:p w14:paraId="77B7E12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4453CC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1. Prekrški uporabnika storitev gospodarske javne službe</w:t>
      </w:r>
    </w:p>
    <w:p w14:paraId="4F3A881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384EC9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67. členu</w:t>
      </w:r>
    </w:p>
    <w:p w14:paraId="6D7478A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 xml:space="preserve">Ta člen določa lažje prekrške centrov za ravnanje s komunalnimi odpadki. Poleg pravne osebe se kaznuje tudi odgovorna oseba pravne osebe. </w:t>
      </w:r>
    </w:p>
    <w:p w14:paraId="2846644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F82EE1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68. členu</w:t>
      </w:r>
    </w:p>
    <w:p w14:paraId="4CF39A9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pl-PL"/>
        </w:rPr>
      </w:pPr>
      <w:r w:rsidRPr="00B775DE">
        <w:rPr>
          <w:rFonts w:ascii="Arial" w:eastAsia="Times New Roman" w:hAnsi="Arial" w:cs="Times New Roman"/>
          <w:kern w:val="0"/>
          <w:sz w:val="20"/>
          <w:szCs w:val="24"/>
        </w:rPr>
        <w:t xml:space="preserve">Ta člen določa težje prekrške centrov za ravnanje s komunalnimi odpadki. Poleg pravne osebe se kaznuje tudi odgovorna oseba pravne osebe. </w:t>
      </w:r>
    </w:p>
    <w:p w14:paraId="387EE8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798257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2. Prekrški izvajalca gospodarske javne službe</w:t>
      </w:r>
    </w:p>
    <w:p w14:paraId="22E226A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8F218E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69. členu</w:t>
      </w:r>
    </w:p>
    <w:p w14:paraId="5AB24B4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lažje prekrške izvajalca gospodarske javne službe. Poleg pravne osebe se kaznuje tudi odgovorna oseba pravne osebe.</w:t>
      </w:r>
    </w:p>
    <w:p w14:paraId="04FDE7B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BAE141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70. členu</w:t>
      </w:r>
    </w:p>
    <w:p w14:paraId="0044B4C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težje prekrške izvajalca gospodarske javne službe. Poleg pravne osebe se kaznuje tudi odgovorna oseba pravne osebe.</w:t>
      </w:r>
    </w:p>
    <w:p w14:paraId="66D91A8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31DA8E4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890D94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57EBC44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V.</w:t>
      </w:r>
      <w:r w:rsidRPr="00B775DE">
        <w:rPr>
          <w:rFonts w:ascii="Arial" w:eastAsia="Times New Roman" w:hAnsi="Arial" w:cs="Times New Roman"/>
          <w:b/>
          <w:kern w:val="0"/>
          <w:sz w:val="20"/>
          <w:szCs w:val="24"/>
        </w:rPr>
        <w:tab/>
        <w:t>Prehodne in končne določbe</w:t>
      </w:r>
    </w:p>
    <w:p w14:paraId="0AD5583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5A71FC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71. členu</w:t>
      </w:r>
    </w:p>
    <w:p w14:paraId="677C278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določa višino globe izrečene v hitrem </w:t>
      </w:r>
      <w:proofErr w:type="spellStart"/>
      <w:r w:rsidRPr="00B775DE">
        <w:rPr>
          <w:rFonts w:ascii="Arial" w:eastAsia="Times New Roman" w:hAnsi="Arial" w:cs="Times New Roman"/>
          <w:kern w:val="0"/>
          <w:sz w:val="20"/>
          <w:szCs w:val="24"/>
        </w:rPr>
        <w:t>prekrškovnem</w:t>
      </w:r>
      <w:proofErr w:type="spellEnd"/>
      <w:r w:rsidRPr="00B775DE">
        <w:rPr>
          <w:rFonts w:ascii="Arial" w:eastAsia="Times New Roman" w:hAnsi="Arial" w:cs="Times New Roman"/>
          <w:kern w:val="0"/>
          <w:sz w:val="20"/>
          <w:szCs w:val="24"/>
        </w:rPr>
        <w:t xml:space="preserve"> postopku</w:t>
      </w:r>
      <w:r w:rsidRPr="00B775DE" w:rsidDel="00584B55">
        <w:rPr>
          <w:rFonts w:ascii="Arial" w:eastAsia="Times New Roman" w:hAnsi="Arial" w:cs="Times New Roman"/>
          <w:kern w:val="0"/>
          <w:sz w:val="20"/>
          <w:szCs w:val="24"/>
        </w:rPr>
        <w:t xml:space="preserve"> </w:t>
      </w:r>
    </w:p>
    <w:p w14:paraId="210481D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4F6DAB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72. členu</w:t>
      </w:r>
    </w:p>
    <w:p w14:paraId="4D32949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Ta člen ureja </w:t>
      </w:r>
      <w:r w:rsidR="00C40A98">
        <w:rPr>
          <w:rFonts w:ascii="Arial" w:eastAsia="Times New Roman" w:hAnsi="Arial" w:cs="Times New Roman"/>
          <w:kern w:val="0"/>
          <w:sz w:val="20"/>
          <w:szCs w:val="24"/>
        </w:rPr>
        <w:t xml:space="preserve">delovanje do izteka obstoječe koncesijske pogodbe ter </w:t>
      </w:r>
      <w:r w:rsidRPr="00B775DE">
        <w:rPr>
          <w:rFonts w:ascii="Arial" w:eastAsia="Times New Roman" w:hAnsi="Arial" w:cs="Times New Roman"/>
          <w:kern w:val="0"/>
          <w:sz w:val="20"/>
          <w:szCs w:val="24"/>
        </w:rPr>
        <w:t>pridobitev koncesije po tej uredbi tudi za obstoječo sežigalnico v Celju, če se bo ta prilagodila pogojem iz te uredbe po izteku obstoječe koncesije, pridobljene na podlagi Uredbe o načinu, predmetu in pogojih opravljanja obvezne državne gospodarske javne službe sežiganja komunalnih odpadkov na območju občin Savinjske regije (Uradni list RS, št. 109/05, 62/08 in 6/16).</w:t>
      </w:r>
    </w:p>
    <w:p w14:paraId="287B88C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63BE46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73. členu</w:t>
      </w:r>
    </w:p>
    <w:p w14:paraId="62B7467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kern w:val="0"/>
          <w:sz w:val="20"/>
          <w:szCs w:val="24"/>
        </w:rPr>
        <w:t xml:space="preserve">Ta člen ureja začetek obveznosti  poročanja iz priloge 3 za uporabnike javne službe </w:t>
      </w:r>
    </w:p>
    <w:p w14:paraId="2C185D9D" w14:textId="77777777" w:rsidR="00102C05" w:rsidRPr="00893884" w:rsidRDefault="00102C05" w:rsidP="00102C05">
      <w:pPr>
        <w:tabs>
          <w:tab w:val="left" w:pos="708"/>
        </w:tabs>
        <w:spacing w:before="40" w:after="40" w:line="240" w:lineRule="auto"/>
        <w:jc w:val="both"/>
        <w:rPr>
          <w:rFonts w:ascii="Arial" w:eastAsia="Times New Roman" w:hAnsi="Arial" w:cs="Times New Roman"/>
          <w:bCs/>
          <w:kern w:val="0"/>
          <w:sz w:val="20"/>
          <w:szCs w:val="24"/>
        </w:rPr>
      </w:pPr>
      <w:r>
        <w:rPr>
          <w:rFonts w:ascii="Arial" w:eastAsia="Times New Roman" w:hAnsi="Arial" w:cs="Times New Roman"/>
          <w:bCs/>
          <w:kern w:val="0"/>
          <w:sz w:val="20"/>
          <w:szCs w:val="24"/>
        </w:rPr>
        <w:t>P</w:t>
      </w:r>
      <w:r w:rsidR="00CE0858" w:rsidRPr="00893884">
        <w:rPr>
          <w:rFonts w:ascii="Arial" w:eastAsia="Times New Roman" w:hAnsi="Arial" w:cs="Times New Roman"/>
          <w:bCs/>
          <w:kern w:val="0"/>
          <w:sz w:val="20"/>
          <w:szCs w:val="24"/>
        </w:rPr>
        <w:t>oročanje je predvideno za 13 regijskih centrov, ki izvajajo obdelavo mešanih komunalnih odpadkov pred odlaganjem v okviru obvezne občinske gospodarske javne službe obdelave določenih vrst komunalnih odpadkov. Ti centri pogosto izvajajo tudi obdelave drugih vrst komunalnih odpadkov (npr. kosovni, ločeno zbrani komunalni odpadki) in tržne storitve za ravnanje z odpadno embalažo.</w:t>
      </w:r>
    </w:p>
    <w:p w14:paraId="3DCC23F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5B8C324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74. členu</w:t>
      </w:r>
    </w:p>
    <w:p w14:paraId="2C712063" w14:textId="77777777" w:rsidR="00E65191" w:rsidRDefault="00E65191" w:rsidP="00E65191">
      <w:pPr>
        <w:tabs>
          <w:tab w:val="left" w:pos="708"/>
        </w:tabs>
        <w:spacing w:before="40" w:after="40" w:line="240" w:lineRule="auto"/>
        <w:jc w:val="both"/>
        <w:rPr>
          <w:rFonts w:ascii="Arial" w:eastAsia="Times New Roman" w:hAnsi="Arial" w:cs="Times New Roman"/>
          <w:bCs/>
          <w:kern w:val="0"/>
          <w:sz w:val="20"/>
          <w:szCs w:val="24"/>
        </w:rPr>
      </w:pPr>
    </w:p>
    <w:p w14:paraId="0AF44CF6" w14:textId="77777777" w:rsidR="00102C05" w:rsidRPr="00102C05" w:rsidRDefault="00C40A98" w:rsidP="00102C05">
      <w:pPr>
        <w:tabs>
          <w:tab w:val="left" w:pos="708"/>
        </w:tabs>
        <w:spacing w:before="40" w:after="40" w:line="240" w:lineRule="auto"/>
        <w:jc w:val="both"/>
        <w:rPr>
          <w:rFonts w:ascii="Arial" w:eastAsia="Times New Roman" w:hAnsi="Arial" w:cs="Times New Roman"/>
          <w:bCs/>
          <w:kern w:val="0"/>
          <w:sz w:val="20"/>
          <w:szCs w:val="24"/>
        </w:rPr>
      </w:pPr>
      <w:r>
        <w:rPr>
          <w:rFonts w:ascii="Arial" w:eastAsia="Times New Roman" w:hAnsi="Arial" w:cs="Times New Roman"/>
          <w:bCs/>
          <w:kern w:val="0"/>
          <w:sz w:val="20"/>
          <w:szCs w:val="24"/>
        </w:rPr>
        <w:t xml:space="preserve">Ta člen ureja način ravnanja z odpadki za uporabnike javne službe do vzpostavitve (začetka delovanja obratov) gospodarske javne službe iz te uredbe. Zagotovljena mora biti predelava po postopku R1 v Republiki </w:t>
      </w:r>
      <w:r w:rsidR="00893884">
        <w:rPr>
          <w:rFonts w:ascii="Arial" w:eastAsia="Times New Roman" w:hAnsi="Arial" w:cs="Times New Roman"/>
          <w:bCs/>
          <w:kern w:val="0"/>
          <w:sz w:val="20"/>
          <w:szCs w:val="24"/>
        </w:rPr>
        <w:t>Sloveniji</w:t>
      </w:r>
      <w:r>
        <w:rPr>
          <w:rFonts w:ascii="Arial" w:eastAsia="Times New Roman" w:hAnsi="Arial" w:cs="Times New Roman"/>
          <w:bCs/>
          <w:kern w:val="0"/>
          <w:sz w:val="20"/>
          <w:szCs w:val="24"/>
        </w:rPr>
        <w:t xml:space="preserve"> ali izven države ob spoštovanju določil predpisa, ki ureja pošiljke odpadkov.</w:t>
      </w:r>
      <w:r w:rsidR="00102C05" w:rsidRPr="00102C05">
        <w:t xml:space="preserve"> </w:t>
      </w:r>
      <w:r w:rsidR="00102C05" w:rsidRPr="00102C05">
        <w:rPr>
          <w:rFonts w:ascii="Arial" w:eastAsia="Times New Roman" w:hAnsi="Arial" w:cs="Times New Roman"/>
          <w:bCs/>
          <w:kern w:val="0"/>
          <w:sz w:val="20"/>
          <w:szCs w:val="24"/>
        </w:rPr>
        <w:t>Analize dosedanjega izvajanja kažejo, da del slovenskih občin obdelavo zbranih komunalnih odpadkov ureja s kratkoročnimi pogodbami (tudi z več različnimi subjekti v obdobju posameznega leta, v različnih območjih zagotavljanja sežiga) in da prihaja do oteženega načrtovanja potrebnih kapacitet.</w:t>
      </w:r>
    </w:p>
    <w:p w14:paraId="5939286C" w14:textId="77777777" w:rsidR="00102C05" w:rsidRPr="00102C05" w:rsidRDefault="00102C05" w:rsidP="00102C05">
      <w:pPr>
        <w:tabs>
          <w:tab w:val="left" w:pos="708"/>
        </w:tabs>
        <w:spacing w:before="40" w:after="40" w:line="240" w:lineRule="auto"/>
        <w:jc w:val="both"/>
        <w:rPr>
          <w:rFonts w:ascii="Arial" w:eastAsia="Times New Roman" w:hAnsi="Arial" w:cs="Times New Roman"/>
          <w:bCs/>
          <w:kern w:val="0"/>
          <w:sz w:val="20"/>
          <w:szCs w:val="24"/>
        </w:rPr>
      </w:pPr>
      <w:r w:rsidRPr="00102C05">
        <w:rPr>
          <w:rFonts w:ascii="Arial" w:eastAsia="Times New Roman" w:hAnsi="Arial" w:cs="Times New Roman"/>
          <w:bCs/>
          <w:kern w:val="0"/>
          <w:sz w:val="20"/>
          <w:szCs w:val="24"/>
        </w:rPr>
        <w:t xml:space="preserve">Vzpostavitev celovitega pregleda nad tokovi odpadkov je ključen predpogoj za učinkovito izvajanje državne javne službe in doseganje ciljev recikliranja. Zato je predlogu uredbe predvideno dnevno poročanje, ki bo omogočilo zbiranje ažurnih in primerljivih podatkov. </w:t>
      </w:r>
    </w:p>
    <w:p w14:paraId="00D093C6" w14:textId="77777777" w:rsidR="00C40A98" w:rsidRDefault="00102C05" w:rsidP="00102C05">
      <w:pPr>
        <w:tabs>
          <w:tab w:val="left" w:pos="708"/>
        </w:tabs>
        <w:spacing w:before="40" w:after="40" w:line="240" w:lineRule="auto"/>
        <w:jc w:val="both"/>
        <w:rPr>
          <w:rFonts w:ascii="Arial" w:eastAsia="Times New Roman" w:hAnsi="Arial" w:cs="Times New Roman"/>
          <w:bCs/>
          <w:kern w:val="0"/>
          <w:sz w:val="20"/>
          <w:szCs w:val="24"/>
        </w:rPr>
      </w:pPr>
      <w:r w:rsidRPr="00102C05">
        <w:rPr>
          <w:rFonts w:ascii="Arial" w:eastAsia="Times New Roman" w:hAnsi="Arial" w:cs="Times New Roman"/>
          <w:bCs/>
          <w:kern w:val="0"/>
          <w:sz w:val="20"/>
          <w:szCs w:val="24"/>
        </w:rPr>
        <w:t>Ministrstvo za okolje, podnebje in energijo si prizadeva za postopno zmanjševanje administrativnih obremenitev izvajalcev. Če se bo v nadaljevanju izkazalo, da so podatki zanesljivi in se državna javna služba učinkovito izvaja bodo vzpostavljeni pogoji zmanjšanja frekvence poročanja.</w:t>
      </w:r>
    </w:p>
    <w:p w14:paraId="5CC1D2EB" w14:textId="77777777" w:rsidR="00C40A98" w:rsidRPr="00893884" w:rsidRDefault="00C40A98" w:rsidP="00E65191">
      <w:pPr>
        <w:tabs>
          <w:tab w:val="left" w:pos="708"/>
        </w:tabs>
        <w:spacing w:before="40" w:after="40" w:line="240" w:lineRule="auto"/>
        <w:jc w:val="both"/>
        <w:rPr>
          <w:rFonts w:ascii="Arial" w:eastAsia="Times New Roman" w:hAnsi="Arial" w:cs="Times New Roman"/>
          <w:bCs/>
          <w:kern w:val="0"/>
          <w:sz w:val="20"/>
          <w:szCs w:val="24"/>
        </w:rPr>
      </w:pPr>
    </w:p>
    <w:p w14:paraId="12C55FDC" w14:textId="77777777" w:rsidR="00893884" w:rsidRDefault="00893884" w:rsidP="00E65191">
      <w:pPr>
        <w:tabs>
          <w:tab w:val="left" w:pos="708"/>
        </w:tabs>
        <w:spacing w:before="40" w:after="40" w:line="240" w:lineRule="auto"/>
        <w:jc w:val="both"/>
        <w:rPr>
          <w:rFonts w:ascii="Arial" w:eastAsia="Times New Roman" w:hAnsi="Arial" w:cs="Times New Roman"/>
          <w:b/>
          <w:kern w:val="0"/>
          <w:sz w:val="20"/>
          <w:szCs w:val="24"/>
        </w:rPr>
      </w:pPr>
    </w:p>
    <w:p w14:paraId="38FB3BB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lastRenderedPageBreak/>
        <w:t>K 75. členu</w:t>
      </w:r>
    </w:p>
    <w:p w14:paraId="192F79B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kateri predpisi prenehajo veljati z uveljavitvijo te uredbe. Določa pa tudi, da se določbe predpisov, ki prenehajo veljati z uveljavitvijo te uredbe, uporabljajo do izteka obstoječe koncesijske pogodbe sežiganja komunalnih odpadkov na območju občin Savinjske regije ali do zaključka postopkov podaljšanja koncesije, sproženih na podlagi predpisov, ki prenehajo veljati z uveljavitvijo te uredbe..</w:t>
      </w:r>
    </w:p>
    <w:p w14:paraId="4D5CE97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007697B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76. členu</w:t>
      </w:r>
    </w:p>
    <w:p w14:paraId="60A5F9A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Ta člen določa začetek veljavnosti te uredbe.</w:t>
      </w:r>
    </w:p>
    <w:p w14:paraId="5A6756C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979172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Prilogi 1</w:t>
      </w:r>
    </w:p>
    <w:p w14:paraId="457A7E4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74C13D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bookmarkStart w:id="60" w:name="_Hlk180654217"/>
      <w:r w:rsidRPr="00B775DE">
        <w:rPr>
          <w:rFonts w:ascii="Arial" w:eastAsia="Times New Roman" w:hAnsi="Arial" w:cs="Times New Roman"/>
          <w:kern w:val="0"/>
          <w:sz w:val="20"/>
          <w:szCs w:val="24"/>
        </w:rPr>
        <w:t xml:space="preserve">Priloga 1 vsebuje postopek izračuna največje količine gorljivih sestavin za mešane komunalne odpadke s številko 20 03 01 (MKO) , ki se lahko v posameznem koledarskem letu sežgejo v okviru storitev gospodarske javne službe (za vsako občino posebej). </w:t>
      </w:r>
    </w:p>
    <w:p w14:paraId="0CA2A8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Največja letna količine papirja, tekstila, lesa, plastike in gorljivih drugih odpadkov v MKO se v posameznem koledarskem letu za območje posamezne občine izračuna na podlagi </w:t>
      </w:r>
    </w:p>
    <w:p w14:paraId="5718BF3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povprečnih deležev teh odpadkov  v MKO je ocenjenem na podlagi rezultatov </w:t>
      </w:r>
      <w:proofErr w:type="spellStart"/>
      <w:r w:rsidRPr="00B775DE">
        <w:rPr>
          <w:rFonts w:ascii="Arial" w:eastAsia="Times New Roman" w:hAnsi="Arial" w:cs="Times New Roman"/>
          <w:kern w:val="0"/>
          <w:sz w:val="20"/>
          <w:szCs w:val="24"/>
        </w:rPr>
        <w:t>sortirnih</w:t>
      </w:r>
      <w:proofErr w:type="spellEnd"/>
      <w:r w:rsidRPr="00B775DE">
        <w:rPr>
          <w:rFonts w:ascii="Arial" w:eastAsia="Times New Roman" w:hAnsi="Arial" w:cs="Times New Roman"/>
          <w:kern w:val="0"/>
          <w:sz w:val="20"/>
          <w:szCs w:val="24"/>
        </w:rPr>
        <w:t xml:space="preserve"> analiz MKO, izdelanih za izhodiščno leto modelnega izračuna scenarijev razvoja ravnanja s komunalnimi odpadki.</w:t>
      </w:r>
    </w:p>
    <w:bookmarkEnd w:id="60"/>
    <w:p w14:paraId="6B6CC14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63EA26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K Prilogi 2</w:t>
      </w:r>
    </w:p>
    <w:p w14:paraId="6BE8D7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E91F00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Primer prikaza podatkov o največjih količinah gorljivih sestavin je izdelan za leto 2025 na podlagi podatkov o ravnanju s komunalnimi odpadki v izhodiščnem letu 2021.</w:t>
      </w:r>
    </w:p>
    <w:p w14:paraId="1FB2B4E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5D3ED9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E4FBA7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63B1289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1. del - največja letna količina gorljivih sestavin, ki nastanejo po mehanski obdelavi mešanih komunalnih odpadkov in se sežigajo kot storitev gospodarske javne službe, je za leto 2025 navedena v spodnji tabeli:</w:t>
      </w:r>
    </w:p>
    <w:p w14:paraId="1E6E2B8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tbl>
      <w:tblPr>
        <w:tblW w:w="9360" w:type="dxa"/>
        <w:tblInd w:w="85" w:type="dxa"/>
        <w:tblCellMar>
          <w:left w:w="70" w:type="dxa"/>
          <w:right w:w="70" w:type="dxa"/>
        </w:tblCellMar>
        <w:tblLook w:val="04A0" w:firstRow="1" w:lastRow="0" w:firstColumn="1" w:lastColumn="0" w:noHBand="0" w:noVBand="1"/>
      </w:tblPr>
      <w:tblGrid>
        <w:gridCol w:w="1240"/>
        <w:gridCol w:w="1263"/>
        <w:gridCol w:w="1263"/>
        <w:gridCol w:w="1320"/>
        <w:gridCol w:w="1480"/>
        <w:gridCol w:w="1440"/>
        <w:gridCol w:w="1420"/>
      </w:tblGrid>
      <w:tr w:rsidR="00E65191" w:rsidRPr="00B775DE" w14:paraId="67D19B01" w14:textId="77777777" w:rsidTr="00C21643">
        <w:trPr>
          <w:trHeight w:val="1800"/>
        </w:trPr>
        <w:tc>
          <w:tcPr>
            <w:tcW w:w="1240" w:type="dxa"/>
            <w:tcBorders>
              <w:top w:val="single" w:sz="12" w:space="0" w:color="auto"/>
              <w:left w:val="single" w:sz="12" w:space="0" w:color="auto"/>
              <w:bottom w:val="nil"/>
              <w:right w:val="nil"/>
            </w:tcBorders>
            <w:shd w:val="clear" w:color="000000" w:fill="64FC68"/>
            <w:vAlign w:val="bottom"/>
            <w:hideMark/>
          </w:tcPr>
          <w:p w14:paraId="0387ABC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w:t>
            </w:r>
          </w:p>
        </w:tc>
        <w:tc>
          <w:tcPr>
            <w:tcW w:w="1240" w:type="dxa"/>
            <w:tcBorders>
              <w:top w:val="single" w:sz="12" w:space="0" w:color="auto"/>
              <w:left w:val="single" w:sz="12" w:space="0" w:color="auto"/>
              <w:bottom w:val="nil"/>
              <w:right w:val="single" w:sz="4" w:space="0" w:color="auto"/>
            </w:tcBorders>
            <w:shd w:val="clear" w:color="000000" w:fill="64FC68"/>
            <w:vAlign w:val="bottom"/>
            <w:hideMark/>
          </w:tcPr>
          <w:p w14:paraId="06D51EA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tc>
        <w:tc>
          <w:tcPr>
            <w:tcW w:w="1220" w:type="dxa"/>
            <w:tcBorders>
              <w:top w:val="single" w:sz="12" w:space="0" w:color="auto"/>
              <w:left w:val="nil"/>
              <w:bottom w:val="nil"/>
              <w:right w:val="single" w:sz="4" w:space="0" w:color="auto"/>
            </w:tcBorders>
            <w:shd w:val="clear" w:color="000000" w:fill="64FC68"/>
            <w:vAlign w:val="bottom"/>
            <w:hideMark/>
          </w:tcPr>
          <w:p w14:paraId="390592B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tc>
        <w:tc>
          <w:tcPr>
            <w:tcW w:w="1320" w:type="dxa"/>
            <w:tcBorders>
              <w:top w:val="single" w:sz="12" w:space="0" w:color="auto"/>
              <w:left w:val="nil"/>
              <w:bottom w:val="nil"/>
              <w:right w:val="single" w:sz="4" w:space="0" w:color="auto"/>
            </w:tcBorders>
            <w:shd w:val="clear" w:color="000000" w:fill="64FC68"/>
            <w:vAlign w:val="bottom"/>
            <w:hideMark/>
          </w:tcPr>
          <w:p w14:paraId="25DAF44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tc>
        <w:tc>
          <w:tcPr>
            <w:tcW w:w="1480" w:type="dxa"/>
            <w:tcBorders>
              <w:top w:val="single" w:sz="12" w:space="0" w:color="auto"/>
              <w:left w:val="nil"/>
              <w:bottom w:val="nil"/>
              <w:right w:val="single" w:sz="4" w:space="0" w:color="auto"/>
            </w:tcBorders>
            <w:shd w:val="clear" w:color="000000" w:fill="64FC68"/>
            <w:vAlign w:val="bottom"/>
            <w:hideMark/>
          </w:tcPr>
          <w:p w14:paraId="5BD9907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tc>
        <w:tc>
          <w:tcPr>
            <w:tcW w:w="1440" w:type="dxa"/>
            <w:tcBorders>
              <w:top w:val="single" w:sz="12" w:space="0" w:color="auto"/>
              <w:left w:val="nil"/>
              <w:bottom w:val="nil"/>
              <w:right w:val="single" w:sz="4" w:space="0" w:color="auto"/>
            </w:tcBorders>
            <w:shd w:val="clear" w:color="000000" w:fill="64FC68"/>
            <w:vAlign w:val="bottom"/>
            <w:hideMark/>
          </w:tcPr>
          <w:p w14:paraId="4489300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tc>
        <w:tc>
          <w:tcPr>
            <w:tcW w:w="1420" w:type="dxa"/>
            <w:tcBorders>
              <w:top w:val="single" w:sz="12" w:space="0" w:color="auto"/>
              <w:left w:val="nil"/>
              <w:bottom w:val="nil"/>
              <w:right w:val="single" w:sz="12" w:space="0" w:color="auto"/>
            </w:tcBorders>
            <w:shd w:val="clear" w:color="000000" w:fill="64FC68"/>
            <w:vAlign w:val="bottom"/>
            <w:hideMark/>
          </w:tcPr>
          <w:p w14:paraId="5E0458D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največja letna količina goriva iz mešanih komunalnih odpadkov </w:t>
            </w:r>
          </w:p>
        </w:tc>
      </w:tr>
      <w:tr w:rsidR="00E65191" w:rsidRPr="00B775DE" w14:paraId="62F85132" w14:textId="77777777" w:rsidTr="00C21643">
        <w:trPr>
          <w:trHeight w:val="345"/>
        </w:trPr>
        <w:tc>
          <w:tcPr>
            <w:tcW w:w="1240" w:type="dxa"/>
            <w:tcBorders>
              <w:top w:val="nil"/>
              <w:left w:val="single" w:sz="12" w:space="0" w:color="auto"/>
              <w:bottom w:val="single" w:sz="12" w:space="0" w:color="auto"/>
              <w:right w:val="nil"/>
            </w:tcBorders>
            <w:shd w:val="clear" w:color="000000" w:fill="64FC68"/>
            <w:noWrap/>
            <w:vAlign w:val="bottom"/>
            <w:hideMark/>
          </w:tcPr>
          <w:p w14:paraId="6F34603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240" w:type="dxa"/>
            <w:tcBorders>
              <w:top w:val="nil"/>
              <w:left w:val="single" w:sz="12" w:space="0" w:color="auto"/>
              <w:bottom w:val="single" w:sz="12" w:space="0" w:color="auto"/>
              <w:right w:val="single" w:sz="4" w:space="0" w:color="auto"/>
            </w:tcBorders>
            <w:shd w:val="clear" w:color="000000" w:fill="64FC68"/>
            <w:noWrap/>
            <w:vAlign w:val="bottom"/>
            <w:hideMark/>
          </w:tcPr>
          <w:p w14:paraId="475BD23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220" w:type="dxa"/>
            <w:tcBorders>
              <w:top w:val="nil"/>
              <w:left w:val="nil"/>
              <w:bottom w:val="single" w:sz="12" w:space="0" w:color="auto"/>
              <w:right w:val="single" w:sz="4" w:space="0" w:color="auto"/>
            </w:tcBorders>
            <w:shd w:val="clear" w:color="000000" w:fill="64FC68"/>
            <w:noWrap/>
            <w:vAlign w:val="bottom"/>
            <w:hideMark/>
          </w:tcPr>
          <w:p w14:paraId="289C05F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plastika</w:t>
            </w:r>
          </w:p>
        </w:tc>
        <w:tc>
          <w:tcPr>
            <w:tcW w:w="1320" w:type="dxa"/>
            <w:tcBorders>
              <w:top w:val="nil"/>
              <w:left w:val="nil"/>
              <w:bottom w:val="single" w:sz="12" w:space="0" w:color="auto"/>
              <w:right w:val="single" w:sz="4" w:space="0" w:color="auto"/>
            </w:tcBorders>
            <w:shd w:val="clear" w:color="000000" w:fill="64FC68"/>
            <w:noWrap/>
            <w:vAlign w:val="bottom"/>
            <w:hideMark/>
          </w:tcPr>
          <w:p w14:paraId="049D658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480" w:type="dxa"/>
            <w:tcBorders>
              <w:top w:val="nil"/>
              <w:left w:val="nil"/>
              <w:bottom w:val="single" w:sz="12" w:space="0" w:color="auto"/>
              <w:right w:val="single" w:sz="4" w:space="0" w:color="auto"/>
            </w:tcBorders>
            <w:shd w:val="clear" w:color="000000" w:fill="64FC68"/>
            <w:noWrap/>
            <w:vAlign w:val="bottom"/>
            <w:hideMark/>
          </w:tcPr>
          <w:p w14:paraId="254C46C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tekstil</w:t>
            </w:r>
          </w:p>
        </w:tc>
        <w:tc>
          <w:tcPr>
            <w:tcW w:w="1440" w:type="dxa"/>
            <w:tcBorders>
              <w:top w:val="nil"/>
              <w:left w:val="nil"/>
              <w:bottom w:val="single" w:sz="12" w:space="0" w:color="auto"/>
              <w:right w:val="single" w:sz="4" w:space="0" w:color="auto"/>
            </w:tcBorders>
            <w:shd w:val="clear" w:color="000000" w:fill="64FC68"/>
            <w:noWrap/>
            <w:vAlign w:val="bottom"/>
            <w:hideMark/>
          </w:tcPr>
          <w:p w14:paraId="7A451C1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drugi gorljivi</w:t>
            </w:r>
          </w:p>
        </w:tc>
        <w:tc>
          <w:tcPr>
            <w:tcW w:w="1420" w:type="dxa"/>
            <w:tcBorders>
              <w:top w:val="nil"/>
              <w:left w:val="nil"/>
              <w:bottom w:val="single" w:sz="12" w:space="0" w:color="auto"/>
              <w:right w:val="single" w:sz="12" w:space="0" w:color="auto"/>
            </w:tcBorders>
            <w:shd w:val="clear" w:color="000000" w:fill="64FC68"/>
            <w:noWrap/>
            <w:vAlign w:val="bottom"/>
            <w:hideMark/>
          </w:tcPr>
          <w:p w14:paraId="48543EC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75172CC7" w14:textId="77777777" w:rsidTr="00C21643">
        <w:trPr>
          <w:trHeight w:val="330"/>
        </w:trPr>
        <w:tc>
          <w:tcPr>
            <w:tcW w:w="12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B4FD84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2021 (*)</w:t>
            </w:r>
          </w:p>
        </w:tc>
        <w:tc>
          <w:tcPr>
            <w:tcW w:w="1240" w:type="dxa"/>
            <w:tcBorders>
              <w:top w:val="nil"/>
              <w:left w:val="nil"/>
              <w:bottom w:val="single" w:sz="4" w:space="0" w:color="auto"/>
              <w:right w:val="single" w:sz="4" w:space="0" w:color="auto"/>
            </w:tcBorders>
            <w:shd w:val="clear" w:color="auto" w:fill="auto"/>
            <w:noWrap/>
            <w:vAlign w:val="bottom"/>
            <w:hideMark/>
          </w:tcPr>
          <w:p w14:paraId="712847C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28.018</w:t>
            </w:r>
          </w:p>
        </w:tc>
        <w:tc>
          <w:tcPr>
            <w:tcW w:w="1220" w:type="dxa"/>
            <w:tcBorders>
              <w:top w:val="nil"/>
              <w:left w:val="nil"/>
              <w:bottom w:val="single" w:sz="4" w:space="0" w:color="auto"/>
              <w:right w:val="single" w:sz="4" w:space="0" w:color="auto"/>
            </w:tcBorders>
            <w:shd w:val="clear" w:color="auto" w:fill="auto"/>
            <w:noWrap/>
            <w:vAlign w:val="bottom"/>
            <w:hideMark/>
          </w:tcPr>
          <w:p w14:paraId="315745A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34.994</w:t>
            </w:r>
          </w:p>
        </w:tc>
        <w:tc>
          <w:tcPr>
            <w:tcW w:w="1320" w:type="dxa"/>
            <w:tcBorders>
              <w:top w:val="nil"/>
              <w:left w:val="nil"/>
              <w:bottom w:val="single" w:sz="4" w:space="0" w:color="auto"/>
              <w:right w:val="single" w:sz="4" w:space="0" w:color="auto"/>
            </w:tcBorders>
            <w:shd w:val="clear" w:color="auto" w:fill="auto"/>
            <w:noWrap/>
            <w:vAlign w:val="bottom"/>
            <w:hideMark/>
          </w:tcPr>
          <w:p w14:paraId="7C1740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2.478</w:t>
            </w:r>
          </w:p>
        </w:tc>
        <w:tc>
          <w:tcPr>
            <w:tcW w:w="1480" w:type="dxa"/>
            <w:tcBorders>
              <w:top w:val="nil"/>
              <w:left w:val="nil"/>
              <w:bottom w:val="single" w:sz="4" w:space="0" w:color="auto"/>
              <w:right w:val="single" w:sz="4" w:space="0" w:color="auto"/>
            </w:tcBorders>
            <w:shd w:val="clear" w:color="auto" w:fill="auto"/>
            <w:noWrap/>
            <w:vAlign w:val="bottom"/>
            <w:hideMark/>
          </w:tcPr>
          <w:p w14:paraId="23190B1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22.499</w:t>
            </w:r>
          </w:p>
        </w:tc>
        <w:tc>
          <w:tcPr>
            <w:tcW w:w="1440" w:type="dxa"/>
            <w:tcBorders>
              <w:top w:val="nil"/>
              <w:left w:val="nil"/>
              <w:bottom w:val="single" w:sz="4" w:space="0" w:color="auto"/>
              <w:right w:val="single" w:sz="4" w:space="0" w:color="auto"/>
            </w:tcBorders>
            <w:shd w:val="clear" w:color="auto" w:fill="auto"/>
            <w:noWrap/>
            <w:vAlign w:val="bottom"/>
            <w:hideMark/>
          </w:tcPr>
          <w:p w14:paraId="12CBF82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51.450</w:t>
            </w:r>
          </w:p>
        </w:tc>
        <w:tc>
          <w:tcPr>
            <w:tcW w:w="1420" w:type="dxa"/>
            <w:tcBorders>
              <w:top w:val="nil"/>
              <w:left w:val="nil"/>
              <w:bottom w:val="single" w:sz="4" w:space="0" w:color="auto"/>
              <w:right w:val="single" w:sz="12" w:space="0" w:color="auto"/>
            </w:tcBorders>
            <w:shd w:val="clear" w:color="auto" w:fill="auto"/>
            <w:noWrap/>
            <w:vAlign w:val="bottom"/>
            <w:hideMark/>
          </w:tcPr>
          <w:p w14:paraId="35FAE45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139.439</w:t>
            </w:r>
          </w:p>
        </w:tc>
      </w:tr>
      <w:tr w:rsidR="00E65191" w:rsidRPr="00B775DE" w14:paraId="5906EA64" w14:textId="77777777" w:rsidTr="00C21643">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151DD79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2025 (**)</w:t>
            </w:r>
          </w:p>
        </w:tc>
        <w:tc>
          <w:tcPr>
            <w:tcW w:w="1240" w:type="dxa"/>
            <w:tcBorders>
              <w:top w:val="nil"/>
              <w:left w:val="nil"/>
              <w:bottom w:val="single" w:sz="4" w:space="0" w:color="auto"/>
              <w:right w:val="single" w:sz="4" w:space="0" w:color="auto"/>
            </w:tcBorders>
            <w:shd w:val="clear" w:color="auto" w:fill="auto"/>
            <w:noWrap/>
            <w:vAlign w:val="bottom"/>
            <w:hideMark/>
          </w:tcPr>
          <w:p w14:paraId="34E3802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26.207</w:t>
            </w:r>
          </w:p>
        </w:tc>
        <w:tc>
          <w:tcPr>
            <w:tcW w:w="1220" w:type="dxa"/>
            <w:tcBorders>
              <w:top w:val="nil"/>
              <w:left w:val="nil"/>
              <w:bottom w:val="single" w:sz="4" w:space="0" w:color="auto"/>
              <w:right w:val="single" w:sz="4" w:space="0" w:color="auto"/>
            </w:tcBorders>
            <w:shd w:val="clear" w:color="auto" w:fill="auto"/>
            <w:noWrap/>
            <w:vAlign w:val="bottom"/>
            <w:hideMark/>
          </w:tcPr>
          <w:p w14:paraId="16B87E5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26.501</w:t>
            </w:r>
          </w:p>
        </w:tc>
        <w:tc>
          <w:tcPr>
            <w:tcW w:w="1320" w:type="dxa"/>
            <w:tcBorders>
              <w:top w:val="nil"/>
              <w:left w:val="nil"/>
              <w:bottom w:val="single" w:sz="4" w:space="0" w:color="auto"/>
              <w:right w:val="single" w:sz="4" w:space="0" w:color="auto"/>
            </w:tcBorders>
            <w:shd w:val="clear" w:color="auto" w:fill="auto"/>
            <w:noWrap/>
            <w:vAlign w:val="bottom"/>
            <w:hideMark/>
          </w:tcPr>
          <w:p w14:paraId="3ED4649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2.683</w:t>
            </w:r>
          </w:p>
        </w:tc>
        <w:tc>
          <w:tcPr>
            <w:tcW w:w="1480" w:type="dxa"/>
            <w:tcBorders>
              <w:top w:val="nil"/>
              <w:left w:val="nil"/>
              <w:bottom w:val="single" w:sz="4" w:space="0" w:color="auto"/>
              <w:right w:val="single" w:sz="4" w:space="0" w:color="auto"/>
            </w:tcBorders>
            <w:shd w:val="clear" w:color="auto" w:fill="auto"/>
            <w:noWrap/>
            <w:vAlign w:val="bottom"/>
            <w:hideMark/>
          </w:tcPr>
          <w:p w14:paraId="7524C90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22.406</w:t>
            </w:r>
          </w:p>
        </w:tc>
        <w:tc>
          <w:tcPr>
            <w:tcW w:w="1440" w:type="dxa"/>
            <w:tcBorders>
              <w:top w:val="nil"/>
              <w:left w:val="nil"/>
              <w:bottom w:val="single" w:sz="4" w:space="0" w:color="auto"/>
              <w:right w:val="single" w:sz="4" w:space="0" w:color="auto"/>
            </w:tcBorders>
            <w:shd w:val="clear" w:color="auto" w:fill="auto"/>
            <w:noWrap/>
            <w:vAlign w:val="bottom"/>
            <w:hideMark/>
          </w:tcPr>
          <w:p w14:paraId="1F41044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53.712</w:t>
            </w:r>
          </w:p>
        </w:tc>
        <w:tc>
          <w:tcPr>
            <w:tcW w:w="1420" w:type="dxa"/>
            <w:tcBorders>
              <w:top w:val="nil"/>
              <w:left w:val="nil"/>
              <w:bottom w:val="single" w:sz="4" w:space="0" w:color="auto"/>
              <w:right w:val="single" w:sz="12" w:space="0" w:color="auto"/>
            </w:tcBorders>
            <w:shd w:val="clear" w:color="auto" w:fill="auto"/>
            <w:noWrap/>
            <w:vAlign w:val="bottom"/>
            <w:hideMark/>
          </w:tcPr>
          <w:p w14:paraId="1C4D356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131.509</w:t>
            </w:r>
          </w:p>
        </w:tc>
      </w:tr>
      <w:tr w:rsidR="00E65191" w:rsidRPr="00B775DE" w14:paraId="185516A0" w14:textId="77777777" w:rsidTr="00C21643">
        <w:trPr>
          <w:trHeight w:val="465"/>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795AD1B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2026</w:t>
            </w:r>
          </w:p>
        </w:tc>
        <w:tc>
          <w:tcPr>
            <w:tcW w:w="1240" w:type="dxa"/>
            <w:tcBorders>
              <w:top w:val="nil"/>
              <w:left w:val="nil"/>
              <w:bottom w:val="single" w:sz="4" w:space="0" w:color="auto"/>
              <w:right w:val="single" w:sz="4" w:space="0" w:color="auto"/>
            </w:tcBorders>
            <w:shd w:val="clear" w:color="auto" w:fill="auto"/>
            <w:noWrap/>
            <w:vAlign w:val="bottom"/>
            <w:hideMark/>
          </w:tcPr>
          <w:p w14:paraId="2C2C866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25.208</w:t>
            </w:r>
          </w:p>
        </w:tc>
        <w:tc>
          <w:tcPr>
            <w:tcW w:w="1220" w:type="dxa"/>
            <w:tcBorders>
              <w:top w:val="nil"/>
              <w:left w:val="nil"/>
              <w:bottom w:val="single" w:sz="4" w:space="0" w:color="auto"/>
              <w:right w:val="single" w:sz="4" w:space="0" w:color="auto"/>
            </w:tcBorders>
            <w:shd w:val="clear" w:color="auto" w:fill="auto"/>
            <w:noWrap/>
            <w:vAlign w:val="bottom"/>
            <w:hideMark/>
          </w:tcPr>
          <w:p w14:paraId="432D730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23.665</w:t>
            </w:r>
          </w:p>
        </w:tc>
        <w:tc>
          <w:tcPr>
            <w:tcW w:w="1320" w:type="dxa"/>
            <w:tcBorders>
              <w:top w:val="nil"/>
              <w:left w:val="nil"/>
              <w:bottom w:val="single" w:sz="4" w:space="0" w:color="auto"/>
              <w:right w:val="single" w:sz="4" w:space="0" w:color="auto"/>
            </w:tcBorders>
            <w:shd w:val="clear" w:color="auto" w:fill="auto"/>
            <w:noWrap/>
            <w:vAlign w:val="bottom"/>
            <w:hideMark/>
          </w:tcPr>
          <w:p w14:paraId="41A31B0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2.736</w:t>
            </w:r>
          </w:p>
        </w:tc>
        <w:tc>
          <w:tcPr>
            <w:tcW w:w="1480" w:type="dxa"/>
            <w:tcBorders>
              <w:top w:val="nil"/>
              <w:left w:val="nil"/>
              <w:bottom w:val="single" w:sz="4" w:space="0" w:color="auto"/>
              <w:right w:val="single" w:sz="4" w:space="0" w:color="auto"/>
            </w:tcBorders>
            <w:shd w:val="clear" w:color="auto" w:fill="auto"/>
            <w:noWrap/>
            <w:vAlign w:val="bottom"/>
            <w:hideMark/>
          </w:tcPr>
          <w:p w14:paraId="294FBD1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21.561</w:t>
            </w:r>
          </w:p>
        </w:tc>
        <w:tc>
          <w:tcPr>
            <w:tcW w:w="1440" w:type="dxa"/>
            <w:tcBorders>
              <w:top w:val="nil"/>
              <w:left w:val="nil"/>
              <w:bottom w:val="single" w:sz="4" w:space="0" w:color="auto"/>
              <w:right w:val="single" w:sz="4" w:space="0" w:color="auto"/>
            </w:tcBorders>
            <w:shd w:val="clear" w:color="auto" w:fill="auto"/>
            <w:noWrap/>
            <w:vAlign w:val="bottom"/>
            <w:hideMark/>
          </w:tcPr>
          <w:p w14:paraId="73152ED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54.787</w:t>
            </w:r>
          </w:p>
        </w:tc>
        <w:tc>
          <w:tcPr>
            <w:tcW w:w="1420" w:type="dxa"/>
            <w:tcBorders>
              <w:top w:val="nil"/>
              <w:left w:val="nil"/>
              <w:bottom w:val="single" w:sz="4" w:space="0" w:color="auto"/>
              <w:right w:val="single" w:sz="12" w:space="0" w:color="auto"/>
            </w:tcBorders>
            <w:shd w:val="clear" w:color="auto" w:fill="auto"/>
            <w:noWrap/>
            <w:vAlign w:val="bottom"/>
            <w:hideMark/>
          </w:tcPr>
          <w:p w14:paraId="0EB3872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127.957</w:t>
            </w:r>
          </w:p>
        </w:tc>
      </w:tr>
      <w:tr w:rsidR="00E65191" w:rsidRPr="00B775DE" w14:paraId="0082E8E4" w14:textId="77777777" w:rsidTr="00C21643">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1351ACB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2027</w:t>
            </w:r>
          </w:p>
        </w:tc>
        <w:tc>
          <w:tcPr>
            <w:tcW w:w="1240" w:type="dxa"/>
            <w:tcBorders>
              <w:top w:val="nil"/>
              <w:left w:val="nil"/>
              <w:bottom w:val="single" w:sz="4" w:space="0" w:color="auto"/>
              <w:right w:val="single" w:sz="4" w:space="0" w:color="auto"/>
            </w:tcBorders>
            <w:shd w:val="clear" w:color="auto" w:fill="auto"/>
            <w:noWrap/>
            <w:vAlign w:val="bottom"/>
            <w:hideMark/>
          </w:tcPr>
          <w:p w14:paraId="3F5C22A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24.179</w:t>
            </w:r>
          </w:p>
        </w:tc>
        <w:tc>
          <w:tcPr>
            <w:tcW w:w="1220" w:type="dxa"/>
            <w:tcBorders>
              <w:top w:val="nil"/>
              <w:left w:val="nil"/>
              <w:bottom w:val="single" w:sz="4" w:space="0" w:color="auto"/>
              <w:right w:val="single" w:sz="4" w:space="0" w:color="auto"/>
            </w:tcBorders>
            <w:shd w:val="clear" w:color="auto" w:fill="auto"/>
            <w:noWrap/>
            <w:vAlign w:val="bottom"/>
            <w:hideMark/>
          </w:tcPr>
          <w:p w14:paraId="4CAB2F2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20.683</w:t>
            </w:r>
          </w:p>
        </w:tc>
        <w:tc>
          <w:tcPr>
            <w:tcW w:w="1320" w:type="dxa"/>
            <w:tcBorders>
              <w:top w:val="nil"/>
              <w:left w:val="nil"/>
              <w:bottom w:val="single" w:sz="4" w:space="0" w:color="auto"/>
              <w:right w:val="single" w:sz="4" w:space="0" w:color="auto"/>
            </w:tcBorders>
            <w:shd w:val="clear" w:color="auto" w:fill="auto"/>
            <w:noWrap/>
            <w:vAlign w:val="bottom"/>
            <w:hideMark/>
          </w:tcPr>
          <w:p w14:paraId="5E3C98A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2.759</w:t>
            </w:r>
          </w:p>
        </w:tc>
        <w:tc>
          <w:tcPr>
            <w:tcW w:w="1480" w:type="dxa"/>
            <w:tcBorders>
              <w:top w:val="nil"/>
              <w:left w:val="nil"/>
              <w:bottom w:val="single" w:sz="4" w:space="0" w:color="auto"/>
              <w:right w:val="single" w:sz="4" w:space="0" w:color="auto"/>
            </w:tcBorders>
            <w:shd w:val="clear" w:color="auto" w:fill="auto"/>
            <w:noWrap/>
            <w:vAlign w:val="bottom"/>
            <w:hideMark/>
          </w:tcPr>
          <w:p w14:paraId="55B8FB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20.472</w:t>
            </w:r>
          </w:p>
        </w:tc>
        <w:tc>
          <w:tcPr>
            <w:tcW w:w="1440" w:type="dxa"/>
            <w:tcBorders>
              <w:top w:val="nil"/>
              <w:left w:val="nil"/>
              <w:bottom w:val="single" w:sz="4" w:space="0" w:color="auto"/>
              <w:right w:val="single" w:sz="4" w:space="0" w:color="auto"/>
            </w:tcBorders>
            <w:shd w:val="clear" w:color="auto" w:fill="auto"/>
            <w:noWrap/>
            <w:vAlign w:val="bottom"/>
            <w:hideMark/>
          </w:tcPr>
          <w:p w14:paraId="34A6D6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55.882</w:t>
            </w:r>
          </w:p>
        </w:tc>
        <w:tc>
          <w:tcPr>
            <w:tcW w:w="1420" w:type="dxa"/>
            <w:tcBorders>
              <w:top w:val="nil"/>
              <w:left w:val="nil"/>
              <w:bottom w:val="single" w:sz="4" w:space="0" w:color="auto"/>
              <w:right w:val="single" w:sz="12" w:space="0" w:color="auto"/>
            </w:tcBorders>
            <w:shd w:val="clear" w:color="auto" w:fill="auto"/>
            <w:noWrap/>
            <w:vAlign w:val="bottom"/>
            <w:hideMark/>
          </w:tcPr>
          <w:p w14:paraId="7F732C9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123.975</w:t>
            </w:r>
          </w:p>
        </w:tc>
      </w:tr>
      <w:tr w:rsidR="00E65191" w:rsidRPr="00B775DE" w14:paraId="7DCC040A" w14:textId="77777777" w:rsidTr="00C21643">
        <w:trPr>
          <w:trHeight w:val="48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392D175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2028</w:t>
            </w:r>
          </w:p>
        </w:tc>
        <w:tc>
          <w:tcPr>
            <w:tcW w:w="1240" w:type="dxa"/>
            <w:tcBorders>
              <w:top w:val="nil"/>
              <w:left w:val="nil"/>
              <w:bottom w:val="single" w:sz="4" w:space="0" w:color="auto"/>
              <w:right w:val="single" w:sz="4" w:space="0" w:color="auto"/>
            </w:tcBorders>
            <w:shd w:val="clear" w:color="auto" w:fill="auto"/>
            <w:noWrap/>
            <w:vAlign w:val="bottom"/>
            <w:hideMark/>
          </w:tcPr>
          <w:p w14:paraId="11E469E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23.119</w:t>
            </w:r>
          </w:p>
        </w:tc>
        <w:tc>
          <w:tcPr>
            <w:tcW w:w="1220" w:type="dxa"/>
            <w:tcBorders>
              <w:top w:val="nil"/>
              <w:left w:val="nil"/>
              <w:bottom w:val="single" w:sz="4" w:space="0" w:color="auto"/>
              <w:right w:val="single" w:sz="4" w:space="0" w:color="auto"/>
            </w:tcBorders>
            <w:shd w:val="clear" w:color="auto" w:fill="auto"/>
            <w:noWrap/>
            <w:vAlign w:val="bottom"/>
            <w:hideMark/>
          </w:tcPr>
          <w:p w14:paraId="02BE877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17.548</w:t>
            </w:r>
          </w:p>
        </w:tc>
        <w:tc>
          <w:tcPr>
            <w:tcW w:w="1320" w:type="dxa"/>
            <w:tcBorders>
              <w:top w:val="nil"/>
              <w:left w:val="nil"/>
              <w:bottom w:val="single" w:sz="4" w:space="0" w:color="auto"/>
              <w:right w:val="single" w:sz="4" w:space="0" w:color="auto"/>
            </w:tcBorders>
            <w:shd w:val="clear" w:color="auto" w:fill="auto"/>
            <w:noWrap/>
            <w:vAlign w:val="bottom"/>
            <w:hideMark/>
          </w:tcPr>
          <w:p w14:paraId="625F0EC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2.531</w:t>
            </w:r>
          </w:p>
        </w:tc>
        <w:tc>
          <w:tcPr>
            <w:tcW w:w="1480" w:type="dxa"/>
            <w:tcBorders>
              <w:top w:val="nil"/>
              <w:left w:val="nil"/>
              <w:bottom w:val="single" w:sz="4" w:space="0" w:color="auto"/>
              <w:right w:val="single" w:sz="4" w:space="0" w:color="auto"/>
            </w:tcBorders>
            <w:shd w:val="clear" w:color="auto" w:fill="auto"/>
            <w:noWrap/>
            <w:vAlign w:val="bottom"/>
            <w:hideMark/>
          </w:tcPr>
          <w:p w14:paraId="73C6FDD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19.078</w:t>
            </w:r>
          </w:p>
        </w:tc>
        <w:tc>
          <w:tcPr>
            <w:tcW w:w="1440" w:type="dxa"/>
            <w:tcBorders>
              <w:top w:val="nil"/>
              <w:left w:val="nil"/>
              <w:bottom w:val="single" w:sz="4" w:space="0" w:color="auto"/>
              <w:right w:val="single" w:sz="4" w:space="0" w:color="auto"/>
            </w:tcBorders>
            <w:shd w:val="clear" w:color="auto" w:fill="auto"/>
            <w:noWrap/>
            <w:vAlign w:val="bottom"/>
            <w:hideMark/>
          </w:tcPr>
          <w:p w14:paraId="340573F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57.000</w:t>
            </w:r>
          </w:p>
        </w:tc>
        <w:tc>
          <w:tcPr>
            <w:tcW w:w="1420" w:type="dxa"/>
            <w:tcBorders>
              <w:top w:val="nil"/>
              <w:left w:val="nil"/>
              <w:bottom w:val="single" w:sz="4" w:space="0" w:color="auto"/>
              <w:right w:val="single" w:sz="12" w:space="0" w:color="auto"/>
            </w:tcBorders>
            <w:shd w:val="clear" w:color="auto" w:fill="auto"/>
            <w:noWrap/>
            <w:vAlign w:val="bottom"/>
            <w:hideMark/>
          </w:tcPr>
          <w:p w14:paraId="503E36E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119.276</w:t>
            </w:r>
          </w:p>
        </w:tc>
      </w:tr>
      <w:tr w:rsidR="00E65191" w:rsidRPr="00B775DE" w14:paraId="6BDF8236" w14:textId="77777777" w:rsidTr="00C21643">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16C3FD9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2029</w:t>
            </w:r>
          </w:p>
        </w:tc>
        <w:tc>
          <w:tcPr>
            <w:tcW w:w="1240" w:type="dxa"/>
            <w:tcBorders>
              <w:top w:val="nil"/>
              <w:left w:val="nil"/>
              <w:bottom w:val="single" w:sz="4" w:space="0" w:color="auto"/>
              <w:right w:val="single" w:sz="4" w:space="0" w:color="auto"/>
            </w:tcBorders>
            <w:shd w:val="clear" w:color="auto" w:fill="auto"/>
            <w:noWrap/>
            <w:vAlign w:val="bottom"/>
            <w:hideMark/>
          </w:tcPr>
          <w:p w14:paraId="77E3D9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22.026</w:t>
            </w:r>
          </w:p>
        </w:tc>
        <w:tc>
          <w:tcPr>
            <w:tcW w:w="1220" w:type="dxa"/>
            <w:tcBorders>
              <w:top w:val="nil"/>
              <w:left w:val="nil"/>
              <w:bottom w:val="single" w:sz="4" w:space="0" w:color="auto"/>
              <w:right w:val="single" w:sz="4" w:space="0" w:color="auto"/>
            </w:tcBorders>
            <w:shd w:val="clear" w:color="auto" w:fill="auto"/>
            <w:noWrap/>
            <w:vAlign w:val="bottom"/>
            <w:hideMark/>
          </w:tcPr>
          <w:p w14:paraId="7B22A38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14.252</w:t>
            </w:r>
          </w:p>
        </w:tc>
        <w:tc>
          <w:tcPr>
            <w:tcW w:w="1320" w:type="dxa"/>
            <w:tcBorders>
              <w:top w:val="nil"/>
              <w:left w:val="nil"/>
              <w:bottom w:val="single" w:sz="4" w:space="0" w:color="auto"/>
              <w:right w:val="single" w:sz="4" w:space="0" w:color="auto"/>
            </w:tcBorders>
            <w:shd w:val="clear" w:color="auto" w:fill="auto"/>
            <w:noWrap/>
            <w:vAlign w:val="bottom"/>
            <w:hideMark/>
          </w:tcPr>
          <w:p w14:paraId="7AE9530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2.289</w:t>
            </w:r>
          </w:p>
        </w:tc>
        <w:tc>
          <w:tcPr>
            <w:tcW w:w="1480" w:type="dxa"/>
            <w:tcBorders>
              <w:top w:val="nil"/>
              <w:left w:val="nil"/>
              <w:bottom w:val="single" w:sz="4" w:space="0" w:color="auto"/>
              <w:right w:val="single" w:sz="4" w:space="0" w:color="auto"/>
            </w:tcBorders>
            <w:shd w:val="clear" w:color="auto" w:fill="auto"/>
            <w:noWrap/>
            <w:vAlign w:val="bottom"/>
            <w:hideMark/>
          </w:tcPr>
          <w:p w14:paraId="642328A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17.303</w:t>
            </w:r>
          </w:p>
        </w:tc>
        <w:tc>
          <w:tcPr>
            <w:tcW w:w="1440" w:type="dxa"/>
            <w:tcBorders>
              <w:top w:val="nil"/>
              <w:left w:val="nil"/>
              <w:bottom w:val="single" w:sz="4" w:space="0" w:color="auto"/>
              <w:right w:val="single" w:sz="4" w:space="0" w:color="auto"/>
            </w:tcBorders>
            <w:shd w:val="clear" w:color="auto" w:fill="auto"/>
            <w:noWrap/>
            <w:vAlign w:val="bottom"/>
            <w:hideMark/>
          </w:tcPr>
          <w:p w14:paraId="33DB8B4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58.140</w:t>
            </w:r>
          </w:p>
        </w:tc>
        <w:tc>
          <w:tcPr>
            <w:tcW w:w="1420" w:type="dxa"/>
            <w:tcBorders>
              <w:top w:val="nil"/>
              <w:left w:val="nil"/>
              <w:bottom w:val="single" w:sz="4" w:space="0" w:color="auto"/>
              <w:right w:val="single" w:sz="12" w:space="0" w:color="auto"/>
            </w:tcBorders>
            <w:shd w:val="clear" w:color="auto" w:fill="auto"/>
            <w:noWrap/>
            <w:vAlign w:val="bottom"/>
            <w:hideMark/>
          </w:tcPr>
          <w:p w14:paraId="087AD8E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114.011</w:t>
            </w:r>
          </w:p>
        </w:tc>
      </w:tr>
      <w:tr w:rsidR="00E65191" w:rsidRPr="00B775DE" w14:paraId="24C28DCE" w14:textId="77777777" w:rsidTr="00C21643">
        <w:trPr>
          <w:trHeight w:val="30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789334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2030</w:t>
            </w:r>
          </w:p>
        </w:tc>
        <w:tc>
          <w:tcPr>
            <w:tcW w:w="1240" w:type="dxa"/>
            <w:tcBorders>
              <w:top w:val="nil"/>
              <w:left w:val="nil"/>
              <w:bottom w:val="single" w:sz="4" w:space="0" w:color="auto"/>
              <w:right w:val="single" w:sz="4" w:space="0" w:color="auto"/>
            </w:tcBorders>
            <w:shd w:val="clear" w:color="auto" w:fill="auto"/>
            <w:noWrap/>
            <w:vAlign w:val="bottom"/>
            <w:hideMark/>
          </w:tcPr>
          <w:p w14:paraId="42474A0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20.901</w:t>
            </w:r>
          </w:p>
        </w:tc>
        <w:tc>
          <w:tcPr>
            <w:tcW w:w="1220" w:type="dxa"/>
            <w:tcBorders>
              <w:top w:val="nil"/>
              <w:left w:val="nil"/>
              <w:bottom w:val="single" w:sz="4" w:space="0" w:color="auto"/>
              <w:right w:val="single" w:sz="4" w:space="0" w:color="auto"/>
            </w:tcBorders>
            <w:shd w:val="clear" w:color="auto" w:fill="auto"/>
            <w:noWrap/>
            <w:vAlign w:val="bottom"/>
            <w:hideMark/>
          </w:tcPr>
          <w:p w14:paraId="43F0720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10.787</w:t>
            </w:r>
          </w:p>
        </w:tc>
        <w:tc>
          <w:tcPr>
            <w:tcW w:w="1320" w:type="dxa"/>
            <w:tcBorders>
              <w:top w:val="nil"/>
              <w:left w:val="nil"/>
              <w:bottom w:val="single" w:sz="4" w:space="0" w:color="auto"/>
              <w:right w:val="single" w:sz="4" w:space="0" w:color="auto"/>
            </w:tcBorders>
            <w:shd w:val="clear" w:color="auto" w:fill="auto"/>
            <w:noWrap/>
            <w:vAlign w:val="bottom"/>
            <w:hideMark/>
          </w:tcPr>
          <w:p w14:paraId="7A53047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2.045</w:t>
            </w:r>
          </w:p>
        </w:tc>
        <w:tc>
          <w:tcPr>
            <w:tcW w:w="1480" w:type="dxa"/>
            <w:tcBorders>
              <w:top w:val="nil"/>
              <w:left w:val="nil"/>
              <w:bottom w:val="single" w:sz="4" w:space="0" w:color="auto"/>
              <w:right w:val="single" w:sz="4" w:space="0" w:color="auto"/>
            </w:tcBorders>
            <w:shd w:val="clear" w:color="auto" w:fill="auto"/>
            <w:noWrap/>
            <w:vAlign w:val="bottom"/>
            <w:hideMark/>
          </w:tcPr>
          <w:p w14:paraId="5DDFB4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15.052</w:t>
            </w:r>
          </w:p>
        </w:tc>
        <w:tc>
          <w:tcPr>
            <w:tcW w:w="1440" w:type="dxa"/>
            <w:tcBorders>
              <w:top w:val="nil"/>
              <w:left w:val="nil"/>
              <w:bottom w:val="single" w:sz="4" w:space="0" w:color="auto"/>
              <w:right w:val="single" w:sz="4" w:space="0" w:color="auto"/>
            </w:tcBorders>
            <w:shd w:val="clear" w:color="auto" w:fill="auto"/>
            <w:noWrap/>
            <w:vAlign w:val="bottom"/>
            <w:hideMark/>
          </w:tcPr>
          <w:p w14:paraId="6A1400A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59.303</w:t>
            </w:r>
          </w:p>
        </w:tc>
        <w:tc>
          <w:tcPr>
            <w:tcW w:w="1420" w:type="dxa"/>
            <w:tcBorders>
              <w:top w:val="nil"/>
              <w:left w:val="nil"/>
              <w:bottom w:val="single" w:sz="4" w:space="0" w:color="auto"/>
              <w:right w:val="single" w:sz="12" w:space="0" w:color="auto"/>
            </w:tcBorders>
            <w:shd w:val="clear" w:color="auto" w:fill="auto"/>
            <w:noWrap/>
            <w:vAlign w:val="bottom"/>
            <w:hideMark/>
          </w:tcPr>
          <w:p w14:paraId="1C69DFF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108.088</w:t>
            </w:r>
          </w:p>
        </w:tc>
      </w:tr>
      <w:tr w:rsidR="00E65191" w:rsidRPr="00B775DE" w14:paraId="69318CD3" w14:textId="77777777" w:rsidTr="00C21643">
        <w:trPr>
          <w:trHeight w:val="30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56C6E7B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2031</w:t>
            </w:r>
          </w:p>
        </w:tc>
        <w:tc>
          <w:tcPr>
            <w:tcW w:w="1240" w:type="dxa"/>
            <w:tcBorders>
              <w:top w:val="nil"/>
              <w:left w:val="nil"/>
              <w:bottom w:val="single" w:sz="4" w:space="0" w:color="auto"/>
              <w:right w:val="single" w:sz="4" w:space="0" w:color="auto"/>
            </w:tcBorders>
            <w:shd w:val="clear" w:color="auto" w:fill="auto"/>
            <w:noWrap/>
            <w:vAlign w:val="bottom"/>
            <w:hideMark/>
          </w:tcPr>
          <w:p w14:paraId="27B3FCB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19.743</w:t>
            </w:r>
          </w:p>
        </w:tc>
        <w:tc>
          <w:tcPr>
            <w:tcW w:w="1220" w:type="dxa"/>
            <w:tcBorders>
              <w:top w:val="nil"/>
              <w:left w:val="nil"/>
              <w:bottom w:val="single" w:sz="4" w:space="0" w:color="auto"/>
              <w:right w:val="single" w:sz="4" w:space="0" w:color="auto"/>
            </w:tcBorders>
            <w:shd w:val="clear" w:color="auto" w:fill="auto"/>
            <w:noWrap/>
            <w:vAlign w:val="bottom"/>
            <w:hideMark/>
          </w:tcPr>
          <w:p w14:paraId="3EF3034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7.145</w:t>
            </w:r>
          </w:p>
        </w:tc>
        <w:tc>
          <w:tcPr>
            <w:tcW w:w="1320" w:type="dxa"/>
            <w:tcBorders>
              <w:top w:val="nil"/>
              <w:left w:val="nil"/>
              <w:bottom w:val="single" w:sz="4" w:space="0" w:color="auto"/>
              <w:right w:val="single" w:sz="4" w:space="0" w:color="auto"/>
            </w:tcBorders>
            <w:shd w:val="clear" w:color="auto" w:fill="auto"/>
            <w:noWrap/>
            <w:vAlign w:val="bottom"/>
            <w:hideMark/>
          </w:tcPr>
          <w:p w14:paraId="0BD071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1.799</w:t>
            </w:r>
          </w:p>
        </w:tc>
        <w:tc>
          <w:tcPr>
            <w:tcW w:w="1480" w:type="dxa"/>
            <w:tcBorders>
              <w:top w:val="nil"/>
              <w:left w:val="nil"/>
              <w:bottom w:val="single" w:sz="4" w:space="0" w:color="auto"/>
              <w:right w:val="single" w:sz="4" w:space="0" w:color="auto"/>
            </w:tcBorders>
            <w:shd w:val="clear" w:color="auto" w:fill="auto"/>
            <w:noWrap/>
            <w:vAlign w:val="bottom"/>
            <w:hideMark/>
          </w:tcPr>
          <w:p w14:paraId="568C53D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12.205</w:t>
            </w:r>
          </w:p>
        </w:tc>
        <w:tc>
          <w:tcPr>
            <w:tcW w:w="1440" w:type="dxa"/>
            <w:tcBorders>
              <w:top w:val="nil"/>
              <w:left w:val="nil"/>
              <w:bottom w:val="single" w:sz="4" w:space="0" w:color="auto"/>
              <w:right w:val="single" w:sz="4" w:space="0" w:color="auto"/>
            </w:tcBorders>
            <w:shd w:val="clear" w:color="auto" w:fill="auto"/>
            <w:noWrap/>
            <w:vAlign w:val="bottom"/>
            <w:hideMark/>
          </w:tcPr>
          <w:p w14:paraId="6079FB9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60.489</w:t>
            </w:r>
          </w:p>
        </w:tc>
        <w:tc>
          <w:tcPr>
            <w:tcW w:w="1420" w:type="dxa"/>
            <w:tcBorders>
              <w:top w:val="nil"/>
              <w:left w:val="nil"/>
              <w:bottom w:val="single" w:sz="4" w:space="0" w:color="auto"/>
              <w:right w:val="single" w:sz="12" w:space="0" w:color="auto"/>
            </w:tcBorders>
            <w:shd w:val="clear" w:color="auto" w:fill="auto"/>
            <w:noWrap/>
            <w:vAlign w:val="bottom"/>
            <w:hideMark/>
          </w:tcPr>
          <w:p w14:paraId="42B65D9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101.380</w:t>
            </w:r>
          </w:p>
        </w:tc>
      </w:tr>
      <w:tr w:rsidR="00E65191" w:rsidRPr="00B775DE" w14:paraId="2032A20D" w14:textId="77777777" w:rsidTr="00C21643">
        <w:trPr>
          <w:trHeight w:val="30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2CF457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2032</w:t>
            </w:r>
          </w:p>
        </w:tc>
        <w:tc>
          <w:tcPr>
            <w:tcW w:w="1240" w:type="dxa"/>
            <w:tcBorders>
              <w:top w:val="nil"/>
              <w:left w:val="nil"/>
              <w:bottom w:val="single" w:sz="4" w:space="0" w:color="auto"/>
              <w:right w:val="single" w:sz="4" w:space="0" w:color="auto"/>
            </w:tcBorders>
            <w:shd w:val="clear" w:color="auto" w:fill="auto"/>
            <w:noWrap/>
            <w:vAlign w:val="bottom"/>
            <w:hideMark/>
          </w:tcPr>
          <w:p w14:paraId="34BED2E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18.550</w:t>
            </w:r>
          </w:p>
        </w:tc>
        <w:tc>
          <w:tcPr>
            <w:tcW w:w="1220" w:type="dxa"/>
            <w:tcBorders>
              <w:top w:val="nil"/>
              <w:left w:val="nil"/>
              <w:bottom w:val="single" w:sz="4" w:space="0" w:color="auto"/>
              <w:right w:val="single" w:sz="4" w:space="0" w:color="auto"/>
            </w:tcBorders>
            <w:shd w:val="clear" w:color="auto" w:fill="auto"/>
            <w:noWrap/>
            <w:vAlign w:val="bottom"/>
            <w:hideMark/>
          </w:tcPr>
          <w:p w14:paraId="17AE63F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5.986</w:t>
            </w:r>
          </w:p>
        </w:tc>
        <w:tc>
          <w:tcPr>
            <w:tcW w:w="1320" w:type="dxa"/>
            <w:tcBorders>
              <w:top w:val="nil"/>
              <w:left w:val="nil"/>
              <w:bottom w:val="single" w:sz="4" w:space="0" w:color="auto"/>
              <w:right w:val="single" w:sz="4" w:space="0" w:color="auto"/>
            </w:tcBorders>
            <w:shd w:val="clear" w:color="auto" w:fill="auto"/>
            <w:noWrap/>
            <w:vAlign w:val="bottom"/>
            <w:hideMark/>
          </w:tcPr>
          <w:p w14:paraId="183E492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1.549</w:t>
            </w:r>
          </w:p>
        </w:tc>
        <w:tc>
          <w:tcPr>
            <w:tcW w:w="1480" w:type="dxa"/>
            <w:tcBorders>
              <w:top w:val="nil"/>
              <w:left w:val="nil"/>
              <w:bottom w:val="single" w:sz="4" w:space="0" w:color="auto"/>
              <w:right w:val="single" w:sz="4" w:space="0" w:color="auto"/>
            </w:tcBorders>
            <w:shd w:val="clear" w:color="auto" w:fill="auto"/>
            <w:noWrap/>
            <w:vAlign w:val="bottom"/>
            <w:hideMark/>
          </w:tcPr>
          <w:p w14:paraId="28896D7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8.613</w:t>
            </w:r>
          </w:p>
        </w:tc>
        <w:tc>
          <w:tcPr>
            <w:tcW w:w="1440" w:type="dxa"/>
            <w:tcBorders>
              <w:top w:val="nil"/>
              <w:left w:val="nil"/>
              <w:bottom w:val="single" w:sz="4" w:space="0" w:color="auto"/>
              <w:right w:val="single" w:sz="4" w:space="0" w:color="auto"/>
            </w:tcBorders>
            <w:shd w:val="clear" w:color="auto" w:fill="auto"/>
            <w:noWrap/>
            <w:vAlign w:val="bottom"/>
            <w:hideMark/>
          </w:tcPr>
          <w:p w14:paraId="3B39DB6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61.699</w:t>
            </w:r>
          </w:p>
        </w:tc>
        <w:tc>
          <w:tcPr>
            <w:tcW w:w="1420" w:type="dxa"/>
            <w:tcBorders>
              <w:top w:val="nil"/>
              <w:left w:val="nil"/>
              <w:bottom w:val="single" w:sz="4" w:space="0" w:color="auto"/>
              <w:right w:val="single" w:sz="12" w:space="0" w:color="auto"/>
            </w:tcBorders>
            <w:shd w:val="clear" w:color="auto" w:fill="auto"/>
            <w:noWrap/>
            <w:vAlign w:val="bottom"/>
            <w:hideMark/>
          </w:tcPr>
          <w:p w14:paraId="35A1EDF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96.397</w:t>
            </w:r>
          </w:p>
        </w:tc>
      </w:tr>
      <w:tr w:rsidR="00E65191" w:rsidRPr="00B775DE" w14:paraId="3F02F297" w14:textId="77777777" w:rsidTr="00C21643">
        <w:trPr>
          <w:trHeight w:val="300"/>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517FA29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2033</w:t>
            </w:r>
          </w:p>
        </w:tc>
        <w:tc>
          <w:tcPr>
            <w:tcW w:w="1240" w:type="dxa"/>
            <w:tcBorders>
              <w:top w:val="nil"/>
              <w:left w:val="nil"/>
              <w:bottom w:val="single" w:sz="4" w:space="0" w:color="auto"/>
              <w:right w:val="single" w:sz="4" w:space="0" w:color="auto"/>
            </w:tcBorders>
            <w:shd w:val="clear" w:color="auto" w:fill="auto"/>
            <w:noWrap/>
            <w:vAlign w:val="bottom"/>
            <w:hideMark/>
          </w:tcPr>
          <w:p w14:paraId="288D5AD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17.322</w:t>
            </w:r>
          </w:p>
        </w:tc>
        <w:tc>
          <w:tcPr>
            <w:tcW w:w="1220" w:type="dxa"/>
            <w:tcBorders>
              <w:top w:val="nil"/>
              <w:left w:val="nil"/>
              <w:bottom w:val="single" w:sz="4" w:space="0" w:color="auto"/>
              <w:right w:val="single" w:sz="4" w:space="0" w:color="auto"/>
            </w:tcBorders>
            <w:shd w:val="clear" w:color="auto" w:fill="auto"/>
            <w:noWrap/>
            <w:vAlign w:val="bottom"/>
            <w:hideMark/>
          </w:tcPr>
          <w:p w14:paraId="51E2B7B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5.992</w:t>
            </w:r>
          </w:p>
        </w:tc>
        <w:tc>
          <w:tcPr>
            <w:tcW w:w="1320" w:type="dxa"/>
            <w:tcBorders>
              <w:top w:val="nil"/>
              <w:left w:val="nil"/>
              <w:bottom w:val="single" w:sz="4" w:space="0" w:color="auto"/>
              <w:right w:val="single" w:sz="4" w:space="0" w:color="auto"/>
            </w:tcBorders>
            <w:shd w:val="clear" w:color="auto" w:fill="auto"/>
            <w:noWrap/>
            <w:vAlign w:val="bottom"/>
            <w:hideMark/>
          </w:tcPr>
          <w:p w14:paraId="01AF61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1.298</w:t>
            </w:r>
          </w:p>
        </w:tc>
        <w:tc>
          <w:tcPr>
            <w:tcW w:w="1480" w:type="dxa"/>
            <w:tcBorders>
              <w:top w:val="nil"/>
              <w:left w:val="nil"/>
              <w:bottom w:val="single" w:sz="4" w:space="0" w:color="auto"/>
              <w:right w:val="single" w:sz="4" w:space="0" w:color="auto"/>
            </w:tcBorders>
            <w:shd w:val="clear" w:color="auto" w:fill="auto"/>
            <w:noWrap/>
            <w:vAlign w:val="bottom"/>
            <w:hideMark/>
          </w:tcPr>
          <w:p w14:paraId="4042A3B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4.793</w:t>
            </w:r>
          </w:p>
        </w:tc>
        <w:tc>
          <w:tcPr>
            <w:tcW w:w="1440" w:type="dxa"/>
            <w:tcBorders>
              <w:top w:val="nil"/>
              <w:left w:val="nil"/>
              <w:bottom w:val="single" w:sz="4" w:space="0" w:color="auto"/>
              <w:right w:val="single" w:sz="4" w:space="0" w:color="auto"/>
            </w:tcBorders>
            <w:shd w:val="clear" w:color="auto" w:fill="auto"/>
            <w:noWrap/>
            <w:vAlign w:val="bottom"/>
            <w:hideMark/>
          </w:tcPr>
          <w:p w14:paraId="578F0E4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62.933</w:t>
            </w:r>
          </w:p>
        </w:tc>
        <w:tc>
          <w:tcPr>
            <w:tcW w:w="1420" w:type="dxa"/>
            <w:tcBorders>
              <w:top w:val="nil"/>
              <w:left w:val="nil"/>
              <w:bottom w:val="single" w:sz="4" w:space="0" w:color="auto"/>
              <w:right w:val="single" w:sz="12" w:space="0" w:color="auto"/>
            </w:tcBorders>
            <w:shd w:val="clear" w:color="auto" w:fill="auto"/>
            <w:noWrap/>
            <w:vAlign w:val="bottom"/>
            <w:hideMark/>
          </w:tcPr>
          <w:p w14:paraId="26239B2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92.337</w:t>
            </w:r>
          </w:p>
        </w:tc>
      </w:tr>
      <w:tr w:rsidR="00E65191" w:rsidRPr="00B775DE" w14:paraId="191851B1" w14:textId="77777777" w:rsidTr="00C21643">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6F216E2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2034</w:t>
            </w:r>
          </w:p>
        </w:tc>
        <w:tc>
          <w:tcPr>
            <w:tcW w:w="1240" w:type="dxa"/>
            <w:tcBorders>
              <w:top w:val="nil"/>
              <w:left w:val="nil"/>
              <w:bottom w:val="single" w:sz="4" w:space="0" w:color="auto"/>
              <w:right w:val="single" w:sz="4" w:space="0" w:color="auto"/>
            </w:tcBorders>
            <w:shd w:val="clear" w:color="auto" w:fill="auto"/>
            <w:noWrap/>
            <w:vAlign w:val="bottom"/>
            <w:hideMark/>
          </w:tcPr>
          <w:p w14:paraId="708B020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16.058</w:t>
            </w:r>
          </w:p>
        </w:tc>
        <w:tc>
          <w:tcPr>
            <w:tcW w:w="1220" w:type="dxa"/>
            <w:tcBorders>
              <w:top w:val="nil"/>
              <w:left w:val="nil"/>
              <w:bottom w:val="single" w:sz="4" w:space="0" w:color="auto"/>
              <w:right w:val="single" w:sz="4" w:space="0" w:color="auto"/>
            </w:tcBorders>
            <w:shd w:val="clear" w:color="auto" w:fill="auto"/>
            <w:noWrap/>
            <w:vAlign w:val="bottom"/>
            <w:hideMark/>
          </w:tcPr>
          <w:p w14:paraId="1FDA24D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5.998</w:t>
            </w:r>
          </w:p>
        </w:tc>
        <w:tc>
          <w:tcPr>
            <w:tcW w:w="1320" w:type="dxa"/>
            <w:tcBorders>
              <w:top w:val="nil"/>
              <w:left w:val="nil"/>
              <w:bottom w:val="single" w:sz="4" w:space="0" w:color="auto"/>
              <w:right w:val="single" w:sz="4" w:space="0" w:color="auto"/>
            </w:tcBorders>
            <w:shd w:val="clear" w:color="auto" w:fill="auto"/>
            <w:noWrap/>
            <w:vAlign w:val="bottom"/>
            <w:hideMark/>
          </w:tcPr>
          <w:p w14:paraId="0EC4BCB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1.043</w:t>
            </w:r>
          </w:p>
        </w:tc>
        <w:tc>
          <w:tcPr>
            <w:tcW w:w="1480" w:type="dxa"/>
            <w:tcBorders>
              <w:top w:val="nil"/>
              <w:left w:val="nil"/>
              <w:bottom w:val="single" w:sz="4" w:space="0" w:color="auto"/>
              <w:right w:val="single" w:sz="4" w:space="0" w:color="auto"/>
            </w:tcBorders>
            <w:shd w:val="clear" w:color="auto" w:fill="auto"/>
            <w:noWrap/>
            <w:vAlign w:val="bottom"/>
            <w:hideMark/>
          </w:tcPr>
          <w:p w14:paraId="2C8802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4.679</w:t>
            </w:r>
          </w:p>
        </w:tc>
        <w:tc>
          <w:tcPr>
            <w:tcW w:w="1440" w:type="dxa"/>
            <w:tcBorders>
              <w:top w:val="nil"/>
              <w:left w:val="nil"/>
              <w:bottom w:val="single" w:sz="4" w:space="0" w:color="auto"/>
              <w:right w:val="single" w:sz="4" w:space="0" w:color="auto"/>
            </w:tcBorders>
            <w:shd w:val="clear" w:color="auto" w:fill="auto"/>
            <w:noWrap/>
            <w:vAlign w:val="bottom"/>
            <w:hideMark/>
          </w:tcPr>
          <w:p w14:paraId="78D03DE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64.191</w:t>
            </w:r>
          </w:p>
        </w:tc>
        <w:tc>
          <w:tcPr>
            <w:tcW w:w="1420" w:type="dxa"/>
            <w:tcBorders>
              <w:top w:val="nil"/>
              <w:left w:val="nil"/>
              <w:bottom w:val="single" w:sz="4" w:space="0" w:color="auto"/>
              <w:right w:val="single" w:sz="12" w:space="0" w:color="auto"/>
            </w:tcBorders>
            <w:shd w:val="clear" w:color="auto" w:fill="auto"/>
            <w:noWrap/>
            <w:vAlign w:val="bottom"/>
            <w:hideMark/>
          </w:tcPr>
          <w:p w14:paraId="67E3614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91.970</w:t>
            </w:r>
          </w:p>
        </w:tc>
      </w:tr>
      <w:tr w:rsidR="00E65191" w:rsidRPr="00B775DE" w14:paraId="17537CBC" w14:textId="77777777" w:rsidTr="00C21643">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hideMark/>
          </w:tcPr>
          <w:p w14:paraId="5502A5C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2035</w:t>
            </w:r>
          </w:p>
        </w:tc>
        <w:tc>
          <w:tcPr>
            <w:tcW w:w="1240" w:type="dxa"/>
            <w:tcBorders>
              <w:top w:val="nil"/>
              <w:left w:val="nil"/>
              <w:bottom w:val="single" w:sz="4" w:space="0" w:color="auto"/>
              <w:right w:val="single" w:sz="4" w:space="0" w:color="auto"/>
            </w:tcBorders>
            <w:shd w:val="clear" w:color="auto" w:fill="auto"/>
            <w:noWrap/>
            <w:vAlign w:val="bottom"/>
            <w:hideMark/>
          </w:tcPr>
          <w:p w14:paraId="619F93A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14.758</w:t>
            </w:r>
          </w:p>
        </w:tc>
        <w:tc>
          <w:tcPr>
            <w:tcW w:w="1220" w:type="dxa"/>
            <w:tcBorders>
              <w:top w:val="nil"/>
              <w:left w:val="nil"/>
              <w:bottom w:val="single" w:sz="4" w:space="0" w:color="auto"/>
              <w:right w:val="single" w:sz="4" w:space="0" w:color="auto"/>
            </w:tcBorders>
            <w:shd w:val="clear" w:color="auto" w:fill="auto"/>
            <w:noWrap/>
            <w:vAlign w:val="bottom"/>
            <w:hideMark/>
          </w:tcPr>
          <w:p w14:paraId="41F0098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6.004</w:t>
            </w:r>
          </w:p>
        </w:tc>
        <w:tc>
          <w:tcPr>
            <w:tcW w:w="1320" w:type="dxa"/>
            <w:tcBorders>
              <w:top w:val="nil"/>
              <w:left w:val="nil"/>
              <w:bottom w:val="single" w:sz="4" w:space="0" w:color="auto"/>
              <w:right w:val="single" w:sz="4" w:space="0" w:color="auto"/>
            </w:tcBorders>
            <w:shd w:val="clear" w:color="auto" w:fill="auto"/>
            <w:noWrap/>
            <w:vAlign w:val="bottom"/>
            <w:hideMark/>
          </w:tcPr>
          <w:p w14:paraId="30AAE2D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26CD985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4.564</w:t>
            </w:r>
          </w:p>
        </w:tc>
        <w:tc>
          <w:tcPr>
            <w:tcW w:w="1440" w:type="dxa"/>
            <w:tcBorders>
              <w:top w:val="nil"/>
              <w:left w:val="nil"/>
              <w:bottom w:val="single" w:sz="4" w:space="0" w:color="auto"/>
              <w:right w:val="single" w:sz="4" w:space="0" w:color="auto"/>
            </w:tcBorders>
            <w:shd w:val="clear" w:color="auto" w:fill="auto"/>
            <w:noWrap/>
            <w:vAlign w:val="bottom"/>
            <w:hideMark/>
          </w:tcPr>
          <w:p w14:paraId="385B197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65.475</w:t>
            </w:r>
          </w:p>
        </w:tc>
        <w:tc>
          <w:tcPr>
            <w:tcW w:w="1420" w:type="dxa"/>
            <w:tcBorders>
              <w:top w:val="nil"/>
              <w:left w:val="nil"/>
              <w:bottom w:val="single" w:sz="4" w:space="0" w:color="auto"/>
              <w:right w:val="single" w:sz="12" w:space="0" w:color="auto"/>
            </w:tcBorders>
            <w:shd w:val="clear" w:color="auto" w:fill="auto"/>
            <w:noWrap/>
            <w:vAlign w:val="bottom"/>
            <w:hideMark/>
          </w:tcPr>
          <w:p w14:paraId="19EC3FA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91.588</w:t>
            </w:r>
          </w:p>
        </w:tc>
      </w:tr>
    </w:tbl>
    <w:p w14:paraId="78E4E43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001389A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kern w:val="0"/>
          <w:sz w:val="20"/>
          <w:szCs w:val="24"/>
        </w:rPr>
        <w:t>(*) izhodiščno leto za izračun scenarija razvoja ravnanja s komunalnimi odpadki;</w:t>
      </w:r>
    </w:p>
    <w:p w14:paraId="0895127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leto za katerega je določena največja letna količina gorljivih sestavin, ki nastanejo po mehanski obdelavi mešanih komunalnih odpadkov.</w:t>
      </w:r>
    </w:p>
    <w:p w14:paraId="59F1C1D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AA6F4A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Največje letne količine gorljivih sestavin iz papirja, plastike, lesa, tekstila in drugih gorljivih sestavin mešanih komunalnih odpadkov so podane kot indikativne vrednosti, ki ne smejo biti presežene za več kot 25 odstotkov. Če so te indikativne vrednosti presežene za več kot 25 odstotkov mora izvajalec mehanske obdelave mešanih komunalnih odpadkov:</w:t>
      </w:r>
    </w:p>
    <w:p w14:paraId="62036E5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8AE20F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(a) ugotoviti, ali so ti mešani komunalni odpadki nastali na območju občine, za katero je bilo ocenjeno na podlagi rezultatov </w:t>
      </w:r>
      <w:proofErr w:type="spellStart"/>
      <w:r w:rsidRPr="00B775DE">
        <w:rPr>
          <w:rFonts w:ascii="Arial" w:eastAsia="Times New Roman" w:hAnsi="Arial" w:cs="Times New Roman"/>
          <w:kern w:val="0"/>
          <w:sz w:val="20"/>
          <w:szCs w:val="24"/>
        </w:rPr>
        <w:t>sortirnih</w:t>
      </w:r>
      <w:proofErr w:type="spellEnd"/>
      <w:r w:rsidRPr="00B775DE">
        <w:rPr>
          <w:rFonts w:ascii="Arial" w:eastAsia="Times New Roman" w:hAnsi="Arial" w:cs="Times New Roman"/>
          <w:kern w:val="0"/>
          <w:sz w:val="20"/>
          <w:szCs w:val="24"/>
        </w:rPr>
        <w:t xml:space="preserve"> analiz MKO, izdelanih za izhodiščno leto modelnega izračuna scenarijev razvoja ravnanja s komunalnimi odpadki, da letna količina zbranih mešanih komunalnih, preračunana na prebivalca, presega referenčno vrednost kazalnika za Republiko Slovenijo »količina MKO na prebivalca«;</w:t>
      </w:r>
      <w:r w:rsidRPr="00B775DE" w:rsidDel="007E37A7">
        <w:rPr>
          <w:rFonts w:ascii="Arial" w:eastAsia="Times New Roman" w:hAnsi="Arial" w:cs="Times New Roman"/>
          <w:kern w:val="0"/>
          <w:sz w:val="20"/>
          <w:szCs w:val="24"/>
        </w:rPr>
        <w:t xml:space="preserve"> </w:t>
      </w:r>
    </w:p>
    <w:p w14:paraId="0B3326C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(b) opozoriti izvajalca javne službe zbiranja, ki je take mešane komunalne odpadke predal v mehansko obdelavo, na izvajanje ukrepov za bolj učinkovito ločeno zbiranje komunalnih odpadkov;</w:t>
      </w:r>
    </w:p>
    <w:p w14:paraId="4464717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(c) povečati učinkovitost izločevanja reciklabilnih odpadnih snovi iz prevzetih mešanih komunalnih odpadkov, z namenom, da za papir, plastiko, les in tekstil največje letne količine gorljivih sestavin ne presegajo v zgornji tabeli navedenih indikativnih vrednosti za več kot 25 odstotkov.</w:t>
      </w:r>
    </w:p>
    <w:p w14:paraId="5C61F1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46BF4A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C955B9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2. del - največja letna količina gorljivih sestavin, ki nastanejo po mehanski obdelavi kosovnih odpadkov </w:t>
      </w:r>
      <w:bookmarkStart w:id="61" w:name="_Hlk177853977"/>
      <w:r w:rsidRPr="00B775DE">
        <w:rPr>
          <w:rFonts w:ascii="Arial" w:eastAsia="Times New Roman" w:hAnsi="Arial" w:cs="Times New Roman"/>
          <w:b/>
          <w:kern w:val="0"/>
          <w:sz w:val="20"/>
          <w:szCs w:val="24"/>
        </w:rPr>
        <w:t>s številko 20 03 07, ločeno zbranega papirja, kartona in lepenke s številko 20 01 01, ločeno zbrane plastike s številko 20 01 39, ločeno zbranega lesa s številko 20 01 38 in ločeno zbranega tekstila s številko 20 01 11</w:t>
      </w:r>
      <w:bookmarkEnd w:id="61"/>
      <w:r w:rsidRPr="00B775DE">
        <w:rPr>
          <w:rFonts w:ascii="Arial" w:eastAsia="Times New Roman" w:hAnsi="Arial" w:cs="Times New Roman"/>
          <w:b/>
          <w:kern w:val="0"/>
          <w:sz w:val="20"/>
          <w:szCs w:val="24"/>
        </w:rPr>
        <w:t>, zbranih v okviru storitev javne službe zbiranja, in se sežigajo kot posebna storitev je za leto 2025 navedena v spodnji tabeli:</w:t>
      </w:r>
    </w:p>
    <w:p w14:paraId="78E7C78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xml:space="preserve">  </w:t>
      </w:r>
    </w:p>
    <w:p w14:paraId="6EDDB8A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tbl>
      <w:tblPr>
        <w:tblW w:w="8490" w:type="dxa"/>
        <w:tblInd w:w="85" w:type="dxa"/>
        <w:tblCellMar>
          <w:left w:w="70" w:type="dxa"/>
          <w:right w:w="70" w:type="dxa"/>
        </w:tblCellMar>
        <w:tblLook w:val="04A0" w:firstRow="1" w:lastRow="0" w:firstColumn="1" w:lastColumn="0" w:noHBand="0" w:noVBand="1"/>
      </w:tblPr>
      <w:tblGrid>
        <w:gridCol w:w="978"/>
        <w:gridCol w:w="1275"/>
        <w:gridCol w:w="1276"/>
        <w:gridCol w:w="1276"/>
        <w:gridCol w:w="1276"/>
        <w:gridCol w:w="1275"/>
        <w:gridCol w:w="1263"/>
      </w:tblGrid>
      <w:tr w:rsidR="00E65191" w:rsidRPr="00B775DE" w14:paraId="588EA1E1" w14:textId="77777777" w:rsidTr="00C21643">
        <w:trPr>
          <w:trHeight w:val="1800"/>
        </w:trPr>
        <w:tc>
          <w:tcPr>
            <w:tcW w:w="978" w:type="dxa"/>
            <w:tcBorders>
              <w:top w:val="single" w:sz="12" w:space="0" w:color="auto"/>
              <w:left w:val="single" w:sz="12" w:space="0" w:color="auto"/>
              <w:bottom w:val="nil"/>
              <w:right w:val="nil"/>
            </w:tcBorders>
            <w:shd w:val="clear" w:color="000000" w:fill="64FC68"/>
            <w:vAlign w:val="bottom"/>
            <w:hideMark/>
          </w:tcPr>
          <w:p w14:paraId="4B01538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w:t>
            </w:r>
          </w:p>
        </w:tc>
        <w:tc>
          <w:tcPr>
            <w:tcW w:w="1275" w:type="dxa"/>
            <w:tcBorders>
              <w:top w:val="single" w:sz="12" w:space="0" w:color="auto"/>
              <w:left w:val="single" w:sz="12" w:space="0" w:color="auto"/>
              <w:bottom w:val="nil"/>
              <w:right w:val="single" w:sz="4" w:space="0" w:color="auto"/>
            </w:tcBorders>
            <w:shd w:val="clear" w:color="000000" w:fill="64FC68"/>
            <w:vAlign w:val="bottom"/>
            <w:hideMark/>
          </w:tcPr>
          <w:p w14:paraId="0CED534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w:t>
            </w:r>
          </w:p>
        </w:tc>
        <w:tc>
          <w:tcPr>
            <w:tcW w:w="1276" w:type="dxa"/>
            <w:tcBorders>
              <w:top w:val="single" w:sz="12" w:space="0" w:color="auto"/>
              <w:left w:val="nil"/>
              <w:bottom w:val="nil"/>
              <w:right w:val="single" w:sz="4" w:space="0" w:color="auto"/>
            </w:tcBorders>
            <w:shd w:val="clear" w:color="000000" w:fill="64FC68"/>
            <w:vAlign w:val="bottom"/>
            <w:hideMark/>
          </w:tcPr>
          <w:p w14:paraId="07A1B03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tc>
        <w:tc>
          <w:tcPr>
            <w:tcW w:w="1276" w:type="dxa"/>
            <w:tcBorders>
              <w:top w:val="single" w:sz="12" w:space="0" w:color="auto"/>
              <w:left w:val="nil"/>
              <w:bottom w:val="nil"/>
              <w:right w:val="single" w:sz="4" w:space="0" w:color="auto"/>
            </w:tcBorders>
            <w:shd w:val="clear" w:color="000000" w:fill="64FC68"/>
            <w:vAlign w:val="bottom"/>
            <w:hideMark/>
          </w:tcPr>
          <w:p w14:paraId="60F17EB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tc>
        <w:tc>
          <w:tcPr>
            <w:tcW w:w="1276" w:type="dxa"/>
            <w:tcBorders>
              <w:top w:val="single" w:sz="12" w:space="0" w:color="auto"/>
              <w:left w:val="nil"/>
              <w:bottom w:val="nil"/>
              <w:right w:val="single" w:sz="4" w:space="0" w:color="auto"/>
            </w:tcBorders>
            <w:shd w:val="clear" w:color="000000" w:fill="64FC68"/>
            <w:vAlign w:val="bottom"/>
            <w:hideMark/>
          </w:tcPr>
          <w:p w14:paraId="2B9681A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tc>
        <w:tc>
          <w:tcPr>
            <w:tcW w:w="1275" w:type="dxa"/>
            <w:tcBorders>
              <w:top w:val="single" w:sz="12" w:space="0" w:color="auto"/>
              <w:left w:val="nil"/>
              <w:bottom w:val="nil"/>
              <w:right w:val="single" w:sz="4" w:space="0" w:color="auto"/>
            </w:tcBorders>
            <w:shd w:val="clear" w:color="000000" w:fill="64FC68"/>
            <w:vAlign w:val="bottom"/>
            <w:hideMark/>
          </w:tcPr>
          <w:p w14:paraId="47F7C6D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tc>
        <w:tc>
          <w:tcPr>
            <w:tcW w:w="1134" w:type="dxa"/>
            <w:tcBorders>
              <w:top w:val="single" w:sz="12" w:space="0" w:color="auto"/>
              <w:left w:val="nil"/>
              <w:bottom w:val="nil"/>
              <w:right w:val="single" w:sz="12" w:space="0" w:color="auto"/>
            </w:tcBorders>
            <w:shd w:val="clear" w:color="000000" w:fill="64FC68"/>
            <w:vAlign w:val="bottom"/>
            <w:hideMark/>
          </w:tcPr>
          <w:p w14:paraId="07941FA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zbranih komunalnih odpadkov, ki niso odpadna embalaža</w:t>
            </w:r>
          </w:p>
        </w:tc>
      </w:tr>
      <w:tr w:rsidR="00E65191" w:rsidRPr="00B775DE" w14:paraId="276DBE41" w14:textId="77777777" w:rsidTr="00C21643">
        <w:trPr>
          <w:trHeight w:val="345"/>
        </w:trPr>
        <w:tc>
          <w:tcPr>
            <w:tcW w:w="978" w:type="dxa"/>
            <w:tcBorders>
              <w:top w:val="nil"/>
              <w:left w:val="single" w:sz="12" w:space="0" w:color="auto"/>
              <w:bottom w:val="single" w:sz="12" w:space="0" w:color="auto"/>
              <w:right w:val="nil"/>
            </w:tcBorders>
            <w:shd w:val="clear" w:color="000000" w:fill="64FC68"/>
            <w:noWrap/>
            <w:vAlign w:val="bottom"/>
            <w:hideMark/>
          </w:tcPr>
          <w:p w14:paraId="72E523A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275" w:type="dxa"/>
            <w:tcBorders>
              <w:top w:val="nil"/>
              <w:left w:val="single" w:sz="12" w:space="0" w:color="auto"/>
              <w:bottom w:val="single" w:sz="12" w:space="0" w:color="auto"/>
              <w:right w:val="single" w:sz="4" w:space="0" w:color="auto"/>
            </w:tcBorders>
            <w:shd w:val="clear" w:color="000000" w:fill="64FC68"/>
            <w:noWrap/>
            <w:vAlign w:val="bottom"/>
            <w:hideMark/>
          </w:tcPr>
          <w:p w14:paraId="5B94D11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kosovni odpadki</w:t>
            </w:r>
          </w:p>
        </w:tc>
        <w:tc>
          <w:tcPr>
            <w:tcW w:w="1276" w:type="dxa"/>
            <w:tcBorders>
              <w:top w:val="nil"/>
              <w:left w:val="nil"/>
              <w:bottom w:val="single" w:sz="12" w:space="0" w:color="auto"/>
              <w:right w:val="single" w:sz="4" w:space="0" w:color="auto"/>
            </w:tcBorders>
            <w:shd w:val="clear" w:color="000000" w:fill="64FC68"/>
            <w:noWrap/>
            <w:vAlign w:val="bottom"/>
            <w:hideMark/>
          </w:tcPr>
          <w:p w14:paraId="77267E6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276" w:type="dxa"/>
            <w:tcBorders>
              <w:top w:val="nil"/>
              <w:left w:val="nil"/>
              <w:bottom w:val="single" w:sz="12" w:space="0" w:color="auto"/>
              <w:right w:val="single" w:sz="4" w:space="0" w:color="auto"/>
            </w:tcBorders>
            <w:shd w:val="clear" w:color="000000" w:fill="64FC68"/>
            <w:noWrap/>
            <w:vAlign w:val="bottom"/>
            <w:hideMark/>
          </w:tcPr>
          <w:p w14:paraId="1ACD0D5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plastika</w:t>
            </w:r>
          </w:p>
        </w:tc>
        <w:tc>
          <w:tcPr>
            <w:tcW w:w="1276" w:type="dxa"/>
            <w:tcBorders>
              <w:top w:val="nil"/>
              <w:left w:val="nil"/>
              <w:bottom w:val="single" w:sz="12" w:space="0" w:color="auto"/>
              <w:right w:val="single" w:sz="4" w:space="0" w:color="auto"/>
            </w:tcBorders>
            <w:shd w:val="clear" w:color="000000" w:fill="64FC68"/>
            <w:noWrap/>
            <w:vAlign w:val="bottom"/>
            <w:hideMark/>
          </w:tcPr>
          <w:p w14:paraId="4785924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275" w:type="dxa"/>
            <w:tcBorders>
              <w:top w:val="nil"/>
              <w:left w:val="nil"/>
              <w:bottom w:val="single" w:sz="12" w:space="0" w:color="auto"/>
              <w:right w:val="single" w:sz="4" w:space="0" w:color="auto"/>
            </w:tcBorders>
            <w:shd w:val="clear" w:color="000000" w:fill="64FC68"/>
            <w:noWrap/>
            <w:vAlign w:val="bottom"/>
            <w:hideMark/>
          </w:tcPr>
          <w:p w14:paraId="6A48A4A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tekstil</w:t>
            </w:r>
          </w:p>
        </w:tc>
        <w:tc>
          <w:tcPr>
            <w:tcW w:w="1134" w:type="dxa"/>
            <w:tcBorders>
              <w:top w:val="nil"/>
              <w:left w:val="nil"/>
              <w:bottom w:val="single" w:sz="12" w:space="0" w:color="auto"/>
              <w:right w:val="single" w:sz="12" w:space="0" w:color="auto"/>
            </w:tcBorders>
            <w:shd w:val="clear" w:color="000000" w:fill="64FC68"/>
            <w:noWrap/>
            <w:vAlign w:val="bottom"/>
            <w:hideMark/>
          </w:tcPr>
          <w:p w14:paraId="7FE24B3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442E92AE" w14:textId="77777777" w:rsidTr="00C21643">
        <w:trPr>
          <w:trHeight w:val="330"/>
        </w:trPr>
        <w:tc>
          <w:tcPr>
            <w:tcW w:w="978"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8287B9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2021 (*)</w:t>
            </w:r>
          </w:p>
        </w:tc>
        <w:tc>
          <w:tcPr>
            <w:tcW w:w="1275" w:type="dxa"/>
            <w:tcBorders>
              <w:top w:val="nil"/>
              <w:left w:val="nil"/>
              <w:bottom w:val="single" w:sz="4" w:space="0" w:color="auto"/>
              <w:right w:val="single" w:sz="4" w:space="0" w:color="auto"/>
            </w:tcBorders>
            <w:shd w:val="clear" w:color="auto" w:fill="auto"/>
            <w:noWrap/>
            <w:vAlign w:val="bottom"/>
            <w:hideMark/>
          </w:tcPr>
          <w:p w14:paraId="0419F74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20.528</w:t>
            </w:r>
          </w:p>
        </w:tc>
        <w:tc>
          <w:tcPr>
            <w:tcW w:w="1276" w:type="dxa"/>
            <w:tcBorders>
              <w:top w:val="nil"/>
              <w:left w:val="nil"/>
              <w:bottom w:val="single" w:sz="4" w:space="0" w:color="auto"/>
              <w:right w:val="single" w:sz="4" w:space="0" w:color="auto"/>
            </w:tcBorders>
            <w:shd w:val="clear" w:color="auto" w:fill="auto"/>
            <w:noWrap/>
            <w:vAlign w:val="bottom"/>
            <w:hideMark/>
          </w:tcPr>
          <w:p w14:paraId="732FDA5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5.637</w:t>
            </w:r>
          </w:p>
        </w:tc>
        <w:tc>
          <w:tcPr>
            <w:tcW w:w="1276" w:type="dxa"/>
            <w:tcBorders>
              <w:top w:val="nil"/>
              <w:left w:val="nil"/>
              <w:bottom w:val="single" w:sz="4" w:space="0" w:color="auto"/>
              <w:right w:val="single" w:sz="4" w:space="0" w:color="auto"/>
            </w:tcBorders>
            <w:shd w:val="clear" w:color="auto" w:fill="auto"/>
            <w:noWrap/>
            <w:vAlign w:val="bottom"/>
            <w:hideMark/>
          </w:tcPr>
          <w:p w14:paraId="0DD953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951</w:t>
            </w:r>
          </w:p>
        </w:tc>
        <w:tc>
          <w:tcPr>
            <w:tcW w:w="1276" w:type="dxa"/>
            <w:tcBorders>
              <w:top w:val="nil"/>
              <w:left w:val="nil"/>
              <w:bottom w:val="single" w:sz="4" w:space="0" w:color="auto"/>
              <w:right w:val="single" w:sz="4" w:space="0" w:color="auto"/>
            </w:tcBorders>
            <w:shd w:val="clear" w:color="auto" w:fill="auto"/>
            <w:noWrap/>
            <w:vAlign w:val="bottom"/>
            <w:hideMark/>
          </w:tcPr>
          <w:p w14:paraId="655A439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34.558</w:t>
            </w:r>
          </w:p>
        </w:tc>
        <w:tc>
          <w:tcPr>
            <w:tcW w:w="1275" w:type="dxa"/>
            <w:tcBorders>
              <w:top w:val="nil"/>
              <w:left w:val="nil"/>
              <w:bottom w:val="single" w:sz="4" w:space="0" w:color="auto"/>
              <w:right w:val="single" w:sz="4" w:space="0" w:color="auto"/>
            </w:tcBorders>
            <w:shd w:val="clear" w:color="auto" w:fill="auto"/>
            <w:noWrap/>
            <w:vAlign w:val="bottom"/>
            <w:hideMark/>
          </w:tcPr>
          <w:p w14:paraId="52E0C7A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807</w:t>
            </w:r>
          </w:p>
        </w:tc>
        <w:tc>
          <w:tcPr>
            <w:tcW w:w="1134" w:type="dxa"/>
            <w:tcBorders>
              <w:top w:val="nil"/>
              <w:left w:val="nil"/>
              <w:bottom w:val="single" w:sz="4" w:space="0" w:color="auto"/>
              <w:right w:val="single" w:sz="12" w:space="0" w:color="auto"/>
            </w:tcBorders>
            <w:shd w:val="clear" w:color="auto" w:fill="auto"/>
            <w:noWrap/>
            <w:vAlign w:val="bottom"/>
            <w:hideMark/>
          </w:tcPr>
          <w:p w14:paraId="145962C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62.481</w:t>
            </w:r>
          </w:p>
        </w:tc>
      </w:tr>
      <w:tr w:rsidR="00E65191" w:rsidRPr="00B775DE" w14:paraId="45AAB202" w14:textId="77777777" w:rsidTr="00C21643">
        <w:trPr>
          <w:trHeight w:val="315"/>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49BDEDC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2025 (**)</w:t>
            </w:r>
          </w:p>
        </w:tc>
        <w:tc>
          <w:tcPr>
            <w:tcW w:w="1275" w:type="dxa"/>
            <w:tcBorders>
              <w:top w:val="nil"/>
              <w:left w:val="nil"/>
              <w:bottom w:val="single" w:sz="4" w:space="0" w:color="auto"/>
              <w:right w:val="single" w:sz="4" w:space="0" w:color="auto"/>
            </w:tcBorders>
            <w:shd w:val="clear" w:color="auto" w:fill="auto"/>
            <w:noWrap/>
            <w:vAlign w:val="bottom"/>
            <w:hideMark/>
          </w:tcPr>
          <w:p w14:paraId="16570F6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21.374</w:t>
            </w:r>
          </w:p>
        </w:tc>
        <w:tc>
          <w:tcPr>
            <w:tcW w:w="1276" w:type="dxa"/>
            <w:tcBorders>
              <w:top w:val="nil"/>
              <w:left w:val="nil"/>
              <w:bottom w:val="single" w:sz="4" w:space="0" w:color="auto"/>
              <w:right w:val="single" w:sz="4" w:space="0" w:color="auto"/>
            </w:tcBorders>
            <w:shd w:val="clear" w:color="auto" w:fill="auto"/>
            <w:noWrap/>
            <w:vAlign w:val="bottom"/>
            <w:hideMark/>
          </w:tcPr>
          <w:p w14:paraId="24F7D4A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4.879</w:t>
            </w:r>
          </w:p>
        </w:tc>
        <w:tc>
          <w:tcPr>
            <w:tcW w:w="1276" w:type="dxa"/>
            <w:tcBorders>
              <w:top w:val="nil"/>
              <w:left w:val="nil"/>
              <w:bottom w:val="single" w:sz="4" w:space="0" w:color="auto"/>
              <w:right w:val="single" w:sz="4" w:space="0" w:color="auto"/>
            </w:tcBorders>
            <w:shd w:val="clear" w:color="auto" w:fill="auto"/>
            <w:noWrap/>
            <w:vAlign w:val="bottom"/>
            <w:hideMark/>
          </w:tcPr>
          <w:p w14:paraId="52A55DB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1.151</w:t>
            </w:r>
          </w:p>
        </w:tc>
        <w:tc>
          <w:tcPr>
            <w:tcW w:w="1276" w:type="dxa"/>
            <w:tcBorders>
              <w:top w:val="nil"/>
              <w:left w:val="nil"/>
              <w:bottom w:val="single" w:sz="4" w:space="0" w:color="auto"/>
              <w:right w:val="single" w:sz="4" w:space="0" w:color="auto"/>
            </w:tcBorders>
            <w:shd w:val="clear" w:color="auto" w:fill="auto"/>
            <w:noWrap/>
            <w:vAlign w:val="bottom"/>
            <w:hideMark/>
          </w:tcPr>
          <w:p w14:paraId="2D08E98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33.241</w:t>
            </w:r>
          </w:p>
        </w:tc>
        <w:tc>
          <w:tcPr>
            <w:tcW w:w="1275" w:type="dxa"/>
            <w:tcBorders>
              <w:top w:val="nil"/>
              <w:left w:val="nil"/>
              <w:bottom w:val="single" w:sz="4" w:space="0" w:color="auto"/>
              <w:right w:val="single" w:sz="4" w:space="0" w:color="auto"/>
            </w:tcBorders>
            <w:shd w:val="clear" w:color="auto" w:fill="auto"/>
            <w:noWrap/>
            <w:vAlign w:val="bottom"/>
            <w:hideMark/>
          </w:tcPr>
          <w:p w14:paraId="49F4CFA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1.760</w:t>
            </w:r>
          </w:p>
        </w:tc>
        <w:tc>
          <w:tcPr>
            <w:tcW w:w="1134" w:type="dxa"/>
            <w:tcBorders>
              <w:top w:val="nil"/>
              <w:left w:val="nil"/>
              <w:bottom w:val="single" w:sz="4" w:space="0" w:color="auto"/>
              <w:right w:val="single" w:sz="12" w:space="0" w:color="auto"/>
            </w:tcBorders>
            <w:shd w:val="clear" w:color="auto" w:fill="auto"/>
            <w:noWrap/>
            <w:vAlign w:val="bottom"/>
            <w:hideMark/>
          </w:tcPr>
          <w:p w14:paraId="4FCEA55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62.405</w:t>
            </w:r>
          </w:p>
        </w:tc>
      </w:tr>
      <w:tr w:rsidR="00E65191" w:rsidRPr="00B775DE" w14:paraId="1BC5E84D" w14:textId="77777777" w:rsidTr="00C21643">
        <w:trPr>
          <w:trHeight w:val="465"/>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407BCCA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2026</w:t>
            </w:r>
          </w:p>
        </w:tc>
        <w:tc>
          <w:tcPr>
            <w:tcW w:w="1275" w:type="dxa"/>
            <w:tcBorders>
              <w:top w:val="nil"/>
              <w:left w:val="nil"/>
              <w:bottom w:val="single" w:sz="4" w:space="0" w:color="auto"/>
              <w:right w:val="single" w:sz="4" w:space="0" w:color="auto"/>
            </w:tcBorders>
            <w:shd w:val="clear" w:color="auto" w:fill="auto"/>
            <w:noWrap/>
            <w:vAlign w:val="bottom"/>
            <w:hideMark/>
          </w:tcPr>
          <w:p w14:paraId="6867A31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21.586</w:t>
            </w:r>
          </w:p>
        </w:tc>
        <w:tc>
          <w:tcPr>
            <w:tcW w:w="1276" w:type="dxa"/>
            <w:tcBorders>
              <w:top w:val="nil"/>
              <w:left w:val="nil"/>
              <w:bottom w:val="single" w:sz="4" w:space="0" w:color="auto"/>
              <w:right w:val="single" w:sz="4" w:space="0" w:color="auto"/>
            </w:tcBorders>
            <w:shd w:val="clear" w:color="auto" w:fill="auto"/>
            <w:noWrap/>
            <w:vAlign w:val="bottom"/>
            <w:hideMark/>
          </w:tcPr>
          <w:p w14:paraId="6AE7D96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4.665</w:t>
            </w:r>
          </w:p>
        </w:tc>
        <w:tc>
          <w:tcPr>
            <w:tcW w:w="1276" w:type="dxa"/>
            <w:tcBorders>
              <w:top w:val="nil"/>
              <w:left w:val="nil"/>
              <w:bottom w:val="single" w:sz="4" w:space="0" w:color="auto"/>
              <w:right w:val="single" w:sz="4" w:space="0" w:color="auto"/>
            </w:tcBorders>
            <w:shd w:val="clear" w:color="auto" w:fill="auto"/>
            <w:noWrap/>
            <w:vAlign w:val="bottom"/>
            <w:hideMark/>
          </w:tcPr>
          <w:p w14:paraId="5B8C4BE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1.207</w:t>
            </w:r>
          </w:p>
        </w:tc>
        <w:tc>
          <w:tcPr>
            <w:tcW w:w="1276" w:type="dxa"/>
            <w:tcBorders>
              <w:top w:val="nil"/>
              <w:left w:val="nil"/>
              <w:bottom w:val="single" w:sz="4" w:space="0" w:color="auto"/>
              <w:right w:val="single" w:sz="4" w:space="0" w:color="auto"/>
            </w:tcBorders>
            <w:shd w:val="clear" w:color="auto" w:fill="auto"/>
            <w:noWrap/>
            <w:vAlign w:val="bottom"/>
            <w:hideMark/>
          </w:tcPr>
          <w:p w14:paraId="30482CE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33.177</w:t>
            </w:r>
          </w:p>
        </w:tc>
        <w:tc>
          <w:tcPr>
            <w:tcW w:w="1275" w:type="dxa"/>
            <w:tcBorders>
              <w:top w:val="nil"/>
              <w:left w:val="nil"/>
              <w:bottom w:val="single" w:sz="4" w:space="0" w:color="auto"/>
              <w:right w:val="single" w:sz="4" w:space="0" w:color="auto"/>
            </w:tcBorders>
            <w:shd w:val="clear" w:color="auto" w:fill="auto"/>
            <w:noWrap/>
            <w:vAlign w:val="bottom"/>
            <w:hideMark/>
          </w:tcPr>
          <w:p w14:paraId="5BEEF01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2.134</w:t>
            </w:r>
          </w:p>
        </w:tc>
        <w:tc>
          <w:tcPr>
            <w:tcW w:w="1134" w:type="dxa"/>
            <w:tcBorders>
              <w:top w:val="nil"/>
              <w:left w:val="nil"/>
              <w:bottom w:val="single" w:sz="4" w:space="0" w:color="auto"/>
              <w:right w:val="single" w:sz="12" w:space="0" w:color="auto"/>
            </w:tcBorders>
            <w:shd w:val="clear" w:color="auto" w:fill="auto"/>
            <w:noWrap/>
            <w:vAlign w:val="bottom"/>
            <w:hideMark/>
          </w:tcPr>
          <w:p w14:paraId="787E2E5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62.768</w:t>
            </w:r>
          </w:p>
        </w:tc>
      </w:tr>
      <w:tr w:rsidR="00E65191" w:rsidRPr="00B775DE" w14:paraId="3A810B9E" w14:textId="77777777" w:rsidTr="00C21643">
        <w:trPr>
          <w:trHeight w:val="315"/>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126D9A2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2027</w:t>
            </w:r>
          </w:p>
        </w:tc>
        <w:tc>
          <w:tcPr>
            <w:tcW w:w="1275" w:type="dxa"/>
            <w:tcBorders>
              <w:top w:val="nil"/>
              <w:left w:val="nil"/>
              <w:bottom w:val="single" w:sz="4" w:space="0" w:color="auto"/>
              <w:right w:val="single" w:sz="4" w:space="0" w:color="auto"/>
            </w:tcBorders>
            <w:shd w:val="clear" w:color="auto" w:fill="auto"/>
            <w:noWrap/>
            <w:vAlign w:val="bottom"/>
            <w:hideMark/>
          </w:tcPr>
          <w:p w14:paraId="11BEBAC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21.797</w:t>
            </w:r>
          </w:p>
        </w:tc>
        <w:tc>
          <w:tcPr>
            <w:tcW w:w="1276" w:type="dxa"/>
            <w:tcBorders>
              <w:top w:val="nil"/>
              <w:left w:val="nil"/>
              <w:bottom w:val="single" w:sz="4" w:space="0" w:color="auto"/>
              <w:right w:val="single" w:sz="4" w:space="0" w:color="auto"/>
            </w:tcBorders>
            <w:shd w:val="clear" w:color="auto" w:fill="auto"/>
            <w:noWrap/>
            <w:vAlign w:val="bottom"/>
            <w:hideMark/>
          </w:tcPr>
          <w:p w14:paraId="5D0F64F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4.441</w:t>
            </w:r>
          </w:p>
        </w:tc>
        <w:tc>
          <w:tcPr>
            <w:tcW w:w="1276" w:type="dxa"/>
            <w:tcBorders>
              <w:top w:val="nil"/>
              <w:left w:val="nil"/>
              <w:bottom w:val="single" w:sz="4" w:space="0" w:color="auto"/>
              <w:right w:val="single" w:sz="4" w:space="0" w:color="auto"/>
            </w:tcBorders>
            <w:shd w:val="clear" w:color="auto" w:fill="auto"/>
            <w:noWrap/>
            <w:vAlign w:val="bottom"/>
            <w:hideMark/>
          </w:tcPr>
          <w:p w14:paraId="32A226D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1.266</w:t>
            </w:r>
          </w:p>
        </w:tc>
        <w:tc>
          <w:tcPr>
            <w:tcW w:w="1276" w:type="dxa"/>
            <w:tcBorders>
              <w:top w:val="nil"/>
              <w:left w:val="nil"/>
              <w:bottom w:val="single" w:sz="4" w:space="0" w:color="auto"/>
              <w:right w:val="single" w:sz="4" w:space="0" w:color="auto"/>
            </w:tcBorders>
            <w:shd w:val="clear" w:color="auto" w:fill="auto"/>
            <w:noWrap/>
            <w:vAlign w:val="bottom"/>
            <w:hideMark/>
          </w:tcPr>
          <w:p w14:paraId="11B7B86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33.106</w:t>
            </w:r>
          </w:p>
        </w:tc>
        <w:tc>
          <w:tcPr>
            <w:tcW w:w="1275" w:type="dxa"/>
            <w:tcBorders>
              <w:top w:val="nil"/>
              <w:left w:val="nil"/>
              <w:bottom w:val="single" w:sz="4" w:space="0" w:color="auto"/>
              <w:right w:val="single" w:sz="4" w:space="0" w:color="auto"/>
            </w:tcBorders>
            <w:shd w:val="clear" w:color="auto" w:fill="auto"/>
            <w:noWrap/>
            <w:vAlign w:val="bottom"/>
            <w:hideMark/>
          </w:tcPr>
          <w:p w14:paraId="502B16A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2.585</w:t>
            </w:r>
          </w:p>
        </w:tc>
        <w:tc>
          <w:tcPr>
            <w:tcW w:w="1134" w:type="dxa"/>
            <w:tcBorders>
              <w:top w:val="nil"/>
              <w:left w:val="nil"/>
              <w:bottom w:val="single" w:sz="4" w:space="0" w:color="auto"/>
              <w:right w:val="single" w:sz="12" w:space="0" w:color="auto"/>
            </w:tcBorders>
            <w:shd w:val="clear" w:color="auto" w:fill="auto"/>
            <w:noWrap/>
            <w:vAlign w:val="bottom"/>
            <w:hideMark/>
          </w:tcPr>
          <w:p w14:paraId="2010AB1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63.195</w:t>
            </w:r>
          </w:p>
        </w:tc>
      </w:tr>
      <w:tr w:rsidR="00E65191" w:rsidRPr="00B775DE" w14:paraId="26903C06" w14:textId="77777777" w:rsidTr="00C21643">
        <w:trPr>
          <w:trHeight w:val="480"/>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03A779F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lastRenderedPageBreak/>
              <w:t>2028</w:t>
            </w:r>
          </w:p>
        </w:tc>
        <w:tc>
          <w:tcPr>
            <w:tcW w:w="1275" w:type="dxa"/>
            <w:tcBorders>
              <w:top w:val="nil"/>
              <w:left w:val="nil"/>
              <w:bottom w:val="single" w:sz="4" w:space="0" w:color="auto"/>
              <w:right w:val="single" w:sz="4" w:space="0" w:color="auto"/>
            </w:tcBorders>
            <w:shd w:val="clear" w:color="auto" w:fill="auto"/>
            <w:noWrap/>
            <w:vAlign w:val="bottom"/>
            <w:hideMark/>
          </w:tcPr>
          <w:p w14:paraId="4AFE390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22.008</w:t>
            </w:r>
          </w:p>
        </w:tc>
        <w:tc>
          <w:tcPr>
            <w:tcW w:w="1276" w:type="dxa"/>
            <w:tcBorders>
              <w:top w:val="nil"/>
              <w:left w:val="nil"/>
              <w:bottom w:val="single" w:sz="4" w:space="0" w:color="auto"/>
              <w:right w:val="single" w:sz="4" w:space="0" w:color="auto"/>
            </w:tcBorders>
            <w:shd w:val="clear" w:color="auto" w:fill="auto"/>
            <w:noWrap/>
            <w:vAlign w:val="bottom"/>
            <w:hideMark/>
          </w:tcPr>
          <w:p w14:paraId="15DF25B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4.205</w:t>
            </w:r>
          </w:p>
        </w:tc>
        <w:tc>
          <w:tcPr>
            <w:tcW w:w="1276" w:type="dxa"/>
            <w:tcBorders>
              <w:top w:val="nil"/>
              <w:left w:val="nil"/>
              <w:bottom w:val="single" w:sz="4" w:space="0" w:color="auto"/>
              <w:right w:val="single" w:sz="4" w:space="0" w:color="auto"/>
            </w:tcBorders>
            <w:shd w:val="clear" w:color="auto" w:fill="auto"/>
            <w:noWrap/>
            <w:vAlign w:val="bottom"/>
            <w:hideMark/>
          </w:tcPr>
          <w:p w14:paraId="2CB6218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1.328</w:t>
            </w:r>
          </w:p>
        </w:tc>
        <w:tc>
          <w:tcPr>
            <w:tcW w:w="1276" w:type="dxa"/>
            <w:tcBorders>
              <w:top w:val="nil"/>
              <w:left w:val="nil"/>
              <w:bottom w:val="single" w:sz="4" w:space="0" w:color="auto"/>
              <w:right w:val="single" w:sz="4" w:space="0" w:color="auto"/>
            </w:tcBorders>
            <w:shd w:val="clear" w:color="auto" w:fill="auto"/>
            <w:noWrap/>
            <w:vAlign w:val="bottom"/>
            <w:hideMark/>
          </w:tcPr>
          <w:p w14:paraId="623178F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33.029</w:t>
            </w:r>
          </w:p>
        </w:tc>
        <w:tc>
          <w:tcPr>
            <w:tcW w:w="1275" w:type="dxa"/>
            <w:tcBorders>
              <w:top w:val="nil"/>
              <w:left w:val="nil"/>
              <w:bottom w:val="single" w:sz="4" w:space="0" w:color="auto"/>
              <w:right w:val="single" w:sz="4" w:space="0" w:color="auto"/>
            </w:tcBorders>
            <w:shd w:val="clear" w:color="auto" w:fill="auto"/>
            <w:noWrap/>
            <w:vAlign w:val="bottom"/>
            <w:hideMark/>
          </w:tcPr>
          <w:p w14:paraId="1EFB2A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3.129</w:t>
            </w:r>
          </w:p>
        </w:tc>
        <w:tc>
          <w:tcPr>
            <w:tcW w:w="1134" w:type="dxa"/>
            <w:tcBorders>
              <w:top w:val="nil"/>
              <w:left w:val="nil"/>
              <w:bottom w:val="single" w:sz="4" w:space="0" w:color="auto"/>
              <w:right w:val="single" w:sz="12" w:space="0" w:color="auto"/>
            </w:tcBorders>
            <w:shd w:val="clear" w:color="auto" w:fill="auto"/>
            <w:noWrap/>
            <w:vAlign w:val="bottom"/>
            <w:hideMark/>
          </w:tcPr>
          <w:p w14:paraId="24A69AE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63.700</w:t>
            </w:r>
          </w:p>
        </w:tc>
      </w:tr>
      <w:tr w:rsidR="00E65191" w:rsidRPr="00B775DE" w14:paraId="6C79FB18" w14:textId="77777777" w:rsidTr="00C21643">
        <w:trPr>
          <w:trHeight w:val="315"/>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065B71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2029</w:t>
            </w:r>
          </w:p>
        </w:tc>
        <w:tc>
          <w:tcPr>
            <w:tcW w:w="1275" w:type="dxa"/>
            <w:tcBorders>
              <w:top w:val="nil"/>
              <w:left w:val="nil"/>
              <w:bottom w:val="single" w:sz="4" w:space="0" w:color="auto"/>
              <w:right w:val="single" w:sz="4" w:space="0" w:color="auto"/>
            </w:tcBorders>
            <w:shd w:val="clear" w:color="auto" w:fill="auto"/>
            <w:noWrap/>
            <w:vAlign w:val="bottom"/>
            <w:hideMark/>
          </w:tcPr>
          <w:p w14:paraId="7D2F1A7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22.095</w:t>
            </w:r>
          </w:p>
        </w:tc>
        <w:tc>
          <w:tcPr>
            <w:tcW w:w="1276" w:type="dxa"/>
            <w:tcBorders>
              <w:top w:val="nil"/>
              <w:left w:val="nil"/>
              <w:bottom w:val="single" w:sz="4" w:space="0" w:color="auto"/>
              <w:right w:val="single" w:sz="4" w:space="0" w:color="auto"/>
            </w:tcBorders>
            <w:shd w:val="clear" w:color="auto" w:fill="auto"/>
            <w:noWrap/>
            <w:vAlign w:val="bottom"/>
            <w:hideMark/>
          </w:tcPr>
          <w:p w14:paraId="13183BD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3.958</w:t>
            </w:r>
          </w:p>
        </w:tc>
        <w:tc>
          <w:tcPr>
            <w:tcW w:w="1276" w:type="dxa"/>
            <w:tcBorders>
              <w:top w:val="nil"/>
              <w:left w:val="nil"/>
              <w:bottom w:val="single" w:sz="4" w:space="0" w:color="auto"/>
              <w:right w:val="single" w:sz="4" w:space="0" w:color="auto"/>
            </w:tcBorders>
            <w:shd w:val="clear" w:color="auto" w:fill="auto"/>
            <w:noWrap/>
            <w:vAlign w:val="bottom"/>
            <w:hideMark/>
          </w:tcPr>
          <w:p w14:paraId="23BCD93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1.393</w:t>
            </w:r>
          </w:p>
        </w:tc>
        <w:tc>
          <w:tcPr>
            <w:tcW w:w="1276" w:type="dxa"/>
            <w:tcBorders>
              <w:top w:val="nil"/>
              <w:left w:val="nil"/>
              <w:bottom w:val="single" w:sz="4" w:space="0" w:color="auto"/>
              <w:right w:val="single" w:sz="4" w:space="0" w:color="auto"/>
            </w:tcBorders>
            <w:shd w:val="clear" w:color="auto" w:fill="auto"/>
            <w:noWrap/>
            <w:vAlign w:val="bottom"/>
            <w:hideMark/>
          </w:tcPr>
          <w:p w14:paraId="1EE5BD3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32.947</w:t>
            </w:r>
          </w:p>
        </w:tc>
        <w:tc>
          <w:tcPr>
            <w:tcW w:w="1275" w:type="dxa"/>
            <w:tcBorders>
              <w:top w:val="nil"/>
              <w:left w:val="nil"/>
              <w:bottom w:val="single" w:sz="4" w:space="0" w:color="auto"/>
              <w:right w:val="single" w:sz="4" w:space="0" w:color="auto"/>
            </w:tcBorders>
            <w:shd w:val="clear" w:color="auto" w:fill="auto"/>
            <w:noWrap/>
            <w:vAlign w:val="bottom"/>
            <w:hideMark/>
          </w:tcPr>
          <w:p w14:paraId="6E99B81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3.783</w:t>
            </w:r>
          </w:p>
        </w:tc>
        <w:tc>
          <w:tcPr>
            <w:tcW w:w="1134" w:type="dxa"/>
            <w:tcBorders>
              <w:top w:val="nil"/>
              <w:left w:val="nil"/>
              <w:bottom w:val="single" w:sz="4" w:space="0" w:color="auto"/>
              <w:right w:val="single" w:sz="12" w:space="0" w:color="auto"/>
            </w:tcBorders>
            <w:shd w:val="clear" w:color="auto" w:fill="auto"/>
            <w:noWrap/>
            <w:vAlign w:val="bottom"/>
            <w:hideMark/>
          </w:tcPr>
          <w:p w14:paraId="1A37DF3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64.176</w:t>
            </w:r>
          </w:p>
        </w:tc>
      </w:tr>
      <w:tr w:rsidR="00E65191" w:rsidRPr="00B775DE" w14:paraId="4BCC5B24" w14:textId="77777777" w:rsidTr="00C21643">
        <w:trPr>
          <w:trHeight w:val="300"/>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1EA2AC9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2030</w:t>
            </w:r>
          </w:p>
        </w:tc>
        <w:tc>
          <w:tcPr>
            <w:tcW w:w="1275" w:type="dxa"/>
            <w:tcBorders>
              <w:top w:val="nil"/>
              <w:left w:val="nil"/>
              <w:bottom w:val="single" w:sz="4" w:space="0" w:color="auto"/>
              <w:right w:val="single" w:sz="4" w:space="0" w:color="auto"/>
            </w:tcBorders>
            <w:shd w:val="clear" w:color="auto" w:fill="auto"/>
            <w:noWrap/>
            <w:vAlign w:val="bottom"/>
            <w:hideMark/>
          </w:tcPr>
          <w:p w14:paraId="61C349C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22.020</w:t>
            </w:r>
          </w:p>
        </w:tc>
        <w:tc>
          <w:tcPr>
            <w:tcW w:w="1276" w:type="dxa"/>
            <w:tcBorders>
              <w:top w:val="nil"/>
              <w:left w:val="nil"/>
              <w:bottom w:val="single" w:sz="4" w:space="0" w:color="auto"/>
              <w:right w:val="single" w:sz="4" w:space="0" w:color="auto"/>
            </w:tcBorders>
            <w:shd w:val="clear" w:color="auto" w:fill="auto"/>
            <w:noWrap/>
            <w:vAlign w:val="bottom"/>
            <w:hideMark/>
          </w:tcPr>
          <w:p w14:paraId="1BF186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3.700</w:t>
            </w:r>
          </w:p>
        </w:tc>
        <w:tc>
          <w:tcPr>
            <w:tcW w:w="1276" w:type="dxa"/>
            <w:tcBorders>
              <w:top w:val="nil"/>
              <w:left w:val="nil"/>
              <w:bottom w:val="single" w:sz="4" w:space="0" w:color="auto"/>
              <w:right w:val="single" w:sz="4" w:space="0" w:color="auto"/>
            </w:tcBorders>
            <w:shd w:val="clear" w:color="auto" w:fill="auto"/>
            <w:noWrap/>
            <w:vAlign w:val="bottom"/>
            <w:hideMark/>
          </w:tcPr>
          <w:p w14:paraId="1BCDFCF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1.461</w:t>
            </w:r>
          </w:p>
        </w:tc>
        <w:tc>
          <w:tcPr>
            <w:tcW w:w="1276" w:type="dxa"/>
            <w:tcBorders>
              <w:top w:val="nil"/>
              <w:left w:val="nil"/>
              <w:bottom w:val="single" w:sz="4" w:space="0" w:color="auto"/>
              <w:right w:val="single" w:sz="4" w:space="0" w:color="auto"/>
            </w:tcBorders>
            <w:shd w:val="clear" w:color="auto" w:fill="auto"/>
            <w:noWrap/>
            <w:vAlign w:val="bottom"/>
            <w:hideMark/>
          </w:tcPr>
          <w:p w14:paraId="486F091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32.858</w:t>
            </w:r>
          </w:p>
        </w:tc>
        <w:tc>
          <w:tcPr>
            <w:tcW w:w="1275" w:type="dxa"/>
            <w:tcBorders>
              <w:top w:val="nil"/>
              <w:left w:val="nil"/>
              <w:bottom w:val="single" w:sz="4" w:space="0" w:color="auto"/>
              <w:right w:val="single" w:sz="4" w:space="0" w:color="auto"/>
            </w:tcBorders>
            <w:shd w:val="clear" w:color="auto" w:fill="auto"/>
            <w:noWrap/>
            <w:vAlign w:val="bottom"/>
            <w:hideMark/>
          </w:tcPr>
          <w:p w14:paraId="66BCA46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4.568</w:t>
            </w:r>
          </w:p>
        </w:tc>
        <w:tc>
          <w:tcPr>
            <w:tcW w:w="1134" w:type="dxa"/>
            <w:tcBorders>
              <w:top w:val="nil"/>
              <w:left w:val="nil"/>
              <w:bottom w:val="single" w:sz="4" w:space="0" w:color="auto"/>
              <w:right w:val="single" w:sz="12" w:space="0" w:color="auto"/>
            </w:tcBorders>
            <w:shd w:val="clear" w:color="auto" w:fill="auto"/>
            <w:noWrap/>
            <w:vAlign w:val="bottom"/>
            <w:hideMark/>
          </w:tcPr>
          <w:p w14:paraId="6DFADBB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64.608</w:t>
            </w:r>
          </w:p>
        </w:tc>
      </w:tr>
      <w:tr w:rsidR="00E65191" w:rsidRPr="00B775DE" w14:paraId="7686D435" w14:textId="77777777" w:rsidTr="00C21643">
        <w:trPr>
          <w:trHeight w:val="300"/>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79D1558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2031</w:t>
            </w:r>
          </w:p>
        </w:tc>
        <w:tc>
          <w:tcPr>
            <w:tcW w:w="1275" w:type="dxa"/>
            <w:tcBorders>
              <w:top w:val="nil"/>
              <w:left w:val="nil"/>
              <w:bottom w:val="single" w:sz="4" w:space="0" w:color="auto"/>
              <w:right w:val="single" w:sz="4" w:space="0" w:color="auto"/>
            </w:tcBorders>
            <w:shd w:val="clear" w:color="auto" w:fill="auto"/>
            <w:noWrap/>
            <w:vAlign w:val="bottom"/>
            <w:hideMark/>
          </w:tcPr>
          <w:p w14:paraId="6ECC34D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21.943</w:t>
            </w:r>
          </w:p>
        </w:tc>
        <w:tc>
          <w:tcPr>
            <w:tcW w:w="1276" w:type="dxa"/>
            <w:tcBorders>
              <w:top w:val="nil"/>
              <w:left w:val="nil"/>
              <w:bottom w:val="single" w:sz="4" w:space="0" w:color="auto"/>
              <w:right w:val="single" w:sz="4" w:space="0" w:color="auto"/>
            </w:tcBorders>
            <w:shd w:val="clear" w:color="auto" w:fill="auto"/>
            <w:noWrap/>
            <w:vAlign w:val="bottom"/>
            <w:hideMark/>
          </w:tcPr>
          <w:p w14:paraId="2B146A3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3.430</w:t>
            </w:r>
          </w:p>
        </w:tc>
        <w:tc>
          <w:tcPr>
            <w:tcW w:w="1276" w:type="dxa"/>
            <w:tcBorders>
              <w:top w:val="nil"/>
              <w:left w:val="nil"/>
              <w:bottom w:val="single" w:sz="4" w:space="0" w:color="auto"/>
              <w:right w:val="single" w:sz="4" w:space="0" w:color="auto"/>
            </w:tcBorders>
            <w:shd w:val="clear" w:color="auto" w:fill="auto"/>
            <w:noWrap/>
            <w:vAlign w:val="bottom"/>
            <w:hideMark/>
          </w:tcPr>
          <w:p w14:paraId="493C4DF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1.532</w:t>
            </w:r>
          </w:p>
        </w:tc>
        <w:tc>
          <w:tcPr>
            <w:tcW w:w="1276" w:type="dxa"/>
            <w:tcBorders>
              <w:top w:val="nil"/>
              <w:left w:val="nil"/>
              <w:bottom w:val="single" w:sz="4" w:space="0" w:color="auto"/>
              <w:right w:val="single" w:sz="4" w:space="0" w:color="auto"/>
            </w:tcBorders>
            <w:shd w:val="clear" w:color="auto" w:fill="auto"/>
            <w:noWrap/>
            <w:vAlign w:val="bottom"/>
            <w:hideMark/>
          </w:tcPr>
          <w:p w14:paraId="2987281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32.763</w:t>
            </w:r>
          </w:p>
        </w:tc>
        <w:tc>
          <w:tcPr>
            <w:tcW w:w="1275" w:type="dxa"/>
            <w:tcBorders>
              <w:top w:val="nil"/>
              <w:left w:val="nil"/>
              <w:bottom w:val="single" w:sz="4" w:space="0" w:color="auto"/>
              <w:right w:val="single" w:sz="4" w:space="0" w:color="auto"/>
            </w:tcBorders>
            <w:shd w:val="clear" w:color="auto" w:fill="auto"/>
            <w:noWrap/>
            <w:vAlign w:val="bottom"/>
            <w:hideMark/>
          </w:tcPr>
          <w:p w14:paraId="4118BDE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5.510</w:t>
            </w:r>
          </w:p>
        </w:tc>
        <w:tc>
          <w:tcPr>
            <w:tcW w:w="1134" w:type="dxa"/>
            <w:tcBorders>
              <w:top w:val="nil"/>
              <w:left w:val="nil"/>
              <w:bottom w:val="single" w:sz="4" w:space="0" w:color="auto"/>
              <w:right w:val="single" w:sz="12" w:space="0" w:color="auto"/>
            </w:tcBorders>
            <w:shd w:val="clear" w:color="auto" w:fill="auto"/>
            <w:noWrap/>
            <w:vAlign w:val="bottom"/>
            <w:hideMark/>
          </w:tcPr>
          <w:p w14:paraId="6D3A742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65.179</w:t>
            </w:r>
          </w:p>
        </w:tc>
      </w:tr>
      <w:tr w:rsidR="00E65191" w:rsidRPr="00B775DE" w14:paraId="5F89ED9C" w14:textId="77777777" w:rsidTr="00C21643">
        <w:trPr>
          <w:trHeight w:val="300"/>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2D87DF9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2032</w:t>
            </w:r>
          </w:p>
        </w:tc>
        <w:tc>
          <w:tcPr>
            <w:tcW w:w="1275" w:type="dxa"/>
            <w:tcBorders>
              <w:top w:val="nil"/>
              <w:left w:val="nil"/>
              <w:bottom w:val="single" w:sz="4" w:space="0" w:color="auto"/>
              <w:right w:val="single" w:sz="4" w:space="0" w:color="auto"/>
            </w:tcBorders>
            <w:shd w:val="clear" w:color="auto" w:fill="auto"/>
            <w:noWrap/>
            <w:vAlign w:val="bottom"/>
            <w:hideMark/>
          </w:tcPr>
          <w:p w14:paraId="5099010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21.864</w:t>
            </w:r>
          </w:p>
        </w:tc>
        <w:tc>
          <w:tcPr>
            <w:tcW w:w="1276" w:type="dxa"/>
            <w:tcBorders>
              <w:top w:val="nil"/>
              <w:left w:val="nil"/>
              <w:bottom w:val="single" w:sz="4" w:space="0" w:color="auto"/>
              <w:right w:val="single" w:sz="4" w:space="0" w:color="auto"/>
            </w:tcBorders>
            <w:shd w:val="clear" w:color="auto" w:fill="auto"/>
            <w:noWrap/>
            <w:vAlign w:val="bottom"/>
            <w:hideMark/>
          </w:tcPr>
          <w:p w14:paraId="18C8BE8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3.148</w:t>
            </w:r>
          </w:p>
        </w:tc>
        <w:tc>
          <w:tcPr>
            <w:tcW w:w="1276" w:type="dxa"/>
            <w:tcBorders>
              <w:top w:val="nil"/>
              <w:left w:val="nil"/>
              <w:bottom w:val="single" w:sz="4" w:space="0" w:color="auto"/>
              <w:right w:val="single" w:sz="4" w:space="0" w:color="auto"/>
            </w:tcBorders>
            <w:shd w:val="clear" w:color="auto" w:fill="auto"/>
            <w:noWrap/>
            <w:vAlign w:val="bottom"/>
            <w:hideMark/>
          </w:tcPr>
          <w:p w14:paraId="68425D9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1.555</w:t>
            </w:r>
          </w:p>
        </w:tc>
        <w:tc>
          <w:tcPr>
            <w:tcW w:w="1276" w:type="dxa"/>
            <w:tcBorders>
              <w:top w:val="nil"/>
              <w:left w:val="nil"/>
              <w:bottom w:val="single" w:sz="4" w:space="0" w:color="auto"/>
              <w:right w:val="single" w:sz="4" w:space="0" w:color="auto"/>
            </w:tcBorders>
            <w:shd w:val="clear" w:color="auto" w:fill="auto"/>
            <w:noWrap/>
            <w:vAlign w:val="bottom"/>
            <w:hideMark/>
          </w:tcPr>
          <w:p w14:paraId="550C6EA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32.662</w:t>
            </w:r>
          </w:p>
        </w:tc>
        <w:tc>
          <w:tcPr>
            <w:tcW w:w="1275" w:type="dxa"/>
            <w:tcBorders>
              <w:top w:val="nil"/>
              <w:left w:val="nil"/>
              <w:bottom w:val="single" w:sz="4" w:space="0" w:color="auto"/>
              <w:right w:val="single" w:sz="4" w:space="0" w:color="auto"/>
            </w:tcBorders>
            <w:shd w:val="clear" w:color="auto" w:fill="auto"/>
            <w:noWrap/>
            <w:vAlign w:val="bottom"/>
            <w:hideMark/>
          </w:tcPr>
          <w:p w14:paraId="58FEA50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6.637</w:t>
            </w:r>
          </w:p>
        </w:tc>
        <w:tc>
          <w:tcPr>
            <w:tcW w:w="1134" w:type="dxa"/>
            <w:tcBorders>
              <w:top w:val="nil"/>
              <w:left w:val="nil"/>
              <w:bottom w:val="single" w:sz="4" w:space="0" w:color="auto"/>
              <w:right w:val="single" w:sz="12" w:space="0" w:color="auto"/>
            </w:tcBorders>
            <w:shd w:val="clear" w:color="auto" w:fill="auto"/>
            <w:noWrap/>
            <w:vAlign w:val="bottom"/>
            <w:hideMark/>
          </w:tcPr>
          <w:p w14:paraId="3C0D267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65.866</w:t>
            </w:r>
          </w:p>
        </w:tc>
      </w:tr>
      <w:tr w:rsidR="00E65191" w:rsidRPr="00B775DE" w14:paraId="1F57E116" w14:textId="77777777" w:rsidTr="00C21643">
        <w:trPr>
          <w:trHeight w:val="300"/>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496D6AF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2033</w:t>
            </w:r>
          </w:p>
        </w:tc>
        <w:tc>
          <w:tcPr>
            <w:tcW w:w="1275" w:type="dxa"/>
            <w:tcBorders>
              <w:top w:val="nil"/>
              <w:left w:val="nil"/>
              <w:bottom w:val="single" w:sz="4" w:space="0" w:color="auto"/>
              <w:right w:val="single" w:sz="4" w:space="0" w:color="auto"/>
            </w:tcBorders>
            <w:shd w:val="clear" w:color="auto" w:fill="auto"/>
            <w:noWrap/>
            <w:vAlign w:val="bottom"/>
            <w:hideMark/>
          </w:tcPr>
          <w:p w14:paraId="05AD51C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21.783</w:t>
            </w:r>
          </w:p>
        </w:tc>
        <w:tc>
          <w:tcPr>
            <w:tcW w:w="1276" w:type="dxa"/>
            <w:tcBorders>
              <w:top w:val="nil"/>
              <w:left w:val="nil"/>
              <w:bottom w:val="single" w:sz="4" w:space="0" w:color="auto"/>
              <w:right w:val="single" w:sz="4" w:space="0" w:color="auto"/>
            </w:tcBorders>
            <w:shd w:val="clear" w:color="auto" w:fill="auto"/>
            <w:noWrap/>
            <w:vAlign w:val="bottom"/>
            <w:hideMark/>
          </w:tcPr>
          <w:p w14:paraId="65274D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2.853</w:t>
            </w:r>
          </w:p>
        </w:tc>
        <w:tc>
          <w:tcPr>
            <w:tcW w:w="1276" w:type="dxa"/>
            <w:tcBorders>
              <w:top w:val="nil"/>
              <w:left w:val="nil"/>
              <w:bottom w:val="single" w:sz="4" w:space="0" w:color="auto"/>
              <w:right w:val="single" w:sz="4" w:space="0" w:color="auto"/>
            </w:tcBorders>
            <w:shd w:val="clear" w:color="auto" w:fill="auto"/>
            <w:noWrap/>
            <w:vAlign w:val="bottom"/>
            <w:hideMark/>
          </w:tcPr>
          <w:p w14:paraId="2FD544A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1.554</w:t>
            </w:r>
          </w:p>
        </w:tc>
        <w:tc>
          <w:tcPr>
            <w:tcW w:w="1276" w:type="dxa"/>
            <w:tcBorders>
              <w:top w:val="nil"/>
              <w:left w:val="nil"/>
              <w:bottom w:val="single" w:sz="4" w:space="0" w:color="auto"/>
              <w:right w:val="single" w:sz="4" w:space="0" w:color="auto"/>
            </w:tcBorders>
            <w:shd w:val="clear" w:color="auto" w:fill="auto"/>
            <w:noWrap/>
            <w:vAlign w:val="bottom"/>
            <w:hideMark/>
          </w:tcPr>
          <w:p w14:paraId="23B6842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32.555</w:t>
            </w:r>
          </w:p>
        </w:tc>
        <w:tc>
          <w:tcPr>
            <w:tcW w:w="1275" w:type="dxa"/>
            <w:tcBorders>
              <w:top w:val="nil"/>
              <w:left w:val="nil"/>
              <w:bottom w:val="single" w:sz="4" w:space="0" w:color="auto"/>
              <w:right w:val="single" w:sz="4" w:space="0" w:color="auto"/>
            </w:tcBorders>
            <w:shd w:val="clear" w:color="auto" w:fill="auto"/>
            <w:noWrap/>
            <w:vAlign w:val="bottom"/>
            <w:hideMark/>
          </w:tcPr>
          <w:p w14:paraId="2BF847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7.743</w:t>
            </w:r>
          </w:p>
        </w:tc>
        <w:tc>
          <w:tcPr>
            <w:tcW w:w="1134" w:type="dxa"/>
            <w:tcBorders>
              <w:top w:val="nil"/>
              <w:left w:val="nil"/>
              <w:bottom w:val="single" w:sz="4" w:space="0" w:color="auto"/>
              <w:right w:val="single" w:sz="12" w:space="0" w:color="auto"/>
            </w:tcBorders>
            <w:shd w:val="clear" w:color="auto" w:fill="auto"/>
            <w:noWrap/>
            <w:vAlign w:val="bottom"/>
            <w:hideMark/>
          </w:tcPr>
          <w:p w14:paraId="6EC8906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66.488</w:t>
            </w:r>
          </w:p>
        </w:tc>
      </w:tr>
      <w:tr w:rsidR="00E65191" w:rsidRPr="00B775DE" w14:paraId="0B1E18DF" w14:textId="77777777" w:rsidTr="00C21643">
        <w:trPr>
          <w:trHeight w:val="315"/>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0962C89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2034</w:t>
            </w:r>
          </w:p>
        </w:tc>
        <w:tc>
          <w:tcPr>
            <w:tcW w:w="1275" w:type="dxa"/>
            <w:tcBorders>
              <w:top w:val="nil"/>
              <w:left w:val="nil"/>
              <w:bottom w:val="single" w:sz="4" w:space="0" w:color="auto"/>
              <w:right w:val="single" w:sz="4" w:space="0" w:color="auto"/>
            </w:tcBorders>
            <w:shd w:val="clear" w:color="auto" w:fill="auto"/>
            <w:noWrap/>
            <w:vAlign w:val="bottom"/>
            <w:hideMark/>
          </w:tcPr>
          <w:p w14:paraId="2DB6C45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21.700</w:t>
            </w:r>
          </w:p>
        </w:tc>
        <w:tc>
          <w:tcPr>
            <w:tcW w:w="1276" w:type="dxa"/>
            <w:tcBorders>
              <w:top w:val="nil"/>
              <w:left w:val="nil"/>
              <w:bottom w:val="single" w:sz="4" w:space="0" w:color="auto"/>
              <w:right w:val="single" w:sz="4" w:space="0" w:color="auto"/>
            </w:tcBorders>
            <w:shd w:val="clear" w:color="auto" w:fill="auto"/>
            <w:noWrap/>
            <w:vAlign w:val="bottom"/>
            <w:hideMark/>
          </w:tcPr>
          <w:p w14:paraId="5796216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2.544</w:t>
            </w:r>
          </w:p>
        </w:tc>
        <w:tc>
          <w:tcPr>
            <w:tcW w:w="1276" w:type="dxa"/>
            <w:tcBorders>
              <w:top w:val="nil"/>
              <w:left w:val="nil"/>
              <w:bottom w:val="single" w:sz="4" w:space="0" w:color="auto"/>
              <w:right w:val="single" w:sz="4" w:space="0" w:color="auto"/>
            </w:tcBorders>
            <w:shd w:val="clear" w:color="auto" w:fill="auto"/>
            <w:noWrap/>
            <w:vAlign w:val="bottom"/>
            <w:hideMark/>
          </w:tcPr>
          <w:p w14:paraId="358B6AC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1.554</w:t>
            </w:r>
          </w:p>
        </w:tc>
        <w:tc>
          <w:tcPr>
            <w:tcW w:w="1276" w:type="dxa"/>
            <w:tcBorders>
              <w:top w:val="nil"/>
              <w:left w:val="nil"/>
              <w:bottom w:val="single" w:sz="4" w:space="0" w:color="auto"/>
              <w:right w:val="single" w:sz="4" w:space="0" w:color="auto"/>
            </w:tcBorders>
            <w:shd w:val="clear" w:color="auto" w:fill="auto"/>
            <w:noWrap/>
            <w:vAlign w:val="bottom"/>
            <w:hideMark/>
          </w:tcPr>
          <w:p w14:paraId="408CBE7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32.441</w:t>
            </w:r>
          </w:p>
        </w:tc>
        <w:tc>
          <w:tcPr>
            <w:tcW w:w="1275" w:type="dxa"/>
            <w:tcBorders>
              <w:top w:val="nil"/>
              <w:left w:val="nil"/>
              <w:bottom w:val="single" w:sz="4" w:space="0" w:color="auto"/>
              <w:right w:val="single" w:sz="4" w:space="0" w:color="auto"/>
            </w:tcBorders>
            <w:shd w:val="clear" w:color="auto" w:fill="auto"/>
            <w:noWrap/>
            <w:vAlign w:val="bottom"/>
            <w:hideMark/>
          </w:tcPr>
          <w:p w14:paraId="7272E6F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7.521</w:t>
            </w:r>
          </w:p>
        </w:tc>
        <w:tc>
          <w:tcPr>
            <w:tcW w:w="1134" w:type="dxa"/>
            <w:tcBorders>
              <w:top w:val="nil"/>
              <w:left w:val="nil"/>
              <w:bottom w:val="single" w:sz="4" w:space="0" w:color="auto"/>
              <w:right w:val="single" w:sz="12" w:space="0" w:color="auto"/>
            </w:tcBorders>
            <w:shd w:val="clear" w:color="auto" w:fill="auto"/>
            <w:noWrap/>
            <w:vAlign w:val="bottom"/>
            <w:hideMark/>
          </w:tcPr>
          <w:p w14:paraId="3D1288F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65.761</w:t>
            </w:r>
          </w:p>
        </w:tc>
      </w:tr>
      <w:tr w:rsidR="00E65191" w:rsidRPr="00B775DE" w14:paraId="5E886353" w14:textId="77777777" w:rsidTr="00C21643">
        <w:trPr>
          <w:trHeight w:val="315"/>
        </w:trPr>
        <w:tc>
          <w:tcPr>
            <w:tcW w:w="978" w:type="dxa"/>
            <w:tcBorders>
              <w:top w:val="nil"/>
              <w:left w:val="single" w:sz="12" w:space="0" w:color="auto"/>
              <w:bottom w:val="single" w:sz="4" w:space="0" w:color="auto"/>
              <w:right w:val="single" w:sz="12" w:space="0" w:color="auto"/>
            </w:tcBorders>
            <w:shd w:val="clear" w:color="auto" w:fill="auto"/>
            <w:noWrap/>
            <w:vAlign w:val="bottom"/>
            <w:hideMark/>
          </w:tcPr>
          <w:p w14:paraId="1CACD7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2035</w:t>
            </w:r>
          </w:p>
        </w:tc>
        <w:tc>
          <w:tcPr>
            <w:tcW w:w="1275" w:type="dxa"/>
            <w:tcBorders>
              <w:top w:val="nil"/>
              <w:left w:val="nil"/>
              <w:bottom w:val="single" w:sz="4" w:space="0" w:color="auto"/>
              <w:right w:val="single" w:sz="4" w:space="0" w:color="auto"/>
            </w:tcBorders>
            <w:shd w:val="clear" w:color="auto" w:fill="auto"/>
            <w:noWrap/>
            <w:vAlign w:val="bottom"/>
            <w:hideMark/>
          </w:tcPr>
          <w:p w14:paraId="2DC16A2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21.614</w:t>
            </w:r>
          </w:p>
        </w:tc>
        <w:tc>
          <w:tcPr>
            <w:tcW w:w="1276" w:type="dxa"/>
            <w:tcBorders>
              <w:top w:val="nil"/>
              <w:left w:val="nil"/>
              <w:bottom w:val="single" w:sz="4" w:space="0" w:color="auto"/>
              <w:right w:val="single" w:sz="4" w:space="0" w:color="auto"/>
            </w:tcBorders>
            <w:shd w:val="clear" w:color="auto" w:fill="auto"/>
            <w:noWrap/>
            <w:vAlign w:val="bottom"/>
            <w:hideMark/>
          </w:tcPr>
          <w:p w14:paraId="7013234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2.223</w:t>
            </w:r>
          </w:p>
        </w:tc>
        <w:tc>
          <w:tcPr>
            <w:tcW w:w="1276" w:type="dxa"/>
            <w:tcBorders>
              <w:top w:val="nil"/>
              <w:left w:val="nil"/>
              <w:bottom w:val="single" w:sz="4" w:space="0" w:color="auto"/>
              <w:right w:val="single" w:sz="4" w:space="0" w:color="auto"/>
            </w:tcBorders>
            <w:shd w:val="clear" w:color="auto" w:fill="auto"/>
            <w:noWrap/>
            <w:vAlign w:val="bottom"/>
            <w:hideMark/>
          </w:tcPr>
          <w:p w14:paraId="293C457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1.554</w:t>
            </w:r>
          </w:p>
        </w:tc>
        <w:tc>
          <w:tcPr>
            <w:tcW w:w="1276" w:type="dxa"/>
            <w:tcBorders>
              <w:top w:val="nil"/>
              <w:left w:val="nil"/>
              <w:bottom w:val="single" w:sz="4" w:space="0" w:color="auto"/>
              <w:right w:val="single" w:sz="4" w:space="0" w:color="auto"/>
            </w:tcBorders>
            <w:shd w:val="clear" w:color="auto" w:fill="auto"/>
            <w:noWrap/>
            <w:vAlign w:val="bottom"/>
            <w:hideMark/>
          </w:tcPr>
          <w:p w14:paraId="0841996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32.320</w:t>
            </w:r>
          </w:p>
        </w:tc>
        <w:tc>
          <w:tcPr>
            <w:tcW w:w="1275" w:type="dxa"/>
            <w:tcBorders>
              <w:top w:val="nil"/>
              <w:left w:val="nil"/>
              <w:bottom w:val="single" w:sz="4" w:space="0" w:color="auto"/>
              <w:right w:val="single" w:sz="4" w:space="0" w:color="auto"/>
            </w:tcBorders>
            <w:shd w:val="clear" w:color="auto" w:fill="auto"/>
            <w:noWrap/>
            <w:vAlign w:val="bottom"/>
            <w:hideMark/>
          </w:tcPr>
          <w:p w14:paraId="57A706F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7.294</w:t>
            </w:r>
          </w:p>
        </w:tc>
        <w:tc>
          <w:tcPr>
            <w:tcW w:w="1134" w:type="dxa"/>
            <w:tcBorders>
              <w:top w:val="nil"/>
              <w:left w:val="nil"/>
              <w:bottom w:val="single" w:sz="4" w:space="0" w:color="auto"/>
              <w:right w:val="single" w:sz="12" w:space="0" w:color="auto"/>
            </w:tcBorders>
            <w:shd w:val="clear" w:color="auto" w:fill="auto"/>
            <w:noWrap/>
            <w:vAlign w:val="bottom"/>
            <w:hideMark/>
          </w:tcPr>
          <w:p w14:paraId="3DC2356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65.006</w:t>
            </w:r>
          </w:p>
        </w:tc>
      </w:tr>
    </w:tbl>
    <w:p w14:paraId="315740F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B6521F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bookmarkStart w:id="62" w:name="_Hlk177751185"/>
      <w:r w:rsidRPr="00B775DE">
        <w:rPr>
          <w:rFonts w:ascii="Arial" w:eastAsia="Times New Roman" w:hAnsi="Arial" w:cs="Times New Roman"/>
          <w:kern w:val="0"/>
          <w:sz w:val="20"/>
          <w:szCs w:val="24"/>
        </w:rPr>
        <w:t>(*) izhodiščno leto za izračun scenarija razvoja ravnanja s komunalnimi odpadki;</w:t>
      </w:r>
    </w:p>
    <w:p w14:paraId="71D41A4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leto za katerega je določena največja letna količina gorljivih sestavin, ki nastanejo po mehanski obdelavi ločeno zbranih komunalnih odpadkov, ki so prevzeti v okviru storitev javne službe zbiranja.</w:t>
      </w:r>
    </w:p>
    <w:bookmarkEnd w:id="62"/>
    <w:p w14:paraId="7101F0A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279700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7CAF1F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bookmarkStart w:id="63" w:name="_Hlk179305080"/>
      <w:r w:rsidRPr="00B775DE">
        <w:rPr>
          <w:rFonts w:ascii="Arial" w:eastAsia="Times New Roman" w:hAnsi="Arial" w:cs="Times New Roman"/>
          <w:b/>
          <w:kern w:val="0"/>
          <w:sz w:val="20"/>
          <w:szCs w:val="24"/>
        </w:rPr>
        <w:t>3. del - največja letna količina gorljivih sestavin, ki nastanejo po mehanski obdelavi ločeno zbrane odpadne embalaže, ki je zbrana v okviru storitev javne službe zbiranja, in se lahko sežigajo kot posebna storitev, je za leto 2025 navedena v spodnji tabeli:</w:t>
      </w:r>
    </w:p>
    <w:p w14:paraId="7FB25B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tbl>
      <w:tblPr>
        <w:tblW w:w="8920" w:type="dxa"/>
        <w:tblInd w:w="85" w:type="dxa"/>
        <w:tblCellMar>
          <w:left w:w="70" w:type="dxa"/>
          <w:right w:w="70" w:type="dxa"/>
        </w:tblCellMar>
        <w:tblLook w:val="04A0" w:firstRow="1" w:lastRow="0" w:firstColumn="1" w:lastColumn="0" w:noHBand="0" w:noVBand="1"/>
      </w:tblPr>
      <w:tblGrid>
        <w:gridCol w:w="1340"/>
        <w:gridCol w:w="1420"/>
        <w:gridCol w:w="1540"/>
        <w:gridCol w:w="1540"/>
        <w:gridCol w:w="1540"/>
        <w:gridCol w:w="1540"/>
      </w:tblGrid>
      <w:tr w:rsidR="00E65191" w:rsidRPr="00B775DE" w14:paraId="541CEFB2" w14:textId="77777777" w:rsidTr="00C21643">
        <w:trPr>
          <w:trHeight w:val="1800"/>
        </w:trPr>
        <w:tc>
          <w:tcPr>
            <w:tcW w:w="1340" w:type="dxa"/>
            <w:tcBorders>
              <w:top w:val="single" w:sz="12" w:space="0" w:color="auto"/>
              <w:left w:val="single" w:sz="12" w:space="0" w:color="auto"/>
              <w:bottom w:val="nil"/>
              <w:right w:val="nil"/>
            </w:tcBorders>
            <w:shd w:val="clear" w:color="000000" w:fill="64FC68"/>
            <w:vAlign w:val="bottom"/>
            <w:hideMark/>
          </w:tcPr>
          <w:p w14:paraId="785D559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w:t>
            </w:r>
          </w:p>
        </w:tc>
        <w:tc>
          <w:tcPr>
            <w:tcW w:w="1420" w:type="dxa"/>
            <w:tcBorders>
              <w:top w:val="single" w:sz="12" w:space="0" w:color="auto"/>
              <w:left w:val="nil"/>
              <w:bottom w:val="nil"/>
              <w:right w:val="single" w:sz="4" w:space="0" w:color="auto"/>
            </w:tcBorders>
            <w:shd w:val="clear" w:color="000000" w:fill="64FC68"/>
            <w:vAlign w:val="bottom"/>
            <w:hideMark/>
          </w:tcPr>
          <w:p w14:paraId="2FA8C88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zbrane odpadne embalaže</w:t>
            </w:r>
          </w:p>
        </w:tc>
        <w:tc>
          <w:tcPr>
            <w:tcW w:w="1540" w:type="dxa"/>
            <w:tcBorders>
              <w:top w:val="single" w:sz="12" w:space="0" w:color="auto"/>
              <w:left w:val="nil"/>
              <w:bottom w:val="nil"/>
              <w:right w:val="single" w:sz="4" w:space="0" w:color="auto"/>
            </w:tcBorders>
            <w:shd w:val="clear" w:color="000000" w:fill="64FC68"/>
            <w:vAlign w:val="bottom"/>
            <w:hideMark/>
          </w:tcPr>
          <w:p w14:paraId="79220B6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zbrane odpadne embalaže</w:t>
            </w:r>
          </w:p>
        </w:tc>
        <w:tc>
          <w:tcPr>
            <w:tcW w:w="1540" w:type="dxa"/>
            <w:tcBorders>
              <w:top w:val="single" w:sz="12" w:space="0" w:color="auto"/>
              <w:left w:val="nil"/>
              <w:bottom w:val="nil"/>
              <w:right w:val="single" w:sz="4" w:space="0" w:color="auto"/>
            </w:tcBorders>
            <w:shd w:val="clear" w:color="000000" w:fill="64FC68"/>
            <w:vAlign w:val="bottom"/>
            <w:hideMark/>
          </w:tcPr>
          <w:p w14:paraId="2A1C743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zbrane odpadne embalaže</w:t>
            </w:r>
          </w:p>
        </w:tc>
        <w:tc>
          <w:tcPr>
            <w:tcW w:w="1540" w:type="dxa"/>
            <w:tcBorders>
              <w:top w:val="single" w:sz="12" w:space="0" w:color="auto"/>
              <w:left w:val="nil"/>
              <w:bottom w:val="nil"/>
              <w:right w:val="single" w:sz="4" w:space="0" w:color="auto"/>
            </w:tcBorders>
            <w:shd w:val="clear" w:color="000000" w:fill="64FC68"/>
            <w:vAlign w:val="bottom"/>
            <w:hideMark/>
          </w:tcPr>
          <w:p w14:paraId="20A431E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zbrane odpadne embalaže</w:t>
            </w:r>
          </w:p>
        </w:tc>
        <w:tc>
          <w:tcPr>
            <w:tcW w:w="1540" w:type="dxa"/>
            <w:tcBorders>
              <w:top w:val="single" w:sz="12" w:space="0" w:color="auto"/>
              <w:left w:val="nil"/>
              <w:bottom w:val="nil"/>
              <w:right w:val="single" w:sz="12" w:space="0" w:color="auto"/>
            </w:tcBorders>
            <w:shd w:val="clear" w:color="000000" w:fill="64FC68"/>
            <w:vAlign w:val="bottom"/>
            <w:hideMark/>
          </w:tcPr>
          <w:p w14:paraId="561A904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letna količina goriva iz obdelave v okviru občinske JS ločeno zbrane odpadne embalaže</w:t>
            </w:r>
          </w:p>
        </w:tc>
      </w:tr>
      <w:tr w:rsidR="00E65191" w:rsidRPr="00B775DE" w14:paraId="41191AD5" w14:textId="77777777" w:rsidTr="00C21643">
        <w:trPr>
          <w:trHeight w:val="345"/>
        </w:trPr>
        <w:tc>
          <w:tcPr>
            <w:tcW w:w="1340" w:type="dxa"/>
            <w:tcBorders>
              <w:top w:val="nil"/>
              <w:left w:val="single" w:sz="12" w:space="0" w:color="auto"/>
              <w:bottom w:val="single" w:sz="12" w:space="0" w:color="auto"/>
              <w:right w:val="nil"/>
            </w:tcBorders>
            <w:shd w:val="clear" w:color="000000" w:fill="64FC68"/>
            <w:noWrap/>
            <w:vAlign w:val="bottom"/>
            <w:hideMark/>
          </w:tcPr>
          <w:p w14:paraId="7524509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420" w:type="dxa"/>
            <w:tcBorders>
              <w:top w:val="nil"/>
              <w:left w:val="nil"/>
              <w:bottom w:val="single" w:sz="12" w:space="0" w:color="auto"/>
              <w:right w:val="single" w:sz="4" w:space="0" w:color="auto"/>
            </w:tcBorders>
            <w:shd w:val="clear" w:color="000000" w:fill="64FC68"/>
            <w:noWrap/>
            <w:vAlign w:val="bottom"/>
            <w:hideMark/>
          </w:tcPr>
          <w:p w14:paraId="0D346AE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540" w:type="dxa"/>
            <w:tcBorders>
              <w:top w:val="nil"/>
              <w:left w:val="nil"/>
              <w:bottom w:val="single" w:sz="12" w:space="0" w:color="auto"/>
              <w:right w:val="single" w:sz="4" w:space="0" w:color="auto"/>
            </w:tcBorders>
            <w:shd w:val="clear" w:color="000000" w:fill="64FC68"/>
            <w:noWrap/>
            <w:vAlign w:val="bottom"/>
            <w:hideMark/>
          </w:tcPr>
          <w:p w14:paraId="2EF6D73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plastika</w:t>
            </w:r>
          </w:p>
        </w:tc>
        <w:tc>
          <w:tcPr>
            <w:tcW w:w="1540" w:type="dxa"/>
            <w:tcBorders>
              <w:top w:val="nil"/>
              <w:left w:val="nil"/>
              <w:bottom w:val="single" w:sz="12" w:space="0" w:color="auto"/>
              <w:right w:val="single" w:sz="4" w:space="0" w:color="auto"/>
            </w:tcBorders>
            <w:shd w:val="clear" w:color="000000" w:fill="64FC68"/>
            <w:noWrap/>
            <w:vAlign w:val="bottom"/>
            <w:hideMark/>
          </w:tcPr>
          <w:p w14:paraId="4EAC5AD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540" w:type="dxa"/>
            <w:tcBorders>
              <w:top w:val="nil"/>
              <w:left w:val="nil"/>
              <w:bottom w:val="single" w:sz="12" w:space="0" w:color="auto"/>
              <w:right w:val="single" w:sz="4" w:space="0" w:color="auto"/>
            </w:tcBorders>
            <w:shd w:val="clear" w:color="000000" w:fill="64FC68"/>
            <w:noWrap/>
            <w:vAlign w:val="bottom"/>
            <w:hideMark/>
          </w:tcPr>
          <w:p w14:paraId="452694FF"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tekstil</w:t>
            </w:r>
          </w:p>
        </w:tc>
        <w:tc>
          <w:tcPr>
            <w:tcW w:w="1540" w:type="dxa"/>
            <w:tcBorders>
              <w:top w:val="nil"/>
              <w:left w:val="nil"/>
              <w:bottom w:val="single" w:sz="12" w:space="0" w:color="auto"/>
              <w:right w:val="single" w:sz="12" w:space="0" w:color="auto"/>
            </w:tcBorders>
            <w:shd w:val="clear" w:color="000000" w:fill="64FC68"/>
            <w:noWrap/>
            <w:vAlign w:val="bottom"/>
            <w:hideMark/>
          </w:tcPr>
          <w:p w14:paraId="742EC3C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76999720" w14:textId="77777777" w:rsidTr="00C21643">
        <w:trPr>
          <w:trHeight w:val="330"/>
        </w:trPr>
        <w:tc>
          <w:tcPr>
            <w:tcW w:w="13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2735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2021 (*)</w:t>
            </w:r>
          </w:p>
        </w:tc>
        <w:tc>
          <w:tcPr>
            <w:tcW w:w="1420" w:type="dxa"/>
            <w:tcBorders>
              <w:top w:val="nil"/>
              <w:left w:val="nil"/>
              <w:bottom w:val="single" w:sz="4" w:space="0" w:color="auto"/>
              <w:right w:val="single" w:sz="4" w:space="0" w:color="auto"/>
            </w:tcBorders>
            <w:shd w:val="clear" w:color="auto" w:fill="auto"/>
            <w:noWrap/>
            <w:vAlign w:val="bottom"/>
            <w:hideMark/>
          </w:tcPr>
          <w:p w14:paraId="2A2DB4A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13.032</w:t>
            </w:r>
          </w:p>
        </w:tc>
        <w:tc>
          <w:tcPr>
            <w:tcW w:w="1540" w:type="dxa"/>
            <w:tcBorders>
              <w:top w:val="nil"/>
              <w:left w:val="nil"/>
              <w:bottom w:val="single" w:sz="4" w:space="0" w:color="auto"/>
              <w:right w:val="single" w:sz="4" w:space="0" w:color="auto"/>
            </w:tcBorders>
            <w:shd w:val="clear" w:color="auto" w:fill="auto"/>
            <w:noWrap/>
            <w:vAlign w:val="bottom"/>
            <w:hideMark/>
          </w:tcPr>
          <w:p w14:paraId="3677AB0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17.968</w:t>
            </w:r>
          </w:p>
        </w:tc>
        <w:tc>
          <w:tcPr>
            <w:tcW w:w="1540" w:type="dxa"/>
            <w:tcBorders>
              <w:top w:val="nil"/>
              <w:left w:val="nil"/>
              <w:bottom w:val="single" w:sz="4" w:space="0" w:color="auto"/>
              <w:right w:val="single" w:sz="4" w:space="0" w:color="auto"/>
            </w:tcBorders>
            <w:shd w:val="clear" w:color="auto" w:fill="auto"/>
            <w:noWrap/>
            <w:vAlign w:val="bottom"/>
            <w:hideMark/>
          </w:tcPr>
          <w:p w14:paraId="27EA09C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1.366</w:t>
            </w:r>
          </w:p>
        </w:tc>
        <w:tc>
          <w:tcPr>
            <w:tcW w:w="1540" w:type="dxa"/>
            <w:tcBorders>
              <w:top w:val="nil"/>
              <w:left w:val="nil"/>
              <w:bottom w:val="single" w:sz="4" w:space="0" w:color="auto"/>
              <w:right w:val="single" w:sz="4" w:space="0" w:color="auto"/>
            </w:tcBorders>
            <w:shd w:val="clear" w:color="auto" w:fill="auto"/>
            <w:noWrap/>
            <w:vAlign w:val="bottom"/>
            <w:hideMark/>
          </w:tcPr>
          <w:p w14:paraId="588530D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5</w:t>
            </w:r>
          </w:p>
        </w:tc>
        <w:tc>
          <w:tcPr>
            <w:tcW w:w="1540" w:type="dxa"/>
            <w:tcBorders>
              <w:top w:val="nil"/>
              <w:left w:val="nil"/>
              <w:bottom w:val="single" w:sz="4" w:space="0" w:color="auto"/>
              <w:right w:val="single" w:sz="12" w:space="0" w:color="auto"/>
            </w:tcBorders>
            <w:shd w:val="clear" w:color="auto" w:fill="auto"/>
            <w:noWrap/>
            <w:vAlign w:val="bottom"/>
            <w:hideMark/>
          </w:tcPr>
          <w:p w14:paraId="08B082E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32.371</w:t>
            </w:r>
          </w:p>
        </w:tc>
      </w:tr>
      <w:tr w:rsidR="00E65191" w:rsidRPr="00B775DE" w14:paraId="60F1138E" w14:textId="77777777" w:rsidTr="00C21643">
        <w:trPr>
          <w:trHeight w:val="315"/>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7D4798F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2025 (**)</w:t>
            </w:r>
          </w:p>
        </w:tc>
        <w:tc>
          <w:tcPr>
            <w:tcW w:w="1420" w:type="dxa"/>
            <w:tcBorders>
              <w:top w:val="nil"/>
              <w:left w:val="nil"/>
              <w:bottom w:val="single" w:sz="4" w:space="0" w:color="auto"/>
              <w:right w:val="single" w:sz="4" w:space="0" w:color="auto"/>
            </w:tcBorders>
            <w:shd w:val="clear" w:color="auto" w:fill="auto"/>
            <w:noWrap/>
            <w:vAlign w:val="bottom"/>
            <w:hideMark/>
          </w:tcPr>
          <w:p w14:paraId="3EC41CC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11.280</w:t>
            </w:r>
          </w:p>
        </w:tc>
        <w:tc>
          <w:tcPr>
            <w:tcW w:w="1540" w:type="dxa"/>
            <w:tcBorders>
              <w:top w:val="nil"/>
              <w:left w:val="nil"/>
              <w:bottom w:val="single" w:sz="4" w:space="0" w:color="auto"/>
              <w:right w:val="single" w:sz="4" w:space="0" w:color="auto"/>
            </w:tcBorders>
            <w:shd w:val="clear" w:color="auto" w:fill="auto"/>
            <w:noWrap/>
            <w:vAlign w:val="bottom"/>
            <w:hideMark/>
          </w:tcPr>
          <w:p w14:paraId="0490476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21.742</w:t>
            </w:r>
          </w:p>
        </w:tc>
        <w:tc>
          <w:tcPr>
            <w:tcW w:w="1540" w:type="dxa"/>
            <w:tcBorders>
              <w:top w:val="nil"/>
              <w:left w:val="nil"/>
              <w:bottom w:val="single" w:sz="4" w:space="0" w:color="auto"/>
              <w:right w:val="single" w:sz="4" w:space="0" w:color="auto"/>
            </w:tcBorders>
            <w:shd w:val="clear" w:color="auto" w:fill="auto"/>
            <w:noWrap/>
            <w:vAlign w:val="bottom"/>
            <w:hideMark/>
          </w:tcPr>
          <w:p w14:paraId="2E0EDBE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1.314</w:t>
            </w:r>
          </w:p>
        </w:tc>
        <w:tc>
          <w:tcPr>
            <w:tcW w:w="1540" w:type="dxa"/>
            <w:tcBorders>
              <w:top w:val="nil"/>
              <w:left w:val="nil"/>
              <w:bottom w:val="single" w:sz="4" w:space="0" w:color="auto"/>
              <w:right w:val="single" w:sz="4" w:space="0" w:color="auto"/>
            </w:tcBorders>
            <w:shd w:val="clear" w:color="auto" w:fill="auto"/>
            <w:noWrap/>
            <w:vAlign w:val="bottom"/>
            <w:hideMark/>
          </w:tcPr>
          <w:p w14:paraId="0B1634D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12</w:t>
            </w:r>
          </w:p>
        </w:tc>
        <w:tc>
          <w:tcPr>
            <w:tcW w:w="1540" w:type="dxa"/>
            <w:tcBorders>
              <w:top w:val="nil"/>
              <w:left w:val="nil"/>
              <w:bottom w:val="single" w:sz="4" w:space="0" w:color="auto"/>
              <w:right w:val="single" w:sz="12" w:space="0" w:color="auto"/>
            </w:tcBorders>
            <w:shd w:val="clear" w:color="auto" w:fill="auto"/>
            <w:noWrap/>
            <w:vAlign w:val="bottom"/>
            <w:hideMark/>
          </w:tcPr>
          <w:p w14:paraId="6DF4BC8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34.348</w:t>
            </w:r>
          </w:p>
        </w:tc>
      </w:tr>
      <w:tr w:rsidR="00E65191" w:rsidRPr="00B775DE" w14:paraId="51896554" w14:textId="77777777" w:rsidTr="00C21643">
        <w:trPr>
          <w:trHeight w:val="465"/>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1B88155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2026</w:t>
            </w:r>
          </w:p>
        </w:tc>
        <w:tc>
          <w:tcPr>
            <w:tcW w:w="1420" w:type="dxa"/>
            <w:tcBorders>
              <w:top w:val="nil"/>
              <w:left w:val="nil"/>
              <w:bottom w:val="single" w:sz="4" w:space="0" w:color="auto"/>
              <w:right w:val="single" w:sz="4" w:space="0" w:color="auto"/>
            </w:tcBorders>
            <w:shd w:val="clear" w:color="auto" w:fill="auto"/>
            <w:noWrap/>
            <w:vAlign w:val="bottom"/>
            <w:hideMark/>
          </w:tcPr>
          <w:p w14:paraId="4EA679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10.785</w:t>
            </w:r>
          </w:p>
        </w:tc>
        <w:tc>
          <w:tcPr>
            <w:tcW w:w="1540" w:type="dxa"/>
            <w:tcBorders>
              <w:top w:val="nil"/>
              <w:left w:val="nil"/>
              <w:bottom w:val="single" w:sz="4" w:space="0" w:color="auto"/>
              <w:right w:val="single" w:sz="4" w:space="0" w:color="auto"/>
            </w:tcBorders>
            <w:shd w:val="clear" w:color="auto" w:fill="auto"/>
            <w:noWrap/>
            <w:vAlign w:val="bottom"/>
            <w:hideMark/>
          </w:tcPr>
          <w:p w14:paraId="637DC8A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22.804</w:t>
            </w:r>
          </w:p>
        </w:tc>
        <w:tc>
          <w:tcPr>
            <w:tcW w:w="1540" w:type="dxa"/>
            <w:tcBorders>
              <w:top w:val="nil"/>
              <w:left w:val="nil"/>
              <w:bottom w:val="single" w:sz="4" w:space="0" w:color="auto"/>
              <w:right w:val="single" w:sz="4" w:space="0" w:color="auto"/>
            </w:tcBorders>
            <w:shd w:val="clear" w:color="auto" w:fill="auto"/>
            <w:noWrap/>
            <w:vAlign w:val="bottom"/>
            <w:hideMark/>
          </w:tcPr>
          <w:p w14:paraId="6B87709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1.311</w:t>
            </w:r>
          </w:p>
        </w:tc>
        <w:tc>
          <w:tcPr>
            <w:tcW w:w="1540" w:type="dxa"/>
            <w:tcBorders>
              <w:top w:val="nil"/>
              <w:left w:val="nil"/>
              <w:bottom w:val="single" w:sz="4" w:space="0" w:color="auto"/>
              <w:right w:val="single" w:sz="4" w:space="0" w:color="auto"/>
            </w:tcBorders>
            <w:shd w:val="clear" w:color="auto" w:fill="auto"/>
            <w:noWrap/>
            <w:vAlign w:val="bottom"/>
            <w:hideMark/>
          </w:tcPr>
          <w:p w14:paraId="45F7BE2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14</w:t>
            </w:r>
          </w:p>
        </w:tc>
        <w:tc>
          <w:tcPr>
            <w:tcW w:w="1540" w:type="dxa"/>
            <w:tcBorders>
              <w:top w:val="nil"/>
              <w:left w:val="nil"/>
              <w:bottom w:val="single" w:sz="4" w:space="0" w:color="auto"/>
              <w:right w:val="single" w:sz="12" w:space="0" w:color="auto"/>
            </w:tcBorders>
            <w:shd w:val="clear" w:color="auto" w:fill="auto"/>
            <w:noWrap/>
            <w:vAlign w:val="bottom"/>
            <w:hideMark/>
          </w:tcPr>
          <w:p w14:paraId="4C46C1E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34.914</w:t>
            </w:r>
          </w:p>
        </w:tc>
      </w:tr>
      <w:tr w:rsidR="00E65191" w:rsidRPr="00B775DE" w14:paraId="34EB7EC7" w14:textId="77777777" w:rsidTr="00C21643">
        <w:trPr>
          <w:trHeight w:val="315"/>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1F011A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2027</w:t>
            </w:r>
          </w:p>
        </w:tc>
        <w:tc>
          <w:tcPr>
            <w:tcW w:w="1420" w:type="dxa"/>
            <w:tcBorders>
              <w:top w:val="nil"/>
              <w:left w:val="nil"/>
              <w:bottom w:val="single" w:sz="4" w:space="0" w:color="auto"/>
              <w:right w:val="single" w:sz="4" w:space="0" w:color="auto"/>
            </w:tcBorders>
            <w:shd w:val="clear" w:color="auto" w:fill="auto"/>
            <w:noWrap/>
            <w:vAlign w:val="bottom"/>
            <w:hideMark/>
          </w:tcPr>
          <w:p w14:paraId="084FBE6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10.266</w:t>
            </w:r>
          </w:p>
        </w:tc>
        <w:tc>
          <w:tcPr>
            <w:tcW w:w="1540" w:type="dxa"/>
            <w:tcBorders>
              <w:top w:val="nil"/>
              <w:left w:val="nil"/>
              <w:bottom w:val="single" w:sz="4" w:space="0" w:color="auto"/>
              <w:right w:val="single" w:sz="4" w:space="0" w:color="auto"/>
            </w:tcBorders>
            <w:shd w:val="clear" w:color="auto" w:fill="auto"/>
            <w:noWrap/>
            <w:vAlign w:val="bottom"/>
            <w:hideMark/>
          </w:tcPr>
          <w:p w14:paraId="7648630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23.917</w:t>
            </w:r>
          </w:p>
        </w:tc>
        <w:tc>
          <w:tcPr>
            <w:tcW w:w="1540" w:type="dxa"/>
            <w:tcBorders>
              <w:top w:val="nil"/>
              <w:left w:val="nil"/>
              <w:bottom w:val="single" w:sz="4" w:space="0" w:color="auto"/>
              <w:right w:val="single" w:sz="4" w:space="0" w:color="auto"/>
            </w:tcBorders>
            <w:shd w:val="clear" w:color="auto" w:fill="auto"/>
            <w:noWrap/>
            <w:vAlign w:val="bottom"/>
            <w:hideMark/>
          </w:tcPr>
          <w:p w14:paraId="520C46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1.309</w:t>
            </w:r>
          </w:p>
        </w:tc>
        <w:tc>
          <w:tcPr>
            <w:tcW w:w="1540" w:type="dxa"/>
            <w:tcBorders>
              <w:top w:val="nil"/>
              <w:left w:val="nil"/>
              <w:bottom w:val="single" w:sz="4" w:space="0" w:color="auto"/>
              <w:right w:val="single" w:sz="4" w:space="0" w:color="auto"/>
            </w:tcBorders>
            <w:shd w:val="clear" w:color="auto" w:fill="auto"/>
            <w:noWrap/>
            <w:vAlign w:val="bottom"/>
            <w:hideMark/>
          </w:tcPr>
          <w:p w14:paraId="3BF9B4F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w:t>
            </w:r>
          </w:p>
        </w:tc>
        <w:tc>
          <w:tcPr>
            <w:tcW w:w="1540" w:type="dxa"/>
            <w:tcBorders>
              <w:top w:val="nil"/>
              <w:left w:val="nil"/>
              <w:bottom w:val="single" w:sz="4" w:space="0" w:color="auto"/>
              <w:right w:val="single" w:sz="12" w:space="0" w:color="auto"/>
            </w:tcBorders>
            <w:shd w:val="clear" w:color="auto" w:fill="auto"/>
            <w:noWrap/>
            <w:vAlign w:val="bottom"/>
            <w:hideMark/>
          </w:tcPr>
          <w:p w14:paraId="75A0CD2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35.508</w:t>
            </w:r>
          </w:p>
        </w:tc>
      </w:tr>
      <w:tr w:rsidR="00E65191" w:rsidRPr="00B775DE" w14:paraId="3C99F668" w14:textId="77777777" w:rsidTr="00C21643">
        <w:trPr>
          <w:trHeight w:val="480"/>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496B6CE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2028</w:t>
            </w:r>
          </w:p>
        </w:tc>
        <w:tc>
          <w:tcPr>
            <w:tcW w:w="1420" w:type="dxa"/>
            <w:tcBorders>
              <w:top w:val="nil"/>
              <w:left w:val="nil"/>
              <w:bottom w:val="single" w:sz="4" w:space="0" w:color="auto"/>
              <w:right w:val="single" w:sz="4" w:space="0" w:color="auto"/>
            </w:tcBorders>
            <w:shd w:val="clear" w:color="auto" w:fill="auto"/>
            <w:noWrap/>
            <w:vAlign w:val="bottom"/>
            <w:hideMark/>
          </w:tcPr>
          <w:p w14:paraId="393D1D1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9.721</w:t>
            </w:r>
          </w:p>
        </w:tc>
        <w:tc>
          <w:tcPr>
            <w:tcW w:w="1540" w:type="dxa"/>
            <w:tcBorders>
              <w:top w:val="nil"/>
              <w:left w:val="nil"/>
              <w:bottom w:val="single" w:sz="4" w:space="0" w:color="auto"/>
              <w:right w:val="single" w:sz="4" w:space="0" w:color="auto"/>
            </w:tcBorders>
            <w:shd w:val="clear" w:color="auto" w:fill="auto"/>
            <w:noWrap/>
            <w:vAlign w:val="bottom"/>
            <w:hideMark/>
          </w:tcPr>
          <w:p w14:paraId="78914F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25.084</w:t>
            </w:r>
          </w:p>
        </w:tc>
        <w:tc>
          <w:tcPr>
            <w:tcW w:w="1540" w:type="dxa"/>
            <w:tcBorders>
              <w:top w:val="nil"/>
              <w:left w:val="nil"/>
              <w:bottom w:val="single" w:sz="4" w:space="0" w:color="auto"/>
              <w:right w:val="single" w:sz="4" w:space="0" w:color="auto"/>
            </w:tcBorders>
            <w:shd w:val="clear" w:color="auto" w:fill="auto"/>
            <w:noWrap/>
            <w:vAlign w:val="bottom"/>
            <w:hideMark/>
          </w:tcPr>
          <w:p w14:paraId="7999181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1.306</w:t>
            </w:r>
          </w:p>
        </w:tc>
        <w:tc>
          <w:tcPr>
            <w:tcW w:w="1540" w:type="dxa"/>
            <w:tcBorders>
              <w:top w:val="nil"/>
              <w:left w:val="nil"/>
              <w:bottom w:val="single" w:sz="4" w:space="0" w:color="auto"/>
              <w:right w:val="single" w:sz="4" w:space="0" w:color="auto"/>
            </w:tcBorders>
            <w:shd w:val="clear" w:color="auto" w:fill="auto"/>
            <w:noWrap/>
            <w:vAlign w:val="bottom"/>
            <w:hideMark/>
          </w:tcPr>
          <w:p w14:paraId="013D46C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w:t>
            </w:r>
          </w:p>
        </w:tc>
        <w:tc>
          <w:tcPr>
            <w:tcW w:w="1540" w:type="dxa"/>
            <w:tcBorders>
              <w:top w:val="nil"/>
              <w:left w:val="nil"/>
              <w:bottom w:val="single" w:sz="4" w:space="0" w:color="auto"/>
              <w:right w:val="single" w:sz="12" w:space="0" w:color="auto"/>
            </w:tcBorders>
            <w:shd w:val="clear" w:color="auto" w:fill="auto"/>
            <w:noWrap/>
            <w:vAlign w:val="bottom"/>
            <w:hideMark/>
          </w:tcPr>
          <w:p w14:paraId="26D10AD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36.132</w:t>
            </w:r>
          </w:p>
        </w:tc>
      </w:tr>
      <w:tr w:rsidR="00E65191" w:rsidRPr="00B775DE" w14:paraId="03D479EC" w14:textId="77777777" w:rsidTr="00C21643">
        <w:trPr>
          <w:trHeight w:val="315"/>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798ED55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2029</w:t>
            </w:r>
          </w:p>
        </w:tc>
        <w:tc>
          <w:tcPr>
            <w:tcW w:w="1420" w:type="dxa"/>
            <w:tcBorders>
              <w:top w:val="nil"/>
              <w:left w:val="nil"/>
              <w:bottom w:val="single" w:sz="4" w:space="0" w:color="auto"/>
              <w:right w:val="single" w:sz="4" w:space="0" w:color="auto"/>
            </w:tcBorders>
            <w:shd w:val="clear" w:color="auto" w:fill="auto"/>
            <w:noWrap/>
            <w:vAlign w:val="bottom"/>
            <w:hideMark/>
          </w:tcPr>
          <w:p w14:paraId="779CA11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9.151</w:t>
            </w:r>
          </w:p>
        </w:tc>
        <w:tc>
          <w:tcPr>
            <w:tcW w:w="1540" w:type="dxa"/>
            <w:tcBorders>
              <w:top w:val="nil"/>
              <w:left w:val="nil"/>
              <w:bottom w:val="single" w:sz="4" w:space="0" w:color="auto"/>
              <w:right w:val="single" w:sz="4" w:space="0" w:color="auto"/>
            </w:tcBorders>
            <w:shd w:val="clear" w:color="auto" w:fill="auto"/>
            <w:noWrap/>
            <w:vAlign w:val="bottom"/>
            <w:hideMark/>
          </w:tcPr>
          <w:p w14:paraId="4EDCA15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26.309</w:t>
            </w:r>
          </w:p>
        </w:tc>
        <w:tc>
          <w:tcPr>
            <w:tcW w:w="1540" w:type="dxa"/>
            <w:tcBorders>
              <w:top w:val="nil"/>
              <w:left w:val="nil"/>
              <w:bottom w:val="single" w:sz="4" w:space="0" w:color="auto"/>
              <w:right w:val="single" w:sz="4" w:space="0" w:color="auto"/>
            </w:tcBorders>
            <w:shd w:val="clear" w:color="auto" w:fill="auto"/>
            <w:noWrap/>
            <w:vAlign w:val="bottom"/>
            <w:hideMark/>
          </w:tcPr>
          <w:p w14:paraId="012619B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1.302</w:t>
            </w:r>
          </w:p>
        </w:tc>
        <w:tc>
          <w:tcPr>
            <w:tcW w:w="1540" w:type="dxa"/>
            <w:tcBorders>
              <w:top w:val="nil"/>
              <w:left w:val="nil"/>
              <w:bottom w:val="single" w:sz="4" w:space="0" w:color="auto"/>
              <w:right w:val="single" w:sz="4" w:space="0" w:color="auto"/>
            </w:tcBorders>
            <w:shd w:val="clear" w:color="auto" w:fill="auto"/>
            <w:noWrap/>
            <w:vAlign w:val="bottom"/>
            <w:hideMark/>
          </w:tcPr>
          <w:p w14:paraId="2DB541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25</w:t>
            </w:r>
          </w:p>
        </w:tc>
        <w:tc>
          <w:tcPr>
            <w:tcW w:w="1540" w:type="dxa"/>
            <w:tcBorders>
              <w:top w:val="nil"/>
              <w:left w:val="nil"/>
              <w:bottom w:val="single" w:sz="4" w:space="0" w:color="auto"/>
              <w:right w:val="single" w:sz="12" w:space="0" w:color="auto"/>
            </w:tcBorders>
            <w:shd w:val="clear" w:color="auto" w:fill="auto"/>
            <w:noWrap/>
            <w:vAlign w:val="bottom"/>
            <w:hideMark/>
          </w:tcPr>
          <w:p w14:paraId="1D91F79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36.787</w:t>
            </w:r>
          </w:p>
        </w:tc>
      </w:tr>
      <w:tr w:rsidR="00E65191" w:rsidRPr="00B775DE" w14:paraId="7AD41189" w14:textId="77777777" w:rsidTr="00C21643">
        <w:trPr>
          <w:trHeight w:val="300"/>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0955F99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2030</w:t>
            </w:r>
          </w:p>
        </w:tc>
        <w:tc>
          <w:tcPr>
            <w:tcW w:w="1420" w:type="dxa"/>
            <w:tcBorders>
              <w:top w:val="nil"/>
              <w:left w:val="nil"/>
              <w:bottom w:val="single" w:sz="4" w:space="0" w:color="auto"/>
              <w:right w:val="single" w:sz="4" w:space="0" w:color="auto"/>
            </w:tcBorders>
            <w:shd w:val="clear" w:color="auto" w:fill="auto"/>
            <w:noWrap/>
            <w:vAlign w:val="bottom"/>
            <w:hideMark/>
          </w:tcPr>
          <w:p w14:paraId="4254BD1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8.554</w:t>
            </w:r>
          </w:p>
        </w:tc>
        <w:tc>
          <w:tcPr>
            <w:tcW w:w="1540" w:type="dxa"/>
            <w:tcBorders>
              <w:top w:val="nil"/>
              <w:left w:val="nil"/>
              <w:bottom w:val="single" w:sz="4" w:space="0" w:color="auto"/>
              <w:right w:val="single" w:sz="4" w:space="0" w:color="auto"/>
            </w:tcBorders>
            <w:shd w:val="clear" w:color="auto" w:fill="auto"/>
            <w:noWrap/>
            <w:vAlign w:val="bottom"/>
            <w:hideMark/>
          </w:tcPr>
          <w:p w14:paraId="47E698B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27.593</w:t>
            </w:r>
          </w:p>
        </w:tc>
        <w:tc>
          <w:tcPr>
            <w:tcW w:w="1540" w:type="dxa"/>
            <w:tcBorders>
              <w:top w:val="nil"/>
              <w:left w:val="nil"/>
              <w:bottom w:val="single" w:sz="4" w:space="0" w:color="auto"/>
              <w:right w:val="single" w:sz="4" w:space="0" w:color="auto"/>
            </w:tcBorders>
            <w:shd w:val="clear" w:color="auto" w:fill="auto"/>
            <w:noWrap/>
            <w:vAlign w:val="bottom"/>
            <w:hideMark/>
          </w:tcPr>
          <w:p w14:paraId="747CC08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1.299</w:t>
            </w:r>
          </w:p>
        </w:tc>
        <w:tc>
          <w:tcPr>
            <w:tcW w:w="1540" w:type="dxa"/>
            <w:tcBorders>
              <w:top w:val="nil"/>
              <w:left w:val="nil"/>
              <w:bottom w:val="single" w:sz="4" w:space="0" w:color="auto"/>
              <w:right w:val="single" w:sz="4" w:space="0" w:color="auto"/>
            </w:tcBorders>
            <w:shd w:val="clear" w:color="auto" w:fill="auto"/>
            <w:noWrap/>
            <w:vAlign w:val="bottom"/>
            <w:hideMark/>
          </w:tcPr>
          <w:p w14:paraId="70F2C90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30</w:t>
            </w:r>
          </w:p>
        </w:tc>
        <w:tc>
          <w:tcPr>
            <w:tcW w:w="1540" w:type="dxa"/>
            <w:tcBorders>
              <w:top w:val="nil"/>
              <w:left w:val="nil"/>
              <w:bottom w:val="single" w:sz="4" w:space="0" w:color="auto"/>
              <w:right w:val="single" w:sz="12" w:space="0" w:color="auto"/>
            </w:tcBorders>
            <w:shd w:val="clear" w:color="auto" w:fill="auto"/>
            <w:noWrap/>
            <w:vAlign w:val="bottom"/>
            <w:hideMark/>
          </w:tcPr>
          <w:p w14:paraId="2D17884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37.476</w:t>
            </w:r>
          </w:p>
        </w:tc>
      </w:tr>
      <w:tr w:rsidR="00E65191" w:rsidRPr="00B775DE" w14:paraId="6610D6A2" w14:textId="77777777" w:rsidTr="00C21643">
        <w:trPr>
          <w:trHeight w:val="300"/>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34B1BDB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2031</w:t>
            </w:r>
          </w:p>
        </w:tc>
        <w:tc>
          <w:tcPr>
            <w:tcW w:w="1420" w:type="dxa"/>
            <w:tcBorders>
              <w:top w:val="nil"/>
              <w:left w:val="nil"/>
              <w:bottom w:val="single" w:sz="4" w:space="0" w:color="auto"/>
              <w:right w:val="single" w:sz="4" w:space="0" w:color="auto"/>
            </w:tcBorders>
            <w:shd w:val="clear" w:color="auto" w:fill="auto"/>
            <w:noWrap/>
            <w:vAlign w:val="bottom"/>
            <w:hideMark/>
          </w:tcPr>
          <w:p w14:paraId="21C8D7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7.930</w:t>
            </w:r>
          </w:p>
        </w:tc>
        <w:tc>
          <w:tcPr>
            <w:tcW w:w="1540" w:type="dxa"/>
            <w:tcBorders>
              <w:top w:val="nil"/>
              <w:left w:val="nil"/>
              <w:bottom w:val="single" w:sz="4" w:space="0" w:color="auto"/>
              <w:right w:val="single" w:sz="4" w:space="0" w:color="auto"/>
            </w:tcBorders>
            <w:shd w:val="clear" w:color="auto" w:fill="auto"/>
            <w:noWrap/>
            <w:vAlign w:val="bottom"/>
            <w:hideMark/>
          </w:tcPr>
          <w:p w14:paraId="30ECDE9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28.939</w:t>
            </w:r>
          </w:p>
        </w:tc>
        <w:tc>
          <w:tcPr>
            <w:tcW w:w="1540" w:type="dxa"/>
            <w:tcBorders>
              <w:top w:val="nil"/>
              <w:left w:val="nil"/>
              <w:bottom w:val="single" w:sz="4" w:space="0" w:color="auto"/>
              <w:right w:val="single" w:sz="4" w:space="0" w:color="auto"/>
            </w:tcBorders>
            <w:shd w:val="clear" w:color="auto" w:fill="auto"/>
            <w:noWrap/>
            <w:vAlign w:val="bottom"/>
            <w:hideMark/>
          </w:tcPr>
          <w:p w14:paraId="0A23F43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1.295</w:t>
            </w:r>
          </w:p>
        </w:tc>
        <w:tc>
          <w:tcPr>
            <w:tcW w:w="1540" w:type="dxa"/>
            <w:tcBorders>
              <w:top w:val="nil"/>
              <w:left w:val="nil"/>
              <w:bottom w:val="single" w:sz="4" w:space="0" w:color="auto"/>
              <w:right w:val="single" w:sz="4" w:space="0" w:color="auto"/>
            </w:tcBorders>
            <w:shd w:val="clear" w:color="auto" w:fill="auto"/>
            <w:noWrap/>
            <w:vAlign w:val="bottom"/>
            <w:hideMark/>
          </w:tcPr>
          <w:p w14:paraId="205BAB2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37</w:t>
            </w:r>
          </w:p>
        </w:tc>
        <w:tc>
          <w:tcPr>
            <w:tcW w:w="1540" w:type="dxa"/>
            <w:tcBorders>
              <w:top w:val="nil"/>
              <w:left w:val="nil"/>
              <w:bottom w:val="single" w:sz="4" w:space="0" w:color="auto"/>
              <w:right w:val="single" w:sz="12" w:space="0" w:color="auto"/>
            </w:tcBorders>
            <w:shd w:val="clear" w:color="auto" w:fill="auto"/>
            <w:noWrap/>
            <w:vAlign w:val="bottom"/>
            <w:hideMark/>
          </w:tcPr>
          <w:p w14:paraId="77C1EF9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38.201</w:t>
            </w:r>
          </w:p>
        </w:tc>
      </w:tr>
      <w:tr w:rsidR="00E65191" w:rsidRPr="00B775DE" w14:paraId="7932A480" w14:textId="77777777" w:rsidTr="00C21643">
        <w:trPr>
          <w:trHeight w:val="300"/>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2F06E4F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2032</w:t>
            </w:r>
          </w:p>
        </w:tc>
        <w:tc>
          <w:tcPr>
            <w:tcW w:w="1420" w:type="dxa"/>
            <w:tcBorders>
              <w:top w:val="nil"/>
              <w:left w:val="nil"/>
              <w:bottom w:val="single" w:sz="4" w:space="0" w:color="auto"/>
              <w:right w:val="single" w:sz="4" w:space="0" w:color="auto"/>
            </w:tcBorders>
            <w:shd w:val="clear" w:color="auto" w:fill="auto"/>
            <w:noWrap/>
            <w:vAlign w:val="bottom"/>
            <w:hideMark/>
          </w:tcPr>
          <w:p w14:paraId="368B731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7.277</w:t>
            </w:r>
          </w:p>
        </w:tc>
        <w:tc>
          <w:tcPr>
            <w:tcW w:w="1540" w:type="dxa"/>
            <w:tcBorders>
              <w:top w:val="nil"/>
              <w:left w:val="nil"/>
              <w:bottom w:val="single" w:sz="4" w:space="0" w:color="auto"/>
              <w:right w:val="single" w:sz="4" w:space="0" w:color="auto"/>
            </w:tcBorders>
            <w:shd w:val="clear" w:color="auto" w:fill="auto"/>
            <w:noWrap/>
            <w:vAlign w:val="bottom"/>
            <w:hideMark/>
          </w:tcPr>
          <w:p w14:paraId="1ECBD1A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29.366</w:t>
            </w:r>
          </w:p>
        </w:tc>
        <w:tc>
          <w:tcPr>
            <w:tcW w:w="1540" w:type="dxa"/>
            <w:tcBorders>
              <w:top w:val="nil"/>
              <w:left w:val="nil"/>
              <w:bottom w:val="single" w:sz="4" w:space="0" w:color="auto"/>
              <w:right w:val="single" w:sz="4" w:space="0" w:color="auto"/>
            </w:tcBorders>
            <w:shd w:val="clear" w:color="auto" w:fill="auto"/>
            <w:noWrap/>
            <w:vAlign w:val="bottom"/>
            <w:hideMark/>
          </w:tcPr>
          <w:p w14:paraId="0C372E1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1.291</w:t>
            </w:r>
          </w:p>
        </w:tc>
        <w:tc>
          <w:tcPr>
            <w:tcW w:w="1540" w:type="dxa"/>
            <w:tcBorders>
              <w:top w:val="nil"/>
              <w:left w:val="nil"/>
              <w:bottom w:val="single" w:sz="4" w:space="0" w:color="auto"/>
              <w:right w:val="single" w:sz="4" w:space="0" w:color="auto"/>
            </w:tcBorders>
            <w:shd w:val="clear" w:color="auto" w:fill="auto"/>
            <w:noWrap/>
            <w:vAlign w:val="bottom"/>
            <w:hideMark/>
          </w:tcPr>
          <w:p w14:paraId="3BEFFF3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44</w:t>
            </w:r>
          </w:p>
        </w:tc>
        <w:tc>
          <w:tcPr>
            <w:tcW w:w="1540" w:type="dxa"/>
            <w:tcBorders>
              <w:top w:val="nil"/>
              <w:left w:val="nil"/>
              <w:bottom w:val="single" w:sz="4" w:space="0" w:color="auto"/>
              <w:right w:val="single" w:sz="12" w:space="0" w:color="auto"/>
            </w:tcBorders>
            <w:shd w:val="clear" w:color="auto" w:fill="auto"/>
            <w:noWrap/>
            <w:vAlign w:val="bottom"/>
            <w:hideMark/>
          </w:tcPr>
          <w:p w14:paraId="011E0F0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37.978</w:t>
            </w:r>
          </w:p>
        </w:tc>
      </w:tr>
      <w:tr w:rsidR="00E65191" w:rsidRPr="00B775DE" w14:paraId="34B5CD8F" w14:textId="77777777" w:rsidTr="00C21643">
        <w:trPr>
          <w:trHeight w:val="300"/>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26DDCE7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2033</w:t>
            </w:r>
          </w:p>
        </w:tc>
        <w:tc>
          <w:tcPr>
            <w:tcW w:w="1420" w:type="dxa"/>
            <w:tcBorders>
              <w:top w:val="nil"/>
              <w:left w:val="nil"/>
              <w:bottom w:val="single" w:sz="4" w:space="0" w:color="auto"/>
              <w:right w:val="single" w:sz="4" w:space="0" w:color="auto"/>
            </w:tcBorders>
            <w:shd w:val="clear" w:color="auto" w:fill="auto"/>
            <w:noWrap/>
            <w:vAlign w:val="bottom"/>
            <w:hideMark/>
          </w:tcPr>
          <w:p w14:paraId="26469C4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6.594</w:t>
            </w:r>
          </w:p>
        </w:tc>
        <w:tc>
          <w:tcPr>
            <w:tcW w:w="1540" w:type="dxa"/>
            <w:tcBorders>
              <w:top w:val="nil"/>
              <w:left w:val="nil"/>
              <w:bottom w:val="single" w:sz="4" w:space="0" w:color="auto"/>
              <w:right w:val="single" w:sz="4" w:space="0" w:color="auto"/>
            </w:tcBorders>
            <w:shd w:val="clear" w:color="auto" w:fill="auto"/>
            <w:noWrap/>
            <w:vAlign w:val="bottom"/>
            <w:hideMark/>
          </w:tcPr>
          <w:p w14:paraId="7DE6ED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29.362</w:t>
            </w:r>
          </w:p>
        </w:tc>
        <w:tc>
          <w:tcPr>
            <w:tcW w:w="1540" w:type="dxa"/>
            <w:tcBorders>
              <w:top w:val="nil"/>
              <w:left w:val="nil"/>
              <w:bottom w:val="single" w:sz="4" w:space="0" w:color="auto"/>
              <w:right w:val="single" w:sz="4" w:space="0" w:color="auto"/>
            </w:tcBorders>
            <w:shd w:val="clear" w:color="auto" w:fill="auto"/>
            <w:noWrap/>
            <w:vAlign w:val="bottom"/>
            <w:hideMark/>
          </w:tcPr>
          <w:p w14:paraId="1F238C1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1.287</w:t>
            </w:r>
          </w:p>
        </w:tc>
        <w:tc>
          <w:tcPr>
            <w:tcW w:w="1540" w:type="dxa"/>
            <w:tcBorders>
              <w:top w:val="nil"/>
              <w:left w:val="nil"/>
              <w:bottom w:val="single" w:sz="4" w:space="0" w:color="auto"/>
              <w:right w:val="single" w:sz="4" w:space="0" w:color="auto"/>
            </w:tcBorders>
            <w:shd w:val="clear" w:color="auto" w:fill="auto"/>
            <w:noWrap/>
            <w:vAlign w:val="bottom"/>
            <w:hideMark/>
          </w:tcPr>
          <w:p w14:paraId="31C303E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51</w:t>
            </w:r>
          </w:p>
        </w:tc>
        <w:tc>
          <w:tcPr>
            <w:tcW w:w="1540" w:type="dxa"/>
            <w:tcBorders>
              <w:top w:val="nil"/>
              <w:left w:val="nil"/>
              <w:bottom w:val="single" w:sz="4" w:space="0" w:color="auto"/>
              <w:right w:val="single" w:sz="12" w:space="0" w:color="auto"/>
            </w:tcBorders>
            <w:shd w:val="clear" w:color="auto" w:fill="auto"/>
            <w:noWrap/>
            <w:vAlign w:val="bottom"/>
            <w:hideMark/>
          </w:tcPr>
          <w:p w14:paraId="2178DCA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37.295</w:t>
            </w:r>
          </w:p>
        </w:tc>
      </w:tr>
      <w:tr w:rsidR="00E65191" w:rsidRPr="00B775DE" w14:paraId="74D186FE" w14:textId="77777777" w:rsidTr="00C21643">
        <w:trPr>
          <w:trHeight w:val="315"/>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3D9BA71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2034</w:t>
            </w:r>
          </w:p>
        </w:tc>
        <w:tc>
          <w:tcPr>
            <w:tcW w:w="1420" w:type="dxa"/>
            <w:tcBorders>
              <w:top w:val="nil"/>
              <w:left w:val="nil"/>
              <w:bottom w:val="single" w:sz="4" w:space="0" w:color="auto"/>
              <w:right w:val="single" w:sz="4" w:space="0" w:color="auto"/>
            </w:tcBorders>
            <w:shd w:val="clear" w:color="auto" w:fill="auto"/>
            <w:noWrap/>
            <w:vAlign w:val="bottom"/>
            <w:hideMark/>
          </w:tcPr>
          <w:p w14:paraId="1765E36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5.882</w:t>
            </w:r>
          </w:p>
        </w:tc>
        <w:tc>
          <w:tcPr>
            <w:tcW w:w="1540" w:type="dxa"/>
            <w:tcBorders>
              <w:top w:val="nil"/>
              <w:left w:val="nil"/>
              <w:bottom w:val="single" w:sz="4" w:space="0" w:color="auto"/>
              <w:right w:val="single" w:sz="4" w:space="0" w:color="auto"/>
            </w:tcBorders>
            <w:shd w:val="clear" w:color="auto" w:fill="auto"/>
            <w:noWrap/>
            <w:vAlign w:val="bottom"/>
            <w:hideMark/>
          </w:tcPr>
          <w:p w14:paraId="3AD22CF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29.358</w:t>
            </w:r>
          </w:p>
        </w:tc>
        <w:tc>
          <w:tcPr>
            <w:tcW w:w="1540" w:type="dxa"/>
            <w:tcBorders>
              <w:top w:val="nil"/>
              <w:left w:val="nil"/>
              <w:bottom w:val="single" w:sz="4" w:space="0" w:color="auto"/>
              <w:right w:val="single" w:sz="4" w:space="0" w:color="auto"/>
            </w:tcBorders>
            <w:shd w:val="clear" w:color="auto" w:fill="auto"/>
            <w:noWrap/>
            <w:vAlign w:val="bottom"/>
            <w:hideMark/>
          </w:tcPr>
          <w:p w14:paraId="2C145A0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1.282</w:t>
            </w:r>
          </w:p>
        </w:tc>
        <w:tc>
          <w:tcPr>
            <w:tcW w:w="1540" w:type="dxa"/>
            <w:tcBorders>
              <w:top w:val="nil"/>
              <w:left w:val="nil"/>
              <w:bottom w:val="single" w:sz="4" w:space="0" w:color="auto"/>
              <w:right w:val="single" w:sz="4" w:space="0" w:color="auto"/>
            </w:tcBorders>
            <w:shd w:val="clear" w:color="auto" w:fill="auto"/>
            <w:noWrap/>
            <w:vAlign w:val="bottom"/>
            <w:hideMark/>
          </w:tcPr>
          <w:p w14:paraId="23CD6A0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50</w:t>
            </w:r>
          </w:p>
        </w:tc>
        <w:tc>
          <w:tcPr>
            <w:tcW w:w="1540" w:type="dxa"/>
            <w:tcBorders>
              <w:top w:val="nil"/>
              <w:left w:val="nil"/>
              <w:bottom w:val="single" w:sz="4" w:space="0" w:color="auto"/>
              <w:right w:val="single" w:sz="12" w:space="0" w:color="auto"/>
            </w:tcBorders>
            <w:shd w:val="clear" w:color="auto" w:fill="auto"/>
            <w:noWrap/>
            <w:vAlign w:val="bottom"/>
            <w:hideMark/>
          </w:tcPr>
          <w:p w14:paraId="1A6A231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36.572</w:t>
            </w:r>
          </w:p>
        </w:tc>
      </w:tr>
      <w:tr w:rsidR="00E65191" w:rsidRPr="00B775DE" w14:paraId="132D4D28" w14:textId="77777777" w:rsidTr="00C21643">
        <w:trPr>
          <w:trHeight w:val="315"/>
        </w:trPr>
        <w:tc>
          <w:tcPr>
            <w:tcW w:w="1340" w:type="dxa"/>
            <w:tcBorders>
              <w:top w:val="nil"/>
              <w:left w:val="single" w:sz="12" w:space="0" w:color="auto"/>
              <w:bottom w:val="single" w:sz="4" w:space="0" w:color="auto"/>
              <w:right w:val="single" w:sz="12" w:space="0" w:color="auto"/>
            </w:tcBorders>
            <w:shd w:val="clear" w:color="auto" w:fill="auto"/>
            <w:noWrap/>
            <w:vAlign w:val="bottom"/>
            <w:hideMark/>
          </w:tcPr>
          <w:p w14:paraId="2534A35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2035</w:t>
            </w:r>
          </w:p>
        </w:tc>
        <w:tc>
          <w:tcPr>
            <w:tcW w:w="1420" w:type="dxa"/>
            <w:tcBorders>
              <w:top w:val="nil"/>
              <w:left w:val="nil"/>
              <w:bottom w:val="single" w:sz="4" w:space="0" w:color="auto"/>
              <w:right w:val="single" w:sz="4" w:space="0" w:color="auto"/>
            </w:tcBorders>
            <w:shd w:val="clear" w:color="auto" w:fill="auto"/>
            <w:noWrap/>
            <w:vAlign w:val="bottom"/>
            <w:hideMark/>
          </w:tcPr>
          <w:p w14:paraId="6F6B8EE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5.139</w:t>
            </w:r>
          </w:p>
        </w:tc>
        <w:tc>
          <w:tcPr>
            <w:tcW w:w="1540" w:type="dxa"/>
            <w:tcBorders>
              <w:top w:val="nil"/>
              <w:left w:val="nil"/>
              <w:bottom w:val="single" w:sz="4" w:space="0" w:color="auto"/>
              <w:right w:val="single" w:sz="4" w:space="0" w:color="auto"/>
            </w:tcBorders>
            <w:shd w:val="clear" w:color="auto" w:fill="auto"/>
            <w:noWrap/>
            <w:vAlign w:val="bottom"/>
            <w:hideMark/>
          </w:tcPr>
          <w:p w14:paraId="0C5550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29.354</w:t>
            </w:r>
          </w:p>
        </w:tc>
        <w:tc>
          <w:tcPr>
            <w:tcW w:w="1540" w:type="dxa"/>
            <w:tcBorders>
              <w:top w:val="nil"/>
              <w:left w:val="nil"/>
              <w:bottom w:val="single" w:sz="4" w:space="0" w:color="auto"/>
              <w:right w:val="single" w:sz="4" w:space="0" w:color="auto"/>
            </w:tcBorders>
            <w:shd w:val="clear" w:color="auto" w:fill="auto"/>
            <w:noWrap/>
            <w:vAlign w:val="bottom"/>
            <w:hideMark/>
          </w:tcPr>
          <w:p w14:paraId="3FEF447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1.278</w:t>
            </w:r>
          </w:p>
        </w:tc>
        <w:tc>
          <w:tcPr>
            <w:tcW w:w="1540" w:type="dxa"/>
            <w:tcBorders>
              <w:top w:val="nil"/>
              <w:left w:val="nil"/>
              <w:bottom w:val="single" w:sz="4" w:space="0" w:color="auto"/>
              <w:right w:val="single" w:sz="4" w:space="0" w:color="auto"/>
            </w:tcBorders>
            <w:shd w:val="clear" w:color="auto" w:fill="auto"/>
            <w:noWrap/>
            <w:vAlign w:val="bottom"/>
            <w:hideMark/>
          </w:tcPr>
          <w:p w14:paraId="5922AAE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48</w:t>
            </w:r>
          </w:p>
        </w:tc>
        <w:tc>
          <w:tcPr>
            <w:tcW w:w="1540" w:type="dxa"/>
            <w:tcBorders>
              <w:top w:val="nil"/>
              <w:left w:val="nil"/>
              <w:bottom w:val="single" w:sz="4" w:space="0" w:color="auto"/>
              <w:right w:val="single" w:sz="12" w:space="0" w:color="auto"/>
            </w:tcBorders>
            <w:shd w:val="clear" w:color="auto" w:fill="auto"/>
            <w:noWrap/>
            <w:vAlign w:val="bottom"/>
            <w:hideMark/>
          </w:tcPr>
          <w:p w14:paraId="22041F3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35.818</w:t>
            </w:r>
          </w:p>
        </w:tc>
      </w:tr>
      <w:bookmarkEnd w:id="63"/>
    </w:tbl>
    <w:p w14:paraId="4BF5AD6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B0A394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kern w:val="0"/>
          <w:sz w:val="20"/>
          <w:szCs w:val="24"/>
        </w:rPr>
        <w:t>(*) izhodiščno leto za izračun scenarija razvoja ravnanja s komunalnimi odpadki;</w:t>
      </w:r>
    </w:p>
    <w:p w14:paraId="424387F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leto za katerega je določena največja letna količina gorljivih sestavin, ki nastanejo po mehanski obdelavi ločeno zbrane embalaže, ki je prevzeta v okviru storitev javne službe zbiranja.</w:t>
      </w:r>
    </w:p>
    <w:p w14:paraId="33C3292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10DA52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bookmarkStart w:id="64" w:name="_Hlk179305575"/>
    </w:p>
    <w:p w14:paraId="63851AD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4. del - največja letna količina gorljivih sestavin, ki nastanejo po mehanski obdelavi ločeno zbranih frakcij komunalnih odpadkov, ki so zbrani izven okvira storitev javne službe zbiranja, in se lahko sežigajo kot posebna storitev, je za leto 2025 navedena v spodnji tabeli:</w:t>
      </w:r>
    </w:p>
    <w:p w14:paraId="0464606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tbl>
      <w:tblPr>
        <w:tblW w:w="7600" w:type="dxa"/>
        <w:tblInd w:w="85" w:type="dxa"/>
        <w:tblCellMar>
          <w:left w:w="70" w:type="dxa"/>
          <w:right w:w="70" w:type="dxa"/>
        </w:tblCellMar>
        <w:tblLook w:val="04A0" w:firstRow="1" w:lastRow="0" w:firstColumn="1" w:lastColumn="0" w:noHBand="0" w:noVBand="1"/>
      </w:tblPr>
      <w:tblGrid>
        <w:gridCol w:w="1540"/>
        <w:gridCol w:w="1540"/>
        <w:gridCol w:w="1540"/>
        <w:gridCol w:w="1540"/>
        <w:gridCol w:w="1440"/>
      </w:tblGrid>
      <w:tr w:rsidR="00E65191" w:rsidRPr="00B775DE" w14:paraId="51F1D14A" w14:textId="77777777" w:rsidTr="00C21643">
        <w:trPr>
          <w:trHeight w:val="1800"/>
        </w:trPr>
        <w:tc>
          <w:tcPr>
            <w:tcW w:w="1540" w:type="dxa"/>
            <w:tcBorders>
              <w:top w:val="single" w:sz="12" w:space="0" w:color="auto"/>
              <w:left w:val="single" w:sz="12" w:space="0" w:color="auto"/>
              <w:bottom w:val="nil"/>
              <w:right w:val="nil"/>
            </w:tcBorders>
            <w:shd w:val="clear" w:color="000000" w:fill="64FC68"/>
            <w:vAlign w:val="bottom"/>
            <w:hideMark/>
          </w:tcPr>
          <w:p w14:paraId="19D2701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w:t>
            </w:r>
          </w:p>
        </w:tc>
        <w:tc>
          <w:tcPr>
            <w:tcW w:w="1540" w:type="dxa"/>
            <w:tcBorders>
              <w:top w:val="single" w:sz="12" w:space="0" w:color="auto"/>
              <w:left w:val="single" w:sz="12" w:space="0" w:color="auto"/>
              <w:bottom w:val="nil"/>
              <w:right w:val="single" w:sz="4" w:space="0" w:color="auto"/>
            </w:tcBorders>
            <w:shd w:val="clear" w:color="000000" w:fill="64FC68"/>
            <w:vAlign w:val="bottom"/>
            <w:hideMark/>
          </w:tcPr>
          <w:p w14:paraId="3923BA3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količina goriva iz obdelave izven občinske JS ločeno zbranih komunalnih odpadkov</w:t>
            </w:r>
          </w:p>
        </w:tc>
        <w:tc>
          <w:tcPr>
            <w:tcW w:w="1540" w:type="dxa"/>
            <w:tcBorders>
              <w:top w:val="single" w:sz="12" w:space="0" w:color="auto"/>
              <w:left w:val="nil"/>
              <w:bottom w:val="nil"/>
              <w:right w:val="single" w:sz="4" w:space="0" w:color="auto"/>
            </w:tcBorders>
            <w:shd w:val="clear" w:color="000000" w:fill="64FC68"/>
            <w:vAlign w:val="bottom"/>
            <w:hideMark/>
          </w:tcPr>
          <w:p w14:paraId="2AAB93DE"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količina goriva iz obdelave izven občinske JS ločeno zbranih komunalnih odpadkov</w:t>
            </w:r>
          </w:p>
        </w:tc>
        <w:tc>
          <w:tcPr>
            <w:tcW w:w="1540" w:type="dxa"/>
            <w:tcBorders>
              <w:top w:val="single" w:sz="12" w:space="0" w:color="auto"/>
              <w:left w:val="nil"/>
              <w:bottom w:val="nil"/>
              <w:right w:val="single" w:sz="4" w:space="0" w:color="auto"/>
            </w:tcBorders>
            <w:shd w:val="clear" w:color="000000" w:fill="64FC68"/>
            <w:vAlign w:val="bottom"/>
            <w:hideMark/>
          </w:tcPr>
          <w:p w14:paraId="135474D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količina goriva iz obdelave izven občinske JS ločeno zbranih komunalnih odpadkov</w:t>
            </w:r>
          </w:p>
        </w:tc>
        <w:tc>
          <w:tcPr>
            <w:tcW w:w="1440" w:type="dxa"/>
            <w:tcBorders>
              <w:top w:val="single" w:sz="12" w:space="0" w:color="auto"/>
              <w:left w:val="nil"/>
              <w:bottom w:val="nil"/>
              <w:right w:val="single" w:sz="12" w:space="0" w:color="auto"/>
            </w:tcBorders>
            <w:shd w:val="clear" w:color="000000" w:fill="64FC68"/>
            <w:vAlign w:val="bottom"/>
            <w:hideMark/>
          </w:tcPr>
          <w:p w14:paraId="2A13BAC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največja količina goriva iz obdelave izven občinske JS ločeno zbranih komunalnih odpadkov</w:t>
            </w:r>
          </w:p>
        </w:tc>
      </w:tr>
      <w:tr w:rsidR="00E65191" w:rsidRPr="00B775DE" w14:paraId="51B9E912" w14:textId="77777777" w:rsidTr="00C21643">
        <w:trPr>
          <w:trHeight w:val="345"/>
        </w:trPr>
        <w:tc>
          <w:tcPr>
            <w:tcW w:w="1540" w:type="dxa"/>
            <w:tcBorders>
              <w:top w:val="nil"/>
              <w:left w:val="single" w:sz="12" w:space="0" w:color="auto"/>
              <w:bottom w:val="single" w:sz="12" w:space="0" w:color="auto"/>
              <w:right w:val="nil"/>
            </w:tcBorders>
            <w:shd w:val="clear" w:color="000000" w:fill="64FC68"/>
            <w:noWrap/>
            <w:vAlign w:val="bottom"/>
            <w:hideMark/>
          </w:tcPr>
          <w:p w14:paraId="44F6F20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Leto</w:t>
            </w:r>
          </w:p>
        </w:tc>
        <w:tc>
          <w:tcPr>
            <w:tcW w:w="1540" w:type="dxa"/>
            <w:tcBorders>
              <w:top w:val="nil"/>
              <w:left w:val="single" w:sz="12" w:space="0" w:color="auto"/>
              <w:bottom w:val="single" w:sz="12" w:space="0" w:color="auto"/>
              <w:right w:val="single" w:sz="4" w:space="0" w:color="auto"/>
            </w:tcBorders>
            <w:shd w:val="clear" w:color="000000" w:fill="64FC68"/>
            <w:noWrap/>
            <w:vAlign w:val="bottom"/>
            <w:hideMark/>
          </w:tcPr>
          <w:p w14:paraId="50AFD0D5"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papir</w:t>
            </w:r>
          </w:p>
        </w:tc>
        <w:tc>
          <w:tcPr>
            <w:tcW w:w="1540" w:type="dxa"/>
            <w:tcBorders>
              <w:top w:val="nil"/>
              <w:left w:val="nil"/>
              <w:bottom w:val="single" w:sz="12" w:space="0" w:color="auto"/>
              <w:right w:val="single" w:sz="4" w:space="0" w:color="auto"/>
            </w:tcBorders>
            <w:shd w:val="clear" w:color="000000" w:fill="64FC68"/>
            <w:noWrap/>
            <w:vAlign w:val="bottom"/>
            <w:hideMark/>
          </w:tcPr>
          <w:p w14:paraId="03EB508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plastika</w:t>
            </w:r>
          </w:p>
        </w:tc>
        <w:tc>
          <w:tcPr>
            <w:tcW w:w="1540" w:type="dxa"/>
            <w:tcBorders>
              <w:top w:val="nil"/>
              <w:left w:val="nil"/>
              <w:bottom w:val="single" w:sz="12" w:space="0" w:color="auto"/>
              <w:right w:val="single" w:sz="4" w:space="0" w:color="auto"/>
            </w:tcBorders>
            <w:shd w:val="clear" w:color="000000" w:fill="64FC68"/>
            <w:noWrap/>
            <w:vAlign w:val="bottom"/>
            <w:hideMark/>
          </w:tcPr>
          <w:p w14:paraId="757BFF2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les</w:t>
            </w:r>
          </w:p>
        </w:tc>
        <w:tc>
          <w:tcPr>
            <w:tcW w:w="1440" w:type="dxa"/>
            <w:tcBorders>
              <w:top w:val="nil"/>
              <w:left w:val="nil"/>
              <w:bottom w:val="single" w:sz="12" w:space="0" w:color="auto"/>
              <w:right w:val="single" w:sz="12" w:space="0" w:color="auto"/>
            </w:tcBorders>
            <w:shd w:val="clear" w:color="000000" w:fill="64FC68"/>
            <w:noWrap/>
            <w:vAlign w:val="bottom"/>
            <w:hideMark/>
          </w:tcPr>
          <w:p w14:paraId="30F8BEB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skupaj</w:t>
            </w:r>
          </w:p>
        </w:tc>
      </w:tr>
      <w:tr w:rsidR="00E65191" w:rsidRPr="00B775DE" w14:paraId="034246B3" w14:textId="77777777" w:rsidTr="00C21643">
        <w:trPr>
          <w:trHeight w:val="330"/>
        </w:trPr>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42F28E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2021 (*)</w:t>
            </w:r>
          </w:p>
        </w:tc>
        <w:tc>
          <w:tcPr>
            <w:tcW w:w="1540" w:type="dxa"/>
            <w:tcBorders>
              <w:top w:val="nil"/>
              <w:left w:val="nil"/>
              <w:bottom w:val="single" w:sz="4" w:space="0" w:color="auto"/>
              <w:right w:val="single" w:sz="4" w:space="0" w:color="auto"/>
            </w:tcBorders>
            <w:shd w:val="clear" w:color="auto" w:fill="auto"/>
            <w:noWrap/>
            <w:vAlign w:val="bottom"/>
            <w:hideMark/>
          </w:tcPr>
          <w:p w14:paraId="0041568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29.185</w:t>
            </w:r>
          </w:p>
        </w:tc>
        <w:tc>
          <w:tcPr>
            <w:tcW w:w="1540" w:type="dxa"/>
            <w:tcBorders>
              <w:top w:val="nil"/>
              <w:left w:val="nil"/>
              <w:bottom w:val="single" w:sz="4" w:space="0" w:color="auto"/>
              <w:right w:val="single" w:sz="4" w:space="0" w:color="auto"/>
            </w:tcBorders>
            <w:shd w:val="clear" w:color="auto" w:fill="auto"/>
            <w:noWrap/>
            <w:vAlign w:val="bottom"/>
            <w:hideMark/>
          </w:tcPr>
          <w:p w14:paraId="65A1316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9.838</w:t>
            </w:r>
          </w:p>
        </w:tc>
        <w:tc>
          <w:tcPr>
            <w:tcW w:w="1540" w:type="dxa"/>
            <w:tcBorders>
              <w:top w:val="nil"/>
              <w:left w:val="nil"/>
              <w:bottom w:val="single" w:sz="4" w:space="0" w:color="auto"/>
              <w:right w:val="single" w:sz="4" w:space="0" w:color="auto"/>
            </w:tcBorders>
            <w:shd w:val="clear" w:color="auto" w:fill="auto"/>
            <w:noWrap/>
            <w:vAlign w:val="bottom"/>
            <w:hideMark/>
          </w:tcPr>
          <w:p w14:paraId="73F0939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22.471</w:t>
            </w:r>
          </w:p>
        </w:tc>
        <w:tc>
          <w:tcPr>
            <w:tcW w:w="1440" w:type="dxa"/>
            <w:tcBorders>
              <w:top w:val="nil"/>
              <w:left w:val="nil"/>
              <w:bottom w:val="single" w:sz="4" w:space="0" w:color="auto"/>
              <w:right w:val="single" w:sz="12" w:space="0" w:color="auto"/>
            </w:tcBorders>
            <w:shd w:val="clear" w:color="auto" w:fill="auto"/>
            <w:noWrap/>
            <w:vAlign w:val="bottom"/>
            <w:hideMark/>
          </w:tcPr>
          <w:p w14:paraId="6F5AA39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61.495</w:t>
            </w:r>
          </w:p>
        </w:tc>
      </w:tr>
      <w:tr w:rsidR="00E65191" w:rsidRPr="00B775DE" w14:paraId="045B9760" w14:textId="77777777" w:rsidTr="00C21643">
        <w:trPr>
          <w:trHeight w:val="315"/>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09F041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2025 (**)</w:t>
            </w:r>
          </w:p>
        </w:tc>
        <w:tc>
          <w:tcPr>
            <w:tcW w:w="1540" w:type="dxa"/>
            <w:tcBorders>
              <w:top w:val="nil"/>
              <w:left w:val="nil"/>
              <w:bottom w:val="single" w:sz="4" w:space="0" w:color="auto"/>
              <w:right w:val="single" w:sz="4" w:space="0" w:color="auto"/>
            </w:tcBorders>
            <w:shd w:val="clear" w:color="auto" w:fill="auto"/>
            <w:noWrap/>
            <w:vAlign w:val="bottom"/>
            <w:hideMark/>
          </w:tcPr>
          <w:p w14:paraId="0F6CAFA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23.999</w:t>
            </w:r>
          </w:p>
        </w:tc>
        <w:tc>
          <w:tcPr>
            <w:tcW w:w="1540" w:type="dxa"/>
            <w:tcBorders>
              <w:top w:val="nil"/>
              <w:left w:val="nil"/>
              <w:bottom w:val="single" w:sz="4" w:space="0" w:color="auto"/>
              <w:right w:val="single" w:sz="4" w:space="0" w:color="auto"/>
            </w:tcBorders>
            <w:shd w:val="clear" w:color="auto" w:fill="auto"/>
            <w:noWrap/>
            <w:vAlign w:val="bottom"/>
            <w:hideMark/>
          </w:tcPr>
          <w:p w14:paraId="579AE36B"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9.833</w:t>
            </w:r>
          </w:p>
        </w:tc>
        <w:tc>
          <w:tcPr>
            <w:tcW w:w="1540" w:type="dxa"/>
            <w:tcBorders>
              <w:top w:val="nil"/>
              <w:left w:val="nil"/>
              <w:bottom w:val="single" w:sz="4" w:space="0" w:color="auto"/>
              <w:right w:val="single" w:sz="4" w:space="0" w:color="auto"/>
            </w:tcBorders>
            <w:shd w:val="clear" w:color="auto" w:fill="auto"/>
            <w:noWrap/>
            <w:vAlign w:val="bottom"/>
            <w:hideMark/>
          </w:tcPr>
          <w:p w14:paraId="6C136C9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22.032</w:t>
            </w:r>
          </w:p>
        </w:tc>
        <w:tc>
          <w:tcPr>
            <w:tcW w:w="1440" w:type="dxa"/>
            <w:tcBorders>
              <w:top w:val="nil"/>
              <w:left w:val="nil"/>
              <w:bottom w:val="single" w:sz="4" w:space="0" w:color="auto"/>
              <w:right w:val="single" w:sz="12" w:space="0" w:color="auto"/>
            </w:tcBorders>
            <w:shd w:val="clear" w:color="auto" w:fill="auto"/>
            <w:noWrap/>
            <w:vAlign w:val="bottom"/>
            <w:hideMark/>
          </w:tcPr>
          <w:p w14:paraId="4039CC3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55.864</w:t>
            </w:r>
          </w:p>
        </w:tc>
      </w:tr>
      <w:tr w:rsidR="00E65191" w:rsidRPr="00B775DE" w14:paraId="65C9753F" w14:textId="77777777" w:rsidTr="00C21643">
        <w:trPr>
          <w:trHeight w:val="465"/>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8CADEF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2026</w:t>
            </w:r>
          </w:p>
        </w:tc>
        <w:tc>
          <w:tcPr>
            <w:tcW w:w="1540" w:type="dxa"/>
            <w:tcBorders>
              <w:top w:val="nil"/>
              <w:left w:val="nil"/>
              <w:bottom w:val="single" w:sz="4" w:space="0" w:color="auto"/>
              <w:right w:val="single" w:sz="4" w:space="0" w:color="auto"/>
            </w:tcBorders>
            <w:shd w:val="clear" w:color="auto" w:fill="auto"/>
            <w:noWrap/>
            <w:vAlign w:val="bottom"/>
            <w:hideMark/>
          </w:tcPr>
          <w:p w14:paraId="29D99B0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22.653</w:t>
            </w:r>
          </w:p>
        </w:tc>
        <w:tc>
          <w:tcPr>
            <w:tcW w:w="1540" w:type="dxa"/>
            <w:tcBorders>
              <w:top w:val="nil"/>
              <w:left w:val="nil"/>
              <w:bottom w:val="single" w:sz="4" w:space="0" w:color="auto"/>
              <w:right w:val="single" w:sz="4" w:space="0" w:color="auto"/>
            </w:tcBorders>
            <w:shd w:val="clear" w:color="auto" w:fill="auto"/>
            <w:noWrap/>
            <w:vAlign w:val="bottom"/>
            <w:hideMark/>
          </w:tcPr>
          <w:p w14:paraId="1C1E275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9.832</w:t>
            </w:r>
          </w:p>
        </w:tc>
        <w:tc>
          <w:tcPr>
            <w:tcW w:w="1540" w:type="dxa"/>
            <w:tcBorders>
              <w:top w:val="nil"/>
              <w:left w:val="nil"/>
              <w:bottom w:val="single" w:sz="4" w:space="0" w:color="auto"/>
              <w:right w:val="single" w:sz="4" w:space="0" w:color="auto"/>
            </w:tcBorders>
            <w:shd w:val="clear" w:color="auto" w:fill="auto"/>
            <w:noWrap/>
            <w:vAlign w:val="bottom"/>
            <w:hideMark/>
          </w:tcPr>
          <w:p w14:paraId="4BD780A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21.916</w:t>
            </w:r>
          </w:p>
        </w:tc>
        <w:tc>
          <w:tcPr>
            <w:tcW w:w="1440" w:type="dxa"/>
            <w:tcBorders>
              <w:top w:val="nil"/>
              <w:left w:val="nil"/>
              <w:bottom w:val="single" w:sz="4" w:space="0" w:color="auto"/>
              <w:right w:val="single" w:sz="12" w:space="0" w:color="auto"/>
            </w:tcBorders>
            <w:shd w:val="clear" w:color="auto" w:fill="auto"/>
            <w:noWrap/>
            <w:vAlign w:val="bottom"/>
            <w:hideMark/>
          </w:tcPr>
          <w:p w14:paraId="257071C6"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54.401</w:t>
            </w:r>
          </w:p>
        </w:tc>
      </w:tr>
      <w:tr w:rsidR="00E65191" w:rsidRPr="00B775DE" w14:paraId="357DC093" w14:textId="77777777" w:rsidTr="00C21643">
        <w:trPr>
          <w:trHeight w:val="315"/>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CA3D43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2027</w:t>
            </w:r>
          </w:p>
        </w:tc>
        <w:tc>
          <w:tcPr>
            <w:tcW w:w="1540" w:type="dxa"/>
            <w:tcBorders>
              <w:top w:val="nil"/>
              <w:left w:val="nil"/>
              <w:bottom w:val="single" w:sz="4" w:space="0" w:color="auto"/>
              <w:right w:val="single" w:sz="4" w:space="0" w:color="auto"/>
            </w:tcBorders>
            <w:shd w:val="clear" w:color="auto" w:fill="auto"/>
            <w:noWrap/>
            <w:vAlign w:val="bottom"/>
            <w:hideMark/>
          </w:tcPr>
          <w:p w14:paraId="341041A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21.288</w:t>
            </w:r>
          </w:p>
        </w:tc>
        <w:tc>
          <w:tcPr>
            <w:tcW w:w="1540" w:type="dxa"/>
            <w:tcBorders>
              <w:top w:val="nil"/>
              <w:left w:val="nil"/>
              <w:bottom w:val="single" w:sz="4" w:space="0" w:color="auto"/>
              <w:right w:val="single" w:sz="4" w:space="0" w:color="auto"/>
            </w:tcBorders>
            <w:shd w:val="clear" w:color="auto" w:fill="auto"/>
            <w:noWrap/>
            <w:vAlign w:val="bottom"/>
            <w:hideMark/>
          </w:tcPr>
          <w:p w14:paraId="6EB291A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9.831</w:t>
            </w:r>
          </w:p>
        </w:tc>
        <w:tc>
          <w:tcPr>
            <w:tcW w:w="1540" w:type="dxa"/>
            <w:tcBorders>
              <w:top w:val="nil"/>
              <w:left w:val="nil"/>
              <w:bottom w:val="single" w:sz="4" w:space="0" w:color="auto"/>
              <w:right w:val="single" w:sz="4" w:space="0" w:color="auto"/>
            </w:tcBorders>
            <w:shd w:val="clear" w:color="auto" w:fill="auto"/>
            <w:noWrap/>
            <w:vAlign w:val="bottom"/>
            <w:hideMark/>
          </w:tcPr>
          <w:p w14:paraId="5389CD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21.797</w:t>
            </w:r>
          </w:p>
        </w:tc>
        <w:tc>
          <w:tcPr>
            <w:tcW w:w="1440" w:type="dxa"/>
            <w:tcBorders>
              <w:top w:val="nil"/>
              <w:left w:val="nil"/>
              <w:bottom w:val="single" w:sz="4" w:space="0" w:color="auto"/>
              <w:right w:val="single" w:sz="12" w:space="0" w:color="auto"/>
            </w:tcBorders>
            <w:shd w:val="clear" w:color="auto" w:fill="auto"/>
            <w:noWrap/>
            <w:vAlign w:val="bottom"/>
            <w:hideMark/>
          </w:tcPr>
          <w:p w14:paraId="688AF24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52.915</w:t>
            </w:r>
          </w:p>
        </w:tc>
      </w:tr>
      <w:tr w:rsidR="00E65191" w:rsidRPr="00B775DE" w14:paraId="69A6BE7B" w14:textId="77777777" w:rsidTr="00C21643">
        <w:trPr>
          <w:trHeight w:val="480"/>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4518A0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2028</w:t>
            </w:r>
          </w:p>
        </w:tc>
        <w:tc>
          <w:tcPr>
            <w:tcW w:w="1540" w:type="dxa"/>
            <w:tcBorders>
              <w:top w:val="nil"/>
              <w:left w:val="nil"/>
              <w:bottom w:val="single" w:sz="4" w:space="0" w:color="auto"/>
              <w:right w:val="single" w:sz="4" w:space="0" w:color="auto"/>
            </w:tcBorders>
            <w:shd w:val="clear" w:color="auto" w:fill="auto"/>
            <w:noWrap/>
            <w:vAlign w:val="bottom"/>
            <w:hideMark/>
          </w:tcPr>
          <w:p w14:paraId="3728814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19.902</w:t>
            </w:r>
          </w:p>
        </w:tc>
        <w:tc>
          <w:tcPr>
            <w:tcW w:w="1540" w:type="dxa"/>
            <w:tcBorders>
              <w:top w:val="nil"/>
              <w:left w:val="nil"/>
              <w:bottom w:val="single" w:sz="4" w:space="0" w:color="auto"/>
              <w:right w:val="single" w:sz="4" w:space="0" w:color="auto"/>
            </w:tcBorders>
            <w:shd w:val="clear" w:color="auto" w:fill="auto"/>
            <w:noWrap/>
            <w:vAlign w:val="bottom"/>
            <w:hideMark/>
          </w:tcPr>
          <w:p w14:paraId="27F4B27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9.829</w:t>
            </w:r>
          </w:p>
        </w:tc>
        <w:tc>
          <w:tcPr>
            <w:tcW w:w="1540" w:type="dxa"/>
            <w:tcBorders>
              <w:top w:val="nil"/>
              <w:left w:val="nil"/>
              <w:bottom w:val="single" w:sz="4" w:space="0" w:color="auto"/>
              <w:right w:val="single" w:sz="4" w:space="0" w:color="auto"/>
            </w:tcBorders>
            <w:shd w:val="clear" w:color="auto" w:fill="auto"/>
            <w:noWrap/>
            <w:vAlign w:val="bottom"/>
            <w:hideMark/>
          </w:tcPr>
          <w:p w14:paraId="716EB2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21.675</w:t>
            </w:r>
          </w:p>
        </w:tc>
        <w:tc>
          <w:tcPr>
            <w:tcW w:w="1440" w:type="dxa"/>
            <w:tcBorders>
              <w:top w:val="nil"/>
              <w:left w:val="nil"/>
              <w:bottom w:val="single" w:sz="4" w:space="0" w:color="auto"/>
              <w:right w:val="single" w:sz="12" w:space="0" w:color="auto"/>
            </w:tcBorders>
            <w:shd w:val="clear" w:color="auto" w:fill="auto"/>
            <w:noWrap/>
            <w:vAlign w:val="bottom"/>
            <w:hideMark/>
          </w:tcPr>
          <w:p w14:paraId="3ED417ED"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51.406</w:t>
            </w:r>
          </w:p>
        </w:tc>
      </w:tr>
      <w:tr w:rsidR="00E65191" w:rsidRPr="00B775DE" w14:paraId="389A770B" w14:textId="77777777" w:rsidTr="00C21643">
        <w:trPr>
          <w:trHeight w:val="315"/>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CE6574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2029</w:t>
            </w:r>
          </w:p>
        </w:tc>
        <w:tc>
          <w:tcPr>
            <w:tcW w:w="1540" w:type="dxa"/>
            <w:tcBorders>
              <w:top w:val="nil"/>
              <w:left w:val="nil"/>
              <w:bottom w:val="single" w:sz="4" w:space="0" w:color="auto"/>
              <w:right w:val="single" w:sz="4" w:space="0" w:color="auto"/>
            </w:tcBorders>
            <w:shd w:val="clear" w:color="auto" w:fill="auto"/>
            <w:noWrap/>
            <w:vAlign w:val="bottom"/>
            <w:hideMark/>
          </w:tcPr>
          <w:p w14:paraId="6BAF8D3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18.496</w:t>
            </w:r>
          </w:p>
        </w:tc>
        <w:tc>
          <w:tcPr>
            <w:tcW w:w="1540" w:type="dxa"/>
            <w:tcBorders>
              <w:top w:val="nil"/>
              <w:left w:val="nil"/>
              <w:bottom w:val="single" w:sz="4" w:space="0" w:color="auto"/>
              <w:right w:val="single" w:sz="4" w:space="0" w:color="auto"/>
            </w:tcBorders>
            <w:shd w:val="clear" w:color="auto" w:fill="auto"/>
            <w:noWrap/>
            <w:vAlign w:val="bottom"/>
            <w:hideMark/>
          </w:tcPr>
          <w:p w14:paraId="48C9874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9.828</w:t>
            </w:r>
          </w:p>
        </w:tc>
        <w:tc>
          <w:tcPr>
            <w:tcW w:w="1540" w:type="dxa"/>
            <w:tcBorders>
              <w:top w:val="nil"/>
              <w:left w:val="nil"/>
              <w:bottom w:val="single" w:sz="4" w:space="0" w:color="auto"/>
              <w:right w:val="single" w:sz="4" w:space="0" w:color="auto"/>
            </w:tcBorders>
            <w:shd w:val="clear" w:color="auto" w:fill="auto"/>
            <w:noWrap/>
            <w:vAlign w:val="bottom"/>
            <w:hideMark/>
          </w:tcPr>
          <w:p w14:paraId="76581C1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21.550</w:t>
            </w:r>
          </w:p>
        </w:tc>
        <w:tc>
          <w:tcPr>
            <w:tcW w:w="1440" w:type="dxa"/>
            <w:tcBorders>
              <w:top w:val="nil"/>
              <w:left w:val="nil"/>
              <w:bottom w:val="single" w:sz="4" w:space="0" w:color="auto"/>
              <w:right w:val="single" w:sz="12" w:space="0" w:color="auto"/>
            </w:tcBorders>
            <w:shd w:val="clear" w:color="auto" w:fill="auto"/>
            <w:noWrap/>
            <w:vAlign w:val="bottom"/>
            <w:hideMark/>
          </w:tcPr>
          <w:p w14:paraId="2D3A8203"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49.874</w:t>
            </w:r>
          </w:p>
        </w:tc>
      </w:tr>
      <w:tr w:rsidR="00E65191" w:rsidRPr="00B775DE" w14:paraId="150274BF" w14:textId="77777777" w:rsidTr="00C21643">
        <w:trPr>
          <w:trHeight w:val="300"/>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8D5C58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2030</w:t>
            </w:r>
          </w:p>
        </w:tc>
        <w:tc>
          <w:tcPr>
            <w:tcW w:w="1540" w:type="dxa"/>
            <w:tcBorders>
              <w:top w:val="nil"/>
              <w:left w:val="nil"/>
              <w:bottom w:val="single" w:sz="4" w:space="0" w:color="auto"/>
              <w:right w:val="single" w:sz="4" w:space="0" w:color="auto"/>
            </w:tcBorders>
            <w:shd w:val="clear" w:color="auto" w:fill="auto"/>
            <w:noWrap/>
            <w:vAlign w:val="bottom"/>
            <w:hideMark/>
          </w:tcPr>
          <w:p w14:paraId="5C0882E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17.069</w:t>
            </w:r>
          </w:p>
        </w:tc>
        <w:tc>
          <w:tcPr>
            <w:tcW w:w="1540" w:type="dxa"/>
            <w:tcBorders>
              <w:top w:val="nil"/>
              <w:left w:val="nil"/>
              <w:bottom w:val="single" w:sz="4" w:space="0" w:color="auto"/>
              <w:right w:val="single" w:sz="4" w:space="0" w:color="auto"/>
            </w:tcBorders>
            <w:shd w:val="clear" w:color="auto" w:fill="auto"/>
            <w:noWrap/>
            <w:vAlign w:val="bottom"/>
            <w:hideMark/>
          </w:tcPr>
          <w:p w14:paraId="4D93634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9.827</w:t>
            </w:r>
          </w:p>
        </w:tc>
        <w:tc>
          <w:tcPr>
            <w:tcW w:w="1540" w:type="dxa"/>
            <w:tcBorders>
              <w:top w:val="nil"/>
              <w:left w:val="nil"/>
              <w:bottom w:val="single" w:sz="4" w:space="0" w:color="auto"/>
              <w:right w:val="single" w:sz="4" w:space="0" w:color="auto"/>
            </w:tcBorders>
            <w:shd w:val="clear" w:color="auto" w:fill="auto"/>
            <w:noWrap/>
            <w:vAlign w:val="bottom"/>
            <w:hideMark/>
          </w:tcPr>
          <w:p w14:paraId="2A53DEC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21.423</w:t>
            </w:r>
          </w:p>
        </w:tc>
        <w:tc>
          <w:tcPr>
            <w:tcW w:w="1440" w:type="dxa"/>
            <w:tcBorders>
              <w:top w:val="nil"/>
              <w:left w:val="nil"/>
              <w:bottom w:val="single" w:sz="4" w:space="0" w:color="auto"/>
              <w:right w:val="single" w:sz="12" w:space="0" w:color="auto"/>
            </w:tcBorders>
            <w:shd w:val="clear" w:color="auto" w:fill="auto"/>
            <w:noWrap/>
            <w:vAlign w:val="bottom"/>
            <w:hideMark/>
          </w:tcPr>
          <w:p w14:paraId="6E963F2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48.318</w:t>
            </w:r>
          </w:p>
        </w:tc>
      </w:tr>
      <w:tr w:rsidR="00E65191" w:rsidRPr="00B775DE" w14:paraId="5ACC2F72" w14:textId="77777777" w:rsidTr="00C21643">
        <w:trPr>
          <w:trHeight w:val="300"/>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A457D4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2031</w:t>
            </w:r>
          </w:p>
        </w:tc>
        <w:tc>
          <w:tcPr>
            <w:tcW w:w="1540" w:type="dxa"/>
            <w:tcBorders>
              <w:top w:val="nil"/>
              <w:left w:val="nil"/>
              <w:bottom w:val="single" w:sz="4" w:space="0" w:color="auto"/>
              <w:right w:val="single" w:sz="4" w:space="0" w:color="auto"/>
            </w:tcBorders>
            <w:shd w:val="clear" w:color="auto" w:fill="auto"/>
            <w:noWrap/>
            <w:vAlign w:val="bottom"/>
            <w:hideMark/>
          </w:tcPr>
          <w:p w14:paraId="76E502D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15.621</w:t>
            </w:r>
          </w:p>
        </w:tc>
        <w:tc>
          <w:tcPr>
            <w:tcW w:w="1540" w:type="dxa"/>
            <w:tcBorders>
              <w:top w:val="nil"/>
              <w:left w:val="nil"/>
              <w:bottom w:val="single" w:sz="4" w:space="0" w:color="auto"/>
              <w:right w:val="single" w:sz="4" w:space="0" w:color="auto"/>
            </w:tcBorders>
            <w:shd w:val="clear" w:color="auto" w:fill="auto"/>
            <w:noWrap/>
            <w:vAlign w:val="bottom"/>
            <w:hideMark/>
          </w:tcPr>
          <w:p w14:paraId="4AAA9BF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9.825</w:t>
            </w:r>
          </w:p>
        </w:tc>
        <w:tc>
          <w:tcPr>
            <w:tcW w:w="1540" w:type="dxa"/>
            <w:tcBorders>
              <w:top w:val="nil"/>
              <w:left w:val="nil"/>
              <w:bottom w:val="single" w:sz="4" w:space="0" w:color="auto"/>
              <w:right w:val="single" w:sz="4" w:space="0" w:color="auto"/>
            </w:tcBorders>
            <w:shd w:val="clear" w:color="auto" w:fill="auto"/>
            <w:noWrap/>
            <w:vAlign w:val="bottom"/>
            <w:hideMark/>
          </w:tcPr>
          <w:p w14:paraId="0E2F276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21.293</w:t>
            </w:r>
          </w:p>
        </w:tc>
        <w:tc>
          <w:tcPr>
            <w:tcW w:w="1440" w:type="dxa"/>
            <w:tcBorders>
              <w:top w:val="nil"/>
              <w:left w:val="nil"/>
              <w:bottom w:val="single" w:sz="4" w:space="0" w:color="auto"/>
              <w:right w:val="single" w:sz="12" w:space="0" w:color="auto"/>
            </w:tcBorders>
            <w:shd w:val="clear" w:color="auto" w:fill="auto"/>
            <w:noWrap/>
            <w:vAlign w:val="bottom"/>
            <w:hideMark/>
          </w:tcPr>
          <w:p w14:paraId="42087DBA"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46.739</w:t>
            </w:r>
          </w:p>
        </w:tc>
      </w:tr>
      <w:tr w:rsidR="00E65191" w:rsidRPr="00B775DE" w14:paraId="1DD1C7AD" w14:textId="77777777" w:rsidTr="00C21643">
        <w:trPr>
          <w:trHeight w:val="300"/>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645115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2032</w:t>
            </w:r>
          </w:p>
        </w:tc>
        <w:tc>
          <w:tcPr>
            <w:tcW w:w="1540" w:type="dxa"/>
            <w:tcBorders>
              <w:top w:val="nil"/>
              <w:left w:val="nil"/>
              <w:bottom w:val="single" w:sz="4" w:space="0" w:color="auto"/>
              <w:right w:val="single" w:sz="4" w:space="0" w:color="auto"/>
            </w:tcBorders>
            <w:shd w:val="clear" w:color="auto" w:fill="auto"/>
            <w:noWrap/>
            <w:vAlign w:val="bottom"/>
            <w:hideMark/>
          </w:tcPr>
          <w:p w14:paraId="02B60F4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14.152</w:t>
            </w:r>
          </w:p>
        </w:tc>
        <w:tc>
          <w:tcPr>
            <w:tcW w:w="1540" w:type="dxa"/>
            <w:tcBorders>
              <w:top w:val="nil"/>
              <w:left w:val="nil"/>
              <w:bottom w:val="single" w:sz="4" w:space="0" w:color="auto"/>
              <w:right w:val="single" w:sz="4" w:space="0" w:color="auto"/>
            </w:tcBorders>
            <w:shd w:val="clear" w:color="auto" w:fill="auto"/>
            <w:noWrap/>
            <w:vAlign w:val="bottom"/>
            <w:hideMark/>
          </w:tcPr>
          <w:p w14:paraId="1D7572E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9.824</w:t>
            </w:r>
          </w:p>
        </w:tc>
        <w:tc>
          <w:tcPr>
            <w:tcW w:w="1540" w:type="dxa"/>
            <w:tcBorders>
              <w:top w:val="nil"/>
              <w:left w:val="nil"/>
              <w:bottom w:val="single" w:sz="4" w:space="0" w:color="auto"/>
              <w:right w:val="single" w:sz="4" w:space="0" w:color="auto"/>
            </w:tcBorders>
            <w:shd w:val="clear" w:color="auto" w:fill="auto"/>
            <w:noWrap/>
            <w:vAlign w:val="bottom"/>
            <w:hideMark/>
          </w:tcPr>
          <w:p w14:paraId="3DC707A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21.160</w:t>
            </w:r>
          </w:p>
        </w:tc>
        <w:tc>
          <w:tcPr>
            <w:tcW w:w="1440" w:type="dxa"/>
            <w:tcBorders>
              <w:top w:val="nil"/>
              <w:left w:val="nil"/>
              <w:bottom w:val="single" w:sz="4" w:space="0" w:color="auto"/>
              <w:right w:val="single" w:sz="12" w:space="0" w:color="auto"/>
            </w:tcBorders>
            <w:shd w:val="clear" w:color="auto" w:fill="auto"/>
            <w:noWrap/>
            <w:vAlign w:val="bottom"/>
            <w:hideMark/>
          </w:tcPr>
          <w:p w14:paraId="177C7CF0"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45.136</w:t>
            </w:r>
          </w:p>
        </w:tc>
      </w:tr>
      <w:tr w:rsidR="00E65191" w:rsidRPr="00B775DE" w14:paraId="69B6CBCC" w14:textId="77777777" w:rsidTr="00C21643">
        <w:trPr>
          <w:trHeight w:val="300"/>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3E5EC1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2033</w:t>
            </w:r>
          </w:p>
        </w:tc>
        <w:tc>
          <w:tcPr>
            <w:tcW w:w="1540" w:type="dxa"/>
            <w:tcBorders>
              <w:top w:val="nil"/>
              <w:left w:val="nil"/>
              <w:bottom w:val="single" w:sz="4" w:space="0" w:color="auto"/>
              <w:right w:val="single" w:sz="4" w:space="0" w:color="auto"/>
            </w:tcBorders>
            <w:shd w:val="clear" w:color="auto" w:fill="auto"/>
            <w:noWrap/>
            <w:vAlign w:val="bottom"/>
            <w:hideMark/>
          </w:tcPr>
          <w:p w14:paraId="769E5F8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12.662</w:t>
            </w:r>
          </w:p>
        </w:tc>
        <w:tc>
          <w:tcPr>
            <w:tcW w:w="1540" w:type="dxa"/>
            <w:tcBorders>
              <w:top w:val="nil"/>
              <w:left w:val="nil"/>
              <w:bottom w:val="single" w:sz="4" w:space="0" w:color="auto"/>
              <w:right w:val="single" w:sz="4" w:space="0" w:color="auto"/>
            </w:tcBorders>
            <w:shd w:val="clear" w:color="auto" w:fill="auto"/>
            <w:noWrap/>
            <w:vAlign w:val="bottom"/>
            <w:hideMark/>
          </w:tcPr>
          <w:p w14:paraId="34C3BAF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9.823</w:t>
            </w:r>
          </w:p>
        </w:tc>
        <w:tc>
          <w:tcPr>
            <w:tcW w:w="1540" w:type="dxa"/>
            <w:tcBorders>
              <w:top w:val="nil"/>
              <w:left w:val="nil"/>
              <w:bottom w:val="single" w:sz="4" w:space="0" w:color="auto"/>
              <w:right w:val="single" w:sz="4" w:space="0" w:color="auto"/>
            </w:tcBorders>
            <w:shd w:val="clear" w:color="auto" w:fill="auto"/>
            <w:noWrap/>
            <w:vAlign w:val="bottom"/>
            <w:hideMark/>
          </w:tcPr>
          <w:p w14:paraId="53E7CE5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21.024</w:t>
            </w:r>
          </w:p>
        </w:tc>
        <w:tc>
          <w:tcPr>
            <w:tcW w:w="1440" w:type="dxa"/>
            <w:tcBorders>
              <w:top w:val="nil"/>
              <w:left w:val="nil"/>
              <w:bottom w:val="single" w:sz="4" w:space="0" w:color="auto"/>
              <w:right w:val="single" w:sz="12" w:space="0" w:color="auto"/>
            </w:tcBorders>
            <w:shd w:val="clear" w:color="auto" w:fill="auto"/>
            <w:noWrap/>
            <w:vAlign w:val="bottom"/>
            <w:hideMark/>
          </w:tcPr>
          <w:p w14:paraId="7EE31C0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43.508</w:t>
            </w:r>
          </w:p>
        </w:tc>
      </w:tr>
      <w:tr w:rsidR="00E65191" w:rsidRPr="00B775DE" w14:paraId="449E64F7" w14:textId="77777777" w:rsidTr="00C21643">
        <w:trPr>
          <w:trHeight w:val="315"/>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4B5452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2034</w:t>
            </w:r>
          </w:p>
        </w:tc>
        <w:tc>
          <w:tcPr>
            <w:tcW w:w="1540" w:type="dxa"/>
            <w:tcBorders>
              <w:top w:val="nil"/>
              <w:left w:val="nil"/>
              <w:bottom w:val="single" w:sz="4" w:space="0" w:color="auto"/>
              <w:right w:val="single" w:sz="4" w:space="0" w:color="auto"/>
            </w:tcBorders>
            <w:shd w:val="clear" w:color="auto" w:fill="auto"/>
            <w:noWrap/>
            <w:vAlign w:val="bottom"/>
            <w:hideMark/>
          </w:tcPr>
          <w:p w14:paraId="592B90A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11.150</w:t>
            </w:r>
          </w:p>
        </w:tc>
        <w:tc>
          <w:tcPr>
            <w:tcW w:w="1540" w:type="dxa"/>
            <w:tcBorders>
              <w:top w:val="nil"/>
              <w:left w:val="nil"/>
              <w:bottom w:val="single" w:sz="4" w:space="0" w:color="auto"/>
              <w:right w:val="single" w:sz="4" w:space="0" w:color="auto"/>
            </w:tcBorders>
            <w:shd w:val="clear" w:color="auto" w:fill="auto"/>
            <w:noWrap/>
            <w:vAlign w:val="bottom"/>
            <w:hideMark/>
          </w:tcPr>
          <w:p w14:paraId="775A726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9.821</w:t>
            </w:r>
          </w:p>
        </w:tc>
        <w:tc>
          <w:tcPr>
            <w:tcW w:w="1540" w:type="dxa"/>
            <w:tcBorders>
              <w:top w:val="nil"/>
              <w:left w:val="nil"/>
              <w:bottom w:val="single" w:sz="4" w:space="0" w:color="auto"/>
              <w:right w:val="single" w:sz="4" w:space="0" w:color="auto"/>
            </w:tcBorders>
            <w:shd w:val="clear" w:color="auto" w:fill="auto"/>
            <w:noWrap/>
            <w:vAlign w:val="bottom"/>
            <w:hideMark/>
          </w:tcPr>
          <w:p w14:paraId="63E3915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20.885</w:t>
            </w:r>
          </w:p>
        </w:tc>
        <w:tc>
          <w:tcPr>
            <w:tcW w:w="1440" w:type="dxa"/>
            <w:tcBorders>
              <w:top w:val="nil"/>
              <w:left w:val="nil"/>
              <w:bottom w:val="single" w:sz="4" w:space="0" w:color="auto"/>
              <w:right w:val="single" w:sz="12" w:space="0" w:color="auto"/>
            </w:tcBorders>
            <w:shd w:val="clear" w:color="auto" w:fill="auto"/>
            <w:noWrap/>
            <w:vAlign w:val="bottom"/>
            <w:hideMark/>
          </w:tcPr>
          <w:p w14:paraId="2C4A976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41.856</w:t>
            </w:r>
          </w:p>
        </w:tc>
      </w:tr>
      <w:tr w:rsidR="00E65191" w:rsidRPr="00B775DE" w14:paraId="292CE870" w14:textId="77777777" w:rsidTr="00C21643">
        <w:trPr>
          <w:trHeight w:val="315"/>
        </w:trPr>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0B9433D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2035</w:t>
            </w:r>
          </w:p>
        </w:tc>
        <w:tc>
          <w:tcPr>
            <w:tcW w:w="1540" w:type="dxa"/>
            <w:tcBorders>
              <w:top w:val="nil"/>
              <w:left w:val="nil"/>
              <w:bottom w:val="single" w:sz="4" w:space="0" w:color="auto"/>
              <w:right w:val="single" w:sz="4" w:space="0" w:color="auto"/>
            </w:tcBorders>
            <w:shd w:val="clear" w:color="auto" w:fill="auto"/>
            <w:noWrap/>
            <w:vAlign w:val="bottom"/>
            <w:hideMark/>
          </w:tcPr>
          <w:p w14:paraId="4F94BBD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9.616</w:t>
            </w:r>
          </w:p>
        </w:tc>
        <w:tc>
          <w:tcPr>
            <w:tcW w:w="1540" w:type="dxa"/>
            <w:tcBorders>
              <w:top w:val="nil"/>
              <w:left w:val="nil"/>
              <w:bottom w:val="single" w:sz="4" w:space="0" w:color="auto"/>
              <w:right w:val="single" w:sz="4" w:space="0" w:color="auto"/>
            </w:tcBorders>
            <w:shd w:val="clear" w:color="auto" w:fill="auto"/>
            <w:noWrap/>
            <w:vAlign w:val="bottom"/>
            <w:hideMark/>
          </w:tcPr>
          <w:p w14:paraId="17F6AB3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9.820</w:t>
            </w:r>
          </w:p>
        </w:tc>
        <w:tc>
          <w:tcPr>
            <w:tcW w:w="1540" w:type="dxa"/>
            <w:tcBorders>
              <w:top w:val="nil"/>
              <w:left w:val="nil"/>
              <w:bottom w:val="single" w:sz="4" w:space="0" w:color="auto"/>
              <w:right w:val="single" w:sz="4" w:space="0" w:color="auto"/>
            </w:tcBorders>
            <w:shd w:val="clear" w:color="auto" w:fill="auto"/>
            <w:noWrap/>
            <w:vAlign w:val="bottom"/>
            <w:hideMark/>
          </w:tcPr>
          <w:p w14:paraId="6D13A98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kern w:val="0"/>
                <w:sz w:val="20"/>
                <w:szCs w:val="24"/>
              </w:rPr>
              <w:t>20.743</w:t>
            </w:r>
          </w:p>
        </w:tc>
        <w:tc>
          <w:tcPr>
            <w:tcW w:w="1440" w:type="dxa"/>
            <w:tcBorders>
              <w:top w:val="nil"/>
              <w:left w:val="nil"/>
              <w:bottom w:val="single" w:sz="4" w:space="0" w:color="auto"/>
              <w:right w:val="single" w:sz="12" w:space="0" w:color="auto"/>
            </w:tcBorders>
            <w:shd w:val="clear" w:color="auto" w:fill="auto"/>
            <w:noWrap/>
            <w:vAlign w:val="bottom"/>
            <w:hideMark/>
          </w:tcPr>
          <w:p w14:paraId="265BC1F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lang w:val="en-US"/>
              </w:rPr>
            </w:pPr>
            <w:r w:rsidRPr="00B775DE">
              <w:rPr>
                <w:rFonts w:ascii="Arial" w:eastAsia="Times New Roman" w:hAnsi="Arial" w:cs="Times New Roman"/>
                <w:b/>
                <w:kern w:val="0"/>
                <w:sz w:val="20"/>
                <w:szCs w:val="24"/>
              </w:rPr>
              <w:t>40.179</w:t>
            </w:r>
          </w:p>
        </w:tc>
      </w:tr>
      <w:bookmarkEnd w:id="64"/>
    </w:tbl>
    <w:p w14:paraId="3ADDE40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6D80F9F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kern w:val="0"/>
          <w:sz w:val="20"/>
          <w:szCs w:val="24"/>
        </w:rPr>
        <w:t>(*) izhodiščno leto za izračun scenarija razvoja ravnanja s komunalnimi odpadki;</w:t>
      </w:r>
    </w:p>
    <w:p w14:paraId="08025F6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kern w:val="0"/>
          <w:sz w:val="20"/>
          <w:szCs w:val="24"/>
        </w:rPr>
        <w:t>(**) leto za katerega je določena največja letna količina gorljivih sestavin, ki nastanejo po mehanski obdelavi ločeno zbranih komunalnih odpadkov, ki so prevzeti izven okvira storitev javne službe zbiranja.</w:t>
      </w:r>
    </w:p>
    <w:p w14:paraId="5E1206BF"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499A68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5974EE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5. del - predvideno izpolnjevanje ciljev recikliranja odpadkov, ki se nanašajo na komunalne odpadke</w:t>
      </w:r>
    </w:p>
    <w:p w14:paraId="58BAF27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6F4DDC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AED029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18A53C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2BB92E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0FEF9C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0C0976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77C24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09DA28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A70A96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F207DA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Izpolnjevanje cilja </w:t>
      </w:r>
      <w:r w:rsidRPr="00B775DE">
        <w:rPr>
          <w:rFonts w:ascii="Arial" w:eastAsia="Times New Roman" w:hAnsi="Arial" w:cs="Times New Roman"/>
          <w:b/>
          <w:i/>
          <w:kern w:val="0"/>
          <w:sz w:val="20"/>
          <w:szCs w:val="24"/>
        </w:rPr>
        <w:t>Direktive 2008/98/ES</w:t>
      </w:r>
      <w:r w:rsidRPr="00B775DE">
        <w:rPr>
          <w:rFonts w:ascii="Arial" w:eastAsia="Times New Roman" w:hAnsi="Arial" w:cs="Times New Roman"/>
          <w:b/>
          <w:kern w:val="0"/>
          <w:sz w:val="20"/>
          <w:szCs w:val="24"/>
        </w:rPr>
        <w:t>:</w:t>
      </w:r>
      <w:bookmarkStart w:id="65" w:name="_Hlk177308598"/>
    </w:p>
    <w:bookmarkEnd w:id="65"/>
    <w:p w14:paraId="0C8185A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FF20A0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noProof/>
          <w:kern w:val="0"/>
          <w:sz w:val="20"/>
          <w:szCs w:val="24"/>
          <w:lang w:eastAsia="sl-SI"/>
        </w:rPr>
        <w:drawing>
          <wp:anchor distT="0" distB="0" distL="114300" distR="114300" simplePos="0" relativeHeight="251659264" behindDoc="0" locked="0" layoutInCell="1" allowOverlap="1" wp14:anchorId="74155A15" wp14:editId="722DD67B">
            <wp:simplePos x="0" y="0"/>
            <wp:positionH relativeFrom="column">
              <wp:posOffset>0</wp:posOffset>
            </wp:positionH>
            <wp:positionV relativeFrom="paragraph">
              <wp:posOffset>0</wp:posOffset>
            </wp:positionV>
            <wp:extent cx="4943475" cy="2990850"/>
            <wp:effectExtent l="0" t="0" r="0" b="0"/>
            <wp:wrapNone/>
            <wp:docPr id="4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43475" cy="2990850"/>
                    </a:xfrm>
                    <a:prstGeom prst="rect">
                      <a:avLst/>
                    </a:prstGeom>
                    <a:noFill/>
                  </pic:spPr>
                </pic:pic>
              </a:graphicData>
            </a:graphic>
          </wp:anchor>
        </w:drawing>
      </w:r>
    </w:p>
    <w:p w14:paraId="6378642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CA6CDF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6382D2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428583A"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ACD91F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B65BC5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8F67ED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36CCAE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FB1071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569CAE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69A000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D00971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AB01E5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188240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EDA09A4"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DB092CB"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9FC7B1E"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60C1406"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8691A3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31EDF34"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0265D597"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7BFB389"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r w:rsidRPr="00B775DE">
        <w:rPr>
          <w:rFonts w:ascii="Arial" w:eastAsia="Times New Roman" w:hAnsi="Arial" w:cs="Times New Roman"/>
          <w:b/>
          <w:kern w:val="0"/>
          <w:sz w:val="20"/>
          <w:szCs w:val="24"/>
        </w:rPr>
        <w:t xml:space="preserve">Izpolnjevanje ciljev </w:t>
      </w:r>
      <w:r w:rsidRPr="00B775DE">
        <w:rPr>
          <w:rFonts w:ascii="Arial" w:eastAsia="Times New Roman" w:hAnsi="Arial" w:cs="Times New Roman"/>
          <w:b/>
          <w:i/>
          <w:kern w:val="0"/>
          <w:sz w:val="20"/>
          <w:szCs w:val="24"/>
        </w:rPr>
        <w:t>Uredbe (EU) o embalaži in odpadni embalaži 2024/NN/ES</w:t>
      </w:r>
      <w:r w:rsidRPr="00B775DE">
        <w:rPr>
          <w:rFonts w:ascii="Arial" w:eastAsia="Times New Roman" w:hAnsi="Arial" w:cs="Times New Roman"/>
          <w:b/>
          <w:kern w:val="0"/>
          <w:sz w:val="20"/>
          <w:szCs w:val="24"/>
        </w:rPr>
        <w:t>:</w:t>
      </w:r>
    </w:p>
    <w:p w14:paraId="305752A8"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10AD73E" w14:textId="77777777" w:rsidR="00E65191" w:rsidRPr="00B775DE" w:rsidRDefault="00E65191" w:rsidP="00E65191">
      <w:pPr>
        <w:tabs>
          <w:tab w:val="left" w:pos="708"/>
        </w:tabs>
        <w:spacing w:before="40" w:after="40" w:line="240" w:lineRule="auto"/>
        <w:jc w:val="both"/>
        <w:rPr>
          <w:rFonts w:ascii="Arial" w:eastAsia="Times New Roman" w:hAnsi="Arial" w:cs="Times New Roman"/>
          <w:b/>
          <w:bCs/>
          <w:kern w:val="0"/>
          <w:sz w:val="20"/>
          <w:szCs w:val="24"/>
        </w:rPr>
      </w:pPr>
      <w:r w:rsidRPr="00B775DE">
        <w:rPr>
          <w:rFonts w:ascii="Arial" w:eastAsia="Times New Roman" w:hAnsi="Arial" w:cs="Times New Roman"/>
          <w:noProof/>
          <w:kern w:val="0"/>
          <w:sz w:val="20"/>
          <w:szCs w:val="24"/>
          <w:lang w:eastAsia="sl-SI"/>
        </w:rPr>
        <w:drawing>
          <wp:anchor distT="0" distB="0" distL="114300" distR="114300" simplePos="0" relativeHeight="251660288" behindDoc="0" locked="0" layoutInCell="1" allowOverlap="1" wp14:anchorId="638A1A74" wp14:editId="4425B207">
            <wp:simplePos x="0" y="0"/>
            <wp:positionH relativeFrom="column">
              <wp:posOffset>100965</wp:posOffset>
            </wp:positionH>
            <wp:positionV relativeFrom="paragraph">
              <wp:posOffset>78105</wp:posOffset>
            </wp:positionV>
            <wp:extent cx="3502660" cy="2252980"/>
            <wp:effectExtent l="0" t="0" r="0" b="0"/>
            <wp:wrapNone/>
            <wp:docPr id="4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2660" cy="2252980"/>
                    </a:xfrm>
                    <a:prstGeom prst="rect">
                      <a:avLst/>
                    </a:prstGeom>
                    <a:noFill/>
                  </pic:spPr>
                </pic:pic>
              </a:graphicData>
            </a:graphic>
          </wp:anchor>
        </w:drawing>
      </w:r>
    </w:p>
    <w:p w14:paraId="37F021B1"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124957AC"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p>
    <w:p w14:paraId="22B5293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AFA102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6494E8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5556B27"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8FC8B2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0B73957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C3A9DF8"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1FCB30D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11CE0B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BE508E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C93192C"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3239A0F9"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7E1513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9F48B6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noProof/>
          <w:kern w:val="0"/>
          <w:sz w:val="20"/>
          <w:szCs w:val="24"/>
          <w:lang w:eastAsia="sl-SI"/>
        </w:rPr>
        <w:lastRenderedPageBreak/>
        <w:drawing>
          <wp:inline distT="0" distB="0" distL="0" distR="0" wp14:anchorId="752B80DE" wp14:editId="20FBCC0C">
            <wp:extent cx="3757930" cy="246316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7930" cy="2463165"/>
                    </a:xfrm>
                    <a:prstGeom prst="rect">
                      <a:avLst/>
                    </a:prstGeom>
                    <a:noFill/>
                    <a:ln>
                      <a:noFill/>
                    </a:ln>
                  </pic:spPr>
                </pic:pic>
              </a:graphicData>
            </a:graphic>
          </wp:inline>
        </w:drawing>
      </w:r>
    </w:p>
    <w:p w14:paraId="45940C7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BAFE1BD"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noProof/>
          <w:kern w:val="0"/>
          <w:sz w:val="20"/>
          <w:szCs w:val="24"/>
          <w:lang w:eastAsia="sl-SI"/>
        </w:rPr>
        <w:drawing>
          <wp:inline distT="0" distB="0" distL="0" distR="0" wp14:anchorId="76CFA486" wp14:editId="16E7A36A">
            <wp:extent cx="3879850" cy="2536825"/>
            <wp:effectExtent l="0" t="0" r="0" b="0"/>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9850" cy="2536825"/>
                    </a:xfrm>
                    <a:prstGeom prst="rect">
                      <a:avLst/>
                    </a:prstGeom>
                    <a:noFill/>
                    <a:ln>
                      <a:noFill/>
                    </a:ln>
                  </pic:spPr>
                </pic:pic>
              </a:graphicData>
            </a:graphic>
          </wp:inline>
        </w:drawing>
      </w:r>
    </w:p>
    <w:p w14:paraId="0573F0B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BE598C2"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p>
    <w:p w14:paraId="422217E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r w:rsidRPr="00B775DE">
        <w:rPr>
          <w:rFonts w:ascii="Arial" w:eastAsia="Times New Roman" w:hAnsi="Arial" w:cs="Times New Roman"/>
          <w:noProof/>
          <w:kern w:val="0"/>
          <w:sz w:val="20"/>
          <w:szCs w:val="24"/>
          <w:lang w:eastAsia="sl-SI"/>
        </w:rPr>
        <w:drawing>
          <wp:inline distT="0" distB="0" distL="0" distR="0" wp14:anchorId="4F74E15D" wp14:editId="51F68E0B">
            <wp:extent cx="4133215" cy="2404745"/>
            <wp:effectExtent l="0" t="0" r="0" b="0"/>
            <wp:docPr id="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33215" cy="2404745"/>
                    </a:xfrm>
                    <a:prstGeom prst="rect">
                      <a:avLst/>
                    </a:prstGeom>
                    <a:noFill/>
                    <a:ln>
                      <a:noFill/>
                    </a:ln>
                  </pic:spPr>
                </pic:pic>
              </a:graphicData>
            </a:graphic>
          </wp:inline>
        </w:drawing>
      </w:r>
    </w:p>
    <w:p w14:paraId="30FADE91"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233933A0"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647E378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5924E492" w14:textId="77777777" w:rsidR="00E65191" w:rsidRPr="00B775DE" w:rsidRDefault="00E65191" w:rsidP="00E65191">
      <w:pPr>
        <w:tabs>
          <w:tab w:val="left" w:pos="708"/>
        </w:tabs>
        <w:spacing w:before="40" w:after="40" w:line="240" w:lineRule="auto"/>
        <w:jc w:val="both"/>
        <w:rPr>
          <w:rFonts w:ascii="Arial" w:eastAsia="Times New Roman" w:hAnsi="Arial" w:cs="Times New Roman"/>
          <w:b/>
          <w:kern w:val="0"/>
          <w:sz w:val="20"/>
          <w:szCs w:val="24"/>
        </w:rPr>
      </w:pPr>
      <w:bookmarkStart w:id="66" w:name="_Hlk179306295"/>
      <w:r w:rsidRPr="00B775DE">
        <w:rPr>
          <w:rFonts w:ascii="Arial" w:eastAsia="Times New Roman" w:hAnsi="Arial" w:cs="Times New Roman"/>
          <w:b/>
          <w:kern w:val="0"/>
          <w:sz w:val="20"/>
          <w:szCs w:val="24"/>
        </w:rPr>
        <w:lastRenderedPageBreak/>
        <w:t>6. del – grafični prikaz največjih letnih količin gorljivih sestavin, ki nastanejo po mehanski obdelavi komunalnih odpadkov, ki so zbrani v okviru javne službe zbiranja, in se sežigajo v sežigalnicah gospodarske javne službe kot storitev gospodarske javne službe:</w:t>
      </w:r>
    </w:p>
    <w:bookmarkEnd w:id="66"/>
    <w:p w14:paraId="7761AD85"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794ACA83" w14:textId="77777777" w:rsidR="00E65191" w:rsidRPr="00B775DE"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54805E4" w14:textId="77777777" w:rsidR="00E65191" w:rsidRPr="00E65191" w:rsidRDefault="00E65191" w:rsidP="00E65191">
      <w:pPr>
        <w:tabs>
          <w:tab w:val="left" w:pos="708"/>
        </w:tabs>
        <w:spacing w:before="40" w:after="40" w:line="240" w:lineRule="auto"/>
        <w:jc w:val="both"/>
        <w:rPr>
          <w:rFonts w:ascii="Arial" w:eastAsia="Times New Roman" w:hAnsi="Arial" w:cs="Times New Roman"/>
          <w:kern w:val="0"/>
          <w:sz w:val="20"/>
          <w:szCs w:val="24"/>
          <w:lang w:val="en-US"/>
        </w:rPr>
      </w:pPr>
      <w:r w:rsidRPr="00B775DE">
        <w:rPr>
          <w:rFonts w:ascii="Arial" w:eastAsia="Times New Roman" w:hAnsi="Arial" w:cs="Times New Roman"/>
          <w:noProof/>
          <w:kern w:val="0"/>
          <w:sz w:val="20"/>
          <w:szCs w:val="24"/>
          <w:lang w:eastAsia="sl-SI"/>
        </w:rPr>
        <w:drawing>
          <wp:inline distT="0" distB="0" distL="0" distR="0" wp14:anchorId="7AB40CFE" wp14:editId="686353AC">
            <wp:extent cx="4958080" cy="3208020"/>
            <wp:effectExtent l="0" t="0" r="0" b="0"/>
            <wp:docPr id="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8080" cy="3208020"/>
                    </a:xfrm>
                    <a:prstGeom prst="rect">
                      <a:avLst/>
                    </a:prstGeom>
                    <a:noFill/>
                    <a:ln>
                      <a:noFill/>
                    </a:ln>
                  </pic:spPr>
                </pic:pic>
              </a:graphicData>
            </a:graphic>
          </wp:inline>
        </w:drawing>
      </w:r>
    </w:p>
    <w:bookmarkEnd w:id="0"/>
    <w:bookmarkEnd w:id="59"/>
    <w:p w14:paraId="7716D0DE" w14:textId="77777777" w:rsidR="00E65191" w:rsidRPr="00E65191" w:rsidRDefault="00E65191" w:rsidP="00E65191">
      <w:pPr>
        <w:tabs>
          <w:tab w:val="left" w:pos="708"/>
        </w:tabs>
        <w:spacing w:before="40" w:after="40" w:line="240" w:lineRule="auto"/>
        <w:jc w:val="both"/>
        <w:rPr>
          <w:rFonts w:ascii="Arial" w:eastAsia="Times New Roman" w:hAnsi="Arial" w:cs="Times New Roman"/>
          <w:kern w:val="0"/>
          <w:sz w:val="20"/>
          <w:szCs w:val="24"/>
        </w:rPr>
      </w:pPr>
    </w:p>
    <w:p w14:paraId="4157DB12" w14:textId="77777777" w:rsidR="00EC6AE9" w:rsidRDefault="00EC6AE9"/>
    <w:sectPr w:rsidR="00EC6AE9" w:rsidSect="00E65191">
      <w:headerReference w:type="default" r:id="rId21"/>
      <w:headerReference w:type="first" r:id="rId22"/>
      <w:pgSz w:w="11900" w:h="16840" w:code="9"/>
      <w:pgMar w:top="1701" w:right="1701" w:bottom="1134" w:left="1701" w:header="964" w:footer="79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Uporabnik sistema Windows" w:date="2025-04-04T09:51:00Z" w:initials="as">
    <w:p w14:paraId="12F53E33" w14:textId="77777777" w:rsidR="00FC42C4" w:rsidRDefault="00FC42C4">
      <w:pPr>
        <w:pStyle w:val="Pripombabesedilo"/>
      </w:pPr>
      <w:r>
        <w:rPr>
          <w:rStyle w:val="Pripombasklic"/>
        </w:rPr>
        <w:annotationRef/>
      </w:r>
      <w:r>
        <w:t>Ta je tudi uporabnik?</w:t>
      </w:r>
    </w:p>
  </w:comment>
  <w:comment w:id="19" w:author="Uporabnik sistema Windows" w:date="2025-04-04T10:26:00Z" w:initials="as">
    <w:p w14:paraId="2D49F634" w14:textId="77777777" w:rsidR="00FC42C4" w:rsidRDefault="00FC42C4">
      <w:pPr>
        <w:pStyle w:val="Pripombabesedilo"/>
      </w:pPr>
      <w:r>
        <w:rPr>
          <w:rStyle w:val="Pripombasklic"/>
        </w:rPr>
        <w:annotationRef/>
      </w:r>
      <w:r>
        <w:t>Pogoji koncesije so po dosedanjem koncesijskem aktu za tega koncesionarja. Zanj novi koncesijski akt ne velja, ampak veljajo »stara pravila igre«</w:t>
      </w:r>
    </w:p>
  </w:comment>
  <w:comment w:id="20" w:author="Uporabnik sistema Windows" w:date="2025-04-04T09:56:00Z" w:initials="as">
    <w:p w14:paraId="73767464" w14:textId="77777777" w:rsidR="00C22345" w:rsidRDefault="00C22345" w:rsidP="00C22345">
      <w:pPr>
        <w:pStyle w:val="Pripombabesedilo"/>
      </w:pPr>
      <w:r>
        <w:rPr>
          <w:rStyle w:val="Pripombasklic"/>
        </w:rPr>
        <w:annotationRef/>
      </w:r>
      <w:r>
        <w:t xml:space="preserve">To je tudi prehodna določba, saj ureja »začetno ceno«, torej prvič določa ceno.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53E33" w15:done="0"/>
  <w15:commentEx w15:paraId="2D49F634" w15:done="0"/>
  <w15:commentEx w15:paraId="73767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53E33" w16cid:durableId="2B9E4A99"/>
  <w16cid:commentId w16cid:paraId="2D49F634" w16cid:durableId="2B9E4A9B"/>
  <w16cid:commentId w16cid:paraId="73767464" w16cid:durableId="2B9E4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BECE" w14:textId="77777777" w:rsidR="00FC42C4" w:rsidRDefault="00FC42C4">
      <w:pPr>
        <w:spacing w:after="0" w:line="240" w:lineRule="auto"/>
      </w:pPr>
      <w:r>
        <w:separator/>
      </w:r>
    </w:p>
  </w:endnote>
  <w:endnote w:type="continuationSeparator" w:id="0">
    <w:p w14:paraId="01FB5598" w14:textId="77777777" w:rsidR="00FC42C4" w:rsidRDefault="00FC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D813" w14:textId="77777777" w:rsidR="00FC42C4" w:rsidRDefault="00FC42C4">
      <w:pPr>
        <w:spacing w:after="0" w:line="240" w:lineRule="auto"/>
      </w:pPr>
      <w:r>
        <w:separator/>
      </w:r>
    </w:p>
  </w:footnote>
  <w:footnote w:type="continuationSeparator" w:id="0">
    <w:p w14:paraId="5EDBB71D" w14:textId="77777777" w:rsidR="00FC42C4" w:rsidRDefault="00FC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C237" w14:textId="77777777" w:rsidR="00FC42C4" w:rsidRPr="00110CBD" w:rsidRDefault="00FC42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C42C4" w:rsidRPr="008F3500" w14:paraId="47330888" w14:textId="77777777">
      <w:trPr>
        <w:cantSplit/>
        <w:trHeight w:hRule="exact" w:val="847"/>
      </w:trPr>
      <w:tc>
        <w:tcPr>
          <w:tcW w:w="649" w:type="dxa"/>
        </w:tcPr>
        <w:p w14:paraId="0AE87FD1" w14:textId="77777777" w:rsidR="00FC42C4" w:rsidRDefault="00FC42C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47C1F30" w14:textId="77777777" w:rsidR="00FC42C4" w:rsidRPr="006D42D9" w:rsidRDefault="00FC42C4">
          <w:pPr>
            <w:rPr>
              <w:rFonts w:ascii="Republika" w:hAnsi="Republika"/>
              <w:sz w:val="60"/>
              <w:szCs w:val="60"/>
            </w:rPr>
          </w:pPr>
        </w:p>
        <w:p w14:paraId="78C538FE" w14:textId="77777777" w:rsidR="00FC42C4" w:rsidRPr="006D42D9" w:rsidRDefault="00FC42C4">
          <w:pPr>
            <w:rPr>
              <w:rFonts w:ascii="Republika" w:hAnsi="Republika"/>
              <w:sz w:val="60"/>
              <w:szCs w:val="60"/>
            </w:rPr>
          </w:pPr>
        </w:p>
        <w:p w14:paraId="41287032" w14:textId="77777777" w:rsidR="00FC42C4" w:rsidRPr="006D42D9" w:rsidRDefault="00FC42C4">
          <w:pPr>
            <w:rPr>
              <w:rFonts w:ascii="Republika" w:hAnsi="Republika"/>
              <w:sz w:val="60"/>
              <w:szCs w:val="60"/>
            </w:rPr>
          </w:pPr>
        </w:p>
        <w:p w14:paraId="4764F4D2" w14:textId="77777777" w:rsidR="00FC42C4" w:rsidRPr="006D42D9" w:rsidRDefault="00FC42C4">
          <w:pPr>
            <w:rPr>
              <w:rFonts w:ascii="Republika" w:hAnsi="Republika"/>
              <w:sz w:val="60"/>
              <w:szCs w:val="60"/>
            </w:rPr>
          </w:pPr>
        </w:p>
        <w:p w14:paraId="07110125" w14:textId="77777777" w:rsidR="00FC42C4" w:rsidRPr="006D42D9" w:rsidRDefault="00FC42C4">
          <w:pPr>
            <w:rPr>
              <w:rFonts w:ascii="Republika" w:hAnsi="Republika"/>
              <w:sz w:val="60"/>
              <w:szCs w:val="60"/>
            </w:rPr>
          </w:pPr>
        </w:p>
        <w:p w14:paraId="3265AEA6" w14:textId="77777777" w:rsidR="00FC42C4" w:rsidRPr="006D42D9" w:rsidRDefault="00FC42C4">
          <w:pPr>
            <w:rPr>
              <w:rFonts w:ascii="Republika" w:hAnsi="Republika"/>
              <w:sz w:val="60"/>
              <w:szCs w:val="60"/>
            </w:rPr>
          </w:pPr>
        </w:p>
        <w:p w14:paraId="01E9F7B7" w14:textId="77777777" w:rsidR="00FC42C4" w:rsidRPr="006D42D9" w:rsidRDefault="00FC42C4">
          <w:pPr>
            <w:rPr>
              <w:rFonts w:ascii="Republika" w:hAnsi="Republika"/>
              <w:sz w:val="60"/>
              <w:szCs w:val="60"/>
            </w:rPr>
          </w:pPr>
        </w:p>
        <w:p w14:paraId="07D0E00E" w14:textId="77777777" w:rsidR="00FC42C4" w:rsidRPr="006D42D9" w:rsidRDefault="00FC42C4">
          <w:pPr>
            <w:rPr>
              <w:rFonts w:ascii="Republika" w:hAnsi="Republika"/>
              <w:sz w:val="60"/>
              <w:szCs w:val="60"/>
            </w:rPr>
          </w:pPr>
        </w:p>
        <w:p w14:paraId="733031E2" w14:textId="77777777" w:rsidR="00FC42C4" w:rsidRPr="006D42D9" w:rsidRDefault="00FC42C4">
          <w:pPr>
            <w:rPr>
              <w:rFonts w:ascii="Republika" w:hAnsi="Republika"/>
              <w:sz w:val="60"/>
              <w:szCs w:val="60"/>
            </w:rPr>
          </w:pPr>
        </w:p>
        <w:p w14:paraId="1AF68FCC" w14:textId="77777777" w:rsidR="00FC42C4" w:rsidRPr="006D42D9" w:rsidRDefault="00FC42C4">
          <w:pPr>
            <w:rPr>
              <w:rFonts w:ascii="Republika" w:hAnsi="Republika"/>
              <w:sz w:val="60"/>
              <w:szCs w:val="60"/>
            </w:rPr>
          </w:pPr>
        </w:p>
        <w:p w14:paraId="7FF7549B" w14:textId="77777777" w:rsidR="00FC42C4" w:rsidRPr="006D42D9" w:rsidRDefault="00FC42C4">
          <w:pPr>
            <w:rPr>
              <w:rFonts w:ascii="Republika" w:hAnsi="Republika"/>
              <w:sz w:val="60"/>
              <w:szCs w:val="60"/>
            </w:rPr>
          </w:pPr>
        </w:p>
        <w:p w14:paraId="4E75B3CC" w14:textId="77777777" w:rsidR="00FC42C4" w:rsidRPr="006D42D9" w:rsidRDefault="00FC42C4">
          <w:pPr>
            <w:rPr>
              <w:rFonts w:ascii="Republika" w:hAnsi="Republika"/>
              <w:sz w:val="60"/>
              <w:szCs w:val="60"/>
            </w:rPr>
          </w:pPr>
        </w:p>
        <w:p w14:paraId="147F6BC2" w14:textId="77777777" w:rsidR="00FC42C4" w:rsidRPr="006D42D9" w:rsidRDefault="00FC42C4">
          <w:pPr>
            <w:rPr>
              <w:rFonts w:ascii="Republika" w:hAnsi="Republika"/>
              <w:sz w:val="60"/>
              <w:szCs w:val="60"/>
            </w:rPr>
          </w:pPr>
        </w:p>
        <w:p w14:paraId="7755B25D" w14:textId="77777777" w:rsidR="00FC42C4" w:rsidRPr="006D42D9" w:rsidRDefault="00FC42C4">
          <w:pPr>
            <w:rPr>
              <w:rFonts w:ascii="Republika" w:hAnsi="Republika"/>
              <w:sz w:val="60"/>
              <w:szCs w:val="60"/>
            </w:rPr>
          </w:pPr>
        </w:p>
        <w:p w14:paraId="2DA87F2A" w14:textId="77777777" w:rsidR="00FC42C4" w:rsidRPr="006D42D9" w:rsidRDefault="00FC42C4">
          <w:pPr>
            <w:rPr>
              <w:rFonts w:ascii="Republika" w:hAnsi="Republika"/>
              <w:sz w:val="60"/>
              <w:szCs w:val="60"/>
            </w:rPr>
          </w:pPr>
        </w:p>
        <w:p w14:paraId="34233EF5" w14:textId="77777777" w:rsidR="00FC42C4" w:rsidRPr="006D42D9" w:rsidRDefault="00FC42C4">
          <w:pPr>
            <w:rPr>
              <w:rFonts w:ascii="Republika" w:hAnsi="Republika"/>
              <w:sz w:val="60"/>
              <w:szCs w:val="60"/>
            </w:rPr>
          </w:pPr>
        </w:p>
      </w:tc>
    </w:tr>
  </w:tbl>
  <w:p w14:paraId="0BDB26D8" w14:textId="5AA18713" w:rsidR="00FC42C4" w:rsidRDefault="003B47BF">
    <w:pPr>
      <w:autoSpaceDE w:val="0"/>
      <w:autoSpaceDN w:val="0"/>
      <w:adjustRightInd w:val="0"/>
      <w:spacing w:line="240" w:lineRule="auto"/>
      <w:rPr>
        <w:rFonts w:ascii="Republika" w:hAnsi="Republika"/>
        <w:b/>
        <w:caps/>
      </w:rPr>
    </w:pPr>
    <w:r>
      <w:rPr>
        <w:rFonts w:ascii="Republika" w:hAnsi="Republika"/>
        <w:noProof/>
        <w:szCs w:val="20"/>
        <w:lang w:eastAsia="sl-SI"/>
      </w:rPr>
      <mc:AlternateContent>
        <mc:Choice Requires="wps">
          <w:drawing>
            <wp:anchor distT="4294967291" distB="4294967291" distL="114300" distR="114300" simplePos="0" relativeHeight="251657728" behindDoc="1" locked="0" layoutInCell="0" allowOverlap="1" wp14:anchorId="42DBC640" wp14:editId="370875F2">
              <wp:simplePos x="0" y="0"/>
              <wp:positionH relativeFrom="column">
                <wp:posOffset>-431800</wp:posOffset>
              </wp:positionH>
              <wp:positionV relativeFrom="page">
                <wp:posOffset>3600449</wp:posOffset>
              </wp:positionV>
              <wp:extent cx="252095" cy="0"/>
              <wp:effectExtent l="0" t="0" r="0" b="0"/>
              <wp:wrapNone/>
              <wp:docPr id="749177472"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785153"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FC42C4" w:rsidRPr="00B95595">
      <w:rPr>
        <w:rFonts w:ascii="Republika" w:hAnsi="Republika"/>
      </w:rPr>
      <w:t>REPUBLIKA SLOVENIJA</w:t>
    </w:r>
    <w:r w:rsidR="00FC42C4">
      <w:rPr>
        <w:rFonts w:ascii="Republika" w:hAnsi="Republika"/>
      </w:rPr>
      <w:br/>
    </w:r>
    <w:r w:rsidR="00FC42C4" w:rsidRPr="00B278FA">
      <w:rPr>
        <w:rFonts w:ascii="Republika" w:hAnsi="Republika"/>
        <w:b/>
        <w:caps/>
      </w:rPr>
      <w:t>Ministrstvo za okolje, podnebje in energijo</w:t>
    </w:r>
  </w:p>
  <w:p w14:paraId="716DF359" w14:textId="77777777" w:rsidR="00FC42C4" w:rsidRDefault="00FC42C4">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221D9718" w14:textId="77777777" w:rsidR="00FC42C4" w:rsidRDefault="00FC42C4">
    <w:pPr>
      <w:pStyle w:val="Glava"/>
      <w:tabs>
        <w:tab w:val="clear" w:pos="4320"/>
        <w:tab w:val="left" w:pos="5112"/>
      </w:tabs>
      <w:spacing w:line="240" w:lineRule="exact"/>
      <w:rPr>
        <w:rFonts w:cs="Arial"/>
        <w:sz w:val="16"/>
        <w:lang w:val="sl-SI"/>
      </w:rPr>
    </w:pPr>
    <w:r>
      <w:rPr>
        <w:rFonts w:cs="Arial"/>
        <w:sz w:val="16"/>
        <w:lang w:val="sl-SI"/>
      </w:rPr>
      <w:tab/>
      <w:t>E: gp.mope@gov.si</w:t>
    </w:r>
  </w:p>
  <w:p w14:paraId="643A2DA3" w14:textId="77777777" w:rsidR="00FC42C4" w:rsidRDefault="00FC42C4">
    <w:pPr>
      <w:pStyle w:val="Glava"/>
      <w:tabs>
        <w:tab w:val="clear" w:pos="4320"/>
        <w:tab w:val="left" w:pos="5112"/>
      </w:tabs>
      <w:spacing w:line="240" w:lineRule="exact"/>
      <w:rPr>
        <w:rFonts w:cs="Arial"/>
        <w:sz w:val="16"/>
        <w:lang w:val="sl-SI"/>
      </w:rPr>
    </w:pPr>
    <w:r>
      <w:rPr>
        <w:rFonts w:cs="Arial"/>
        <w:sz w:val="16"/>
        <w:lang w:val="sl-SI"/>
      </w:rPr>
      <w:tab/>
      <w:t>www.mope.gov.si</w:t>
    </w:r>
  </w:p>
  <w:p w14:paraId="26F5AFB7" w14:textId="77777777" w:rsidR="00FC42C4" w:rsidRPr="008F3500" w:rsidRDefault="00FC42C4">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90"/>
    <w:multiLevelType w:val="hybridMultilevel"/>
    <w:tmpl w:val="9C34F16E"/>
    <w:lvl w:ilvl="0" w:tplc="57ACECC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249FD"/>
    <w:multiLevelType w:val="hybridMultilevel"/>
    <w:tmpl w:val="7EDE8E0E"/>
    <w:lvl w:ilvl="0" w:tplc="6DD6350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D14BAD"/>
    <w:multiLevelType w:val="hybridMultilevel"/>
    <w:tmpl w:val="7E32CD74"/>
    <w:lvl w:ilvl="0" w:tplc="DDC21A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6B7B96"/>
    <w:multiLevelType w:val="hybridMultilevel"/>
    <w:tmpl w:val="E5547C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262B92"/>
    <w:multiLevelType w:val="hybridMultilevel"/>
    <w:tmpl w:val="71E84CF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244675"/>
    <w:multiLevelType w:val="hybridMultilevel"/>
    <w:tmpl w:val="9B5A59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D68C8"/>
    <w:multiLevelType w:val="hybridMultilevel"/>
    <w:tmpl w:val="0F9AF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4A0601"/>
    <w:multiLevelType w:val="hybridMultilevel"/>
    <w:tmpl w:val="0FDCB874"/>
    <w:lvl w:ilvl="0" w:tplc="EC10D028">
      <w:start w:val="1"/>
      <w:numFmt w:val="decimal"/>
      <w:lvlText w:val="%1."/>
      <w:lvlJc w:val="left"/>
      <w:pPr>
        <w:ind w:left="1020" w:hanging="360"/>
      </w:pPr>
    </w:lvl>
    <w:lvl w:ilvl="1" w:tplc="233C0CBC">
      <w:start w:val="1"/>
      <w:numFmt w:val="decimal"/>
      <w:lvlText w:val="%2."/>
      <w:lvlJc w:val="left"/>
      <w:pPr>
        <w:ind w:left="1020" w:hanging="360"/>
      </w:pPr>
    </w:lvl>
    <w:lvl w:ilvl="2" w:tplc="0CFC76F6">
      <w:start w:val="1"/>
      <w:numFmt w:val="decimal"/>
      <w:lvlText w:val="%3."/>
      <w:lvlJc w:val="left"/>
      <w:pPr>
        <w:ind w:left="1020" w:hanging="360"/>
      </w:pPr>
    </w:lvl>
    <w:lvl w:ilvl="3" w:tplc="440E3BA6">
      <w:start w:val="1"/>
      <w:numFmt w:val="decimal"/>
      <w:lvlText w:val="%4."/>
      <w:lvlJc w:val="left"/>
      <w:pPr>
        <w:ind w:left="1020" w:hanging="360"/>
      </w:pPr>
    </w:lvl>
    <w:lvl w:ilvl="4" w:tplc="B324FD88">
      <w:start w:val="1"/>
      <w:numFmt w:val="decimal"/>
      <w:lvlText w:val="%5."/>
      <w:lvlJc w:val="left"/>
      <w:pPr>
        <w:ind w:left="1020" w:hanging="360"/>
      </w:pPr>
    </w:lvl>
    <w:lvl w:ilvl="5" w:tplc="D3727D48">
      <w:start w:val="1"/>
      <w:numFmt w:val="decimal"/>
      <w:lvlText w:val="%6."/>
      <w:lvlJc w:val="left"/>
      <w:pPr>
        <w:ind w:left="1020" w:hanging="360"/>
      </w:pPr>
    </w:lvl>
    <w:lvl w:ilvl="6" w:tplc="956265F0">
      <w:start w:val="1"/>
      <w:numFmt w:val="decimal"/>
      <w:lvlText w:val="%7."/>
      <w:lvlJc w:val="left"/>
      <w:pPr>
        <w:ind w:left="1020" w:hanging="360"/>
      </w:pPr>
    </w:lvl>
    <w:lvl w:ilvl="7" w:tplc="FECECDE2">
      <w:start w:val="1"/>
      <w:numFmt w:val="decimal"/>
      <w:lvlText w:val="%8."/>
      <w:lvlJc w:val="left"/>
      <w:pPr>
        <w:ind w:left="1020" w:hanging="360"/>
      </w:pPr>
    </w:lvl>
    <w:lvl w:ilvl="8" w:tplc="04D836CE">
      <w:start w:val="1"/>
      <w:numFmt w:val="decimal"/>
      <w:lvlText w:val="%9."/>
      <w:lvlJc w:val="left"/>
      <w:pPr>
        <w:ind w:left="1020" w:hanging="360"/>
      </w:pPr>
    </w:lvl>
  </w:abstractNum>
  <w:abstractNum w:abstractNumId="10" w15:restartNumberingAfterBreak="0">
    <w:nsid w:val="2E291FCC"/>
    <w:multiLevelType w:val="hybridMultilevel"/>
    <w:tmpl w:val="E20C6CC2"/>
    <w:lvl w:ilvl="0" w:tplc="ECECBB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7A4AF21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C56661E"/>
    <w:multiLevelType w:val="hybridMultilevel"/>
    <w:tmpl w:val="57049BC2"/>
    <w:lvl w:ilvl="0" w:tplc="77E4C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202BD1"/>
    <w:multiLevelType w:val="hybridMultilevel"/>
    <w:tmpl w:val="480094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49F3EB8"/>
    <w:multiLevelType w:val="hybridMultilevel"/>
    <w:tmpl w:val="8E34C60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F31BCB"/>
    <w:multiLevelType w:val="hybridMultilevel"/>
    <w:tmpl w:val="E274280C"/>
    <w:lvl w:ilvl="0" w:tplc="E91EE9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091C2A"/>
    <w:multiLevelType w:val="hybridMultilevel"/>
    <w:tmpl w:val="66F2EF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1A762D"/>
    <w:multiLevelType w:val="hybridMultilevel"/>
    <w:tmpl w:val="96689D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B33DCB"/>
    <w:multiLevelType w:val="hybridMultilevel"/>
    <w:tmpl w:val="15BAC7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6763DF"/>
    <w:multiLevelType w:val="multilevel"/>
    <w:tmpl w:val="FB0C90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1345AA9"/>
    <w:multiLevelType w:val="hybridMultilevel"/>
    <w:tmpl w:val="4B3457EE"/>
    <w:lvl w:ilvl="0" w:tplc="4A0E80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035DE7"/>
    <w:multiLevelType w:val="hybridMultilevel"/>
    <w:tmpl w:val="1B98DAD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172150"/>
    <w:multiLevelType w:val="hybridMultilevel"/>
    <w:tmpl w:val="2CD097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F82E99"/>
    <w:multiLevelType w:val="hybridMultilevel"/>
    <w:tmpl w:val="3594E088"/>
    <w:lvl w:ilvl="0" w:tplc="06901C2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AD40DD"/>
    <w:multiLevelType w:val="hybridMultilevel"/>
    <w:tmpl w:val="B6904C2C"/>
    <w:lvl w:ilvl="0" w:tplc="04240001">
      <w:start w:val="1"/>
      <w:numFmt w:val="bullet"/>
      <w:lvlText w:val=""/>
      <w:lvlJc w:val="left"/>
      <w:pPr>
        <w:ind w:left="351" w:hanging="705"/>
      </w:pPr>
      <w:rPr>
        <w:rFonts w:ascii="Symbol" w:hAnsi="Symbol" w:hint="default"/>
      </w:rPr>
    </w:lvl>
    <w:lvl w:ilvl="1" w:tplc="FFFFFFFF">
      <w:start w:val="1"/>
      <w:numFmt w:val="bullet"/>
      <w:lvlText w:val="o"/>
      <w:lvlJc w:val="left"/>
      <w:pPr>
        <w:ind w:left="726" w:hanging="360"/>
      </w:pPr>
      <w:rPr>
        <w:rFonts w:ascii="Courier New" w:hAnsi="Courier New" w:cs="Courier New" w:hint="default"/>
      </w:rPr>
    </w:lvl>
    <w:lvl w:ilvl="2" w:tplc="FFFFFFFF">
      <w:start w:val="1"/>
      <w:numFmt w:val="bullet"/>
      <w:lvlText w:val=""/>
      <w:lvlJc w:val="left"/>
      <w:pPr>
        <w:ind w:left="1446" w:hanging="360"/>
      </w:pPr>
      <w:rPr>
        <w:rFonts w:ascii="Wingdings" w:hAnsi="Wingdings" w:hint="default"/>
      </w:rPr>
    </w:lvl>
    <w:lvl w:ilvl="3" w:tplc="FFFFFFFF">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7" w15:restartNumberingAfterBreak="0">
    <w:nsid w:val="7F397A66"/>
    <w:multiLevelType w:val="hybridMultilevel"/>
    <w:tmpl w:val="E97A81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55729204">
    <w:abstractNumId w:val="11"/>
  </w:num>
  <w:num w:numId="2" w16cid:durableId="660543014">
    <w:abstractNumId w:val="20"/>
  </w:num>
  <w:num w:numId="3" w16cid:durableId="2140224334">
    <w:abstractNumId w:val="14"/>
  </w:num>
  <w:num w:numId="4" w16cid:durableId="1533609273">
    <w:abstractNumId w:val="5"/>
  </w:num>
  <w:num w:numId="5" w16cid:durableId="763066408">
    <w:abstractNumId w:val="1"/>
  </w:num>
  <w:num w:numId="6" w16cid:durableId="511142305">
    <w:abstractNumId w:val="7"/>
  </w:num>
  <w:num w:numId="7" w16cid:durableId="1224414466">
    <w:abstractNumId w:val="21"/>
  </w:num>
  <w:num w:numId="8" w16cid:durableId="1210145204">
    <w:abstractNumId w:val="0"/>
  </w:num>
  <w:num w:numId="9" w16cid:durableId="343361212">
    <w:abstractNumId w:val="23"/>
  </w:num>
  <w:num w:numId="10" w16cid:durableId="1853563676">
    <w:abstractNumId w:val="15"/>
  </w:num>
  <w:num w:numId="11" w16cid:durableId="916742475">
    <w:abstractNumId w:val="17"/>
  </w:num>
  <w:num w:numId="12" w16cid:durableId="486290590">
    <w:abstractNumId w:val="26"/>
  </w:num>
  <w:num w:numId="13" w16cid:durableId="1153183036">
    <w:abstractNumId w:val="24"/>
  </w:num>
  <w:num w:numId="14" w16cid:durableId="1245335627">
    <w:abstractNumId w:val="8"/>
  </w:num>
  <w:num w:numId="15" w16cid:durableId="513153622">
    <w:abstractNumId w:val="2"/>
  </w:num>
  <w:num w:numId="16" w16cid:durableId="577249620">
    <w:abstractNumId w:val="9"/>
  </w:num>
  <w:num w:numId="17" w16cid:durableId="592786223">
    <w:abstractNumId w:val="4"/>
  </w:num>
  <w:num w:numId="18" w16cid:durableId="491794534">
    <w:abstractNumId w:val="13"/>
  </w:num>
  <w:num w:numId="19" w16cid:durableId="223495932">
    <w:abstractNumId w:val="27"/>
  </w:num>
  <w:num w:numId="20" w16cid:durableId="446314630">
    <w:abstractNumId w:val="3"/>
  </w:num>
  <w:num w:numId="21" w16cid:durableId="2087722688">
    <w:abstractNumId w:val="16"/>
  </w:num>
  <w:num w:numId="22" w16cid:durableId="1841777883">
    <w:abstractNumId w:val="25"/>
  </w:num>
  <w:num w:numId="23" w16cid:durableId="251011203">
    <w:abstractNumId w:val="12"/>
  </w:num>
  <w:num w:numId="24" w16cid:durableId="1793668825">
    <w:abstractNumId w:val="6"/>
  </w:num>
  <w:num w:numId="25" w16cid:durableId="1317537368">
    <w:abstractNumId w:val="22"/>
  </w:num>
  <w:num w:numId="26" w16cid:durableId="72628084">
    <w:abstractNumId w:val="18"/>
  </w:num>
  <w:num w:numId="27" w16cid:durableId="1576814963">
    <w:abstractNumId w:val="19"/>
  </w:num>
  <w:num w:numId="28" w16cid:durableId="2064981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91"/>
    <w:rsid w:val="00031CAA"/>
    <w:rsid w:val="00097867"/>
    <w:rsid w:val="000B0A87"/>
    <w:rsid w:val="00102C05"/>
    <w:rsid w:val="0015388F"/>
    <w:rsid w:val="001843F5"/>
    <w:rsid w:val="001966E6"/>
    <w:rsid w:val="00196E7F"/>
    <w:rsid w:val="00233442"/>
    <w:rsid w:val="002345A9"/>
    <w:rsid w:val="00261C80"/>
    <w:rsid w:val="00272BEB"/>
    <w:rsid w:val="00285BDD"/>
    <w:rsid w:val="002C4EFD"/>
    <w:rsid w:val="002C65E5"/>
    <w:rsid w:val="002E7447"/>
    <w:rsid w:val="003016BF"/>
    <w:rsid w:val="00333A35"/>
    <w:rsid w:val="00356C29"/>
    <w:rsid w:val="003B47BF"/>
    <w:rsid w:val="003F3AFC"/>
    <w:rsid w:val="00447B7E"/>
    <w:rsid w:val="00486CA0"/>
    <w:rsid w:val="004A21FE"/>
    <w:rsid w:val="00520315"/>
    <w:rsid w:val="005243DA"/>
    <w:rsid w:val="00534250"/>
    <w:rsid w:val="005B15B0"/>
    <w:rsid w:val="005D4850"/>
    <w:rsid w:val="005F2617"/>
    <w:rsid w:val="00722205"/>
    <w:rsid w:val="00743162"/>
    <w:rsid w:val="00755FA5"/>
    <w:rsid w:val="00757825"/>
    <w:rsid w:val="00777A32"/>
    <w:rsid w:val="00782255"/>
    <w:rsid w:val="00793B15"/>
    <w:rsid w:val="007B587D"/>
    <w:rsid w:val="007D0CDF"/>
    <w:rsid w:val="007D42AA"/>
    <w:rsid w:val="007E07A6"/>
    <w:rsid w:val="00836E89"/>
    <w:rsid w:val="00853015"/>
    <w:rsid w:val="00893884"/>
    <w:rsid w:val="008A30AF"/>
    <w:rsid w:val="008A3978"/>
    <w:rsid w:val="008B3BF5"/>
    <w:rsid w:val="008F14F4"/>
    <w:rsid w:val="008F633F"/>
    <w:rsid w:val="00901F61"/>
    <w:rsid w:val="00925C40"/>
    <w:rsid w:val="00995805"/>
    <w:rsid w:val="009B6B9F"/>
    <w:rsid w:val="00A3310C"/>
    <w:rsid w:val="00A73E26"/>
    <w:rsid w:val="00AE3BC5"/>
    <w:rsid w:val="00AE5A10"/>
    <w:rsid w:val="00B002CC"/>
    <w:rsid w:val="00B302C9"/>
    <w:rsid w:val="00B33241"/>
    <w:rsid w:val="00B4587D"/>
    <w:rsid w:val="00B6339D"/>
    <w:rsid w:val="00B775DE"/>
    <w:rsid w:val="00BB0337"/>
    <w:rsid w:val="00BD1FFC"/>
    <w:rsid w:val="00C006AA"/>
    <w:rsid w:val="00C03296"/>
    <w:rsid w:val="00C21643"/>
    <w:rsid w:val="00C22345"/>
    <w:rsid w:val="00C40A98"/>
    <w:rsid w:val="00C474D3"/>
    <w:rsid w:val="00C7793B"/>
    <w:rsid w:val="00C943E6"/>
    <w:rsid w:val="00CB2D57"/>
    <w:rsid w:val="00CC75F8"/>
    <w:rsid w:val="00CE0858"/>
    <w:rsid w:val="00D16676"/>
    <w:rsid w:val="00DD45FA"/>
    <w:rsid w:val="00E44FEC"/>
    <w:rsid w:val="00E512A6"/>
    <w:rsid w:val="00E65191"/>
    <w:rsid w:val="00EC3C02"/>
    <w:rsid w:val="00EC64D6"/>
    <w:rsid w:val="00EC6AE9"/>
    <w:rsid w:val="00EE28CE"/>
    <w:rsid w:val="00F007BE"/>
    <w:rsid w:val="00F36C5D"/>
    <w:rsid w:val="00F7665B"/>
    <w:rsid w:val="00FC42C4"/>
    <w:rsid w:val="00FD3717"/>
    <w:rsid w:val="00FE32E9"/>
    <w:rsid w:val="00FF6D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EE948"/>
  <w15:docId w15:val="{3B94D19F-3FEF-4D89-92C2-4D8476C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0CD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E65191"/>
  </w:style>
  <w:style w:type="paragraph" w:styleId="Glava">
    <w:name w:val="header"/>
    <w:basedOn w:val="Navaden"/>
    <w:link w:val="GlavaZnak"/>
    <w:rsid w:val="00E65191"/>
    <w:pPr>
      <w:tabs>
        <w:tab w:val="center" w:pos="4320"/>
        <w:tab w:val="right" w:pos="8640"/>
      </w:tabs>
      <w:spacing w:after="0" w:line="260" w:lineRule="atLeast"/>
    </w:pPr>
    <w:rPr>
      <w:rFonts w:ascii="Arial" w:eastAsia="Times New Roman" w:hAnsi="Arial" w:cs="Times New Roman"/>
      <w:kern w:val="0"/>
      <w:sz w:val="20"/>
      <w:szCs w:val="24"/>
      <w:lang w:val="en-US"/>
    </w:rPr>
  </w:style>
  <w:style w:type="character" w:customStyle="1" w:styleId="GlavaZnak">
    <w:name w:val="Glava Znak"/>
    <w:basedOn w:val="Privzetapisavaodstavka"/>
    <w:link w:val="Glava"/>
    <w:rsid w:val="00E65191"/>
    <w:rPr>
      <w:rFonts w:ascii="Arial" w:eastAsia="Times New Roman" w:hAnsi="Arial" w:cs="Times New Roman"/>
      <w:kern w:val="0"/>
      <w:sz w:val="20"/>
      <w:szCs w:val="24"/>
      <w:lang w:val="en-US"/>
    </w:rPr>
  </w:style>
  <w:style w:type="character" w:styleId="Hiperpovezava">
    <w:name w:val="Hyperlink"/>
    <w:rsid w:val="00E65191"/>
    <w:rPr>
      <w:color w:val="0000FF"/>
      <w:u w:val="single"/>
    </w:rPr>
  </w:style>
  <w:style w:type="paragraph" w:styleId="Telobesedila2">
    <w:name w:val="Body Text 2"/>
    <w:basedOn w:val="Navaden"/>
    <w:link w:val="Telobesedila2Znak"/>
    <w:rsid w:val="00E65191"/>
    <w:pPr>
      <w:spacing w:after="0" w:line="240" w:lineRule="auto"/>
      <w:jc w:val="both"/>
    </w:pPr>
    <w:rPr>
      <w:rFonts w:ascii="Times New Roman" w:eastAsia="Times New Roman" w:hAnsi="Times New Roman" w:cs="Times New Roman"/>
      <w:b/>
      <w:bCs/>
      <w:kern w:val="0"/>
      <w:sz w:val="24"/>
      <w:szCs w:val="24"/>
    </w:rPr>
  </w:style>
  <w:style w:type="character" w:customStyle="1" w:styleId="Telobesedila2Znak">
    <w:name w:val="Telo besedila 2 Znak"/>
    <w:basedOn w:val="Privzetapisavaodstavka"/>
    <w:link w:val="Telobesedila2"/>
    <w:rsid w:val="00E65191"/>
    <w:rPr>
      <w:rFonts w:ascii="Times New Roman" w:eastAsia="Times New Roman" w:hAnsi="Times New Roman" w:cs="Times New Roman"/>
      <w:b/>
      <w:bCs/>
      <w:kern w:val="0"/>
      <w:sz w:val="24"/>
      <w:szCs w:val="24"/>
    </w:rPr>
  </w:style>
  <w:style w:type="paragraph" w:customStyle="1" w:styleId="Poglavje1">
    <w:name w:val="Poglavje1"/>
    <w:basedOn w:val="Navaden"/>
    <w:qFormat/>
    <w:rsid w:val="00E6519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kern w:val="0"/>
      <w:lang w:eastAsia="sl-SI"/>
    </w:rPr>
  </w:style>
  <w:style w:type="paragraph" w:customStyle="1" w:styleId="Neotevilenodstavek">
    <w:name w:val="Neoštevilčen odstavek"/>
    <w:basedOn w:val="Navaden"/>
    <w:link w:val="NeotevilenodstavekZnak"/>
    <w:qFormat/>
    <w:rsid w:val="00E65191"/>
    <w:pPr>
      <w:overflowPunct w:val="0"/>
      <w:autoSpaceDE w:val="0"/>
      <w:autoSpaceDN w:val="0"/>
      <w:adjustRightInd w:val="0"/>
      <w:spacing w:before="60" w:after="60" w:line="200" w:lineRule="exact"/>
      <w:jc w:val="both"/>
      <w:textAlignment w:val="baseline"/>
    </w:pPr>
    <w:rPr>
      <w:rFonts w:ascii="Arial" w:eastAsia="Times New Roman" w:hAnsi="Arial" w:cs="Times New Roman"/>
      <w:kern w:val="0"/>
      <w:lang w:val="en-US"/>
    </w:rPr>
  </w:style>
  <w:style w:type="character" w:customStyle="1" w:styleId="NeotevilenodstavekZnak">
    <w:name w:val="Neoštevilčen odstavek Znak"/>
    <w:link w:val="Neotevilenodstavek"/>
    <w:rsid w:val="00E65191"/>
    <w:rPr>
      <w:rFonts w:ascii="Arial" w:eastAsia="Times New Roman" w:hAnsi="Arial" w:cs="Times New Roman"/>
      <w:kern w:val="0"/>
      <w:lang w:val="en-US"/>
    </w:rPr>
  </w:style>
  <w:style w:type="paragraph" w:customStyle="1" w:styleId="Oddelek1">
    <w:name w:val="Oddelek1"/>
    <w:basedOn w:val="Navaden"/>
    <w:link w:val="Oddelek1Znak"/>
    <w:qFormat/>
    <w:rsid w:val="00E65191"/>
    <w:pPr>
      <w:suppressAutoHyphens/>
      <w:overflowPunct w:val="0"/>
      <w:autoSpaceDE w:val="0"/>
      <w:autoSpaceDN w:val="0"/>
      <w:adjustRightInd w:val="0"/>
      <w:spacing w:before="280" w:after="60" w:line="200" w:lineRule="exact"/>
      <w:textAlignment w:val="baseline"/>
      <w:outlineLvl w:val="3"/>
    </w:pPr>
    <w:rPr>
      <w:rFonts w:ascii="Arial" w:eastAsia="Times New Roman" w:hAnsi="Arial" w:cs="Times New Roman"/>
      <w:kern w:val="0"/>
      <w:sz w:val="20"/>
    </w:rPr>
  </w:style>
  <w:style w:type="character" w:customStyle="1" w:styleId="Oddelek1Znak">
    <w:name w:val="Oddelek1 Znak"/>
    <w:link w:val="Oddelek1"/>
    <w:rsid w:val="00E65191"/>
    <w:rPr>
      <w:rFonts w:ascii="Arial" w:eastAsia="Times New Roman" w:hAnsi="Arial" w:cs="Times New Roman"/>
      <w:kern w:val="0"/>
      <w:sz w:val="20"/>
    </w:rPr>
  </w:style>
  <w:style w:type="paragraph" w:styleId="Odstavekseznama">
    <w:name w:val="List Paragraph"/>
    <w:aliases w:val="člen"/>
    <w:basedOn w:val="Navaden"/>
    <w:link w:val="OdstavekseznamaZnak"/>
    <w:uiPriority w:val="99"/>
    <w:qFormat/>
    <w:rsid w:val="00E65191"/>
    <w:pPr>
      <w:overflowPunct w:val="0"/>
      <w:autoSpaceDE w:val="0"/>
      <w:autoSpaceDN w:val="0"/>
      <w:adjustRightInd w:val="0"/>
      <w:spacing w:after="0" w:line="260" w:lineRule="exact"/>
      <w:ind w:left="284" w:hanging="284"/>
      <w:jc w:val="center"/>
      <w:textAlignment w:val="baseline"/>
    </w:pPr>
    <w:rPr>
      <w:rFonts w:ascii="Arial" w:hAnsi="Arial"/>
      <w:b/>
      <w:kern w:val="0"/>
      <w:sz w:val="20"/>
    </w:rPr>
  </w:style>
  <w:style w:type="character" w:customStyle="1" w:styleId="FontStyle18">
    <w:name w:val="Font Style18"/>
    <w:uiPriority w:val="99"/>
    <w:rsid w:val="00E65191"/>
    <w:rPr>
      <w:rFonts w:ascii="Times New Roman" w:hAnsi="Times New Roman" w:cs="Times New Roman"/>
      <w:sz w:val="22"/>
      <w:szCs w:val="22"/>
    </w:rPr>
  </w:style>
  <w:style w:type="character" w:customStyle="1" w:styleId="FontStyle19">
    <w:name w:val="Font Style19"/>
    <w:uiPriority w:val="99"/>
    <w:rsid w:val="00E65191"/>
    <w:rPr>
      <w:rFonts w:ascii="Arial Unicode MS" w:eastAsia="Arial Unicode MS" w:hAnsi="Arial Unicode MS" w:cs="Arial Unicode MS" w:hint="eastAsia"/>
      <w:b/>
      <w:bCs/>
      <w:sz w:val="18"/>
      <w:szCs w:val="18"/>
    </w:rPr>
  </w:style>
  <w:style w:type="character" w:customStyle="1" w:styleId="OdstavekseznamaZnak">
    <w:name w:val="Odstavek seznama Znak"/>
    <w:aliases w:val="člen Znak"/>
    <w:link w:val="Odstavekseznama"/>
    <w:uiPriority w:val="99"/>
    <w:rsid w:val="00E65191"/>
    <w:rPr>
      <w:rFonts w:ascii="Arial" w:hAnsi="Arial"/>
      <w:b/>
      <w:kern w:val="0"/>
      <w:sz w:val="20"/>
    </w:rPr>
  </w:style>
  <w:style w:type="character" w:styleId="Pripombasklic">
    <w:name w:val="annotation reference"/>
    <w:basedOn w:val="Privzetapisavaodstavka"/>
    <w:unhideWhenUsed/>
    <w:rsid w:val="00E65191"/>
    <w:rPr>
      <w:sz w:val="16"/>
      <w:szCs w:val="16"/>
    </w:rPr>
  </w:style>
  <w:style w:type="paragraph" w:styleId="Pripombabesedilo">
    <w:name w:val="annotation text"/>
    <w:basedOn w:val="Navaden"/>
    <w:link w:val="PripombabesediloZnak"/>
    <w:uiPriority w:val="99"/>
    <w:unhideWhenUsed/>
    <w:rsid w:val="00E65191"/>
    <w:pPr>
      <w:spacing w:after="0" w:line="240" w:lineRule="auto"/>
    </w:pPr>
    <w:rPr>
      <w:rFonts w:ascii="Arial" w:eastAsia="Times New Roman" w:hAnsi="Arial" w:cs="Times New Roman"/>
      <w:kern w:val="0"/>
      <w:sz w:val="20"/>
      <w:szCs w:val="20"/>
    </w:rPr>
  </w:style>
  <w:style w:type="character" w:customStyle="1" w:styleId="PripombabesediloZnak">
    <w:name w:val="Pripomba – besedilo Znak"/>
    <w:basedOn w:val="Privzetapisavaodstavka"/>
    <w:link w:val="Pripombabesedilo"/>
    <w:uiPriority w:val="99"/>
    <w:rsid w:val="00E65191"/>
    <w:rPr>
      <w:rFonts w:ascii="Arial" w:eastAsia="Times New Roman" w:hAnsi="Arial" w:cs="Times New Roman"/>
      <w:kern w:val="0"/>
      <w:sz w:val="20"/>
      <w:szCs w:val="20"/>
    </w:rPr>
  </w:style>
  <w:style w:type="character" w:customStyle="1" w:styleId="FontStyle34">
    <w:name w:val="Font Style34"/>
    <w:uiPriority w:val="99"/>
    <w:rsid w:val="00E65191"/>
    <w:rPr>
      <w:rFonts w:ascii="Book Antiqua" w:hAnsi="Book Antiqua" w:cs="Book Antiqua"/>
      <w:sz w:val="16"/>
      <w:szCs w:val="16"/>
    </w:rPr>
  </w:style>
  <w:style w:type="character" w:customStyle="1" w:styleId="cf01">
    <w:name w:val="cf01"/>
    <w:basedOn w:val="Privzetapisavaodstavka"/>
    <w:rsid w:val="00E65191"/>
    <w:rPr>
      <w:rFonts w:ascii="Segoe UI" w:hAnsi="Segoe UI" w:cs="Segoe UI" w:hint="default"/>
      <w:sz w:val="18"/>
      <w:szCs w:val="18"/>
    </w:rPr>
  </w:style>
  <w:style w:type="paragraph" w:customStyle="1" w:styleId="Style15">
    <w:name w:val="Style15"/>
    <w:basedOn w:val="Navaden"/>
    <w:uiPriority w:val="99"/>
    <w:rsid w:val="00E65191"/>
    <w:pPr>
      <w:widowControl w:val="0"/>
      <w:autoSpaceDE w:val="0"/>
      <w:autoSpaceDN w:val="0"/>
      <w:adjustRightInd w:val="0"/>
      <w:spacing w:after="0" w:line="214" w:lineRule="exact"/>
      <w:jc w:val="both"/>
    </w:pPr>
    <w:rPr>
      <w:rFonts w:ascii="Book Antiqua" w:eastAsia="Times New Roman" w:hAnsi="Book Antiqua" w:cs="Times New Roman"/>
      <w:kern w:val="0"/>
      <w:sz w:val="24"/>
      <w:szCs w:val="24"/>
    </w:rPr>
  </w:style>
  <w:style w:type="character" w:customStyle="1" w:styleId="FontStyle29">
    <w:name w:val="Font Style29"/>
    <w:uiPriority w:val="99"/>
    <w:rsid w:val="00E65191"/>
    <w:rPr>
      <w:rFonts w:ascii="Book Antiqua" w:hAnsi="Book Antiqua" w:cs="Book Antiqua"/>
      <w:b/>
      <w:bCs/>
      <w:sz w:val="14"/>
      <w:szCs w:val="14"/>
    </w:rPr>
  </w:style>
  <w:style w:type="paragraph" w:customStyle="1" w:styleId="Style7">
    <w:name w:val="Style7"/>
    <w:basedOn w:val="Navaden"/>
    <w:uiPriority w:val="99"/>
    <w:rsid w:val="00E65191"/>
    <w:pPr>
      <w:widowControl w:val="0"/>
      <w:autoSpaceDE w:val="0"/>
      <w:autoSpaceDN w:val="0"/>
      <w:adjustRightInd w:val="0"/>
      <w:spacing w:after="0" w:line="341" w:lineRule="exact"/>
      <w:jc w:val="center"/>
    </w:pPr>
    <w:rPr>
      <w:rFonts w:ascii="Book Antiqua" w:eastAsia="Times New Roman" w:hAnsi="Book Antiqua" w:cs="Times New Roman"/>
      <w:kern w:val="0"/>
      <w:sz w:val="24"/>
      <w:szCs w:val="24"/>
    </w:rPr>
  </w:style>
  <w:style w:type="table" w:styleId="Tabelamrea">
    <w:name w:val="Table Grid"/>
    <w:basedOn w:val="Navadnatabela"/>
    <w:uiPriority w:val="39"/>
    <w:rsid w:val="00E6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65191"/>
    <w:pPr>
      <w:spacing w:after="0" w:line="240" w:lineRule="auto"/>
    </w:pPr>
    <w:rPr>
      <w:rFonts w:ascii="Arial" w:eastAsia="Times New Roman" w:hAnsi="Arial" w:cs="Times New Roman"/>
      <w:kern w:val="0"/>
      <w:sz w:val="20"/>
      <w:szCs w:val="24"/>
      <w:lang w:val="en-US"/>
    </w:rPr>
  </w:style>
  <w:style w:type="paragraph" w:styleId="Zadevapripombe">
    <w:name w:val="annotation subject"/>
    <w:basedOn w:val="Pripombabesedilo"/>
    <w:next w:val="Pripombabesedilo"/>
    <w:link w:val="ZadevapripombeZnak"/>
    <w:uiPriority w:val="99"/>
    <w:semiHidden/>
    <w:unhideWhenUsed/>
    <w:rsid w:val="00E65191"/>
    <w:rPr>
      <w:b/>
      <w:bCs/>
      <w:lang w:val="en-US"/>
    </w:rPr>
  </w:style>
  <w:style w:type="character" w:customStyle="1" w:styleId="ZadevapripombeZnak">
    <w:name w:val="Zadeva pripombe Znak"/>
    <w:basedOn w:val="PripombabesediloZnak"/>
    <w:link w:val="Zadevapripombe"/>
    <w:uiPriority w:val="99"/>
    <w:semiHidden/>
    <w:rsid w:val="00E65191"/>
    <w:rPr>
      <w:rFonts w:ascii="Arial" w:eastAsia="Times New Roman" w:hAnsi="Arial" w:cs="Times New Roman"/>
      <w:b/>
      <w:bCs/>
      <w:kern w:val="0"/>
      <w:sz w:val="20"/>
      <w:szCs w:val="20"/>
      <w:lang w:val="en-US"/>
    </w:rPr>
  </w:style>
  <w:style w:type="character" w:customStyle="1" w:styleId="Nerazreenaomemba1">
    <w:name w:val="Nerazrešena omemba1"/>
    <w:basedOn w:val="Privzetapisavaodstavka"/>
    <w:uiPriority w:val="99"/>
    <w:semiHidden/>
    <w:unhideWhenUsed/>
    <w:rsid w:val="00E65191"/>
    <w:rPr>
      <w:color w:val="605E5C"/>
      <w:shd w:val="clear" w:color="auto" w:fill="E1DFDD"/>
    </w:rPr>
  </w:style>
  <w:style w:type="paragraph" w:styleId="Brezrazmikov">
    <w:name w:val="No Spacing"/>
    <w:uiPriority w:val="1"/>
    <w:qFormat/>
    <w:rsid w:val="00E65191"/>
    <w:pPr>
      <w:spacing w:after="0" w:line="240" w:lineRule="auto"/>
    </w:pPr>
    <w:rPr>
      <w:rFonts w:ascii="Arial" w:eastAsia="Times New Roman" w:hAnsi="Arial" w:cs="Times New Roman"/>
      <w:kern w:val="0"/>
      <w:sz w:val="20"/>
      <w:szCs w:val="24"/>
      <w:lang w:val="en-US"/>
    </w:rPr>
  </w:style>
  <w:style w:type="paragraph" w:styleId="Besedilooblaka">
    <w:name w:val="Balloon Text"/>
    <w:basedOn w:val="Navaden"/>
    <w:link w:val="BesedilooblakaZnak"/>
    <w:uiPriority w:val="99"/>
    <w:semiHidden/>
    <w:unhideWhenUsed/>
    <w:rsid w:val="00E65191"/>
    <w:pPr>
      <w:spacing w:after="0" w:line="240" w:lineRule="auto"/>
    </w:pPr>
    <w:rPr>
      <w:rFonts w:ascii="Tahoma" w:eastAsia="Times New Roman" w:hAnsi="Tahoma" w:cs="Tahoma"/>
      <w:kern w:val="0"/>
      <w:sz w:val="16"/>
      <w:szCs w:val="16"/>
      <w:lang w:val="en-US"/>
    </w:rPr>
  </w:style>
  <w:style w:type="character" w:customStyle="1" w:styleId="BesedilooblakaZnak">
    <w:name w:val="Besedilo oblačka Znak"/>
    <w:basedOn w:val="Privzetapisavaodstavka"/>
    <w:link w:val="Besedilooblaka"/>
    <w:uiPriority w:val="99"/>
    <w:semiHidden/>
    <w:rsid w:val="00E65191"/>
    <w:rPr>
      <w:rFonts w:ascii="Tahoma" w:eastAsia="Times New Roman" w:hAnsi="Tahoma" w:cs="Tahoma"/>
      <w:kern w:val="0"/>
      <w:sz w:val="16"/>
      <w:szCs w:val="16"/>
      <w:lang w:val="en-US"/>
    </w:rPr>
  </w:style>
  <w:style w:type="character" w:styleId="SledenaHiperpovezava">
    <w:name w:val="FollowedHyperlink"/>
    <w:basedOn w:val="Privzetapisavaodstavka"/>
    <w:uiPriority w:val="99"/>
    <w:semiHidden/>
    <w:unhideWhenUsed/>
    <w:rsid w:val="00E65191"/>
    <w:rPr>
      <w:color w:val="954F72" w:themeColor="followedHyperlink"/>
      <w:u w:val="single"/>
    </w:rPr>
  </w:style>
  <w:style w:type="paragraph" w:styleId="Noga">
    <w:name w:val="footer"/>
    <w:basedOn w:val="Navaden"/>
    <w:link w:val="NogaZnak"/>
    <w:uiPriority w:val="99"/>
    <w:unhideWhenUsed/>
    <w:rsid w:val="00E65191"/>
    <w:pPr>
      <w:tabs>
        <w:tab w:val="center" w:pos="4536"/>
        <w:tab w:val="right" w:pos="9072"/>
      </w:tabs>
      <w:spacing w:after="0" w:line="240" w:lineRule="auto"/>
    </w:pPr>
    <w:rPr>
      <w:rFonts w:ascii="Arial" w:eastAsia="Times New Roman" w:hAnsi="Arial" w:cs="Times New Roman"/>
      <w:kern w:val="0"/>
      <w:sz w:val="20"/>
      <w:szCs w:val="24"/>
      <w:lang w:val="en-US"/>
    </w:rPr>
  </w:style>
  <w:style w:type="character" w:customStyle="1" w:styleId="NogaZnak">
    <w:name w:val="Noga Znak"/>
    <w:basedOn w:val="Privzetapisavaodstavka"/>
    <w:link w:val="Noga"/>
    <w:uiPriority w:val="99"/>
    <w:rsid w:val="00E65191"/>
    <w:rPr>
      <w:rFonts w:ascii="Arial" w:eastAsia="Times New Roman" w:hAnsi="Arial" w:cs="Times New Roman"/>
      <w:kern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lasticseurope.or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gp.gs@gov.si"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27108</Words>
  <Characters>154517</Characters>
  <Application>Microsoft Office Word</Application>
  <DocSecurity>0</DocSecurity>
  <Lines>1287</Lines>
  <Paragraphs>362</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181263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Polanc</dc:creator>
  <cp:lastModifiedBy>Dijana Jukić</cp:lastModifiedBy>
  <cp:revision>2</cp:revision>
  <dcterms:created xsi:type="dcterms:W3CDTF">2025-04-10T08:46:00Z</dcterms:created>
  <dcterms:modified xsi:type="dcterms:W3CDTF">2025-04-10T08:46:00Z</dcterms:modified>
</cp:coreProperties>
</file>