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4C" w:rsidRPr="00D30203" w:rsidRDefault="00B5624C">
      <w:pPr>
        <w:pStyle w:val="center"/>
        <w:spacing w:before="210" w:after="210"/>
        <w:rPr>
          <w:rFonts w:ascii="Arial" w:eastAsia="Arial" w:hAnsi="Arial" w:cs="Arial"/>
          <w:b/>
          <w:bCs/>
          <w:caps/>
          <w:sz w:val="20"/>
          <w:szCs w:val="20"/>
        </w:rPr>
      </w:pPr>
    </w:p>
    <w:p w:rsidR="00B5624C" w:rsidRPr="00D30203" w:rsidRDefault="00B5624C" w:rsidP="00B5624C">
      <w:pPr>
        <w:pStyle w:val="center"/>
        <w:spacing w:before="210" w:after="210"/>
        <w:jc w:val="both"/>
        <w:rPr>
          <w:rFonts w:ascii="Arial" w:eastAsia="Arial" w:hAnsi="Arial" w:cs="Arial"/>
          <w:b/>
          <w:bCs/>
          <w:caps/>
          <w:sz w:val="20"/>
          <w:szCs w:val="20"/>
        </w:rPr>
      </w:pPr>
      <w:r w:rsidRPr="00D30203">
        <w:rPr>
          <w:rFonts w:ascii="Arial" w:hAnsi="Arial" w:cs="Arial"/>
          <w:color w:val="000000"/>
          <w:sz w:val="20"/>
          <w:szCs w:val="20"/>
          <w:shd w:val="clear" w:color="auto" w:fill="FFFFFF"/>
        </w:rPr>
        <w:t xml:space="preserve">Na podlagi </w:t>
      </w:r>
      <w:r w:rsidR="009C1E0C" w:rsidRPr="00D30203">
        <w:rPr>
          <w:rFonts w:ascii="Arial" w:hAnsi="Arial" w:cs="Arial"/>
          <w:color w:val="000000"/>
          <w:sz w:val="20"/>
          <w:szCs w:val="20"/>
          <w:shd w:val="clear" w:color="auto" w:fill="FFFFFF"/>
        </w:rPr>
        <w:t xml:space="preserve">40. </w:t>
      </w:r>
      <w:proofErr w:type="gramStart"/>
      <w:r w:rsidR="009C1E0C" w:rsidRPr="00D30203">
        <w:rPr>
          <w:rFonts w:ascii="Arial" w:hAnsi="Arial" w:cs="Arial"/>
          <w:color w:val="000000"/>
          <w:sz w:val="20"/>
          <w:szCs w:val="20"/>
          <w:shd w:val="clear" w:color="auto" w:fill="FFFFFF"/>
        </w:rPr>
        <w:t>in</w:t>
      </w:r>
      <w:proofErr w:type="gramEnd"/>
      <w:r w:rsidR="009C1E0C" w:rsidRPr="00D30203">
        <w:rPr>
          <w:rFonts w:ascii="Arial" w:hAnsi="Arial" w:cs="Arial"/>
          <w:color w:val="000000"/>
          <w:sz w:val="20"/>
          <w:szCs w:val="20"/>
          <w:shd w:val="clear" w:color="auto" w:fill="FFFFFF"/>
        </w:rPr>
        <w:t xml:space="preserve"> </w:t>
      </w:r>
      <w:r w:rsidRPr="00D30203">
        <w:rPr>
          <w:rFonts w:ascii="Arial" w:hAnsi="Arial" w:cs="Arial"/>
          <w:color w:val="000000"/>
          <w:sz w:val="20"/>
          <w:szCs w:val="20"/>
          <w:shd w:val="clear" w:color="auto" w:fill="FFFFFF"/>
        </w:rPr>
        <w:t>40.a člena Zakona o morskem ribištvu (Uradni list RS št.              ), Vlada Republike Slovenije izdaja</w:t>
      </w:r>
    </w:p>
    <w:p w:rsidR="00B5624C" w:rsidRPr="00D30203" w:rsidRDefault="00B5624C">
      <w:pPr>
        <w:pStyle w:val="center"/>
        <w:spacing w:before="210" w:after="210"/>
        <w:rPr>
          <w:rFonts w:ascii="Arial" w:eastAsia="Arial" w:hAnsi="Arial" w:cs="Arial"/>
          <w:b/>
          <w:bCs/>
          <w:caps/>
          <w:sz w:val="20"/>
          <w:szCs w:val="20"/>
        </w:rPr>
      </w:pPr>
    </w:p>
    <w:p w:rsidR="00B21CC9" w:rsidRPr="00D30203" w:rsidRDefault="00B5624C">
      <w:pPr>
        <w:pStyle w:val="center"/>
        <w:spacing w:before="210" w:after="210"/>
        <w:rPr>
          <w:rFonts w:ascii="Arial" w:eastAsia="Arial" w:hAnsi="Arial" w:cs="Arial"/>
          <w:b/>
          <w:bCs/>
          <w:caps/>
          <w:sz w:val="20"/>
          <w:szCs w:val="20"/>
        </w:rPr>
      </w:pPr>
      <w:r w:rsidRPr="00D30203">
        <w:rPr>
          <w:rFonts w:ascii="Arial" w:eastAsia="Arial" w:hAnsi="Arial" w:cs="Arial"/>
          <w:b/>
          <w:bCs/>
          <w:caps/>
          <w:sz w:val="20"/>
          <w:szCs w:val="20"/>
        </w:rPr>
        <w:t>UREDBA</w:t>
      </w:r>
    </w:p>
    <w:p w:rsidR="00B21CC9" w:rsidRPr="00D30203" w:rsidRDefault="00B5624C">
      <w:pPr>
        <w:pStyle w:val="center"/>
        <w:spacing w:before="210" w:after="210"/>
        <w:rPr>
          <w:rFonts w:ascii="Arial" w:eastAsia="Arial" w:hAnsi="Arial" w:cs="Arial"/>
          <w:b/>
          <w:bCs/>
          <w:caps/>
          <w:sz w:val="20"/>
          <w:szCs w:val="20"/>
        </w:rPr>
      </w:pPr>
      <w:r w:rsidRPr="00D30203">
        <w:rPr>
          <w:rFonts w:ascii="Arial" w:eastAsia="Arial" w:hAnsi="Arial" w:cs="Arial"/>
          <w:b/>
          <w:bCs/>
          <w:caps/>
          <w:sz w:val="20"/>
          <w:szCs w:val="20"/>
        </w:rPr>
        <w:t>o izvajanju lokalnega razvoja, ki ga vodi skupnost</w:t>
      </w:r>
    </w:p>
    <w:p w:rsidR="00B21CC9" w:rsidRPr="00D30203" w:rsidRDefault="00B5624C">
      <w:pPr>
        <w:pStyle w:val="center"/>
        <w:pBdr>
          <w:top w:val="none" w:sz="0" w:space="24" w:color="auto"/>
        </w:pBdr>
        <w:spacing w:before="210" w:after="210"/>
        <w:rPr>
          <w:rFonts w:ascii="Arial" w:eastAsia="Arial" w:hAnsi="Arial" w:cs="Arial"/>
          <w:caps/>
          <w:sz w:val="20"/>
          <w:szCs w:val="20"/>
        </w:rPr>
      </w:pPr>
      <w:r w:rsidRPr="00D30203">
        <w:rPr>
          <w:rFonts w:ascii="Arial" w:eastAsia="Arial" w:hAnsi="Arial" w:cs="Arial"/>
          <w:caps/>
          <w:sz w:val="20"/>
          <w:szCs w:val="20"/>
        </w:rPr>
        <w:t>I. SPLOŠNE DOLOČBE</w:t>
      </w:r>
    </w:p>
    <w:p w:rsidR="00B21CC9" w:rsidRPr="00D30203" w:rsidRDefault="00B5624C">
      <w:pPr>
        <w:pStyle w:val="center"/>
        <w:pBdr>
          <w:top w:val="none" w:sz="0" w:space="24" w:color="auto"/>
        </w:pBdr>
        <w:spacing w:before="210" w:after="210"/>
        <w:rPr>
          <w:rFonts w:ascii="Arial" w:eastAsia="Arial" w:hAnsi="Arial" w:cs="Arial"/>
          <w:b/>
          <w:bCs/>
          <w:sz w:val="20"/>
          <w:szCs w:val="20"/>
        </w:rPr>
      </w:pPr>
      <w:bookmarkStart w:id="0" w:name="_GoBack"/>
      <w:bookmarkEnd w:id="0"/>
      <w:r w:rsidRPr="00D30203">
        <w:rPr>
          <w:rFonts w:ascii="Arial" w:eastAsia="Arial" w:hAnsi="Arial" w:cs="Arial"/>
          <w:b/>
          <w:bCs/>
          <w:sz w:val="20"/>
          <w:szCs w:val="20"/>
        </w:rPr>
        <w:t>1. 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vsebina</w:t>
      </w:r>
      <w:proofErr w:type="gramEnd"/>
      <w:r w:rsidRPr="00D30203">
        <w:rPr>
          <w:rFonts w:ascii="Arial" w:eastAsia="Arial" w:hAnsi="Arial" w:cs="Arial"/>
          <w:b/>
          <w:bCs/>
          <w:sz w:val="20"/>
          <w:szCs w:val="20"/>
        </w:rPr>
        <w:t>)</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Ta uredba določa izvajanje pristopa lokalnega razvoja, ki ga vodi skupnost, ter določa podpore v okviru pristopa LEADER/CLLD, ki so predmet sofinanciranja iz Evropskega kmetijskega sklada za razvoj podeželja (v nadaljnjem besedilu: EKSRP) in Evropskega sklada za regionalni razvoj (v nadaljnjem besedilu: ESRR).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(2) S to uredbo se določajo namen podpor, obseg razpoložljivih finančnih sredstev, upravičenci, pogoji za odobritev in izplačilo sredstev, postopek dodelitve sredstev, obveznosti in finančne določbe, naloge lokalnih akcijskih skupin, splošne obveznosti upravičencev, kontrolni sistem ter upravne sankcije za izvajanje pristopa LEADER/CLLD za izvajanje:</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1.  </w:t>
      </w:r>
      <w:hyperlink r:id="rId6" w:tgtFrame="_blank" w:tooltip="to EUR-Lex" w:history="1">
        <w:r w:rsidRPr="00D30203">
          <w:rPr>
            <w:rFonts w:ascii="Arial" w:eastAsia="Arial" w:hAnsi="Arial" w:cs="Arial"/>
            <w:sz w:val="20"/>
            <w:szCs w:val="20"/>
          </w:rPr>
          <w:t>Uredbe (EU) 2021/1060</w:t>
        </w:r>
      </w:hyperlink>
      <w:r w:rsidRPr="00D30203">
        <w:rPr>
          <w:rFonts w:ascii="Arial" w:eastAsia="Arial" w:hAnsi="Arial" w:cs="Arial"/>
          <w:sz w:val="20"/>
          <w:szCs w:val="20"/>
        </w:rPr>
        <w:t xml:space="preserve"> Evropskega parlamenta in Sveta z dne 24. </w:t>
      </w:r>
      <w:proofErr w:type="gramStart"/>
      <w:r w:rsidRPr="00D30203">
        <w:rPr>
          <w:rFonts w:ascii="Arial" w:eastAsia="Arial" w:hAnsi="Arial" w:cs="Arial"/>
          <w:sz w:val="20"/>
          <w:szCs w:val="20"/>
        </w:rPr>
        <w:t>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w:t>
      </w:r>
      <w:proofErr w:type="gramEnd"/>
      <w:r w:rsidRPr="00D30203">
        <w:rPr>
          <w:rFonts w:ascii="Arial" w:eastAsia="Arial" w:hAnsi="Arial" w:cs="Arial"/>
          <w:sz w:val="20"/>
          <w:szCs w:val="20"/>
        </w:rPr>
        <w:t xml:space="preserve">6. 2021, str. 159), zadnjič spremenjene z </w:t>
      </w:r>
      <w:hyperlink r:id="rId7" w:tgtFrame="_blank" w:tooltip="to EUR-Lex" w:history="1">
        <w:r w:rsidRPr="00D30203">
          <w:rPr>
            <w:rFonts w:ascii="Arial" w:eastAsia="Arial" w:hAnsi="Arial" w:cs="Arial"/>
            <w:sz w:val="20"/>
            <w:szCs w:val="20"/>
          </w:rPr>
          <w:t>Uredbo (EU) 2024/1351</w:t>
        </w:r>
      </w:hyperlink>
      <w:r w:rsidRPr="00D30203">
        <w:rPr>
          <w:rFonts w:ascii="Arial" w:eastAsia="Arial" w:hAnsi="Arial" w:cs="Arial"/>
          <w:sz w:val="20"/>
          <w:szCs w:val="20"/>
        </w:rPr>
        <w:t xml:space="preserve"> Evropskega parlamenta in Sveta z dne 14. </w:t>
      </w:r>
      <w:proofErr w:type="gramStart"/>
      <w:r w:rsidRPr="00D30203">
        <w:rPr>
          <w:rFonts w:ascii="Arial" w:eastAsia="Arial" w:hAnsi="Arial" w:cs="Arial"/>
          <w:sz w:val="20"/>
          <w:szCs w:val="20"/>
        </w:rPr>
        <w:t>maja</w:t>
      </w:r>
      <w:proofErr w:type="gramEnd"/>
      <w:r w:rsidRPr="00D30203">
        <w:rPr>
          <w:rFonts w:ascii="Arial" w:eastAsia="Arial" w:hAnsi="Arial" w:cs="Arial"/>
          <w:sz w:val="20"/>
          <w:szCs w:val="20"/>
        </w:rPr>
        <w:t xml:space="preserve"> 2024 o upravljanju azila in migracij, spremembi </w:t>
      </w:r>
      <w:hyperlink r:id="rId8" w:tgtFrame="_blank" w:tooltip="to EUR-Lex" w:history="1">
        <w:r w:rsidRPr="00D30203">
          <w:rPr>
            <w:rFonts w:ascii="Arial" w:eastAsia="Arial" w:hAnsi="Arial" w:cs="Arial"/>
            <w:sz w:val="20"/>
            <w:szCs w:val="20"/>
          </w:rPr>
          <w:t>uredb (EU) 2021/1147</w:t>
        </w:r>
      </w:hyperlink>
      <w:r w:rsidRPr="00D30203">
        <w:rPr>
          <w:rFonts w:ascii="Arial" w:eastAsia="Arial" w:hAnsi="Arial" w:cs="Arial"/>
          <w:sz w:val="20"/>
          <w:szCs w:val="20"/>
        </w:rPr>
        <w:t xml:space="preserve"> in </w:t>
      </w:r>
      <w:hyperlink r:id="rId9" w:tgtFrame="_blank" w:tooltip="to EUR-Lex" w:history="1">
        <w:r w:rsidRPr="00D30203">
          <w:rPr>
            <w:rFonts w:ascii="Arial" w:eastAsia="Arial" w:hAnsi="Arial" w:cs="Arial"/>
            <w:sz w:val="20"/>
            <w:szCs w:val="20"/>
          </w:rPr>
          <w:t>(EU) 2021/1060</w:t>
        </w:r>
      </w:hyperlink>
      <w:r w:rsidRPr="00D30203">
        <w:rPr>
          <w:rFonts w:ascii="Arial" w:eastAsia="Arial" w:hAnsi="Arial" w:cs="Arial"/>
          <w:sz w:val="20"/>
          <w:szCs w:val="20"/>
        </w:rPr>
        <w:t xml:space="preserve"> ter razveljavitvi </w:t>
      </w:r>
      <w:hyperlink r:id="rId10" w:tgtFrame="_blank" w:tooltip="to EUR-Lex" w:history="1">
        <w:r w:rsidRPr="00D30203">
          <w:rPr>
            <w:rFonts w:ascii="Arial" w:eastAsia="Arial" w:hAnsi="Arial" w:cs="Arial"/>
            <w:sz w:val="20"/>
            <w:szCs w:val="20"/>
          </w:rPr>
          <w:t>Uredbe (EU) št. </w:t>
        </w:r>
        <w:proofErr w:type="gramStart"/>
        <w:r w:rsidRPr="00D30203">
          <w:rPr>
            <w:rFonts w:ascii="Arial" w:eastAsia="Arial" w:hAnsi="Arial" w:cs="Arial"/>
            <w:sz w:val="20"/>
            <w:szCs w:val="20"/>
          </w:rPr>
          <w:t>604/2013</w:t>
        </w:r>
        <w:proofErr w:type="gramEnd"/>
      </w:hyperlink>
      <w:r w:rsidRPr="00D30203">
        <w:rPr>
          <w:rFonts w:ascii="Arial" w:eastAsia="Arial" w:hAnsi="Arial" w:cs="Arial"/>
          <w:sz w:val="20"/>
          <w:szCs w:val="20"/>
        </w:rPr>
        <w:t xml:space="preserve"> (UL L št. 2024/1351 z dne 22. 5. 2024);</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2.  </w:t>
      </w:r>
      <w:hyperlink r:id="rId11" w:tgtFrame="_blank" w:tooltip="to EUR-Lex" w:history="1">
        <w:r w:rsidRPr="00D30203">
          <w:rPr>
            <w:rFonts w:ascii="Arial" w:eastAsia="Arial" w:hAnsi="Arial" w:cs="Arial"/>
            <w:sz w:val="20"/>
            <w:szCs w:val="20"/>
          </w:rPr>
          <w:t>Uredbe (EU) 2021/2115</w:t>
        </w:r>
      </w:hyperlink>
      <w:r w:rsidRPr="00D30203">
        <w:rPr>
          <w:rFonts w:ascii="Arial" w:eastAsia="Arial" w:hAnsi="Arial" w:cs="Arial"/>
          <w:sz w:val="20"/>
          <w:szCs w:val="20"/>
        </w:rPr>
        <w:t xml:space="preserve">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w:t>
      </w:r>
      <w:hyperlink r:id="rId12" w:tgtFrame="_blank" w:tooltip="to EUR-Lex" w:history="1">
        <w:r w:rsidRPr="00D30203">
          <w:rPr>
            <w:rFonts w:ascii="Arial" w:eastAsia="Arial" w:hAnsi="Arial" w:cs="Arial"/>
            <w:sz w:val="20"/>
            <w:szCs w:val="20"/>
          </w:rPr>
          <w:t>uredb (EU) št. 1305/2013</w:t>
        </w:r>
      </w:hyperlink>
      <w:r w:rsidRPr="00D30203">
        <w:rPr>
          <w:rFonts w:ascii="Arial" w:eastAsia="Arial" w:hAnsi="Arial" w:cs="Arial"/>
          <w:sz w:val="20"/>
          <w:szCs w:val="20"/>
        </w:rPr>
        <w:t xml:space="preserve"> in </w:t>
      </w:r>
      <w:hyperlink r:id="rId13" w:tgtFrame="_blank" w:tooltip="to EUR-Lex" w:history="1">
        <w:r w:rsidRPr="00D30203">
          <w:rPr>
            <w:rFonts w:ascii="Arial" w:eastAsia="Arial" w:hAnsi="Arial" w:cs="Arial"/>
            <w:sz w:val="20"/>
            <w:szCs w:val="20"/>
          </w:rPr>
          <w:t>(EU) št. </w:t>
        </w:r>
        <w:proofErr w:type="gramStart"/>
        <w:r w:rsidRPr="00D30203">
          <w:rPr>
            <w:rFonts w:ascii="Arial" w:eastAsia="Arial" w:hAnsi="Arial" w:cs="Arial"/>
            <w:sz w:val="20"/>
            <w:szCs w:val="20"/>
          </w:rPr>
          <w:t>1307/2013</w:t>
        </w:r>
        <w:proofErr w:type="gramEnd"/>
      </w:hyperlink>
      <w:r w:rsidRPr="00D30203">
        <w:rPr>
          <w:rFonts w:ascii="Arial" w:eastAsia="Arial" w:hAnsi="Arial" w:cs="Arial"/>
          <w:sz w:val="20"/>
          <w:szCs w:val="20"/>
        </w:rPr>
        <w:t xml:space="preserve"> (UL L št. 435 z dne 6. 12. 2021, str. 1), zadnjič spremenjene z </w:t>
      </w:r>
      <w:hyperlink r:id="rId14" w:tgtFrame="_blank" w:tooltip="to EUR-Lex" w:history="1">
        <w:r w:rsidRPr="00D30203">
          <w:rPr>
            <w:rFonts w:ascii="Arial" w:eastAsia="Arial" w:hAnsi="Arial" w:cs="Arial"/>
            <w:sz w:val="20"/>
            <w:szCs w:val="20"/>
          </w:rPr>
          <w:t>Delegirano uredbo Komisije (EU) 2024/946</w:t>
        </w:r>
      </w:hyperlink>
      <w:r w:rsidRPr="00D30203">
        <w:rPr>
          <w:rFonts w:ascii="Arial" w:eastAsia="Arial" w:hAnsi="Arial" w:cs="Arial"/>
          <w:sz w:val="20"/>
          <w:szCs w:val="20"/>
        </w:rPr>
        <w:t xml:space="preserve"> z dne 18. </w:t>
      </w:r>
      <w:proofErr w:type="gramStart"/>
      <w:r w:rsidRPr="00D30203">
        <w:rPr>
          <w:rFonts w:ascii="Arial" w:eastAsia="Arial" w:hAnsi="Arial" w:cs="Arial"/>
          <w:sz w:val="20"/>
          <w:szCs w:val="20"/>
        </w:rPr>
        <w:t>januarja</w:t>
      </w:r>
      <w:proofErr w:type="gramEnd"/>
      <w:r w:rsidRPr="00D30203">
        <w:rPr>
          <w:rFonts w:ascii="Arial" w:eastAsia="Arial" w:hAnsi="Arial" w:cs="Arial"/>
          <w:sz w:val="20"/>
          <w:szCs w:val="20"/>
        </w:rPr>
        <w:t xml:space="preserve"> 2024 o spremembi </w:t>
      </w:r>
      <w:hyperlink r:id="rId15" w:tgtFrame="_blank" w:tooltip="to EUR-Lex" w:history="1">
        <w:r w:rsidRPr="00D30203">
          <w:rPr>
            <w:rFonts w:ascii="Arial" w:eastAsia="Arial" w:hAnsi="Arial" w:cs="Arial"/>
            <w:sz w:val="20"/>
            <w:szCs w:val="20"/>
          </w:rPr>
          <w:t>Uredbe (EU) 2021/2115</w:t>
        </w:r>
      </w:hyperlink>
      <w:r w:rsidRPr="00D30203">
        <w:rPr>
          <w:rFonts w:ascii="Arial" w:eastAsia="Arial" w:hAnsi="Arial" w:cs="Arial"/>
          <w:sz w:val="20"/>
          <w:szCs w:val="20"/>
        </w:rPr>
        <w:t xml:space="preserve"> Evropskega parlamenta in Sveta glede dodeljenih sredstev držav članic za neposredna plačila (UL L št. 2024/946 z dne 26. 3. 2024), (v nadaljnjem besedilu: </w:t>
      </w:r>
      <w:hyperlink r:id="rId16" w:tgtFrame="_blank" w:tooltip="to EUR-Lex" w:history="1">
        <w:r w:rsidRPr="00D30203">
          <w:rPr>
            <w:rFonts w:ascii="Arial" w:eastAsia="Arial" w:hAnsi="Arial" w:cs="Arial"/>
            <w:sz w:val="20"/>
            <w:szCs w:val="20"/>
          </w:rPr>
          <w:t>Uredba 2021/2115/EU</w:t>
        </w:r>
      </w:hyperlink>
      <w:r w:rsidRPr="00D30203">
        <w:rPr>
          <w:rFonts w:ascii="Arial" w:eastAsia="Arial" w:hAnsi="Arial" w:cs="Arial"/>
          <w:sz w:val="20"/>
          <w:szCs w:val="20"/>
        </w:rPr>
        <w:t>);</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3.  </w:t>
      </w:r>
      <w:hyperlink r:id="rId17" w:tgtFrame="_blank" w:tooltip="to EUR-Lex" w:history="1">
        <w:r w:rsidRPr="00D30203">
          <w:rPr>
            <w:rFonts w:ascii="Arial" w:eastAsia="Arial" w:hAnsi="Arial" w:cs="Arial"/>
            <w:sz w:val="20"/>
            <w:szCs w:val="20"/>
          </w:rPr>
          <w:t>Uredbe (EU) 2021/2116</w:t>
        </w:r>
      </w:hyperlink>
      <w:r w:rsidRPr="00D30203">
        <w:rPr>
          <w:rFonts w:ascii="Arial" w:eastAsia="Arial" w:hAnsi="Arial" w:cs="Arial"/>
          <w:sz w:val="20"/>
          <w:szCs w:val="20"/>
        </w:rPr>
        <w:t xml:space="preserve"> Evropskega parlamenta in Sveta z dne 2. </w:t>
      </w:r>
      <w:proofErr w:type="gramStart"/>
      <w:r w:rsidRPr="00D30203">
        <w:rPr>
          <w:rFonts w:ascii="Arial" w:eastAsia="Arial" w:hAnsi="Arial" w:cs="Arial"/>
          <w:sz w:val="20"/>
          <w:szCs w:val="20"/>
        </w:rPr>
        <w:t>decembra</w:t>
      </w:r>
      <w:proofErr w:type="gramEnd"/>
      <w:r w:rsidRPr="00D30203">
        <w:rPr>
          <w:rFonts w:ascii="Arial" w:eastAsia="Arial" w:hAnsi="Arial" w:cs="Arial"/>
          <w:sz w:val="20"/>
          <w:szCs w:val="20"/>
        </w:rPr>
        <w:t xml:space="preserve"> 2021 o financiranju, upravljanju in spremljanju skupne kmetijske politike ter razveljavitvi </w:t>
      </w:r>
      <w:hyperlink r:id="rId18" w:tgtFrame="_blank" w:tooltip="to EUR-Lex" w:history="1">
        <w:r w:rsidRPr="00D30203">
          <w:rPr>
            <w:rFonts w:ascii="Arial" w:eastAsia="Arial" w:hAnsi="Arial" w:cs="Arial"/>
            <w:sz w:val="20"/>
            <w:szCs w:val="20"/>
          </w:rPr>
          <w:t>Uredbe (EU) št. </w:t>
        </w:r>
        <w:proofErr w:type="gramStart"/>
        <w:r w:rsidRPr="00D30203">
          <w:rPr>
            <w:rFonts w:ascii="Arial" w:eastAsia="Arial" w:hAnsi="Arial" w:cs="Arial"/>
            <w:sz w:val="20"/>
            <w:szCs w:val="20"/>
          </w:rPr>
          <w:t>1306/2013</w:t>
        </w:r>
        <w:proofErr w:type="gramEnd"/>
      </w:hyperlink>
      <w:r w:rsidRPr="00D30203">
        <w:rPr>
          <w:rFonts w:ascii="Arial" w:eastAsia="Arial" w:hAnsi="Arial" w:cs="Arial"/>
          <w:sz w:val="20"/>
          <w:szCs w:val="20"/>
        </w:rPr>
        <w:t xml:space="preserve"> (UL L št. 435 z dne 6. 12. 2021, str. 187), zadnjič spremenjene z </w:t>
      </w:r>
      <w:hyperlink r:id="rId19" w:tgtFrame="_blank" w:tooltip="to EUR-Lex" w:history="1">
        <w:r w:rsidRPr="00D30203">
          <w:rPr>
            <w:rFonts w:ascii="Arial" w:eastAsia="Arial" w:hAnsi="Arial" w:cs="Arial"/>
            <w:sz w:val="20"/>
            <w:szCs w:val="20"/>
          </w:rPr>
          <w:t>Delegirano uredbo Komisije (EU) 2024/205</w:t>
        </w:r>
      </w:hyperlink>
      <w:r w:rsidRPr="00D30203">
        <w:rPr>
          <w:rFonts w:ascii="Arial" w:eastAsia="Arial" w:hAnsi="Arial" w:cs="Arial"/>
          <w:sz w:val="20"/>
          <w:szCs w:val="20"/>
        </w:rPr>
        <w:t xml:space="preserve"> z dne 18. decembra 2023 o dopolnitvi </w:t>
      </w:r>
      <w:hyperlink r:id="rId20" w:tgtFrame="_blank" w:tooltip="to EUR-Lex" w:history="1">
        <w:r w:rsidRPr="00D30203">
          <w:rPr>
            <w:rFonts w:ascii="Arial" w:eastAsia="Arial" w:hAnsi="Arial" w:cs="Arial"/>
            <w:sz w:val="20"/>
            <w:szCs w:val="20"/>
          </w:rPr>
          <w:t>Uredbe (EU) 2021/2116</w:t>
        </w:r>
      </w:hyperlink>
      <w:r w:rsidRPr="00D30203">
        <w:rPr>
          <w:rFonts w:ascii="Arial" w:eastAsia="Arial" w:hAnsi="Arial" w:cs="Arial"/>
          <w:sz w:val="20"/>
          <w:szCs w:val="20"/>
        </w:rPr>
        <w:t xml:space="preserve"> Evropskega parlamenta in Sveta s posebnimi določbami o poročanju o nepravilnostih v zvezi z Evropskim kmetijskim jamstvenim skladom in Evropskim kmetijskim skladom za razvoj podeželja ter o razveljavitvi </w:t>
      </w:r>
      <w:hyperlink r:id="rId21" w:tgtFrame="_blank" w:tooltip="to EUR-Lex" w:history="1">
        <w:r w:rsidRPr="00D30203">
          <w:rPr>
            <w:rFonts w:ascii="Arial" w:eastAsia="Arial" w:hAnsi="Arial" w:cs="Arial"/>
            <w:sz w:val="20"/>
            <w:szCs w:val="20"/>
          </w:rPr>
          <w:t>Delegirane uredbe Komisije (EU) 2015/1971</w:t>
        </w:r>
      </w:hyperlink>
      <w:r w:rsidRPr="00D30203">
        <w:rPr>
          <w:rFonts w:ascii="Arial" w:eastAsia="Arial" w:hAnsi="Arial" w:cs="Arial"/>
          <w:sz w:val="20"/>
          <w:szCs w:val="20"/>
        </w:rPr>
        <w:t xml:space="preserve"> (UL L št. 2024/205 z dne 29. 2. 2024), (v nadaljnjem besedilu: </w:t>
      </w:r>
      <w:hyperlink r:id="rId22" w:tgtFrame="_blank" w:tooltip="to EUR-Lex" w:history="1">
        <w:r w:rsidRPr="00D30203">
          <w:rPr>
            <w:rFonts w:ascii="Arial" w:eastAsia="Arial" w:hAnsi="Arial" w:cs="Arial"/>
            <w:sz w:val="20"/>
            <w:szCs w:val="20"/>
          </w:rPr>
          <w:t>Uredba 2021/2116/EU</w:t>
        </w:r>
      </w:hyperlink>
      <w:r w:rsidRPr="00D30203">
        <w:rPr>
          <w:rFonts w:ascii="Arial" w:eastAsia="Arial" w:hAnsi="Arial" w:cs="Arial"/>
          <w:sz w:val="20"/>
          <w:szCs w:val="20"/>
        </w:rPr>
        <w:t>);</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lastRenderedPageBreak/>
        <w:t xml:space="preserve">4.  </w:t>
      </w:r>
      <w:hyperlink r:id="rId23" w:tgtFrame="_blank" w:tooltip="to EUR-Lex" w:history="1">
        <w:r w:rsidRPr="00D30203">
          <w:rPr>
            <w:rFonts w:ascii="Arial" w:eastAsia="Arial" w:hAnsi="Arial" w:cs="Arial"/>
            <w:sz w:val="20"/>
            <w:szCs w:val="20"/>
          </w:rPr>
          <w:t>Uredbe (EU) 2021/1058</w:t>
        </w:r>
      </w:hyperlink>
      <w:r w:rsidRPr="00D30203">
        <w:rPr>
          <w:rFonts w:ascii="Arial" w:eastAsia="Arial" w:hAnsi="Arial" w:cs="Arial"/>
          <w:sz w:val="20"/>
          <w:szCs w:val="20"/>
        </w:rPr>
        <w:t xml:space="preserve"> Evropskega parlamenta in Sveta z dne 24. </w:t>
      </w:r>
      <w:proofErr w:type="gramStart"/>
      <w:r w:rsidRPr="00D30203">
        <w:rPr>
          <w:rFonts w:ascii="Arial" w:eastAsia="Arial" w:hAnsi="Arial" w:cs="Arial"/>
          <w:sz w:val="20"/>
          <w:szCs w:val="20"/>
        </w:rPr>
        <w:t>junija</w:t>
      </w:r>
      <w:proofErr w:type="gramEnd"/>
      <w:r w:rsidRPr="00D30203">
        <w:rPr>
          <w:rFonts w:ascii="Arial" w:eastAsia="Arial" w:hAnsi="Arial" w:cs="Arial"/>
          <w:sz w:val="20"/>
          <w:szCs w:val="20"/>
        </w:rPr>
        <w:t xml:space="preserve"> 2021 o Evropskem skladu za regionalni razvoj in Kohezijskem skladu (UL L št. 231 z dne 30. 6. 2021, str. 60), zadnjič popravljene s Popravkom (UL L št. 13 z dne 20. 1. 2022, str. 74), (v nadaljnjem besedilu: </w:t>
      </w:r>
      <w:hyperlink r:id="rId24" w:tgtFrame="_blank" w:tooltip="to EUR-Lex" w:history="1">
        <w:r w:rsidRPr="00D30203">
          <w:rPr>
            <w:rFonts w:ascii="Arial" w:eastAsia="Arial" w:hAnsi="Arial" w:cs="Arial"/>
            <w:sz w:val="20"/>
            <w:szCs w:val="20"/>
          </w:rPr>
          <w:t>Uredba 2021/1058/EU</w:t>
        </w:r>
      </w:hyperlink>
      <w:r w:rsidRPr="00D30203">
        <w:rPr>
          <w:rFonts w:ascii="Arial" w:eastAsia="Arial" w:hAnsi="Arial" w:cs="Arial"/>
          <w:sz w:val="20"/>
          <w:szCs w:val="20"/>
        </w:rPr>
        <w:t>);</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5.  </w:t>
      </w:r>
      <w:hyperlink r:id="rId25" w:tgtFrame="_blank" w:tooltip="to EUR-Lex" w:history="1">
        <w:r w:rsidRPr="00D30203">
          <w:rPr>
            <w:rFonts w:ascii="Arial" w:eastAsia="Arial" w:hAnsi="Arial" w:cs="Arial"/>
            <w:sz w:val="20"/>
            <w:szCs w:val="20"/>
          </w:rPr>
          <w:t>Izvedbene uredbe Komisije (EU) 2021/2289</w:t>
        </w:r>
      </w:hyperlink>
      <w:r w:rsidRPr="00D30203">
        <w:rPr>
          <w:rFonts w:ascii="Arial" w:eastAsia="Arial" w:hAnsi="Arial" w:cs="Arial"/>
          <w:sz w:val="20"/>
          <w:szCs w:val="20"/>
        </w:rPr>
        <w:t xml:space="preserve"> z dne 21. decembra 2021 o določitvi pravil za uporabo </w:t>
      </w:r>
      <w:hyperlink r:id="rId26" w:tgtFrame="_blank" w:tooltip="to EUR-Lex" w:history="1">
        <w:r w:rsidRPr="00D30203">
          <w:rPr>
            <w:rFonts w:ascii="Arial" w:eastAsia="Arial" w:hAnsi="Arial" w:cs="Arial"/>
            <w:sz w:val="20"/>
            <w:szCs w:val="20"/>
          </w:rPr>
          <w:t>Uredbe (EU) 2021/2115</w:t>
        </w:r>
      </w:hyperlink>
      <w:r w:rsidRPr="00D30203">
        <w:rPr>
          <w:rFonts w:ascii="Arial" w:eastAsia="Arial" w:hAnsi="Arial" w:cs="Arial"/>
          <w:sz w:val="20"/>
          <w:szCs w:val="20"/>
        </w:rPr>
        <w:t xml:space="preserve"> Evropskega parlamenta in Sveta o predstavitvi vsebine strateških načrtov SKP in elektronskem sistemu za varno izmenjavo informacij (UL L št. 458 z dne 22. 12. 2021, str. 463), zadnjič popravljene s Popravkom (UL L št. 156 z dne 9. 6. 2022, str. 163);</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6.  </w:t>
      </w:r>
      <w:hyperlink r:id="rId27" w:tgtFrame="_blank" w:tooltip="to EUR-Lex" w:history="1">
        <w:r w:rsidRPr="00D30203">
          <w:rPr>
            <w:rFonts w:ascii="Arial" w:eastAsia="Arial" w:hAnsi="Arial" w:cs="Arial"/>
            <w:sz w:val="20"/>
            <w:szCs w:val="20"/>
          </w:rPr>
          <w:t>Delegirane uredbe Komisije (EU) 2022/127</w:t>
        </w:r>
      </w:hyperlink>
      <w:r w:rsidRPr="00D30203">
        <w:rPr>
          <w:rFonts w:ascii="Arial" w:eastAsia="Arial" w:hAnsi="Arial" w:cs="Arial"/>
          <w:sz w:val="20"/>
          <w:szCs w:val="20"/>
        </w:rPr>
        <w:t xml:space="preserve"> z dne 7. decembra 2021 o dopolnitvi </w:t>
      </w:r>
      <w:hyperlink r:id="rId28" w:tgtFrame="_blank" w:tooltip="to EUR-Lex" w:history="1">
        <w:r w:rsidRPr="00D30203">
          <w:rPr>
            <w:rFonts w:ascii="Arial" w:eastAsia="Arial" w:hAnsi="Arial" w:cs="Arial"/>
            <w:sz w:val="20"/>
            <w:szCs w:val="20"/>
          </w:rPr>
          <w:t>Uredbe (EU) 2021/2116</w:t>
        </w:r>
      </w:hyperlink>
      <w:r w:rsidRPr="00D30203">
        <w:rPr>
          <w:rFonts w:ascii="Arial" w:eastAsia="Arial" w:hAnsi="Arial" w:cs="Arial"/>
          <w:sz w:val="20"/>
          <w:szCs w:val="20"/>
        </w:rPr>
        <w:t xml:space="preserve"> Evropskega parlamenta in Sveta s pravili o plačilnih agencijah in drugih organih, finančnem upravljanju, potrditvi obračunov, varščinah in uporabi eura (UL L št. 20 z dne 31. 1. 2022, str. 95), zadnjič spremenjene z </w:t>
      </w:r>
      <w:hyperlink r:id="rId29" w:tgtFrame="_blank" w:tooltip="to EUR-Lex" w:history="1">
        <w:r w:rsidRPr="00D30203">
          <w:rPr>
            <w:rFonts w:ascii="Arial" w:eastAsia="Arial" w:hAnsi="Arial" w:cs="Arial"/>
            <w:sz w:val="20"/>
            <w:szCs w:val="20"/>
          </w:rPr>
          <w:t>Delegirano uredbo Komisije (EU) 2023/1448</w:t>
        </w:r>
      </w:hyperlink>
      <w:r w:rsidRPr="00D30203">
        <w:rPr>
          <w:rFonts w:ascii="Arial" w:eastAsia="Arial" w:hAnsi="Arial" w:cs="Arial"/>
          <w:sz w:val="20"/>
          <w:szCs w:val="20"/>
        </w:rPr>
        <w:t xml:space="preserve"> z dne 10. maja 2023 o spremembi </w:t>
      </w:r>
      <w:hyperlink r:id="rId30" w:tgtFrame="_blank" w:tooltip="to EUR-Lex" w:history="1">
        <w:r w:rsidRPr="00D30203">
          <w:rPr>
            <w:rFonts w:ascii="Arial" w:eastAsia="Arial" w:hAnsi="Arial" w:cs="Arial"/>
            <w:sz w:val="20"/>
            <w:szCs w:val="20"/>
          </w:rPr>
          <w:t>Delegirane uredbe (EU) 2022/127</w:t>
        </w:r>
      </w:hyperlink>
      <w:r w:rsidRPr="00D30203">
        <w:rPr>
          <w:rFonts w:ascii="Arial" w:eastAsia="Arial" w:hAnsi="Arial" w:cs="Arial"/>
          <w:sz w:val="20"/>
          <w:szCs w:val="20"/>
        </w:rPr>
        <w:t xml:space="preserve"> glede izplačila predplačil v okviru šolske sheme in o popravku navedene uredbe (UL L št. 179 z dne 14. 7. 2023, str. 2); in</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7.  </w:t>
      </w:r>
      <w:hyperlink r:id="rId31" w:tgtFrame="_blank" w:tooltip="to EUR-Lex" w:history="1">
        <w:r w:rsidRPr="00D30203">
          <w:rPr>
            <w:rFonts w:ascii="Arial" w:eastAsia="Arial" w:hAnsi="Arial" w:cs="Arial"/>
            <w:sz w:val="20"/>
            <w:szCs w:val="20"/>
          </w:rPr>
          <w:t>Izvedbene uredbe Komisije (EU) 2022/128</w:t>
        </w:r>
      </w:hyperlink>
      <w:r w:rsidRPr="00D30203">
        <w:rPr>
          <w:rFonts w:ascii="Arial" w:eastAsia="Arial" w:hAnsi="Arial" w:cs="Arial"/>
          <w:sz w:val="20"/>
          <w:szCs w:val="20"/>
        </w:rPr>
        <w:t xml:space="preserve"> z dne 21. decembra 2021 o pravilih za uporabo </w:t>
      </w:r>
      <w:hyperlink r:id="rId32" w:tgtFrame="_blank" w:tooltip="to EUR-Lex" w:history="1">
        <w:r w:rsidRPr="00D30203">
          <w:rPr>
            <w:rFonts w:ascii="Arial" w:eastAsia="Arial" w:hAnsi="Arial" w:cs="Arial"/>
            <w:sz w:val="20"/>
            <w:szCs w:val="20"/>
          </w:rPr>
          <w:t>Uredbe (EU) 2021/2116</w:t>
        </w:r>
      </w:hyperlink>
      <w:r w:rsidRPr="00D30203">
        <w:rPr>
          <w:rFonts w:ascii="Arial" w:eastAsia="Arial" w:hAnsi="Arial" w:cs="Arial"/>
          <w:sz w:val="20"/>
          <w:szCs w:val="20"/>
        </w:rPr>
        <w:t xml:space="preserve"> Evropskega parlamenta in Sveta v zvezi s plačilnimi agencijami in drugimi organi, finančnim upravljanjem, potrditvijo obračunov, pregledi, varščinami in preglednostjo (UL L št. 20 z dne 31. 1. 2022, str. 131), zadnjič spremenjene z </w:t>
      </w:r>
      <w:hyperlink r:id="rId33" w:tgtFrame="_blank" w:tooltip="to EUR-Lex" w:history="1">
        <w:r w:rsidRPr="00D30203">
          <w:rPr>
            <w:rFonts w:ascii="Arial" w:eastAsia="Arial" w:hAnsi="Arial" w:cs="Arial"/>
            <w:sz w:val="20"/>
            <w:szCs w:val="20"/>
          </w:rPr>
          <w:t>Izvedbeno uredbo Komisije (EU) 2023/2155</w:t>
        </w:r>
      </w:hyperlink>
      <w:r w:rsidRPr="00D30203">
        <w:rPr>
          <w:rFonts w:ascii="Arial" w:eastAsia="Arial" w:hAnsi="Arial" w:cs="Arial"/>
          <w:sz w:val="20"/>
          <w:szCs w:val="20"/>
        </w:rPr>
        <w:t xml:space="preserve"> z dne 17. oktobra 2023 o spremembi </w:t>
      </w:r>
      <w:hyperlink r:id="rId34" w:tgtFrame="_blank" w:tooltip="to EUR-Lex" w:history="1">
        <w:r w:rsidRPr="00D30203">
          <w:rPr>
            <w:rFonts w:ascii="Arial" w:eastAsia="Arial" w:hAnsi="Arial" w:cs="Arial"/>
            <w:sz w:val="20"/>
            <w:szCs w:val="20"/>
          </w:rPr>
          <w:t>Izvedbene uredbe (EU) 2022/128</w:t>
        </w:r>
      </w:hyperlink>
      <w:r w:rsidRPr="00D30203">
        <w:rPr>
          <w:rFonts w:ascii="Arial" w:eastAsia="Arial" w:hAnsi="Arial" w:cs="Arial"/>
          <w:sz w:val="20"/>
          <w:szCs w:val="20"/>
        </w:rPr>
        <w:t xml:space="preserve"> glede nekaterih zahtev glede poročanja za sporočila o EKJS v elektronski obliki (UL L št. 2023/2155 z dne 18. 10. 2023).</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(3) Za podpore iz točke a) tretjega odstavka 4.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 za katerih izvajanje se sredstva dodelijo kot državna pomoč ali kot pomoč </w:t>
      </w:r>
      <w:r w:rsidRPr="00D30203">
        <w:rPr>
          <w:rFonts w:ascii="Arial" w:eastAsia="Arial" w:hAnsi="Arial" w:cs="Arial"/>
          <w:i/>
          <w:iCs/>
          <w:sz w:val="20"/>
          <w:szCs w:val="20"/>
        </w:rPr>
        <w:t xml:space="preserve">de minimis </w:t>
      </w:r>
      <w:r w:rsidRPr="00D30203">
        <w:rPr>
          <w:rFonts w:ascii="Arial" w:eastAsia="Arial" w:hAnsi="Arial" w:cs="Arial"/>
          <w:sz w:val="20"/>
          <w:szCs w:val="20"/>
        </w:rPr>
        <w:t>v skladu s pravnimi akti Evropske unije, se s to uredbo določajo splošne skupne zahteve in pogoji za izvajanje:</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1.  </w:t>
      </w:r>
      <w:hyperlink r:id="rId35" w:tgtFrame="_blank" w:tooltip="to EUR-Lex" w:history="1">
        <w:r w:rsidRPr="00D30203">
          <w:rPr>
            <w:rFonts w:ascii="Arial" w:eastAsia="Arial" w:hAnsi="Arial" w:cs="Arial"/>
            <w:sz w:val="20"/>
            <w:szCs w:val="20"/>
          </w:rPr>
          <w:t>Uredbe Komisije (EU) 2023/2831</w:t>
        </w:r>
      </w:hyperlink>
      <w:r w:rsidRPr="00D30203">
        <w:rPr>
          <w:rFonts w:ascii="Arial" w:eastAsia="Arial" w:hAnsi="Arial" w:cs="Arial"/>
          <w:sz w:val="20"/>
          <w:szCs w:val="20"/>
        </w:rPr>
        <w:t xml:space="preserve"> z dne 13. decembra 2023 o uporabi členov 107 in 108 Pogodbe o delovanju Evropske unije pri pomoči </w:t>
      </w:r>
      <w:r w:rsidRPr="00D30203">
        <w:rPr>
          <w:rFonts w:ascii="Arial" w:eastAsia="Arial" w:hAnsi="Arial" w:cs="Arial"/>
          <w:i/>
          <w:iCs/>
          <w:sz w:val="20"/>
          <w:szCs w:val="20"/>
        </w:rPr>
        <w:t>de minimis</w:t>
      </w:r>
      <w:r w:rsidRPr="00D30203">
        <w:rPr>
          <w:rFonts w:ascii="Arial" w:eastAsia="Arial" w:hAnsi="Arial" w:cs="Arial"/>
          <w:sz w:val="20"/>
          <w:szCs w:val="20"/>
        </w:rPr>
        <w:t xml:space="preserve"> (UL L št. 2023/2831 z dne 15. 12. 2023; v nadaljnjem besedilu: </w:t>
      </w:r>
      <w:hyperlink r:id="rId36" w:tgtFrame="_blank" w:tooltip="to EUR-Lex" w:history="1">
        <w:r w:rsidRPr="00D30203">
          <w:rPr>
            <w:rFonts w:ascii="Arial" w:eastAsia="Arial" w:hAnsi="Arial" w:cs="Arial"/>
            <w:sz w:val="20"/>
            <w:szCs w:val="20"/>
          </w:rPr>
          <w:t>Uredba 2023/2831/EU</w:t>
        </w:r>
      </w:hyperlink>
      <w:r w:rsidRPr="00D30203">
        <w:rPr>
          <w:rFonts w:ascii="Arial" w:eastAsia="Arial" w:hAnsi="Arial" w:cs="Arial"/>
          <w:sz w:val="20"/>
          <w:szCs w:val="20"/>
        </w:rPr>
        <w:t>) in</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2.      </w:t>
      </w:r>
      <w:hyperlink r:id="rId37" w:tgtFrame="_blank" w:tooltip="to EUR-Lex" w:history="1">
        <w:r w:rsidRPr="00D30203">
          <w:rPr>
            <w:rFonts w:ascii="Arial" w:eastAsia="Arial" w:hAnsi="Arial" w:cs="Arial"/>
            <w:sz w:val="20"/>
            <w:szCs w:val="20"/>
          </w:rPr>
          <w:t>Uredbe Komisije (EU) št. </w:t>
        </w:r>
        <w:proofErr w:type="gramStart"/>
        <w:r w:rsidRPr="00D30203">
          <w:rPr>
            <w:rFonts w:ascii="Arial" w:eastAsia="Arial" w:hAnsi="Arial" w:cs="Arial"/>
            <w:sz w:val="20"/>
            <w:szCs w:val="20"/>
          </w:rPr>
          <w:t>651/2014</w:t>
        </w:r>
        <w:proofErr w:type="gramEnd"/>
      </w:hyperlink>
      <w:r w:rsidRPr="00D30203">
        <w:rPr>
          <w:rFonts w:ascii="Arial" w:eastAsia="Arial" w:hAnsi="Arial" w:cs="Arial"/>
          <w:sz w:val="20"/>
          <w:szCs w:val="20"/>
        </w:rPr>
        <w:t xml:space="preserve"> z dne 17. </w:t>
      </w:r>
      <w:proofErr w:type="gramStart"/>
      <w:r w:rsidRPr="00D30203">
        <w:rPr>
          <w:rFonts w:ascii="Arial" w:eastAsia="Arial" w:hAnsi="Arial" w:cs="Arial"/>
          <w:sz w:val="20"/>
          <w:szCs w:val="20"/>
        </w:rPr>
        <w:t>junija</w:t>
      </w:r>
      <w:proofErr w:type="gramEnd"/>
      <w:r w:rsidRPr="00D30203">
        <w:rPr>
          <w:rFonts w:ascii="Arial" w:eastAsia="Arial" w:hAnsi="Arial" w:cs="Arial"/>
          <w:sz w:val="20"/>
          <w:szCs w:val="20"/>
        </w:rPr>
        <w:t xml:space="preserve"> 2014 o razglasitvi nekaterih vrst pomoči za združljive z notranjim trgom pri uporabi členov 107 in 108 Pogodbe (UL L št. 187 z dne 26. 6. 2014, str. 1), zadnjič spremenjene z </w:t>
      </w:r>
      <w:hyperlink r:id="rId38" w:tgtFrame="_blank" w:tooltip="to EUR-Lex" w:history="1">
        <w:r w:rsidRPr="00D30203">
          <w:rPr>
            <w:rFonts w:ascii="Arial" w:eastAsia="Arial" w:hAnsi="Arial" w:cs="Arial"/>
            <w:sz w:val="20"/>
            <w:szCs w:val="20"/>
          </w:rPr>
          <w:t>Uredbo Komisije (EU) 2023/1315</w:t>
        </w:r>
      </w:hyperlink>
      <w:r w:rsidRPr="00D30203">
        <w:rPr>
          <w:rFonts w:ascii="Arial" w:eastAsia="Arial" w:hAnsi="Arial" w:cs="Arial"/>
          <w:sz w:val="20"/>
          <w:szCs w:val="20"/>
        </w:rPr>
        <w:t xml:space="preserve"> z dne 23. </w:t>
      </w:r>
      <w:proofErr w:type="gramStart"/>
      <w:r w:rsidRPr="00D30203">
        <w:rPr>
          <w:rFonts w:ascii="Arial" w:eastAsia="Arial" w:hAnsi="Arial" w:cs="Arial"/>
          <w:sz w:val="20"/>
          <w:szCs w:val="20"/>
        </w:rPr>
        <w:t>junija</w:t>
      </w:r>
      <w:proofErr w:type="gramEnd"/>
      <w:r w:rsidRPr="00D30203">
        <w:rPr>
          <w:rFonts w:ascii="Arial" w:eastAsia="Arial" w:hAnsi="Arial" w:cs="Arial"/>
          <w:sz w:val="20"/>
          <w:szCs w:val="20"/>
        </w:rPr>
        <w:t xml:space="preserve"> 2023 o spremembi </w:t>
      </w:r>
      <w:hyperlink r:id="rId39" w:tgtFrame="_blank" w:tooltip="to EUR-Lex" w:history="1">
        <w:r w:rsidRPr="00D30203">
          <w:rPr>
            <w:rFonts w:ascii="Arial" w:eastAsia="Arial" w:hAnsi="Arial" w:cs="Arial"/>
            <w:sz w:val="20"/>
            <w:szCs w:val="20"/>
          </w:rPr>
          <w:t>Uredbe (EU) št. </w:t>
        </w:r>
        <w:proofErr w:type="gramStart"/>
        <w:r w:rsidRPr="00D30203">
          <w:rPr>
            <w:rFonts w:ascii="Arial" w:eastAsia="Arial" w:hAnsi="Arial" w:cs="Arial"/>
            <w:sz w:val="20"/>
            <w:szCs w:val="20"/>
          </w:rPr>
          <w:t>651/2014</w:t>
        </w:r>
      </w:hyperlink>
      <w:r w:rsidRPr="00D30203">
        <w:rPr>
          <w:rFonts w:ascii="Arial" w:eastAsia="Arial" w:hAnsi="Arial" w:cs="Arial"/>
          <w:sz w:val="20"/>
          <w:szCs w:val="20"/>
        </w:rPr>
        <w:t xml:space="preserve"> o razglasitvi nekaterih vrst pomoči za združljive z notranjim trgom pri uporabi členov 107 in 108 Pogodbe ter </w:t>
      </w:r>
      <w:hyperlink r:id="rId40" w:tgtFrame="_blank" w:tooltip="to EUR-Lex" w:history="1">
        <w:r w:rsidRPr="00D30203">
          <w:rPr>
            <w:rFonts w:ascii="Arial" w:eastAsia="Arial" w:hAnsi="Arial" w:cs="Arial"/>
            <w:sz w:val="20"/>
            <w:szCs w:val="20"/>
          </w:rPr>
          <w:t>Uredbe (EU) 2022/2473</w:t>
        </w:r>
      </w:hyperlink>
      <w:r w:rsidRPr="00D30203">
        <w:rPr>
          <w:rFonts w:ascii="Arial" w:eastAsia="Arial" w:hAnsi="Arial" w:cs="Arial"/>
          <w:sz w:val="20"/>
          <w:szCs w:val="20"/>
        </w:rPr>
        <w:t xml:space="preserve"> o razglasitvi nekaterih vrst pomoči za podjetja, ki se ukvarjajo s proizvodnjo, predelavo in trženjem ribiških proizvodov in proizvodov iz akvakulture, za združljive z notranjim trgom z uporabo členov 107 in 108 Pogodbe (UL L št. 167 z dne 30.</w:t>
      </w:r>
      <w:proofErr w:type="gramEnd"/>
      <w:r w:rsidRPr="00D30203">
        <w:rPr>
          <w:rFonts w:ascii="Arial" w:eastAsia="Arial" w:hAnsi="Arial" w:cs="Arial"/>
          <w:sz w:val="20"/>
          <w:szCs w:val="20"/>
        </w:rPr>
        <w:t xml:space="preserve"> 6. 2023, str. 1), (v nadaljnjem besedilu: </w:t>
      </w:r>
      <w:hyperlink r:id="rId41" w:tgtFrame="_blank" w:tooltip="to EUR-Lex" w:history="1">
        <w:r w:rsidRPr="00D30203">
          <w:rPr>
            <w:rFonts w:ascii="Arial" w:eastAsia="Arial" w:hAnsi="Arial" w:cs="Arial"/>
            <w:sz w:val="20"/>
            <w:szCs w:val="20"/>
          </w:rPr>
          <w:t>Uredba 651/2014/EU</w:t>
        </w:r>
      </w:hyperlink>
      <w:r w:rsidRPr="00D30203">
        <w:rPr>
          <w:rFonts w:ascii="Arial" w:eastAsia="Arial" w:hAnsi="Arial" w:cs="Arial"/>
          <w:sz w:val="20"/>
          <w:szCs w:val="20"/>
        </w:rPr>
        <w:t>).</w:t>
      </w:r>
    </w:p>
    <w:p w:rsidR="00B21CC9" w:rsidRPr="00D30203" w:rsidRDefault="00CE4BB3">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2</w:t>
      </w:r>
      <w:r w:rsidR="00B5624C" w:rsidRPr="00D30203">
        <w:rPr>
          <w:rFonts w:ascii="Arial" w:eastAsia="Arial" w:hAnsi="Arial" w:cs="Arial"/>
          <w:b/>
          <w:bCs/>
          <w:sz w:val="20"/>
          <w:szCs w:val="20"/>
        </w:rPr>
        <w:t>. </w:t>
      </w:r>
      <w:proofErr w:type="gramStart"/>
      <w:r w:rsidR="00B5624C"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pristojni</w:t>
      </w:r>
      <w:proofErr w:type="gramEnd"/>
      <w:r w:rsidRPr="00D30203">
        <w:rPr>
          <w:rFonts w:ascii="Arial" w:eastAsia="Arial" w:hAnsi="Arial" w:cs="Arial"/>
          <w:b/>
          <w:bCs/>
          <w:sz w:val="20"/>
          <w:szCs w:val="20"/>
        </w:rPr>
        <w:t xml:space="preserve"> organi in naloge)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Medresorska delovna skupina CLLD (v nadaljnjem besedilu: MDS CLLD) je odbor, ki ga v skladu s tretjim odstavkom 31.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42" w:tgtFrame="_blank" w:tooltip="to EUR-Lex" w:history="1">
        <w:r w:rsidRPr="00D30203">
          <w:rPr>
            <w:rFonts w:ascii="Arial" w:eastAsia="Arial" w:hAnsi="Arial" w:cs="Arial"/>
            <w:sz w:val="20"/>
            <w:szCs w:val="20"/>
          </w:rPr>
          <w:t>Uredbe 2021/1060/EU</w:t>
        </w:r>
      </w:hyperlink>
      <w:r w:rsidRPr="00D30203">
        <w:rPr>
          <w:rFonts w:ascii="Arial" w:eastAsia="Arial" w:hAnsi="Arial" w:cs="Arial"/>
          <w:sz w:val="20"/>
          <w:szCs w:val="20"/>
        </w:rPr>
        <w:t xml:space="preserve"> s sklepom ustanovita organa upravljanja vključenih skladov. Nalogi MDS CLLD po tej uredbi sta:</w:t>
      </w:r>
    </w:p>
    <w:p w:rsidR="00B21CC9" w:rsidRPr="00D30203" w:rsidRDefault="00B5624C">
      <w:pPr>
        <w:pStyle w:val="crkovnatock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a)     </w:t>
      </w:r>
      <w:proofErr w:type="gramStart"/>
      <w:r w:rsidRPr="00D30203">
        <w:rPr>
          <w:rFonts w:ascii="Arial" w:eastAsia="Arial" w:hAnsi="Arial" w:cs="Arial"/>
          <w:sz w:val="20"/>
          <w:szCs w:val="20"/>
        </w:rPr>
        <w:t>spremljanje</w:t>
      </w:r>
      <w:proofErr w:type="gramEnd"/>
      <w:r w:rsidRPr="00D30203">
        <w:rPr>
          <w:rFonts w:ascii="Arial" w:eastAsia="Arial" w:hAnsi="Arial" w:cs="Arial"/>
          <w:sz w:val="20"/>
          <w:szCs w:val="20"/>
        </w:rPr>
        <w:t xml:space="preserve"> izvajanja SLR,</w:t>
      </w:r>
    </w:p>
    <w:p w:rsidR="00B21CC9" w:rsidRPr="00D30203" w:rsidRDefault="00B5624C">
      <w:pPr>
        <w:pStyle w:val="crkovnatock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b)     </w:t>
      </w:r>
      <w:proofErr w:type="gramStart"/>
      <w:r w:rsidRPr="00D30203">
        <w:rPr>
          <w:rFonts w:ascii="Arial" w:eastAsia="Arial" w:hAnsi="Arial" w:cs="Arial"/>
          <w:sz w:val="20"/>
          <w:szCs w:val="20"/>
        </w:rPr>
        <w:t>obravnava</w:t>
      </w:r>
      <w:proofErr w:type="gramEnd"/>
      <w:r w:rsidRPr="00D30203">
        <w:rPr>
          <w:rFonts w:ascii="Arial" w:eastAsia="Arial" w:hAnsi="Arial" w:cs="Arial"/>
          <w:sz w:val="20"/>
          <w:szCs w:val="20"/>
        </w:rPr>
        <w:t xml:space="preserve"> sprememb odobrenih SLR.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lastRenderedPageBreak/>
        <w:t>(2) Za sklad EKSRP naloge organa upravljanja opravljata Ministrstvo za kmetijstvo, gozdarstvo in prehrano (v nadaljnjem besedilu: MKGP) in Agencija Republike Slovenije za kmetijske trge in razvoj podeželja (v nadaljnjem besedilu: ARSKTRP), in sicer:</w:t>
      </w:r>
    </w:p>
    <w:p w:rsidR="00B21CC9" w:rsidRPr="00D30203" w:rsidRDefault="00B5624C">
      <w:pPr>
        <w:pStyle w:val="crkovnatockazaodstavkom"/>
        <w:spacing w:before="210" w:after="210"/>
        <w:ind w:left="425"/>
        <w:rPr>
          <w:rFonts w:ascii="Arial" w:eastAsia="Arial" w:hAnsi="Arial" w:cs="Arial"/>
          <w:sz w:val="20"/>
          <w:szCs w:val="20"/>
        </w:rPr>
      </w:pPr>
      <w:r w:rsidRPr="00D30203">
        <w:rPr>
          <w:rFonts w:ascii="Arial" w:eastAsia="Arial" w:hAnsi="Arial" w:cs="Arial"/>
          <w:sz w:val="20"/>
          <w:szCs w:val="20"/>
        </w:rPr>
        <w:t>a)     MKGP izda odločbo o potrditvi oziroma zavrnitvi spremembe SLR, nadzoruje in spremlja delovanje posameznega LAS in izvajanja SLR, organizira izobraževanja in delavnice za LAS;</w:t>
      </w:r>
    </w:p>
    <w:p w:rsidR="00B21CC9" w:rsidRPr="00D30203" w:rsidRDefault="00B5624C">
      <w:pPr>
        <w:pStyle w:val="crkovnatock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b)     ARSKTRP zagotovi beleženje, vzdrževanje, vodenje in sporočanje podatkov v povezavi z izvajanjem podpor, preverja izpolnjevanje pogojev za upravičenost projektov pred izdajo odločbe o pravici do sredstev, izdaja odločbe in sklepe upravičencem, vodi upravne postopke, </w:t>
      </w:r>
      <w:proofErr w:type="gramStart"/>
      <w:r w:rsidRPr="00D30203">
        <w:rPr>
          <w:rFonts w:ascii="Arial" w:eastAsia="Arial" w:hAnsi="Arial" w:cs="Arial"/>
          <w:sz w:val="20"/>
          <w:szCs w:val="20"/>
        </w:rPr>
        <w:t>odloča</w:t>
      </w:r>
      <w:proofErr w:type="gramEnd"/>
      <w:r w:rsidRPr="00D30203">
        <w:rPr>
          <w:rFonts w:ascii="Arial" w:eastAsia="Arial" w:hAnsi="Arial" w:cs="Arial"/>
          <w:sz w:val="20"/>
          <w:szCs w:val="20"/>
        </w:rPr>
        <w:t xml:space="preserve"> o spremembah projektov. ARSKTRP izvaja tudi nadzor </w:t>
      </w:r>
      <w:proofErr w:type="gramStart"/>
      <w:r w:rsidRPr="00D30203">
        <w:rPr>
          <w:rFonts w:ascii="Arial" w:eastAsia="Arial" w:hAnsi="Arial" w:cs="Arial"/>
          <w:sz w:val="20"/>
          <w:szCs w:val="20"/>
        </w:rPr>
        <w:t>nad</w:t>
      </w:r>
      <w:proofErr w:type="gramEnd"/>
      <w:r w:rsidRPr="00D30203">
        <w:rPr>
          <w:rFonts w:ascii="Arial" w:eastAsia="Arial" w:hAnsi="Arial" w:cs="Arial"/>
          <w:sz w:val="20"/>
          <w:szCs w:val="20"/>
        </w:rPr>
        <w:t xml:space="preserve"> projekti, opravlja kontrole ter skrbi za pravilna izplačila sredstev in izterjave.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(3) Za sklad ESRR v skladu uredbo, ki ureja izvajanje evropske kohezijske politike za programsko obdobje 2021–2027 za cilj naložbe za rast in delovna </w:t>
      </w:r>
      <w:proofErr w:type="gramStart"/>
      <w:r w:rsidRPr="00D30203">
        <w:rPr>
          <w:rFonts w:ascii="Arial" w:eastAsia="Arial" w:hAnsi="Arial" w:cs="Arial"/>
          <w:sz w:val="20"/>
          <w:szCs w:val="20"/>
        </w:rPr>
        <w:t>mesta</w:t>
      </w:r>
      <w:proofErr w:type="gramEnd"/>
      <w:r w:rsidRPr="00D30203">
        <w:rPr>
          <w:rFonts w:ascii="Arial" w:eastAsia="Arial" w:hAnsi="Arial" w:cs="Arial"/>
          <w:sz w:val="20"/>
          <w:szCs w:val="20"/>
        </w:rPr>
        <w:t>, Ministrstvo za kohezijo in regionalni razvoj (v nadaljnjem besedilu: MKRR) opravlja naloge organa opravljanja in posredniškega telesa, in sicer:</w:t>
      </w:r>
    </w:p>
    <w:p w:rsidR="00B21CC9" w:rsidRPr="00D30203" w:rsidRDefault="00B5624C">
      <w:pPr>
        <w:pStyle w:val="crkovnatock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a)     MKRR v vlogi organa upravljanja ESRR izda odločitve o podpori v skladu z uredbo, ki ureja izvajanje evropske kohezijske politike za programsko obdobje 2021–2027 za cilj naložbe za rast in delovna </w:t>
      </w:r>
      <w:proofErr w:type="gramStart"/>
      <w:r w:rsidRPr="00D30203">
        <w:rPr>
          <w:rFonts w:ascii="Arial" w:eastAsia="Arial" w:hAnsi="Arial" w:cs="Arial"/>
          <w:sz w:val="20"/>
          <w:szCs w:val="20"/>
        </w:rPr>
        <w:t>mesta</w:t>
      </w:r>
      <w:proofErr w:type="gramEnd"/>
      <w:r w:rsidRPr="00D30203">
        <w:rPr>
          <w:rFonts w:ascii="Arial" w:eastAsia="Arial" w:hAnsi="Arial" w:cs="Arial"/>
          <w:sz w:val="20"/>
          <w:szCs w:val="20"/>
        </w:rPr>
        <w:t>;</w:t>
      </w:r>
    </w:p>
    <w:p w:rsidR="00B21CC9" w:rsidRPr="00D30203" w:rsidRDefault="00B5624C">
      <w:pPr>
        <w:pStyle w:val="crkovnatock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b)     MKRR v vlogi posredniškega telesa ESRR nadzoruje in spremlja delovanje posameznega LAS ter izvajanje SLR, izvaja in organizira usposabljanja in delavnice za LAS, preverja izpolnjevanje pogojev upravičenosti predlogov operacij pred sklenitvijo pogodb o sofinanciranju, potrjuje operacije, sklepa pogodbe o sofinanciranju z upravičenci ter spremlja delovanje posameznega LAS. Spremlja izvajanje operacij in izvaja upravljalna preverjanja, v okviru katerih preverja izpolnjevanje pogojev za upravičenost pred izplačilom sredstev, skrbi za pravilna izplačila sredstev in vračila pri neupravičenem koriščenju sredstev. Pred nakazilom sredstev preveri možnost dvojnega financiranja, višino že prejetih sredstev iz naslova državnih pomoči in nakazuje sredstva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transakcijski račun upravičenca.</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4. 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cilji</w:t>
      </w:r>
      <w:proofErr w:type="gramEnd"/>
      <w:r w:rsidRPr="00D30203">
        <w:rPr>
          <w:rFonts w:ascii="Arial" w:eastAsia="Arial" w:hAnsi="Arial" w:cs="Arial"/>
          <w:b/>
          <w:bCs/>
          <w:sz w:val="20"/>
          <w:szCs w:val="20"/>
        </w:rPr>
        <w:t xml:space="preserve"> podpor lokalnega razvoja, ki ga vodi skupnost, in namen podpor)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Cilj lokalnega razvoja, ki ga vodi skupnost, s pristopom LEADER/CLLD je spodbujanje celovitega in uravnoteženega razvoja lokalnih območij po pristopu »od spodaj navzgor« z odobrenimi SLR.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(2) Pristop LEADER/CLLD prispeva k skupnemu cilju iz točke (e) prvega odstavka 5.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43" w:tgtFrame="_blank" w:tooltip="to EUR-Lex" w:history="1">
        <w:r w:rsidRPr="00D30203">
          <w:rPr>
            <w:rFonts w:ascii="Arial" w:eastAsia="Arial" w:hAnsi="Arial" w:cs="Arial"/>
            <w:color w:val="0000EE"/>
            <w:sz w:val="20"/>
            <w:szCs w:val="20"/>
            <w:u w:val="single" w:color="0000EE"/>
          </w:rPr>
          <w:t>Uredbe 2021/1060/EU</w:t>
        </w:r>
      </w:hyperlink>
      <w:r w:rsidRPr="00D30203">
        <w:rPr>
          <w:rFonts w:ascii="Arial" w:eastAsia="Arial" w:hAnsi="Arial" w:cs="Arial"/>
          <w:sz w:val="20"/>
          <w:szCs w:val="20"/>
        </w:rPr>
        <w:t>.</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(3) Podpora za izvajanje pristopa LEADER/CLLD iz skladov EKSRP in ESRR je po tej uredbi namenjena za:</w:t>
      </w:r>
    </w:p>
    <w:p w:rsidR="00B21CC9" w:rsidRPr="00D30203" w:rsidRDefault="00B5624C">
      <w:pPr>
        <w:pStyle w:val="crkovnatock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a)     </w:t>
      </w:r>
      <w:proofErr w:type="gramStart"/>
      <w:r w:rsidRPr="00D30203">
        <w:rPr>
          <w:rFonts w:ascii="Arial" w:eastAsia="Arial" w:hAnsi="Arial" w:cs="Arial"/>
          <w:sz w:val="20"/>
          <w:szCs w:val="20"/>
        </w:rPr>
        <w:t>izvajanje</w:t>
      </w:r>
      <w:proofErr w:type="gramEnd"/>
      <w:r w:rsidRPr="00D30203">
        <w:rPr>
          <w:rFonts w:ascii="Arial" w:eastAsia="Arial" w:hAnsi="Arial" w:cs="Arial"/>
          <w:sz w:val="20"/>
          <w:szCs w:val="20"/>
        </w:rPr>
        <w:t xml:space="preserve"> projektov, vključno z dejavnostmi sodelovanja in njihovo pripravo, izbranih v okviru SLR (v nadaljnjem besedilu: izvajanje projektov v okviru SLR);</w:t>
      </w:r>
    </w:p>
    <w:p w:rsidR="00B21CC9" w:rsidRPr="00D30203" w:rsidRDefault="00B5624C">
      <w:pPr>
        <w:pStyle w:val="crkovnatock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b)     </w:t>
      </w:r>
      <w:proofErr w:type="gramStart"/>
      <w:r w:rsidRPr="00D30203">
        <w:rPr>
          <w:rFonts w:ascii="Arial" w:eastAsia="Arial" w:hAnsi="Arial" w:cs="Arial"/>
          <w:sz w:val="20"/>
          <w:szCs w:val="20"/>
        </w:rPr>
        <w:t>upravljanje</w:t>
      </w:r>
      <w:proofErr w:type="gramEnd"/>
      <w:r w:rsidRPr="00D30203">
        <w:rPr>
          <w:rFonts w:ascii="Arial" w:eastAsia="Arial" w:hAnsi="Arial" w:cs="Arial"/>
          <w:sz w:val="20"/>
          <w:szCs w:val="20"/>
        </w:rPr>
        <w:t>, spremljanje in vrednotenje SLR ter njene animacije (v nadaljnjem besedilu: upravljanje LAS).</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lastRenderedPageBreak/>
        <w:t>(4) Podpora iz točke a) prejšnjega odstavka iz sklada EKSRP je usmerjena k izvajanju SN SKP 2023–2027, intervencije LEADER, in specifičnega cilja iz točke (h) prvega odstavka 6.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44" w:tgtFrame="_blank" w:tooltip="to EUR-Lex" w:history="1">
        <w:r w:rsidRPr="00D30203">
          <w:rPr>
            <w:rFonts w:ascii="Arial" w:eastAsia="Arial" w:hAnsi="Arial" w:cs="Arial"/>
            <w:color w:val="0000EE"/>
            <w:sz w:val="20"/>
            <w:szCs w:val="20"/>
            <w:u w:val="single" w:color="0000EE"/>
          </w:rPr>
          <w:t>Uredbe 2021/2115/EU</w:t>
        </w:r>
      </w:hyperlink>
      <w:r w:rsidRPr="00D30203">
        <w:rPr>
          <w:rFonts w:ascii="Arial" w:eastAsia="Arial" w:hAnsi="Arial" w:cs="Arial"/>
          <w:sz w:val="20"/>
          <w:szCs w:val="20"/>
        </w:rPr>
        <w:t>.</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(5) Podpora iz točke a) tretjega odstavka tega člena iz sklada ESRR je usmerjena k izvajanju Programa EKP 2021–2027 in specifičnega cilja iz točke (ii) pod (e) prvega odstavka 3.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45" w:tgtFrame="_blank" w:tooltip="to EUR-Lex" w:history="1">
        <w:r w:rsidRPr="00D30203">
          <w:rPr>
            <w:rFonts w:ascii="Arial" w:eastAsia="Arial" w:hAnsi="Arial" w:cs="Arial"/>
            <w:color w:val="0000EE"/>
            <w:sz w:val="20"/>
            <w:szCs w:val="20"/>
            <w:u w:val="single" w:color="0000EE"/>
          </w:rPr>
          <w:t>Uredbe 2021/1058/EU</w:t>
        </w:r>
      </w:hyperlink>
      <w:r w:rsidRPr="00D30203">
        <w:rPr>
          <w:rFonts w:ascii="Arial" w:eastAsia="Arial" w:hAnsi="Arial" w:cs="Arial"/>
          <w:sz w:val="20"/>
          <w:szCs w:val="20"/>
        </w:rPr>
        <w:t>.</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(6) Podpora iz točke a) tretjega odstavka tega člena je namenjena sofinanciranju projektov, katerih rezultati prispevajo k uresničevanju ciljev in ukrepov, določenih v SLR, in sicer:</w:t>
      </w:r>
    </w:p>
    <w:p w:rsidR="00B21CC9" w:rsidRPr="00D30203" w:rsidRDefault="00B5624C">
      <w:pPr>
        <w:pStyle w:val="crkovnatock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a)     </w:t>
      </w:r>
      <w:proofErr w:type="gramStart"/>
      <w:r w:rsidRPr="00D30203">
        <w:rPr>
          <w:rFonts w:ascii="Arial" w:eastAsia="Arial" w:hAnsi="Arial" w:cs="Arial"/>
          <w:sz w:val="20"/>
          <w:szCs w:val="20"/>
        </w:rPr>
        <w:t>projektov</w:t>
      </w:r>
      <w:proofErr w:type="gramEnd"/>
      <w:r w:rsidRPr="00D30203">
        <w:rPr>
          <w:rFonts w:ascii="Arial" w:eastAsia="Arial" w:hAnsi="Arial" w:cs="Arial"/>
          <w:sz w:val="20"/>
          <w:szCs w:val="20"/>
        </w:rPr>
        <w:t>, izbranih na podlagi javnega poziva, ki ga objavi LAS, potrjen v skladu z uredbo, ki ureja delovanje LAS in potrditev SLR;</w:t>
      </w:r>
    </w:p>
    <w:p w:rsidR="00B21CC9" w:rsidRPr="00D30203" w:rsidRDefault="00B5624C">
      <w:pPr>
        <w:pStyle w:val="crkovnatock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b)     </w:t>
      </w:r>
      <w:proofErr w:type="gramStart"/>
      <w:r w:rsidRPr="00D30203">
        <w:rPr>
          <w:rFonts w:ascii="Arial" w:eastAsia="Arial" w:hAnsi="Arial" w:cs="Arial"/>
          <w:sz w:val="20"/>
          <w:szCs w:val="20"/>
        </w:rPr>
        <w:t>projektov</w:t>
      </w:r>
      <w:proofErr w:type="gramEnd"/>
      <w:r w:rsidRPr="00D30203">
        <w:rPr>
          <w:rFonts w:ascii="Arial" w:eastAsia="Arial" w:hAnsi="Arial" w:cs="Arial"/>
          <w:sz w:val="20"/>
          <w:szCs w:val="20"/>
        </w:rPr>
        <w:t>, katerih upravičenec je LAS;</w:t>
      </w:r>
    </w:p>
    <w:p w:rsidR="00B21CC9" w:rsidRPr="00D30203" w:rsidRDefault="00B5624C">
      <w:pPr>
        <w:pStyle w:val="crkovnatock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c)     </w:t>
      </w:r>
      <w:proofErr w:type="gramStart"/>
      <w:r w:rsidRPr="00D30203">
        <w:rPr>
          <w:rFonts w:ascii="Arial" w:eastAsia="Arial" w:hAnsi="Arial" w:cs="Arial"/>
          <w:sz w:val="20"/>
          <w:szCs w:val="20"/>
        </w:rPr>
        <w:t>pripravi</w:t>
      </w:r>
      <w:proofErr w:type="gramEnd"/>
      <w:r w:rsidRPr="00D30203">
        <w:rPr>
          <w:rFonts w:ascii="Arial" w:eastAsia="Arial" w:hAnsi="Arial" w:cs="Arial"/>
          <w:sz w:val="20"/>
          <w:szCs w:val="20"/>
        </w:rPr>
        <w:t xml:space="preserve"> in izvajanju projektov sodelovanja LAS.</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5. 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finančne</w:t>
      </w:r>
      <w:proofErr w:type="gramEnd"/>
      <w:r w:rsidRPr="00D30203">
        <w:rPr>
          <w:rFonts w:ascii="Arial" w:eastAsia="Arial" w:hAnsi="Arial" w:cs="Arial"/>
          <w:b/>
          <w:bCs/>
          <w:sz w:val="20"/>
          <w:szCs w:val="20"/>
        </w:rPr>
        <w:t xml:space="preserve"> določbe)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V obdobju 2023–2027 je izvedbi podpor iz tretjega odstavka prejšnjega člena za lokalni razvoj, ki ga vodi skupnost, v okviru skladov EKSRP in ESRR, skupaj namenjenih 84.548.195</w:t>
      </w:r>
      <w:proofErr w:type="gramStart"/>
      <w:r w:rsidRPr="00D30203">
        <w:rPr>
          <w:rFonts w:ascii="Arial" w:eastAsia="Arial" w:hAnsi="Arial" w:cs="Arial"/>
          <w:sz w:val="20"/>
          <w:szCs w:val="20"/>
        </w:rPr>
        <w:t>,00</w:t>
      </w:r>
      <w:proofErr w:type="gramEnd"/>
      <w:r w:rsidRPr="00D30203">
        <w:rPr>
          <w:rFonts w:ascii="Arial" w:eastAsia="Arial" w:hAnsi="Arial" w:cs="Arial"/>
          <w:sz w:val="20"/>
          <w:szCs w:val="20"/>
        </w:rPr>
        <w:t xml:space="preserve"> eura. Od tega je iz naslova SN SKP 2023–2027 za sklad EKSRP namenjenih 44.428.195</w:t>
      </w:r>
      <w:proofErr w:type="gramStart"/>
      <w:r w:rsidRPr="00D30203">
        <w:rPr>
          <w:rFonts w:ascii="Arial" w:eastAsia="Arial" w:hAnsi="Arial" w:cs="Arial"/>
          <w:sz w:val="20"/>
          <w:szCs w:val="20"/>
        </w:rPr>
        <w:t>,00</w:t>
      </w:r>
      <w:proofErr w:type="gramEnd"/>
      <w:r w:rsidRPr="00D30203">
        <w:rPr>
          <w:rFonts w:ascii="Arial" w:eastAsia="Arial" w:hAnsi="Arial" w:cs="Arial"/>
          <w:sz w:val="20"/>
          <w:szCs w:val="20"/>
        </w:rPr>
        <w:t xml:space="preserve"> eura, iz naslova Programa EKP 2021–2027 za sklad ESRR pa 40.120.000,00 eura.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(2) Posamezni LAS je upravičen do koriščenja sredstev, določenih v SLR, odobrenih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podlagi uredbe, ki ureja delovanje LAS in potrditev SLR.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(3) Sofinanciranje se deli med sklada in proračun Republike Slovenije. Za sklad EKSRP je podpora Evropske unije 80 %, 20 % pa iz naslova nacionalnega javnega prispevka iz državnega proračuna. Za sklad ESRR je za kohezijsko regijo Vzhodna Slovenija podpora iz Evropske unije 85 % in nacionalnega javnega prispevka iz državnega proračuna 15 %, za kohezijsko regijo Zahodna Slovenija pa je podpora Evropske unije 40 % in nacionalnega javnega prispevka iz državnega proračuna 60 %.</w:t>
      </w:r>
    </w:p>
    <w:p w:rsidR="00B21CC9" w:rsidRPr="00D30203" w:rsidRDefault="00B5624C">
      <w:pPr>
        <w:pStyle w:val="center"/>
        <w:pBdr>
          <w:top w:val="none" w:sz="0" w:space="24" w:color="auto"/>
        </w:pBdr>
        <w:spacing w:before="210" w:after="210"/>
        <w:rPr>
          <w:rFonts w:ascii="Arial" w:eastAsia="Arial" w:hAnsi="Arial" w:cs="Arial"/>
          <w:caps/>
          <w:sz w:val="20"/>
          <w:szCs w:val="20"/>
        </w:rPr>
      </w:pPr>
      <w:r w:rsidRPr="00D30203">
        <w:rPr>
          <w:rFonts w:ascii="Arial" w:eastAsia="Arial" w:hAnsi="Arial" w:cs="Arial"/>
          <w:caps/>
          <w:sz w:val="20"/>
          <w:szCs w:val="20"/>
        </w:rPr>
        <w:t>II. PODPORA ZA IZVAJANJE PROJEKTOV V OKVIRU SLR</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6. 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upravičenci</w:t>
      </w:r>
      <w:proofErr w:type="gramEnd"/>
      <w:r w:rsidRPr="00D30203">
        <w:rPr>
          <w:rFonts w:ascii="Arial" w:eastAsia="Arial" w:hAnsi="Arial" w:cs="Arial"/>
          <w:b/>
          <w:bCs/>
          <w:sz w:val="20"/>
          <w:szCs w:val="20"/>
        </w:rPr>
        <w:t>)</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 Upravičenci do podpore za izvajanje projektov v okviru SLR so lahko LAS, fizična </w:t>
      </w:r>
      <w:proofErr w:type="gramStart"/>
      <w:r w:rsidRPr="00D30203">
        <w:rPr>
          <w:rFonts w:ascii="Arial" w:eastAsia="Arial" w:hAnsi="Arial" w:cs="Arial"/>
          <w:sz w:val="20"/>
          <w:szCs w:val="20"/>
        </w:rPr>
        <w:t>ali</w:t>
      </w:r>
      <w:proofErr w:type="gramEnd"/>
      <w:r w:rsidRPr="00D30203">
        <w:rPr>
          <w:rFonts w:ascii="Arial" w:eastAsia="Arial" w:hAnsi="Arial" w:cs="Arial"/>
          <w:sz w:val="20"/>
          <w:szCs w:val="20"/>
        </w:rPr>
        <w:t xml:space="preserve"> pravna oseba.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(2) Ne glede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določbo prejšnjega odstavka pri ESRR fizične osebe, razen samostojnih podjetnikov posameznikov, niso upravičenci.</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(3) Zastopnik upravičencev za vlaganje vlog in zahtevkov za izplačilo ter dopolnitev vlog in zahtevkov za izplačilo je vodilni partner LAS iz 19.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proofErr w:type="gramStart"/>
      <w:r w:rsidRPr="00D30203">
        <w:rPr>
          <w:rFonts w:ascii="Arial" w:eastAsia="Arial" w:hAnsi="Arial" w:cs="Arial"/>
          <w:sz w:val="20"/>
          <w:szCs w:val="20"/>
        </w:rPr>
        <w:lastRenderedPageBreak/>
        <w:t>(4) Če</w:t>
      </w:r>
      <w:proofErr w:type="gramEnd"/>
      <w:r w:rsidRPr="00D30203">
        <w:rPr>
          <w:rFonts w:ascii="Arial" w:eastAsia="Arial" w:hAnsi="Arial" w:cs="Arial"/>
          <w:sz w:val="20"/>
          <w:szCs w:val="20"/>
        </w:rPr>
        <w:t xml:space="preserve"> je upravičenec LAS, mora v skladu s petim odstavkom 33.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46" w:tgtFrame="_blank" w:tooltip="to EUR-Lex" w:history="1">
        <w:r w:rsidRPr="00D30203">
          <w:rPr>
            <w:rFonts w:ascii="Arial" w:eastAsia="Arial" w:hAnsi="Arial" w:cs="Arial"/>
            <w:color w:val="0000EE"/>
            <w:sz w:val="20"/>
            <w:szCs w:val="20"/>
            <w:u w:val="single" w:color="0000EE"/>
          </w:rPr>
          <w:t>Uredbe 2021/1060/EU</w:t>
        </w:r>
      </w:hyperlink>
      <w:r w:rsidRPr="00D30203">
        <w:rPr>
          <w:rFonts w:ascii="Arial" w:eastAsia="Arial" w:hAnsi="Arial" w:cs="Arial"/>
          <w:sz w:val="20"/>
          <w:szCs w:val="20"/>
        </w:rPr>
        <w:t xml:space="preserve"> zagotavljati spoštovanje načela ločevanja funkcij.</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7. 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pogoji</w:t>
      </w:r>
      <w:proofErr w:type="gramEnd"/>
      <w:r w:rsidRPr="00D30203">
        <w:rPr>
          <w:rFonts w:ascii="Arial" w:eastAsia="Arial" w:hAnsi="Arial" w:cs="Arial"/>
          <w:b/>
          <w:bCs/>
          <w:sz w:val="20"/>
          <w:szCs w:val="20"/>
        </w:rPr>
        <w:t xml:space="preserve"> za dodelitev podpore)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Projekt mora biti skladen s cilji skladov EKSRP in ESRR in mora obravnavati potrebe, določene v odobreni SLR, ter izvajati ukrepe SLR. Cilji projekta morajo biti merljivi z jasnimi učinki in rezultati.</w:t>
      </w:r>
    </w:p>
    <w:p w:rsidR="00B21CC9" w:rsidRPr="00D30203" w:rsidRDefault="00B5624C">
      <w:pPr>
        <w:pStyle w:val="zamik"/>
        <w:pBdr>
          <w:top w:val="none" w:sz="0" w:space="12" w:color="auto"/>
        </w:pBdr>
        <w:spacing w:before="210" w:after="210"/>
        <w:jc w:val="both"/>
        <w:rPr>
          <w:rFonts w:ascii="Arial" w:eastAsia="Arial" w:hAnsi="Arial" w:cs="Arial"/>
          <w:sz w:val="20"/>
          <w:szCs w:val="20"/>
        </w:rPr>
      </w:pPr>
      <w:proofErr w:type="gramStart"/>
      <w:r w:rsidRPr="00D30203">
        <w:rPr>
          <w:rFonts w:ascii="Arial" w:eastAsia="Arial" w:hAnsi="Arial" w:cs="Arial"/>
          <w:sz w:val="20"/>
          <w:szCs w:val="20"/>
        </w:rPr>
        <w:t>(2) Projekt, ki je upravičen v okviru drugih intervencij SN SKP 2023–2027 oziroma je financiranje možno prek drugih finančnih podpor, je lahko podprt s podporo za izvajanje projektov v okviru intervencije LEADER, če je takšna potreba prepoznana v SLR in izkazuje dodano vrednost za razvoj lokalnega območja, kot so povečanje socialnega kapitala, upravljanja, ali prispeva k rezultatu projekta (na primer skupni interes, skupina upravičencev, dostop javnosti do rezultatov projekta, inovativne značilnosti projekta na lokalni ravni, integrirani projekti).</w:t>
      </w:r>
      <w:proofErr w:type="gramEnd"/>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(3) Projekt mora biti izveden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upravičenem območju LAS. Upravičena območja LAS so naselja z manj kakor 10.000 prebivalci, določena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dan 1. </w:t>
      </w:r>
      <w:proofErr w:type="gramStart"/>
      <w:r w:rsidRPr="00D30203">
        <w:rPr>
          <w:rFonts w:ascii="Arial" w:eastAsia="Arial" w:hAnsi="Arial" w:cs="Arial"/>
          <w:sz w:val="20"/>
          <w:szCs w:val="20"/>
        </w:rPr>
        <w:t>januar</w:t>
      </w:r>
      <w:proofErr w:type="gramEnd"/>
      <w:r w:rsidRPr="00D30203">
        <w:rPr>
          <w:rFonts w:ascii="Arial" w:eastAsia="Arial" w:hAnsi="Arial" w:cs="Arial"/>
          <w:sz w:val="20"/>
          <w:szCs w:val="20"/>
        </w:rPr>
        <w:t xml:space="preserve"> 2022 po podatkih Statističnega urada Republike Slovenije. Izjemoma se lahko projekt, ki ne vsebuje naložbe, izvaja tudi v naseljih z več kakor 10.000 prebivalci, </w:t>
      </w:r>
      <w:proofErr w:type="gramStart"/>
      <w:r w:rsidRPr="00D30203">
        <w:rPr>
          <w:rFonts w:ascii="Arial" w:eastAsia="Arial" w:hAnsi="Arial" w:cs="Arial"/>
          <w:sz w:val="20"/>
          <w:szCs w:val="20"/>
        </w:rPr>
        <w:t>če</w:t>
      </w:r>
      <w:proofErr w:type="gramEnd"/>
      <w:r w:rsidRPr="00D30203">
        <w:rPr>
          <w:rFonts w:ascii="Arial" w:eastAsia="Arial" w:hAnsi="Arial" w:cs="Arial"/>
          <w:sz w:val="20"/>
          <w:szCs w:val="20"/>
        </w:rPr>
        <w:t xml:space="preserve"> takšen projekt koristi razvoju območja LAS. Ne glede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prvi in drugi stavek tega odstavka so aktivnosti promocije upravičene tudi zunaj območja LAS na celotnem območju Republike Slovenije.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(4) Projekt izberejo in potrdijo organi LAS na podlagi nediskriminatornega in preglednega izbirnega postopka in meril, ki preprečujejo navzkrižja interesov ter zagotavljajo, da nobeden od treh sektorjev, kot jih določa odobrena SLR, ne nadzoruje odločitev o izbiri projekta. Pri tem se smiselno uporabljajo določbe zakona, ki ureja integriteto in preprečevanje korupcije.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(5) Upravičeni stroški posameznega projekta ne smejo biti financirani z drugimi javnimi sredstvi.</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(6) Iz opisa projekta v vlogi za odobritev projekta iz 25.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 mora biti razvidna zaprta finančna konstrukcija za celoten projekt, kar pomeni, da mora prikazovati razdelitev posameznih stroškov po posameznih partnerjih in vrstah stroškov ter virih financiranja projekta, ki so javna podpora in lastna podpora.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(7) Vsa potrebna dovoljenja oziroma soglasja, ki jih za izvedbo projektov določajo področni predpisi, morajo biti izdana najpozneje do zaključka izbirnega postopka projektov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ravni odločanja v LAS. Če je za projekt predpisano gradbeno dovoljenje v skladu z zakonom, ki ureja graditev objektov, mora biti do zaključka izbirnega postopka projektov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ravni odločanja v LAS pridobljeno pravnomočno gradbeno dovoljenje.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(8) Vlagatelj mora imeti za nakazilo sredstev odprt transakcijski račun.</w:t>
      </w:r>
    </w:p>
    <w:p w:rsidR="00B21CC9" w:rsidRPr="00D30203" w:rsidRDefault="00B5624C">
      <w:pPr>
        <w:pStyle w:val="zamik"/>
        <w:pBdr>
          <w:top w:val="none" w:sz="0" w:space="12" w:color="auto"/>
        </w:pBdr>
        <w:spacing w:before="210" w:after="210"/>
        <w:jc w:val="both"/>
        <w:rPr>
          <w:rFonts w:ascii="Arial" w:eastAsia="Arial" w:hAnsi="Arial" w:cs="Arial"/>
          <w:sz w:val="20"/>
          <w:szCs w:val="20"/>
        </w:rPr>
      </w:pPr>
      <w:proofErr w:type="gramStart"/>
      <w:r w:rsidRPr="00D30203">
        <w:rPr>
          <w:rFonts w:ascii="Arial" w:eastAsia="Arial" w:hAnsi="Arial" w:cs="Arial"/>
          <w:sz w:val="20"/>
          <w:szCs w:val="20"/>
        </w:rPr>
        <w:t>(9) Upravičenec, vključen v izvajanje projekta, ki je pravna oseba ali samostojni podjetnik posameznik, in vodi računovodstvo v skladu z računovodskimi standardi za davčne namene, za vse poslovne dogodke v zvezi z izvedbo projekta, ki je predmet podpore, od vložitve vloge za odobritev projekta vodi ločeno računovodstvo v skladu z računovodskimi standardi, na primer ločeno stroškovno mesto ali ločene ustrezne računovodske konte.</w:t>
      </w:r>
      <w:proofErr w:type="gramEnd"/>
      <w:r w:rsidRPr="00D30203">
        <w:rPr>
          <w:rFonts w:ascii="Arial" w:eastAsia="Arial" w:hAnsi="Arial" w:cs="Arial"/>
          <w:sz w:val="20"/>
          <w:szCs w:val="20"/>
        </w:rPr>
        <w:t xml:space="preserve"> V primeru uporabe poenostavljenih oblik stroškov se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ločenem stroškovnem mestu projekta knjižijo le prihodki oziroma prilivi, medtem ko stroškov (izdatkov), ki se nanašajo in poplačujejo iz prejetih sredstev, ni treba evidentirati na stroškovnem mestu projekta. V primerih </w:t>
      </w:r>
      <w:r w:rsidRPr="00D30203">
        <w:rPr>
          <w:rFonts w:ascii="Arial" w:eastAsia="Arial" w:hAnsi="Arial" w:cs="Arial"/>
          <w:sz w:val="20"/>
          <w:szCs w:val="20"/>
        </w:rPr>
        <w:lastRenderedPageBreak/>
        <w:t>poenostavljenih oblik nepovratnih sredstev dejanski stroški in izdatki niso predmet preverjanja in spremljanja.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(10) Podpore se lahko dodelijo za investicije oziroma naložbe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upravičenem območju LAS, opredeljenem v tretjem odstavku tega člena, in sicer kot del projekta, s poudarkom na širšem pomenu za območje LAS ter dodani vrednosti za projekt (kot so skupni interes, skupina upravičencev, dostop javnosti do rezultatov projekta, inovativne značilnosti projekta na lokalni ravni območja in prebivalcev območja LAS). Naložbe v infrastrukturo, kot so javna cestna, komunalna in vodovodna infrastruktura, ki izhajajo iz zakona, ki ureja lokalno samoupravo, ter gre pri sofinanciranju naložb za samostojni projekt, niso upravičen strošek.</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(11) Kadar je vlagatelj za dodelitev podpore LAS in projekt vključuje naložbo, mora LAS v vlogi določiti eno </w:t>
      </w:r>
      <w:proofErr w:type="gramStart"/>
      <w:r w:rsidRPr="00D30203">
        <w:rPr>
          <w:rFonts w:ascii="Arial" w:eastAsia="Arial" w:hAnsi="Arial" w:cs="Arial"/>
          <w:sz w:val="20"/>
          <w:szCs w:val="20"/>
        </w:rPr>
        <w:t>ali</w:t>
      </w:r>
      <w:proofErr w:type="gramEnd"/>
      <w:r w:rsidRPr="00D30203">
        <w:rPr>
          <w:rFonts w:ascii="Arial" w:eastAsia="Arial" w:hAnsi="Arial" w:cs="Arial"/>
          <w:sz w:val="20"/>
          <w:szCs w:val="20"/>
        </w:rPr>
        <w:t xml:space="preserve"> več pravnih oseb javnega prava, ki postanejo lastniki naložbe.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(12) Nepremičnina,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kateri se opravlja izvršba v skladu s predpisi, ki urejajo izvršbo in zavarovanje, ne more biti predmet podpore po tej uredbi.</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(13) Za sklad EKSRP velja, da mora vlagatelj imeti poravnane obvezne dajatve in druge denarne nedavčne obveznosti v skladu z zakonom, ki ureja kmetijstvo, pri čemer vrednost teh neplačanih zapadlih obveznosti ne sme znašati 50 eurov </w:t>
      </w:r>
      <w:proofErr w:type="gramStart"/>
      <w:r w:rsidRPr="00D30203">
        <w:rPr>
          <w:rFonts w:ascii="Arial" w:eastAsia="Arial" w:hAnsi="Arial" w:cs="Arial"/>
          <w:sz w:val="20"/>
          <w:szCs w:val="20"/>
        </w:rPr>
        <w:t>ali</w:t>
      </w:r>
      <w:proofErr w:type="gramEnd"/>
      <w:r w:rsidRPr="00D30203">
        <w:rPr>
          <w:rFonts w:ascii="Arial" w:eastAsia="Arial" w:hAnsi="Arial" w:cs="Arial"/>
          <w:sz w:val="20"/>
          <w:szCs w:val="20"/>
        </w:rPr>
        <w:t xml:space="preserve"> več. Za sklad ESRR velja, da ima lahko vlagatelj, ki je pravna </w:t>
      </w:r>
      <w:proofErr w:type="gramStart"/>
      <w:r w:rsidRPr="00D30203">
        <w:rPr>
          <w:rFonts w:ascii="Arial" w:eastAsia="Arial" w:hAnsi="Arial" w:cs="Arial"/>
          <w:sz w:val="20"/>
          <w:szCs w:val="20"/>
        </w:rPr>
        <w:t>ali</w:t>
      </w:r>
      <w:proofErr w:type="gramEnd"/>
      <w:r w:rsidRPr="00D30203">
        <w:rPr>
          <w:rFonts w:ascii="Arial" w:eastAsia="Arial" w:hAnsi="Arial" w:cs="Arial"/>
          <w:sz w:val="20"/>
          <w:szCs w:val="20"/>
        </w:rPr>
        <w:t xml:space="preserve"> fizična oseba, na dan oddaje vloge na LAS do 50 eurov neporavnanih zapadlih davčnih obveznosti do države.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(14) Projekt mora biti izveden v skladu s prijavljeno vsebino, ki </w:t>
      </w:r>
      <w:proofErr w:type="gramStart"/>
      <w:r w:rsidRPr="00D30203">
        <w:rPr>
          <w:rFonts w:ascii="Arial" w:eastAsia="Arial" w:hAnsi="Arial" w:cs="Arial"/>
          <w:sz w:val="20"/>
          <w:szCs w:val="20"/>
        </w:rPr>
        <w:t>jo</w:t>
      </w:r>
      <w:proofErr w:type="gramEnd"/>
      <w:r w:rsidRPr="00D30203">
        <w:rPr>
          <w:rFonts w:ascii="Arial" w:eastAsia="Arial" w:hAnsi="Arial" w:cs="Arial"/>
          <w:sz w:val="20"/>
          <w:szCs w:val="20"/>
        </w:rPr>
        <w:t xml:space="preserve"> odobri ARSKTRP ali MKRR, in področnimi predpisi.</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(15) Projekt mora biti izveden najpozneje v treh letih </w:t>
      </w:r>
      <w:proofErr w:type="gramStart"/>
      <w:r w:rsidRPr="00D30203">
        <w:rPr>
          <w:rFonts w:ascii="Arial" w:eastAsia="Arial" w:hAnsi="Arial" w:cs="Arial"/>
          <w:sz w:val="20"/>
          <w:szCs w:val="20"/>
        </w:rPr>
        <w:t>od</w:t>
      </w:r>
      <w:proofErr w:type="gramEnd"/>
      <w:r w:rsidRPr="00D30203">
        <w:rPr>
          <w:rFonts w:ascii="Arial" w:eastAsia="Arial" w:hAnsi="Arial" w:cs="Arial"/>
          <w:sz w:val="20"/>
          <w:szCs w:val="20"/>
        </w:rPr>
        <w:t xml:space="preserve"> pravnomočnosti odločbe o pravici do sredstev, ki jo izda ARSKTRP, oziroma od podpisa pogodbe o sofinanciranju z MKRR, vendar najpozneje do 31. </w:t>
      </w:r>
      <w:proofErr w:type="gramStart"/>
      <w:r w:rsidRPr="00D30203">
        <w:rPr>
          <w:rFonts w:ascii="Arial" w:eastAsia="Arial" w:hAnsi="Arial" w:cs="Arial"/>
          <w:sz w:val="20"/>
          <w:szCs w:val="20"/>
        </w:rPr>
        <w:t>avgusta</w:t>
      </w:r>
      <w:proofErr w:type="gramEnd"/>
      <w:r w:rsidRPr="00D30203">
        <w:rPr>
          <w:rFonts w:ascii="Arial" w:eastAsia="Arial" w:hAnsi="Arial" w:cs="Arial"/>
          <w:sz w:val="20"/>
          <w:szCs w:val="20"/>
        </w:rPr>
        <w:t xml:space="preserve"> 2029.</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(16) Projekt ne sme biti fizično zaključen </w:t>
      </w:r>
      <w:proofErr w:type="gramStart"/>
      <w:r w:rsidRPr="00D30203">
        <w:rPr>
          <w:rFonts w:ascii="Arial" w:eastAsia="Arial" w:hAnsi="Arial" w:cs="Arial"/>
          <w:sz w:val="20"/>
          <w:szCs w:val="20"/>
        </w:rPr>
        <w:t>ali</w:t>
      </w:r>
      <w:proofErr w:type="gramEnd"/>
      <w:r w:rsidRPr="00D30203">
        <w:rPr>
          <w:rFonts w:ascii="Arial" w:eastAsia="Arial" w:hAnsi="Arial" w:cs="Arial"/>
          <w:sz w:val="20"/>
          <w:szCs w:val="20"/>
        </w:rPr>
        <w:t xml:space="preserve"> v celoti izveden pred izdajo odločbe o pravici do sredstev za sklad EKSRP, ki jo izda ARSKTRP, oziroma pred sklenitvijo pogodbe o sofinanciranju z MKRR za sklad ESRR.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(17) Vlagatelju se podpora ne odobri, </w:t>
      </w:r>
      <w:proofErr w:type="gramStart"/>
      <w:r w:rsidRPr="00D30203">
        <w:rPr>
          <w:rFonts w:ascii="Arial" w:eastAsia="Arial" w:hAnsi="Arial" w:cs="Arial"/>
          <w:sz w:val="20"/>
          <w:szCs w:val="20"/>
        </w:rPr>
        <w:t>če</w:t>
      </w:r>
      <w:proofErr w:type="gramEnd"/>
      <w:r w:rsidRPr="00D30203">
        <w:rPr>
          <w:rFonts w:ascii="Arial" w:eastAsia="Arial" w:hAnsi="Arial" w:cs="Arial"/>
          <w:sz w:val="20"/>
          <w:szCs w:val="20"/>
        </w:rPr>
        <w:t xml:space="preserve"> je nad njim začet postopek zaradi insolventnosti ali postopek prisilnega prenehanja v skladu z zakonom, ki ureja finančno poslovanje, postopek zaradi insolventnosti in prisilno prenehanje, ali postopek likvidacije družbe v skladu z zakonom, ki ureja gospodarske družbe.</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8. 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oblike</w:t>
      </w:r>
      <w:proofErr w:type="gramEnd"/>
      <w:r w:rsidRPr="00D30203">
        <w:rPr>
          <w:rFonts w:ascii="Arial" w:eastAsia="Arial" w:hAnsi="Arial" w:cs="Arial"/>
          <w:b/>
          <w:bCs/>
          <w:sz w:val="20"/>
          <w:szCs w:val="20"/>
        </w:rPr>
        <w:t xml:space="preserve"> podpore in upravičeni stroški)</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Podpora za izvajanje projektov v okviru SLR se dodeli kot nepovratna sredstva.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(2) Nepovratna sredstva se dodelijo v skladu s prvim odstavkom 83.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47" w:tgtFrame="_blank" w:tooltip="to EUR-Lex" w:history="1">
        <w:r w:rsidRPr="00D30203">
          <w:rPr>
            <w:rFonts w:ascii="Arial" w:eastAsia="Arial" w:hAnsi="Arial" w:cs="Arial"/>
            <w:color w:val="0000EE"/>
            <w:sz w:val="20"/>
            <w:szCs w:val="20"/>
            <w:u w:val="single" w:color="0000EE"/>
          </w:rPr>
          <w:t>Uredbe 2021/2115/EU</w:t>
        </w:r>
      </w:hyperlink>
      <w:r w:rsidRPr="00D30203">
        <w:rPr>
          <w:rFonts w:ascii="Arial" w:eastAsia="Arial" w:hAnsi="Arial" w:cs="Arial"/>
          <w:sz w:val="20"/>
          <w:szCs w:val="20"/>
        </w:rPr>
        <w:t xml:space="preserve"> in prvim odstavkom 53.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48" w:tgtFrame="_blank" w:tooltip="to EUR-Lex" w:history="1">
        <w:r w:rsidRPr="00D30203">
          <w:rPr>
            <w:rFonts w:ascii="Arial" w:eastAsia="Arial" w:hAnsi="Arial" w:cs="Arial"/>
            <w:color w:val="0000EE"/>
            <w:sz w:val="20"/>
            <w:szCs w:val="20"/>
            <w:u w:val="single" w:color="0000EE"/>
          </w:rPr>
          <w:t>Uredbe 2021/1060/EU</w:t>
        </w:r>
      </w:hyperlink>
      <w:r w:rsidRPr="00D30203">
        <w:rPr>
          <w:rFonts w:ascii="Arial" w:eastAsia="Arial" w:hAnsi="Arial" w:cs="Arial"/>
          <w:sz w:val="20"/>
          <w:szCs w:val="20"/>
        </w:rPr>
        <w:t xml:space="preserve"> z uporabo poenostavljenih oblik na naslednji način:</w:t>
      </w:r>
    </w:p>
    <w:p w:rsidR="00B21CC9" w:rsidRPr="00D30203" w:rsidRDefault="00B5624C">
      <w:pPr>
        <w:pStyle w:val="crkovnatockazaodstavkom"/>
        <w:spacing w:before="210" w:after="210"/>
        <w:ind w:left="425"/>
        <w:rPr>
          <w:rFonts w:ascii="Arial" w:eastAsia="Arial" w:hAnsi="Arial" w:cs="Arial"/>
          <w:sz w:val="20"/>
          <w:szCs w:val="20"/>
        </w:rPr>
      </w:pPr>
      <w:r w:rsidRPr="00D30203">
        <w:rPr>
          <w:rFonts w:ascii="Arial" w:eastAsia="Arial" w:hAnsi="Arial" w:cs="Arial"/>
          <w:sz w:val="20"/>
          <w:szCs w:val="20"/>
        </w:rPr>
        <w:t>a)     za projekte neinvesticijske narave so neposredni stroški osebja osnova za izračun vseh preostalih stroškov projekta, za katere se uporabi financiranje po pavšalni stopnji v višini 40 % upravičenih neposrednih stroškov osebja, kot izhaja iz 56.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49" w:tgtFrame="_blank" w:tooltip="to EUR-Lex" w:history="1">
        <w:r w:rsidRPr="00D30203">
          <w:rPr>
            <w:rFonts w:ascii="Arial" w:eastAsia="Arial" w:hAnsi="Arial" w:cs="Arial"/>
            <w:color w:val="0000EE"/>
            <w:sz w:val="20"/>
            <w:szCs w:val="20"/>
            <w:u w:val="single" w:color="0000EE"/>
          </w:rPr>
          <w:t>Uredbe 2021/1060/EU</w:t>
        </w:r>
      </w:hyperlink>
      <w:r w:rsidRPr="00D30203">
        <w:rPr>
          <w:rFonts w:ascii="Arial" w:eastAsia="Arial" w:hAnsi="Arial" w:cs="Arial"/>
          <w:sz w:val="20"/>
          <w:szCs w:val="20"/>
        </w:rPr>
        <w:t>;</w:t>
      </w:r>
    </w:p>
    <w:p w:rsidR="00B21CC9" w:rsidRPr="00D30203" w:rsidRDefault="00B5624C">
      <w:pPr>
        <w:pStyle w:val="crkovnatock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b)     </w:t>
      </w:r>
      <w:proofErr w:type="gramStart"/>
      <w:r w:rsidRPr="00D30203">
        <w:rPr>
          <w:rFonts w:ascii="Arial" w:eastAsia="Arial" w:hAnsi="Arial" w:cs="Arial"/>
          <w:sz w:val="20"/>
          <w:szCs w:val="20"/>
        </w:rPr>
        <w:t>za</w:t>
      </w:r>
      <w:proofErr w:type="gramEnd"/>
      <w:r w:rsidRPr="00D30203">
        <w:rPr>
          <w:rFonts w:ascii="Arial" w:eastAsia="Arial" w:hAnsi="Arial" w:cs="Arial"/>
          <w:sz w:val="20"/>
          <w:szCs w:val="20"/>
        </w:rPr>
        <w:t xml:space="preserve"> projekte investicijske narave se za neposredne stroške osebja pri projektu uporabi financiranje po pavšalni stopnji v višini 20 %. Osnova za izračun so neposredni stroški naložb oziroma investicij v </w:t>
      </w:r>
      <w:r w:rsidRPr="00D30203">
        <w:rPr>
          <w:rFonts w:ascii="Arial" w:eastAsia="Arial" w:hAnsi="Arial" w:cs="Arial"/>
          <w:sz w:val="20"/>
          <w:szCs w:val="20"/>
        </w:rPr>
        <w:lastRenderedPageBreak/>
        <w:t>opredmetena osnovna sredstva ter v neopredmetena sredstva in stroški storitev zunanjih izvajalcev, kot izhaja iz prvega odstavka 55.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50" w:tgtFrame="_blank" w:tooltip="to EUR-Lex" w:history="1">
        <w:r w:rsidRPr="00D30203">
          <w:rPr>
            <w:rFonts w:ascii="Arial" w:eastAsia="Arial" w:hAnsi="Arial" w:cs="Arial"/>
            <w:color w:val="0000EE"/>
            <w:sz w:val="20"/>
            <w:szCs w:val="20"/>
            <w:u w:val="single" w:color="0000EE"/>
          </w:rPr>
          <w:t>Uredbe 2021/1060/EU</w:t>
        </w:r>
      </w:hyperlink>
      <w:r w:rsidRPr="00D30203">
        <w:rPr>
          <w:rFonts w:ascii="Arial" w:eastAsia="Arial" w:hAnsi="Arial" w:cs="Arial"/>
          <w:sz w:val="20"/>
          <w:szCs w:val="20"/>
        </w:rPr>
        <w:t>.</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(3) Za sklada ESRR in EKSRP se za projekte neinvesticijske narave iz točke a) prejšnjega odstavka neposredni stroški osebja dodelijo v obliki stroškov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enoto na podlagi metode izračuna za:</w:t>
      </w:r>
    </w:p>
    <w:p w:rsidR="00B21CC9" w:rsidRPr="00D30203" w:rsidRDefault="00B5624C">
      <w:pPr>
        <w:pStyle w:val="aline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        </w:t>
      </w:r>
      <w:proofErr w:type="gramStart"/>
      <w:r w:rsidRPr="00D30203">
        <w:rPr>
          <w:rFonts w:ascii="Arial" w:eastAsia="Arial" w:hAnsi="Arial" w:cs="Arial"/>
          <w:sz w:val="20"/>
          <w:szCs w:val="20"/>
        </w:rPr>
        <w:t>vodenje</w:t>
      </w:r>
      <w:proofErr w:type="gramEnd"/>
      <w:r w:rsidRPr="00D30203">
        <w:rPr>
          <w:rFonts w:ascii="Arial" w:eastAsia="Arial" w:hAnsi="Arial" w:cs="Arial"/>
          <w:sz w:val="20"/>
          <w:szCs w:val="20"/>
        </w:rPr>
        <w:t xml:space="preserve"> in koordinacijo projekta v višini 23,33 eura na uro opravljenega dela, vendar največ 1720 ur na leto;</w:t>
      </w:r>
    </w:p>
    <w:p w:rsidR="00B21CC9" w:rsidRPr="00D30203" w:rsidRDefault="00B5624C">
      <w:pPr>
        <w:pStyle w:val="aline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        </w:t>
      </w:r>
      <w:proofErr w:type="gramStart"/>
      <w:r w:rsidRPr="00D30203">
        <w:rPr>
          <w:rFonts w:ascii="Arial" w:eastAsia="Arial" w:hAnsi="Arial" w:cs="Arial"/>
          <w:sz w:val="20"/>
          <w:szCs w:val="20"/>
        </w:rPr>
        <w:t>strokovno</w:t>
      </w:r>
      <w:proofErr w:type="gramEnd"/>
      <w:r w:rsidRPr="00D30203">
        <w:rPr>
          <w:rFonts w:ascii="Arial" w:eastAsia="Arial" w:hAnsi="Arial" w:cs="Arial"/>
          <w:sz w:val="20"/>
          <w:szCs w:val="20"/>
        </w:rPr>
        <w:t xml:space="preserve"> in tehnično pomoč pri projektu v višini 17,89 eura na uro opravljenega dela, vendar največ 1720 ur na leto;</w:t>
      </w:r>
    </w:p>
    <w:p w:rsidR="00B21CC9" w:rsidRPr="00D30203" w:rsidRDefault="00B5624C">
      <w:pPr>
        <w:pStyle w:val="aline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        </w:t>
      </w:r>
      <w:proofErr w:type="gramStart"/>
      <w:r w:rsidRPr="00D30203">
        <w:rPr>
          <w:rFonts w:ascii="Arial" w:eastAsia="Arial" w:hAnsi="Arial" w:cs="Arial"/>
          <w:sz w:val="20"/>
          <w:szCs w:val="20"/>
        </w:rPr>
        <w:t>izvajanje</w:t>
      </w:r>
      <w:proofErr w:type="gramEnd"/>
      <w:r w:rsidRPr="00D30203">
        <w:rPr>
          <w:rFonts w:ascii="Arial" w:eastAsia="Arial" w:hAnsi="Arial" w:cs="Arial"/>
          <w:sz w:val="20"/>
          <w:szCs w:val="20"/>
        </w:rPr>
        <w:t xml:space="preserve"> neindustrijskih dejavnosti pri projektu v višini 13,24 eura na uro opravljenega dela, vendar največ 1720 ur na leto;</w:t>
      </w:r>
    </w:p>
    <w:p w:rsidR="00B21CC9" w:rsidRPr="00D30203" w:rsidRDefault="00B5624C">
      <w:pPr>
        <w:pStyle w:val="aline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        </w:t>
      </w:r>
      <w:proofErr w:type="gramStart"/>
      <w:r w:rsidRPr="00D30203">
        <w:rPr>
          <w:rFonts w:ascii="Arial" w:eastAsia="Arial" w:hAnsi="Arial" w:cs="Arial"/>
          <w:sz w:val="20"/>
          <w:szCs w:val="20"/>
        </w:rPr>
        <w:t>prostovoljsko</w:t>
      </w:r>
      <w:proofErr w:type="gramEnd"/>
      <w:r w:rsidRPr="00D30203">
        <w:rPr>
          <w:rFonts w:ascii="Arial" w:eastAsia="Arial" w:hAnsi="Arial" w:cs="Arial"/>
          <w:sz w:val="20"/>
          <w:szCs w:val="20"/>
        </w:rPr>
        <w:t xml:space="preserve"> delo v skladu z vrstami prostovoljskega dela, ki so določene v zakonu, ki ureja prostovoljstvo, ter ocenjeno vrednostjo opravljenega dela, kot jo določa pravilnik, ki ureja področja prostovoljskega dela in vpisnik.</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(4) Za sklad EKSRP se neposredni stroški osebja dodelijo v obliki stroškov na enoto tudi za delo kmeta, ki je fizična oseba, pri čemer v primeru kmetije, velja za stroške dela nosilca in člana kmetije v višini 12,25 eura na uro opravljenega dela, vendar največ 1720 ur na leto.</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(5) Način uveljavljanja stroška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enoto iz tretjega in četrtega odstavka tega člena je podrobno opredeljen v Prilogi 2, ki je sestavni del te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(6) Upravičeni stroški, ki nastanejo v okviru aktivnosti projekta, so:</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1.      </w:t>
      </w:r>
      <w:proofErr w:type="gramStart"/>
      <w:r w:rsidRPr="00D30203">
        <w:rPr>
          <w:rFonts w:ascii="Arial" w:eastAsia="Arial" w:hAnsi="Arial" w:cs="Arial"/>
          <w:sz w:val="20"/>
          <w:szCs w:val="20"/>
        </w:rPr>
        <w:t>naložbe</w:t>
      </w:r>
      <w:proofErr w:type="gramEnd"/>
      <w:r w:rsidRPr="00D30203">
        <w:rPr>
          <w:rFonts w:ascii="Arial" w:eastAsia="Arial" w:hAnsi="Arial" w:cs="Arial"/>
          <w:sz w:val="20"/>
          <w:szCs w:val="20"/>
        </w:rPr>
        <w:t xml:space="preserve"> oziroma investicije v opredmetena osnovna sredstva: nakup in gradnja nepremičnin, nakup zemljišč, napeljave, stroji, oprema, pohištvo in prevozna sredstva;</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2.      </w:t>
      </w:r>
      <w:proofErr w:type="gramStart"/>
      <w:r w:rsidRPr="00D30203">
        <w:rPr>
          <w:rFonts w:ascii="Arial" w:eastAsia="Arial" w:hAnsi="Arial" w:cs="Arial"/>
          <w:sz w:val="20"/>
          <w:szCs w:val="20"/>
        </w:rPr>
        <w:t>naložbe</w:t>
      </w:r>
      <w:proofErr w:type="gramEnd"/>
      <w:r w:rsidRPr="00D30203">
        <w:rPr>
          <w:rFonts w:ascii="Arial" w:eastAsia="Arial" w:hAnsi="Arial" w:cs="Arial"/>
          <w:sz w:val="20"/>
          <w:szCs w:val="20"/>
        </w:rPr>
        <w:t xml:space="preserve"> oziroma investicije v neopredmetena sredstva, ki nimajo fizične ali finančne oblike: patenti, licence, strokovno znanje ali druga intelektualna lastnina;</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3.      </w:t>
      </w:r>
      <w:proofErr w:type="gramStart"/>
      <w:r w:rsidRPr="00D30203">
        <w:rPr>
          <w:rFonts w:ascii="Arial" w:eastAsia="Arial" w:hAnsi="Arial" w:cs="Arial"/>
          <w:sz w:val="20"/>
          <w:szCs w:val="20"/>
        </w:rPr>
        <w:t>stroški</w:t>
      </w:r>
      <w:proofErr w:type="gramEnd"/>
      <w:r w:rsidRPr="00D30203">
        <w:rPr>
          <w:rFonts w:ascii="Arial" w:eastAsia="Arial" w:hAnsi="Arial" w:cs="Arial"/>
          <w:sz w:val="20"/>
          <w:szCs w:val="20"/>
        </w:rPr>
        <w:t xml:space="preserve"> dela (stroški zaposlenih, ki izhajajo iz pogodbe o zaposlitvi in stroški plač samozaposlenih, vključno s stroški dela po podjemni pogodbi, avtorski pogodbi (na primer vsebinska priprava avtorskega dela), vključno s prostovoljskim delom, če so taki stroški v pogodbah jasno opredeljeni);</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4.      </w:t>
      </w:r>
      <w:proofErr w:type="gramStart"/>
      <w:r w:rsidRPr="00D30203">
        <w:rPr>
          <w:rFonts w:ascii="Arial" w:eastAsia="Arial" w:hAnsi="Arial" w:cs="Arial"/>
          <w:sz w:val="20"/>
          <w:szCs w:val="20"/>
        </w:rPr>
        <w:t>storitve</w:t>
      </w:r>
      <w:proofErr w:type="gramEnd"/>
      <w:r w:rsidRPr="00D30203">
        <w:rPr>
          <w:rFonts w:ascii="Arial" w:eastAsia="Arial" w:hAnsi="Arial" w:cs="Arial"/>
          <w:sz w:val="20"/>
          <w:szCs w:val="20"/>
        </w:rPr>
        <w:t xml:space="preserve"> zunanjih izvajalcev (na primer nadzor, organizacija dogodkov oziroma delavnic, pridobitev dovoljenj, priprava strokovnih in promocijskih gradiv);</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5.      </w:t>
      </w:r>
      <w:proofErr w:type="gramStart"/>
      <w:r w:rsidRPr="00D30203">
        <w:rPr>
          <w:rFonts w:ascii="Arial" w:eastAsia="Arial" w:hAnsi="Arial" w:cs="Arial"/>
          <w:sz w:val="20"/>
          <w:szCs w:val="20"/>
        </w:rPr>
        <w:t>davek</w:t>
      </w:r>
      <w:proofErr w:type="gramEnd"/>
      <w:r w:rsidRPr="00D30203">
        <w:rPr>
          <w:rFonts w:ascii="Arial" w:eastAsia="Arial" w:hAnsi="Arial" w:cs="Arial"/>
          <w:sz w:val="20"/>
          <w:szCs w:val="20"/>
        </w:rPr>
        <w:t xml:space="preserve"> na dodano vrednost (v nadaljnjem besedilu: DDV) v skladu z 11. </w:t>
      </w:r>
      <w:proofErr w:type="gramStart"/>
      <w:r w:rsidRPr="00D30203">
        <w:rPr>
          <w:rFonts w:ascii="Arial" w:eastAsia="Arial" w:hAnsi="Arial" w:cs="Arial"/>
          <w:sz w:val="20"/>
          <w:szCs w:val="20"/>
        </w:rPr>
        <w:t>členom</w:t>
      </w:r>
      <w:proofErr w:type="gramEnd"/>
      <w:r w:rsidRPr="00D30203">
        <w:rPr>
          <w:rFonts w:ascii="Arial" w:eastAsia="Arial" w:hAnsi="Arial" w:cs="Arial"/>
          <w:sz w:val="20"/>
          <w:szCs w:val="20"/>
        </w:rPr>
        <w:t xml:space="preserve"> te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(7) Stroški nakupa zemljišč lahko predstavljajo največ 10 % upravičenih stroškov posameznega projekta.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(8) Upravičeni so samo stroški, ki so nastali po vložitvi vloge za odobritev projekta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ARSKTRP ali MKRR.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(9) Do podpore niso upravičeni stroški iz tretjega odstavka 73.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51" w:tgtFrame="_blank" w:tooltip="to EUR-Lex" w:history="1">
        <w:r w:rsidRPr="00D30203">
          <w:rPr>
            <w:rFonts w:ascii="Arial" w:eastAsia="Arial" w:hAnsi="Arial" w:cs="Arial"/>
            <w:color w:val="0000EE"/>
            <w:sz w:val="20"/>
            <w:szCs w:val="20"/>
            <w:u w:val="single" w:color="0000EE"/>
          </w:rPr>
          <w:t>Uredbe 2021/2115/EU</w:t>
        </w:r>
      </w:hyperlink>
      <w:r w:rsidRPr="00D30203">
        <w:rPr>
          <w:rFonts w:ascii="Arial" w:eastAsia="Arial" w:hAnsi="Arial" w:cs="Arial"/>
          <w:sz w:val="20"/>
          <w:szCs w:val="20"/>
        </w:rPr>
        <w:t xml:space="preserve"> za sklad EKSRP, za sklada EKSRP in ESRR pa stroški iz 64.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52" w:tgtFrame="_blank" w:tooltip="to EUR-Lex" w:history="1">
        <w:r w:rsidRPr="00D30203">
          <w:rPr>
            <w:rFonts w:ascii="Arial" w:eastAsia="Arial" w:hAnsi="Arial" w:cs="Arial"/>
            <w:color w:val="0000EE"/>
            <w:sz w:val="20"/>
            <w:szCs w:val="20"/>
            <w:u w:val="single" w:color="0000EE"/>
          </w:rPr>
          <w:t>Uredbe 2021/1060/EU</w:t>
        </w:r>
      </w:hyperlink>
      <w:r w:rsidRPr="00D30203">
        <w:rPr>
          <w:rFonts w:ascii="Arial" w:eastAsia="Arial" w:hAnsi="Arial" w:cs="Arial"/>
          <w:sz w:val="20"/>
          <w:szCs w:val="20"/>
        </w:rPr>
        <w:t xml:space="preserve"> ter naslednji stroški ali aktivnosti:</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1.      </w:t>
      </w:r>
      <w:proofErr w:type="gramStart"/>
      <w:r w:rsidRPr="00D30203">
        <w:rPr>
          <w:rFonts w:ascii="Arial" w:eastAsia="Arial" w:hAnsi="Arial" w:cs="Arial"/>
          <w:sz w:val="20"/>
          <w:szCs w:val="20"/>
        </w:rPr>
        <w:t>stroški</w:t>
      </w:r>
      <w:proofErr w:type="gramEnd"/>
      <w:r w:rsidRPr="00D30203">
        <w:rPr>
          <w:rFonts w:ascii="Arial" w:eastAsia="Arial" w:hAnsi="Arial" w:cs="Arial"/>
          <w:sz w:val="20"/>
          <w:szCs w:val="20"/>
        </w:rPr>
        <w:t xml:space="preserve"> priprave vlog in zahtevkov za izplačilo;</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lastRenderedPageBreak/>
        <w:t>2.      nakup rabljene opreme in mehanizacije (razen zbirk in starin ter za sklad ESRR obnovljene IKT-opreme pod pogoji, ki izhajajo iz veljavnih Navodil organa upravljanja o upravičenih stroških za sredstva evropske kohezijske politike v programskem obdobju 2021–2027);</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3.      </w:t>
      </w:r>
      <w:proofErr w:type="gramStart"/>
      <w:r w:rsidRPr="00D30203">
        <w:rPr>
          <w:rFonts w:ascii="Arial" w:eastAsia="Arial" w:hAnsi="Arial" w:cs="Arial"/>
          <w:sz w:val="20"/>
          <w:szCs w:val="20"/>
        </w:rPr>
        <w:t>investicije</w:t>
      </w:r>
      <w:proofErr w:type="gramEnd"/>
      <w:r w:rsidRPr="00D30203">
        <w:rPr>
          <w:rFonts w:ascii="Arial" w:eastAsia="Arial" w:hAnsi="Arial" w:cs="Arial"/>
          <w:sz w:val="20"/>
          <w:szCs w:val="20"/>
        </w:rPr>
        <w:t xml:space="preserve"> in nakupi opreme, mehanizacije in storitev, namenjenih za zasebno rabo;</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4.      </w:t>
      </w:r>
      <w:proofErr w:type="gramStart"/>
      <w:r w:rsidRPr="00D30203">
        <w:rPr>
          <w:rFonts w:ascii="Arial" w:eastAsia="Arial" w:hAnsi="Arial" w:cs="Arial"/>
          <w:sz w:val="20"/>
          <w:szCs w:val="20"/>
        </w:rPr>
        <w:t>plačilo</w:t>
      </w:r>
      <w:proofErr w:type="gramEnd"/>
      <w:r w:rsidRPr="00D30203">
        <w:rPr>
          <w:rFonts w:ascii="Arial" w:eastAsia="Arial" w:hAnsi="Arial" w:cs="Arial"/>
          <w:sz w:val="20"/>
          <w:szCs w:val="20"/>
        </w:rPr>
        <w:t xml:space="preserve"> davkov, carin in dajatev pri uvozu, obresti na dolgove, bančne garancije in stroške garancij, upravne takse.</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9. 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finančne</w:t>
      </w:r>
      <w:proofErr w:type="gramEnd"/>
      <w:r w:rsidRPr="00D30203">
        <w:rPr>
          <w:rFonts w:ascii="Arial" w:eastAsia="Arial" w:hAnsi="Arial" w:cs="Arial"/>
          <w:b/>
          <w:bCs/>
          <w:sz w:val="20"/>
          <w:szCs w:val="20"/>
        </w:rPr>
        <w:t xml:space="preserve"> določbe)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Stopnja javne podpore posameznega projekta znaša 80 % upravičenih stroškov projekta.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(2) Ne glede na prejšnji odstavek stopnja javne podpore za sklad EKSRP za naložbe oziroma investicije v gradnjo, pridobitev, vključno z zakupom, ali izboljšanje nepremičnin ter kmetijsko mehanizacijo znaša 65 % upravičenih stroškov naložbe v okviru projekta.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(3) Najvišji znesek javne podpore za posamezni projekt je 200.000 eurov.</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(4) Najnižji znesek javne podpore za posamezni projekt je 5.000 eurov.</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(5) Kadar vrednost posameznega projekta znaša več kot 20.000 eurov, se lahko izvaja v dveh fazah, s tem da posamezni zahtevek za izplačilo ne sme biti nižji </w:t>
      </w:r>
      <w:proofErr w:type="gramStart"/>
      <w:r w:rsidRPr="00D30203">
        <w:rPr>
          <w:rFonts w:ascii="Arial" w:eastAsia="Arial" w:hAnsi="Arial" w:cs="Arial"/>
          <w:sz w:val="20"/>
          <w:szCs w:val="20"/>
        </w:rPr>
        <w:t>od</w:t>
      </w:r>
      <w:proofErr w:type="gramEnd"/>
      <w:r w:rsidRPr="00D30203">
        <w:rPr>
          <w:rFonts w:ascii="Arial" w:eastAsia="Arial" w:hAnsi="Arial" w:cs="Arial"/>
          <w:sz w:val="20"/>
          <w:szCs w:val="20"/>
        </w:rPr>
        <w:t xml:space="preserve"> 5.000 eurov.</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(6) Upravičenec lahko zaprosi za izplačilo predplačila v skladu z 10. </w:t>
      </w:r>
      <w:proofErr w:type="gramStart"/>
      <w:r w:rsidRPr="00D30203">
        <w:rPr>
          <w:rFonts w:ascii="Arial" w:eastAsia="Arial" w:hAnsi="Arial" w:cs="Arial"/>
          <w:sz w:val="20"/>
          <w:szCs w:val="20"/>
        </w:rPr>
        <w:t>členom</w:t>
      </w:r>
      <w:proofErr w:type="gramEnd"/>
      <w:r w:rsidRPr="00D30203">
        <w:rPr>
          <w:rFonts w:ascii="Arial" w:eastAsia="Arial" w:hAnsi="Arial" w:cs="Arial"/>
          <w:sz w:val="20"/>
          <w:szCs w:val="20"/>
        </w:rPr>
        <w:t xml:space="preserve"> te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(7) Upravičenci, ki so zavezanci za javno naročanje, morajo postopke izvajati v skladu s predpisi, ki urejajo javno naročanje, drugi pa v skladu s temeljnimi načeli javnega naročanja.</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10. 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predplačilo</w:t>
      </w:r>
      <w:proofErr w:type="gramEnd"/>
      <w:r w:rsidRPr="00D30203">
        <w:rPr>
          <w:rFonts w:ascii="Arial" w:eastAsia="Arial" w:hAnsi="Arial" w:cs="Arial"/>
          <w:b/>
          <w:bCs/>
          <w:sz w:val="20"/>
          <w:szCs w:val="20"/>
        </w:rPr>
        <w:t>)</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Za upravičence, za katere je v skladu z zakonom, ki ureja izvrševanje proračuna Republike Slovenije, dovoljeno predplačilo do 30 % predvidenih pogodbenih obveznosti za sofinanciranje projektov, se predplačilo enkratno odobri brez predložitve bančne garancije, in sicer do višine 30 % vrednosti podpore iz odločbe o pravici do sredstev za sklad EKSRP oziroma iz pogodbe o sofinanciranju za sklad ESRR.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proofErr w:type="gramStart"/>
      <w:r w:rsidRPr="00D30203">
        <w:rPr>
          <w:rFonts w:ascii="Arial" w:eastAsia="Arial" w:hAnsi="Arial" w:cs="Arial"/>
          <w:sz w:val="20"/>
          <w:szCs w:val="20"/>
        </w:rPr>
        <w:t>(2) Če</w:t>
      </w:r>
      <w:proofErr w:type="gramEnd"/>
      <w:r w:rsidRPr="00D30203">
        <w:rPr>
          <w:rFonts w:ascii="Arial" w:eastAsia="Arial" w:hAnsi="Arial" w:cs="Arial"/>
          <w:sz w:val="20"/>
          <w:szCs w:val="20"/>
        </w:rPr>
        <w:t xml:space="preserve"> upravičenec uveljavlja predplačilo iz prejšnjega odstavka, mora vložiti zahtevek za izplačilo sredstev najmanj v višini predplačila najpozneje v 180 dneh po izplačilu predplačila.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(3) Za sklad EKSRP lahko upravičenec, ki nima statusa iz prvega odstavka tega člena, lahko uveljavlja predplačilo v skladu s tretjim odstavkom 44.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53" w:tgtFrame="_blank" w:tooltip="to EUR-Lex" w:history="1">
        <w:r w:rsidRPr="00D30203">
          <w:rPr>
            <w:rFonts w:ascii="Arial" w:eastAsia="Arial" w:hAnsi="Arial" w:cs="Arial"/>
            <w:color w:val="0000EE"/>
            <w:sz w:val="20"/>
            <w:szCs w:val="20"/>
            <w:u w:val="single" w:color="0000EE"/>
          </w:rPr>
          <w:t>Uredbe 2021/2116/EU</w:t>
        </w:r>
      </w:hyperlink>
      <w:r w:rsidRPr="00D30203">
        <w:rPr>
          <w:rFonts w:ascii="Arial" w:eastAsia="Arial" w:hAnsi="Arial" w:cs="Arial"/>
          <w:sz w:val="20"/>
          <w:szCs w:val="20"/>
        </w:rPr>
        <w:t xml:space="preserve">. Predplačilo upravičenec uveljavlja ob vlogi. Upravičenec priloži originalno bančno garancijo v višini 100 % zneska predplačila v 30 dneh od vročitve odločbe o pravici do sredstev na elektronski naslov aktrp@gov.si ali na naslov Agencija Republike Slovenije za kmetijske trge in razvoj podeželja, Dunajska cesta 160, 1000 Ljubljana. ARSKTRP upravičencu izplača predplačilo v 30 dneh </w:t>
      </w:r>
      <w:proofErr w:type="gramStart"/>
      <w:r w:rsidRPr="00D30203">
        <w:rPr>
          <w:rFonts w:ascii="Arial" w:eastAsia="Arial" w:hAnsi="Arial" w:cs="Arial"/>
          <w:sz w:val="20"/>
          <w:szCs w:val="20"/>
        </w:rPr>
        <w:t>od</w:t>
      </w:r>
      <w:proofErr w:type="gramEnd"/>
      <w:r w:rsidRPr="00D30203">
        <w:rPr>
          <w:rFonts w:ascii="Arial" w:eastAsia="Arial" w:hAnsi="Arial" w:cs="Arial"/>
          <w:sz w:val="20"/>
          <w:szCs w:val="20"/>
        </w:rPr>
        <w:t xml:space="preserve"> prejema bančne garancije. Bančna garancija mora biti veljavna najmanj šest mesecev </w:t>
      </w:r>
      <w:proofErr w:type="gramStart"/>
      <w:r w:rsidRPr="00D30203">
        <w:rPr>
          <w:rFonts w:ascii="Arial" w:eastAsia="Arial" w:hAnsi="Arial" w:cs="Arial"/>
          <w:sz w:val="20"/>
          <w:szCs w:val="20"/>
        </w:rPr>
        <w:t>od</w:t>
      </w:r>
      <w:proofErr w:type="gramEnd"/>
      <w:r w:rsidRPr="00D30203">
        <w:rPr>
          <w:rFonts w:ascii="Arial" w:eastAsia="Arial" w:hAnsi="Arial" w:cs="Arial"/>
          <w:sz w:val="20"/>
          <w:szCs w:val="20"/>
        </w:rPr>
        <w:t xml:space="preserve"> datuma vložitve zahtevka za izplačilo sredstev, </w:t>
      </w:r>
      <w:r w:rsidRPr="00D30203">
        <w:rPr>
          <w:rFonts w:ascii="Arial" w:eastAsia="Arial" w:hAnsi="Arial" w:cs="Arial"/>
          <w:sz w:val="20"/>
          <w:szCs w:val="20"/>
        </w:rPr>
        <w:lastRenderedPageBreak/>
        <w:t>katerega vrednost je večja od višine predplačila in na katerega je vezana sprostitev bančne garancije. Stroške zavarovanja predplačila nosi upravičenec, ki je prejemnik predplačila.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(4) Bančna garancija iz prejšnjega odstavka se unovči delno </w:t>
      </w:r>
      <w:proofErr w:type="gramStart"/>
      <w:r w:rsidRPr="00D30203">
        <w:rPr>
          <w:rFonts w:ascii="Arial" w:eastAsia="Arial" w:hAnsi="Arial" w:cs="Arial"/>
          <w:sz w:val="20"/>
          <w:szCs w:val="20"/>
        </w:rPr>
        <w:t>ali</w:t>
      </w:r>
      <w:proofErr w:type="gramEnd"/>
      <w:r w:rsidRPr="00D30203">
        <w:rPr>
          <w:rFonts w:ascii="Arial" w:eastAsia="Arial" w:hAnsi="Arial" w:cs="Arial"/>
          <w:sz w:val="20"/>
          <w:szCs w:val="20"/>
        </w:rPr>
        <w:t xml:space="preserve"> v celoti, če upravičenec pred njenim potekom ne predloži ustreznih dokazil o:</w:t>
      </w:r>
    </w:p>
    <w:p w:rsidR="00B21CC9" w:rsidRPr="00D30203" w:rsidRDefault="00B5624C">
      <w:pPr>
        <w:pStyle w:val="aline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 </w:t>
      </w:r>
      <w:proofErr w:type="gramStart"/>
      <w:r w:rsidRPr="00D30203">
        <w:rPr>
          <w:rFonts w:ascii="Arial" w:eastAsia="Arial" w:hAnsi="Arial" w:cs="Arial"/>
          <w:sz w:val="20"/>
          <w:szCs w:val="20"/>
        </w:rPr>
        <w:t>nastanku</w:t>
      </w:r>
      <w:proofErr w:type="gramEnd"/>
      <w:r w:rsidRPr="00D30203">
        <w:rPr>
          <w:rFonts w:ascii="Arial" w:eastAsia="Arial" w:hAnsi="Arial" w:cs="Arial"/>
          <w:sz w:val="20"/>
          <w:szCs w:val="20"/>
        </w:rPr>
        <w:t xml:space="preserve"> stroškov v skladu s 1. </w:t>
      </w:r>
      <w:proofErr w:type="gramStart"/>
      <w:r w:rsidRPr="00D30203">
        <w:rPr>
          <w:rFonts w:ascii="Arial" w:eastAsia="Arial" w:hAnsi="Arial" w:cs="Arial"/>
          <w:sz w:val="20"/>
          <w:szCs w:val="20"/>
        </w:rPr>
        <w:t>in</w:t>
      </w:r>
      <w:proofErr w:type="gramEnd"/>
      <w:r w:rsidRPr="00D30203">
        <w:rPr>
          <w:rFonts w:ascii="Arial" w:eastAsia="Arial" w:hAnsi="Arial" w:cs="Arial"/>
          <w:sz w:val="20"/>
          <w:szCs w:val="20"/>
        </w:rPr>
        <w:t xml:space="preserve"> 2. </w:t>
      </w:r>
      <w:proofErr w:type="gramStart"/>
      <w:r w:rsidRPr="00D30203">
        <w:rPr>
          <w:rFonts w:ascii="Arial" w:eastAsia="Arial" w:hAnsi="Arial" w:cs="Arial"/>
          <w:sz w:val="20"/>
          <w:szCs w:val="20"/>
        </w:rPr>
        <w:t>točko</w:t>
      </w:r>
      <w:proofErr w:type="gramEnd"/>
      <w:r w:rsidRPr="00D30203">
        <w:rPr>
          <w:rFonts w:ascii="Arial" w:eastAsia="Arial" w:hAnsi="Arial" w:cs="Arial"/>
          <w:sz w:val="20"/>
          <w:szCs w:val="20"/>
        </w:rPr>
        <w:t xml:space="preserve"> četrtega odstavka 27.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 ali dokazila o nastanku stroškov v višini izplačanega predplačila, če se podpora dodeli na podlagi dejansko nastalih stroškov;</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 </w:t>
      </w:r>
      <w:proofErr w:type="gramStart"/>
      <w:r w:rsidRPr="00D30203">
        <w:rPr>
          <w:rFonts w:ascii="Arial" w:eastAsia="Arial" w:hAnsi="Arial" w:cs="Arial"/>
          <w:sz w:val="20"/>
          <w:szCs w:val="20"/>
        </w:rPr>
        <w:t>izvedenih</w:t>
      </w:r>
      <w:proofErr w:type="gramEnd"/>
      <w:r w:rsidRPr="00D30203">
        <w:rPr>
          <w:rFonts w:ascii="Arial" w:eastAsia="Arial" w:hAnsi="Arial" w:cs="Arial"/>
          <w:sz w:val="20"/>
          <w:szCs w:val="20"/>
        </w:rPr>
        <w:t xml:space="preserve"> aktivnosti projekta, če se podpora dodeli z uporabo poenostavljenih oblik stroškov iz drugega odstavka 8.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(5) Predplačilo upravičenec uveljavlja z vlogo za odobritev projekta.</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11. 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uveljavljanje</w:t>
      </w:r>
      <w:proofErr w:type="gramEnd"/>
      <w:r w:rsidRPr="00D30203">
        <w:rPr>
          <w:rFonts w:ascii="Arial" w:eastAsia="Arial" w:hAnsi="Arial" w:cs="Arial"/>
          <w:b/>
          <w:bCs/>
          <w:sz w:val="20"/>
          <w:szCs w:val="20"/>
        </w:rPr>
        <w:t xml:space="preserve"> DDV)</w:t>
      </w:r>
    </w:p>
    <w:p w:rsidR="00B21CC9" w:rsidRPr="00D30203" w:rsidRDefault="00B5624C">
      <w:pPr>
        <w:pStyle w:val="zamik"/>
        <w:pBdr>
          <w:top w:val="none" w:sz="0" w:space="12" w:color="auto"/>
        </w:pBdr>
        <w:spacing w:before="210" w:after="210"/>
        <w:jc w:val="both"/>
        <w:rPr>
          <w:rFonts w:ascii="Arial" w:eastAsia="Arial" w:hAnsi="Arial" w:cs="Arial"/>
          <w:sz w:val="20"/>
          <w:szCs w:val="20"/>
        </w:rPr>
      </w:pPr>
      <w:proofErr w:type="gramStart"/>
      <w:r w:rsidRPr="00D30203">
        <w:rPr>
          <w:rFonts w:ascii="Arial" w:eastAsia="Arial" w:hAnsi="Arial" w:cs="Arial"/>
          <w:sz w:val="20"/>
          <w:szCs w:val="20"/>
        </w:rPr>
        <w:t>(1) DDV ni upravičen strošek, razen če se podpora nanaša na nabave blaga oziroma storitev, ki jih bo upravičenec uporabil za namene dejavnosti in transakcij, v zvezi s katerimi se v skladu s predpisi, ki urejajo DDV, ne šteje za davčnega zavezanca, ali za namene dejavnosti in transakcij, ki so v skladu s predpisi o DDV oproščene plačila DDV, brez pravice do odbitka DDV.</w:t>
      </w:r>
      <w:proofErr w:type="gramEnd"/>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(2) Upravičenec, ki uveljavlja DDV kot upravičen strošek projekta, pod kazensko odgovornostjo poda izjavo, da v skladu s predpisi, ki urejajo DDV, ne more odbijati vstopnega DDV, plačanega za nabave blaga oziroma storitev v okviru izvajanja projekta, za katerega mu je dodeljena podpora.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(3) Upravičenec v izjavi iz prejšnjega odstavka navede razlog,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podlagi katerega ne more odbijati vstopnega DDV, in sicer da se nabave blaga oziroma storitev v okviru izvajanja projekta nanašajo na eno izmed naslednjih dejavnosti:</w:t>
      </w:r>
    </w:p>
    <w:p w:rsidR="00B21CC9" w:rsidRPr="00D30203" w:rsidRDefault="00B5624C">
      <w:pPr>
        <w:pStyle w:val="aline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        </w:t>
      </w:r>
      <w:proofErr w:type="gramStart"/>
      <w:r w:rsidRPr="00D30203">
        <w:rPr>
          <w:rFonts w:ascii="Arial" w:eastAsia="Arial" w:hAnsi="Arial" w:cs="Arial"/>
          <w:sz w:val="20"/>
          <w:szCs w:val="20"/>
        </w:rPr>
        <w:t>opravljanje</w:t>
      </w:r>
      <w:proofErr w:type="gramEnd"/>
      <w:r w:rsidRPr="00D30203">
        <w:rPr>
          <w:rFonts w:ascii="Arial" w:eastAsia="Arial" w:hAnsi="Arial" w:cs="Arial"/>
          <w:sz w:val="20"/>
          <w:szCs w:val="20"/>
        </w:rPr>
        <w:t xml:space="preserve"> oproščene dejavnosti brez pravice do odbitka DDV;</w:t>
      </w:r>
    </w:p>
    <w:p w:rsidR="00B21CC9" w:rsidRPr="00D30203" w:rsidRDefault="00B5624C">
      <w:pPr>
        <w:pStyle w:val="aline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        </w:t>
      </w:r>
      <w:proofErr w:type="gramStart"/>
      <w:r w:rsidRPr="00D30203">
        <w:rPr>
          <w:rFonts w:ascii="Arial" w:eastAsia="Arial" w:hAnsi="Arial" w:cs="Arial"/>
          <w:sz w:val="20"/>
          <w:szCs w:val="20"/>
        </w:rPr>
        <w:t>opravljanje</w:t>
      </w:r>
      <w:proofErr w:type="gramEnd"/>
      <w:r w:rsidRPr="00D30203">
        <w:rPr>
          <w:rFonts w:ascii="Arial" w:eastAsia="Arial" w:hAnsi="Arial" w:cs="Arial"/>
          <w:sz w:val="20"/>
          <w:szCs w:val="20"/>
        </w:rPr>
        <w:t xml:space="preserve"> dejavnosti, v zvezi s katerimi se upravičenec ne šteje za davčnega zavezanca, kot ga opredeljuje zakon, ki ureja DDV.</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12. 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merila</w:t>
      </w:r>
      <w:proofErr w:type="gramEnd"/>
      <w:r w:rsidRPr="00D30203">
        <w:rPr>
          <w:rFonts w:ascii="Arial" w:eastAsia="Arial" w:hAnsi="Arial" w:cs="Arial"/>
          <w:b/>
          <w:bCs/>
          <w:sz w:val="20"/>
          <w:szCs w:val="20"/>
        </w:rPr>
        <w:t xml:space="preserve"> za izbor projektov)</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 Merila za izbor projektov v okviru SLR, postopek izbora in potrjevanja projektov, vključno z opisom zagotavljanja preglednosti in preprečevanja navzkrižja interesa, ter drugi opisi izbora so določeni v internih dokumentih LAS in objavljeni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spletni strani LAS.</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(2) Pri določitvi meril za izbor projektov se upošteva, da temeljijo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prispevku k:</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1.      </w:t>
      </w:r>
      <w:proofErr w:type="gramStart"/>
      <w:r w:rsidRPr="00D30203">
        <w:rPr>
          <w:rFonts w:ascii="Arial" w:eastAsia="Arial" w:hAnsi="Arial" w:cs="Arial"/>
          <w:sz w:val="20"/>
          <w:szCs w:val="20"/>
        </w:rPr>
        <w:t>doseganju</w:t>
      </w:r>
      <w:proofErr w:type="gramEnd"/>
      <w:r w:rsidRPr="00D30203">
        <w:rPr>
          <w:rFonts w:ascii="Arial" w:eastAsia="Arial" w:hAnsi="Arial" w:cs="Arial"/>
          <w:sz w:val="20"/>
          <w:szCs w:val="20"/>
        </w:rPr>
        <w:t xml:space="preserve"> cilja in namena intervencije LEADER za sklad EKSRP in ukrepa CLLD za sklad ESRR;</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2.      </w:t>
      </w:r>
      <w:proofErr w:type="gramStart"/>
      <w:r w:rsidRPr="00D30203">
        <w:rPr>
          <w:rFonts w:ascii="Arial" w:eastAsia="Arial" w:hAnsi="Arial" w:cs="Arial"/>
          <w:sz w:val="20"/>
          <w:szCs w:val="20"/>
        </w:rPr>
        <w:t>doseganju</w:t>
      </w:r>
      <w:proofErr w:type="gramEnd"/>
      <w:r w:rsidRPr="00D30203">
        <w:rPr>
          <w:rFonts w:ascii="Arial" w:eastAsia="Arial" w:hAnsi="Arial" w:cs="Arial"/>
          <w:sz w:val="20"/>
          <w:szCs w:val="20"/>
        </w:rPr>
        <w:t xml:space="preserve"> ciljev in ukrepov SLR;</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lastRenderedPageBreak/>
        <w:t xml:space="preserve">3.      </w:t>
      </w:r>
      <w:proofErr w:type="gramStart"/>
      <w:r w:rsidRPr="00D30203">
        <w:rPr>
          <w:rFonts w:ascii="Arial" w:eastAsia="Arial" w:hAnsi="Arial" w:cs="Arial"/>
          <w:sz w:val="20"/>
          <w:szCs w:val="20"/>
        </w:rPr>
        <w:t>okoljski</w:t>
      </w:r>
      <w:proofErr w:type="gramEnd"/>
      <w:r w:rsidRPr="00D30203">
        <w:rPr>
          <w:rFonts w:ascii="Arial" w:eastAsia="Arial" w:hAnsi="Arial" w:cs="Arial"/>
          <w:sz w:val="20"/>
          <w:szCs w:val="20"/>
        </w:rPr>
        <w:t xml:space="preserve"> trajnosti;</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4.      </w:t>
      </w:r>
      <w:proofErr w:type="gramStart"/>
      <w:r w:rsidRPr="00D30203">
        <w:rPr>
          <w:rFonts w:ascii="Arial" w:eastAsia="Arial" w:hAnsi="Arial" w:cs="Arial"/>
          <w:sz w:val="20"/>
          <w:szCs w:val="20"/>
        </w:rPr>
        <w:t>socialni</w:t>
      </w:r>
      <w:proofErr w:type="gramEnd"/>
      <w:r w:rsidRPr="00D30203">
        <w:rPr>
          <w:rFonts w:ascii="Arial" w:eastAsia="Arial" w:hAnsi="Arial" w:cs="Arial"/>
          <w:sz w:val="20"/>
          <w:szCs w:val="20"/>
        </w:rPr>
        <w:t xml:space="preserve"> vzdržnosti;</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5.      </w:t>
      </w:r>
      <w:proofErr w:type="gramStart"/>
      <w:r w:rsidRPr="00D30203">
        <w:rPr>
          <w:rFonts w:ascii="Arial" w:eastAsia="Arial" w:hAnsi="Arial" w:cs="Arial"/>
          <w:sz w:val="20"/>
          <w:szCs w:val="20"/>
        </w:rPr>
        <w:t>enakopravni</w:t>
      </w:r>
      <w:proofErr w:type="gramEnd"/>
      <w:r w:rsidRPr="00D30203">
        <w:rPr>
          <w:rFonts w:ascii="Arial" w:eastAsia="Arial" w:hAnsi="Arial" w:cs="Arial"/>
          <w:sz w:val="20"/>
          <w:szCs w:val="20"/>
        </w:rPr>
        <w:t xml:space="preserve"> vključenosti različnih partnerjev;</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6.      </w:t>
      </w:r>
      <w:proofErr w:type="gramStart"/>
      <w:r w:rsidRPr="00D30203">
        <w:rPr>
          <w:rFonts w:ascii="Arial" w:eastAsia="Arial" w:hAnsi="Arial" w:cs="Arial"/>
          <w:sz w:val="20"/>
          <w:szCs w:val="20"/>
        </w:rPr>
        <w:t>inovativnosti</w:t>
      </w:r>
      <w:proofErr w:type="gramEnd"/>
      <w:r w:rsidRPr="00D30203">
        <w:rPr>
          <w:rFonts w:ascii="Arial" w:eastAsia="Arial" w:hAnsi="Arial" w:cs="Arial"/>
          <w:sz w:val="20"/>
          <w:szCs w:val="20"/>
        </w:rPr>
        <w:t>;</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7.      </w:t>
      </w:r>
      <w:proofErr w:type="gramStart"/>
      <w:r w:rsidRPr="00D30203">
        <w:rPr>
          <w:rFonts w:ascii="Arial" w:eastAsia="Arial" w:hAnsi="Arial" w:cs="Arial"/>
          <w:sz w:val="20"/>
          <w:szCs w:val="20"/>
        </w:rPr>
        <w:t>vplivu</w:t>
      </w:r>
      <w:proofErr w:type="gramEnd"/>
      <w:r w:rsidRPr="00D30203">
        <w:rPr>
          <w:rFonts w:ascii="Arial" w:eastAsia="Arial" w:hAnsi="Arial" w:cs="Arial"/>
          <w:sz w:val="20"/>
          <w:szCs w:val="20"/>
        </w:rPr>
        <w:t xml:space="preserve"> oziroma dodani vrednosti na območje LAS ter</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8.      </w:t>
      </w:r>
      <w:proofErr w:type="gramStart"/>
      <w:r w:rsidRPr="00D30203">
        <w:rPr>
          <w:rFonts w:ascii="Arial" w:eastAsia="Arial" w:hAnsi="Arial" w:cs="Arial"/>
          <w:sz w:val="20"/>
          <w:szCs w:val="20"/>
        </w:rPr>
        <w:t>družbeni</w:t>
      </w:r>
      <w:proofErr w:type="gramEnd"/>
      <w:r w:rsidRPr="00D30203">
        <w:rPr>
          <w:rFonts w:ascii="Arial" w:eastAsia="Arial" w:hAnsi="Arial" w:cs="Arial"/>
          <w:sz w:val="20"/>
          <w:szCs w:val="20"/>
        </w:rPr>
        <w:t xml:space="preserve"> spremembi in povečanju družbene ozaveščenosti (za sklad ESRR).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(3) Pri določitvi meril za izbor projektov LAS upošteva tudi področne predpise (na primer predpisi, ki urejajo Triglavski </w:t>
      </w:r>
      <w:proofErr w:type="gramStart"/>
      <w:r w:rsidRPr="00D30203">
        <w:rPr>
          <w:rFonts w:ascii="Arial" w:eastAsia="Arial" w:hAnsi="Arial" w:cs="Arial"/>
          <w:sz w:val="20"/>
          <w:szCs w:val="20"/>
        </w:rPr>
        <w:t>narodni park</w:t>
      </w:r>
      <w:proofErr w:type="gramEnd"/>
      <w:r w:rsidRPr="00D30203">
        <w:rPr>
          <w:rFonts w:ascii="Arial" w:eastAsia="Arial" w:hAnsi="Arial" w:cs="Arial"/>
          <w:sz w:val="20"/>
          <w:szCs w:val="20"/>
        </w:rPr>
        <w:t>, predpisi, ki urejajo spodbujanje skladnega regionalnega razvoja, predpisi o graditvi objektov).</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13. 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postopki</w:t>
      </w:r>
      <w:proofErr w:type="gramEnd"/>
      <w:r w:rsidRPr="00D30203">
        <w:rPr>
          <w:rFonts w:ascii="Arial" w:eastAsia="Arial" w:hAnsi="Arial" w:cs="Arial"/>
          <w:b/>
          <w:bCs/>
          <w:sz w:val="20"/>
          <w:szCs w:val="20"/>
        </w:rPr>
        <w:t xml:space="preserve"> za izbor projektov v okviru SLR)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LAS pred objavo pošlje javni poziv z merili za izbor projektov v seznanitev organu upravljanja sklada EKSRP in posredniškem telesu sklada ESRR.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(2) LAS mora pregledno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podlagi meril za izbor projektov izbrati vse projekte v okviru SLR, kot jih določa šesti odstavek 4.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(3) Postopki za izbor projektov morajo biti vnaprej določeni v SLR in podrobneje določeni v internih dokumentih LAS, dokumentirani v celoti, pregledni ter morajo omogočati dopolnitev in razjasnitev projekta, roke, odločitev o projektu in možnost pritožbe. O poteku izbirnega postopka projektov mora biti zagotovljena revizijska sled tako, da je mogoče </w:t>
      </w:r>
      <w:proofErr w:type="gramStart"/>
      <w:r w:rsidRPr="00D30203">
        <w:rPr>
          <w:rFonts w:ascii="Arial" w:eastAsia="Arial" w:hAnsi="Arial" w:cs="Arial"/>
          <w:sz w:val="20"/>
          <w:szCs w:val="20"/>
        </w:rPr>
        <w:t>kadar</w:t>
      </w:r>
      <w:proofErr w:type="gramEnd"/>
      <w:r w:rsidRPr="00D30203">
        <w:rPr>
          <w:rFonts w:ascii="Arial" w:eastAsia="Arial" w:hAnsi="Arial" w:cs="Arial"/>
          <w:sz w:val="20"/>
          <w:szCs w:val="20"/>
        </w:rPr>
        <w:t xml:space="preserve"> koli ugotoviti celoten potek postopka.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(4) Pri postopkih izbora projektov v okviru SLR se smiselno uporabljajo določbe zakona, ki ureja splošni upravni postopek.</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(5) Pri postopkih za izbor projektov se upošteva preprečevanje navzkrižja interesov v skladu z zakonom, ki ureja integriteto in preprečevanje korupcije. O izboru vsakega projekta odloča organ odločanja LAS, kot je določen z odobreno SLR. Pri odločanju o izboru projektov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ravni organa odločanja LAS nobeden od treh sektorjev, kot jih določa odobrena SLR, ne prevladuje. Pri ocenjevanju in odločanju o posameznem projektu se mora izločiti vsak, ki je kakor koli povezan s prijaviteljem projekta.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(6) Vodilni partner LAS projekte, izbrane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podlagi drugega odstavka tega člena, predloži v odobritev za sklad EKSRP na ARSKTRP, za sklad ESRR pa na MKRR. Vlogo za odobritev projekta vloži v skladu s 25. </w:t>
      </w:r>
      <w:proofErr w:type="gramStart"/>
      <w:r w:rsidRPr="00D30203">
        <w:rPr>
          <w:rFonts w:ascii="Arial" w:eastAsia="Arial" w:hAnsi="Arial" w:cs="Arial"/>
          <w:sz w:val="20"/>
          <w:szCs w:val="20"/>
        </w:rPr>
        <w:t>členom</w:t>
      </w:r>
      <w:proofErr w:type="gramEnd"/>
      <w:r w:rsidRPr="00D30203">
        <w:rPr>
          <w:rFonts w:ascii="Arial" w:eastAsia="Arial" w:hAnsi="Arial" w:cs="Arial"/>
          <w:sz w:val="20"/>
          <w:szCs w:val="20"/>
        </w:rPr>
        <w:t xml:space="preserve"> te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(7) ARSKTRP oziroma MKRR odločita o odobritvi oziroma zavrnitvi projekta. ARSKTRP odloči v skladu z zakonom, ki ureja kmetijstvo, in izda odločbo o pravici do sredstev. MKRR o odločitvi obvesti vodilnega partnerja LAS ter z upravičencem, ki mu je bil odobren projekt za sofinanciranje s sredstvi ESRR, sklene pogodbo o sofinanciranju v skladu z uredbo, ki ureja izvajanje evropske kohezijske politike za programsko obdobje 2021–2027 za cilj naložbe za rast in delovna mesta.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(8) Upravičenec lahko v obdobju izvajanja projekta in pred nastankom sprememb zaprosi za spremembo projekta, in sicer za sklad EKSRP največ dvakrat, za sklad ESRR pa enkrat.</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lastRenderedPageBreak/>
        <w:t>14. 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izbor</w:t>
      </w:r>
      <w:proofErr w:type="gramEnd"/>
      <w:r w:rsidRPr="00D30203">
        <w:rPr>
          <w:rFonts w:ascii="Arial" w:eastAsia="Arial" w:hAnsi="Arial" w:cs="Arial"/>
          <w:b/>
          <w:bCs/>
          <w:sz w:val="20"/>
          <w:szCs w:val="20"/>
        </w:rPr>
        <w:t xml:space="preserve"> projektov na podlagi javnega poziva za izbor projektov)</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Vodilni partner LAS pripravi in objavi javni poziv za izbor projektov za območje LAS iz točke a) šestega odstavka 4.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 na spletni strani LAS. Javni poziv za izbor projektov mora biti odprt najmanj 30 dni pred postopkom za izbor projektov.</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(2) LAS izbere projekt pregledno in po podrobnejšem postopku iz prejšnjega člena.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(3) Na javni poziv za izbor projektov se lahko prijavijo vlagatelji z območja LAS in pravne osebe javnega prava, društva in druge pravne osebe zasebnega prava v javnem interesu, ki delujejo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območju LAS.</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15. 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projekti</w:t>
      </w:r>
      <w:proofErr w:type="gramEnd"/>
      <w:r w:rsidRPr="00D30203">
        <w:rPr>
          <w:rFonts w:ascii="Arial" w:eastAsia="Arial" w:hAnsi="Arial" w:cs="Arial"/>
          <w:b/>
          <w:bCs/>
          <w:sz w:val="20"/>
          <w:szCs w:val="20"/>
        </w:rPr>
        <w:t>, katerih upravičenec je LAS)</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 Ne glede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prejšnji člen se lahko izberejo tudi projekti, katerih upravičenec je LAS, skupaj s partnerji v projektu iz točke b) šestega odstavka 4.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 brez javnega poziva za izbor projektov.</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(2) Podpora za projekt iz prejšnjega odstavka se lahko nameni za projekte LAS, pri katerih je LAS v skladu s petim odstavkom 33.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54" w:tgtFrame="_blank" w:tooltip="to EUR-Lex" w:history="1">
        <w:r w:rsidRPr="00D30203">
          <w:rPr>
            <w:rFonts w:ascii="Arial" w:eastAsia="Arial" w:hAnsi="Arial" w:cs="Arial"/>
            <w:sz w:val="20"/>
            <w:szCs w:val="20"/>
          </w:rPr>
          <w:t>Uredbe 2021/1060/EU</w:t>
        </w:r>
      </w:hyperlink>
      <w:r w:rsidRPr="00D30203">
        <w:rPr>
          <w:rFonts w:ascii="Arial" w:eastAsia="Arial" w:hAnsi="Arial" w:cs="Arial"/>
          <w:sz w:val="20"/>
          <w:szCs w:val="20"/>
        </w:rPr>
        <w:t xml:space="preserve"> lahko upravičenec in izvaja projekte v skladu z odobreno SLR, če ima to korist za celotno območje LAS, je to v interesu območja in uresničevanja ciljev in ukrepov SLR oziroma če je sodelovanje celotnega LAS potrebno za izvedljivost ali uspeh projekta. LAS pri tem zagotavlja načelo ločevanja funkcij in preprečevanja navzkrižja interesov.</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(3) LAS mora izbrati projekte pregledno in po podrobnejšem postopku iz 13.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16. 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projekti</w:t>
      </w:r>
      <w:proofErr w:type="gramEnd"/>
      <w:r w:rsidRPr="00D30203">
        <w:rPr>
          <w:rFonts w:ascii="Arial" w:eastAsia="Arial" w:hAnsi="Arial" w:cs="Arial"/>
          <w:b/>
          <w:bCs/>
          <w:sz w:val="20"/>
          <w:szCs w:val="20"/>
        </w:rPr>
        <w:t xml:space="preserve"> sodelovanja LAS)</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 Ne glede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14. </w:t>
      </w:r>
      <w:proofErr w:type="gramStart"/>
      <w:r w:rsidRPr="00D30203">
        <w:rPr>
          <w:rFonts w:ascii="Arial" w:eastAsia="Arial" w:hAnsi="Arial" w:cs="Arial"/>
          <w:sz w:val="20"/>
          <w:szCs w:val="20"/>
        </w:rPr>
        <w:t>člen</w:t>
      </w:r>
      <w:proofErr w:type="gramEnd"/>
      <w:r w:rsidRPr="00D30203">
        <w:rPr>
          <w:rFonts w:ascii="Arial" w:eastAsia="Arial" w:hAnsi="Arial" w:cs="Arial"/>
          <w:sz w:val="20"/>
          <w:szCs w:val="20"/>
        </w:rPr>
        <w:t xml:space="preserve"> te uredbe se brez javnega poziva za izbor projektov in na podlagi odobrenih SLR izberejo tudi projekti sodelovanja LAS iz točke c) šestega odstavka 4.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(2) Upravičenci do podpore projektov sodelovanja LAS so za sklad ESRR LAS, za sklad EKSRP pa so lahko upravičenci tudi člani LAS.</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(3) Projekti sodelovanja LAS morajo biti izbrani pregledno in po postopku iz 13.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(4) Projekt sodelovanja LAS za sklad EKSRP predloži v potrditev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ARSKTRP. Indikativna lista projektov sodelovanja LAS za sklad ESRR se odobri kot </w:t>
      </w:r>
      <w:proofErr w:type="gramStart"/>
      <w:r w:rsidRPr="00D30203">
        <w:rPr>
          <w:rFonts w:ascii="Arial" w:eastAsia="Arial" w:hAnsi="Arial" w:cs="Arial"/>
          <w:sz w:val="20"/>
          <w:szCs w:val="20"/>
        </w:rPr>
        <w:t>del</w:t>
      </w:r>
      <w:proofErr w:type="gramEnd"/>
      <w:r w:rsidRPr="00D30203">
        <w:rPr>
          <w:rFonts w:ascii="Arial" w:eastAsia="Arial" w:hAnsi="Arial" w:cs="Arial"/>
          <w:sz w:val="20"/>
          <w:szCs w:val="20"/>
        </w:rPr>
        <w:t xml:space="preserve"> SLR v skladu z uredbo, ki ureja delovanje LAS in potrditvi SLR.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lastRenderedPageBreak/>
        <w:t xml:space="preserve">(5) Upravičeni so stroški LAS, ki nastanejo pri pripravi in izvajanju posameznih projektov sodelovanja LAS znotraj Republike Slovenije (medregionalno sodelovanje), z LAS </w:t>
      </w:r>
      <w:proofErr w:type="gramStart"/>
      <w:r w:rsidRPr="00D30203">
        <w:rPr>
          <w:rFonts w:ascii="Arial" w:eastAsia="Arial" w:hAnsi="Arial" w:cs="Arial"/>
          <w:sz w:val="20"/>
          <w:szCs w:val="20"/>
        </w:rPr>
        <w:t>ali</w:t>
      </w:r>
      <w:proofErr w:type="gramEnd"/>
      <w:r w:rsidRPr="00D30203">
        <w:rPr>
          <w:rFonts w:ascii="Arial" w:eastAsia="Arial" w:hAnsi="Arial" w:cs="Arial"/>
          <w:sz w:val="20"/>
          <w:szCs w:val="20"/>
        </w:rPr>
        <w:t xml:space="preserve"> partnerji iz držav članic ali z območij tretjih držav (transnacionalno sodelovanje).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(6) LAS izvede vsaj en projekt sodelovanja, ne glede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sklad EKSRP ali ESRR, oziroma ima na voljo največ 15 % finančnega okvira SLR, namenjenega za izvajanje projektov v okviru SLR.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(7) V okviru projektov sodelovanja LAS se projekt lahko izvaja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območju sodelujočega LAS ne glede na tretji odstavek 7.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 tudi zunaj območja Republike Slovenije, za sklad EKSRP pa tudi na območju partnerja v projektu.</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(8) Med partnerji v projektu sodelovanja mora biti sklenjena pogodba o sodelovanju in jasna opredelitev načrtovanih aktivnosti s predvidenim finančnim okvirom posameznega partnerja v projektu sodelovanja.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(9) Upravičeni so le stroški, povezani s skupnimi projekti, ki imajo jasno opredeljen rezultat projekta in jasno opredelijo koristi za območje.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(10) Projekti sodelovanja LAS se izvajajo v skladu s pogoji za dodelitev podpore iz 7.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(11) Projekti sodelovanja LAS morajo biti neinvesticijske narave.</w:t>
      </w:r>
    </w:p>
    <w:p w:rsidR="00B21CC9" w:rsidRPr="00D30203" w:rsidRDefault="00B5624C">
      <w:pPr>
        <w:pStyle w:val="center"/>
        <w:pBdr>
          <w:top w:val="none" w:sz="0" w:space="24" w:color="auto"/>
        </w:pBdr>
        <w:spacing w:before="210" w:after="210"/>
        <w:rPr>
          <w:rFonts w:ascii="Arial" w:eastAsia="Arial" w:hAnsi="Arial" w:cs="Arial"/>
          <w:caps/>
          <w:sz w:val="20"/>
          <w:szCs w:val="20"/>
        </w:rPr>
      </w:pPr>
      <w:r w:rsidRPr="00D30203">
        <w:rPr>
          <w:rFonts w:ascii="Arial" w:eastAsia="Arial" w:hAnsi="Arial" w:cs="Arial"/>
          <w:caps/>
          <w:sz w:val="20"/>
          <w:szCs w:val="20"/>
        </w:rPr>
        <w:t>III. PODPORA ZA UPRAVLJANJE LAS</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17. 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namen</w:t>
      </w:r>
      <w:proofErr w:type="gramEnd"/>
      <w:r w:rsidRPr="00D30203">
        <w:rPr>
          <w:rFonts w:ascii="Arial" w:eastAsia="Arial" w:hAnsi="Arial" w:cs="Arial"/>
          <w:b/>
          <w:bCs/>
          <w:sz w:val="20"/>
          <w:szCs w:val="20"/>
        </w:rPr>
        <w:t xml:space="preserve"> podpore)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Podpora za upravljanje LAS je namenjena za sofinanciranje stroškov, ki so nastali pri upravljanju in delovanju LAS, vključno s spremljanjem in vrednotenjem odobrene SLR, animacijo območja LAS in pomoči morebitnim upravičencem za razvijanje projektnih idej in pripravo projektov.</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18. 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upravičenci</w:t>
      </w:r>
      <w:proofErr w:type="gramEnd"/>
      <w:r w:rsidRPr="00D30203">
        <w:rPr>
          <w:rFonts w:ascii="Arial" w:eastAsia="Arial" w:hAnsi="Arial" w:cs="Arial"/>
          <w:b/>
          <w:bCs/>
          <w:sz w:val="20"/>
          <w:szCs w:val="20"/>
        </w:rPr>
        <w:t>)</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Upravičenci do podpore za upravljanje LAS so delujoči LAS, ki imajo odobreno SLR.</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19. 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vodilni</w:t>
      </w:r>
      <w:proofErr w:type="gramEnd"/>
      <w:r w:rsidRPr="00D30203">
        <w:rPr>
          <w:rFonts w:ascii="Arial" w:eastAsia="Arial" w:hAnsi="Arial" w:cs="Arial"/>
          <w:b/>
          <w:bCs/>
          <w:sz w:val="20"/>
          <w:szCs w:val="20"/>
        </w:rPr>
        <w:t xml:space="preserve"> partner LAS)</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LAS v upravnih in finančnih zadevah zastopa izbrani vodilni partner LAS iz drugega odstavka 33.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55" w:tgtFrame="_blank" w:tooltip="to EUR-Lex" w:history="1">
        <w:r w:rsidRPr="00D30203">
          <w:rPr>
            <w:rFonts w:ascii="Arial" w:eastAsia="Arial" w:hAnsi="Arial" w:cs="Arial"/>
            <w:sz w:val="20"/>
            <w:szCs w:val="20"/>
          </w:rPr>
          <w:t>Uredbe 2021/1060/EU</w:t>
        </w:r>
      </w:hyperlink>
      <w:r w:rsidRPr="00D30203">
        <w:rPr>
          <w:rFonts w:ascii="Arial" w:eastAsia="Arial" w:hAnsi="Arial" w:cs="Arial"/>
          <w:sz w:val="20"/>
          <w:szCs w:val="20"/>
        </w:rPr>
        <w:t xml:space="preserve"> na podlagi pogodbe med LAS in vodilnim partnerjem, sklenjene za namen izvajanja odobrene SLR.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lastRenderedPageBreak/>
        <w:t>(2) Vodilni partner LAS za LAS opravlja naloge in aktivnosti, določene v 21. </w:t>
      </w:r>
      <w:proofErr w:type="gramStart"/>
      <w:r w:rsidRPr="00D30203">
        <w:rPr>
          <w:rFonts w:ascii="Arial" w:eastAsia="Arial" w:hAnsi="Arial" w:cs="Arial"/>
          <w:sz w:val="20"/>
          <w:szCs w:val="20"/>
        </w:rPr>
        <w:t>členu</w:t>
      </w:r>
      <w:proofErr w:type="gramEnd"/>
      <w:r w:rsidRPr="00D30203">
        <w:rPr>
          <w:rFonts w:ascii="Arial" w:eastAsia="Arial" w:hAnsi="Arial" w:cs="Arial"/>
          <w:sz w:val="20"/>
          <w:szCs w:val="20"/>
        </w:rPr>
        <w:t xml:space="preserve"> te uredbe.</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20. 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upravičeni</w:t>
      </w:r>
      <w:proofErr w:type="gramEnd"/>
      <w:r w:rsidRPr="00D30203">
        <w:rPr>
          <w:rFonts w:ascii="Arial" w:eastAsia="Arial" w:hAnsi="Arial" w:cs="Arial"/>
          <w:b/>
          <w:bCs/>
          <w:sz w:val="20"/>
          <w:szCs w:val="20"/>
        </w:rPr>
        <w:t xml:space="preserve"> stroški in aktivnosti)</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Upravičeni stroški v okviru podpore za upravljanje LAS so tekoči stroški upravljanja LAS, vključno s spremljanjem in vrednotenjem SLR, stroški animacije lokalnega območja ter stroški pomoči potencialnim upravičencem za razvijanje projektnih idej in pripravo projektov v okviru SLR.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(2) Upravičeni so samo stroški aktivnosti in naloge vodilnega partnerja LAS iz 21.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 nastali po izdaji odločbe o odobritvi SLR.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(3) Do podpore za upravljanje LAS niso upravičeni naslednji stroški:</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1.      </w:t>
      </w:r>
      <w:proofErr w:type="gramStart"/>
      <w:r w:rsidRPr="00D30203">
        <w:rPr>
          <w:rFonts w:ascii="Arial" w:eastAsia="Arial" w:hAnsi="Arial" w:cs="Arial"/>
          <w:sz w:val="20"/>
          <w:szCs w:val="20"/>
        </w:rPr>
        <w:t>stroški</w:t>
      </w:r>
      <w:proofErr w:type="gramEnd"/>
      <w:r w:rsidRPr="00D30203">
        <w:rPr>
          <w:rFonts w:ascii="Arial" w:eastAsia="Arial" w:hAnsi="Arial" w:cs="Arial"/>
          <w:sz w:val="20"/>
          <w:szCs w:val="20"/>
        </w:rPr>
        <w:t xml:space="preserve"> materiala, opreme in storitev, namenjenih za zasebno rabo,</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2.      </w:t>
      </w:r>
      <w:proofErr w:type="gramStart"/>
      <w:r w:rsidRPr="00D30203">
        <w:rPr>
          <w:rFonts w:ascii="Arial" w:eastAsia="Arial" w:hAnsi="Arial" w:cs="Arial"/>
          <w:sz w:val="20"/>
          <w:szCs w:val="20"/>
        </w:rPr>
        <w:t>splošni</w:t>
      </w:r>
      <w:proofErr w:type="gramEnd"/>
      <w:r w:rsidRPr="00D30203">
        <w:rPr>
          <w:rFonts w:ascii="Arial" w:eastAsia="Arial" w:hAnsi="Arial" w:cs="Arial"/>
          <w:sz w:val="20"/>
          <w:szCs w:val="20"/>
        </w:rPr>
        <w:t xml:space="preserve"> upravni stroški,</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3.      </w:t>
      </w:r>
      <w:proofErr w:type="gramStart"/>
      <w:r w:rsidRPr="00D30203">
        <w:rPr>
          <w:rFonts w:ascii="Arial" w:eastAsia="Arial" w:hAnsi="Arial" w:cs="Arial"/>
          <w:sz w:val="20"/>
          <w:szCs w:val="20"/>
        </w:rPr>
        <w:t>obresti</w:t>
      </w:r>
      <w:proofErr w:type="gramEnd"/>
      <w:r w:rsidRPr="00D30203">
        <w:rPr>
          <w:rFonts w:ascii="Arial" w:eastAsia="Arial" w:hAnsi="Arial" w:cs="Arial"/>
          <w:sz w:val="20"/>
          <w:szCs w:val="20"/>
        </w:rPr>
        <w:t xml:space="preserve"> za dolgove,</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4.      </w:t>
      </w:r>
      <w:proofErr w:type="gramStart"/>
      <w:r w:rsidRPr="00D30203">
        <w:rPr>
          <w:rFonts w:ascii="Arial" w:eastAsia="Arial" w:hAnsi="Arial" w:cs="Arial"/>
          <w:sz w:val="20"/>
          <w:szCs w:val="20"/>
        </w:rPr>
        <w:t>štipendije</w:t>
      </w:r>
      <w:proofErr w:type="gramEnd"/>
      <w:r w:rsidRPr="00D30203">
        <w:rPr>
          <w:rFonts w:ascii="Arial" w:eastAsia="Arial" w:hAnsi="Arial" w:cs="Arial"/>
          <w:sz w:val="20"/>
          <w:szCs w:val="20"/>
        </w:rPr>
        <w:t xml:space="preserve"> in nagrade,</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5.      </w:t>
      </w:r>
      <w:proofErr w:type="gramStart"/>
      <w:r w:rsidRPr="00D30203">
        <w:rPr>
          <w:rFonts w:ascii="Arial" w:eastAsia="Arial" w:hAnsi="Arial" w:cs="Arial"/>
          <w:sz w:val="20"/>
          <w:szCs w:val="20"/>
        </w:rPr>
        <w:t>stroški</w:t>
      </w:r>
      <w:proofErr w:type="gramEnd"/>
      <w:r w:rsidRPr="00D30203">
        <w:rPr>
          <w:rFonts w:ascii="Arial" w:eastAsia="Arial" w:hAnsi="Arial" w:cs="Arial"/>
          <w:sz w:val="20"/>
          <w:szCs w:val="20"/>
        </w:rPr>
        <w:t>, nastali z izvajanjem nalog javnih služb, ter</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6.      </w:t>
      </w:r>
      <w:proofErr w:type="gramStart"/>
      <w:r w:rsidRPr="00D30203">
        <w:rPr>
          <w:rFonts w:ascii="Arial" w:eastAsia="Arial" w:hAnsi="Arial" w:cs="Arial"/>
          <w:sz w:val="20"/>
          <w:szCs w:val="20"/>
        </w:rPr>
        <w:t>stroški</w:t>
      </w:r>
      <w:proofErr w:type="gramEnd"/>
      <w:r w:rsidRPr="00D30203">
        <w:rPr>
          <w:rFonts w:ascii="Arial" w:eastAsia="Arial" w:hAnsi="Arial" w:cs="Arial"/>
          <w:sz w:val="20"/>
          <w:szCs w:val="20"/>
        </w:rPr>
        <w:t>, ki so nastali z aktivnostmi, vezanimi na izvajanje LEADER/CLLD v okviru uredbe, ki ureja izvajanje lokalnega razvoja, ki ga vodi skupnost, v programskem obdobju 2014–2020.</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21. 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naloge</w:t>
      </w:r>
      <w:proofErr w:type="gramEnd"/>
      <w:r w:rsidRPr="00D30203">
        <w:rPr>
          <w:rFonts w:ascii="Arial" w:eastAsia="Arial" w:hAnsi="Arial" w:cs="Arial"/>
          <w:b/>
          <w:bCs/>
          <w:sz w:val="20"/>
          <w:szCs w:val="20"/>
        </w:rPr>
        <w:t xml:space="preserve"> vodilnega partnerja LAS)</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Vodilni partner LAS izvaja naslednje naloge v skladu s tretjim odstavkom 33.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56" w:tgtFrame="_blank" w:tooltip="to EUR-Lex" w:history="1">
        <w:r w:rsidRPr="00D30203">
          <w:rPr>
            <w:rFonts w:ascii="Arial" w:eastAsia="Arial" w:hAnsi="Arial" w:cs="Arial"/>
            <w:sz w:val="20"/>
            <w:szCs w:val="20"/>
          </w:rPr>
          <w:t>Uredbe 2021/1060/EU:</w:t>
        </w:r>
      </w:hyperlink>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1.      </w:t>
      </w:r>
      <w:proofErr w:type="gramStart"/>
      <w:r w:rsidRPr="00D30203">
        <w:rPr>
          <w:rFonts w:ascii="Arial" w:eastAsia="Arial" w:hAnsi="Arial" w:cs="Arial"/>
          <w:sz w:val="20"/>
          <w:szCs w:val="20"/>
        </w:rPr>
        <w:t>upravljanje</w:t>
      </w:r>
      <w:proofErr w:type="gramEnd"/>
      <w:r w:rsidRPr="00D30203">
        <w:rPr>
          <w:rFonts w:ascii="Arial" w:eastAsia="Arial" w:hAnsi="Arial" w:cs="Arial"/>
          <w:sz w:val="20"/>
          <w:szCs w:val="20"/>
        </w:rPr>
        <w:t xml:space="preserve"> izvajanja odobrene SLR in uresničevanje ukrepov SLR ter delovanje LAS za celotno programsko obdobje;</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2.      </w:t>
      </w:r>
      <w:proofErr w:type="gramStart"/>
      <w:r w:rsidRPr="00D30203">
        <w:rPr>
          <w:rFonts w:ascii="Arial" w:eastAsia="Arial" w:hAnsi="Arial" w:cs="Arial"/>
          <w:sz w:val="20"/>
          <w:szCs w:val="20"/>
        </w:rPr>
        <w:t>aktivnosti</w:t>
      </w:r>
      <w:proofErr w:type="gramEnd"/>
      <w:r w:rsidRPr="00D30203">
        <w:rPr>
          <w:rFonts w:ascii="Arial" w:eastAsia="Arial" w:hAnsi="Arial" w:cs="Arial"/>
          <w:sz w:val="20"/>
          <w:szCs w:val="20"/>
        </w:rPr>
        <w:t xml:space="preserve"> osebja pri vodilnem partnerju, vključno z usposabljanjem za potrebe upravljanja LAS;</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3.      </w:t>
      </w:r>
      <w:proofErr w:type="gramStart"/>
      <w:r w:rsidRPr="00D30203">
        <w:rPr>
          <w:rFonts w:ascii="Arial" w:eastAsia="Arial" w:hAnsi="Arial" w:cs="Arial"/>
          <w:sz w:val="20"/>
          <w:szCs w:val="20"/>
        </w:rPr>
        <w:t>aktivnosti</w:t>
      </w:r>
      <w:proofErr w:type="gramEnd"/>
      <w:r w:rsidRPr="00D30203">
        <w:rPr>
          <w:rFonts w:ascii="Arial" w:eastAsia="Arial" w:hAnsi="Arial" w:cs="Arial"/>
          <w:sz w:val="20"/>
          <w:szCs w:val="20"/>
        </w:rPr>
        <w:t>, vezane na odnose z javnostjo, promocijo LAS in mreženje;</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4.      </w:t>
      </w:r>
      <w:proofErr w:type="gramStart"/>
      <w:r w:rsidRPr="00D30203">
        <w:rPr>
          <w:rFonts w:ascii="Arial" w:eastAsia="Arial" w:hAnsi="Arial" w:cs="Arial"/>
          <w:sz w:val="20"/>
          <w:szCs w:val="20"/>
        </w:rPr>
        <w:t>priprava</w:t>
      </w:r>
      <w:proofErr w:type="gramEnd"/>
      <w:r w:rsidRPr="00D30203">
        <w:rPr>
          <w:rFonts w:ascii="Arial" w:eastAsia="Arial" w:hAnsi="Arial" w:cs="Arial"/>
          <w:sz w:val="20"/>
          <w:szCs w:val="20"/>
        </w:rPr>
        <w:t xml:space="preserve"> nediskriminatornega in preglednega izbirnega postopka in meril ter drugih internih navodil LAS, ki preprečujejo navzkrižje interesov in zagotavljajo, da noben sektor ne nadzoruje odločanja o izboru projektov;</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5.      </w:t>
      </w:r>
      <w:proofErr w:type="gramStart"/>
      <w:r w:rsidRPr="00D30203">
        <w:rPr>
          <w:rFonts w:ascii="Arial" w:eastAsia="Arial" w:hAnsi="Arial" w:cs="Arial"/>
          <w:sz w:val="20"/>
          <w:szCs w:val="20"/>
        </w:rPr>
        <w:t>ureditev</w:t>
      </w:r>
      <w:proofErr w:type="gramEnd"/>
      <w:r w:rsidRPr="00D30203">
        <w:rPr>
          <w:rFonts w:ascii="Arial" w:eastAsia="Arial" w:hAnsi="Arial" w:cs="Arial"/>
          <w:sz w:val="20"/>
          <w:szCs w:val="20"/>
        </w:rPr>
        <w:t xml:space="preserve"> dostopa do ustreznega informacijskega sistema posameznega sklada pred vlaganjem vlog in zahtevkov za izplačilo v informacijski sistem;</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lastRenderedPageBreak/>
        <w:t xml:space="preserve">6.      </w:t>
      </w:r>
      <w:proofErr w:type="gramStart"/>
      <w:r w:rsidRPr="00D30203">
        <w:rPr>
          <w:rFonts w:ascii="Arial" w:eastAsia="Arial" w:hAnsi="Arial" w:cs="Arial"/>
          <w:sz w:val="20"/>
          <w:szCs w:val="20"/>
        </w:rPr>
        <w:t>priprava</w:t>
      </w:r>
      <w:proofErr w:type="gramEnd"/>
      <w:r w:rsidRPr="00D30203">
        <w:rPr>
          <w:rFonts w:ascii="Arial" w:eastAsia="Arial" w:hAnsi="Arial" w:cs="Arial"/>
          <w:sz w:val="20"/>
          <w:szCs w:val="20"/>
        </w:rPr>
        <w:t xml:space="preserve"> in objava javnih pozivov za zbiranje predlogov projektov, preveritev zakonitosti projektov, določitev zneska podpore, izbor projektov ter izbor drugih projektov, skupaj z organi LAS;</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7.      </w:t>
      </w:r>
      <w:proofErr w:type="gramStart"/>
      <w:r w:rsidRPr="00D30203">
        <w:rPr>
          <w:rFonts w:ascii="Arial" w:eastAsia="Arial" w:hAnsi="Arial" w:cs="Arial"/>
          <w:sz w:val="20"/>
          <w:szCs w:val="20"/>
        </w:rPr>
        <w:t>pošiljanje</w:t>
      </w:r>
      <w:proofErr w:type="gramEnd"/>
      <w:r w:rsidRPr="00D30203">
        <w:rPr>
          <w:rFonts w:ascii="Arial" w:eastAsia="Arial" w:hAnsi="Arial" w:cs="Arial"/>
          <w:sz w:val="20"/>
          <w:szCs w:val="20"/>
        </w:rPr>
        <w:t xml:space="preserve"> vlog in zahtevkov za izplačilo za posamezne podpore iz te uredbe v skladu s posebnimi pogoji posameznega sklada iz te uredbe;</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8.      </w:t>
      </w:r>
      <w:proofErr w:type="gramStart"/>
      <w:r w:rsidRPr="00D30203">
        <w:rPr>
          <w:rFonts w:ascii="Arial" w:eastAsia="Arial" w:hAnsi="Arial" w:cs="Arial"/>
          <w:sz w:val="20"/>
          <w:szCs w:val="20"/>
        </w:rPr>
        <w:t>pred</w:t>
      </w:r>
      <w:proofErr w:type="gramEnd"/>
      <w:r w:rsidRPr="00D30203">
        <w:rPr>
          <w:rFonts w:ascii="Arial" w:eastAsia="Arial" w:hAnsi="Arial" w:cs="Arial"/>
          <w:sz w:val="20"/>
          <w:szCs w:val="20"/>
        </w:rPr>
        <w:t xml:space="preserve"> pošiljanjem zahtevka za izplačilo izvedba preverjanja, če so projekti izvedeni skladno s potrjeno vlogo ter da so sofinancirani projekti označeni v skladu s pravili označevanja, določenimi za posamezni sklad;</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9.      </w:t>
      </w:r>
      <w:proofErr w:type="gramStart"/>
      <w:r w:rsidRPr="00D30203">
        <w:rPr>
          <w:rFonts w:ascii="Arial" w:eastAsia="Arial" w:hAnsi="Arial" w:cs="Arial"/>
          <w:sz w:val="20"/>
          <w:szCs w:val="20"/>
        </w:rPr>
        <w:t>krepitev</w:t>
      </w:r>
      <w:proofErr w:type="gramEnd"/>
      <w:r w:rsidRPr="00D30203">
        <w:rPr>
          <w:rFonts w:ascii="Arial" w:eastAsia="Arial" w:hAnsi="Arial" w:cs="Arial"/>
          <w:sz w:val="20"/>
          <w:szCs w:val="20"/>
        </w:rPr>
        <w:t xml:space="preserve"> zmogljivosti lokalnih akterjev za razvoj in izvajanje projektov ter skrb za informiranost upravičencev v zvezi s pravicami in dolžnostmi tudi po zadnjem izplačilu sredstev;</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10.   </w:t>
      </w:r>
      <w:proofErr w:type="gramStart"/>
      <w:r w:rsidRPr="00D30203">
        <w:rPr>
          <w:rFonts w:ascii="Arial" w:eastAsia="Arial" w:hAnsi="Arial" w:cs="Arial"/>
          <w:sz w:val="20"/>
          <w:szCs w:val="20"/>
        </w:rPr>
        <w:t>animacija</w:t>
      </w:r>
      <w:proofErr w:type="gramEnd"/>
      <w:r w:rsidRPr="00D30203">
        <w:rPr>
          <w:rFonts w:ascii="Arial" w:eastAsia="Arial" w:hAnsi="Arial" w:cs="Arial"/>
          <w:sz w:val="20"/>
          <w:szCs w:val="20"/>
        </w:rPr>
        <w:t xml:space="preserve"> območja, zagotavljanje informacij zainteresiranim prebivalcem na območju LAS z namenom zagotavljanja informacij in spodbujanja izvajanja SLR, spodbujanje izvajanja projektov ter pomoč morebitnim upravičencem pri pripravi projektov;</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11.   </w:t>
      </w:r>
      <w:proofErr w:type="gramStart"/>
      <w:r w:rsidRPr="00D30203">
        <w:rPr>
          <w:rFonts w:ascii="Arial" w:eastAsia="Arial" w:hAnsi="Arial" w:cs="Arial"/>
          <w:sz w:val="20"/>
          <w:szCs w:val="20"/>
        </w:rPr>
        <w:t>spremljanje</w:t>
      </w:r>
      <w:proofErr w:type="gramEnd"/>
      <w:r w:rsidRPr="00D30203">
        <w:rPr>
          <w:rFonts w:ascii="Arial" w:eastAsia="Arial" w:hAnsi="Arial" w:cs="Arial"/>
          <w:sz w:val="20"/>
          <w:szCs w:val="20"/>
        </w:rPr>
        <w:t xml:space="preserve"> napredka pri izvajanju SLR ter pregled nad izvajanjem projektov v okviru SLR tudi po izplačilu sredstev;</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12.   </w:t>
      </w:r>
      <w:proofErr w:type="gramStart"/>
      <w:r w:rsidRPr="00D30203">
        <w:rPr>
          <w:rFonts w:ascii="Arial" w:eastAsia="Arial" w:hAnsi="Arial" w:cs="Arial"/>
          <w:sz w:val="20"/>
          <w:szCs w:val="20"/>
        </w:rPr>
        <w:t>vrednotenje</w:t>
      </w:r>
      <w:proofErr w:type="gramEnd"/>
      <w:r w:rsidRPr="00D30203">
        <w:rPr>
          <w:rFonts w:ascii="Arial" w:eastAsia="Arial" w:hAnsi="Arial" w:cs="Arial"/>
          <w:sz w:val="20"/>
          <w:szCs w:val="20"/>
        </w:rPr>
        <w:t xml:space="preserve"> izvajanja SLR;</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13.   </w:t>
      </w:r>
      <w:proofErr w:type="gramStart"/>
      <w:r w:rsidRPr="00D30203">
        <w:rPr>
          <w:rFonts w:ascii="Arial" w:eastAsia="Arial" w:hAnsi="Arial" w:cs="Arial"/>
          <w:sz w:val="20"/>
          <w:szCs w:val="20"/>
        </w:rPr>
        <w:t>sodelovanje</w:t>
      </w:r>
      <w:proofErr w:type="gramEnd"/>
      <w:r w:rsidRPr="00D30203">
        <w:rPr>
          <w:rFonts w:ascii="Arial" w:eastAsia="Arial" w:hAnsi="Arial" w:cs="Arial"/>
          <w:sz w:val="20"/>
          <w:szCs w:val="20"/>
        </w:rPr>
        <w:t xml:space="preserve"> z organi iz 3.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 revizijskimi organi in drugimi nadzornimi organi obeh skladov;</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14.   </w:t>
      </w:r>
      <w:proofErr w:type="gramStart"/>
      <w:r w:rsidRPr="00D30203">
        <w:rPr>
          <w:rFonts w:ascii="Arial" w:eastAsia="Arial" w:hAnsi="Arial" w:cs="Arial"/>
          <w:sz w:val="20"/>
          <w:szCs w:val="20"/>
        </w:rPr>
        <w:t>redna</w:t>
      </w:r>
      <w:proofErr w:type="gramEnd"/>
      <w:r w:rsidRPr="00D30203">
        <w:rPr>
          <w:rFonts w:ascii="Arial" w:eastAsia="Arial" w:hAnsi="Arial" w:cs="Arial"/>
          <w:sz w:val="20"/>
          <w:szCs w:val="20"/>
        </w:rPr>
        <w:t xml:space="preserve"> objava vseh informacij, namenjenih večji informiranosti upravičencev in širše javnosti, predvsem javnih pozivov za izbor projektov, rezultatov izbora projektov, opisov projektov ter izvedenih projektov, na spletni strani LAS in v drugih medijih.</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22. 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pogoji</w:t>
      </w:r>
      <w:proofErr w:type="gramEnd"/>
      <w:r w:rsidRPr="00D30203">
        <w:rPr>
          <w:rFonts w:ascii="Arial" w:eastAsia="Arial" w:hAnsi="Arial" w:cs="Arial"/>
          <w:b/>
          <w:bCs/>
          <w:sz w:val="20"/>
          <w:szCs w:val="20"/>
        </w:rPr>
        <w:t xml:space="preserve"> za upravičenost)</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 Pogoj za upravičenost podpore za upravljanje LAS je odobrena SLR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podlagi uredbe, ki ureja delovanje LAS in potrditev SLR.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(2) Za izvajanje odobrene SLR mora biti LAS upravno in kadrovsko sposoben, pri čemer se šteje:</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1.      </w:t>
      </w:r>
      <w:proofErr w:type="gramStart"/>
      <w:r w:rsidRPr="00D30203">
        <w:rPr>
          <w:rFonts w:ascii="Arial" w:eastAsia="Arial" w:hAnsi="Arial" w:cs="Arial"/>
          <w:sz w:val="20"/>
          <w:szCs w:val="20"/>
        </w:rPr>
        <w:t>da</w:t>
      </w:r>
      <w:proofErr w:type="gramEnd"/>
      <w:r w:rsidRPr="00D30203">
        <w:rPr>
          <w:rFonts w:ascii="Arial" w:eastAsia="Arial" w:hAnsi="Arial" w:cs="Arial"/>
          <w:sz w:val="20"/>
          <w:szCs w:val="20"/>
        </w:rPr>
        <w:t xml:space="preserve"> je LAS kadrovsko sposoben, če vodilni partner LAS za namen izvajanja upravljanja LAS zagotovi najmanj eno polno delovno moč na sklad za programsko obdobje do leta 2027;</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2.      </w:t>
      </w:r>
      <w:proofErr w:type="gramStart"/>
      <w:r w:rsidRPr="00D30203">
        <w:rPr>
          <w:rFonts w:ascii="Arial" w:eastAsia="Arial" w:hAnsi="Arial" w:cs="Arial"/>
          <w:sz w:val="20"/>
          <w:szCs w:val="20"/>
        </w:rPr>
        <w:t>da</w:t>
      </w:r>
      <w:proofErr w:type="gramEnd"/>
      <w:r w:rsidRPr="00D30203">
        <w:rPr>
          <w:rFonts w:ascii="Arial" w:eastAsia="Arial" w:hAnsi="Arial" w:cs="Arial"/>
          <w:sz w:val="20"/>
          <w:szCs w:val="20"/>
        </w:rPr>
        <w:t xml:space="preserve"> je LAS upravno sposoben, če vodilni partner LAS za celotno programsko obdobje izvajanja odobrene SLR zagotovi:</w:t>
      </w:r>
    </w:p>
    <w:p w:rsidR="00B21CC9" w:rsidRPr="00D30203" w:rsidRDefault="00B5624C">
      <w:pPr>
        <w:pStyle w:val="crkovnatockazastevilcnotocko"/>
        <w:spacing w:before="210" w:after="210"/>
        <w:ind w:left="782"/>
        <w:rPr>
          <w:rFonts w:ascii="Arial" w:eastAsia="Arial" w:hAnsi="Arial" w:cs="Arial"/>
          <w:sz w:val="20"/>
          <w:szCs w:val="20"/>
        </w:rPr>
      </w:pPr>
      <w:r w:rsidRPr="00D30203">
        <w:rPr>
          <w:rFonts w:ascii="Arial" w:eastAsia="Arial" w:hAnsi="Arial" w:cs="Arial"/>
          <w:sz w:val="20"/>
          <w:szCs w:val="20"/>
        </w:rPr>
        <w:t xml:space="preserve">a)    </w:t>
      </w:r>
      <w:proofErr w:type="gramStart"/>
      <w:r w:rsidRPr="00D30203">
        <w:rPr>
          <w:rFonts w:ascii="Arial" w:eastAsia="Arial" w:hAnsi="Arial" w:cs="Arial"/>
          <w:sz w:val="20"/>
          <w:szCs w:val="20"/>
        </w:rPr>
        <w:t>aktivno</w:t>
      </w:r>
      <w:proofErr w:type="gramEnd"/>
      <w:r w:rsidRPr="00D30203">
        <w:rPr>
          <w:rFonts w:ascii="Arial" w:eastAsia="Arial" w:hAnsi="Arial" w:cs="Arial"/>
          <w:sz w:val="20"/>
          <w:szCs w:val="20"/>
        </w:rPr>
        <w:t xml:space="preserve"> pisarno na območju LAS, izjemoma na območju občine, ki meji na območje LAS. Aktivna pisarna je pisarna za delovanje LAS z naslovom, ustreznimi prostori, opremo za delovanje in kadrovsko sestavo;</w:t>
      </w:r>
    </w:p>
    <w:p w:rsidR="00B21CC9" w:rsidRPr="00D30203" w:rsidRDefault="00B5624C">
      <w:pPr>
        <w:pStyle w:val="crkovnatockazastevilcnotocko"/>
        <w:spacing w:before="210" w:after="210"/>
        <w:ind w:left="782"/>
        <w:rPr>
          <w:rFonts w:ascii="Arial" w:eastAsia="Arial" w:hAnsi="Arial" w:cs="Arial"/>
          <w:sz w:val="20"/>
          <w:szCs w:val="20"/>
        </w:rPr>
      </w:pPr>
      <w:r w:rsidRPr="00D30203">
        <w:rPr>
          <w:rFonts w:ascii="Arial" w:eastAsia="Arial" w:hAnsi="Arial" w:cs="Arial"/>
          <w:sz w:val="20"/>
          <w:szCs w:val="20"/>
        </w:rPr>
        <w:t xml:space="preserve">b)    </w:t>
      </w:r>
      <w:proofErr w:type="gramStart"/>
      <w:r w:rsidRPr="00D30203">
        <w:rPr>
          <w:rFonts w:ascii="Arial" w:eastAsia="Arial" w:hAnsi="Arial" w:cs="Arial"/>
          <w:sz w:val="20"/>
          <w:szCs w:val="20"/>
        </w:rPr>
        <w:t>da</w:t>
      </w:r>
      <w:proofErr w:type="gramEnd"/>
      <w:r w:rsidRPr="00D30203">
        <w:rPr>
          <w:rFonts w:ascii="Arial" w:eastAsia="Arial" w:hAnsi="Arial" w:cs="Arial"/>
          <w:sz w:val="20"/>
          <w:szCs w:val="20"/>
        </w:rPr>
        <w:t xml:space="preserve"> ima LAS za nakazilo finančnih sredstev zagotovljen ločeni transakcijski račun;</w:t>
      </w:r>
    </w:p>
    <w:p w:rsidR="00B21CC9" w:rsidRPr="00D30203" w:rsidRDefault="00B5624C">
      <w:pPr>
        <w:pStyle w:val="crkovnatockazastevilcnotocko"/>
        <w:spacing w:before="210" w:after="210"/>
        <w:ind w:left="782"/>
        <w:rPr>
          <w:rFonts w:ascii="Arial" w:eastAsia="Arial" w:hAnsi="Arial" w:cs="Arial"/>
          <w:sz w:val="20"/>
          <w:szCs w:val="20"/>
        </w:rPr>
      </w:pPr>
      <w:r w:rsidRPr="00D30203">
        <w:rPr>
          <w:rFonts w:ascii="Arial" w:eastAsia="Arial" w:hAnsi="Arial" w:cs="Arial"/>
          <w:sz w:val="20"/>
          <w:szCs w:val="20"/>
        </w:rPr>
        <w:t xml:space="preserve">c)    </w:t>
      </w:r>
      <w:proofErr w:type="gramStart"/>
      <w:r w:rsidRPr="00D30203">
        <w:rPr>
          <w:rFonts w:ascii="Arial" w:eastAsia="Arial" w:hAnsi="Arial" w:cs="Arial"/>
          <w:sz w:val="20"/>
          <w:szCs w:val="20"/>
        </w:rPr>
        <w:t>da</w:t>
      </w:r>
      <w:proofErr w:type="gramEnd"/>
      <w:r w:rsidRPr="00D30203">
        <w:rPr>
          <w:rFonts w:ascii="Arial" w:eastAsia="Arial" w:hAnsi="Arial" w:cs="Arial"/>
          <w:sz w:val="20"/>
          <w:szCs w:val="20"/>
        </w:rPr>
        <w:t xml:space="preserve"> LAS zagotavlja preglednost svojega delovanja ter sledljivost in nadzor nad zakonito porabo javnih sredstev;</w:t>
      </w:r>
    </w:p>
    <w:p w:rsidR="00B21CC9" w:rsidRPr="00D30203" w:rsidRDefault="00B5624C">
      <w:pPr>
        <w:pStyle w:val="crkovnatockazastevilcnotocko"/>
        <w:spacing w:before="210" w:after="210"/>
        <w:ind w:left="782"/>
        <w:rPr>
          <w:rFonts w:ascii="Arial" w:eastAsia="Arial" w:hAnsi="Arial" w:cs="Arial"/>
          <w:sz w:val="20"/>
          <w:szCs w:val="20"/>
        </w:rPr>
      </w:pPr>
      <w:r w:rsidRPr="00D30203">
        <w:rPr>
          <w:rFonts w:ascii="Arial" w:eastAsia="Arial" w:hAnsi="Arial" w:cs="Arial"/>
          <w:sz w:val="20"/>
          <w:szCs w:val="20"/>
        </w:rPr>
        <w:lastRenderedPageBreak/>
        <w:t xml:space="preserve">č)    </w:t>
      </w:r>
      <w:proofErr w:type="gramStart"/>
      <w:r w:rsidRPr="00D30203">
        <w:rPr>
          <w:rFonts w:ascii="Arial" w:eastAsia="Arial" w:hAnsi="Arial" w:cs="Arial"/>
          <w:sz w:val="20"/>
          <w:szCs w:val="20"/>
        </w:rPr>
        <w:t>da</w:t>
      </w:r>
      <w:proofErr w:type="gramEnd"/>
      <w:r w:rsidRPr="00D30203">
        <w:rPr>
          <w:rFonts w:ascii="Arial" w:eastAsia="Arial" w:hAnsi="Arial" w:cs="Arial"/>
          <w:sz w:val="20"/>
          <w:szCs w:val="20"/>
        </w:rPr>
        <w:t xml:space="preserve"> ima LAS delujočo svojo spletno stran.</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(3) Za izvajanje odobrene SLR mora vodilni partner LAS izvajati naloge iz prejšnjega člena.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(4) Za pridobitev podpore za upravljanje LAS morajo biti izpolnjeni pogoji iz prvega in drugega odstavka tega člena ter:</w:t>
      </w:r>
    </w:p>
    <w:p w:rsidR="00B21CC9" w:rsidRPr="00D30203" w:rsidRDefault="00B5624C">
      <w:pPr>
        <w:pStyle w:val="aline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        </w:t>
      </w:r>
      <w:proofErr w:type="gramStart"/>
      <w:r w:rsidRPr="00D30203">
        <w:rPr>
          <w:rFonts w:ascii="Arial" w:eastAsia="Arial" w:hAnsi="Arial" w:cs="Arial"/>
          <w:sz w:val="20"/>
          <w:szCs w:val="20"/>
        </w:rPr>
        <w:t>aktivnosti</w:t>
      </w:r>
      <w:proofErr w:type="gramEnd"/>
      <w:r w:rsidRPr="00D30203">
        <w:rPr>
          <w:rFonts w:ascii="Arial" w:eastAsia="Arial" w:hAnsi="Arial" w:cs="Arial"/>
          <w:sz w:val="20"/>
          <w:szCs w:val="20"/>
        </w:rPr>
        <w:t>, za katere se zahteva sofinanciranje, morajo biti upravičene do sofinanciranja;</w:t>
      </w:r>
    </w:p>
    <w:p w:rsidR="00B21CC9" w:rsidRPr="00D30203" w:rsidRDefault="00B5624C">
      <w:pPr>
        <w:pStyle w:val="aline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        </w:t>
      </w:r>
      <w:proofErr w:type="gramStart"/>
      <w:r w:rsidRPr="00D30203">
        <w:rPr>
          <w:rFonts w:ascii="Arial" w:eastAsia="Arial" w:hAnsi="Arial" w:cs="Arial"/>
          <w:sz w:val="20"/>
          <w:szCs w:val="20"/>
        </w:rPr>
        <w:t>aktivnosti</w:t>
      </w:r>
      <w:proofErr w:type="gramEnd"/>
      <w:r w:rsidRPr="00D30203">
        <w:rPr>
          <w:rFonts w:ascii="Arial" w:eastAsia="Arial" w:hAnsi="Arial" w:cs="Arial"/>
          <w:sz w:val="20"/>
          <w:szCs w:val="20"/>
        </w:rPr>
        <w:t>, na katere se nanaša zahtevek za izplačilo, morajo biti končane in se nanašati na obdobje, na katero se nanaša zahtevek za izplačilo;</w:t>
      </w:r>
    </w:p>
    <w:p w:rsidR="00B21CC9" w:rsidRPr="00D30203" w:rsidRDefault="00B5624C">
      <w:pPr>
        <w:pStyle w:val="aline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        </w:t>
      </w:r>
      <w:proofErr w:type="gramStart"/>
      <w:r w:rsidRPr="00D30203">
        <w:rPr>
          <w:rFonts w:ascii="Arial" w:eastAsia="Arial" w:hAnsi="Arial" w:cs="Arial"/>
          <w:sz w:val="20"/>
          <w:szCs w:val="20"/>
        </w:rPr>
        <w:t>doseženi</w:t>
      </w:r>
      <w:proofErr w:type="gramEnd"/>
      <w:r w:rsidRPr="00D30203">
        <w:rPr>
          <w:rFonts w:ascii="Arial" w:eastAsia="Arial" w:hAnsi="Arial" w:cs="Arial"/>
          <w:sz w:val="20"/>
          <w:szCs w:val="20"/>
        </w:rPr>
        <w:t xml:space="preserve"> so mejniki po aktivnostih, opredeljenih v Prilogi 1, ki je sestavni del te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(5) Podpora za upravljanje LAS se v posameznem obdobju izplača na podlagi zahtevka za izplačilo, ki se mu predložijo poročilo o opravljenem delu in druga dokazila, določena v Prilogi 1 te </w:t>
      </w:r>
      <w:proofErr w:type="gramStart"/>
      <w:r w:rsidRPr="00D30203">
        <w:rPr>
          <w:rFonts w:ascii="Arial" w:eastAsia="Arial" w:hAnsi="Arial" w:cs="Arial"/>
          <w:sz w:val="20"/>
          <w:szCs w:val="20"/>
        </w:rPr>
        <w:t xml:space="preserve">uredbe </w:t>
      </w:r>
      <w:r w:rsidRPr="00D30203">
        <w:rPr>
          <w:rFonts w:ascii="Arial" w:eastAsia="Arial" w:hAnsi="Arial" w:cs="Arial"/>
          <w:i/>
          <w:iCs/>
          <w:sz w:val="20"/>
          <w:szCs w:val="20"/>
        </w:rPr>
        <w:t>.</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23. 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finančne</w:t>
      </w:r>
      <w:proofErr w:type="gramEnd"/>
      <w:r w:rsidRPr="00D30203">
        <w:rPr>
          <w:rFonts w:ascii="Arial" w:eastAsia="Arial" w:hAnsi="Arial" w:cs="Arial"/>
          <w:b/>
          <w:bCs/>
          <w:sz w:val="20"/>
          <w:szCs w:val="20"/>
        </w:rPr>
        <w:t xml:space="preserve"> določbe)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Posamezni LAS za izvajanje podpore za upravljanje LAS nameni največ 20 % skupnih javnih izdatkov finančnega okvira SLR.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(2) Za izvajanje podpore za upravljanje LAS se lahko letno v posameznem letu od 2024 do 2027 nameni do največ 25 % deleža iz prejšnjega odstavka, za leti 2028 in 2029 se lahko skupaj nameni najmanj 10 % deleža iz prejšnjega odstavka.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(3) Financiranje podpore za upravljanje LAS se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podlagi odobrene SLR deli med skladoma EKSRP in ESRR v razmerju 50 %:50 %.</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(4) Podpora za upravljanje LAS se izplača v obliki pavšalnega zneska v skladu s točko (c) prvega odstavka 53.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57" w:tgtFrame="_blank" w:tooltip="to EUR-Lex" w:history="1">
        <w:r w:rsidRPr="00D30203">
          <w:rPr>
            <w:rFonts w:ascii="Arial" w:eastAsia="Arial" w:hAnsi="Arial" w:cs="Arial"/>
            <w:sz w:val="20"/>
            <w:szCs w:val="20"/>
          </w:rPr>
          <w:t>Uredbe 2021/1060/EU</w:t>
        </w:r>
      </w:hyperlink>
      <w:r w:rsidRPr="00D30203">
        <w:rPr>
          <w:rFonts w:ascii="Arial" w:eastAsia="Arial" w:hAnsi="Arial" w:cs="Arial"/>
          <w:sz w:val="20"/>
          <w:szCs w:val="20"/>
        </w:rPr>
        <w:t>.</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(5) Stopnja podpore za upravljanje LAS je 100 % upravičenih stroškov.</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24. 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postopki</w:t>
      </w:r>
      <w:proofErr w:type="gramEnd"/>
      <w:r w:rsidRPr="00D30203">
        <w:rPr>
          <w:rFonts w:ascii="Arial" w:eastAsia="Arial" w:hAnsi="Arial" w:cs="Arial"/>
          <w:b/>
          <w:bCs/>
          <w:sz w:val="20"/>
          <w:szCs w:val="20"/>
        </w:rPr>
        <w:t xml:space="preserve"> za izplačilo)</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 Vodilni partner LAS za izplačilo podpore za upravljanje LAS vlaga zahtevke za izplačilo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podlagi odločbe o odobritvi SLR v informacijski sistem sklada v skladu s 26. </w:t>
      </w:r>
      <w:proofErr w:type="gramStart"/>
      <w:r w:rsidRPr="00D30203">
        <w:rPr>
          <w:rFonts w:ascii="Arial" w:eastAsia="Arial" w:hAnsi="Arial" w:cs="Arial"/>
          <w:sz w:val="20"/>
          <w:szCs w:val="20"/>
        </w:rPr>
        <w:t>členom</w:t>
      </w:r>
      <w:proofErr w:type="gramEnd"/>
      <w:r w:rsidRPr="00D30203">
        <w:rPr>
          <w:rFonts w:ascii="Arial" w:eastAsia="Arial" w:hAnsi="Arial" w:cs="Arial"/>
          <w:sz w:val="20"/>
          <w:szCs w:val="20"/>
        </w:rPr>
        <w:t xml:space="preserve"> te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(2) LAS za izplačilo podpore za upravljanje LAS vlaga zahtevke za izplačilo dvakrat letno, in sicer:</w:t>
      </w:r>
    </w:p>
    <w:p w:rsidR="00B21CC9" w:rsidRPr="00D30203" w:rsidRDefault="00B5624C">
      <w:pPr>
        <w:pStyle w:val="alineazaodstavkom"/>
        <w:spacing w:before="210" w:after="210"/>
        <w:ind w:left="425"/>
        <w:rPr>
          <w:rFonts w:ascii="Arial" w:eastAsia="Arial" w:hAnsi="Arial" w:cs="Arial"/>
          <w:sz w:val="20"/>
          <w:szCs w:val="20"/>
        </w:rPr>
      </w:pPr>
      <w:r w:rsidRPr="00D30203">
        <w:rPr>
          <w:rFonts w:ascii="Arial" w:eastAsia="Arial" w:hAnsi="Arial" w:cs="Arial"/>
          <w:sz w:val="20"/>
          <w:szCs w:val="20"/>
        </w:rPr>
        <w:t xml:space="preserve">-        </w:t>
      </w:r>
      <w:proofErr w:type="gramStart"/>
      <w:r w:rsidRPr="00D30203">
        <w:rPr>
          <w:rFonts w:ascii="Arial" w:eastAsia="Arial" w:hAnsi="Arial" w:cs="Arial"/>
          <w:sz w:val="20"/>
          <w:szCs w:val="20"/>
        </w:rPr>
        <w:t>za</w:t>
      </w:r>
      <w:proofErr w:type="gramEnd"/>
      <w:r w:rsidRPr="00D30203">
        <w:rPr>
          <w:rFonts w:ascii="Arial" w:eastAsia="Arial" w:hAnsi="Arial" w:cs="Arial"/>
          <w:sz w:val="20"/>
          <w:szCs w:val="20"/>
        </w:rPr>
        <w:t xml:space="preserve"> EKSRP za aktivnosti, opravljene v obdobju od 1. </w:t>
      </w:r>
      <w:proofErr w:type="gramStart"/>
      <w:r w:rsidRPr="00D30203">
        <w:rPr>
          <w:rFonts w:ascii="Arial" w:eastAsia="Arial" w:hAnsi="Arial" w:cs="Arial"/>
          <w:sz w:val="20"/>
          <w:szCs w:val="20"/>
        </w:rPr>
        <w:t>oktobra</w:t>
      </w:r>
      <w:proofErr w:type="gramEnd"/>
      <w:r w:rsidRPr="00D30203">
        <w:rPr>
          <w:rFonts w:ascii="Arial" w:eastAsia="Arial" w:hAnsi="Arial" w:cs="Arial"/>
          <w:sz w:val="20"/>
          <w:szCs w:val="20"/>
        </w:rPr>
        <w:t xml:space="preserve"> do 31. </w:t>
      </w:r>
      <w:proofErr w:type="gramStart"/>
      <w:r w:rsidRPr="00D30203">
        <w:rPr>
          <w:rFonts w:ascii="Arial" w:eastAsia="Arial" w:hAnsi="Arial" w:cs="Arial"/>
          <w:sz w:val="20"/>
          <w:szCs w:val="20"/>
        </w:rPr>
        <w:t>marca</w:t>
      </w:r>
      <w:proofErr w:type="gramEnd"/>
      <w:r w:rsidRPr="00D30203">
        <w:rPr>
          <w:rFonts w:ascii="Arial" w:eastAsia="Arial" w:hAnsi="Arial" w:cs="Arial"/>
          <w:sz w:val="20"/>
          <w:szCs w:val="20"/>
        </w:rPr>
        <w:t xml:space="preserve">, se zahtevek vloži na ARSKTRP do 15. </w:t>
      </w:r>
      <w:proofErr w:type="gramStart"/>
      <w:r w:rsidRPr="00D30203">
        <w:rPr>
          <w:rFonts w:ascii="Arial" w:eastAsia="Arial" w:hAnsi="Arial" w:cs="Arial"/>
          <w:sz w:val="20"/>
          <w:szCs w:val="20"/>
        </w:rPr>
        <w:t>aprila</w:t>
      </w:r>
      <w:proofErr w:type="gramEnd"/>
      <w:r w:rsidRPr="00D30203">
        <w:rPr>
          <w:rFonts w:ascii="Arial" w:eastAsia="Arial" w:hAnsi="Arial" w:cs="Arial"/>
          <w:sz w:val="20"/>
          <w:szCs w:val="20"/>
        </w:rPr>
        <w:t xml:space="preserve">, razen za leto 2024, ko se zahtevek lahko vloži od 1. </w:t>
      </w:r>
      <w:proofErr w:type="gramStart"/>
      <w:r w:rsidRPr="00D30203">
        <w:rPr>
          <w:rFonts w:ascii="Arial" w:eastAsia="Arial" w:hAnsi="Arial" w:cs="Arial"/>
          <w:sz w:val="20"/>
          <w:szCs w:val="20"/>
        </w:rPr>
        <w:t>junija</w:t>
      </w:r>
      <w:proofErr w:type="gramEnd"/>
      <w:r w:rsidRPr="00D30203">
        <w:rPr>
          <w:rFonts w:ascii="Arial" w:eastAsia="Arial" w:hAnsi="Arial" w:cs="Arial"/>
          <w:sz w:val="20"/>
          <w:szCs w:val="20"/>
        </w:rPr>
        <w:t xml:space="preserve"> do 30. </w:t>
      </w:r>
      <w:proofErr w:type="gramStart"/>
      <w:r w:rsidRPr="00D30203">
        <w:rPr>
          <w:rFonts w:ascii="Arial" w:eastAsia="Arial" w:hAnsi="Arial" w:cs="Arial"/>
          <w:sz w:val="20"/>
          <w:szCs w:val="20"/>
        </w:rPr>
        <w:t>junija</w:t>
      </w:r>
      <w:proofErr w:type="gramEnd"/>
      <w:r w:rsidRPr="00D30203">
        <w:rPr>
          <w:rFonts w:ascii="Arial" w:eastAsia="Arial" w:hAnsi="Arial" w:cs="Arial"/>
          <w:sz w:val="20"/>
          <w:szCs w:val="20"/>
        </w:rPr>
        <w:t xml:space="preserve"> 2024;</w:t>
      </w:r>
    </w:p>
    <w:p w:rsidR="00B21CC9" w:rsidRPr="00D30203" w:rsidRDefault="00B5624C">
      <w:pPr>
        <w:pStyle w:val="alineazaodstavkom"/>
        <w:spacing w:before="210" w:after="210"/>
        <w:ind w:left="425"/>
        <w:rPr>
          <w:rFonts w:ascii="Arial" w:eastAsia="Arial" w:hAnsi="Arial" w:cs="Arial"/>
          <w:sz w:val="20"/>
          <w:szCs w:val="20"/>
        </w:rPr>
      </w:pPr>
      <w:r w:rsidRPr="00D30203">
        <w:rPr>
          <w:rFonts w:ascii="Arial" w:eastAsia="Arial" w:hAnsi="Arial" w:cs="Arial"/>
          <w:sz w:val="20"/>
          <w:szCs w:val="20"/>
        </w:rPr>
        <w:lastRenderedPageBreak/>
        <w:t xml:space="preserve">-        </w:t>
      </w:r>
      <w:proofErr w:type="gramStart"/>
      <w:r w:rsidRPr="00D30203">
        <w:rPr>
          <w:rFonts w:ascii="Arial" w:eastAsia="Arial" w:hAnsi="Arial" w:cs="Arial"/>
          <w:sz w:val="20"/>
          <w:szCs w:val="20"/>
        </w:rPr>
        <w:t>za</w:t>
      </w:r>
      <w:proofErr w:type="gramEnd"/>
      <w:r w:rsidRPr="00D30203">
        <w:rPr>
          <w:rFonts w:ascii="Arial" w:eastAsia="Arial" w:hAnsi="Arial" w:cs="Arial"/>
          <w:sz w:val="20"/>
          <w:szCs w:val="20"/>
        </w:rPr>
        <w:t xml:space="preserve"> ESRR za aktivnosti, opravljene v obdobju od 1. </w:t>
      </w:r>
      <w:proofErr w:type="gramStart"/>
      <w:r w:rsidRPr="00D30203">
        <w:rPr>
          <w:rFonts w:ascii="Arial" w:eastAsia="Arial" w:hAnsi="Arial" w:cs="Arial"/>
          <w:sz w:val="20"/>
          <w:szCs w:val="20"/>
        </w:rPr>
        <w:t>aprila</w:t>
      </w:r>
      <w:proofErr w:type="gramEnd"/>
      <w:r w:rsidRPr="00D30203">
        <w:rPr>
          <w:rFonts w:ascii="Arial" w:eastAsia="Arial" w:hAnsi="Arial" w:cs="Arial"/>
          <w:sz w:val="20"/>
          <w:szCs w:val="20"/>
        </w:rPr>
        <w:t xml:space="preserve"> do 30. </w:t>
      </w:r>
      <w:proofErr w:type="gramStart"/>
      <w:r w:rsidRPr="00D30203">
        <w:rPr>
          <w:rFonts w:ascii="Arial" w:eastAsia="Arial" w:hAnsi="Arial" w:cs="Arial"/>
          <w:sz w:val="20"/>
          <w:szCs w:val="20"/>
        </w:rPr>
        <w:t>septembra</w:t>
      </w:r>
      <w:proofErr w:type="gramEnd"/>
      <w:r w:rsidRPr="00D30203">
        <w:rPr>
          <w:rFonts w:ascii="Arial" w:eastAsia="Arial" w:hAnsi="Arial" w:cs="Arial"/>
          <w:sz w:val="20"/>
          <w:szCs w:val="20"/>
        </w:rPr>
        <w:t xml:space="preserve">, se vloži zahtevek na MKRR do 15. </w:t>
      </w:r>
      <w:proofErr w:type="gramStart"/>
      <w:r w:rsidRPr="00D30203">
        <w:rPr>
          <w:rFonts w:ascii="Arial" w:eastAsia="Arial" w:hAnsi="Arial" w:cs="Arial"/>
          <w:sz w:val="20"/>
          <w:szCs w:val="20"/>
        </w:rPr>
        <w:t>oktobra</w:t>
      </w:r>
      <w:proofErr w:type="gramEnd"/>
      <w:r w:rsidRPr="00D30203">
        <w:rPr>
          <w:rFonts w:ascii="Arial" w:eastAsia="Arial" w:hAnsi="Arial" w:cs="Arial"/>
          <w:sz w:val="20"/>
          <w:szCs w:val="20"/>
        </w:rPr>
        <w:t>.</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(3) LAS k zahtevku za izplačilo podpore za upravljanje LAS priloži poročilo in druga podporna dokazila, iz katerih je razvidno izpolnjevanje določb 19. </w:t>
      </w:r>
      <w:proofErr w:type="gramStart"/>
      <w:r w:rsidRPr="00D30203">
        <w:rPr>
          <w:rFonts w:ascii="Arial" w:eastAsia="Arial" w:hAnsi="Arial" w:cs="Arial"/>
          <w:sz w:val="20"/>
          <w:szCs w:val="20"/>
        </w:rPr>
        <w:t>do</w:t>
      </w:r>
      <w:proofErr w:type="gramEnd"/>
      <w:r w:rsidRPr="00D30203">
        <w:rPr>
          <w:rFonts w:ascii="Arial" w:eastAsia="Arial" w:hAnsi="Arial" w:cs="Arial"/>
          <w:sz w:val="20"/>
          <w:szCs w:val="20"/>
        </w:rPr>
        <w:t xml:space="preserve"> 22. 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w:t>
      </w:r>
    </w:p>
    <w:p w:rsidR="00B21CC9" w:rsidRPr="00D30203" w:rsidRDefault="00B5624C">
      <w:pPr>
        <w:pStyle w:val="center"/>
        <w:pBdr>
          <w:top w:val="none" w:sz="0" w:space="24" w:color="auto"/>
        </w:pBdr>
        <w:spacing w:before="210" w:after="210"/>
        <w:rPr>
          <w:rFonts w:ascii="Arial" w:eastAsia="Arial" w:hAnsi="Arial" w:cs="Arial"/>
          <w:caps/>
          <w:sz w:val="20"/>
          <w:szCs w:val="20"/>
        </w:rPr>
      </w:pPr>
      <w:r w:rsidRPr="00D30203">
        <w:rPr>
          <w:rFonts w:ascii="Arial" w:eastAsia="Arial" w:hAnsi="Arial" w:cs="Arial"/>
          <w:caps/>
          <w:sz w:val="20"/>
          <w:szCs w:val="20"/>
        </w:rPr>
        <w:t>IV. VLOGA ZA DODELITEV PODPORE IN ZAHTEVEK ZA IZPLAČILO</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25. 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vloga</w:t>
      </w:r>
      <w:proofErr w:type="gramEnd"/>
      <w:r w:rsidRPr="00D30203">
        <w:rPr>
          <w:rFonts w:ascii="Arial" w:eastAsia="Arial" w:hAnsi="Arial" w:cs="Arial"/>
          <w:b/>
          <w:bCs/>
          <w:sz w:val="20"/>
          <w:szCs w:val="20"/>
        </w:rPr>
        <w:t xml:space="preserve"> za odobritev projekta v okviru SLR)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 Za sklad EKSRP vodilni partner LAS vlogo za odobritev projekta v okviru SLR vloži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ARSKTRP v elektronski obliki, podpisano s kvalificiranim elektronskim podpisom.</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(2) Za elektronsko vložitev vloge iz prejšnjega odstavka ARSKTRP vzpostavi vstopno spletno mesto,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katerem se vodilni partner LAS, ki je zastopnik vlagatelja, s sredstvom elektronske identifikacije na ravni zanesljivosti srednja ali visoka prijavi v informacijski sistem ARSKTRP, izvede spletno vložitev vloge in se podpiše s kvalificiranim elektronskim podpisom.</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(3) Za sklad ESRR vodilni partner LAS vlogo iz prvega odstavka tega člena vloži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MKRR.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(4) Pred elektronskim vlaganjem vloge iz prejšnjega odstavka se vodilni </w:t>
      </w:r>
      <w:proofErr w:type="gramStart"/>
      <w:r w:rsidRPr="00D30203">
        <w:rPr>
          <w:rFonts w:ascii="Arial" w:eastAsia="Arial" w:hAnsi="Arial" w:cs="Arial"/>
          <w:sz w:val="20"/>
          <w:szCs w:val="20"/>
        </w:rPr>
        <w:t>partner</w:t>
      </w:r>
      <w:proofErr w:type="gramEnd"/>
      <w:r w:rsidRPr="00D30203">
        <w:rPr>
          <w:rFonts w:ascii="Arial" w:eastAsia="Arial" w:hAnsi="Arial" w:cs="Arial"/>
          <w:sz w:val="20"/>
          <w:szCs w:val="20"/>
        </w:rPr>
        <w:t xml:space="preserve"> LAS, ki je zastopnik vlagatelja, prijavi v spletno aplikacijo MKRR. Vlogo izpolni elektronsko in </w:t>
      </w:r>
      <w:proofErr w:type="gramStart"/>
      <w:r w:rsidRPr="00D30203">
        <w:rPr>
          <w:rFonts w:ascii="Arial" w:eastAsia="Arial" w:hAnsi="Arial" w:cs="Arial"/>
          <w:sz w:val="20"/>
          <w:szCs w:val="20"/>
        </w:rPr>
        <w:t>jo</w:t>
      </w:r>
      <w:proofErr w:type="gramEnd"/>
      <w:r w:rsidRPr="00D30203">
        <w:rPr>
          <w:rFonts w:ascii="Arial" w:eastAsia="Arial" w:hAnsi="Arial" w:cs="Arial"/>
          <w:sz w:val="20"/>
          <w:szCs w:val="20"/>
        </w:rPr>
        <w:t xml:space="preserve"> vloži v elektronski obliki, podpisano s kvalificiranim elektronskim podpisom. Za elektronsko izpolnjevanje in elektronsko vložitev vloge MKRR vzpostavi enotno vstopno točko,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kateri se vodilni partner LAS za elektronsko vložitev prijavi v spletno aplikacijo MKRR, ima dostop do vseh podatkov, potrebnih za izpolnitev vloge, izvede elektronski vnos, vlogo podpiše s kvalificiranim elektronskim podpisom in jo vloži v spletno aplikacijo MKRR. S podpisom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vlogi vodilni partner LAS potrdi pravilnost vnosa podatkov. Datum oddaje vloge v spletni aplikaciji se šteje za datum oddaje vloge.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(5) Zadnji rok za vložitev vloge za odobritev projekta v okviru SLR je 31. </w:t>
      </w:r>
      <w:proofErr w:type="gramStart"/>
      <w:r w:rsidRPr="00D30203">
        <w:rPr>
          <w:rFonts w:ascii="Arial" w:eastAsia="Arial" w:hAnsi="Arial" w:cs="Arial"/>
          <w:sz w:val="20"/>
          <w:szCs w:val="20"/>
        </w:rPr>
        <w:t>marec</w:t>
      </w:r>
      <w:proofErr w:type="gramEnd"/>
      <w:r w:rsidRPr="00D30203">
        <w:rPr>
          <w:rFonts w:ascii="Arial" w:eastAsia="Arial" w:hAnsi="Arial" w:cs="Arial"/>
          <w:sz w:val="20"/>
          <w:szCs w:val="20"/>
        </w:rPr>
        <w:t xml:space="preserve"> 2028.</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(6) V skladu z 99. </w:t>
      </w:r>
      <w:proofErr w:type="gramStart"/>
      <w:r w:rsidRPr="00D30203">
        <w:rPr>
          <w:rFonts w:ascii="Arial" w:eastAsia="Arial" w:hAnsi="Arial" w:cs="Arial"/>
          <w:sz w:val="20"/>
          <w:szCs w:val="20"/>
        </w:rPr>
        <w:t>členom</w:t>
      </w:r>
      <w:proofErr w:type="gramEnd"/>
      <w:r w:rsidRPr="00D30203">
        <w:rPr>
          <w:rFonts w:ascii="Arial" w:eastAsia="Arial" w:hAnsi="Arial" w:cs="Arial"/>
          <w:sz w:val="20"/>
          <w:szCs w:val="20"/>
        </w:rPr>
        <w:t xml:space="preserve"> </w:t>
      </w:r>
      <w:hyperlink r:id="rId58" w:tgtFrame="_blank" w:tooltip="to EUR-Lex" w:history="1">
        <w:r w:rsidRPr="00D30203">
          <w:rPr>
            <w:rFonts w:ascii="Arial" w:eastAsia="Arial" w:hAnsi="Arial" w:cs="Arial"/>
            <w:sz w:val="20"/>
            <w:szCs w:val="20"/>
          </w:rPr>
          <w:t>Uredbe 2021/2116/EU</w:t>
        </w:r>
      </w:hyperlink>
      <w:r w:rsidRPr="00D30203">
        <w:rPr>
          <w:rFonts w:ascii="Arial" w:eastAsia="Arial" w:hAnsi="Arial" w:cs="Arial"/>
          <w:sz w:val="20"/>
          <w:szCs w:val="20"/>
        </w:rPr>
        <w:t xml:space="preserve"> se vlagatelji ob vložitvi vloge iz prvega odstavka tega člena seznanijo z objavo in obdelavo njihovih podatkov ter njihovimi pravicami v zvezi z varstvom osebnih podatkov.</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(7) Vloga za spremembo obveznosti iz odločbe o pravici do sredstev se vloži v elektronski obliki.</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26. 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zahtevek</w:t>
      </w:r>
      <w:proofErr w:type="gramEnd"/>
      <w:r w:rsidRPr="00D30203">
        <w:rPr>
          <w:rFonts w:ascii="Arial" w:eastAsia="Arial" w:hAnsi="Arial" w:cs="Arial"/>
          <w:b/>
          <w:bCs/>
          <w:sz w:val="20"/>
          <w:szCs w:val="20"/>
        </w:rPr>
        <w:t xml:space="preserve"> za izplačilo sredstev)</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 Podpora se upravičencem do podpor za izvajanje projektov v okviru SLR in podpore za upravljanje LAS izplačuje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podlagi zahtevkov za izplačilo.</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(2) Rok za vložitev posameznega zahtevka za izplačilo projekta se za sklad EKSRP določi v odločbi o pravici do sredstev, za sklad ESRR pa v pogodbi o sofinanciranju.</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(3) Rok za vložitev zadnjega zahtevka za izplačilo projekta je 31. </w:t>
      </w:r>
      <w:proofErr w:type="gramStart"/>
      <w:r w:rsidRPr="00D30203">
        <w:rPr>
          <w:rFonts w:ascii="Arial" w:eastAsia="Arial" w:hAnsi="Arial" w:cs="Arial"/>
          <w:sz w:val="20"/>
          <w:szCs w:val="20"/>
        </w:rPr>
        <w:t>avgust</w:t>
      </w:r>
      <w:proofErr w:type="gramEnd"/>
      <w:r w:rsidRPr="00D30203">
        <w:rPr>
          <w:rFonts w:ascii="Arial" w:eastAsia="Arial" w:hAnsi="Arial" w:cs="Arial"/>
          <w:sz w:val="20"/>
          <w:szCs w:val="20"/>
        </w:rPr>
        <w:t xml:space="preserve"> 2029.</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lastRenderedPageBreak/>
        <w:t xml:space="preserve">(4) Za sklad EKSRP LAS zahtevek za izplačilo sredstev vloži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način, določen v drugem odstavku prejšnjega člena.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(5) Za sklad ESRR mora LAS pred vložitvijo zahtevka za izplačilo pridobiti dostop do informacijskega sistema organa upravljanja ESRR, ki ga MKRR uporablja za izvajanje kohezijske politike 2021–2027. Zahtevek za izplačilo izpolni elektronsko in ga vloži v elektronski obliki, podpisanega s kvalificiranim elektronskim podpisom. Za elektronsko izpolnjevanje in elektronsko vložitev zahtevka za izplačilo MKRR vzpostavi enotno vstopno točko,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kateri se vodilni partner LAS za elektronsko vložitev prijavi v informacijski sistem organa upravljanja, ima dostop do vseh podatkov, potrebnih za izpolnitev zahtevka za izplačilo, izvede elektronski vnos, zahtevek za izplačilo podpiše s kvalificiranim elektronskim podpisom in ga vloži v informacijski sistem organa upravljanja.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(6) Zahtevek za izplačilo izpolnjuje pogoje in vsebuje sestavine iz 27.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 ki so podrobneje določeni v Prilogi 2 te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(7) Javna podpora se izplača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podlagi popolnega zahtevka za izplačilo.</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(8) Upravičenec mora imeti za nakazilo sredstev odprt transakcijski račun,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katerega se izplača podpora.</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27. 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pogoji</w:t>
      </w:r>
      <w:proofErr w:type="gramEnd"/>
      <w:r w:rsidRPr="00D30203">
        <w:rPr>
          <w:rFonts w:ascii="Arial" w:eastAsia="Arial" w:hAnsi="Arial" w:cs="Arial"/>
          <w:b/>
          <w:bCs/>
          <w:sz w:val="20"/>
          <w:szCs w:val="20"/>
        </w:rPr>
        <w:t xml:space="preserve"> ob vložitvi zahtevka za izplačilo sredstev)</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 Pred vložitvijo posameznega zahtevka za izplačilo morajo biti posamezne aktivnosti izvedene oziroma </w:t>
      </w:r>
      <w:proofErr w:type="gramStart"/>
      <w:r w:rsidRPr="00D30203">
        <w:rPr>
          <w:rFonts w:ascii="Arial" w:eastAsia="Arial" w:hAnsi="Arial" w:cs="Arial"/>
          <w:sz w:val="20"/>
          <w:szCs w:val="20"/>
        </w:rPr>
        <w:t>pred</w:t>
      </w:r>
      <w:proofErr w:type="gramEnd"/>
      <w:r w:rsidRPr="00D30203">
        <w:rPr>
          <w:rFonts w:ascii="Arial" w:eastAsia="Arial" w:hAnsi="Arial" w:cs="Arial"/>
          <w:sz w:val="20"/>
          <w:szCs w:val="20"/>
        </w:rPr>
        <w:t xml:space="preserve"> vložitvijo zadnjega zahtevka za izplačilo mora biti končan celoten projekt. Vsi računi, ki jih upravičenec uveljavlja v zahtevku za izplačilo, morajo biti plačani in pridobljena morajo biti vsa potrebna dovoljenja in soglasja.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(2) Zahtevku za izplačilo sredstev mora upravičenec priložiti poročilo o izvajanju projekta, iz katerega so razvidni doseženi kazalniki, in druge priloge, določene v Prilogi 2 </w:t>
      </w:r>
      <w:proofErr w:type="gramStart"/>
      <w:r w:rsidRPr="00D30203">
        <w:rPr>
          <w:rFonts w:ascii="Arial" w:eastAsia="Arial" w:hAnsi="Arial" w:cs="Arial"/>
          <w:sz w:val="20"/>
          <w:szCs w:val="20"/>
        </w:rPr>
        <w:t>te</w:t>
      </w:r>
      <w:proofErr w:type="gramEnd"/>
      <w:r w:rsidRPr="00D30203">
        <w:rPr>
          <w:rFonts w:ascii="Arial" w:eastAsia="Arial" w:hAnsi="Arial" w:cs="Arial"/>
          <w:sz w:val="20"/>
          <w:szCs w:val="20"/>
        </w:rPr>
        <w:t xml:space="preserv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(3) Ob vložitvi zahtevka za izplačilo mora upravičenec za sklad EKSRP poleg pogojev iz tega člena izpolnjevati tudi pogoje iz petega, osmega in devetega odstavka ter enajstega do sedemnajstega odstavka 7.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(4) Če se podpora dodeli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podlagi dejansko nastalih stroškov, to je v okviru projektov investicijske narave, mora upravičenec zahtevku za izplačilo sredstev za sklad EKSRP priložiti:</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1.      </w:t>
      </w:r>
      <w:proofErr w:type="gramStart"/>
      <w:r w:rsidRPr="00D30203">
        <w:rPr>
          <w:rFonts w:ascii="Arial" w:eastAsia="Arial" w:hAnsi="Arial" w:cs="Arial"/>
          <w:sz w:val="20"/>
          <w:szCs w:val="20"/>
        </w:rPr>
        <w:t>kopije</w:t>
      </w:r>
      <w:proofErr w:type="gramEnd"/>
      <w:r w:rsidRPr="00D30203">
        <w:rPr>
          <w:rFonts w:ascii="Arial" w:eastAsia="Arial" w:hAnsi="Arial" w:cs="Arial"/>
          <w:sz w:val="20"/>
          <w:szCs w:val="20"/>
        </w:rPr>
        <w:t xml:space="preserve"> računov, elektronske ali e-račune, ki se morajo glasiti na upravičenca;</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2.      </w:t>
      </w:r>
      <w:proofErr w:type="gramStart"/>
      <w:r w:rsidRPr="00D30203">
        <w:rPr>
          <w:rFonts w:ascii="Arial" w:eastAsia="Arial" w:hAnsi="Arial" w:cs="Arial"/>
          <w:sz w:val="20"/>
          <w:szCs w:val="20"/>
        </w:rPr>
        <w:t>kopije</w:t>
      </w:r>
      <w:proofErr w:type="gramEnd"/>
      <w:r w:rsidRPr="00D30203">
        <w:rPr>
          <w:rFonts w:ascii="Arial" w:eastAsia="Arial" w:hAnsi="Arial" w:cs="Arial"/>
          <w:sz w:val="20"/>
          <w:szCs w:val="20"/>
        </w:rPr>
        <w:t xml:space="preserve"> dokazil o plačilu računov (na primer položnica, blagajniški prejemek, potrdilo banke o izvršenem plačilu, dokazilo o izvedeni kompenzaciji (pobotu) ali asignaciji);</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3.      </w:t>
      </w:r>
      <w:proofErr w:type="gramStart"/>
      <w:r w:rsidRPr="00D30203">
        <w:rPr>
          <w:rFonts w:ascii="Arial" w:eastAsia="Arial" w:hAnsi="Arial" w:cs="Arial"/>
          <w:sz w:val="20"/>
          <w:szCs w:val="20"/>
        </w:rPr>
        <w:t>tržno</w:t>
      </w:r>
      <w:proofErr w:type="gramEnd"/>
      <w:r w:rsidRPr="00D30203">
        <w:rPr>
          <w:rFonts w:ascii="Arial" w:eastAsia="Arial" w:hAnsi="Arial" w:cs="Arial"/>
          <w:sz w:val="20"/>
          <w:szCs w:val="20"/>
        </w:rPr>
        <w:t xml:space="preserve"> primerljive pisne ponudbe najmanj treh ponudnikov, ki se glasijo na upravičenca, za upravičene stroške, pri čemer se pri izplačilu sredstev upošteva vrednost ponudbe z najnižjo ceno. Ponudbe iz </w:t>
      </w:r>
      <w:proofErr w:type="gramStart"/>
      <w:r w:rsidRPr="00D30203">
        <w:rPr>
          <w:rFonts w:ascii="Arial" w:eastAsia="Arial" w:hAnsi="Arial" w:cs="Arial"/>
          <w:sz w:val="20"/>
          <w:szCs w:val="20"/>
        </w:rPr>
        <w:t>te</w:t>
      </w:r>
      <w:proofErr w:type="gramEnd"/>
      <w:r w:rsidRPr="00D30203">
        <w:rPr>
          <w:rFonts w:ascii="Arial" w:eastAsia="Arial" w:hAnsi="Arial" w:cs="Arial"/>
          <w:sz w:val="20"/>
          <w:szCs w:val="20"/>
        </w:rPr>
        <w:t xml:space="preserve"> točke se ne prilagajo v primerih:</w:t>
      </w:r>
    </w:p>
    <w:p w:rsidR="00B21CC9" w:rsidRPr="00D30203" w:rsidRDefault="00B5624C">
      <w:pPr>
        <w:pStyle w:val="crkovnatockazastevilcnotocko"/>
        <w:spacing w:before="210" w:after="210"/>
        <w:ind w:left="782"/>
        <w:rPr>
          <w:rFonts w:ascii="Arial" w:eastAsia="Arial" w:hAnsi="Arial" w:cs="Arial"/>
          <w:sz w:val="20"/>
          <w:szCs w:val="20"/>
        </w:rPr>
      </w:pPr>
      <w:r w:rsidRPr="00D30203">
        <w:rPr>
          <w:rFonts w:ascii="Arial" w:eastAsia="Arial" w:hAnsi="Arial" w:cs="Arial"/>
          <w:sz w:val="20"/>
          <w:szCs w:val="20"/>
        </w:rPr>
        <w:t xml:space="preserve">a)    </w:t>
      </w:r>
      <w:proofErr w:type="gramStart"/>
      <w:r w:rsidRPr="00D30203">
        <w:rPr>
          <w:rFonts w:ascii="Arial" w:eastAsia="Arial" w:hAnsi="Arial" w:cs="Arial"/>
          <w:sz w:val="20"/>
          <w:szCs w:val="20"/>
        </w:rPr>
        <w:t>če</w:t>
      </w:r>
      <w:proofErr w:type="gramEnd"/>
      <w:r w:rsidRPr="00D30203">
        <w:rPr>
          <w:rFonts w:ascii="Arial" w:eastAsia="Arial" w:hAnsi="Arial" w:cs="Arial"/>
          <w:sz w:val="20"/>
          <w:szCs w:val="20"/>
        </w:rPr>
        <w:t xml:space="preserve"> gre za vrste stroškov, ki jih predpiše država ali lokalna skupnost (na primer pristojbina za ceste, parkirnina, pri čemer mora biti v zahtevku navedeno, da gre za te vrste stroška;</w:t>
      </w:r>
    </w:p>
    <w:p w:rsidR="00B21CC9" w:rsidRPr="00D30203" w:rsidRDefault="00B5624C">
      <w:pPr>
        <w:pStyle w:val="crkovnatockazastevilcnotocko"/>
        <w:spacing w:before="210" w:after="210"/>
        <w:ind w:left="782"/>
        <w:rPr>
          <w:rFonts w:ascii="Arial" w:eastAsia="Arial" w:hAnsi="Arial" w:cs="Arial"/>
          <w:sz w:val="20"/>
          <w:szCs w:val="20"/>
        </w:rPr>
      </w:pPr>
      <w:r w:rsidRPr="00D30203">
        <w:rPr>
          <w:rFonts w:ascii="Arial" w:eastAsia="Arial" w:hAnsi="Arial" w:cs="Arial"/>
          <w:sz w:val="20"/>
          <w:szCs w:val="20"/>
        </w:rPr>
        <w:t xml:space="preserve">b)    </w:t>
      </w:r>
      <w:proofErr w:type="gramStart"/>
      <w:r w:rsidRPr="00D30203">
        <w:rPr>
          <w:rFonts w:ascii="Arial" w:eastAsia="Arial" w:hAnsi="Arial" w:cs="Arial"/>
          <w:sz w:val="20"/>
          <w:szCs w:val="20"/>
        </w:rPr>
        <w:t>če</w:t>
      </w:r>
      <w:proofErr w:type="gramEnd"/>
      <w:r w:rsidRPr="00D30203">
        <w:rPr>
          <w:rFonts w:ascii="Arial" w:eastAsia="Arial" w:hAnsi="Arial" w:cs="Arial"/>
          <w:sz w:val="20"/>
          <w:szCs w:val="20"/>
        </w:rPr>
        <w:t xml:space="preserve"> je vlagatelj javni naročnik;</w:t>
      </w:r>
    </w:p>
    <w:p w:rsidR="00B21CC9" w:rsidRPr="00D30203" w:rsidRDefault="00B5624C">
      <w:pPr>
        <w:pStyle w:val="crkovnatockazastevilcnotocko"/>
        <w:spacing w:before="210" w:after="210"/>
        <w:ind w:left="782"/>
        <w:rPr>
          <w:rFonts w:ascii="Arial" w:eastAsia="Arial" w:hAnsi="Arial" w:cs="Arial"/>
          <w:sz w:val="20"/>
          <w:szCs w:val="20"/>
        </w:rPr>
      </w:pPr>
      <w:r w:rsidRPr="00D30203">
        <w:rPr>
          <w:rFonts w:ascii="Arial" w:eastAsia="Arial" w:hAnsi="Arial" w:cs="Arial"/>
          <w:sz w:val="20"/>
          <w:szCs w:val="20"/>
        </w:rPr>
        <w:lastRenderedPageBreak/>
        <w:t xml:space="preserve">c)    </w:t>
      </w:r>
      <w:proofErr w:type="gramStart"/>
      <w:r w:rsidRPr="00D30203">
        <w:rPr>
          <w:rFonts w:ascii="Arial" w:eastAsia="Arial" w:hAnsi="Arial" w:cs="Arial"/>
          <w:sz w:val="20"/>
          <w:szCs w:val="20"/>
        </w:rPr>
        <w:t>če</w:t>
      </w:r>
      <w:proofErr w:type="gramEnd"/>
      <w:r w:rsidRPr="00D30203">
        <w:rPr>
          <w:rFonts w:ascii="Arial" w:eastAsia="Arial" w:hAnsi="Arial" w:cs="Arial"/>
          <w:sz w:val="20"/>
          <w:szCs w:val="20"/>
        </w:rPr>
        <w:t xml:space="preserve"> gre za vrsto stroška, za katerega je na trgu le en ponudnik, pri čemer mora biti v zahtevku utemeljeno, da je na trgu samo en ponudnik, in se zahtevku priloži ponudba tega ponudnika;</w:t>
      </w:r>
    </w:p>
    <w:p w:rsidR="00B21CC9" w:rsidRPr="00D30203" w:rsidRDefault="00B5624C">
      <w:pPr>
        <w:pStyle w:val="crkovnatockazastevilcnotocko"/>
        <w:spacing w:before="210" w:after="210"/>
        <w:ind w:left="782"/>
        <w:rPr>
          <w:rFonts w:ascii="Arial" w:eastAsia="Arial" w:hAnsi="Arial" w:cs="Arial"/>
          <w:sz w:val="20"/>
          <w:szCs w:val="20"/>
        </w:rPr>
      </w:pPr>
      <w:r w:rsidRPr="00D30203">
        <w:rPr>
          <w:rFonts w:ascii="Arial" w:eastAsia="Arial" w:hAnsi="Arial" w:cs="Arial"/>
          <w:sz w:val="20"/>
          <w:szCs w:val="20"/>
        </w:rPr>
        <w:t xml:space="preserve">č) </w:t>
      </w:r>
      <w:proofErr w:type="gramStart"/>
      <w:r w:rsidRPr="00D30203">
        <w:rPr>
          <w:rFonts w:ascii="Arial" w:eastAsia="Arial" w:hAnsi="Arial" w:cs="Arial"/>
          <w:sz w:val="20"/>
          <w:szCs w:val="20"/>
        </w:rPr>
        <w:t>če</w:t>
      </w:r>
      <w:proofErr w:type="gramEnd"/>
      <w:r w:rsidRPr="00D30203">
        <w:rPr>
          <w:rFonts w:ascii="Arial" w:eastAsia="Arial" w:hAnsi="Arial" w:cs="Arial"/>
          <w:sz w:val="20"/>
          <w:szCs w:val="20"/>
        </w:rPr>
        <w:t xml:space="preserve"> gre za strošek kotizacije za udeležbo na usposabljanju; </w:t>
      </w:r>
    </w:p>
    <w:p w:rsidR="00B21CC9" w:rsidRPr="00D30203" w:rsidRDefault="00B5624C">
      <w:pPr>
        <w:pStyle w:val="crkovnatockazastevilcnotocko"/>
        <w:spacing w:before="210" w:after="210"/>
        <w:ind w:left="782"/>
        <w:rPr>
          <w:rFonts w:ascii="Arial" w:eastAsia="Arial" w:hAnsi="Arial" w:cs="Arial"/>
          <w:sz w:val="20"/>
          <w:szCs w:val="20"/>
        </w:rPr>
      </w:pPr>
      <w:r w:rsidRPr="00D30203">
        <w:rPr>
          <w:rFonts w:ascii="Arial" w:eastAsia="Arial" w:hAnsi="Arial" w:cs="Arial"/>
          <w:sz w:val="20"/>
          <w:szCs w:val="20"/>
        </w:rPr>
        <w:t xml:space="preserve">d)   </w:t>
      </w:r>
      <w:proofErr w:type="gramStart"/>
      <w:r w:rsidRPr="00D30203">
        <w:rPr>
          <w:rFonts w:ascii="Arial" w:eastAsia="Arial" w:hAnsi="Arial" w:cs="Arial"/>
          <w:sz w:val="20"/>
          <w:szCs w:val="20"/>
        </w:rPr>
        <w:t>če</w:t>
      </w:r>
      <w:proofErr w:type="gramEnd"/>
      <w:r w:rsidRPr="00D30203">
        <w:rPr>
          <w:rFonts w:ascii="Arial" w:eastAsia="Arial" w:hAnsi="Arial" w:cs="Arial"/>
          <w:sz w:val="20"/>
          <w:szCs w:val="20"/>
        </w:rPr>
        <w:t xml:space="preserve"> vrednost upravičenega stroška ne presega 2.000 eurov, pri čemer lahko upravičenec namesto tržno primerljivih pisnih ponudb zahtevku priloži eno vabilo k dajanju ponudb ali katalog ali oglas, kot ga določa zakon, ki ureja obligacijska razmerja.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(5) V zahtevku za izplačilo sredstev se upravičenec izjavi o izpolnjevanju pogoja glede združevanja državnih pomoči iz 29.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(6) Če je predmet podpore naložba, nakup materiala </w:t>
      </w:r>
      <w:proofErr w:type="gramStart"/>
      <w:r w:rsidRPr="00D30203">
        <w:rPr>
          <w:rFonts w:ascii="Arial" w:eastAsia="Arial" w:hAnsi="Arial" w:cs="Arial"/>
          <w:sz w:val="20"/>
          <w:szCs w:val="20"/>
        </w:rPr>
        <w:t>ali</w:t>
      </w:r>
      <w:proofErr w:type="gramEnd"/>
      <w:r w:rsidRPr="00D30203">
        <w:rPr>
          <w:rFonts w:ascii="Arial" w:eastAsia="Arial" w:hAnsi="Arial" w:cs="Arial"/>
          <w:sz w:val="20"/>
          <w:szCs w:val="20"/>
        </w:rPr>
        <w:t xml:space="preserve"> izvedba storitve v okviru projekta, upravičenec ne sme pridobiti opredmetenih osnovnih sredstev, neopredmetenih sredstev, materiala ali storitev od pravnih oseb, ki so 25 % ali več lastniško povezane z upravičencem.</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(7) Kadar je upravičenec podpore LAS in projekt vključuje naložbo, mora LAS v vlogi določiti eno </w:t>
      </w:r>
      <w:proofErr w:type="gramStart"/>
      <w:r w:rsidRPr="00D30203">
        <w:rPr>
          <w:rFonts w:ascii="Arial" w:eastAsia="Arial" w:hAnsi="Arial" w:cs="Arial"/>
          <w:sz w:val="20"/>
          <w:szCs w:val="20"/>
        </w:rPr>
        <w:t>ali</w:t>
      </w:r>
      <w:proofErr w:type="gramEnd"/>
      <w:r w:rsidRPr="00D30203">
        <w:rPr>
          <w:rFonts w:ascii="Arial" w:eastAsia="Arial" w:hAnsi="Arial" w:cs="Arial"/>
          <w:sz w:val="20"/>
          <w:szCs w:val="20"/>
        </w:rPr>
        <w:t xml:space="preserve"> več pravnih oseb javnega prava, ki postanejo lastniki naložbe.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proofErr w:type="gramStart"/>
      <w:r w:rsidRPr="00D30203">
        <w:rPr>
          <w:rFonts w:ascii="Arial" w:eastAsia="Arial" w:hAnsi="Arial" w:cs="Arial"/>
          <w:sz w:val="20"/>
          <w:szCs w:val="20"/>
        </w:rPr>
        <w:t>(8) Če</w:t>
      </w:r>
      <w:proofErr w:type="gramEnd"/>
      <w:r w:rsidRPr="00D30203">
        <w:rPr>
          <w:rFonts w:ascii="Arial" w:eastAsia="Arial" w:hAnsi="Arial" w:cs="Arial"/>
          <w:sz w:val="20"/>
          <w:szCs w:val="20"/>
        </w:rPr>
        <w:t xml:space="preserve"> je upravičenec javni naročnik, mora:</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1.      </w:t>
      </w:r>
      <w:proofErr w:type="gramStart"/>
      <w:r w:rsidRPr="00D30203">
        <w:rPr>
          <w:rFonts w:ascii="Arial" w:eastAsia="Arial" w:hAnsi="Arial" w:cs="Arial"/>
          <w:sz w:val="20"/>
          <w:szCs w:val="20"/>
        </w:rPr>
        <w:t>v</w:t>
      </w:r>
      <w:proofErr w:type="gramEnd"/>
      <w:r w:rsidRPr="00D30203">
        <w:rPr>
          <w:rFonts w:ascii="Arial" w:eastAsia="Arial" w:hAnsi="Arial" w:cs="Arial"/>
          <w:sz w:val="20"/>
          <w:szCs w:val="20"/>
        </w:rPr>
        <w:t xml:space="preserve"> prvem zahtevku za izplačilo sredstev, ki se nanaša na stroške v okviru oddanega javnega naročila, navesti številko objave oddanega javnega naročila, če gre za javno naročilo, katerega ocenjena vrednost brez DDV je enaka ali višja od mejnih vrednosti iz zakona, ki ureja javno naročanje;</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2.      zahtevku za izplačilo sredstev iz prejšnje točke priložiti kopijo dokumentacije postopka oddaje javnega naročila, iz katere je razviden način določitve vrednosti javnega naročila, če gre za javno naročilo, katerega ocenjena vrednost brez DDV je nižja od mejnih vrednosti iz predpisa, ki ureja javno naročanje.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(9) V primeru iz prejšnjega odstavka se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podlagi zahtevka za izplačilo sredstev sredstva izplačajo do višine vrednosti pogodbe z izbranim ponudnikom, če je ta nižja od višine dodeljenih sredstev iz odločbe o pravici do sredstev.</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(10) Če se podpora dodeli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podlagi dejansko nastalih stroškov, se v vsakem zahtevku za izplačilo sredstev za sklad EKSRP priloži izpis iz ločenih knjigovodskih evidenc, iz katerega so razvidni vsi poslovni dogodki v zvezi z izvedbo projekta, ki je predmet podpore.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(11) Če gre za naložbo v okviru projekta, mora upravičenec priložiti dovoljenja v skladu s predpisi, ki urejajo graditev objektov, in dokazila, ki so podrobneje določena v Prilogi 2 </w:t>
      </w:r>
      <w:proofErr w:type="gramStart"/>
      <w:r w:rsidRPr="00D30203">
        <w:rPr>
          <w:rFonts w:ascii="Arial" w:eastAsia="Arial" w:hAnsi="Arial" w:cs="Arial"/>
          <w:sz w:val="20"/>
          <w:szCs w:val="20"/>
        </w:rPr>
        <w:t>te</w:t>
      </w:r>
      <w:proofErr w:type="gramEnd"/>
      <w:r w:rsidRPr="00D30203">
        <w:rPr>
          <w:rFonts w:ascii="Arial" w:eastAsia="Arial" w:hAnsi="Arial" w:cs="Arial"/>
          <w:sz w:val="20"/>
          <w:szCs w:val="20"/>
        </w:rPr>
        <w:t xml:space="preserv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(12) Za sklad ESRR mora biti zahtevek za izplačilo pripravljen in predložen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MKRR v skladu z uredbo, ki ureja izvajanje evropske kohezijske politike za programsko obdobje 2021–2027 za cilj naložbe za rast in delovna mesta.</w:t>
      </w:r>
    </w:p>
    <w:p w:rsidR="00B21CC9" w:rsidRPr="00D30203" w:rsidRDefault="00B5624C">
      <w:pPr>
        <w:pStyle w:val="center"/>
        <w:pBdr>
          <w:top w:val="none" w:sz="0" w:space="24" w:color="auto"/>
        </w:pBdr>
        <w:spacing w:before="210" w:after="210"/>
        <w:rPr>
          <w:rFonts w:ascii="Arial" w:eastAsia="Arial" w:hAnsi="Arial" w:cs="Arial"/>
          <w:caps/>
          <w:sz w:val="20"/>
          <w:szCs w:val="20"/>
        </w:rPr>
      </w:pPr>
      <w:r w:rsidRPr="00D30203">
        <w:rPr>
          <w:rFonts w:ascii="Arial" w:eastAsia="Arial" w:hAnsi="Arial" w:cs="Arial"/>
          <w:caps/>
          <w:sz w:val="20"/>
          <w:szCs w:val="20"/>
        </w:rPr>
        <w:t>V. DRŽAVNE POMOČI</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28. 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državne</w:t>
      </w:r>
      <w:proofErr w:type="gramEnd"/>
      <w:r w:rsidRPr="00D30203">
        <w:rPr>
          <w:rFonts w:ascii="Arial" w:eastAsia="Arial" w:hAnsi="Arial" w:cs="Arial"/>
          <w:b/>
          <w:bCs/>
          <w:sz w:val="20"/>
          <w:szCs w:val="20"/>
        </w:rPr>
        <w:t xml:space="preserve"> pomoči)</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lastRenderedPageBreak/>
        <w:t>(1) Podpora iz točke a) tretjega odstavka 4.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 se dodeljuje v skladu z </w:t>
      </w:r>
      <w:hyperlink r:id="rId59" w:tgtFrame="_blank" w:tooltip="to EUR-Lex" w:history="1">
        <w:r w:rsidRPr="00D30203">
          <w:rPr>
            <w:rFonts w:ascii="Arial" w:eastAsia="Arial" w:hAnsi="Arial" w:cs="Arial"/>
            <w:sz w:val="20"/>
            <w:szCs w:val="20"/>
          </w:rPr>
          <w:t>Uredbo 651/2014/EU</w:t>
        </w:r>
      </w:hyperlink>
      <w:r w:rsidRPr="00D30203">
        <w:rPr>
          <w:rFonts w:ascii="Arial" w:eastAsia="Arial" w:hAnsi="Arial" w:cs="Arial"/>
          <w:sz w:val="20"/>
          <w:szCs w:val="20"/>
        </w:rPr>
        <w:t>. Če se podpora dodeli v skladu z navedeno uredbo, mora vlagatelj poleg pogojev iz 7.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 izpolnjevati tudi pogoje iz 19. </w:t>
      </w:r>
      <w:proofErr w:type="gramStart"/>
      <w:r w:rsidRPr="00D30203">
        <w:rPr>
          <w:rFonts w:ascii="Arial" w:eastAsia="Arial" w:hAnsi="Arial" w:cs="Arial"/>
          <w:sz w:val="20"/>
          <w:szCs w:val="20"/>
        </w:rPr>
        <w:t>in</w:t>
      </w:r>
      <w:proofErr w:type="gramEnd"/>
      <w:r w:rsidRPr="00D30203">
        <w:rPr>
          <w:rFonts w:ascii="Arial" w:eastAsia="Arial" w:hAnsi="Arial" w:cs="Arial"/>
          <w:sz w:val="20"/>
          <w:szCs w:val="20"/>
        </w:rPr>
        <w:t xml:space="preserve"> </w:t>
      </w:r>
      <w:hyperlink r:id="rId60" w:tgtFrame="_blank" w:tooltip="to EUR-Lex" w:history="1">
        <w:r w:rsidRPr="00D30203">
          <w:rPr>
            <w:rFonts w:ascii="Arial" w:eastAsia="Arial" w:hAnsi="Arial" w:cs="Arial"/>
            <w:sz w:val="20"/>
            <w:szCs w:val="20"/>
          </w:rPr>
          <w:t>19.a člena Uredbe 651/2014/EU</w:t>
        </w:r>
      </w:hyperlink>
      <w:r w:rsidRPr="00D30203">
        <w:rPr>
          <w:rFonts w:ascii="Arial" w:eastAsia="Arial" w:hAnsi="Arial" w:cs="Arial"/>
          <w:sz w:val="20"/>
          <w:szCs w:val="20"/>
        </w:rPr>
        <w:t xml:space="preserve">, merila iz </w:t>
      </w:r>
      <w:hyperlink r:id="rId61" w:tgtFrame="_blank" w:tooltip="to EUR-Lex" w:history="1">
        <w:r w:rsidRPr="00D30203">
          <w:rPr>
            <w:rFonts w:ascii="Arial" w:eastAsia="Arial" w:hAnsi="Arial" w:cs="Arial"/>
            <w:sz w:val="20"/>
            <w:szCs w:val="20"/>
          </w:rPr>
          <w:t>Priloge I Uredbe 651/2014/EU</w:t>
        </w:r>
      </w:hyperlink>
      <w:r w:rsidRPr="00D30203">
        <w:rPr>
          <w:rFonts w:ascii="Arial" w:eastAsia="Arial" w:hAnsi="Arial" w:cs="Arial"/>
          <w:sz w:val="20"/>
          <w:szCs w:val="20"/>
        </w:rPr>
        <w:t xml:space="preserve"> ter:</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1.      </w:t>
      </w:r>
      <w:proofErr w:type="gramStart"/>
      <w:r w:rsidRPr="00D30203">
        <w:rPr>
          <w:rFonts w:ascii="Arial" w:eastAsia="Arial" w:hAnsi="Arial" w:cs="Arial"/>
          <w:sz w:val="20"/>
          <w:szCs w:val="20"/>
        </w:rPr>
        <w:t>je</w:t>
      </w:r>
      <w:proofErr w:type="gramEnd"/>
      <w:r w:rsidRPr="00D30203">
        <w:rPr>
          <w:rFonts w:ascii="Arial" w:eastAsia="Arial" w:hAnsi="Arial" w:cs="Arial"/>
          <w:sz w:val="20"/>
          <w:szCs w:val="20"/>
        </w:rPr>
        <w:t xml:space="preserve"> vlagatelj MSP v skladu s </w:t>
      </w:r>
      <w:hyperlink r:id="rId62" w:tgtFrame="_blank" w:tooltip="to EUR-Lex" w:history="1">
        <w:r w:rsidRPr="00D30203">
          <w:rPr>
            <w:rFonts w:ascii="Arial" w:eastAsia="Arial" w:hAnsi="Arial" w:cs="Arial"/>
            <w:sz w:val="20"/>
            <w:szCs w:val="20"/>
          </w:rPr>
          <w:t>Prilogo I Uredbe 651/2014/EU</w:t>
        </w:r>
      </w:hyperlink>
      <w:r w:rsidRPr="00D30203">
        <w:rPr>
          <w:rFonts w:ascii="Arial" w:eastAsia="Arial" w:hAnsi="Arial" w:cs="Arial"/>
          <w:sz w:val="20"/>
          <w:szCs w:val="20"/>
        </w:rPr>
        <w:t>;</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2.      </w:t>
      </w:r>
      <w:proofErr w:type="gramStart"/>
      <w:r w:rsidRPr="00D30203">
        <w:rPr>
          <w:rFonts w:ascii="Arial" w:eastAsia="Arial" w:hAnsi="Arial" w:cs="Arial"/>
          <w:sz w:val="20"/>
          <w:szCs w:val="20"/>
        </w:rPr>
        <w:t>pred</w:t>
      </w:r>
      <w:proofErr w:type="gramEnd"/>
      <w:r w:rsidRPr="00D30203">
        <w:rPr>
          <w:rFonts w:ascii="Arial" w:eastAsia="Arial" w:hAnsi="Arial" w:cs="Arial"/>
          <w:sz w:val="20"/>
          <w:szCs w:val="20"/>
        </w:rPr>
        <w:t xml:space="preserve"> datumom vložitve vloge ne sme začeti izvajati naložbe, projekta ali druge dejavnosti, ki je predmet podpore, razen če gre za izjeme iz petega odstavka 6.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63" w:tgtFrame="_blank" w:tooltip="to EUR-Lex" w:history="1">
        <w:r w:rsidRPr="00D30203">
          <w:rPr>
            <w:rFonts w:ascii="Arial" w:eastAsia="Arial" w:hAnsi="Arial" w:cs="Arial"/>
            <w:sz w:val="20"/>
            <w:szCs w:val="20"/>
          </w:rPr>
          <w:t>Uredbe 651/2014/EU</w:t>
        </w:r>
      </w:hyperlink>
      <w:r w:rsidRPr="00D30203">
        <w:rPr>
          <w:rFonts w:ascii="Arial" w:eastAsia="Arial" w:hAnsi="Arial" w:cs="Arial"/>
          <w:sz w:val="20"/>
          <w:szCs w:val="20"/>
        </w:rPr>
        <w:t xml:space="preserve">. Če je upravičenec javni naročnik, pred vložitvijo vloge ne sme skleniti pogodbe o oddaji javnega naročila za blago, storitev </w:t>
      </w:r>
      <w:proofErr w:type="gramStart"/>
      <w:r w:rsidRPr="00D30203">
        <w:rPr>
          <w:rFonts w:ascii="Arial" w:eastAsia="Arial" w:hAnsi="Arial" w:cs="Arial"/>
          <w:sz w:val="20"/>
          <w:szCs w:val="20"/>
        </w:rPr>
        <w:t>ali</w:t>
      </w:r>
      <w:proofErr w:type="gramEnd"/>
      <w:r w:rsidRPr="00D30203">
        <w:rPr>
          <w:rFonts w:ascii="Arial" w:eastAsia="Arial" w:hAnsi="Arial" w:cs="Arial"/>
          <w:sz w:val="20"/>
          <w:szCs w:val="20"/>
        </w:rPr>
        <w:t xml:space="preserve"> gradnjo, ki je predmet naložbe ali projekta;</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3.      </w:t>
      </w:r>
      <w:proofErr w:type="gramStart"/>
      <w:r w:rsidRPr="00D30203">
        <w:rPr>
          <w:rFonts w:ascii="Arial" w:eastAsia="Arial" w:hAnsi="Arial" w:cs="Arial"/>
          <w:sz w:val="20"/>
          <w:szCs w:val="20"/>
        </w:rPr>
        <w:t>vlagatelj</w:t>
      </w:r>
      <w:proofErr w:type="gramEnd"/>
      <w:r w:rsidRPr="00D30203">
        <w:rPr>
          <w:rFonts w:ascii="Arial" w:eastAsia="Arial" w:hAnsi="Arial" w:cs="Arial"/>
          <w:sz w:val="20"/>
          <w:szCs w:val="20"/>
        </w:rPr>
        <w:t xml:space="preserve"> ne sme biti podjetje v težavah, razen če gre za izjeme, določene v točki (c) četrtega odstavka 1.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64" w:tgtFrame="_blank" w:tooltip="to EUR-Lex" w:history="1">
        <w:r w:rsidRPr="00D30203">
          <w:rPr>
            <w:rFonts w:ascii="Arial" w:eastAsia="Arial" w:hAnsi="Arial" w:cs="Arial"/>
            <w:sz w:val="20"/>
            <w:szCs w:val="20"/>
          </w:rPr>
          <w:t>Uredbe 651/2014/EU</w:t>
        </w:r>
      </w:hyperlink>
      <w:r w:rsidRPr="00D30203">
        <w:rPr>
          <w:rFonts w:ascii="Arial" w:eastAsia="Arial" w:hAnsi="Arial" w:cs="Arial"/>
          <w:sz w:val="20"/>
          <w:szCs w:val="20"/>
        </w:rPr>
        <w:t>;</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4.      </w:t>
      </w:r>
      <w:proofErr w:type="gramStart"/>
      <w:r w:rsidRPr="00D30203">
        <w:rPr>
          <w:rFonts w:ascii="Arial" w:eastAsia="Arial" w:hAnsi="Arial" w:cs="Arial"/>
          <w:sz w:val="20"/>
          <w:szCs w:val="20"/>
        </w:rPr>
        <w:t>vlagatelj</w:t>
      </w:r>
      <w:proofErr w:type="gramEnd"/>
      <w:r w:rsidRPr="00D30203">
        <w:rPr>
          <w:rFonts w:ascii="Arial" w:eastAsia="Arial" w:hAnsi="Arial" w:cs="Arial"/>
          <w:sz w:val="20"/>
          <w:szCs w:val="20"/>
        </w:rPr>
        <w:t xml:space="preserve"> ne sme biti naslovnik neporavnanega naloga za izterjavo na podlagi predhodnega sklepa Evropske komisije, s katerim je pomoč, ki jo je dodelil organ Republike Slovenije, razglasila za nezakonito in nezdružljivo z notranjim trgom;</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 xml:space="preserve">5.      </w:t>
      </w:r>
      <w:proofErr w:type="gramStart"/>
      <w:r w:rsidRPr="00D30203">
        <w:rPr>
          <w:rFonts w:ascii="Arial" w:eastAsia="Arial" w:hAnsi="Arial" w:cs="Arial"/>
          <w:sz w:val="20"/>
          <w:szCs w:val="20"/>
        </w:rPr>
        <w:t>vlagatelj</w:t>
      </w:r>
      <w:proofErr w:type="gramEnd"/>
      <w:r w:rsidRPr="00D30203">
        <w:rPr>
          <w:rFonts w:ascii="Arial" w:eastAsia="Arial" w:hAnsi="Arial" w:cs="Arial"/>
          <w:sz w:val="20"/>
          <w:szCs w:val="20"/>
        </w:rPr>
        <w:t xml:space="preserve"> ne sme biti naslovnik neporavnanega naloga za vračilo preveč izplačane državne pomoči na podlagi predhodnega poziva ministrstva, pristojnega za finance.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(2) Podpora iz točke a) tretjega odstavka 4.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 se lahko dodeljuje kot pomoč po pravilu </w:t>
      </w:r>
      <w:r w:rsidRPr="00D30203">
        <w:rPr>
          <w:rFonts w:ascii="Arial" w:eastAsia="Arial" w:hAnsi="Arial" w:cs="Arial"/>
          <w:i/>
          <w:iCs/>
          <w:sz w:val="20"/>
          <w:szCs w:val="20"/>
        </w:rPr>
        <w:t>de minimis</w:t>
      </w:r>
      <w:r w:rsidRPr="00D30203">
        <w:rPr>
          <w:rFonts w:ascii="Arial" w:eastAsia="Arial" w:hAnsi="Arial" w:cs="Arial"/>
          <w:sz w:val="20"/>
          <w:szCs w:val="20"/>
        </w:rPr>
        <w:t xml:space="preserve"> v skladu z </w:t>
      </w:r>
      <w:hyperlink r:id="rId65" w:tgtFrame="_blank" w:tooltip="to EUR-Lex" w:history="1">
        <w:r w:rsidRPr="00D30203">
          <w:rPr>
            <w:rFonts w:ascii="Arial" w:eastAsia="Arial" w:hAnsi="Arial" w:cs="Arial"/>
            <w:sz w:val="20"/>
            <w:szCs w:val="20"/>
          </w:rPr>
          <w:t>Uredbo 2023/2831/EU</w:t>
        </w:r>
      </w:hyperlink>
      <w:r w:rsidRPr="00D30203">
        <w:rPr>
          <w:rFonts w:ascii="Arial" w:eastAsia="Arial" w:hAnsi="Arial" w:cs="Arial"/>
          <w:sz w:val="20"/>
          <w:szCs w:val="20"/>
        </w:rPr>
        <w:t xml:space="preserve">, pri čemer se upošteva, da do pomoči po pravilu </w:t>
      </w:r>
      <w:r w:rsidRPr="00D30203">
        <w:rPr>
          <w:rFonts w:ascii="Arial" w:eastAsia="Arial" w:hAnsi="Arial" w:cs="Arial"/>
          <w:i/>
          <w:iCs/>
          <w:sz w:val="20"/>
          <w:szCs w:val="20"/>
        </w:rPr>
        <w:t>de minimis</w:t>
      </w:r>
      <w:r w:rsidRPr="00D30203">
        <w:rPr>
          <w:rFonts w:ascii="Arial" w:eastAsia="Arial" w:hAnsi="Arial" w:cs="Arial"/>
          <w:sz w:val="20"/>
          <w:szCs w:val="20"/>
        </w:rPr>
        <w:t xml:space="preserve"> v skladu z </w:t>
      </w:r>
      <w:hyperlink r:id="rId66" w:tgtFrame="_blank" w:tooltip="to EUR-Lex" w:history="1">
        <w:r w:rsidRPr="00D30203">
          <w:rPr>
            <w:rFonts w:ascii="Arial" w:eastAsia="Arial" w:hAnsi="Arial" w:cs="Arial"/>
            <w:sz w:val="20"/>
            <w:szCs w:val="20"/>
          </w:rPr>
          <w:t>Uredbo 2023/2831/EU</w:t>
        </w:r>
      </w:hyperlink>
      <w:r w:rsidRPr="00D30203">
        <w:rPr>
          <w:rFonts w:ascii="Arial" w:eastAsia="Arial" w:hAnsi="Arial" w:cs="Arial"/>
          <w:sz w:val="20"/>
          <w:szCs w:val="20"/>
        </w:rPr>
        <w:t xml:space="preserve"> niso upravičena podjetja iz sektorjev:</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1. </w:t>
      </w:r>
      <w:proofErr w:type="gramStart"/>
      <w:r w:rsidRPr="00D30203">
        <w:rPr>
          <w:rFonts w:ascii="Arial" w:eastAsia="Arial" w:hAnsi="Arial" w:cs="Arial"/>
          <w:sz w:val="20"/>
          <w:szCs w:val="20"/>
        </w:rPr>
        <w:t>primarne</w:t>
      </w:r>
      <w:proofErr w:type="gramEnd"/>
      <w:r w:rsidRPr="00D30203">
        <w:rPr>
          <w:rFonts w:ascii="Arial" w:eastAsia="Arial" w:hAnsi="Arial" w:cs="Arial"/>
          <w:sz w:val="20"/>
          <w:szCs w:val="20"/>
        </w:rPr>
        <w:t xml:space="preserve"> proizvodnje ribiških proizvodov in proizvodov iz akvakulture,</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2. </w:t>
      </w:r>
      <w:proofErr w:type="gramStart"/>
      <w:r w:rsidRPr="00D30203">
        <w:rPr>
          <w:rFonts w:ascii="Arial" w:eastAsia="Arial" w:hAnsi="Arial" w:cs="Arial"/>
          <w:sz w:val="20"/>
          <w:szCs w:val="20"/>
        </w:rPr>
        <w:t>predelave</w:t>
      </w:r>
      <w:proofErr w:type="gramEnd"/>
      <w:r w:rsidRPr="00D30203">
        <w:rPr>
          <w:rFonts w:ascii="Arial" w:eastAsia="Arial" w:hAnsi="Arial" w:cs="Arial"/>
          <w:sz w:val="20"/>
          <w:szCs w:val="20"/>
        </w:rPr>
        <w:t xml:space="preserve"> in trženja ribiških proizvodov in proizvodov iz akvakulture, kadar je znesek pomoči določen na podlagi cene ali količine proizvodov, nabavljenih ali danih na trg,</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3. </w:t>
      </w:r>
      <w:proofErr w:type="gramStart"/>
      <w:r w:rsidRPr="00D30203">
        <w:rPr>
          <w:rFonts w:ascii="Arial" w:eastAsia="Arial" w:hAnsi="Arial" w:cs="Arial"/>
          <w:sz w:val="20"/>
          <w:szCs w:val="20"/>
        </w:rPr>
        <w:t>primarne</w:t>
      </w:r>
      <w:proofErr w:type="gramEnd"/>
      <w:r w:rsidRPr="00D30203">
        <w:rPr>
          <w:rFonts w:ascii="Arial" w:eastAsia="Arial" w:hAnsi="Arial" w:cs="Arial"/>
          <w:sz w:val="20"/>
          <w:szCs w:val="20"/>
        </w:rPr>
        <w:t xml:space="preserve"> proizvodnje kmetijskih proizvodov s seznama v Prilogi I k Pogodbi o ustanovitvi Evropske skupnosti,</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4. </w:t>
      </w:r>
      <w:proofErr w:type="gramStart"/>
      <w:r w:rsidRPr="00D30203">
        <w:rPr>
          <w:rFonts w:ascii="Arial" w:eastAsia="Arial" w:hAnsi="Arial" w:cs="Arial"/>
          <w:sz w:val="20"/>
          <w:szCs w:val="20"/>
        </w:rPr>
        <w:t>predelave</w:t>
      </w:r>
      <w:proofErr w:type="gramEnd"/>
      <w:r w:rsidRPr="00D30203">
        <w:rPr>
          <w:rFonts w:ascii="Arial" w:eastAsia="Arial" w:hAnsi="Arial" w:cs="Arial"/>
          <w:sz w:val="20"/>
          <w:szCs w:val="20"/>
        </w:rPr>
        <w:t xml:space="preserve"> in trženja kmetijskih proizvodov s seznama v Prilogi I k Pogodbi o ustanovitvi Evropske skupnosti v naslednjih primerih:</w:t>
      </w:r>
    </w:p>
    <w:p w:rsidR="00B21CC9" w:rsidRPr="00D30203" w:rsidRDefault="00B5624C">
      <w:pPr>
        <w:pStyle w:val="alineazastevilcnotocko"/>
        <w:spacing w:before="210" w:after="210"/>
        <w:ind w:left="567"/>
        <w:rPr>
          <w:rFonts w:ascii="Arial" w:eastAsia="Arial" w:hAnsi="Arial" w:cs="Arial"/>
          <w:sz w:val="20"/>
          <w:szCs w:val="20"/>
        </w:rPr>
      </w:pPr>
      <w:r w:rsidRPr="00D30203">
        <w:rPr>
          <w:rFonts w:ascii="Arial" w:eastAsia="Arial" w:hAnsi="Arial" w:cs="Arial"/>
          <w:sz w:val="20"/>
          <w:szCs w:val="20"/>
        </w:rPr>
        <w:t>– </w:t>
      </w:r>
      <w:proofErr w:type="gramStart"/>
      <w:r w:rsidRPr="00D30203">
        <w:rPr>
          <w:rFonts w:ascii="Arial" w:eastAsia="Arial" w:hAnsi="Arial" w:cs="Arial"/>
          <w:sz w:val="20"/>
          <w:szCs w:val="20"/>
        </w:rPr>
        <w:t>če</w:t>
      </w:r>
      <w:proofErr w:type="gramEnd"/>
      <w:r w:rsidRPr="00D30203">
        <w:rPr>
          <w:rFonts w:ascii="Arial" w:eastAsia="Arial" w:hAnsi="Arial" w:cs="Arial"/>
          <w:sz w:val="20"/>
          <w:szCs w:val="20"/>
        </w:rPr>
        <w:t xml:space="preserve"> je znesek pomoči določen na podlagi cene ali količine zadevnih proizvodov, ki so kupljeni od primarnih proizvajalcev ali jih zadevna podjetja dajo na trg,</w:t>
      </w:r>
    </w:p>
    <w:p w:rsidR="00B21CC9" w:rsidRPr="00D30203" w:rsidRDefault="00B5624C">
      <w:pPr>
        <w:pStyle w:val="alineazastevilcnotocko"/>
        <w:spacing w:before="210" w:after="210"/>
        <w:ind w:left="567"/>
        <w:rPr>
          <w:rFonts w:ascii="Arial" w:eastAsia="Arial" w:hAnsi="Arial" w:cs="Arial"/>
          <w:sz w:val="20"/>
          <w:szCs w:val="20"/>
        </w:rPr>
      </w:pPr>
      <w:r w:rsidRPr="00D30203">
        <w:rPr>
          <w:rFonts w:ascii="Arial" w:eastAsia="Arial" w:hAnsi="Arial" w:cs="Arial"/>
          <w:sz w:val="20"/>
          <w:szCs w:val="20"/>
        </w:rPr>
        <w:t>– </w:t>
      </w:r>
      <w:proofErr w:type="gramStart"/>
      <w:r w:rsidRPr="00D30203">
        <w:rPr>
          <w:rFonts w:ascii="Arial" w:eastAsia="Arial" w:hAnsi="Arial" w:cs="Arial"/>
          <w:sz w:val="20"/>
          <w:szCs w:val="20"/>
        </w:rPr>
        <w:t>če</w:t>
      </w:r>
      <w:proofErr w:type="gramEnd"/>
      <w:r w:rsidRPr="00D30203">
        <w:rPr>
          <w:rFonts w:ascii="Arial" w:eastAsia="Arial" w:hAnsi="Arial" w:cs="Arial"/>
          <w:sz w:val="20"/>
          <w:szCs w:val="20"/>
        </w:rPr>
        <w:t xml:space="preserve"> je pomoč pogojena s tem, da se delno ali v celoti prenese na primarne proizvajalce.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(3) Pomoč po pravilu </w:t>
      </w:r>
      <w:r w:rsidRPr="00D30203">
        <w:rPr>
          <w:rFonts w:ascii="Arial" w:eastAsia="Arial" w:hAnsi="Arial" w:cs="Arial"/>
          <w:i/>
          <w:iCs/>
          <w:sz w:val="20"/>
          <w:szCs w:val="20"/>
        </w:rPr>
        <w:t xml:space="preserve">de minimis </w:t>
      </w:r>
      <w:r w:rsidRPr="00D30203">
        <w:rPr>
          <w:rFonts w:ascii="Arial" w:eastAsia="Arial" w:hAnsi="Arial" w:cs="Arial"/>
          <w:sz w:val="20"/>
          <w:szCs w:val="20"/>
        </w:rPr>
        <w:t xml:space="preserve">ne sme biti namenjena izvozu oziroma z izvozom povezani dejavnosti v tretje države </w:t>
      </w:r>
      <w:proofErr w:type="gramStart"/>
      <w:r w:rsidRPr="00D30203">
        <w:rPr>
          <w:rFonts w:ascii="Arial" w:eastAsia="Arial" w:hAnsi="Arial" w:cs="Arial"/>
          <w:sz w:val="20"/>
          <w:szCs w:val="20"/>
        </w:rPr>
        <w:t>ali</w:t>
      </w:r>
      <w:proofErr w:type="gramEnd"/>
      <w:r w:rsidRPr="00D30203">
        <w:rPr>
          <w:rFonts w:ascii="Arial" w:eastAsia="Arial" w:hAnsi="Arial" w:cs="Arial"/>
          <w:sz w:val="20"/>
          <w:szCs w:val="20"/>
        </w:rPr>
        <w:t xml:space="preserve"> države članice, kot je pomoč, neposredno povezana z izvoženimi količinami, z ustanovitvijo in delovanjem distribucijske mreže ali drugimi tekočimi izdatki, povezanimi z izvozno dejavnostjo. Pomoč ne sme biti pogojena s prednostno rabo domačih proizvodov pred uvoženimi. Skupni znesek pomoči, dodeljen enotnemu podjetju, ne sme presegati 300.000,00 eurov v obdobju zadnjih treh let, ne glede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obliko ali namen pomoči, ki se dodeli enotnemu podjetju s strani države članice.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proofErr w:type="gramStart"/>
      <w:r w:rsidRPr="00D30203">
        <w:rPr>
          <w:rFonts w:ascii="Arial" w:eastAsia="Arial" w:hAnsi="Arial" w:cs="Arial"/>
          <w:sz w:val="20"/>
          <w:szCs w:val="20"/>
        </w:rPr>
        <w:t>(4) Če</w:t>
      </w:r>
      <w:proofErr w:type="gramEnd"/>
      <w:r w:rsidRPr="00D30203">
        <w:rPr>
          <w:rFonts w:ascii="Arial" w:eastAsia="Arial" w:hAnsi="Arial" w:cs="Arial"/>
          <w:sz w:val="20"/>
          <w:szCs w:val="20"/>
        </w:rPr>
        <w:t xml:space="preserve"> se podpora za izvajanje projektov v okviru SLR dodeli kot pomoč po pravilu </w:t>
      </w:r>
      <w:r w:rsidRPr="00D30203">
        <w:rPr>
          <w:rFonts w:ascii="Arial" w:eastAsia="Arial" w:hAnsi="Arial" w:cs="Arial"/>
          <w:i/>
          <w:iCs/>
          <w:sz w:val="20"/>
          <w:szCs w:val="20"/>
        </w:rPr>
        <w:t>de minimis</w:t>
      </w:r>
      <w:r w:rsidRPr="00D30203">
        <w:rPr>
          <w:rFonts w:ascii="Arial" w:eastAsia="Arial" w:hAnsi="Arial" w:cs="Arial"/>
          <w:sz w:val="20"/>
          <w:szCs w:val="20"/>
        </w:rPr>
        <w:t>, mora vlagatelj k vlogi priložiti:</w:t>
      </w:r>
    </w:p>
    <w:p w:rsidR="00B21CC9" w:rsidRPr="00D30203" w:rsidRDefault="00B5624C">
      <w:pPr>
        <w:pStyle w:val="alineazaodstavkom"/>
        <w:spacing w:before="210" w:after="210"/>
        <w:ind w:left="425"/>
        <w:rPr>
          <w:rFonts w:ascii="Arial" w:eastAsia="Arial" w:hAnsi="Arial" w:cs="Arial"/>
          <w:sz w:val="20"/>
          <w:szCs w:val="20"/>
        </w:rPr>
      </w:pPr>
      <w:r w:rsidRPr="00D30203">
        <w:rPr>
          <w:rFonts w:ascii="Arial" w:eastAsia="Arial" w:hAnsi="Arial" w:cs="Arial"/>
          <w:sz w:val="20"/>
          <w:szCs w:val="20"/>
        </w:rPr>
        <w:t>– </w:t>
      </w:r>
      <w:proofErr w:type="gramStart"/>
      <w:r w:rsidRPr="00D30203">
        <w:rPr>
          <w:rFonts w:ascii="Arial" w:eastAsia="Arial" w:hAnsi="Arial" w:cs="Arial"/>
          <w:sz w:val="20"/>
          <w:szCs w:val="20"/>
        </w:rPr>
        <w:t>pisno</w:t>
      </w:r>
      <w:proofErr w:type="gramEnd"/>
      <w:r w:rsidRPr="00D30203">
        <w:rPr>
          <w:rFonts w:ascii="Arial" w:eastAsia="Arial" w:hAnsi="Arial" w:cs="Arial"/>
          <w:sz w:val="20"/>
          <w:szCs w:val="20"/>
        </w:rPr>
        <w:t xml:space="preserve"> izjavo o vseh drugih pomočeh </w:t>
      </w:r>
      <w:r w:rsidRPr="00D30203">
        <w:rPr>
          <w:rFonts w:ascii="Arial" w:eastAsia="Arial" w:hAnsi="Arial" w:cs="Arial"/>
          <w:i/>
          <w:iCs/>
          <w:sz w:val="20"/>
          <w:szCs w:val="20"/>
        </w:rPr>
        <w:t>de minimis</w:t>
      </w:r>
      <w:r w:rsidRPr="00D30203">
        <w:rPr>
          <w:rFonts w:ascii="Arial" w:eastAsia="Arial" w:hAnsi="Arial" w:cs="Arial"/>
          <w:sz w:val="20"/>
          <w:szCs w:val="20"/>
        </w:rPr>
        <w:t xml:space="preserve">, ki jih je vlagatelj prejel na podlagi predpisov, ki urejajo </w:t>
      </w:r>
      <w:r w:rsidRPr="00D30203">
        <w:rPr>
          <w:rFonts w:ascii="Arial" w:eastAsia="Arial" w:hAnsi="Arial" w:cs="Arial"/>
          <w:i/>
          <w:iCs/>
          <w:sz w:val="20"/>
          <w:szCs w:val="20"/>
        </w:rPr>
        <w:t>de minimis</w:t>
      </w:r>
      <w:r w:rsidRPr="00D30203">
        <w:rPr>
          <w:rFonts w:ascii="Arial" w:eastAsia="Arial" w:hAnsi="Arial" w:cs="Arial"/>
          <w:sz w:val="20"/>
          <w:szCs w:val="20"/>
        </w:rPr>
        <w:t xml:space="preserve"> v obdobju treh let;</w:t>
      </w:r>
    </w:p>
    <w:p w:rsidR="00B21CC9" w:rsidRPr="00D30203" w:rsidRDefault="00B5624C">
      <w:pPr>
        <w:pStyle w:val="alineazaodstavkom"/>
        <w:spacing w:before="210" w:after="210"/>
        <w:ind w:left="425"/>
        <w:rPr>
          <w:rFonts w:ascii="Arial" w:eastAsia="Arial" w:hAnsi="Arial" w:cs="Arial"/>
          <w:sz w:val="20"/>
          <w:szCs w:val="20"/>
        </w:rPr>
      </w:pPr>
      <w:r w:rsidRPr="00D30203">
        <w:rPr>
          <w:rFonts w:ascii="Arial" w:eastAsia="Arial" w:hAnsi="Arial" w:cs="Arial"/>
          <w:sz w:val="20"/>
          <w:szCs w:val="20"/>
        </w:rPr>
        <w:lastRenderedPageBreak/>
        <w:t>– </w:t>
      </w:r>
      <w:proofErr w:type="gramStart"/>
      <w:r w:rsidRPr="00D30203">
        <w:rPr>
          <w:rFonts w:ascii="Arial" w:eastAsia="Arial" w:hAnsi="Arial" w:cs="Arial"/>
          <w:sz w:val="20"/>
          <w:szCs w:val="20"/>
        </w:rPr>
        <w:t>pisno</w:t>
      </w:r>
      <w:proofErr w:type="gramEnd"/>
      <w:r w:rsidRPr="00D30203">
        <w:rPr>
          <w:rFonts w:ascii="Arial" w:eastAsia="Arial" w:hAnsi="Arial" w:cs="Arial"/>
          <w:sz w:val="20"/>
          <w:szCs w:val="20"/>
        </w:rPr>
        <w:t xml:space="preserve"> izjavo o drugih že prejetih ali zaprošenih pomočeh za iste upravičene stroške;</w:t>
      </w:r>
    </w:p>
    <w:p w:rsidR="00B21CC9" w:rsidRPr="00D30203" w:rsidRDefault="00B5624C">
      <w:pPr>
        <w:pStyle w:val="alineazaodstavkom"/>
        <w:spacing w:before="210" w:after="210"/>
        <w:ind w:left="425"/>
        <w:rPr>
          <w:rFonts w:ascii="Arial" w:eastAsia="Arial" w:hAnsi="Arial" w:cs="Arial"/>
          <w:sz w:val="20"/>
          <w:szCs w:val="20"/>
        </w:rPr>
      </w:pPr>
      <w:r w:rsidRPr="00D30203">
        <w:rPr>
          <w:rFonts w:ascii="Arial" w:eastAsia="Arial" w:hAnsi="Arial" w:cs="Arial"/>
          <w:sz w:val="20"/>
          <w:szCs w:val="20"/>
        </w:rPr>
        <w:t>– </w:t>
      </w:r>
      <w:proofErr w:type="gramStart"/>
      <w:r w:rsidRPr="00D30203">
        <w:rPr>
          <w:rFonts w:ascii="Arial" w:eastAsia="Arial" w:hAnsi="Arial" w:cs="Arial"/>
          <w:sz w:val="20"/>
          <w:szCs w:val="20"/>
        </w:rPr>
        <w:t>pisno</w:t>
      </w:r>
      <w:proofErr w:type="gramEnd"/>
      <w:r w:rsidRPr="00D30203">
        <w:rPr>
          <w:rFonts w:ascii="Arial" w:eastAsia="Arial" w:hAnsi="Arial" w:cs="Arial"/>
          <w:sz w:val="20"/>
          <w:szCs w:val="20"/>
        </w:rPr>
        <w:t xml:space="preserve"> izjavo, ali gre za enotno podjetje z navedbo podjetij, ki so z njim povezana, z namenom preveritve skupnega zneska že prejetih pomoči </w:t>
      </w:r>
      <w:r w:rsidRPr="00D30203">
        <w:rPr>
          <w:rFonts w:ascii="Arial" w:eastAsia="Arial" w:hAnsi="Arial" w:cs="Arial"/>
          <w:i/>
          <w:iCs/>
          <w:sz w:val="20"/>
          <w:szCs w:val="20"/>
        </w:rPr>
        <w:t xml:space="preserve">de minimis </w:t>
      </w:r>
      <w:r w:rsidRPr="00D30203">
        <w:rPr>
          <w:rFonts w:ascii="Arial" w:eastAsia="Arial" w:hAnsi="Arial" w:cs="Arial"/>
          <w:sz w:val="20"/>
          <w:szCs w:val="20"/>
        </w:rPr>
        <w:t>za vsa, z njim povezana podjetja.</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29. 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pravila</w:t>
      </w:r>
      <w:proofErr w:type="gramEnd"/>
      <w:r w:rsidRPr="00D30203">
        <w:rPr>
          <w:rFonts w:ascii="Arial" w:eastAsia="Arial" w:hAnsi="Arial" w:cs="Arial"/>
          <w:b/>
          <w:bCs/>
          <w:sz w:val="20"/>
          <w:szCs w:val="20"/>
        </w:rPr>
        <w:t xml:space="preserve"> glede kumulacije pomoči)</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 Zgornje meje pomoči in pragovi za priglasitev, določeni v tej uredbi, veljajo ne glede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to, iz katerih javnih sredstev je pomoč dodeljena in ali je pomoč dodeljena v okviru več shem ali individualnih pomoči hkrati. Upošteva se skupni znesek državne pomoči za dejavnost, projekt </w:t>
      </w:r>
      <w:proofErr w:type="gramStart"/>
      <w:r w:rsidRPr="00D30203">
        <w:rPr>
          <w:rFonts w:ascii="Arial" w:eastAsia="Arial" w:hAnsi="Arial" w:cs="Arial"/>
          <w:sz w:val="20"/>
          <w:szCs w:val="20"/>
        </w:rPr>
        <w:t>ali</w:t>
      </w:r>
      <w:proofErr w:type="gramEnd"/>
      <w:r w:rsidRPr="00D30203">
        <w:rPr>
          <w:rFonts w:ascii="Arial" w:eastAsia="Arial" w:hAnsi="Arial" w:cs="Arial"/>
          <w:sz w:val="20"/>
          <w:szCs w:val="20"/>
        </w:rPr>
        <w:t xml:space="preserve"> podjetje. Pomoč za iste upravičene stroške se lahko kumulira le, </w:t>
      </w:r>
      <w:proofErr w:type="gramStart"/>
      <w:r w:rsidRPr="00D30203">
        <w:rPr>
          <w:rFonts w:ascii="Arial" w:eastAsia="Arial" w:hAnsi="Arial" w:cs="Arial"/>
          <w:sz w:val="20"/>
          <w:szCs w:val="20"/>
        </w:rPr>
        <w:t>če</w:t>
      </w:r>
      <w:proofErr w:type="gramEnd"/>
      <w:r w:rsidRPr="00D30203">
        <w:rPr>
          <w:rFonts w:ascii="Arial" w:eastAsia="Arial" w:hAnsi="Arial" w:cs="Arial"/>
          <w:sz w:val="20"/>
          <w:szCs w:val="20"/>
        </w:rPr>
        <w:t xml:space="preserve"> se s tako kumulacijo ne preseže največja intenzivnost pomoči ali znesek pomoči, ki se uporablja za to pomoč v skladu s to uredbo.</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(2) Pomoč se ne sme združevati s pomočjo </w:t>
      </w:r>
      <w:r w:rsidRPr="00D30203">
        <w:rPr>
          <w:rFonts w:ascii="Arial" w:eastAsia="Arial" w:hAnsi="Arial" w:cs="Arial"/>
          <w:i/>
          <w:iCs/>
          <w:sz w:val="20"/>
          <w:szCs w:val="20"/>
        </w:rPr>
        <w:t xml:space="preserve">de minimis </w:t>
      </w:r>
      <w:r w:rsidRPr="00D30203">
        <w:rPr>
          <w:rFonts w:ascii="Arial" w:eastAsia="Arial" w:hAnsi="Arial" w:cs="Arial"/>
          <w:sz w:val="20"/>
          <w:szCs w:val="20"/>
        </w:rPr>
        <w:t xml:space="preserve">glede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enake upravičene stroške, če bi bile s tem presežene dovoljene meje intenzivnosti državnih pomoči.</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30. 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objava</w:t>
      </w:r>
      <w:proofErr w:type="gramEnd"/>
      <w:r w:rsidRPr="00D30203">
        <w:rPr>
          <w:rFonts w:ascii="Arial" w:eastAsia="Arial" w:hAnsi="Arial" w:cs="Arial"/>
          <w:b/>
          <w:bCs/>
          <w:sz w:val="20"/>
          <w:szCs w:val="20"/>
        </w:rPr>
        <w:t xml:space="preserve"> informacij o shemi državne pomoči in poročanje)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O podporah, ki se dodelijo kot državna pomoč, se poroča v skladu z uredbo, ki ureja posredovanje podatkov in poročanje o dodeljenih državnih pomočeh in pomočeh po pravilu »de minimis«.</w:t>
      </w:r>
    </w:p>
    <w:p w:rsidR="00B21CC9" w:rsidRPr="00D30203" w:rsidRDefault="00B5624C">
      <w:pPr>
        <w:pStyle w:val="center"/>
        <w:pBdr>
          <w:top w:val="none" w:sz="0" w:space="24" w:color="auto"/>
        </w:pBdr>
        <w:spacing w:before="210" w:after="210"/>
        <w:rPr>
          <w:rFonts w:ascii="Arial" w:eastAsia="Arial" w:hAnsi="Arial" w:cs="Arial"/>
          <w:caps/>
          <w:sz w:val="20"/>
          <w:szCs w:val="20"/>
        </w:rPr>
      </w:pPr>
      <w:r w:rsidRPr="00D30203">
        <w:rPr>
          <w:rFonts w:ascii="Arial" w:eastAsia="Arial" w:hAnsi="Arial" w:cs="Arial"/>
          <w:caps/>
          <w:sz w:val="20"/>
          <w:szCs w:val="20"/>
        </w:rPr>
        <w:t>VI. OBVEZNOSTI UPRAVIČENCA</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31. 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obveznosti</w:t>
      </w:r>
      <w:proofErr w:type="gramEnd"/>
      <w:r w:rsidRPr="00D30203">
        <w:rPr>
          <w:rFonts w:ascii="Arial" w:eastAsia="Arial" w:hAnsi="Arial" w:cs="Arial"/>
          <w:b/>
          <w:bCs/>
          <w:sz w:val="20"/>
          <w:szCs w:val="20"/>
        </w:rPr>
        <w:t xml:space="preserve"> upravičenca)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Upravičenec projekta mora ohranjati dejavnost, za namen katere je bila izvedena naložba, za katero je bila javna podpora izplačana v skladu s 65. </w:t>
      </w:r>
      <w:proofErr w:type="gramStart"/>
      <w:r w:rsidRPr="00D30203">
        <w:rPr>
          <w:rFonts w:ascii="Arial" w:eastAsia="Arial" w:hAnsi="Arial" w:cs="Arial"/>
          <w:sz w:val="20"/>
          <w:szCs w:val="20"/>
        </w:rPr>
        <w:t>členom</w:t>
      </w:r>
      <w:proofErr w:type="gramEnd"/>
      <w:r w:rsidRPr="00D30203">
        <w:rPr>
          <w:rFonts w:ascii="Arial" w:eastAsia="Arial" w:hAnsi="Arial" w:cs="Arial"/>
          <w:sz w:val="20"/>
          <w:szCs w:val="20"/>
        </w:rPr>
        <w:t xml:space="preserve"> </w:t>
      </w:r>
      <w:hyperlink r:id="rId67" w:tgtFrame="_blank" w:tooltip="to EUR-Lex" w:history="1">
        <w:r w:rsidRPr="00D30203">
          <w:rPr>
            <w:rFonts w:ascii="Arial" w:eastAsia="Arial" w:hAnsi="Arial" w:cs="Arial"/>
            <w:sz w:val="20"/>
            <w:szCs w:val="20"/>
          </w:rPr>
          <w:t>Uredbe 2021/1060/EU</w:t>
        </w:r>
      </w:hyperlink>
      <w:r w:rsidRPr="00D30203">
        <w:rPr>
          <w:rFonts w:ascii="Arial" w:eastAsia="Arial" w:hAnsi="Arial" w:cs="Arial"/>
          <w:sz w:val="20"/>
          <w:szCs w:val="20"/>
        </w:rPr>
        <w:t>, še najmanj pet koledarskih let po vložitvi zadnjega zahtevka za izplačilo sredstev za podpore za izvajanje projektov v okviru SLR. Kadar je upravičenec MSP, je ta rok 3 leta.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(2) Upravičenec projekta mora po vložitvi vloge omogočiti dostop do dokumentacije o naložbi oziroma projektu ter omogočiti preglede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kraju samem ARSKTRP, MKGP, MKRR, revizijskemu organu, izvajalcu vrednotenja, ki ga pooblastijo organi upravljanja, in drugim nadzornim organom Evropske unije in Republike Slovenije.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(3) Upravičenec projekta in vodilni partner LAS za podporo za upravljanje LAS mora izpolnjevati obveznosti obveščanja javnosti iz 47. </w:t>
      </w:r>
      <w:proofErr w:type="gramStart"/>
      <w:r w:rsidRPr="00D30203">
        <w:rPr>
          <w:rFonts w:ascii="Arial" w:eastAsia="Arial" w:hAnsi="Arial" w:cs="Arial"/>
          <w:sz w:val="20"/>
          <w:szCs w:val="20"/>
        </w:rPr>
        <w:t>in</w:t>
      </w:r>
      <w:proofErr w:type="gramEnd"/>
      <w:r w:rsidRPr="00D30203">
        <w:rPr>
          <w:rFonts w:ascii="Arial" w:eastAsia="Arial" w:hAnsi="Arial" w:cs="Arial"/>
          <w:sz w:val="20"/>
          <w:szCs w:val="20"/>
        </w:rPr>
        <w:t xml:space="preserve"> 50. člena </w:t>
      </w:r>
      <w:hyperlink r:id="rId68" w:tgtFrame="_blank" w:tooltip="to EUR-Lex" w:history="1">
        <w:r w:rsidRPr="00D30203">
          <w:rPr>
            <w:rFonts w:ascii="Arial" w:eastAsia="Arial" w:hAnsi="Arial" w:cs="Arial"/>
            <w:sz w:val="20"/>
            <w:szCs w:val="20"/>
          </w:rPr>
          <w:t>Uredbe 2021/1060/EU</w:t>
        </w:r>
      </w:hyperlink>
      <w:r w:rsidRPr="00D30203">
        <w:rPr>
          <w:rFonts w:ascii="Arial" w:eastAsia="Arial" w:hAnsi="Arial" w:cs="Arial"/>
          <w:sz w:val="20"/>
          <w:szCs w:val="20"/>
        </w:rPr>
        <w:t xml:space="preserve"> ter glede označevanja vira sofinanciranja v skladu s pravilnikom, ki ureja označevanje vira sofinanciranja iz SN SKP 2023–2027, za sklad ESRR pa v skladu z uredbo, ki ureja izvajanje evropske kohezijske politike za programsko obdobje 2021–2027 za cilj naložbe za rast in delovna mesta.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lastRenderedPageBreak/>
        <w:t>(4) Upravičenec projekta in vodilni partner LAS za podporo za upravljanje LAS mora razširjati informacije o rezultatih in dosežkih projekta ter z njimi seznaniti prebivalce območja LAS.</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(5) Upravičenec projekta, ki prejme podporo v skladu s to uredbo, mora vso dokumentacijo, ki je bila podlaga za pridobitev, izplačilo sredstev </w:t>
      </w:r>
      <w:proofErr w:type="gramStart"/>
      <w:r w:rsidRPr="00D30203">
        <w:rPr>
          <w:rFonts w:ascii="Arial" w:eastAsia="Arial" w:hAnsi="Arial" w:cs="Arial"/>
          <w:sz w:val="20"/>
          <w:szCs w:val="20"/>
        </w:rPr>
        <w:t>ali</w:t>
      </w:r>
      <w:proofErr w:type="gramEnd"/>
      <w:r w:rsidRPr="00D30203">
        <w:rPr>
          <w:rFonts w:ascii="Arial" w:eastAsia="Arial" w:hAnsi="Arial" w:cs="Arial"/>
          <w:sz w:val="20"/>
          <w:szCs w:val="20"/>
        </w:rPr>
        <w:t xml:space="preserve"> ugotavljanje izpolnjevanja obveznosti projekta, hraniti še najmanj pet let od dneva zadnjega izplačila sredstev, razen če ni v skladu s shemo državnih pomoči opredeljeno drugače.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(6) Vodilni partner LAS za podporo za upravljanje LAS mora hraniti vso dokumentacijo, ki je bila podlaga za delovanje LAS, določitev vodilnega partnerja LAS in izbor projektov še najmanj pet let po koncu izvajanja SLR.</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32. 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omejitev</w:t>
      </w:r>
      <w:proofErr w:type="gramEnd"/>
      <w:r w:rsidRPr="00D30203">
        <w:rPr>
          <w:rFonts w:ascii="Arial" w:eastAsia="Arial" w:hAnsi="Arial" w:cs="Arial"/>
          <w:b/>
          <w:bCs/>
          <w:sz w:val="20"/>
          <w:szCs w:val="20"/>
        </w:rPr>
        <w:t xml:space="preserve"> podpore)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 Podpora za projekte v okviru SLR se ne dodeli in izplača za tiste upravičene stroške, za katere je upravičenec že prejel sredstva državnega proračuna Republike Slovenije </w:t>
      </w:r>
      <w:proofErr w:type="gramStart"/>
      <w:r w:rsidRPr="00D30203">
        <w:rPr>
          <w:rFonts w:ascii="Arial" w:eastAsia="Arial" w:hAnsi="Arial" w:cs="Arial"/>
          <w:sz w:val="20"/>
          <w:szCs w:val="20"/>
        </w:rPr>
        <w:t>ali</w:t>
      </w:r>
      <w:proofErr w:type="gramEnd"/>
      <w:r w:rsidRPr="00D30203">
        <w:rPr>
          <w:rFonts w:ascii="Arial" w:eastAsia="Arial" w:hAnsi="Arial" w:cs="Arial"/>
          <w:sz w:val="20"/>
          <w:szCs w:val="20"/>
        </w:rPr>
        <w:t xml:space="preserve"> sredstva Evropske unije.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proofErr w:type="gramStart"/>
      <w:r w:rsidRPr="00D30203">
        <w:rPr>
          <w:rFonts w:ascii="Arial" w:eastAsia="Arial" w:hAnsi="Arial" w:cs="Arial"/>
          <w:sz w:val="20"/>
          <w:szCs w:val="20"/>
        </w:rPr>
        <w:t>(2) Če</w:t>
      </w:r>
      <w:proofErr w:type="gramEnd"/>
      <w:r w:rsidRPr="00D30203">
        <w:rPr>
          <w:rFonts w:ascii="Arial" w:eastAsia="Arial" w:hAnsi="Arial" w:cs="Arial"/>
          <w:sz w:val="20"/>
          <w:szCs w:val="20"/>
        </w:rPr>
        <w:t xml:space="preserve"> je upravičenec projekta občina, ki je partnerica LAS, se lastna finančna sredstva sofinanciranja z vidika Evropske unije ne štejejo za že prejeta javna sredstva Republike Slovenije.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(3) V primeru podpore za upravljanje LAS se prispevek občin, ki so partnerice v LAS, z vidika Evropske unije ne šteje kot prejeta javna sredstva Republike Slovenije.</w:t>
      </w:r>
    </w:p>
    <w:p w:rsidR="00B21CC9" w:rsidRPr="00D30203" w:rsidRDefault="00B5624C">
      <w:pPr>
        <w:pStyle w:val="center"/>
        <w:pBdr>
          <w:top w:val="none" w:sz="0" w:space="24" w:color="auto"/>
        </w:pBdr>
        <w:spacing w:before="210" w:after="210"/>
        <w:rPr>
          <w:rFonts w:ascii="Arial" w:eastAsia="Arial" w:hAnsi="Arial" w:cs="Arial"/>
          <w:caps/>
          <w:sz w:val="20"/>
          <w:szCs w:val="20"/>
        </w:rPr>
      </w:pPr>
      <w:r w:rsidRPr="00D30203">
        <w:rPr>
          <w:rFonts w:ascii="Arial" w:eastAsia="Arial" w:hAnsi="Arial" w:cs="Arial"/>
          <w:caps/>
          <w:sz w:val="20"/>
          <w:szCs w:val="20"/>
        </w:rPr>
        <w:t>VII. SPREMLJANJE, VREDNOTENJE TER SPREMEMBE SLR</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33. 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spremljanje</w:t>
      </w:r>
      <w:proofErr w:type="gramEnd"/>
      <w:r w:rsidRPr="00D30203">
        <w:rPr>
          <w:rFonts w:ascii="Arial" w:eastAsia="Arial" w:hAnsi="Arial" w:cs="Arial"/>
          <w:b/>
          <w:bCs/>
          <w:sz w:val="20"/>
          <w:szCs w:val="20"/>
        </w:rPr>
        <w:t xml:space="preserve"> in vrednotenje SLR)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LAS mora vzpostaviti sistem spremljanja in vrednotenja SLR ter zagotoviti vse potrebne informacije, potrebne za omogočanje spremljanja in vrednotenja SN SKP 2023–2027 in Programa EKP 2021–2027.</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(2) LAS mora spremljati izvajanje projektov v okviru SLR in o tem poročati organoma upravljanja.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(3) LAS lahko nalogo vrednotenja SLR iz 11. </w:t>
      </w:r>
      <w:proofErr w:type="gramStart"/>
      <w:r w:rsidRPr="00D30203">
        <w:rPr>
          <w:rFonts w:ascii="Arial" w:eastAsia="Arial" w:hAnsi="Arial" w:cs="Arial"/>
          <w:sz w:val="20"/>
          <w:szCs w:val="20"/>
        </w:rPr>
        <w:t>in</w:t>
      </w:r>
      <w:proofErr w:type="gramEnd"/>
      <w:r w:rsidRPr="00D30203">
        <w:rPr>
          <w:rFonts w:ascii="Arial" w:eastAsia="Arial" w:hAnsi="Arial" w:cs="Arial"/>
          <w:sz w:val="20"/>
          <w:szCs w:val="20"/>
        </w:rPr>
        <w:t xml:space="preserve"> 12. </w:t>
      </w:r>
      <w:proofErr w:type="gramStart"/>
      <w:r w:rsidRPr="00D30203">
        <w:rPr>
          <w:rFonts w:ascii="Arial" w:eastAsia="Arial" w:hAnsi="Arial" w:cs="Arial"/>
          <w:sz w:val="20"/>
          <w:szCs w:val="20"/>
        </w:rPr>
        <w:t>točke</w:t>
      </w:r>
      <w:proofErr w:type="gramEnd"/>
      <w:r w:rsidRPr="00D30203">
        <w:rPr>
          <w:rFonts w:ascii="Arial" w:eastAsia="Arial" w:hAnsi="Arial" w:cs="Arial"/>
          <w:sz w:val="20"/>
          <w:szCs w:val="20"/>
        </w:rPr>
        <w:t xml:space="preserve"> 21. 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 opravi sam ali jo prenese na zunanjega neodvisnega izvajalca.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(4) Organa upravljanja v sodelovanju z LAS vzpostavita sistem usklajenega spremljanja in vrednotenja SLR.</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34. 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sprememba</w:t>
      </w:r>
      <w:proofErr w:type="gramEnd"/>
      <w:r w:rsidRPr="00D30203">
        <w:rPr>
          <w:rFonts w:ascii="Arial" w:eastAsia="Arial" w:hAnsi="Arial" w:cs="Arial"/>
          <w:b/>
          <w:bCs/>
          <w:sz w:val="20"/>
          <w:szCs w:val="20"/>
        </w:rPr>
        <w:t xml:space="preserve"> strategij lokalnega razvoja)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lastRenderedPageBreak/>
        <w:t xml:space="preserve">(1) LAS lahko enkrat letno predlaga spremembo SLR, potrjeno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podlagi uredbe, ki ureja delovanje LAS in potrditev SLR. Predlagane spremembe SLR morajo izhajati iz spremenjenih okoliščin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območju LAS. Vse spremembe mora ustrezno utemeljiti in navesti zlasti predvideni vpliv sprememb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doseganje ciljev, zastavljenih v SLR.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(2) LAS vlogo iz prejšnjega odstavka vloži v elektronski obliki, podpisano s kvalificiranim elektronskim podpisom,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naslov gp.mkgp@gov.si.</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(3) Spremembe SLR obravnava MDS CLLD. Odločbo o potrditvi oziroma zavrnitvi spremembe SLR izda MKGP po postopku, določenem v predpisu o delovanju LAS in potrditvi SLR.</w:t>
      </w:r>
    </w:p>
    <w:p w:rsidR="00B21CC9" w:rsidRPr="00D30203" w:rsidRDefault="00B5624C">
      <w:pPr>
        <w:pStyle w:val="center"/>
        <w:pBdr>
          <w:top w:val="none" w:sz="0" w:space="24" w:color="auto"/>
        </w:pBdr>
        <w:spacing w:before="210" w:after="210"/>
        <w:rPr>
          <w:rFonts w:ascii="Arial" w:eastAsia="Arial" w:hAnsi="Arial" w:cs="Arial"/>
          <w:caps/>
          <w:sz w:val="20"/>
          <w:szCs w:val="20"/>
        </w:rPr>
      </w:pPr>
      <w:r w:rsidRPr="00D30203">
        <w:rPr>
          <w:rFonts w:ascii="Arial" w:eastAsia="Arial" w:hAnsi="Arial" w:cs="Arial"/>
          <w:caps/>
          <w:sz w:val="20"/>
          <w:szCs w:val="20"/>
        </w:rPr>
        <w:t>VIII. SISTEM KONTROL</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35. 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kontrolni</w:t>
      </w:r>
      <w:proofErr w:type="gramEnd"/>
      <w:r w:rsidRPr="00D30203">
        <w:rPr>
          <w:rFonts w:ascii="Arial" w:eastAsia="Arial" w:hAnsi="Arial" w:cs="Arial"/>
          <w:b/>
          <w:bCs/>
          <w:sz w:val="20"/>
          <w:szCs w:val="20"/>
        </w:rPr>
        <w:t xml:space="preserve"> sistem in splošna načela v zvezi s pregledi)</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ARSKTRP v skladu s 60. </w:t>
      </w:r>
      <w:proofErr w:type="gramStart"/>
      <w:r w:rsidRPr="00D30203">
        <w:rPr>
          <w:rFonts w:ascii="Arial" w:eastAsia="Arial" w:hAnsi="Arial" w:cs="Arial"/>
          <w:sz w:val="20"/>
          <w:szCs w:val="20"/>
        </w:rPr>
        <w:t>členom</w:t>
      </w:r>
      <w:proofErr w:type="gramEnd"/>
      <w:r w:rsidRPr="00D30203">
        <w:rPr>
          <w:rFonts w:ascii="Arial" w:eastAsia="Arial" w:hAnsi="Arial" w:cs="Arial"/>
          <w:sz w:val="20"/>
          <w:szCs w:val="20"/>
        </w:rPr>
        <w:t xml:space="preserve"> </w:t>
      </w:r>
      <w:hyperlink r:id="rId69" w:tgtFrame="_blank" w:tooltip="to EUR-Lex" w:history="1">
        <w:r w:rsidRPr="00D30203">
          <w:rPr>
            <w:rFonts w:ascii="Arial" w:eastAsia="Arial" w:hAnsi="Arial" w:cs="Arial"/>
            <w:sz w:val="20"/>
            <w:szCs w:val="20"/>
          </w:rPr>
          <w:t>Uredbe 2021/2116/EU, 36. členom</w:t>
        </w:r>
      </w:hyperlink>
      <w:r w:rsidRPr="00D30203">
        <w:rPr>
          <w:rFonts w:ascii="Arial" w:eastAsia="Arial" w:hAnsi="Arial" w:cs="Arial"/>
          <w:sz w:val="20"/>
          <w:szCs w:val="20"/>
        </w:rPr>
        <w:t xml:space="preserve"> </w:t>
      </w:r>
      <w:hyperlink r:id="rId70" w:tgtFrame="_blank" w:tooltip="to EUR-Lex" w:history="1">
        <w:r w:rsidRPr="00D30203">
          <w:rPr>
            <w:rFonts w:ascii="Arial" w:eastAsia="Arial" w:hAnsi="Arial" w:cs="Arial"/>
            <w:sz w:val="20"/>
            <w:szCs w:val="20"/>
          </w:rPr>
          <w:t>Uredbe 2018/1046/EU</w:t>
        </w:r>
      </w:hyperlink>
      <w:r w:rsidRPr="00D30203">
        <w:rPr>
          <w:rFonts w:ascii="Arial" w:eastAsia="Arial" w:hAnsi="Arial" w:cs="Arial"/>
          <w:sz w:val="20"/>
          <w:szCs w:val="20"/>
        </w:rPr>
        <w:t xml:space="preserve"> in zakonom, ki ureja kmetijstvo, vzpostavi kontrolni sistem, katerega namen je, da se podpora dodeli upravičencem, ki izpolnjujejo pogoje upravičenosti ter druge obveznosti v zvezi z vložitvijo vloge in vložitvijo zahtevka za izplačilo sredstev, da so kršilci pravil sankcionirani v skladu s to uredbo ter da se neupravičeno izplačani zneski izterjajo.</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(2) MKRR opravlja upravljalna preverjanja v skladu s 74. </w:t>
      </w:r>
      <w:proofErr w:type="gramStart"/>
      <w:r w:rsidRPr="00D30203">
        <w:rPr>
          <w:rFonts w:ascii="Arial" w:eastAsia="Arial" w:hAnsi="Arial" w:cs="Arial"/>
          <w:sz w:val="20"/>
          <w:szCs w:val="20"/>
        </w:rPr>
        <w:t>členom</w:t>
      </w:r>
      <w:proofErr w:type="gramEnd"/>
      <w:r w:rsidRPr="00D30203">
        <w:rPr>
          <w:rFonts w:ascii="Arial" w:eastAsia="Arial" w:hAnsi="Arial" w:cs="Arial"/>
          <w:sz w:val="20"/>
          <w:szCs w:val="20"/>
        </w:rPr>
        <w:t xml:space="preserve"> </w:t>
      </w:r>
      <w:hyperlink r:id="rId71" w:tgtFrame="_blank" w:tooltip="to EUR-Lex" w:history="1">
        <w:r w:rsidRPr="00D30203">
          <w:rPr>
            <w:rFonts w:ascii="Arial" w:eastAsia="Arial" w:hAnsi="Arial" w:cs="Arial"/>
            <w:sz w:val="20"/>
            <w:szCs w:val="20"/>
          </w:rPr>
          <w:t>Uredbe 2021/1060/EU</w:t>
        </w:r>
      </w:hyperlink>
      <w:r w:rsidRPr="00D30203">
        <w:rPr>
          <w:rFonts w:ascii="Arial" w:eastAsia="Arial" w:hAnsi="Arial" w:cs="Arial"/>
          <w:sz w:val="20"/>
          <w:szCs w:val="20"/>
        </w:rPr>
        <w:t xml:space="preserve"> ter v skladu s z uredbo, ki ureja izvajanje evropske kohezijske politike za programsko obdobje 2021–2027 za cilj naložbe za rast in delovna mesta.</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(3) Kontrolni sistem iz prvega odstavka tega člena za sklad EKSRP je sestavljen iz postopkov upravnih pregledov in postopkov pregledov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kraju samem, s katerimi je mogoče ugotoviti vsa dejstva in okoliščine, pomembne za odločitev glede vlog, zahtevkov za izplačilo sredstev in izpolnjevanja obveznosti iz odločbe o pravici do sredstev.</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(4) Podrobneje je kontrolni sistem, vključno s splošnimi načeli v zvezi s pregledi za sklad EKSRP, določen v Prilogi 3, ki je sestavni </w:t>
      </w:r>
      <w:proofErr w:type="gramStart"/>
      <w:r w:rsidRPr="00D30203">
        <w:rPr>
          <w:rFonts w:ascii="Arial" w:eastAsia="Arial" w:hAnsi="Arial" w:cs="Arial"/>
          <w:sz w:val="20"/>
          <w:szCs w:val="20"/>
        </w:rPr>
        <w:t>del</w:t>
      </w:r>
      <w:proofErr w:type="gramEnd"/>
      <w:r w:rsidRPr="00D30203">
        <w:rPr>
          <w:rFonts w:ascii="Arial" w:eastAsia="Arial" w:hAnsi="Arial" w:cs="Arial"/>
          <w:sz w:val="20"/>
          <w:szCs w:val="20"/>
        </w:rPr>
        <w:t xml:space="preserve"> te uredbe.</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36. 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klavzula</w:t>
      </w:r>
      <w:proofErr w:type="gramEnd"/>
      <w:r w:rsidRPr="00D30203">
        <w:rPr>
          <w:rFonts w:ascii="Arial" w:eastAsia="Arial" w:hAnsi="Arial" w:cs="Arial"/>
          <w:b/>
          <w:bCs/>
          <w:sz w:val="20"/>
          <w:szCs w:val="20"/>
        </w:rPr>
        <w:t xml:space="preserve"> o izogibanju)</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V skladu z 62. </w:t>
      </w:r>
      <w:proofErr w:type="gramStart"/>
      <w:r w:rsidRPr="00D30203">
        <w:rPr>
          <w:rFonts w:ascii="Arial" w:eastAsia="Arial" w:hAnsi="Arial" w:cs="Arial"/>
          <w:sz w:val="20"/>
          <w:szCs w:val="20"/>
        </w:rPr>
        <w:t>členom</w:t>
      </w:r>
      <w:proofErr w:type="gramEnd"/>
      <w:r w:rsidRPr="00D30203">
        <w:rPr>
          <w:rFonts w:ascii="Arial" w:eastAsia="Arial" w:hAnsi="Arial" w:cs="Arial"/>
          <w:sz w:val="20"/>
          <w:szCs w:val="20"/>
        </w:rPr>
        <w:t xml:space="preserve"> </w:t>
      </w:r>
      <w:hyperlink r:id="rId72" w:tgtFrame="_blank" w:tooltip="to EUR-Lex" w:history="1">
        <w:r w:rsidRPr="00D30203">
          <w:rPr>
            <w:rFonts w:ascii="Arial" w:eastAsia="Arial" w:hAnsi="Arial" w:cs="Arial"/>
            <w:sz w:val="20"/>
            <w:szCs w:val="20"/>
          </w:rPr>
          <w:t>Uredbe 2021/2116/EU</w:t>
        </w:r>
      </w:hyperlink>
      <w:r w:rsidRPr="00D30203">
        <w:rPr>
          <w:rFonts w:ascii="Arial" w:eastAsia="Arial" w:hAnsi="Arial" w:cs="Arial"/>
          <w:sz w:val="20"/>
          <w:szCs w:val="20"/>
        </w:rPr>
        <w:t xml:space="preserve"> ARSKTRP ne odobri vloge ali zahtevka za izplačilo sredstev, če ugotovi, da je upravičenec pogoje za pridobitev oziroma izplačilo sredstev ustvaril umetno v nasprotju s cilji podpor.</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(2) V primeru iz prejšnjega odstavka je upravičenec izključen iz prejemanja podpore v okviru iste podpore za koledarsko </w:t>
      </w:r>
      <w:proofErr w:type="gramStart"/>
      <w:r w:rsidRPr="00D30203">
        <w:rPr>
          <w:rFonts w:ascii="Arial" w:eastAsia="Arial" w:hAnsi="Arial" w:cs="Arial"/>
          <w:sz w:val="20"/>
          <w:szCs w:val="20"/>
        </w:rPr>
        <w:t>leto</w:t>
      </w:r>
      <w:proofErr w:type="gramEnd"/>
      <w:r w:rsidRPr="00D30203">
        <w:rPr>
          <w:rFonts w:ascii="Arial" w:eastAsia="Arial" w:hAnsi="Arial" w:cs="Arial"/>
          <w:sz w:val="20"/>
          <w:szCs w:val="20"/>
        </w:rPr>
        <w:t xml:space="preserve"> ugotovitve in naslednje koledarsko leto.</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(3) Za namen preverjanja umetno ustvarjenih pogojev iz prvega odstavka tega člena lahko ARSKTRP izvede tudi preglede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kraju samem.</w:t>
      </w:r>
    </w:p>
    <w:p w:rsidR="00B21CC9" w:rsidRPr="00D30203" w:rsidRDefault="00B5624C">
      <w:pPr>
        <w:pStyle w:val="center"/>
        <w:pBdr>
          <w:top w:val="none" w:sz="0" w:space="24" w:color="auto"/>
        </w:pBdr>
        <w:spacing w:before="210" w:after="210"/>
        <w:rPr>
          <w:rFonts w:ascii="Arial" w:eastAsia="Arial" w:hAnsi="Arial" w:cs="Arial"/>
          <w:caps/>
          <w:sz w:val="20"/>
          <w:szCs w:val="20"/>
        </w:rPr>
      </w:pPr>
      <w:r w:rsidRPr="00D30203">
        <w:rPr>
          <w:rFonts w:ascii="Arial" w:eastAsia="Arial" w:hAnsi="Arial" w:cs="Arial"/>
          <w:caps/>
          <w:sz w:val="20"/>
          <w:szCs w:val="20"/>
        </w:rPr>
        <w:lastRenderedPageBreak/>
        <w:t>IX. SANKCIJE IN VIŠJA SILA</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37. 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sankcije</w:t>
      </w:r>
      <w:proofErr w:type="gramEnd"/>
      <w:r w:rsidRPr="00D30203">
        <w:rPr>
          <w:rFonts w:ascii="Arial" w:eastAsia="Arial" w:hAnsi="Arial" w:cs="Arial"/>
          <w:b/>
          <w:bCs/>
          <w:sz w:val="20"/>
          <w:szCs w:val="20"/>
        </w:rPr>
        <w:t xml:space="preserve"> za neizpolnjevanje obveznosti)</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 Upravne sankcije za sklad EKSRP se izvedejo v skladu z 59. </w:t>
      </w:r>
      <w:proofErr w:type="gramStart"/>
      <w:r w:rsidRPr="00D30203">
        <w:rPr>
          <w:rFonts w:ascii="Arial" w:eastAsia="Arial" w:hAnsi="Arial" w:cs="Arial"/>
          <w:sz w:val="20"/>
          <w:szCs w:val="20"/>
        </w:rPr>
        <w:t>in</w:t>
      </w:r>
      <w:proofErr w:type="gramEnd"/>
      <w:r w:rsidRPr="00D30203">
        <w:rPr>
          <w:rFonts w:ascii="Arial" w:eastAsia="Arial" w:hAnsi="Arial" w:cs="Arial"/>
          <w:sz w:val="20"/>
          <w:szCs w:val="20"/>
        </w:rPr>
        <w:t xml:space="preserve"> 61. </w:t>
      </w:r>
      <w:proofErr w:type="gramStart"/>
      <w:r w:rsidRPr="00D30203">
        <w:rPr>
          <w:rFonts w:ascii="Arial" w:eastAsia="Arial" w:hAnsi="Arial" w:cs="Arial"/>
          <w:sz w:val="20"/>
          <w:szCs w:val="20"/>
        </w:rPr>
        <w:t>členom</w:t>
      </w:r>
      <w:proofErr w:type="gramEnd"/>
      <w:r w:rsidRPr="00D30203">
        <w:rPr>
          <w:rFonts w:ascii="Arial" w:eastAsia="Arial" w:hAnsi="Arial" w:cs="Arial"/>
          <w:sz w:val="20"/>
          <w:szCs w:val="20"/>
        </w:rPr>
        <w:t xml:space="preserve"> </w:t>
      </w:r>
      <w:hyperlink r:id="rId73" w:tgtFrame="_blank" w:tooltip="to EUR-Lex" w:history="1">
        <w:r w:rsidRPr="00D30203">
          <w:rPr>
            <w:rFonts w:ascii="Arial" w:eastAsia="Arial" w:hAnsi="Arial" w:cs="Arial"/>
            <w:sz w:val="20"/>
            <w:szCs w:val="20"/>
          </w:rPr>
          <w:t>Uredbe 2021/2116/EU</w:t>
        </w:r>
      </w:hyperlink>
      <w:r w:rsidRPr="00D30203">
        <w:rPr>
          <w:rFonts w:ascii="Arial" w:eastAsia="Arial" w:hAnsi="Arial" w:cs="Arial"/>
          <w:sz w:val="20"/>
          <w:szCs w:val="20"/>
        </w:rPr>
        <w:t>, določbami zakona, ki ureja kmetijstvo, in določbami te uredbe.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(2) Neizpolnjevanje in kršitev obveznosti, sofinanciranih iz naslova ESRR, se sankcionira v skladu z </w:t>
      </w:r>
      <w:hyperlink r:id="rId74" w:tgtFrame="_blank" w:tooltip="to EUR-Lex" w:history="1">
        <w:r w:rsidRPr="00D30203">
          <w:rPr>
            <w:rFonts w:ascii="Arial" w:eastAsia="Arial" w:hAnsi="Arial" w:cs="Arial"/>
            <w:sz w:val="20"/>
            <w:szCs w:val="20"/>
          </w:rPr>
          <w:t>Uredbo 2021/1060/EU</w:t>
        </w:r>
      </w:hyperlink>
      <w:r w:rsidRPr="00D30203">
        <w:rPr>
          <w:rFonts w:ascii="Arial" w:eastAsia="Arial" w:hAnsi="Arial" w:cs="Arial"/>
          <w:sz w:val="20"/>
          <w:szCs w:val="20"/>
        </w:rPr>
        <w:t>.</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(3) Upravičenec, ki ne hrani dokumentacije, mora za sklad EKSRP v proračun Republike Slovenije vrniti 10 % izplačanih sredstev skupaj z zakonitimi zamudnimi obrestmi, za sklad ESRR pa vsa izplačana sredstva ali njihov sorazmerni del.</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(4) Če upravičenec ne doseže ciljev in kazalnikov projekta, kot je to opredelil v vlogi, se mu obseg podpore v sorazmernem deležu zniža, kar pomeni, da se mu zniža delež podpore v enakem odstotku, kot ni bil dosežen zastavljeni cilj.</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(5) Kadar upravičenec projekta v okviru SLR ne izvede v skladu z odločbo o pravici do sredstev oziroma pogodbo o sofinanciranju in krši določbe 7.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 se mu sredstva ne izplačajo.</w:t>
      </w:r>
    </w:p>
    <w:p w:rsidR="00B21CC9" w:rsidRPr="00D30203" w:rsidRDefault="00B5624C">
      <w:pPr>
        <w:pStyle w:val="zamik"/>
        <w:pBdr>
          <w:top w:val="none" w:sz="0" w:space="12" w:color="auto"/>
        </w:pBdr>
        <w:spacing w:before="210" w:after="210"/>
        <w:jc w:val="both"/>
        <w:rPr>
          <w:rFonts w:ascii="Arial" w:eastAsia="Arial" w:hAnsi="Arial" w:cs="Arial"/>
          <w:sz w:val="20"/>
          <w:szCs w:val="20"/>
        </w:rPr>
      </w:pPr>
      <w:proofErr w:type="gramStart"/>
      <w:r w:rsidRPr="00D30203">
        <w:rPr>
          <w:rFonts w:ascii="Arial" w:eastAsia="Arial" w:hAnsi="Arial" w:cs="Arial"/>
          <w:sz w:val="20"/>
          <w:szCs w:val="20"/>
        </w:rPr>
        <w:t>(6) Če upravičenec zamudi 30-dnevni rok za odstop od izvedbe projekta, ki teče od vročitve odločbe o pravici do sredstev ali podpisa pogodbe o sofinanciranju, ali rok za vložitev zahtevka za izplačilo, ki je določen v odločbi o pravici do sredstev ali v pogodbi o sofinanciranju, ni upravičen do sredstev iz naslova podpore za izvajanje projektov v okviru SLR, za koledarsko leto neizpolnitve obveznosti in naslednje koledarsko leto.</w:t>
      </w:r>
      <w:proofErr w:type="gramEnd"/>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(7) Upravičenec, ki uvede bistvene spremembe, določene v 65. členu </w:t>
      </w:r>
      <w:hyperlink r:id="rId75" w:tgtFrame="_blank" w:tooltip="to EUR-Lex" w:history="1">
        <w:r w:rsidRPr="00D30203">
          <w:rPr>
            <w:rFonts w:ascii="Arial" w:eastAsia="Arial" w:hAnsi="Arial" w:cs="Arial"/>
            <w:sz w:val="20"/>
            <w:szCs w:val="20"/>
          </w:rPr>
          <w:t>Uredbe 2021/1060/EU</w:t>
        </w:r>
      </w:hyperlink>
      <w:r w:rsidRPr="00D30203">
        <w:rPr>
          <w:rFonts w:ascii="Arial" w:eastAsia="Arial" w:hAnsi="Arial" w:cs="Arial"/>
          <w:sz w:val="20"/>
          <w:szCs w:val="20"/>
        </w:rPr>
        <w:t>, odtuji predmet podpore ali predmet podpore uporablja v nasprotju z namenom, za katerega je prejel javno podporo, mora vsa izplačana sredstva vrniti v proračun Republike Slovenije skupaj z zakonitimi zamudnimi obrestmi oziroma se mu obseg podpore zniža skladno s 65. </w:t>
      </w:r>
      <w:proofErr w:type="gramStart"/>
      <w:r w:rsidRPr="00D30203">
        <w:rPr>
          <w:rFonts w:ascii="Arial" w:eastAsia="Arial" w:hAnsi="Arial" w:cs="Arial"/>
          <w:sz w:val="20"/>
          <w:szCs w:val="20"/>
        </w:rPr>
        <w:t>členom</w:t>
      </w:r>
      <w:proofErr w:type="gramEnd"/>
      <w:r w:rsidRPr="00D30203">
        <w:rPr>
          <w:rFonts w:ascii="Arial" w:eastAsia="Arial" w:hAnsi="Arial" w:cs="Arial"/>
          <w:sz w:val="20"/>
          <w:szCs w:val="20"/>
        </w:rPr>
        <w:t xml:space="preserve"> </w:t>
      </w:r>
      <w:hyperlink r:id="rId76" w:tgtFrame="_blank" w:tooltip="to EUR-Lex" w:history="1">
        <w:r w:rsidRPr="00D30203">
          <w:rPr>
            <w:rFonts w:ascii="Arial" w:eastAsia="Arial" w:hAnsi="Arial" w:cs="Arial"/>
            <w:sz w:val="20"/>
            <w:szCs w:val="20"/>
          </w:rPr>
          <w:t>Uredbe 2021/1060/EU</w:t>
        </w:r>
      </w:hyperlink>
      <w:r w:rsidRPr="00D30203">
        <w:rPr>
          <w:rFonts w:ascii="Arial" w:eastAsia="Arial" w:hAnsi="Arial" w:cs="Arial"/>
          <w:sz w:val="20"/>
          <w:szCs w:val="20"/>
        </w:rPr>
        <w:t>.</w:t>
      </w:r>
    </w:p>
    <w:p w:rsidR="00B21CC9" w:rsidRPr="00D30203" w:rsidRDefault="00B5624C">
      <w:pPr>
        <w:pStyle w:val="zamik"/>
        <w:pBdr>
          <w:top w:val="none" w:sz="0" w:space="12" w:color="auto"/>
        </w:pBdr>
        <w:spacing w:before="210" w:after="210"/>
        <w:jc w:val="both"/>
        <w:rPr>
          <w:rFonts w:ascii="Arial" w:eastAsia="Arial" w:hAnsi="Arial" w:cs="Arial"/>
          <w:sz w:val="20"/>
          <w:szCs w:val="20"/>
        </w:rPr>
      </w:pPr>
      <w:proofErr w:type="gramStart"/>
      <w:r w:rsidRPr="00D30203">
        <w:rPr>
          <w:rFonts w:ascii="Arial" w:eastAsia="Arial" w:hAnsi="Arial" w:cs="Arial"/>
          <w:sz w:val="20"/>
          <w:szCs w:val="20"/>
        </w:rPr>
        <w:t>(8) Če</w:t>
      </w:r>
      <w:proofErr w:type="gramEnd"/>
      <w:r w:rsidRPr="00D30203">
        <w:rPr>
          <w:rFonts w:ascii="Arial" w:eastAsia="Arial" w:hAnsi="Arial" w:cs="Arial"/>
          <w:sz w:val="20"/>
          <w:szCs w:val="20"/>
        </w:rPr>
        <w:t xml:space="preserve"> se ugotovi, da je upravičenec namerno vložil napačno vlogo iz 25.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 ali zahtevek za izplačilo iz 26.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 (navajanje lažnih podatkov, izjav), mora v proračun Republike Slovenije vrniti vsa izplačana sredstva skupaj z zakonitimi zamudnimi obrestmi. Upravičenec je izključen iz posamezne podpore za koledarsko </w:t>
      </w:r>
      <w:proofErr w:type="gramStart"/>
      <w:r w:rsidRPr="00D30203">
        <w:rPr>
          <w:rFonts w:ascii="Arial" w:eastAsia="Arial" w:hAnsi="Arial" w:cs="Arial"/>
          <w:sz w:val="20"/>
          <w:szCs w:val="20"/>
        </w:rPr>
        <w:t>leto</w:t>
      </w:r>
      <w:proofErr w:type="gramEnd"/>
      <w:r w:rsidRPr="00D30203">
        <w:rPr>
          <w:rFonts w:ascii="Arial" w:eastAsia="Arial" w:hAnsi="Arial" w:cs="Arial"/>
          <w:sz w:val="20"/>
          <w:szCs w:val="20"/>
        </w:rPr>
        <w:t xml:space="preserve"> neizpolnitve obveznosti in naslednje koledarsko leto.</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(9) Če upravičenec, ki uveljavlja predplačilo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podlagi prvega odstavka 10.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1. </w:t>
      </w:r>
      <w:proofErr w:type="gramStart"/>
      <w:r w:rsidRPr="00D30203">
        <w:rPr>
          <w:rFonts w:ascii="Arial" w:eastAsia="Arial" w:hAnsi="Arial" w:cs="Arial"/>
          <w:sz w:val="20"/>
          <w:szCs w:val="20"/>
        </w:rPr>
        <w:t>ne</w:t>
      </w:r>
      <w:proofErr w:type="gramEnd"/>
      <w:r w:rsidRPr="00D30203">
        <w:rPr>
          <w:rFonts w:ascii="Arial" w:eastAsia="Arial" w:hAnsi="Arial" w:cs="Arial"/>
          <w:sz w:val="20"/>
          <w:szCs w:val="20"/>
        </w:rPr>
        <w:t xml:space="preserve"> vloži zahtevka za izplačilo sredstev v skladu z drugim odstavkom 10.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te uredbe, mora v proračun Republike Slovenije vrniti izplačana sredstva v višini predplačila;</w:t>
      </w:r>
    </w:p>
    <w:p w:rsidR="00B21CC9" w:rsidRPr="00D30203" w:rsidRDefault="00B5624C">
      <w:pPr>
        <w:pStyle w:val="zamik"/>
        <w:spacing w:before="210" w:after="210"/>
        <w:ind w:left="425" w:hanging="425"/>
        <w:jc w:val="both"/>
        <w:rPr>
          <w:rFonts w:ascii="Arial" w:eastAsia="Arial" w:hAnsi="Arial" w:cs="Arial"/>
          <w:sz w:val="20"/>
          <w:szCs w:val="20"/>
        </w:rPr>
      </w:pPr>
      <w:r w:rsidRPr="00D30203">
        <w:rPr>
          <w:rFonts w:ascii="Arial" w:eastAsia="Arial" w:hAnsi="Arial" w:cs="Arial"/>
          <w:sz w:val="20"/>
          <w:szCs w:val="20"/>
        </w:rPr>
        <w:t>2. </w:t>
      </w:r>
      <w:proofErr w:type="gramStart"/>
      <w:r w:rsidRPr="00D30203">
        <w:rPr>
          <w:rFonts w:ascii="Arial" w:eastAsia="Arial" w:hAnsi="Arial" w:cs="Arial"/>
          <w:sz w:val="20"/>
          <w:szCs w:val="20"/>
        </w:rPr>
        <w:t>z</w:t>
      </w:r>
      <w:proofErr w:type="gramEnd"/>
      <w:r w:rsidRPr="00D30203">
        <w:rPr>
          <w:rFonts w:ascii="Arial" w:eastAsia="Arial" w:hAnsi="Arial" w:cs="Arial"/>
          <w:sz w:val="20"/>
          <w:szCs w:val="20"/>
        </w:rPr>
        <w:t xml:space="preserve"> zahtevkom za izplačilo sredstev ne izkaže upravičenih stroškov v višini predplačila, mora v proračun Republike Slovenije vrniti razliko med višino izplačanega predplačila in izkazanimi upravičenimi stroški.</w:t>
      </w:r>
    </w:p>
    <w:p w:rsidR="00B21CC9" w:rsidRPr="00D30203" w:rsidRDefault="00B5624C">
      <w:pPr>
        <w:pStyle w:val="zamik"/>
        <w:pBdr>
          <w:top w:val="none" w:sz="0" w:space="12" w:color="auto"/>
        </w:pBdr>
        <w:spacing w:before="210" w:after="210"/>
        <w:jc w:val="both"/>
        <w:rPr>
          <w:rFonts w:ascii="Arial" w:eastAsia="Arial" w:hAnsi="Arial" w:cs="Arial"/>
          <w:sz w:val="20"/>
          <w:szCs w:val="20"/>
        </w:rPr>
      </w:pPr>
      <w:proofErr w:type="gramStart"/>
      <w:r w:rsidRPr="00D30203">
        <w:rPr>
          <w:rFonts w:ascii="Arial" w:eastAsia="Arial" w:hAnsi="Arial" w:cs="Arial"/>
          <w:sz w:val="20"/>
          <w:szCs w:val="20"/>
        </w:rPr>
        <w:t>(10) Če</w:t>
      </w:r>
      <w:proofErr w:type="gramEnd"/>
      <w:r w:rsidRPr="00D30203">
        <w:rPr>
          <w:rFonts w:ascii="Arial" w:eastAsia="Arial" w:hAnsi="Arial" w:cs="Arial"/>
          <w:sz w:val="20"/>
          <w:szCs w:val="20"/>
        </w:rPr>
        <w:t xml:space="preserve"> LAS ne opravlja nalog, povezanih z upravljanjem LAS, pristojni organ, določen v 3. </w:t>
      </w:r>
      <w:proofErr w:type="gramStart"/>
      <w:r w:rsidRPr="00D30203">
        <w:rPr>
          <w:rFonts w:ascii="Arial" w:eastAsia="Arial" w:hAnsi="Arial" w:cs="Arial"/>
          <w:sz w:val="20"/>
          <w:szCs w:val="20"/>
        </w:rPr>
        <w:t>členu</w:t>
      </w:r>
      <w:proofErr w:type="gramEnd"/>
      <w:r w:rsidRPr="00D30203">
        <w:rPr>
          <w:rFonts w:ascii="Arial" w:eastAsia="Arial" w:hAnsi="Arial" w:cs="Arial"/>
          <w:sz w:val="20"/>
          <w:szCs w:val="20"/>
        </w:rPr>
        <w:t xml:space="preserve"> te uredbe, od LAS oziroma vodilnega partnerja LAS zahteva odpravo teh pomanjkljivosti. Če pristojni organ ugotovi, da LAS oziroma vodilni partner LAS pomanjkljivosti </w:t>
      </w:r>
      <w:proofErr w:type="gramStart"/>
      <w:r w:rsidRPr="00D30203">
        <w:rPr>
          <w:rFonts w:ascii="Arial" w:eastAsia="Arial" w:hAnsi="Arial" w:cs="Arial"/>
          <w:sz w:val="20"/>
          <w:szCs w:val="20"/>
        </w:rPr>
        <w:t>ni</w:t>
      </w:r>
      <w:proofErr w:type="gramEnd"/>
      <w:r w:rsidRPr="00D30203">
        <w:rPr>
          <w:rFonts w:ascii="Arial" w:eastAsia="Arial" w:hAnsi="Arial" w:cs="Arial"/>
          <w:sz w:val="20"/>
          <w:szCs w:val="20"/>
        </w:rPr>
        <w:t xml:space="preserve"> odpravil, se mu do odprave pomanjkljivosti ustavi izplačilo iz naslova podpore za upravljanje LAS.</w:t>
      </w:r>
    </w:p>
    <w:p w:rsidR="00B21CC9" w:rsidRPr="00D30203" w:rsidRDefault="00B5624C">
      <w:pPr>
        <w:pStyle w:val="zamik"/>
        <w:pBdr>
          <w:top w:val="none" w:sz="0" w:space="12" w:color="auto"/>
        </w:pBdr>
        <w:spacing w:before="210" w:after="210"/>
        <w:jc w:val="both"/>
        <w:rPr>
          <w:rFonts w:ascii="Arial" w:eastAsia="Arial" w:hAnsi="Arial" w:cs="Arial"/>
          <w:sz w:val="20"/>
          <w:szCs w:val="20"/>
        </w:rPr>
      </w:pPr>
      <w:proofErr w:type="gramStart"/>
      <w:r w:rsidRPr="00D30203">
        <w:rPr>
          <w:rFonts w:ascii="Arial" w:eastAsia="Arial" w:hAnsi="Arial" w:cs="Arial"/>
          <w:sz w:val="20"/>
          <w:szCs w:val="20"/>
        </w:rPr>
        <w:lastRenderedPageBreak/>
        <w:t>(11) Če</w:t>
      </w:r>
      <w:proofErr w:type="gramEnd"/>
      <w:r w:rsidRPr="00D30203">
        <w:rPr>
          <w:rFonts w:ascii="Arial" w:eastAsia="Arial" w:hAnsi="Arial" w:cs="Arial"/>
          <w:sz w:val="20"/>
          <w:szCs w:val="20"/>
        </w:rPr>
        <w:t xml:space="preserve"> se v okviru predloženega zahtevka za podpore za upravljanje LAS ne dosežejo predpisani mejniki, se sredstva ne izplačajo, dokler mejniki niso doseženi.</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(12) Upravičenec, ki iz neutemeljenega razloga ne omogoči pregleda </w:t>
      </w:r>
      <w:proofErr w:type="gramStart"/>
      <w:r w:rsidRPr="00D30203">
        <w:rPr>
          <w:rFonts w:ascii="Arial" w:eastAsia="Arial" w:hAnsi="Arial" w:cs="Arial"/>
          <w:sz w:val="20"/>
          <w:szCs w:val="20"/>
        </w:rPr>
        <w:t>na</w:t>
      </w:r>
      <w:proofErr w:type="gramEnd"/>
      <w:r w:rsidRPr="00D30203">
        <w:rPr>
          <w:rFonts w:ascii="Arial" w:eastAsia="Arial" w:hAnsi="Arial" w:cs="Arial"/>
          <w:sz w:val="20"/>
          <w:szCs w:val="20"/>
        </w:rPr>
        <w:t xml:space="preserve"> kraju samem in ga nepreklicno odkloni, mora v proračun Republike Slovenije vrniti vsa izplačana sredstva skupaj z zakonitimi zamudnimi obrestmi.</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 xml:space="preserve">(13) Podrobneje so sankcije za posamezni sklad določene v Prilogi 3 </w:t>
      </w:r>
      <w:proofErr w:type="gramStart"/>
      <w:r w:rsidRPr="00D30203">
        <w:rPr>
          <w:rFonts w:ascii="Arial" w:eastAsia="Arial" w:hAnsi="Arial" w:cs="Arial"/>
          <w:sz w:val="20"/>
          <w:szCs w:val="20"/>
        </w:rPr>
        <w:t>te</w:t>
      </w:r>
      <w:proofErr w:type="gramEnd"/>
      <w:r w:rsidRPr="00D30203">
        <w:rPr>
          <w:rFonts w:ascii="Arial" w:eastAsia="Arial" w:hAnsi="Arial" w:cs="Arial"/>
          <w:sz w:val="20"/>
          <w:szCs w:val="20"/>
        </w:rPr>
        <w:t xml:space="preserve"> uredbe.</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38. 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višja</w:t>
      </w:r>
      <w:proofErr w:type="gramEnd"/>
      <w:r w:rsidRPr="00D30203">
        <w:rPr>
          <w:rFonts w:ascii="Arial" w:eastAsia="Arial" w:hAnsi="Arial" w:cs="Arial"/>
          <w:b/>
          <w:bCs/>
          <w:sz w:val="20"/>
          <w:szCs w:val="20"/>
        </w:rPr>
        <w:t xml:space="preserve"> sila ali izjemne okoliščine)</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(1) Višja sila oziroma izjemne okoliščine in njuno uveljavljanje so za sklad EKSRP opredeljene v prvem odstavku 3. </w:t>
      </w:r>
      <w:proofErr w:type="gramStart"/>
      <w:r w:rsidRPr="00D30203">
        <w:rPr>
          <w:rFonts w:ascii="Arial" w:eastAsia="Arial" w:hAnsi="Arial" w:cs="Arial"/>
          <w:sz w:val="20"/>
          <w:szCs w:val="20"/>
        </w:rPr>
        <w:t>člena</w:t>
      </w:r>
      <w:proofErr w:type="gramEnd"/>
      <w:r w:rsidRPr="00D30203">
        <w:rPr>
          <w:rFonts w:ascii="Arial" w:eastAsia="Arial" w:hAnsi="Arial" w:cs="Arial"/>
          <w:sz w:val="20"/>
          <w:szCs w:val="20"/>
        </w:rPr>
        <w:t xml:space="preserve"> </w:t>
      </w:r>
      <w:hyperlink r:id="rId77" w:tgtFrame="_blank" w:tooltip="to EUR-Lex" w:history="1">
        <w:r w:rsidRPr="00D30203">
          <w:rPr>
            <w:rFonts w:ascii="Arial" w:eastAsia="Arial" w:hAnsi="Arial" w:cs="Arial"/>
            <w:sz w:val="20"/>
            <w:szCs w:val="20"/>
          </w:rPr>
          <w:t>Uredbe 2021/2116/EU</w:t>
        </w:r>
      </w:hyperlink>
      <w:r w:rsidRPr="00D30203">
        <w:rPr>
          <w:rFonts w:ascii="Arial" w:eastAsia="Arial" w:hAnsi="Arial" w:cs="Arial"/>
          <w:sz w:val="20"/>
          <w:szCs w:val="20"/>
        </w:rPr>
        <w:t xml:space="preserve"> in zakonu, ki ureja kmetijstvo.</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(2) Za sklad ESRR se primeri višje sile, izjemnih okoliščin in spremenjenih okoliščin obravnavajo v skladu z Navodili organa upravljanja za načrtovanje, odločanje o podpori, spremljanje in poročanje o izvajanju evropske kohezijske politike v programskem obdobju 2021–2027.</w:t>
      </w:r>
    </w:p>
    <w:p w:rsidR="00B21CC9" w:rsidRPr="00D30203" w:rsidRDefault="00B5624C">
      <w:pPr>
        <w:pStyle w:val="center"/>
        <w:pBdr>
          <w:top w:val="none" w:sz="0" w:space="24" w:color="auto"/>
        </w:pBdr>
        <w:spacing w:before="210" w:after="210"/>
        <w:rPr>
          <w:rFonts w:ascii="Arial" w:eastAsia="Arial" w:hAnsi="Arial" w:cs="Arial"/>
          <w:caps/>
          <w:sz w:val="20"/>
          <w:szCs w:val="20"/>
        </w:rPr>
      </w:pPr>
      <w:r w:rsidRPr="00D30203">
        <w:rPr>
          <w:rFonts w:ascii="Arial" w:eastAsia="Arial" w:hAnsi="Arial" w:cs="Arial"/>
          <w:caps/>
          <w:sz w:val="20"/>
          <w:szCs w:val="20"/>
        </w:rPr>
        <w:t>X. KONČNA DOLOČBA</w:t>
      </w:r>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39. </w:t>
      </w:r>
      <w:proofErr w:type="gramStart"/>
      <w:r w:rsidRPr="00D30203">
        <w:rPr>
          <w:rFonts w:ascii="Arial" w:eastAsia="Arial" w:hAnsi="Arial" w:cs="Arial"/>
          <w:b/>
          <w:bCs/>
          <w:sz w:val="20"/>
          <w:szCs w:val="20"/>
        </w:rPr>
        <w:t>člen</w:t>
      </w:r>
      <w:proofErr w:type="gramEnd"/>
    </w:p>
    <w:p w:rsidR="00B21CC9" w:rsidRPr="00D30203" w:rsidRDefault="00B5624C">
      <w:pPr>
        <w:pStyle w:val="center"/>
        <w:pBdr>
          <w:top w:val="none" w:sz="0" w:space="24" w:color="auto"/>
        </w:pBdr>
        <w:spacing w:before="210" w:after="210"/>
        <w:rPr>
          <w:rFonts w:ascii="Arial" w:eastAsia="Arial" w:hAnsi="Arial" w:cs="Arial"/>
          <w:b/>
          <w:bCs/>
          <w:sz w:val="20"/>
          <w:szCs w:val="20"/>
        </w:rPr>
      </w:pPr>
      <w:r w:rsidRPr="00D30203">
        <w:rPr>
          <w:rFonts w:ascii="Arial" w:eastAsia="Arial" w:hAnsi="Arial" w:cs="Arial"/>
          <w:b/>
          <w:bCs/>
          <w:sz w:val="20"/>
          <w:szCs w:val="20"/>
        </w:rPr>
        <w:t>(</w:t>
      </w:r>
      <w:proofErr w:type="gramStart"/>
      <w:r w:rsidRPr="00D30203">
        <w:rPr>
          <w:rFonts w:ascii="Arial" w:eastAsia="Arial" w:hAnsi="Arial" w:cs="Arial"/>
          <w:b/>
          <w:bCs/>
          <w:sz w:val="20"/>
          <w:szCs w:val="20"/>
        </w:rPr>
        <w:t>začetek</w:t>
      </w:r>
      <w:proofErr w:type="gramEnd"/>
      <w:r w:rsidRPr="00D30203">
        <w:rPr>
          <w:rFonts w:ascii="Arial" w:eastAsia="Arial" w:hAnsi="Arial" w:cs="Arial"/>
          <w:b/>
          <w:bCs/>
          <w:sz w:val="20"/>
          <w:szCs w:val="20"/>
        </w:rPr>
        <w:t xml:space="preserve"> veljavnosti)</w:t>
      </w:r>
    </w:p>
    <w:p w:rsidR="00B21CC9" w:rsidRPr="00D30203" w:rsidRDefault="00B5624C">
      <w:pPr>
        <w:pStyle w:val="zamik"/>
        <w:pBdr>
          <w:top w:val="none" w:sz="0" w:space="12" w:color="auto"/>
        </w:pBdr>
        <w:spacing w:before="210" w:after="210"/>
        <w:jc w:val="both"/>
        <w:rPr>
          <w:rFonts w:ascii="Arial" w:eastAsia="Arial" w:hAnsi="Arial" w:cs="Arial"/>
          <w:sz w:val="20"/>
          <w:szCs w:val="20"/>
        </w:rPr>
      </w:pPr>
      <w:r w:rsidRPr="00D30203">
        <w:rPr>
          <w:rFonts w:ascii="Arial" w:eastAsia="Arial" w:hAnsi="Arial" w:cs="Arial"/>
          <w:sz w:val="20"/>
          <w:szCs w:val="20"/>
        </w:rPr>
        <w:t>Ta uredba začne veljati naslednji dan po objavi v Uradnem listu Republike Slovenije.</w:t>
      </w:r>
    </w:p>
    <w:p w:rsidR="00A77B3E" w:rsidRPr="00D30203" w:rsidRDefault="00A77B3E">
      <w:pPr>
        <w:rPr>
          <w:rFonts w:ascii="Arial" w:hAnsi="Arial" w:cs="Arial"/>
          <w:sz w:val="20"/>
          <w:szCs w:val="20"/>
        </w:rPr>
      </w:pPr>
    </w:p>
    <w:p w:rsidR="00D30203" w:rsidRPr="00D30203" w:rsidRDefault="00D30203">
      <w:pPr>
        <w:rPr>
          <w:rFonts w:ascii="Arial" w:hAnsi="Arial" w:cs="Arial"/>
          <w:sz w:val="20"/>
          <w:szCs w:val="20"/>
        </w:rPr>
      </w:pPr>
    </w:p>
    <w:p w:rsidR="00D30203" w:rsidRPr="00D30203" w:rsidRDefault="00D30203">
      <w:pPr>
        <w:rPr>
          <w:rFonts w:ascii="Arial" w:hAnsi="Arial" w:cs="Arial"/>
          <w:sz w:val="20"/>
          <w:szCs w:val="20"/>
        </w:rPr>
      </w:pP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t>Vlada Republike Slovenije</w:t>
      </w:r>
    </w:p>
    <w:p w:rsidR="00D30203" w:rsidRPr="00D30203" w:rsidRDefault="00D30203">
      <w:pPr>
        <w:rPr>
          <w:rFonts w:ascii="Arial" w:hAnsi="Arial" w:cs="Arial"/>
          <w:sz w:val="20"/>
          <w:szCs w:val="20"/>
        </w:rPr>
      </w:pP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t xml:space="preserve">Dr. Robert Golob </w:t>
      </w:r>
    </w:p>
    <w:p w:rsidR="00D30203" w:rsidRPr="00D30203" w:rsidRDefault="00D30203">
      <w:pPr>
        <w:rPr>
          <w:rFonts w:ascii="Arial" w:hAnsi="Arial" w:cs="Arial"/>
          <w:sz w:val="20"/>
          <w:szCs w:val="20"/>
        </w:rPr>
      </w:pP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proofErr w:type="gramStart"/>
      <w:r w:rsidRPr="00D30203">
        <w:rPr>
          <w:rFonts w:ascii="Arial" w:hAnsi="Arial" w:cs="Arial"/>
          <w:sz w:val="20"/>
          <w:szCs w:val="20"/>
        </w:rPr>
        <w:t>predsednik</w:t>
      </w:r>
      <w:proofErr w:type="gramEnd"/>
    </w:p>
    <w:sectPr w:rsidR="00D30203" w:rsidRPr="00D30203">
      <w:headerReference w:type="default" r:id="rId7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943" w:rsidRDefault="00B30943" w:rsidP="00DF06CF">
      <w:r>
        <w:separator/>
      </w:r>
    </w:p>
  </w:endnote>
  <w:endnote w:type="continuationSeparator" w:id="0">
    <w:p w:rsidR="00B30943" w:rsidRDefault="00B30943" w:rsidP="00DF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943" w:rsidRDefault="00B30943" w:rsidP="00DF06CF">
      <w:r>
        <w:separator/>
      </w:r>
    </w:p>
  </w:footnote>
  <w:footnote w:type="continuationSeparator" w:id="0">
    <w:p w:rsidR="00B30943" w:rsidRDefault="00B30943" w:rsidP="00DF0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CF" w:rsidRDefault="00DF06CF">
    <w:pPr>
      <w:pStyle w:val="Glava"/>
    </w:pPr>
    <w:r>
      <w:tab/>
    </w:r>
    <w:r>
      <w:tab/>
    </w:r>
    <w:r>
      <w:tab/>
      <w:t xml:space="preserve"> </w:t>
    </w:r>
    <w:r>
      <w:tab/>
    </w:r>
    <w:r>
      <w:tab/>
      <w:t>OSNUTEK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3D08"/>
    <w:rsid w:val="0043476E"/>
    <w:rsid w:val="00784FCB"/>
    <w:rsid w:val="009912B9"/>
    <w:rsid w:val="009C1E0C"/>
    <w:rsid w:val="00A77B3E"/>
    <w:rsid w:val="00B21CC9"/>
    <w:rsid w:val="00B30943"/>
    <w:rsid w:val="00B5624C"/>
    <w:rsid w:val="00CA2A55"/>
    <w:rsid w:val="00CE4BB3"/>
    <w:rsid w:val="00D30203"/>
    <w:rsid w:val="00DF06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0EF94"/>
  <w15:docId w15:val="{4FE274A0-4838-4AF8-A66D-6DA062AD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textJustify">
    <w:name w:val="textJustify"/>
    <w:basedOn w:val="Navaden"/>
    <w:pPr>
      <w:jc w:val="both"/>
    </w:pPr>
  </w:style>
  <w:style w:type="paragraph" w:customStyle="1" w:styleId="zamik">
    <w:name w:val="zamik"/>
    <w:basedOn w:val="Navaden"/>
    <w:pPr>
      <w:ind w:firstLine="1021"/>
    </w:pPr>
  </w:style>
  <w:style w:type="paragraph" w:customStyle="1" w:styleId="alineazaodstavkom">
    <w:name w:val="alinea_za_odstavkom"/>
    <w:basedOn w:val="Navaden"/>
    <w:pPr>
      <w:ind w:hanging="425"/>
      <w:jc w:val="both"/>
    </w:pPr>
  </w:style>
  <w:style w:type="paragraph" w:customStyle="1" w:styleId="center">
    <w:name w:val="center"/>
    <w:basedOn w:val="Navaden"/>
    <w:pPr>
      <w:jc w:val="center"/>
    </w:pPr>
  </w:style>
  <w:style w:type="paragraph" w:customStyle="1" w:styleId="crkovnatockazaodstavkom">
    <w:name w:val="crkovna_tocka_za_odstavkom"/>
    <w:basedOn w:val="Navaden"/>
    <w:pPr>
      <w:ind w:hanging="425"/>
      <w:jc w:val="both"/>
    </w:pPr>
  </w:style>
  <w:style w:type="paragraph" w:customStyle="1" w:styleId="crkovnatockazastevilcnotocko">
    <w:name w:val="crkovna_tocka_za_stevilcno_tocko"/>
    <w:basedOn w:val="Navaden"/>
    <w:pPr>
      <w:ind w:hanging="356"/>
      <w:jc w:val="both"/>
    </w:pPr>
  </w:style>
  <w:style w:type="paragraph" w:customStyle="1" w:styleId="alineazastevilcnotocko">
    <w:name w:val="alinea_za_stevilcno_tocko"/>
    <w:basedOn w:val="Navaden"/>
    <w:pPr>
      <w:ind w:hanging="142"/>
      <w:jc w:val="both"/>
    </w:pPr>
  </w:style>
  <w:style w:type="paragraph" w:customStyle="1" w:styleId="priloga">
    <w:name w:val="priloga"/>
    <w:basedOn w:val="Navaden"/>
    <w:pPr>
      <w:pBdr>
        <w:top w:val="none" w:sz="0" w:space="24" w:color="auto"/>
        <w:bottom w:val="none" w:sz="0" w:space="3" w:color="auto"/>
      </w:pBdr>
      <w:spacing w:line="200" w:lineRule="atLeast"/>
    </w:pPr>
  </w:style>
  <w:style w:type="paragraph" w:styleId="Glava">
    <w:name w:val="header"/>
    <w:basedOn w:val="Navaden"/>
    <w:link w:val="GlavaZnak"/>
    <w:unhideWhenUsed/>
    <w:rsid w:val="00DF06CF"/>
    <w:pPr>
      <w:tabs>
        <w:tab w:val="center" w:pos="4536"/>
        <w:tab w:val="right" w:pos="9072"/>
      </w:tabs>
    </w:pPr>
  </w:style>
  <w:style w:type="character" w:customStyle="1" w:styleId="GlavaZnak">
    <w:name w:val="Glava Znak"/>
    <w:basedOn w:val="Privzetapisavaodstavka"/>
    <w:link w:val="Glava"/>
    <w:rsid w:val="00DF06CF"/>
    <w:rPr>
      <w:sz w:val="24"/>
      <w:szCs w:val="24"/>
    </w:rPr>
  </w:style>
  <w:style w:type="paragraph" w:styleId="Noga">
    <w:name w:val="footer"/>
    <w:basedOn w:val="Navaden"/>
    <w:link w:val="NogaZnak"/>
    <w:unhideWhenUsed/>
    <w:rsid w:val="00DF06CF"/>
    <w:pPr>
      <w:tabs>
        <w:tab w:val="center" w:pos="4536"/>
        <w:tab w:val="right" w:pos="9072"/>
      </w:tabs>
    </w:pPr>
  </w:style>
  <w:style w:type="character" w:customStyle="1" w:styleId="NogaZnak">
    <w:name w:val="Noga Znak"/>
    <w:basedOn w:val="Privzetapisavaodstavka"/>
    <w:link w:val="Noga"/>
    <w:rsid w:val="00DF06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data.europa.eu/eli/reg/2013/1307/oj" TargetMode="External"/><Relationship Id="rId18" Type="http://schemas.openxmlformats.org/officeDocument/2006/relationships/hyperlink" Target="http://data.europa.eu/eli/reg/2013/1306/oj" TargetMode="External"/><Relationship Id="rId26" Type="http://schemas.openxmlformats.org/officeDocument/2006/relationships/hyperlink" Target="http://data.europa.eu/eli/reg/2021/2115/oj" TargetMode="External"/><Relationship Id="rId39" Type="http://schemas.openxmlformats.org/officeDocument/2006/relationships/hyperlink" Target="http://data.europa.eu/eli/reg/2014/651/oj" TargetMode="External"/><Relationship Id="rId21" Type="http://schemas.openxmlformats.org/officeDocument/2006/relationships/hyperlink" Target="http://data.europa.eu/eli/reg_del/2015/1971/oj" TargetMode="External"/><Relationship Id="rId34" Type="http://schemas.openxmlformats.org/officeDocument/2006/relationships/hyperlink" Target="http://data.europa.eu/eli/reg_impl/2022/128/oj" TargetMode="External"/><Relationship Id="rId42" Type="http://schemas.openxmlformats.org/officeDocument/2006/relationships/hyperlink" Target="http://data.europa.eu/eli/reg/2021/1060/oj" TargetMode="External"/><Relationship Id="rId47" Type="http://schemas.openxmlformats.org/officeDocument/2006/relationships/hyperlink" Target="http://data.europa.eu/eli/reg/2021/2115/oj" TargetMode="External"/><Relationship Id="rId50" Type="http://schemas.openxmlformats.org/officeDocument/2006/relationships/hyperlink" Target="http://data.europa.eu/eli/reg/2021/1060/oj" TargetMode="External"/><Relationship Id="rId55" Type="http://schemas.openxmlformats.org/officeDocument/2006/relationships/hyperlink" Target="http://data.europa.eu/eli/reg/2021/1060/oj" TargetMode="External"/><Relationship Id="rId63" Type="http://schemas.openxmlformats.org/officeDocument/2006/relationships/hyperlink" Target="http://data.europa.eu/eli/reg/2014/651/oj" TargetMode="External"/><Relationship Id="rId68" Type="http://schemas.openxmlformats.org/officeDocument/2006/relationships/hyperlink" Target="http://data.europa.eu/eli/reg/2021/1060/oj" TargetMode="External"/><Relationship Id="rId76" Type="http://schemas.openxmlformats.org/officeDocument/2006/relationships/hyperlink" Target="http://data.europa.eu/eli/reg/2021/1060/oj" TargetMode="External"/><Relationship Id="rId7" Type="http://schemas.openxmlformats.org/officeDocument/2006/relationships/hyperlink" Target="http://data.europa.eu/eli/reg/2024/1351/oj" TargetMode="External"/><Relationship Id="rId71" Type="http://schemas.openxmlformats.org/officeDocument/2006/relationships/hyperlink" Target="http://data.europa.eu/eli/reg/2021/1060/oj" TargetMode="External"/><Relationship Id="rId2" Type="http://schemas.openxmlformats.org/officeDocument/2006/relationships/settings" Target="settings.xml"/><Relationship Id="rId16" Type="http://schemas.openxmlformats.org/officeDocument/2006/relationships/hyperlink" Target="http://data.europa.eu/eli/reg/2021/2115/oj" TargetMode="External"/><Relationship Id="rId29" Type="http://schemas.openxmlformats.org/officeDocument/2006/relationships/hyperlink" Target="http://data.europa.eu/eli/reg_del/2023/1448/oj" TargetMode="External"/><Relationship Id="rId11" Type="http://schemas.openxmlformats.org/officeDocument/2006/relationships/hyperlink" Target="http://data.europa.eu/eli/reg/2021/2115/oj" TargetMode="External"/><Relationship Id="rId24" Type="http://schemas.openxmlformats.org/officeDocument/2006/relationships/hyperlink" Target="http://data.europa.eu/eli/reg/2021/1058/oj" TargetMode="External"/><Relationship Id="rId32" Type="http://schemas.openxmlformats.org/officeDocument/2006/relationships/hyperlink" Target="http://data.europa.eu/eli/reg/2021/2116/oj" TargetMode="External"/><Relationship Id="rId37" Type="http://schemas.openxmlformats.org/officeDocument/2006/relationships/hyperlink" Target="http://data.europa.eu/eli/reg/2014/651/oj" TargetMode="External"/><Relationship Id="rId40" Type="http://schemas.openxmlformats.org/officeDocument/2006/relationships/hyperlink" Target="http://data.europa.eu/eli/reg/2022/2473/oj" TargetMode="External"/><Relationship Id="rId45" Type="http://schemas.openxmlformats.org/officeDocument/2006/relationships/hyperlink" Target="http://data.europa.eu/eli/reg/2021/1058/oj" TargetMode="External"/><Relationship Id="rId53" Type="http://schemas.openxmlformats.org/officeDocument/2006/relationships/hyperlink" Target="http://data.europa.eu/eli/reg/2021/2116/oj" TargetMode="External"/><Relationship Id="rId58" Type="http://schemas.openxmlformats.org/officeDocument/2006/relationships/hyperlink" Target="http://data.europa.eu/eli/reg/2021/2116/oj" TargetMode="External"/><Relationship Id="rId66" Type="http://schemas.openxmlformats.org/officeDocument/2006/relationships/hyperlink" Target="http://data.europa.eu/eli/reg/2023/2831/oj" TargetMode="External"/><Relationship Id="rId74" Type="http://schemas.openxmlformats.org/officeDocument/2006/relationships/hyperlink" Target="http://data.europa.eu/eli/reg/2021/1060/oj"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data.europa.eu/eli/reg/2014/651/anx_1/oj" TargetMode="External"/><Relationship Id="rId10" Type="http://schemas.openxmlformats.org/officeDocument/2006/relationships/hyperlink" Target="http://data.europa.eu/eli/reg/2013/604/oj" TargetMode="External"/><Relationship Id="rId19" Type="http://schemas.openxmlformats.org/officeDocument/2006/relationships/hyperlink" Target="http://data.europa.eu/eli/reg_del/2024/205/oj" TargetMode="External"/><Relationship Id="rId31" Type="http://schemas.openxmlformats.org/officeDocument/2006/relationships/hyperlink" Target="http://data.europa.eu/eli/reg_impl/2022/128/oj" TargetMode="External"/><Relationship Id="rId44" Type="http://schemas.openxmlformats.org/officeDocument/2006/relationships/hyperlink" Target="http://data.europa.eu/eli/reg/2021/2115/oj" TargetMode="External"/><Relationship Id="rId52" Type="http://schemas.openxmlformats.org/officeDocument/2006/relationships/hyperlink" Target="http://data.europa.eu/eli/reg/2021/1060/oj" TargetMode="External"/><Relationship Id="rId60" Type="http://schemas.openxmlformats.org/officeDocument/2006/relationships/hyperlink" Target="http://data.europa.eu/eli/reg/2014/651/art_19a/oj" TargetMode="External"/><Relationship Id="rId65" Type="http://schemas.openxmlformats.org/officeDocument/2006/relationships/hyperlink" Target="http://data.europa.eu/eli/reg/2023/2831/oj" TargetMode="External"/><Relationship Id="rId73" Type="http://schemas.openxmlformats.org/officeDocument/2006/relationships/hyperlink" Target="http://data.europa.eu/eli/reg/2021/2116/oj" TargetMode="External"/><Relationship Id="rId78"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data.europa.eu/eli/reg/2021/1060/oj" TargetMode="External"/><Relationship Id="rId14" Type="http://schemas.openxmlformats.org/officeDocument/2006/relationships/hyperlink" Target="http://data.europa.eu/eli/reg_del/2024/946/oj" TargetMode="External"/><Relationship Id="rId22" Type="http://schemas.openxmlformats.org/officeDocument/2006/relationships/hyperlink" Target="http://data.europa.eu/eli/reg/2021/2116/oj" TargetMode="External"/><Relationship Id="rId27" Type="http://schemas.openxmlformats.org/officeDocument/2006/relationships/hyperlink" Target="http://data.europa.eu/eli/reg_del/2022/127/oj" TargetMode="External"/><Relationship Id="rId30" Type="http://schemas.openxmlformats.org/officeDocument/2006/relationships/hyperlink" Target="http://data.europa.eu/eli/reg_del/2022/127/oj" TargetMode="External"/><Relationship Id="rId35" Type="http://schemas.openxmlformats.org/officeDocument/2006/relationships/hyperlink" Target="http://data.europa.eu/eli/reg/2023/2831/oj" TargetMode="External"/><Relationship Id="rId43" Type="http://schemas.openxmlformats.org/officeDocument/2006/relationships/hyperlink" Target="http://data.europa.eu/eli/reg/2021/1060/oj" TargetMode="External"/><Relationship Id="rId48" Type="http://schemas.openxmlformats.org/officeDocument/2006/relationships/hyperlink" Target="http://data.europa.eu/eli/reg/2021/1060/oj" TargetMode="External"/><Relationship Id="rId56" Type="http://schemas.openxmlformats.org/officeDocument/2006/relationships/hyperlink" Target="http://data.europa.eu/eli/reg/2021/1060/oj" TargetMode="External"/><Relationship Id="rId64" Type="http://schemas.openxmlformats.org/officeDocument/2006/relationships/hyperlink" Target="http://data.europa.eu/eli/reg/2014/651/oj" TargetMode="External"/><Relationship Id="rId69" Type="http://schemas.openxmlformats.org/officeDocument/2006/relationships/hyperlink" Target="http://data.europa.eu/eli/reg/2021/2116/art_36/oj" TargetMode="External"/><Relationship Id="rId77" Type="http://schemas.openxmlformats.org/officeDocument/2006/relationships/hyperlink" Target="http://data.europa.eu/eli/reg/2021/2116/oj" TargetMode="External"/><Relationship Id="rId8" Type="http://schemas.openxmlformats.org/officeDocument/2006/relationships/hyperlink" Target="http://data.europa.eu/eli/reg/2021/1147/oj" TargetMode="External"/><Relationship Id="rId51" Type="http://schemas.openxmlformats.org/officeDocument/2006/relationships/hyperlink" Target="http://data.europa.eu/eli/reg/2021/2115/oj" TargetMode="External"/><Relationship Id="rId72" Type="http://schemas.openxmlformats.org/officeDocument/2006/relationships/hyperlink" Target="http://data.europa.eu/eli/reg/2021/2116/oj"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data.europa.eu/eli/reg/2013/1305/oj" TargetMode="External"/><Relationship Id="rId17" Type="http://schemas.openxmlformats.org/officeDocument/2006/relationships/hyperlink" Target="http://data.europa.eu/eli/reg/2021/2116/oj" TargetMode="External"/><Relationship Id="rId25" Type="http://schemas.openxmlformats.org/officeDocument/2006/relationships/hyperlink" Target="http://data.europa.eu/eli/reg_impl/2021/2289/oj" TargetMode="External"/><Relationship Id="rId33" Type="http://schemas.openxmlformats.org/officeDocument/2006/relationships/hyperlink" Target="http://data.europa.eu/eli/reg_impl/2023/2155/oj" TargetMode="External"/><Relationship Id="rId38" Type="http://schemas.openxmlformats.org/officeDocument/2006/relationships/hyperlink" Target="http://data.europa.eu/eli/reg/2023/1315/oj" TargetMode="External"/><Relationship Id="rId46" Type="http://schemas.openxmlformats.org/officeDocument/2006/relationships/hyperlink" Target="http://data.europa.eu/eli/reg/2021/1060/oj" TargetMode="External"/><Relationship Id="rId59" Type="http://schemas.openxmlformats.org/officeDocument/2006/relationships/hyperlink" Target="http://data.europa.eu/eli/reg/2014/651/oj" TargetMode="External"/><Relationship Id="rId67" Type="http://schemas.openxmlformats.org/officeDocument/2006/relationships/hyperlink" Target="http://data.europa.eu/eli/reg/2021/1060/oj" TargetMode="External"/><Relationship Id="rId20" Type="http://schemas.openxmlformats.org/officeDocument/2006/relationships/hyperlink" Target="http://data.europa.eu/eli/reg/2021/2116/oj" TargetMode="External"/><Relationship Id="rId41" Type="http://schemas.openxmlformats.org/officeDocument/2006/relationships/hyperlink" Target="http://data.europa.eu/eli/reg/2014/651/oj" TargetMode="External"/><Relationship Id="rId54" Type="http://schemas.openxmlformats.org/officeDocument/2006/relationships/hyperlink" Target="http://data.europa.eu/eli/reg/2021/1060/oj" TargetMode="External"/><Relationship Id="rId62" Type="http://schemas.openxmlformats.org/officeDocument/2006/relationships/hyperlink" Target="http://data.europa.eu/eli/reg/2014/651/anx_1/oj" TargetMode="External"/><Relationship Id="rId70" Type="http://schemas.openxmlformats.org/officeDocument/2006/relationships/hyperlink" Target="http://data.europa.eu/eli/reg/2018/1046/oj" TargetMode="External"/><Relationship Id="rId75" Type="http://schemas.openxmlformats.org/officeDocument/2006/relationships/hyperlink" Target="http://data.europa.eu/eli/reg/2021/1060/oj" TargetMode="External"/><Relationship Id="rId1" Type="http://schemas.openxmlformats.org/officeDocument/2006/relationships/styles" Target="styles.xml"/><Relationship Id="rId6" Type="http://schemas.openxmlformats.org/officeDocument/2006/relationships/hyperlink" Target="http://data.europa.eu/eli/reg/2021/1060/oj" TargetMode="External"/><Relationship Id="rId15" Type="http://schemas.openxmlformats.org/officeDocument/2006/relationships/hyperlink" Target="http://data.europa.eu/eli/reg/2021/2115/oj" TargetMode="External"/><Relationship Id="rId23" Type="http://schemas.openxmlformats.org/officeDocument/2006/relationships/hyperlink" Target="http://data.europa.eu/eli/reg/2021/1058/oj" TargetMode="External"/><Relationship Id="rId28" Type="http://schemas.openxmlformats.org/officeDocument/2006/relationships/hyperlink" Target="http://data.europa.eu/eli/reg/2021/2116/oj" TargetMode="External"/><Relationship Id="rId36" Type="http://schemas.openxmlformats.org/officeDocument/2006/relationships/hyperlink" Target="http://data.europa.eu/eli/reg/2023/2831/oj" TargetMode="External"/><Relationship Id="rId49" Type="http://schemas.openxmlformats.org/officeDocument/2006/relationships/hyperlink" Target="http://data.europa.eu/eli/reg/2021/1060/oj" TargetMode="External"/><Relationship Id="rId57" Type="http://schemas.openxmlformats.org/officeDocument/2006/relationships/hyperlink" Target="http://data.europa.eu/eli/reg/2021/1060/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10206</Words>
  <Characters>58176</Characters>
  <Application>Microsoft Office Word</Application>
  <DocSecurity>0</DocSecurity>
  <Lines>484</Lines>
  <Paragraphs>136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URED8900 NPB1</vt:lpstr>
      <vt:lpstr/>
    </vt:vector>
  </TitlesOfParts>
  <Company/>
  <LinksUpToDate>false</LinksUpToDate>
  <CharactersWithSpaces>68246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URED8900 NPB1</dc:title>
  <dc:creator>Maja Svetličič</dc:creator>
  <cp:lastModifiedBy>Maja Svetličič</cp:lastModifiedBy>
  <cp:revision>2</cp:revision>
  <cp:lastPrinted>2024-10-22T07:37:00Z</cp:lastPrinted>
  <dcterms:created xsi:type="dcterms:W3CDTF">2024-10-23T07:22:00Z</dcterms:created>
  <dcterms:modified xsi:type="dcterms:W3CDTF">2024-10-23T07:22:00Z</dcterms:modified>
</cp:coreProperties>
</file>