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6D" w:rsidRPr="00AF4D75" w:rsidRDefault="002064C6" w:rsidP="0086366D">
      <w:pPr>
        <w:pStyle w:val="Alineazatevilnotoko"/>
        <w:numPr>
          <w:ilvl w:val="0"/>
          <w:numId w:val="0"/>
        </w:numPr>
        <w:ind w:left="567"/>
        <w:rPr>
          <w:b/>
          <w:bCs/>
          <w:color w:val="000000"/>
          <w:spacing w:val="40"/>
          <w:sz w:val="20"/>
          <w:szCs w:val="20"/>
        </w:rPr>
      </w:pPr>
      <w:r>
        <w:rPr>
          <w:b/>
          <w:bCs/>
          <w:color w:val="000000"/>
          <w:spacing w:val="40"/>
          <w:sz w:val="20"/>
          <w:szCs w:val="20"/>
        </w:rPr>
        <w:tab/>
      </w:r>
      <w:r>
        <w:rPr>
          <w:b/>
          <w:bCs/>
          <w:color w:val="000000"/>
          <w:spacing w:val="40"/>
          <w:sz w:val="20"/>
          <w:szCs w:val="20"/>
        </w:rPr>
        <w:tab/>
      </w:r>
      <w:r>
        <w:rPr>
          <w:b/>
          <w:bCs/>
          <w:color w:val="000000"/>
          <w:spacing w:val="40"/>
          <w:sz w:val="20"/>
          <w:szCs w:val="20"/>
        </w:rPr>
        <w:tab/>
      </w:r>
      <w:r>
        <w:rPr>
          <w:b/>
          <w:bCs/>
          <w:color w:val="000000"/>
          <w:spacing w:val="40"/>
          <w:sz w:val="20"/>
          <w:szCs w:val="20"/>
        </w:rPr>
        <w:tab/>
      </w:r>
      <w:r>
        <w:rPr>
          <w:b/>
          <w:bCs/>
          <w:color w:val="000000"/>
          <w:spacing w:val="40"/>
          <w:sz w:val="20"/>
          <w:szCs w:val="20"/>
        </w:rPr>
        <w:tab/>
      </w:r>
      <w:r>
        <w:rPr>
          <w:b/>
          <w:bCs/>
          <w:color w:val="000000"/>
          <w:spacing w:val="40"/>
          <w:sz w:val="20"/>
          <w:szCs w:val="20"/>
        </w:rPr>
        <w:tab/>
      </w:r>
      <w:r>
        <w:rPr>
          <w:b/>
          <w:bCs/>
          <w:color w:val="000000"/>
          <w:spacing w:val="40"/>
          <w:sz w:val="20"/>
          <w:szCs w:val="20"/>
        </w:rPr>
        <w:tab/>
      </w:r>
      <w:r>
        <w:rPr>
          <w:b/>
          <w:bCs/>
          <w:color w:val="000000"/>
          <w:spacing w:val="40"/>
          <w:sz w:val="20"/>
          <w:szCs w:val="20"/>
        </w:rPr>
        <w:tab/>
      </w:r>
      <w:r>
        <w:rPr>
          <w:b/>
          <w:bCs/>
          <w:color w:val="000000"/>
          <w:spacing w:val="40"/>
          <w:sz w:val="20"/>
          <w:szCs w:val="20"/>
        </w:rPr>
        <w:tab/>
      </w:r>
      <w:r>
        <w:rPr>
          <w:b/>
          <w:bCs/>
          <w:color w:val="000000"/>
          <w:spacing w:val="40"/>
          <w:sz w:val="20"/>
          <w:szCs w:val="20"/>
        </w:rPr>
        <w:tab/>
      </w:r>
      <w:r>
        <w:rPr>
          <w:b/>
          <w:bCs/>
          <w:color w:val="000000"/>
          <w:spacing w:val="40"/>
          <w:sz w:val="20"/>
          <w:szCs w:val="20"/>
        </w:rPr>
        <w:tab/>
      </w:r>
    </w:p>
    <w:p w:rsidR="0086366D" w:rsidRPr="00AF4D75" w:rsidRDefault="0086366D" w:rsidP="00A11AFC">
      <w:pPr>
        <w:pStyle w:val="Alineazatevilnotoko"/>
        <w:numPr>
          <w:ilvl w:val="0"/>
          <w:numId w:val="0"/>
        </w:numPr>
        <w:tabs>
          <w:tab w:val="clear" w:pos="567"/>
          <w:tab w:val="left" w:pos="0"/>
        </w:tabs>
        <w:rPr>
          <w:sz w:val="20"/>
          <w:szCs w:val="20"/>
        </w:rPr>
      </w:pPr>
      <w:r w:rsidRPr="00AF4D75">
        <w:rPr>
          <w:sz w:val="20"/>
          <w:szCs w:val="20"/>
        </w:rPr>
        <w:t>Na podlagi sedmega odstavka 21. člena Zakona o Vladi Republike Slovenije (Uradni list RS, št. 24/05 – uradno prečiščeno besedilo, 109/08, 38/10 – ZUKN, 8/12, 21/13, 47/13 – ZDU-1G in 65/14), drugega odstavka 13. člena in drugega odstavka 20.b člena Zakona o morskem ribištvu (Uradni list RS, št. 115/06, 76/15) izdaja Vlada Republike Slovenije</w:t>
      </w:r>
    </w:p>
    <w:p w:rsidR="0086366D" w:rsidRPr="00AF4D75" w:rsidRDefault="0086366D" w:rsidP="0086366D">
      <w:pPr>
        <w:pStyle w:val="Vrstapredpisa"/>
        <w:jc w:val="both"/>
        <w:rPr>
          <w:sz w:val="20"/>
          <w:szCs w:val="20"/>
        </w:rPr>
      </w:pPr>
    </w:p>
    <w:p w:rsidR="0086366D" w:rsidRPr="00AF4D75" w:rsidRDefault="0086366D" w:rsidP="0086366D">
      <w:pPr>
        <w:pStyle w:val="Vrstapredpisa"/>
        <w:rPr>
          <w:sz w:val="20"/>
          <w:szCs w:val="20"/>
        </w:rPr>
      </w:pPr>
      <w:r w:rsidRPr="00AF4D75">
        <w:rPr>
          <w:sz w:val="20"/>
          <w:szCs w:val="20"/>
        </w:rPr>
        <w:t>UREDB</w:t>
      </w:r>
      <w:r w:rsidR="00A11AFC">
        <w:rPr>
          <w:sz w:val="20"/>
          <w:szCs w:val="20"/>
        </w:rPr>
        <w:t>O</w:t>
      </w:r>
    </w:p>
    <w:p w:rsidR="0086366D" w:rsidRPr="00AF4D75" w:rsidRDefault="0086366D" w:rsidP="0086366D">
      <w:pPr>
        <w:pStyle w:val="Naslovpredpisa"/>
        <w:rPr>
          <w:sz w:val="20"/>
          <w:szCs w:val="20"/>
        </w:rPr>
      </w:pPr>
      <w:r w:rsidRPr="00AF4D75">
        <w:rPr>
          <w:sz w:val="20"/>
          <w:szCs w:val="20"/>
        </w:rPr>
        <w:t xml:space="preserve">o </w:t>
      </w:r>
      <w:r w:rsidR="00A11AFC">
        <w:rPr>
          <w:sz w:val="20"/>
          <w:szCs w:val="20"/>
        </w:rPr>
        <w:t xml:space="preserve">spremembi Uredbe </w:t>
      </w:r>
      <w:r w:rsidR="00A11AFC" w:rsidRPr="00A11AFC">
        <w:rPr>
          <w:sz w:val="20"/>
          <w:szCs w:val="20"/>
        </w:rPr>
        <w:t>o izvajanju uredbe (EGS), uredb (ES) in uredb (EU) za določitev prekrškov in sankcij s področja skupne ribiške politike</w:t>
      </w:r>
    </w:p>
    <w:p w:rsidR="006E69FC" w:rsidRPr="00AF4D75" w:rsidRDefault="006E69FC" w:rsidP="0086366D">
      <w:pPr>
        <w:pStyle w:val="Naslovpredpisa"/>
        <w:rPr>
          <w:sz w:val="20"/>
          <w:szCs w:val="20"/>
        </w:rPr>
      </w:pPr>
    </w:p>
    <w:p w:rsidR="006E69FC" w:rsidRPr="00AF4D75" w:rsidRDefault="00F803CA" w:rsidP="00F803CA">
      <w:pPr>
        <w:pStyle w:val="Naslovpredpisa"/>
        <w:rPr>
          <w:sz w:val="20"/>
          <w:szCs w:val="20"/>
        </w:rPr>
      </w:pPr>
      <w:r>
        <w:rPr>
          <w:sz w:val="20"/>
          <w:szCs w:val="20"/>
        </w:rPr>
        <w:t xml:space="preserve">1. </w:t>
      </w:r>
      <w:r w:rsidR="006E69FC" w:rsidRPr="00AF4D75">
        <w:rPr>
          <w:sz w:val="20"/>
          <w:szCs w:val="20"/>
        </w:rPr>
        <w:t>člen</w:t>
      </w:r>
    </w:p>
    <w:p w:rsidR="006E69FC" w:rsidRPr="00AF4D75" w:rsidRDefault="006E69FC" w:rsidP="0086366D">
      <w:pPr>
        <w:pStyle w:val="Naslovpredpisa"/>
        <w:rPr>
          <w:sz w:val="20"/>
          <w:szCs w:val="20"/>
        </w:rPr>
      </w:pPr>
    </w:p>
    <w:p w:rsidR="006E69FC" w:rsidRDefault="003268B1" w:rsidP="004552A6">
      <w:pPr>
        <w:pStyle w:val="Naslovpredpisa"/>
        <w:jc w:val="both"/>
        <w:rPr>
          <w:b w:val="0"/>
          <w:sz w:val="20"/>
          <w:szCs w:val="20"/>
        </w:rPr>
      </w:pPr>
      <w:r>
        <w:rPr>
          <w:b w:val="0"/>
          <w:sz w:val="20"/>
          <w:szCs w:val="20"/>
        </w:rPr>
        <w:t xml:space="preserve">V Uredbi </w:t>
      </w:r>
      <w:r w:rsidRPr="003268B1">
        <w:rPr>
          <w:b w:val="0"/>
          <w:sz w:val="20"/>
          <w:szCs w:val="20"/>
        </w:rPr>
        <w:t>o izvajanju uredbe (EGS), uredb (ES) in uredb (EU) za določitev prekrškov in sankcij s področja skupne ribiške politike</w:t>
      </w:r>
      <w:r>
        <w:rPr>
          <w:b w:val="0"/>
          <w:sz w:val="20"/>
          <w:szCs w:val="20"/>
        </w:rPr>
        <w:t xml:space="preserve"> (Uradni list RS, </w:t>
      </w:r>
      <w:r w:rsidRPr="003268B1">
        <w:rPr>
          <w:b w:val="0"/>
          <w:sz w:val="20"/>
          <w:szCs w:val="20"/>
        </w:rPr>
        <w:t>št. 75/16 in 76/17</w:t>
      </w:r>
      <w:r>
        <w:rPr>
          <w:b w:val="0"/>
          <w:sz w:val="20"/>
          <w:szCs w:val="20"/>
        </w:rPr>
        <w:t xml:space="preserve">) se 1. člen spremeni tako, da se glasi: </w:t>
      </w:r>
    </w:p>
    <w:p w:rsidR="003268B1" w:rsidRDefault="003268B1" w:rsidP="004552A6">
      <w:pPr>
        <w:pStyle w:val="Naslovpredpisa"/>
        <w:jc w:val="both"/>
        <w:rPr>
          <w:b w:val="0"/>
          <w:sz w:val="20"/>
          <w:szCs w:val="20"/>
        </w:rPr>
      </w:pPr>
    </w:p>
    <w:p w:rsidR="003268B1" w:rsidRPr="003268B1" w:rsidRDefault="003268B1" w:rsidP="003268B1">
      <w:pPr>
        <w:pStyle w:val="Naslovpredpisa"/>
        <w:rPr>
          <w:sz w:val="20"/>
          <w:szCs w:val="20"/>
        </w:rPr>
      </w:pPr>
      <w:r w:rsidRPr="003268B1">
        <w:rPr>
          <w:b w:val="0"/>
          <w:sz w:val="20"/>
          <w:szCs w:val="20"/>
        </w:rPr>
        <w:t>»</w:t>
      </w:r>
      <w:r w:rsidRPr="003268B1">
        <w:rPr>
          <w:sz w:val="20"/>
          <w:szCs w:val="20"/>
        </w:rPr>
        <w:t>1. člen</w:t>
      </w:r>
    </w:p>
    <w:p w:rsidR="003268B1" w:rsidRPr="003268B1" w:rsidRDefault="003268B1" w:rsidP="003268B1">
      <w:pPr>
        <w:pStyle w:val="Naslovpredpisa"/>
        <w:rPr>
          <w:sz w:val="20"/>
          <w:szCs w:val="20"/>
        </w:rPr>
      </w:pPr>
      <w:r w:rsidRPr="003268B1">
        <w:rPr>
          <w:sz w:val="20"/>
          <w:szCs w:val="20"/>
        </w:rPr>
        <w:t>(vsebina)</w:t>
      </w:r>
    </w:p>
    <w:p w:rsidR="003268B1" w:rsidRDefault="003268B1" w:rsidP="003268B1">
      <w:pPr>
        <w:pStyle w:val="Naslovpredpisa"/>
        <w:jc w:val="both"/>
        <w:rPr>
          <w:b w:val="0"/>
          <w:sz w:val="20"/>
          <w:szCs w:val="20"/>
        </w:rPr>
      </w:pPr>
    </w:p>
    <w:p w:rsidR="003268B1" w:rsidRPr="003268B1" w:rsidRDefault="003268B1" w:rsidP="003268B1">
      <w:pPr>
        <w:pStyle w:val="Naslovpredpisa"/>
        <w:jc w:val="both"/>
        <w:rPr>
          <w:b w:val="0"/>
          <w:sz w:val="20"/>
          <w:szCs w:val="20"/>
        </w:rPr>
      </w:pPr>
      <w:r w:rsidRPr="003268B1">
        <w:rPr>
          <w:b w:val="0"/>
          <w:sz w:val="20"/>
          <w:szCs w:val="20"/>
        </w:rPr>
        <w:t>S to uredbo se določajo prekrški in sankcije za izvajanje:</w:t>
      </w:r>
    </w:p>
    <w:p w:rsidR="003268B1" w:rsidRDefault="003268B1" w:rsidP="003268B1">
      <w:pPr>
        <w:pStyle w:val="Naslovpredpisa"/>
        <w:jc w:val="both"/>
        <w:rPr>
          <w:b w:val="0"/>
          <w:sz w:val="20"/>
          <w:szCs w:val="20"/>
        </w:rPr>
      </w:pPr>
    </w:p>
    <w:p w:rsidR="003268B1" w:rsidRPr="003268B1" w:rsidRDefault="003268B1" w:rsidP="003268B1">
      <w:pPr>
        <w:pStyle w:val="Naslovpredpisa"/>
        <w:numPr>
          <w:ilvl w:val="0"/>
          <w:numId w:val="11"/>
        </w:numPr>
        <w:jc w:val="both"/>
        <w:rPr>
          <w:b w:val="0"/>
          <w:sz w:val="20"/>
          <w:szCs w:val="20"/>
        </w:rPr>
      </w:pPr>
      <w:r w:rsidRPr="003268B1">
        <w:rPr>
          <w:b w:val="0"/>
          <w:sz w:val="20"/>
          <w:szCs w:val="20"/>
        </w:rPr>
        <w:t>Uredbe Komisije (EGS) št. 3440/84 z dne 6. decembra 1984 o pritrditvi naprav na vlečne mreže, danske potegalke in podobne mreže (UL L št. 318 z dne 7. 12. 1984, str. 23), zadnjič spremenjene z Uredbo Komisije (ES) št. 146/2007 z dne 15. februarja 2007 o spremembi Uredbe (EGS) št. 3440/84 glede pogojev za nekatere vlečne mreže za plovila, ki uporabljajo sisteme za črpanje na krov (UL L št. 46 z dne 16. 2. 2007, str. 9), (v nadaljnjem besedilu: Uredba 3440/84/EGS),</w:t>
      </w:r>
    </w:p>
    <w:p w:rsidR="003268B1" w:rsidRPr="003268B1" w:rsidRDefault="003268B1" w:rsidP="003268B1">
      <w:pPr>
        <w:pStyle w:val="Naslovpredpisa"/>
        <w:numPr>
          <w:ilvl w:val="0"/>
          <w:numId w:val="11"/>
        </w:numPr>
        <w:jc w:val="both"/>
        <w:rPr>
          <w:b w:val="0"/>
          <w:sz w:val="20"/>
          <w:szCs w:val="20"/>
        </w:rPr>
      </w:pPr>
      <w:r w:rsidRPr="003268B1">
        <w:rPr>
          <w:b w:val="0"/>
          <w:sz w:val="20"/>
          <w:szCs w:val="20"/>
        </w:rPr>
        <w:t>Uredbe Sveta (ES) št. 850/98 z dne 30. marca 1998 za ohranjanje ribolovnih virov s tehničnimi ukrepi za varovanje nedoraslih morskih organizmov (UL L št. 125 z dne 27. 4. 1998, str. 1), zadnjič spremenjene z Izvedbeno uredbo Komisije (EU) št. 2015/1316 z dne 30. julija 2015 o odstopanju od Uredbe Sveta (ES) št. 850/98 glede najmanjše referenčne velikosti ohranjanja za brancina (</w:t>
      </w:r>
      <w:proofErr w:type="spellStart"/>
      <w:r w:rsidRPr="003268B1">
        <w:rPr>
          <w:b w:val="0"/>
          <w:sz w:val="20"/>
          <w:szCs w:val="20"/>
        </w:rPr>
        <w:t>Dicentrarchus</w:t>
      </w:r>
      <w:proofErr w:type="spellEnd"/>
      <w:r w:rsidRPr="003268B1">
        <w:rPr>
          <w:b w:val="0"/>
          <w:sz w:val="20"/>
          <w:szCs w:val="20"/>
        </w:rPr>
        <w:t xml:space="preserve"> </w:t>
      </w:r>
      <w:proofErr w:type="spellStart"/>
      <w:r w:rsidRPr="003268B1">
        <w:rPr>
          <w:b w:val="0"/>
          <w:sz w:val="20"/>
          <w:szCs w:val="20"/>
        </w:rPr>
        <w:t>labrax</w:t>
      </w:r>
      <w:proofErr w:type="spellEnd"/>
      <w:r w:rsidRPr="003268B1">
        <w:rPr>
          <w:b w:val="0"/>
          <w:sz w:val="20"/>
          <w:szCs w:val="20"/>
        </w:rPr>
        <w:t>) (UL L št. 203 z dne 31. 7. 2015, str. 9), (v nadaljnjem besedilu: Uredba 850/1998/ES),</w:t>
      </w:r>
    </w:p>
    <w:p w:rsidR="003268B1" w:rsidRPr="003268B1" w:rsidRDefault="003268B1" w:rsidP="003268B1">
      <w:pPr>
        <w:pStyle w:val="Naslovpredpisa"/>
        <w:numPr>
          <w:ilvl w:val="0"/>
          <w:numId w:val="11"/>
        </w:numPr>
        <w:jc w:val="both"/>
        <w:rPr>
          <w:b w:val="0"/>
          <w:sz w:val="20"/>
          <w:szCs w:val="20"/>
        </w:rPr>
      </w:pPr>
      <w:r w:rsidRPr="003268B1">
        <w:rPr>
          <w:b w:val="0"/>
          <w:sz w:val="20"/>
          <w:szCs w:val="20"/>
        </w:rPr>
        <w:t>Uredbe Sveta (ES) št. 1185/2003 z dne 26. junija 2003 o odstranjevanju plavuti morskih psov na krovu plovil (UL L št. 167 z dne 4. 7. 2003, str. 1), zadnjič spremenjene z Uredbo (EU) št. 605/2013 Evropskega parlamenta in Sveta z dne 12. junija 2013 o spremembi Uredbe Sveta (ES) št. 1185/2003 o odstranjevanju plavuti morskih psov na krovu plovil (UL L št. 181 z dne 29. 6. 2013, str. 1), (v nadaljnjem besedilu: Uredba 1185/2003/ES),</w:t>
      </w:r>
    </w:p>
    <w:p w:rsidR="003268B1" w:rsidRPr="003268B1" w:rsidRDefault="003268B1" w:rsidP="003268B1">
      <w:pPr>
        <w:pStyle w:val="Naslovpredpisa"/>
        <w:numPr>
          <w:ilvl w:val="0"/>
          <w:numId w:val="11"/>
        </w:numPr>
        <w:jc w:val="both"/>
        <w:rPr>
          <w:b w:val="0"/>
          <w:sz w:val="20"/>
          <w:szCs w:val="20"/>
        </w:rPr>
      </w:pPr>
      <w:r w:rsidRPr="003268B1">
        <w:rPr>
          <w:b w:val="0"/>
          <w:sz w:val="20"/>
          <w:szCs w:val="20"/>
        </w:rPr>
        <w:t xml:space="preserve">Uredbe Sveta (ES) št. 2187/2005 z dne 21. decembra 2005 o ohranjanju ribolovnih virov s tehničnimi ukrepi v Baltskem morju, </w:t>
      </w:r>
      <w:proofErr w:type="spellStart"/>
      <w:r w:rsidRPr="003268B1">
        <w:rPr>
          <w:b w:val="0"/>
          <w:sz w:val="20"/>
          <w:szCs w:val="20"/>
        </w:rPr>
        <w:t>Beltih</w:t>
      </w:r>
      <w:proofErr w:type="spellEnd"/>
      <w:r w:rsidRPr="003268B1">
        <w:rPr>
          <w:b w:val="0"/>
          <w:sz w:val="20"/>
          <w:szCs w:val="20"/>
        </w:rPr>
        <w:t xml:space="preserve"> in </w:t>
      </w:r>
      <w:proofErr w:type="spellStart"/>
      <w:r w:rsidRPr="003268B1">
        <w:rPr>
          <w:b w:val="0"/>
          <w:sz w:val="20"/>
          <w:szCs w:val="20"/>
        </w:rPr>
        <w:t>Soundu</w:t>
      </w:r>
      <w:proofErr w:type="spellEnd"/>
      <w:r w:rsidRPr="003268B1">
        <w:rPr>
          <w:b w:val="0"/>
          <w:sz w:val="20"/>
          <w:szCs w:val="20"/>
        </w:rPr>
        <w:t>, spremembah Uredbe (ES) št. 1434/98 in razveljavitvi Uredbe (ES) št. 88/98 (UL L št. 349 z dne 31. 12. 2005, str. 1), zadnjič spremenjene z Uredbo (EU) 2016/1139 Evropskega parlamenta in Sveta z dne 6. julija 2016 o vzpostavitvi večletnega načrta za staleže trske, sleda in papaline v Baltskem morju ter za ribištvo, ki izkorišča te staleže, o spremembi Uredbe Sveta (ES) št. 2187/2005 in o razveljavitvi Uredbe Sveta (ES) št. 1098/2007 (UL L št. 191 z dne 15. 7. 2016, str. 1), (v nadaljnjem besedilu: Uredba 2187/2005/ES),</w:t>
      </w:r>
    </w:p>
    <w:p w:rsidR="003268B1" w:rsidRPr="003268B1" w:rsidRDefault="003268B1" w:rsidP="003268B1">
      <w:pPr>
        <w:pStyle w:val="Naslovpredpisa"/>
        <w:numPr>
          <w:ilvl w:val="0"/>
          <w:numId w:val="11"/>
        </w:numPr>
        <w:jc w:val="both"/>
        <w:rPr>
          <w:b w:val="0"/>
          <w:sz w:val="20"/>
          <w:szCs w:val="20"/>
        </w:rPr>
      </w:pPr>
      <w:r w:rsidRPr="003268B1">
        <w:rPr>
          <w:b w:val="0"/>
          <w:sz w:val="20"/>
          <w:szCs w:val="20"/>
        </w:rPr>
        <w:t>Uredbe Sveta (ES) št. 1967/2006 z dne 21. decembra 2006 o ukrepih za upravljanje za trajnostno izkoriščanje ribolovnih virov v Sredozemskem morju, spremembi Uredbe (EGS) št. 2847/93 in razveljavitvi Uredbe (ES) št. 1626/94 (UL L št. 409 z dne 30. 12. 2006, str. 11), zadnjič spremenjene z Izvedbeno uredbo Komisije (EU) št. 2017/929 z dne 31. maja 2017 o uvedbi odstopanja od Uredbe Sveta (ES) št. 1967/2006 glede najmanjše oddaljenosti od obale in najmanjše morske globine za potegalke odprtega morja, ki lovijo v teritorialnih vodah Grčije (UL L št. 141 z dne 1. 6. 2017, str. 3), (v nadaljnjem besedilu: Uredba 1967/2006/ES),</w:t>
      </w:r>
    </w:p>
    <w:p w:rsidR="003268B1" w:rsidRPr="003268B1" w:rsidRDefault="003268B1" w:rsidP="003268B1">
      <w:pPr>
        <w:pStyle w:val="Naslovpredpisa"/>
        <w:numPr>
          <w:ilvl w:val="0"/>
          <w:numId w:val="11"/>
        </w:numPr>
        <w:jc w:val="both"/>
        <w:rPr>
          <w:b w:val="0"/>
          <w:sz w:val="20"/>
          <w:szCs w:val="20"/>
        </w:rPr>
      </w:pPr>
      <w:r w:rsidRPr="003268B1">
        <w:rPr>
          <w:b w:val="0"/>
          <w:sz w:val="20"/>
          <w:szCs w:val="20"/>
        </w:rPr>
        <w:t xml:space="preserve">Uredbe Sveta (ES) št. 520/2007 z dne 7. maja 2007 o nekaterih tehničnih ukrepih za ohranitev nekaterih staležev izrazito </w:t>
      </w:r>
      <w:proofErr w:type="spellStart"/>
      <w:r w:rsidRPr="003268B1">
        <w:rPr>
          <w:b w:val="0"/>
          <w:sz w:val="20"/>
          <w:szCs w:val="20"/>
        </w:rPr>
        <w:t>selivskih</w:t>
      </w:r>
      <w:proofErr w:type="spellEnd"/>
      <w:r w:rsidRPr="003268B1">
        <w:rPr>
          <w:b w:val="0"/>
          <w:sz w:val="20"/>
          <w:szCs w:val="20"/>
        </w:rPr>
        <w:t xml:space="preserve"> vrst in razveljavitvi uredbe (ES) št. 973/2001 (UL L št. 123 z dne 12. 5. 2007, str. 3), zadnjič spremenjene z Uredbo Sveta (ES) št. 1559/2007 z dne 17. decembra 2007 o vzpostavitvi večletnega načrta za obnovo staleža </w:t>
      </w:r>
      <w:proofErr w:type="spellStart"/>
      <w:r w:rsidRPr="003268B1">
        <w:rPr>
          <w:b w:val="0"/>
          <w:sz w:val="20"/>
          <w:szCs w:val="20"/>
        </w:rPr>
        <w:t>modroplavutega</w:t>
      </w:r>
      <w:proofErr w:type="spellEnd"/>
      <w:r w:rsidRPr="003268B1">
        <w:rPr>
          <w:b w:val="0"/>
          <w:sz w:val="20"/>
          <w:szCs w:val="20"/>
        </w:rPr>
        <w:t xml:space="preserve"> tuna v vzhodnem Atlantiku in Sredozemskem morju in spremembah Uredbe (ES) št. 520/2007 (UL L št. 340 z dne 22. 12. 2007, str. 8), (v nadaljnjem besedilu: Uredba 520/2007/ES),</w:t>
      </w:r>
    </w:p>
    <w:p w:rsidR="003268B1" w:rsidRPr="003268B1" w:rsidRDefault="003268B1" w:rsidP="003268B1">
      <w:pPr>
        <w:pStyle w:val="Naslovpredpisa"/>
        <w:numPr>
          <w:ilvl w:val="0"/>
          <w:numId w:val="11"/>
        </w:numPr>
        <w:jc w:val="both"/>
        <w:rPr>
          <w:b w:val="0"/>
          <w:sz w:val="20"/>
          <w:szCs w:val="20"/>
        </w:rPr>
      </w:pPr>
      <w:r w:rsidRPr="003268B1">
        <w:rPr>
          <w:b w:val="0"/>
          <w:sz w:val="20"/>
          <w:szCs w:val="20"/>
        </w:rPr>
        <w:lastRenderedPageBreak/>
        <w:t>Uredbe Sveta (ES) št. 1224/2009 z dne 20. novembra 2009 o vzpostavitvi nadzornega sistema Skupnosti za zagotavljanje skladnosti s pravili skupne ribiške politike, o spremembi uredb (ES) št. 847/96, (ES) št. 2371/2002, (ES) št. 811/2004, (ES) št. 768/2005, (ES) št. 2115/2005, (ES) št. 2166/2005, (ES) št. 388/2006, (ES) št. 509/2007, (ES) št. 676/2007, (ES) št. 1098/2007, (ES) št. 1300/2008, (ES) št. 1342/2008 in razveljavitvi uredb (EGS) št. 2847/93, (ES) št. 1627/94 in (ES) št. 1966/2006 (UL L št. 343 z dne 22. 12. 2009, str. 1), zadnjič spremenjene z Uredbo (EU) 2023/2842 Evropskega parlamenta in Sveta z dne 22. novembra 2023 o spremembi Uredbe Sveta (ES) št. 1224/2009, uredb Sveta (ES) št. 1967/2006 in (ES) št. 1005/2008 ter uredb (EU) 2016/1139, (EU) 2017/2403 in (EU) 2019/473 Evropskega parlamenta in Sveta glede nadzora ribištva (UL L št. 2023/2842 z dne 20. 12. 2023), (v nadaljnjem besedilu: Uredba 1224/2009/ES),</w:t>
      </w:r>
    </w:p>
    <w:p w:rsidR="003268B1" w:rsidRDefault="003268B1" w:rsidP="003268B1">
      <w:pPr>
        <w:pStyle w:val="Naslovpredpisa"/>
        <w:numPr>
          <w:ilvl w:val="0"/>
          <w:numId w:val="11"/>
        </w:numPr>
        <w:jc w:val="both"/>
        <w:rPr>
          <w:b w:val="0"/>
          <w:sz w:val="20"/>
          <w:szCs w:val="20"/>
        </w:rPr>
      </w:pPr>
      <w:r w:rsidRPr="003268B1">
        <w:rPr>
          <w:b w:val="0"/>
          <w:sz w:val="20"/>
          <w:szCs w:val="20"/>
        </w:rPr>
        <w:t>Izvedbene uredbe Komisije (EU) št. 404/2011 z dne 8. aprila 2011 o določitvi podrobnih pravil za izvajanje Uredbe Sveta (ES) št. 1224/2009 o vzpostavitvi nadzornega sistema Skupnosti za zagotavljanje skladnosti s pravili skupne ribiške politike (UL L št. 112 z dne 30. 4. 2011, str. 1), zadnjič spremenjene z Izvedbeno uredbo Komisije (EU) 2020/863 z dne 22. junija 2020 o popravku nemške jezikovne različice Izvedbene uredbe (EU) št. 404/2011 o določitvi podrobnih pravil za izvajanje Uredbe Sveta (ES) št. 1224/2009 o vzpostavitvi nadzornega sistema Skupnosti za zagotavljanje skladnosti s pravili skupne ribiške politike (UL L št. 200 z dne 24. 6. 2020, str. 1), (v nadaljnjem besedilu: Izvedbena uredba 404/2011/EU),</w:t>
      </w:r>
    </w:p>
    <w:p w:rsidR="003268B1" w:rsidRPr="003268B1" w:rsidRDefault="003268B1" w:rsidP="003268B1">
      <w:pPr>
        <w:pStyle w:val="Naslovpredpisa"/>
        <w:numPr>
          <w:ilvl w:val="0"/>
          <w:numId w:val="11"/>
        </w:numPr>
        <w:jc w:val="both"/>
        <w:rPr>
          <w:b w:val="0"/>
          <w:sz w:val="20"/>
          <w:szCs w:val="20"/>
        </w:rPr>
      </w:pPr>
      <w:r w:rsidRPr="003268B1">
        <w:rPr>
          <w:b w:val="0"/>
          <w:sz w:val="20"/>
          <w:szCs w:val="20"/>
        </w:rPr>
        <w:t>Uredbe (EU) št. 1379/2013 Evropskega parlamenta in Sveta z dne 11. decembra 2013 o skupni ureditvi trgov za ribiške proizvode in proizvode iz ribogojstva in o spremembi uredb Sveta (ES) št. 1184/2006 in (ES) št. 1224/2009 ter razveljavitvi Uredbe Sveta (ES) št. 104/2000 (UL L št. 354 z dne 28. 12. 2013, str. 1), zadnjič spremenjene z Uredbo (EU) 2015/812 Evropskega parlamenta in Sveta z dne 20. maja 2015 o spremembi uredb Sveta (ES) št. 850/98, (ES) št. 2187/2005, (ES) št. 1967/2006, (ES) št. 1098/2007, (ES) št. 254/2002, (ES) št. 2347/2002 in (ES) št. 1224/2009 ter uredb (EU) št. 1379/2013 in (EU) št. 1380/2013 Evropskega parlamenta in Sveta glede obveznosti iztovarjanja ter razveljavitvi Uredbe Sveta (ES) št. 1434/98 (UL L št. 133 z dne 29. 5. 2015, str. 1), (v nadaljnjem besedilu: Uredba 1379/2013/EU),</w:t>
      </w:r>
    </w:p>
    <w:p w:rsidR="003268B1" w:rsidRPr="003268B1" w:rsidRDefault="003268B1" w:rsidP="003268B1">
      <w:pPr>
        <w:pStyle w:val="Naslovpredpisa"/>
        <w:numPr>
          <w:ilvl w:val="0"/>
          <w:numId w:val="11"/>
        </w:numPr>
        <w:jc w:val="both"/>
        <w:rPr>
          <w:b w:val="0"/>
          <w:sz w:val="20"/>
          <w:szCs w:val="20"/>
        </w:rPr>
      </w:pPr>
      <w:r w:rsidRPr="003268B1">
        <w:rPr>
          <w:b w:val="0"/>
          <w:sz w:val="20"/>
          <w:szCs w:val="20"/>
        </w:rPr>
        <w:t>Uredbe (EU) št. 1380/2013 Evropskega parlamenta in Sveta z dne 11. decembra 2013 o skupni ribiški politiki in o spremembi uredb Sveta (ES) št. 1954/2003 in (ES) št. 1224/2009 ter razveljavitvi uredb Sveta (ES) št. 2371/2002 in (ES) št. 639/2004 ter Sklepa Sveta 2004/585/ES (UL L št. 354 z dne 28. 12. 2013, str. 22), zadnjič spremenjene z Uredbo (EU) 2017/2092 Evropskega parlamenta in Sveta z dne 15. novembra 2017 o spremembi Uredbe (EU) št. 1380/2013 o skupni ribiški politiki (UL L št. 302 z dne 17. 11. 2017, str. 1), (v nadaljnjem besedilu: Uredba 1380/2013/EU) in</w:t>
      </w:r>
    </w:p>
    <w:p w:rsidR="003268B1" w:rsidRPr="00AF4D75" w:rsidRDefault="003268B1" w:rsidP="003268B1">
      <w:pPr>
        <w:pStyle w:val="Naslovpredpisa"/>
        <w:numPr>
          <w:ilvl w:val="0"/>
          <w:numId w:val="11"/>
        </w:numPr>
        <w:jc w:val="both"/>
        <w:rPr>
          <w:b w:val="0"/>
          <w:sz w:val="20"/>
          <w:szCs w:val="20"/>
        </w:rPr>
      </w:pPr>
      <w:r w:rsidRPr="003268B1">
        <w:rPr>
          <w:b w:val="0"/>
          <w:sz w:val="20"/>
          <w:szCs w:val="20"/>
        </w:rPr>
        <w:t>Delegirane uredbe Komisije (EU) 2015/98 z dne 18. novembra 2014 o izvajanju mednarodnih obveznosti Unije iz člena 15(2) Uredbe (EU) št. 1380/2013 Evropskega parlamenta in Sveta v okviru Mednarodne konvencije za ohranitev tunov v Atlantiku in Konvencije o prihodnjem večstranskem sodelovanju ribištva severozahodnega Atlantika (UL L št. 16 z dne 23. 1. 2015, str. 23), zadnjič spremenjene z Delegirano uredbo Komisije (EU) 2017/1352 z dne 18. aprila 2017 o spremembi Delegirane uredbe Komisije (EU) 2015/98 o izvajanju mednarodnih obveznosti Unije iz člena 15(2) Uredbe (EU) št. 1380/2013 Evropskega parlamenta in Sveta v okviru Mednarodne konvencije za ohranitev tunov v Atlantiku in Konvencije o prihodnjem večstranskem sodelovanju ribištva severozahodnega Atlantika (UL L št. 190 z dne 21. 7. 2017, str. 1), (v nadaljnjem besedilu: Uredba 98/2015/EU).</w:t>
      </w:r>
      <w:r w:rsidR="006D0AC5">
        <w:rPr>
          <w:b w:val="0"/>
          <w:sz w:val="20"/>
          <w:szCs w:val="20"/>
        </w:rPr>
        <w:t>«</w:t>
      </w:r>
    </w:p>
    <w:p w:rsidR="004552A6" w:rsidRPr="00AF4D75" w:rsidRDefault="004552A6" w:rsidP="004552A6">
      <w:pPr>
        <w:shd w:val="clear" w:color="auto" w:fill="FFFFFF"/>
        <w:spacing w:before="100" w:beforeAutospacing="1" w:after="75" w:afterAutospacing="1" w:line="240" w:lineRule="auto"/>
        <w:jc w:val="both"/>
        <w:rPr>
          <w:rFonts w:ascii="Arial" w:eastAsia="Times New Roman" w:hAnsi="Arial" w:cs="Arial"/>
          <w:color w:val="292B2C"/>
          <w:sz w:val="20"/>
          <w:szCs w:val="20"/>
          <w:lang w:eastAsia="sl-SI"/>
        </w:rPr>
      </w:pPr>
      <w:bookmarkStart w:id="0" w:name="_GoBack"/>
      <w:bookmarkEnd w:id="0"/>
    </w:p>
    <w:p w:rsidR="00F803CA" w:rsidRDefault="00F803CA" w:rsidP="00F803CA">
      <w:pPr>
        <w:pStyle w:val="Naslovpredpisa"/>
        <w:rPr>
          <w:sz w:val="20"/>
          <w:szCs w:val="20"/>
        </w:rPr>
      </w:pPr>
      <w:r>
        <w:rPr>
          <w:sz w:val="20"/>
          <w:szCs w:val="20"/>
        </w:rPr>
        <w:t xml:space="preserve">2. </w:t>
      </w:r>
      <w:r w:rsidRPr="00AF4D75">
        <w:rPr>
          <w:sz w:val="20"/>
          <w:szCs w:val="20"/>
        </w:rPr>
        <w:t>člen</w:t>
      </w:r>
    </w:p>
    <w:p w:rsidR="00F803CA" w:rsidRDefault="00F803CA" w:rsidP="00F803CA">
      <w:pPr>
        <w:pStyle w:val="Naslovpredpisa"/>
        <w:rPr>
          <w:sz w:val="20"/>
          <w:szCs w:val="20"/>
        </w:rPr>
      </w:pPr>
    </w:p>
    <w:p w:rsidR="00F803CA" w:rsidRPr="00F803CA" w:rsidRDefault="006D0AC5" w:rsidP="00F803CA">
      <w:pPr>
        <w:pStyle w:val="Naslovpredpisa"/>
        <w:jc w:val="both"/>
        <w:rPr>
          <w:b w:val="0"/>
          <w:sz w:val="20"/>
          <w:szCs w:val="20"/>
        </w:rPr>
      </w:pPr>
      <w:r>
        <w:rPr>
          <w:b w:val="0"/>
          <w:sz w:val="20"/>
          <w:szCs w:val="20"/>
        </w:rPr>
        <w:t>1</w:t>
      </w:r>
      <w:r w:rsidR="00F803CA" w:rsidRPr="00F803CA">
        <w:rPr>
          <w:b w:val="0"/>
          <w:sz w:val="20"/>
          <w:szCs w:val="20"/>
        </w:rPr>
        <w:t>3. člen se spremeni tako, da se glasi:</w:t>
      </w:r>
    </w:p>
    <w:p w:rsidR="0086366D" w:rsidRPr="00AF4D75" w:rsidRDefault="006D0AC5" w:rsidP="0086366D">
      <w:pPr>
        <w:pStyle w:val="len"/>
        <w:rPr>
          <w:sz w:val="20"/>
          <w:szCs w:val="20"/>
        </w:rPr>
      </w:pPr>
      <w:r>
        <w:rPr>
          <w:b w:val="0"/>
          <w:sz w:val="20"/>
          <w:szCs w:val="20"/>
        </w:rPr>
        <w:t>»</w:t>
      </w:r>
      <w:r>
        <w:rPr>
          <w:sz w:val="20"/>
          <w:szCs w:val="20"/>
        </w:rPr>
        <w:t>13</w:t>
      </w:r>
      <w:r w:rsidR="004552A6" w:rsidRPr="00AF4D75">
        <w:rPr>
          <w:sz w:val="20"/>
          <w:szCs w:val="20"/>
        </w:rPr>
        <w:t>.</w:t>
      </w:r>
      <w:r w:rsidR="0086366D" w:rsidRPr="00AF4D75">
        <w:rPr>
          <w:sz w:val="20"/>
          <w:szCs w:val="20"/>
        </w:rPr>
        <w:t>člen</w:t>
      </w:r>
    </w:p>
    <w:p w:rsidR="0086366D" w:rsidRPr="00AF4D75" w:rsidRDefault="0086366D" w:rsidP="0086366D">
      <w:pPr>
        <w:pStyle w:val="lennaslov"/>
        <w:rPr>
          <w:sz w:val="20"/>
          <w:szCs w:val="20"/>
        </w:rPr>
      </w:pPr>
      <w:r w:rsidRPr="00AF4D75">
        <w:rPr>
          <w:sz w:val="20"/>
          <w:szCs w:val="20"/>
        </w:rPr>
        <w:t>(merila</w:t>
      </w:r>
      <w:r w:rsidR="004552A6" w:rsidRPr="00AF4D75">
        <w:rPr>
          <w:sz w:val="20"/>
          <w:szCs w:val="20"/>
        </w:rPr>
        <w:t xml:space="preserve"> in</w:t>
      </w:r>
      <w:r w:rsidRPr="00AF4D75">
        <w:rPr>
          <w:sz w:val="20"/>
          <w:szCs w:val="20"/>
        </w:rPr>
        <w:t xml:space="preserve"> točke in globe za hude kršitve pravil skupne ribiške politike za imetnika dovoljenja za gospodarski ribolov)</w:t>
      </w:r>
    </w:p>
    <w:p w:rsidR="0086366D" w:rsidRPr="00AF4D75" w:rsidRDefault="0086366D" w:rsidP="0086366D">
      <w:pPr>
        <w:pStyle w:val="Odstavek"/>
        <w:rPr>
          <w:sz w:val="20"/>
          <w:szCs w:val="20"/>
        </w:rPr>
      </w:pPr>
      <w:r w:rsidRPr="00AF4D75">
        <w:rPr>
          <w:sz w:val="20"/>
          <w:szCs w:val="20"/>
        </w:rPr>
        <w:t xml:space="preserve">(1) V skladu z 90. členom Uredbe 1224/2009/ES in Prilogo XXX k Uredbi 404/2011/EU (v nadaljnjem besedilu: Priloga XXX) se kršitve iz točke (a) prvega odstavka 42. člena, ki pomenijo da ribiška plovila opravljajo ribolov, ki se v skladu s prvim odstavkom 3. člena Uredbe 1005/2008/ES šteje za nezakonit, neprijavljen ali </w:t>
      </w:r>
      <w:proofErr w:type="spellStart"/>
      <w:r w:rsidRPr="00AF4D75">
        <w:rPr>
          <w:sz w:val="20"/>
          <w:szCs w:val="20"/>
        </w:rPr>
        <w:t>nereguliran</w:t>
      </w:r>
      <w:proofErr w:type="spellEnd"/>
      <w:r w:rsidRPr="00AF4D75">
        <w:rPr>
          <w:sz w:val="20"/>
          <w:szCs w:val="20"/>
        </w:rPr>
        <w:t xml:space="preserve"> ribolov štejejo za hude kršitve ob upoštevanju naslednjih meril, pri čemer se imetniku dovoljenja za gospodarski ribolov izreče:</w:t>
      </w:r>
    </w:p>
    <w:p w:rsidR="0086366D" w:rsidRPr="00AF4D75" w:rsidRDefault="0086366D" w:rsidP="006D0AC5">
      <w:pPr>
        <w:pStyle w:val="tevilnatoka"/>
        <w:numPr>
          <w:ilvl w:val="0"/>
          <w:numId w:val="13"/>
        </w:numPr>
        <w:rPr>
          <w:rFonts w:cs="Arial"/>
          <w:sz w:val="20"/>
          <w:szCs w:val="20"/>
        </w:rPr>
      </w:pPr>
      <w:r w:rsidRPr="00AF4D75">
        <w:rPr>
          <w:rFonts w:cs="Arial"/>
          <w:sz w:val="20"/>
          <w:szCs w:val="20"/>
        </w:rPr>
        <w:lastRenderedPageBreak/>
        <w:t>tri (3) točke za hudo kršitev pod št. 1 Priloge XXX, če je izpolnjen vsaj eden od naslednjih pogojev:</w:t>
      </w:r>
    </w:p>
    <w:p w:rsidR="0086366D" w:rsidRPr="00AF4D75" w:rsidRDefault="0086366D" w:rsidP="006D0AC5">
      <w:pPr>
        <w:pStyle w:val="Alineazatevilnotoko"/>
        <w:numPr>
          <w:ilvl w:val="0"/>
          <w:numId w:val="15"/>
        </w:numPr>
        <w:rPr>
          <w:sz w:val="20"/>
          <w:szCs w:val="20"/>
        </w:rPr>
      </w:pPr>
      <w:r w:rsidRPr="00AF4D75">
        <w:rPr>
          <w:sz w:val="20"/>
          <w:szCs w:val="20"/>
        </w:rPr>
        <w:t>dejanski ulov je za najmanj 20 % večji od količine, zabeležene v ladijskem dnevniku, in znaša vsaj 50 kilogramov,</w:t>
      </w:r>
    </w:p>
    <w:p w:rsidR="0086366D" w:rsidRPr="00AF4D75" w:rsidRDefault="0086366D" w:rsidP="006D0AC5">
      <w:pPr>
        <w:pStyle w:val="Alineazatevilnotoko"/>
        <w:numPr>
          <w:ilvl w:val="0"/>
          <w:numId w:val="15"/>
        </w:numPr>
        <w:rPr>
          <w:sz w:val="20"/>
          <w:szCs w:val="20"/>
        </w:rPr>
      </w:pPr>
      <w:r w:rsidRPr="00AF4D75">
        <w:rPr>
          <w:sz w:val="20"/>
          <w:szCs w:val="20"/>
        </w:rPr>
        <w:t>ladijski dnevnik ni bil petkrat ustrezno izpolnjen in oddan v obdobju dveh zaporednih mesecev,</w:t>
      </w:r>
    </w:p>
    <w:p w:rsidR="0086366D" w:rsidRPr="00AF4D75" w:rsidRDefault="0086366D" w:rsidP="006D0AC5">
      <w:pPr>
        <w:pStyle w:val="Alineazatevilnotoko"/>
        <w:numPr>
          <w:ilvl w:val="0"/>
          <w:numId w:val="15"/>
        </w:numPr>
        <w:rPr>
          <w:sz w:val="20"/>
          <w:szCs w:val="20"/>
        </w:rPr>
      </w:pPr>
      <w:r w:rsidRPr="00AF4D75">
        <w:rPr>
          <w:sz w:val="20"/>
          <w:szCs w:val="20"/>
        </w:rPr>
        <w:t>ribiško plovilo je trikrat izplulo z nedelujočim sistemom za satelitsko spremljanje plovil v obdobju dveh zaporednih mesecev, če je imelo sistem za satelitsko spremljanje ustrezno nameščen, predhodno pa ni pridobilo soglasja ministrstva, pristojnega za ribištvo (v nadaljnjem besedilu: ministrstvo);</w:t>
      </w:r>
    </w:p>
    <w:p w:rsidR="0086366D" w:rsidRPr="00AF4D75" w:rsidRDefault="0086366D" w:rsidP="006D0AC5">
      <w:pPr>
        <w:pStyle w:val="tevilnatoka"/>
        <w:numPr>
          <w:ilvl w:val="0"/>
          <w:numId w:val="13"/>
        </w:numPr>
        <w:rPr>
          <w:rFonts w:cs="Arial"/>
          <w:sz w:val="20"/>
          <w:szCs w:val="20"/>
        </w:rPr>
      </w:pPr>
      <w:r w:rsidRPr="00AF4D75">
        <w:rPr>
          <w:rFonts w:cs="Arial"/>
          <w:sz w:val="20"/>
          <w:szCs w:val="20"/>
        </w:rPr>
        <w:t>štiri (4) točke za hudo kršitev pod št. 2 Priloge XXX, če je izpolnjen vsaj eden od naslednjih pogojev:</w:t>
      </w:r>
    </w:p>
    <w:p w:rsidR="0086366D" w:rsidRPr="00AF4D75" w:rsidRDefault="0086366D" w:rsidP="006D0AC5">
      <w:pPr>
        <w:pStyle w:val="Alineazatevilnotoko"/>
        <w:numPr>
          <w:ilvl w:val="0"/>
          <w:numId w:val="17"/>
        </w:numPr>
        <w:rPr>
          <w:sz w:val="20"/>
          <w:szCs w:val="20"/>
        </w:rPr>
      </w:pPr>
      <w:r w:rsidRPr="00AF4D75">
        <w:rPr>
          <w:sz w:val="20"/>
          <w:szCs w:val="20"/>
        </w:rPr>
        <w:t>ribiško plovilo je uporabljalo ribolovno orodje, za katerega ni imelo izdanega dovoljenja za gospodarski ribolov,</w:t>
      </w:r>
    </w:p>
    <w:p w:rsidR="0086366D" w:rsidRPr="00AF4D75" w:rsidRDefault="0086366D" w:rsidP="006D0AC5">
      <w:pPr>
        <w:pStyle w:val="Alineazatevilnotoko"/>
        <w:numPr>
          <w:ilvl w:val="0"/>
          <w:numId w:val="17"/>
        </w:numPr>
        <w:rPr>
          <w:sz w:val="20"/>
          <w:szCs w:val="20"/>
        </w:rPr>
      </w:pPr>
      <w:r w:rsidRPr="00AF4D75">
        <w:rPr>
          <w:sz w:val="20"/>
          <w:szCs w:val="20"/>
        </w:rPr>
        <w:t>dimenzije mrežnega očesa na ribolovnem orodju so manjše od dovoljenih dimenzij;</w:t>
      </w:r>
    </w:p>
    <w:p w:rsidR="0086366D" w:rsidRPr="00AF4D75" w:rsidRDefault="0086366D" w:rsidP="006D0AC5">
      <w:pPr>
        <w:pStyle w:val="tevilnatoka"/>
        <w:numPr>
          <w:ilvl w:val="0"/>
          <w:numId w:val="13"/>
        </w:numPr>
        <w:rPr>
          <w:rFonts w:cs="Arial"/>
          <w:sz w:val="20"/>
          <w:szCs w:val="20"/>
        </w:rPr>
      </w:pPr>
      <w:r w:rsidRPr="00AF4D75">
        <w:rPr>
          <w:rFonts w:cs="Arial"/>
          <w:sz w:val="20"/>
          <w:szCs w:val="20"/>
        </w:rPr>
        <w:t>pet (5) točk za hudo kršitev pod št. 3 Priloge XXX za vse kršitve, ki se nanašajo na ponarejanje ali prikrivanje oznak, identitete ali registracije ribiškega plovila;</w:t>
      </w:r>
    </w:p>
    <w:p w:rsidR="0086366D" w:rsidRPr="00AF4D75" w:rsidRDefault="0086366D" w:rsidP="006D0AC5">
      <w:pPr>
        <w:pStyle w:val="tevilnatoka"/>
        <w:numPr>
          <w:ilvl w:val="0"/>
          <w:numId w:val="13"/>
        </w:numPr>
        <w:rPr>
          <w:rFonts w:cs="Arial"/>
          <w:sz w:val="20"/>
          <w:szCs w:val="20"/>
        </w:rPr>
      </w:pPr>
      <w:r w:rsidRPr="00AF4D75">
        <w:rPr>
          <w:rFonts w:cs="Arial"/>
          <w:sz w:val="20"/>
          <w:szCs w:val="20"/>
        </w:rPr>
        <w:t>pet (5) točk za hudo kršitev pod št. 4 Priloge XXX za vse kršitve, ki se nanašajo na prikrivanje, nedovoljeno spreminjanje ali uničevanje dokazov, povezanih s preiskavo;</w:t>
      </w:r>
    </w:p>
    <w:p w:rsidR="0086366D" w:rsidRPr="00AF4D75" w:rsidRDefault="0086366D" w:rsidP="006D0AC5">
      <w:pPr>
        <w:pStyle w:val="tevilnatoka"/>
        <w:numPr>
          <w:ilvl w:val="0"/>
          <w:numId w:val="13"/>
        </w:numPr>
        <w:rPr>
          <w:rFonts w:cs="Arial"/>
          <w:sz w:val="20"/>
          <w:szCs w:val="20"/>
        </w:rPr>
      </w:pPr>
      <w:r w:rsidRPr="00AF4D75">
        <w:rPr>
          <w:rFonts w:cs="Arial"/>
          <w:sz w:val="20"/>
          <w:szCs w:val="20"/>
        </w:rPr>
        <w:t>pet (5) točk za hudo kršitev pod št. 5 Priloge XXX, če je količina natovorjenih, pretovorjenih ali iztovorjenih podmernih rib večja od 10 % celotnega ulova in znaša vsaj 20 kilogramov;</w:t>
      </w:r>
    </w:p>
    <w:p w:rsidR="0086366D" w:rsidRPr="00AF4D75" w:rsidRDefault="0086366D" w:rsidP="006D0AC5">
      <w:pPr>
        <w:pStyle w:val="tevilnatoka"/>
        <w:numPr>
          <w:ilvl w:val="0"/>
          <w:numId w:val="13"/>
        </w:numPr>
        <w:rPr>
          <w:rFonts w:cs="Arial"/>
          <w:sz w:val="20"/>
          <w:szCs w:val="20"/>
        </w:rPr>
      </w:pPr>
      <w:r w:rsidRPr="00AF4D75">
        <w:rPr>
          <w:rFonts w:cs="Arial"/>
          <w:sz w:val="20"/>
          <w:szCs w:val="20"/>
        </w:rPr>
        <w:t>pet (5) točk za hudo kršitev pod št. 6 Priloge XXX, če poteka izvajanje ribolovnih dejavnosti na območju regionalne organizacije za upravljanje ribištva na način, ki ni v skladu z ukrepi te organizacije, če je izpolnjen vsaj eden od naslednjih pogojev:</w:t>
      </w:r>
    </w:p>
    <w:p w:rsidR="0086366D" w:rsidRPr="00AF4D75" w:rsidRDefault="0086366D" w:rsidP="006D0AC5">
      <w:pPr>
        <w:pStyle w:val="Alineazatevilnotoko"/>
        <w:numPr>
          <w:ilvl w:val="0"/>
          <w:numId w:val="18"/>
        </w:numPr>
        <w:rPr>
          <w:sz w:val="20"/>
          <w:szCs w:val="20"/>
        </w:rPr>
      </w:pPr>
      <w:r w:rsidRPr="00AF4D75">
        <w:rPr>
          <w:sz w:val="20"/>
          <w:szCs w:val="20"/>
        </w:rPr>
        <w:t xml:space="preserve">količina ulovljenih rib, ki so bile ulovljene v zaprtem območju ali </w:t>
      </w:r>
      <w:proofErr w:type="spellStart"/>
      <w:r w:rsidRPr="00AF4D75">
        <w:rPr>
          <w:sz w:val="20"/>
          <w:szCs w:val="20"/>
        </w:rPr>
        <w:t>nelovni</w:t>
      </w:r>
      <w:proofErr w:type="spellEnd"/>
      <w:r w:rsidRPr="00AF4D75">
        <w:rPr>
          <w:sz w:val="20"/>
          <w:szCs w:val="20"/>
        </w:rPr>
        <w:t xml:space="preserve"> dobi, brez kvote ali po doseženi kvoti, je večja od 20 kilogramov in sta bila ulovljena najmanj dva osebka,</w:t>
      </w:r>
    </w:p>
    <w:p w:rsidR="0086366D" w:rsidRPr="00AF4D75" w:rsidRDefault="0086366D" w:rsidP="006D0AC5">
      <w:pPr>
        <w:pStyle w:val="Alineazatevilnotoko"/>
        <w:numPr>
          <w:ilvl w:val="0"/>
          <w:numId w:val="18"/>
        </w:numPr>
        <w:rPr>
          <w:sz w:val="20"/>
          <w:szCs w:val="20"/>
        </w:rPr>
      </w:pPr>
      <w:r w:rsidRPr="00AF4D75">
        <w:rPr>
          <w:sz w:val="20"/>
          <w:szCs w:val="20"/>
        </w:rPr>
        <w:t>količina ulovljenih rib, ki jih je na tem območju prepovedano loviti, je večja od 10 % celotnega ulova in znaša vsaj 20 kilogramov,</w:t>
      </w:r>
    </w:p>
    <w:p w:rsidR="0086366D" w:rsidRPr="00AF4D75" w:rsidRDefault="0086366D" w:rsidP="006D0AC5">
      <w:pPr>
        <w:pStyle w:val="Alineazatevilnotoko"/>
        <w:numPr>
          <w:ilvl w:val="0"/>
          <w:numId w:val="18"/>
        </w:numPr>
        <w:rPr>
          <w:sz w:val="20"/>
          <w:szCs w:val="20"/>
        </w:rPr>
      </w:pPr>
      <w:r w:rsidRPr="00AF4D75">
        <w:rPr>
          <w:sz w:val="20"/>
          <w:szCs w:val="20"/>
        </w:rPr>
        <w:t>dejanski ulov je vsaj za 20 % večji od količine, zabeležene v ladijskem dnevniku in znaša vsaj 50 kilogramov,</w:t>
      </w:r>
    </w:p>
    <w:p w:rsidR="0086366D" w:rsidRPr="00AF4D75" w:rsidRDefault="0086366D" w:rsidP="006D0AC5">
      <w:pPr>
        <w:pStyle w:val="Alineazatevilnotoko"/>
        <w:numPr>
          <w:ilvl w:val="0"/>
          <w:numId w:val="18"/>
        </w:numPr>
        <w:rPr>
          <w:sz w:val="20"/>
          <w:szCs w:val="20"/>
        </w:rPr>
      </w:pPr>
      <w:r w:rsidRPr="00AF4D75">
        <w:rPr>
          <w:sz w:val="20"/>
          <w:szCs w:val="20"/>
        </w:rPr>
        <w:t>dimenzije mrežnega očesa na ribolovnem orodju so manjše od dovoljenih dimenzij;</w:t>
      </w:r>
    </w:p>
    <w:p w:rsidR="0086366D" w:rsidRPr="00AF4D75" w:rsidRDefault="0086366D" w:rsidP="006D0AC5">
      <w:pPr>
        <w:pStyle w:val="tevilnatoka"/>
        <w:numPr>
          <w:ilvl w:val="0"/>
          <w:numId w:val="13"/>
        </w:numPr>
        <w:rPr>
          <w:rFonts w:cs="Arial"/>
          <w:sz w:val="20"/>
          <w:szCs w:val="20"/>
        </w:rPr>
      </w:pPr>
      <w:r w:rsidRPr="00AF4D75">
        <w:rPr>
          <w:rFonts w:cs="Arial"/>
          <w:sz w:val="20"/>
          <w:szCs w:val="20"/>
        </w:rPr>
        <w:t>sedem (7) točk za hudo kršitev pod št. 7 Priloge XXX, če se ribolov izvaja na ribiškem plovilu, ki nima veljavnega dovoljenja za gospodarski ribolov ali veljavnega posebnega dovoljenja za gospodarski ribolov;</w:t>
      </w:r>
    </w:p>
    <w:p w:rsidR="0086366D" w:rsidRPr="00AF4D75" w:rsidRDefault="0086366D" w:rsidP="006D0AC5">
      <w:pPr>
        <w:pStyle w:val="tevilnatoka"/>
        <w:numPr>
          <w:ilvl w:val="0"/>
          <w:numId w:val="13"/>
        </w:numPr>
        <w:rPr>
          <w:rFonts w:cs="Arial"/>
          <w:sz w:val="20"/>
          <w:szCs w:val="20"/>
        </w:rPr>
      </w:pPr>
      <w:r w:rsidRPr="00AF4D75">
        <w:rPr>
          <w:rFonts w:cs="Arial"/>
          <w:sz w:val="20"/>
          <w:szCs w:val="20"/>
        </w:rPr>
        <w:t xml:space="preserve">šest (6) točk za hudo kršitev pod št. 8 Priloge XXX, če je količina ulovljenih rib, ki so bile ulovljene v zaprtem območju ali v </w:t>
      </w:r>
      <w:proofErr w:type="spellStart"/>
      <w:r w:rsidRPr="00AF4D75">
        <w:rPr>
          <w:rFonts w:cs="Arial"/>
          <w:sz w:val="20"/>
          <w:szCs w:val="20"/>
        </w:rPr>
        <w:t>nelovni</w:t>
      </w:r>
      <w:proofErr w:type="spellEnd"/>
      <w:r w:rsidRPr="00AF4D75">
        <w:rPr>
          <w:rFonts w:cs="Arial"/>
          <w:sz w:val="20"/>
          <w:szCs w:val="20"/>
        </w:rPr>
        <w:t xml:space="preserve"> dobi, brez kvote ali po doseženi kvoti, večja od 20 kilogramov in sta bila ulovljena vsaj dva osebka;</w:t>
      </w:r>
    </w:p>
    <w:p w:rsidR="0086366D" w:rsidRPr="00AF4D75" w:rsidRDefault="0086366D" w:rsidP="006D0AC5">
      <w:pPr>
        <w:pStyle w:val="tevilnatoka"/>
        <w:numPr>
          <w:ilvl w:val="0"/>
          <w:numId w:val="13"/>
        </w:numPr>
        <w:rPr>
          <w:rFonts w:cs="Arial"/>
          <w:sz w:val="20"/>
          <w:szCs w:val="20"/>
        </w:rPr>
      </w:pPr>
      <w:r w:rsidRPr="00AF4D75">
        <w:rPr>
          <w:rFonts w:cs="Arial"/>
          <w:sz w:val="20"/>
          <w:szCs w:val="20"/>
        </w:rPr>
        <w:t>sedem (7) točk za hudo kršitev pod št. 9 Priloge XXX, če je ribolov ciljno usmerjen v ribje vrste, za katere velja moratorij ali prepoved ribolova, in je količina ulovljenih rib večja od 20 kilogramov;</w:t>
      </w:r>
    </w:p>
    <w:p w:rsidR="0086366D" w:rsidRPr="00AF4D75" w:rsidRDefault="0086366D" w:rsidP="006D0AC5">
      <w:pPr>
        <w:pStyle w:val="tevilnatoka"/>
        <w:numPr>
          <w:ilvl w:val="0"/>
          <w:numId w:val="13"/>
        </w:numPr>
        <w:rPr>
          <w:rFonts w:cs="Arial"/>
          <w:sz w:val="20"/>
          <w:szCs w:val="20"/>
        </w:rPr>
      </w:pPr>
      <w:r w:rsidRPr="00AF4D75">
        <w:rPr>
          <w:rFonts w:cs="Arial"/>
          <w:sz w:val="20"/>
          <w:szCs w:val="20"/>
        </w:rPr>
        <w:t>sedem (7) točk za hudo kršitev pod št. 10 Priloge XXX, če ovira delo inšpektorjev, policistov ali drugih uradnikov pri izvajanju nalog pregledovanja skladnosti z veljavnimi ukrepi za ohranjanje in upravljanje ali delo opazovalcev pri izvajanju nalog opazovanja skladnosti z veljavnimi pravili Unije;</w:t>
      </w:r>
    </w:p>
    <w:p w:rsidR="0086366D" w:rsidRPr="00AF4D75" w:rsidRDefault="0086366D" w:rsidP="006D0AC5">
      <w:pPr>
        <w:pStyle w:val="tevilnatoka"/>
        <w:numPr>
          <w:ilvl w:val="0"/>
          <w:numId w:val="13"/>
        </w:numPr>
        <w:rPr>
          <w:rFonts w:cs="Arial"/>
          <w:sz w:val="20"/>
          <w:szCs w:val="20"/>
        </w:rPr>
      </w:pPr>
      <w:r w:rsidRPr="00AF4D75">
        <w:rPr>
          <w:rFonts w:cs="Arial"/>
          <w:sz w:val="20"/>
          <w:szCs w:val="20"/>
        </w:rPr>
        <w:t xml:space="preserve">sedem (7) točk za hudo kršitev pod št. 11 Priloge XXX, če pretovarja na ribiška plovila, za katera je bilo ugotovljeno, da so v zadnjih treh letih izvajala nezakonit, neprijavljen ali </w:t>
      </w:r>
      <w:proofErr w:type="spellStart"/>
      <w:r w:rsidRPr="00AF4D75">
        <w:rPr>
          <w:rFonts w:cs="Arial"/>
          <w:sz w:val="20"/>
          <w:szCs w:val="20"/>
        </w:rPr>
        <w:t>nereguliran</w:t>
      </w:r>
      <w:proofErr w:type="spellEnd"/>
      <w:r w:rsidRPr="00AF4D75">
        <w:rPr>
          <w:rFonts w:cs="Arial"/>
          <w:sz w:val="20"/>
          <w:szCs w:val="20"/>
        </w:rPr>
        <w:t xml:space="preserve"> ribolov, kot to določa Uredba Sveta (ES) št. 1005/2008 z dne 29. septembra 2008 o vzpostavitvi sistema Skupnosti za preprečevanje nezakonitega, neprijavljenega in </w:t>
      </w:r>
      <w:proofErr w:type="spellStart"/>
      <w:r w:rsidRPr="00AF4D75">
        <w:rPr>
          <w:rFonts w:cs="Arial"/>
          <w:sz w:val="20"/>
          <w:szCs w:val="20"/>
        </w:rPr>
        <w:t>nereguliranega</w:t>
      </w:r>
      <w:proofErr w:type="spellEnd"/>
      <w:r w:rsidRPr="00AF4D75">
        <w:rPr>
          <w:rFonts w:cs="Arial"/>
          <w:sz w:val="20"/>
          <w:szCs w:val="20"/>
        </w:rPr>
        <w:t xml:space="preserve"> ribolova, za odvračanje od njega ter za njegovo odpravljanje in o spremembi uredb (EGS) št. 2847/93, (ES) št. 1936/2001 in (ES) št. 601/2005 ter o razveljavitvi uredb (ES) št. 1093/94 in (ES) št. 1447/1999 (UL L št. 286 z dne 29. 10. 2008, str. 1), zadnjič spremenjena z Uredbo Komisije (EU) št. 202/2011 z dne 1. marca 2011 o spremembi Priloge I k Uredbi Sveta (ES) št. 1005/2008 v zvezi z opredelitvijo ribiških proizvodov ter o spremembi Uredbe Komisije (ES) št. 1010/2009 v zvezi z obrazci za predhodna obvestila, okvirnimi vrednostmi za inšpekcije v pristaniščih in priznanimi sistemi dokumentacije o ulovu, ki so jih sprejele regionalne organizacije za upravljanje ribištva (UL L št. 57 z dne 2. 3. 2011, str. 10), (v nadaljnjem besedilu: Uredba 1005/2008/ES), ali so na seznamu plovil Unije, ki opravljajo nezakonit, neprijavljen in </w:t>
      </w:r>
      <w:proofErr w:type="spellStart"/>
      <w:r w:rsidRPr="00AF4D75">
        <w:rPr>
          <w:rFonts w:cs="Arial"/>
          <w:sz w:val="20"/>
          <w:szCs w:val="20"/>
        </w:rPr>
        <w:t>nereguliran</w:t>
      </w:r>
      <w:proofErr w:type="spellEnd"/>
      <w:r w:rsidRPr="00AF4D75">
        <w:rPr>
          <w:rFonts w:cs="Arial"/>
          <w:sz w:val="20"/>
          <w:szCs w:val="20"/>
        </w:rPr>
        <w:t xml:space="preserve"> ribolov, ali na seznamu plovil, ki opravljajo nezakonit, neprijavljen in </w:t>
      </w:r>
      <w:proofErr w:type="spellStart"/>
      <w:r w:rsidRPr="00AF4D75">
        <w:rPr>
          <w:rFonts w:cs="Arial"/>
          <w:sz w:val="20"/>
          <w:szCs w:val="20"/>
        </w:rPr>
        <w:t>nereguliran</w:t>
      </w:r>
      <w:proofErr w:type="spellEnd"/>
      <w:r w:rsidRPr="00AF4D75">
        <w:rPr>
          <w:rFonts w:cs="Arial"/>
          <w:sz w:val="20"/>
          <w:szCs w:val="20"/>
        </w:rPr>
        <w:t xml:space="preserve"> ribolov, ki ga sprejmejo regionalne organizacije za upravljanje ribištva, sodelovanje v skupnih ribolovnih operacijah s takimi plovili ali podpiranje in oskrbovanje takih plovil;</w:t>
      </w:r>
    </w:p>
    <w:p w:rsidR="0086366D" w:rsidRPr="00AF4D75" w:rsidRDefault="0086366D" w:rsidP="006D0AC5">
      <w:pPr>
        <w:pStyle w:val="tevilnatoka"/>
        <w:numPr>
          <w:ilvl w:val="0"/>
          <w:numId w:val="13"/>
        </w:numPr>
        <w:rPr>
          <w:rFonts w:cs="Arial"/>
          <w:sz w:val="20"/>
          <w:szCs w:val="20"/>
        </w:rPr>
      </w:pPr>
      <w:r w:rsidRPr="00AF4D75">
        <w:rPr>
          <w:rFonts w:cs="Arial"/>
          <w:sz w:val="20"/>
          <w:szCs w:val="20"/>
        </w:rPr>
        <w:t>sedem (7) točk za hudo kršitev pod št. 12 Priloge XXX, če uporabi ribiško plovilo brez državljanstva oziroma plovilo, ki je v skladu z mednarodno zakonodajo brez državne pripadnosti.</w:t>
      </w:r>
    </w:p>
    <w:p w:rsidR="0086366D" w:rsidRPr="00AF4D75" w:rsidRDefault="0086366D" w:rsidP="00AF4D75">
      <w:pPr>
        <w:pStyle w:val="Odstavek"/>
        <w:rPr>
          <w:sz w:val="20"/>
          <w:szCs w:val="20"/>
        </w:rPr>
      </w:pPr>
    </w:p>
    <w:p w:rsidR="0086366D" w:rsidRPr="00AF4D75" w:rsidRDefault="0086366D" w:rsidP="0086366D">
      <w:pPr>
        <w:pStyle w:val="tevilnatoka"/>
        <w:ind w:left="425"/>
        <w:rPr>
          <w:rFonts w:cs="Arial"/>
          <w:sz w:val="20"/>
          <w:szCs w:val="20"/>
        </w:rPr>
      </w:pPr>
    </w:p>
    <w:p w:rsidR="0086366D" w:rsidRPr="00AF4D75" w:rsidRDefault="00AF4D75" w:rsidP="0086366D">
      <w:pPr>
        <w:pStyle w:val="tevilnatoka"/>
        <w:rPr>
          <w:rFonts w:cs="Arial"/>
          <w:sz w:val="20"/>
          <w:szCs w:val="20"/>
        </w:rPr>
      </w:pPr>
      <w:r w:rsidRPr="00AF4D75">
        <w:rPr>
          <w:rFonts w:cs="Arial"/>
          <w:sz w:val="20"/>
          <w:szCs w:val="20"/>
        </w:rPr>
        <w:lastRenderedPageBreak/>
        <w:t xml:space="preserve">         </w:t>
      </w:r>
      <w:r w:rsidR="0086366D" w:rsidRPr="00AF4D75">
        <w:rPr>
          <w:rFonts w:cs="Arial"/>
          <w:sz w:val="20"/>
          <w:szCs w:val="20"/>
        </w:rPr>
        <w:t>(</w:t>
      </w:r>
      <w:r w:rsidRPr="00AF4D75">
        <w:rPr>
          <w:rFonts w:cs="Arial"/>
          <w:sz w:val="20"/>
          <w:szCs w:val="20"/>
        </w:rPr>
        <w:t>2</w:t>
      </w:r>
      <w:r w:rsidR="0086366D" w:rsidRPr="00AF4D75">
        <w:rPr>
          <w:rFonts w:cs="Arial"/>
          <w:sz w:val="20"/>
          <w:szCs w:val="20"/>
        </w:rPr>
        <w:t xml:space="preserve">) Za hudo kršitev obveznosti iztovarjanja iz </w:t>
      </w:r>
      <w:r w:rsidRPr="00AF4D75">
        <w:rPr>
          <w:rFonts w:cs="Arial"/>
          <w:sz w:val="20"/>
          <w:szCs w:val="20"/>
        </w:rPr>
        <w:t>x</w:t>
      </w:r>
      <w:r w:rsidR="0086366D" w:rsidRPr="00AF4D75">
        <w:rPr>
          <w:rFonts w:cs="Arial"/>
          <w:sz w:val="20"/>
          <w:szCs w:val="20"/>
        </w:rPr>
        <w:t xml:space="preserve">. točke prejšnjega odstavka se imetniku dovoljenja za gospodarski ribolov skladno s prvim odstavkom 92. člena Uredbe 1224/2009/EU izreče tudi pet (5) točk za hudo kršitev.  </w:t>
      </w:r>
    </w:p>
    <w:p w:rsidR="0086366D" w:rsidRPr="00AF4D75" w:rsidRDefault="0086366D" w:rsidP="0086366D">
      <w:pPr>
        <w:pStyle w:val="tevilnatoka"/>
        <w:rPr>
          <w:rFonts w:cs="Arial"/>
          <w:sz w:val="20"/>
          <w:szCs w:val="20"/>
        </w:rPr>
      </w:pPr>
    </w:p>
    <w:p w:rsidR="0086366D" w:rsidRPr="00AF4D75" w:rsidRDefault="0086366D" w:rsidP="00AF4D75">
      <w:pPr>
        <w:pStyle w:val="tevilnatoka"/>
        <w:ind w:left="425"/>
        <w:rPr>
          <w:rFonts w:cs="Arial"/>
          <w:sz w:val="20"/>
          <w:szCs w:val="20"/>
        </w:rPr>
      </w:pPr>
      <w:r w:rsidRPr="00AF4D75">
        <w:rPr>
          <w:rFonts w:cs="Arial"/>
          <w:sz w:val="20"/>
          <w:szCs w:val="20"/>
        </w:rPr>
        <w:t>(</w:t>
      </w:r>
      <w:r w:rsidR="00AF4D75" w:rsidRPr="00AF4D75">
        <w:rPr>
          <w:rFonts w:cs="Arial"/>
          <w:sz w:val="20"/>
          <w:szCs w:val="20"/>
        </w:rPr>
        <w:t>3</w:t>
      </w:r>
      <w:r w:rsidRPr="00AF4D75">
        <w:rPr>
          <w:rFonts w:cs="Arial"/>
          <w:sz w:val="20"/>
          <w:szCs w:val="20"/>
        </w:rPr>
        <w:t>) Imetniku dovoljenja za gospodarski ribolov, ki je storil hudo kršitev iz prvega ali drugega odstavka tega člena, ki je privedla do pridobitve ribiških proizvodov ali proizvodov iz ribogojstva, se za izvajanje tretjega odstavka 90. člena Uredbe 1224/2009/EU ter drugega odstavka 44. člena Uredbe 1005/2008/ES, se globa določi v višini najmanj petkratnika vrednosti ribiških proizvodov ali proizvodov iz ribogojstva, pridobljenih s storitvijo hude kršitve, pri čemer se upošteva razpone glob iz zakona, ki ureja prekrške.</w:t>
      </w:r>
    </w:p>
    <w:p w:rsidR="0086366D" w:rsidRPr="00AF4D75" w:rsidRDefault="0086366D" w:rsidP="00AF4D75">
      <w:pPr>
        <w:pStyle w:val="tevilnatoka"/>
        <w:rPr>
          <w:rFonts w:cs="Arial"/>
          <w:sz w:val="20"/>
          <w:szCs w:val="20"/>
        </w:rPr>
      </w:pPr>
    </w:p>
    <w:p w:rsidR="0086366D" w:rsidRDefault="0086366D" w:rsidP="00AF4D75">
      <w:pPr>
        <w:pStyle w:val="tevilnatoka"/>
        <w:ind w:left="425"/>
        <w:rPr>
          <w:rFonts w:cs="Arial"/>
          <w:sz w:val="20"/>
          <w:szCs w:val="20"/>
        </w:rPr>
      </w:pPr>
      <w:r w:rsidRPr="00AF4D75">
        <w:rPr>
          <w:rFonts w:cs="Arial"/>
          <w:sz w:val="20"/>
          <w:szCs w:val="20"/>
        </w:rPr>
        <w:t>(</w:t>
      </w:r>
      <w:r w:rsidR="00AF4D75" w:rsidRPr="00AF4D75">
        <w:rPr>
          <w:rFonts w:cs="Arial"/>
          <w:sz w:val="20"/>
          <w:szCs w:val="20"/>
        </w:rPr>
        <w:t>4</w:t>
      </w:r>
      <w:r w:rsidRPr="00AF4D75">
        <w:rPr>
          <w:rFonts w:cs="Arial"/>
          <w:sz w:val="20"/>
          <w:szCs w:val="20"/>
        </w:rPr>
        <w:t>) Če se huda kršitev imetnika dovoljenja za gospodarski ribolov, ki je privedla do pridobitve ribiških proizvodov ali proizvodov iz ribogojstva, v petih letih ponovi, se v skladu s tretjim odstavkom 90. člena Uredbe 1224/2009/EU ter drugim odstavkom 44. člena Uredbe 1005/2008/ES taka ponovljena huda kršitev kaznuje z globo, katere najvišji znesek je najmanj osemkratnik vrednosti ribiških proizvodov ali proizvodov iz ribogojstva, pridobljenih s storitvijo hude kršitve, pri čemer se upošteva razpone glob iz zakona, ki ureja prekrške.</w:t>
      </w:r>
      <w:r w:rsidR="006D0AC5">
        <w:rPr>
          <w:rFonts w:cs="Arial"/>
          <w:sz w:val="20"/>
          <w:szCs w:val="20"/>
        </w:rPr>
        <w:t>«</w:t>
      </w:r>
    </w:p>
    <w:p w:rsidR="006D0AC5" w:rsidRDefault="006D0AC5" w:rsidP="006D0AC5">
      <w:pPr>
        <w:pStyle w:val="Naslovpredpisa"/>
        <w:rPr>
          <w:sz w:val="20"/>
          <w:szCs w:val="20"/>
        </w:rPr>
      </w:pPr>
    </w:p>
    <w:p w:rsidR="006D0AC5" w:rsidRDefault="006D0AC5" w:rsidP="006D0AC5">
      <w:pPr>
        <w:pStyle w:val="Naslovpredpisa"/>
        <w:rPr>
          <w:sz w:val="20"/>
          <w:szCs w:val="20"/>
        </w:rPr>
      </w:pPr>
      <w:r>
        <w:rPr>
          <w:sz w:val="20"/>
          <w:szCs w:val="20"/>
        </w:rPr>
        <w:t xml:space="preserve">3. </w:t>
      </w:r>
      <w:r w:rsidRPr="00AF4D75">
        <w:rPr>
          <w:sz w:val="20"/>
          <w:szCs w:val="20"/>
        </w:rPr>
        <w:t>člen</w:t>
      </w:r>
    </w:p>
    <w:p w:rsidR="006D0AC5" w:rsidRDefault="006D0AC5" w:rsidP="006D0AC5">
      <w:pPr>
        <w:pStyle w:val="Naslovpredpisa"/>
        <w:rPr>
          <w:sz w:val="20"/>
          <w:szCs w:val="20"/>
        </w:rPr>
      </w:pPr>
    </w:p>
    <w:p w:rsidR="006D0AC5" w:rsidRPr="006D0AC5" w:rsidRDefault="006D0AC5" w:rsidP="006D0AC5">
      <w:pPr>
        <w:pStyle w:val="Naslovpredpisa"/>
        <w:jc w:val="both"/>
        <w:rPr>
          <w:b w:val="0"/>
          <w:sz w:val="20"/>
          <w:szCs w:val="20"/>
        </w:rPr>
      </w:pPr>
      <w:r>
        <w:rPr>
          <w:b w:val="0"/>
          <w:sz w:val="20"/>
          <w:szCs w:val="20"/>
        </w:rPr>
        <w:t>14</w:t>
      </w:r>
      <w:r w:rsidRPr="00F803CA">
        <w:rPr>
          <w:b w:val="0"/>
          <w:sz w:val="20"/>
          <w:szCs w:val="20"/>
        </w:rPr>
        <w:t>. člen se spremeni tako, da se glasi:</w:t>
      </w:r>
      <w:r>
        <w:rPr>
          <w:b w:val="0"/>
          <w:sz w:val="20"/>
          <w:szCs w:val="20"/>
        </w:rPr>
        <w:t xml:space="preserve"> </w:t>
      </w:r>
    </w:p>
    <w:p w:rsidR="0086366D" w:rsidRPr="00AF4D75" w:rsidRDefault="006D0AC5" w:rsidP="0086366D">
      <w:pPr>
        <w:pStyle w:val="len"/>
        <w:rPr>
          <w:sz w:val="20"/>
          <w:szCs w:val="20"/>
        </w:rPr>
      </w:pPr>
      <w:r>
        <w:rPr>
          <w:b w:val="0"/>
          <w:sz w:val="20"/>
          <w:szCs w:val="20"/>
        </w:rPr>
        <w:t>»</w:t>
      </w:r>
      <w:r>
        <w:rPr>
          <w:sz w:val="20"/>
          <w:szCs w:val="20"/>
        </w:rPr>
        <w:t>14</w:t>
      </w:r>
      <w:r w:rsidR="0086366D" w:rsidRPr="00AF4D75">
        <w:rPr>
          <w:sz w:val="20"/>
          <w:szCs w:val="20"/>
        </w:rPr>
        <w:t>. člen</w:t>
      </w:r>
    </w:p>
    <w:p w:rsidR="0086366D" w:rsidRPr="00AF4D75" w:rsidRDefault="0086366D" w:rsidP="0086366D">
      <w:pPr>
        <w:pStyle w:val="lennaslov"/>
        <w:rPr>
          <w:sz w:val="20"/>
          <w:szCs w:val="20"/>
        </w:rPr>
      </w:pPr>
      <w:r w:rsidRPr="00AF4D75">
        <w:rPr>
          <w:sz w:val="20"/>
          <w:szCs w:val="20"/>
        </w:rPr>
        <w:t>(merila, točke in globe za hude kršitve pravil skupne ribiške politike za kapitana ribiškega plovila)</w:t>
      </w:r>
    </w:p>
    <w:p w:rsidR="0086366D" w:rsidRPr="00AF4D75" w:rsidRDefault="006D0AC5" w:rsidP="0086366D">
      <w:pPr>
        <w:pStyle w:val="Odstavek"/>
        <w:rPr>
          <w:sz w:val="20"/>
          <w:szCs w:val="20"/>
        </w:rPr>
      </w:pPr>
      <w:r>
        <w:rPr>
          <w:sz w:val="20"/>
          <w:szCs w:val="20"/>
        </w:rPr>
        <w:t xml:space="preserve">(1) </w:t>
      </w:r>
      <w:r w:rsidR="0086366D" w:rsidRPr="00AF4D75">
        <w:rPr>
          <w:sz w:val="20"/>
          <w:szCs w:val="20"/>
        </w:rPr>
        <w:t xml:space="preserve">V skladu z 90. členom Uredbe 1224/2009/EU in Priloge XXX se kršitve iz točke (a) prvega odstavka 42. člena, ki pomenijo da ribiška plovila opravljajo ribolov, ki se v skladu s prvim odstavkom 3. člena Uredbe 1005/2008/ES šteje za nezakonit, neprijavljen ali </w:t>
      </w:r>
      <w:proofErr w:type="spellStart"/>
      <w:r w:rsidR="0086366D" w:rsidRPr="00AF4D75">
        <w:rPr>
          <w:sz w:val="20"/>
          <w:szCs w:val="20"/>
        </w:rPr>
        <w:t>nereguliran</w:t>
      </w:r>
      <w:proofErr w:type="spellEnd"/>
      <w:r w:rsidR="0086366D" w:rsidRPr="00AF4D75">
        <w:rPr>
          <w:sz w:val="20"/>
          <w:szCs w:val="20"/>
        </w:rPr>
        <w:t xml:space="preserve"> ribolov štejejo za hude kršitve ob upoštevanju naslednjih meril, pri čemer se kapitanu ribiškega plovila izreče:</w:t>
      </w:r>
    </w:p>
    <w:p w:rsidR="0086366D" w:rsidRPr="00AF4D75" w:rsidRDefault="0086366D" w:rsidP="006D0AC5">
      <w:pPr>
        <w:pStyle w:val="tevilnatoka"/>
        <w:numPr>
          <w:ilvl w:val="0"/>
          <w:numId w:val="20"/>
        </w:numPr>
        <w:rPr>
          <w:rFonts w:cs="Arial"/>
          <w:sz w:val="20"/>
          <w:szCs w:val="20"/>
        </w:rPr>
      </w:pPr>
      <w:r w:rsidRPr="00AF4D75">
        <w:rPr>
          <w:rFonts w:cs="Arial"/>
          <w:sz w:val="20"/>
          <w:szCs w:val="20"/>
        </w:rPr>
        <w:t>tri (3) točke za hudo kršitev pod št. 1 Priloge XXX, če je izpolnjen vsaj eden od naslednjih pogojev:</w:t>
      </w:r>
    </w:p>
    <w:p w:rsidR="0086366D" w:rsidRPr="00AF4D75" w:rsidRDefault="0086366D" w:rsidP="006D0AC5">
      <w:pPr>
        <w:pStyle w:val="Alineazatevilnotoko"/>
        <w:numPr>
          <w:ilvl w:val="0"/>
          <w:numId w:val="22"/>
        </w:numPr>
        <w:rPr>
          <w:sz w:val="20"/>
          <w:szCs w:val="20"/>
        </w:rPr>
      </w:pPr>
      <w:r w:rsidRPr="00AF4D75">
        <w:rPr>
          <w:sz w:val="20"/>
          <w:szCs w:val="20"/>
        </w:rPr>
        <w:t>dejanski ulov je za najmanj 20 % večji od količine, zabeležene v ladijskem dnevniku in znaša vsaj 50 kilogramov,</w:t>
      </w:r>
    </w:p>
    <w:p w:rsidR="0086366D" w:rsidRPr="00AF4D75" w:rsidRDefault="0086366D" w:rsidP="006D0AC5">
      <w:pPr>
        <w:pStyle w:val="Alineazatevilnotoko"/>
        <w:numPr>
          <w:ilvl w:val="0"/>
          <w:numId w:val="22"/>
        </w:numPr>
        <w:rPr>
          <w:sz w:val="20"/>
          <w:szCs w:val="20"/>
        </w:rPr>
      </w:pPr>
      <w:r w:rsidRPr="00AF4D75">
        <w:rPr>
          <w:sz w:val="20"/>
          <w:szCs w:val="20"/>
        </w:rPr>
        <w:t>ladijski dnevnik petkrat ni bil ustrezno izpolnjen in oddan v obdobju dveh zaporednih mesecev,</w:t>
      </w:r>
    </w:p>
    <w:p w:rsidR="0086366D" w:rsidRPr="00AF4D75" w:rsidRDefault="0086366D" w:rsidP="006D0AC5">
      <w:pPr>
        <w:pStyle w:val="Alineazatevilnotoko"/>
        <w:numPr>
          <w:ilvl w:val="0"/>
          <w:numId w:val="22"/>
        </w:numPr>
        <w:rPr>
          <w:sz w:val="20"/>
          <w:szCs w:val="20"/>
        </w:rPr>
      </w:pPr>
      <w:r w:rsidRPr="00AF4D75">
        <w:rPr>
          <w:sz w:val="20"/>
          <w:szCs w:val="20"/>
        </w:rPr>
        <w:t>ribiško plovilo je trikrat izplulo z nedelujočim sistemom za satelitsko spremljanje plovil v obdobju dveh zaporednih mesecev, če je imelo sistem za satelitsko spremljanje ustrezno nameščen, predhodno pa ni pridobilo soglasja ministrstva, pristojnega za ribištvo (v nadaljnjem besedilu: ministrstvo);</w:t>
      </w:r>
    </w:p>
    <w:p w:rsidR="0086366D" w:rsidRPr="00AF4D75" w:rsidRDefault="0086366D" w:rsidP="006D0AC5">
      <w:pPr>
        <w:pStyle w:val="tevilnatoka"/>
        <w:numPr>
          <w:ilvl w:val="0"/>
          <w:numId w:val="20"/>
        </w:numPr>
        <w:rPr>
          <w:rFonts w:cs="Arial"/>
          <w:sz w:val="20"/>
          <w:szCs w:val="20"/>
        </w:rPr>
      </w:pPr>
      <w:r w:rsidRPr="00AF4D75">
        <w:rPr>
          <w:rFonts w:cs="Arial"/>
          <w:sz w:val="20"/>
          <w:szCs w:val="20"/>
        </w:rPr>
        <w:t>štiri (4) točke za hudo kršitev pod št. 2 Priloge XXX, če je izpolnjen vsaj eden od naslednjih pogojev:</w:t>
      </w:r>
    </w:p>
    <w:p w:rsidR="0086366D" w:rsidRPr="00AF4D75" w:rsidRDefault="0086366D" w:rsidP="006D0AC5">
      <w:pPr>
        <w:pStyle w:val="Alineazatevilnotoko"/>
        <w:numPr>
          <w:ilvl w:val="0"/>
          <w:numId w:val="23"/>
        </w:numPr>
        <w:rPr>
          <w:sz w:val="20"/>
          <w:szCs w:val="20"/>
        </w:rPr>
      </w:pPr>
      <w:r w:rsidRPr="00AF4D75">
        <w:rPr>
          <w:sz w:val="20"/>
          <w:szCs w:val="20"/>
        </w:rPr>
        <w:t>ribiško plovilo je uporabljalo ribolovno orodje, za katerega ni imelo izdanega dovoljenja za gospodarski ribolov,</w:t>
      </w:r>
    </w:p>
    <w:p w:rsidR="0086366D" w:rsidRPr="00AF4D75" w:rsidRDefault="0086366D" w:rsidP="006D0AC5">
      <w:pPr>
        <w:pStyle w:val="Alineazatevilnotoko"/>
        <w:numPr>
          <w:ilvl w:val="0"/>
          <w:numId w:val="23"/>
        </w:numPr>
        <w:rPr>
          <w:sz w:val="20"/>
          <w:szCs w:val="20"/>
        </w:rPr>
      </w:pPr>
      <w:r w:rsidRPr="00AF4D75">
        <w:rPr>
          <w:sz w:val="20"/>
          <w:szCs w:val="20"/>
        </w:rPr>
        <w:t>dimenzije mrežnega očesa na ribolovnem orodju so manjše od dovoljenih dimenzij;</w:t>
      </w:r>
    </w:p>
    <w:p w:rsidR="0086366D" w:rsidRPr="00AF4D75" w:rsidRDefault="0086366D" w:rsidP="006D0AC5">
      <w:pPr>
        <w:pStyle w:val="tevilnatoka"/>
        <w:numPr>
          <w:ilvl w:val="0"/>
          <w:numId w:val="20"/>
        </w:numPr>
        <w:rPr>
          <w:rFonts w:cs="Arial"/>
          <w:sz w:val="20"/>
          <w:szCs w:val="20"/>
        </w:rPr>
      </w:pPr>
      <w:r w:rsidRPr="00AF4D75">
        <w:rPr>
          <w:rFonts w:cs="Arial"/>
          <w:sz w:val="20"/>
          <w:szCs w:val="20"/>
        </w:rPr>
        <w:t>pet (5) točk za hudo kršitev pod št. 3 Priloge XXX za vse kršitve, ki se nanašajo na ponarejanje ali prikrivanje oznak, identitete ali registracije ribiškega plovila;</w:t>
      </w:r>
    </w:p>
    <w:p w:rsidR="0086366D" w:rsidRPr="00AF4D75" w:rsidRDefault="0086366D" w:rsidP="006D0AC5">
      <w:pPr>
        <w:pStyle w:val="tevilnatoka"/>
        <w:numPr>
          <w:ilvl w:val="0"/>
          <w:numId w:val="20"/>
        </w:numPr>
        <w:rPr>
          <w:rFonts w:cs="Arial"/>
          <w:sz w:val="20"/>
          <w:szCs w:val="20"/>
        </w:rPr>
      </w:pPr>
      <w:r w:rsidRPr="00AF4D75">
        <w:rPr>
          <w:rFonts w:cs="Arial"/>
          <w:sz w:val="20"/>
          <w:szCs w:val="20"/>
        </w:rPr>
        <w:t>pet (5) točk za hudo kršitev pod št. 4 Priloge XXX za vse kršitve, ki se nanašajo na prikrivanje, nedovoljeno spreminjanje ali uničevanje dokazov, povezanih s preiskavo;</w:t>
      </w:r>
    </w:p>
    <w:p w:rsidR="0086366D" w:rsidRPr="00AF4D75" w:rsidRDefault="0086366D" w:rsidP="006D0AC5">
      <w:pPr>
        <w:pStyle w:val="tevilnatoka"/>
        <w:numPr>
          <w:ilvl w:val="0"/>
          <w:numId w:val="20"/>
        </w:numPr>
        <w:rPr>
          <w:rFonts w:cs="Arial"/>
          <w:sz w:val="20"/>
          <w:szCs w:val="20"/>
        </w:rPr>
      </w:pPr>
      <w:r w:rsidRPr="00AF4D75">
        <w:rPr>
          <w:rFonts w:cs="Arial"/>
          <w:sz w:val="20"/>
          <w:szCs w:val="20"/>
        </w:rPr>
        <w:t>pet (5) točk za hudo kršitev pod št. 5 Priloge XXX, če je količina natovorjenih, pretovorjenih ali iztovorjenih podmernih rib večja od 10 % celotnega ulova in znaša vsaj 20 kilogramov;</w:t>
      </w:r>
    </w:p>
    <w:p w:rsidR="0086366D" w:rsidRPr="00AF4D75" w:rsidRDefault="0086366D" w:rsidP="006D0AC5">
      <w:pPr>
        <w:pStyle w:val="tevilnatoka"/>
        <w:numPr>
          <w:ilvl w:val="0"/>
          <w:numId w:val="20"/>
        </w:numPr>
        <w:rPr>
          <w:rFonts w:cs="Arial"/>
          <w:sz w:val="20"/>
          <w:szCs w:val="20"/>
        </w:rPr>
      </w:pPr>
      <w:r w:rsidRPr="00AF4D75">
        <w:rPr>
          <w:rFonts w:cs="Arial"/>
          <w:sz w:val="20"/>
          <w:szCs w:val="20"/>
        </w:rPr>
        <w:t>pet (5) točk za  hudo kršitev pod št. 6 Priloge XXX, če poteka izvajanje ribolovnih dejavnosti na območju regionalne organizacije za upravljanje ribištva na način, ki ni v skladu z ukrepi te organizacije, če je izpolnjen vsaj eden od naslednjih pogojev:</w:t>
      </w:r>
    </w:p>
    <w:p w:rsidR="0086366D" w:rsidRPr="00AF4D75" w:rsidRDefault="0086366D" w:rsidP="006D0AC5">
      <w:pPr>
        <w:pStyle w:val="Alineazatevilnotoko"/>
        <w:numPr>
          <w:ilvl w:val="0"/>
          <w:numId w:val="24"/>
        </w:numPr>
        <w:rPr>
          <w:sz w:val="20"/>
          <w:szCs w:val="20"/>
        </w:rPr>
      </w:pPr>
      <w:r w:rsidRPr="00AF4D75">
        <w:rPr>
          <w:sz w:val="20"/>
          <w:szCs w:val="20"/>
        </w:rPr>
        <w:t xml:space="preserve">količina ulovljenih rib, ki so bile ulovljene v zaprtem območju ali v </w:t>
      </w:r>
      <w:proofErr w:type="spellStart"/>
      <w:r w:rsidRPr="00AF4D75">
        <w:rPr>
          <w:sz w:val="20"/>
          <w:szCs w:val="20"/>
        </w:rPr>
        <w:t>nelovni</w:t>
      </w:r>
      <w:proofErr w:type="spellEnd"/>
      <w:r w:rsidRPr="00AF4D75">
        <w:rPr>
          <w:sz w:val="20"/>
          <w:szCs w:val="20"/>
        </w:rPr>
        <w:t xml:space="preserve"> dobi, brez kvote ali po doseženi kvoti, je večja od 20 kilogramov in sta bila ulovljena vsaj dva osebka,</w:t>
      </w:r>
    </w:p>
    <w:p w:rsidR="0086366D" w:rsidRPr="00AF4D75" w:rsidRDefault="0086366D" w:rsidP="006D0AC5">
      <w:pPr>
        <w:pStyle w:val="Alineazatevilnotoko"/>
        <w:numPr>
          <w:ilvl w:val="0"/>
          <w:numId w:val="24"/>
        </w:numPr>
        <w:rPr>
          <w:sz w:val="20"/>
          <w:szCs w:val="20"/>
        </w:rPr>
      </w:pPr>
      <w:r w:rsidRPr="00AF4D75">
        <w:rPr>
          <w:sz w:val="20"/>
          <w:szCs w:val="20"/>
        </w:rPr>
        <w:t>količina ulovljenih rib, ki jih je na tem območju prepovedano loviti, je večja od 10 % celotnega ulova in znaša vsaj 20 kilogramov,</w:t>
      </w:r>
    </w:p>
    <w:p w:rsidR="0086366D" w:rsidRPr="00AF4D75" w:rsidRDefault="0086366D" w:rsidP="006D0AC5">
      <w:pPr>
        <w:pStyle w:val="Alineazatevilnotoko"/>
        <w:numPr>
          <w:ilvl w:val="0"/>
          <w:numId w:val="24"/>
        </w:numPr>
        <w:rPr>
          <w:sz w:val="20"/>
          <w:szCs w:val="20"/>
        </w:rPr>
      </w:pPr>
      <w:r w:rsidRPr="00AF4D75">
        <w:rPr>
          <w:sz w:val="20"/>
          <w:szCs w:val="20"/>
        </w:rPr>
        <w:t>dejanski ulov je večji za najmanj 20 % od količine, zabeležene v ladijskem dnevniku in znaša vsaj 50 kilogramov,</w:t>
      </w:r>
    </w:p>
    <w:p w:rsidR="0086366D" w:rsidRPr="00AF4D75" w:rsidRDefault="0086366D" w:rsidP="006D0AC5">
      <w:pPr>
        <w:pStyle w:val="Alineazatevilnotoko"/>
        <w:numPr>
          <w:ilvl w:val="0"/>
          <w:numId w:val="24"/>
        </w:numPr>
        <w:rPr>
          <w:sz w:val="20"/>
          <w:szCs w:val="20"/>
        </w:rPr>
      </w:pPr>
      <w:r w:rsidRPr="00AF4D75">
        <w:rPr>
          <w:sz w:val="20"/>
          <w:szCs w:val="20"/>
        </w:rPr>
        <w:t>dimenzije mrežnega očesa na ribolovnem orodju so manjše od dovoljenih dimenzij;</w:t>
      </w:r>
    </w:p>
    <w:p w:rsidR="0086366D" w:rsidRPr="00AF4D75" w:rsidRDefault="0086366D" w:rsidP="006D0AC5">
      <w:pPr>
        <w:pStyle w:val="tevilnatoka"/>
        <w:numPr>
          <w:ilvl w:val="0"/>
          <w:numId w:val="20"/>
        </w:numPr>
        <w:rPr>
          <w:rFonts w:cs="Arial"/>
          <w:sz w:val="20"/>
          <w:szCs w:val="20"/>
        </w:rPr>
      </w:pPr>
      <w:r w:rsidRPr="00AF4D75">
        <w:rPr>
          <w:rFonts w:cs="Arial"/>
          <w:sz w:val="20"/>
          <w:szCs w:val="20"/>
        </w:rPr>
        <w:lastRenderedPageBreak/>
        <w:t>sedem (7) točk za hudo kršitev pod št. 7 Priloge XXX, če se ribolov izvaja na ribiškem plovilu, ki nima veljavnega dovoljenja za gospodarski ribolov ali veljavnega posebnega dovoljenja za gospodarski ribolov;</w:t>
      </w:r>
    </w:p>
    <w:p w:rsidR="0086366D" w:rsidRPr="00AF4D75" w:rsidRDefault="0086366D" w:rsidP="006D0AC5">
      <w:pPr>
        <w:pStyle w:val="tevilnatoka"/>
        <w:numPr>
          <w:ilvl w:val="0"/>
          <w:numId w:val="20"/>
        </w:numPr>
        <w:rPr>
          <w:rFonts w:cs="Arial"/>
          <w:sz w:val="20"/>
          <w:szCs w:val="20"/>
        </w:rPr>
      </w:pPr>
      <w:r w:rsidRPr="00AF4D75">
        <w:rPr>
          <w:rFonts w:cs="Arial"/>
          <w:sz w:val="20"/>
          <w:szCs w:val="20"/>
        </w:rPr>
        <w:t xml:space="preserve">šest (6) točk za hudo kršitev pod št. 8 Priloge XXX, če je količina ulovljenih rib, ki so bile ulovljene v zaprtem območju ali v </w:t>
      </w:r>
      <w:proofErr w:type="spellStart"/>
      <w:r w:rsidRPr="00AF4D75">
        <w:rPr>
          <w:rFonts w:cs="Arial"/>
          <w:sz w:val="20"/>
          <w:szCs w:val="20"/>
        </w:rPr>
        <w:t>nelovni</w:t>
      </w:r>
      <w:proofErr w:type="spellEnd"/>
      <w:r w:rsidRPr="00AF4D75">
        <w:rPr>
          <w:rFonts w:cs="Arial"/>
          <w:sz w:val="20"/>
          <w:szCs w:val="20"/>
        </w:rPr>
        <w:t xml:space="preserve"> dobi, brez kvote ali po doseženi kvoti, večja od 20 kilogramov in sta bila ulovljena vsaj dva osebka;</w:t>
      </w:r>
    </w:p>
    <w:p w:rsidR="0086366D" w:rsidRPr="00AF4D75" w:rsidRDefault="0086366D" w:rsidP="006D0AC5">
      <w:pPr>
        <w:pStyle w:val="tevilnatoka"/>
        <w:numPr>
          <w:ilvl w:val="0"/>
          <w:numId w:val="20"/>
        </w:numPr>
        <w:rPr>
          <w:rFonts w:cs="Arial"/>
          <w:sz w:val="20"/>
          <w:szCs w:val="20"/>
        </w:rPr>
      </w:pPr>
      <w:r w:rsidRPr="00AF4D75">
        <w:rPr>
          <w:rFonts w:cs="Arial"/>
          <w:sz w:val="20"/>
          <w:szCs w:val="20"/>
        </w:rPr>
        <w:t>sedem (7) točk za hudo kršitev pod št. 9 Priloge XXX, če je ribolov ciljno usmerjen v ribje vrste, za katere velja moratorij ali prepoved ribolova, in je količina ulovljenih rib večja od 20 kilogramov;</w:t>
      </w:r>
    </w:p>
    <w:p w:rsidR="0086366D" w:rsidRPr="00AF4D75" w:rsidRDefault="0086366D" w:rsidP="006D0AC5">
      <w:pPr>
        <w:pStyle w:val="tevilnatoka"/>
        <w:numPr>
          <w:ilvl w:val="0"/>
          <w:numId w:val="20"/>
        </w:numPr>
        <w:rPr>
          <w:rFonts w:cs="Arial"/>
          <w:sz w:val="20"/>
          <w:szCs w:val="20"/>
        </w:rPr>
      </w:pPr>
      <w:r w:rsidRPr="00AF4D75">
        <w:rPr>
          <w:rFonts w:cs="Arial"/>
          <w:sz w:val="20"/>
          <w:szCs w:val="20"/>
        </w:rPr>
        <w:t>sedem (7) točk za hudo kršitev pod št. 10 Priloge XXX, če ovira delo inšpektorjev, policistov ali drugih uradnikov pri izvajanju nalog pregledovanja skladnosti z veljavnimi ukrepi za ohranjanje in upravljanje ali delo opazovalcev pri izvajanju nalog opazovanja skladnosti z veljavnimi pravili Unije;</w:t>
      </w:r>
    </w:p>
    <w:p w:rsidR="0086366D" w:rsidRPr="00AF4D75" w:rsidRDefault="0086366D" w:rsidP="006D0AC5">
      <w:pPr>
        <w:pStyle w:val="tevilnatoka"/>
        <w:numPr>
          <w:ilvl w:val="0"/>
          <w:numId w:val="20"/>
        </w:numPr>
        <w:rPr>
          <w:rFonts w:cs="Arial"/>
          <w:sz w:val="20"/>
          <w:szCs w:val="20"/>
        </w:rPr>
      </w:pPr>
      <w:r w:rsidRPr="00AF4D75">
        <w:rPr>
          <w:rFonts w:cs="Arial"/>
          <w:sz w:val="20"/>
          <w:szCs w:val="20"/>
        </w:rPr>
        <w:t xml:space="preserve">sedem (7) točk za hudo kršitev pod št. 11 Priloge XXX, če pretovarja na ribiška plovila, za katera je bilo ugotovljeno, da so v zadnjih treh letih izvajala nezakonit, neprijavljen ali </w:t>
      </w:r>
      <w:proofErr w:type="spellStart"/>
      <w:r w:rsidRPr="00AF4D75">
        <w:rPr>
          <w:rFonts w:cs="Arial"/>
          <w:sz w:val="20"/>
          <w:szCs w:val="20"/>
        </w:rPr>
        <w:t>nereguliran</w:t>
      </w:r>
      <w:proofErr w:type="spellEnd"/>
      <w:r w:rsidRPr="00AF4D75">
        <w:rPr>
          <w:rFonts w:cs="Arial"/>
          <w:sz w:val="20"/>
          <w:szCs w:val="20"/>
        </w:rPr>
        <w:t xml:space="preserve"> ribolov, kot to določa Uredba Sveta (ES) št. 1005/2008 z dne 29. septembra 2008 o vzpostavitvi sistema Skupnosti za preprečevanje nezakonitega, neprijavljenega in </w:t>
      </w:r>
      <w:proofErr w:type="spellStart"/>
      <w:r w:rsidRPr="00AF4D75">
        <w:rPr>
          <w:rFonts w:cs="Arial"/>
          <w:sz w:val="20"/>
          <w:szCs w:val="20"/>
        </w:rPr>
        <w:t>nereguliranega</w:t>
      </w:r>
      <w:proofErr w:type="spellEnd"/>
      <w:r w:rsidRPr="00AF4D75">
        <w:rPr>
          <w:rFonts w:cs="Arial"/>
          <w:sz w:val="20"/>
          <w:szCs w:val="20"/>
        </w:rPr>
        <w:t xml:space="preserve"> ribolova, za odvračanje od njega ter za njegovo odpravljanje in o spremembi uredb (EGS) št. 2847/93, (ES) št. 1936/2001 in (ES) št. 601/2005 ter o razveljavitvi uredb (ES) št. 1093/94 in (ES) št. 1447/1999 (UL L št. 286 z dne 29. 10. 2008, str. 1), zadnjič spremenjena z Uredbo Komisije (EU) št. 202/2011 z dne 1. marca 2011 o spremembi Priloge I k Uredbi Sveta (ES) št. 1005/2008 v zvezi z opredelitvijo ribiških proizvodov ter o spremembi Uredbe Komisije (ES) št. 1010/2009 v zvezi z obrazci za predhodna obvestila, okvirnimi vrednostmi za inšpekcije v pristaniščih in priznanimi sistemi dokumentacije o ulovu, ki so jih sprejele regionalne organizacije za upravljanje ribištva (UL L št. 57 z dne 2. 3. 2011, str. 10), (v nadaljnjem besedilu: Uredba 1005/2008/ES), ali so na seznamu plovil Unije, ki opravljajo nezakonit, neprijavljen in </w:t>
      </w:r>
      <w:proofErr w:type="spellStart"/>
      <w:r w:rsidRPr="00AF4D75">
        <w:rPr>
          <w:rFonts w:cs="Arial"/>
          <w:sz w:val="20"/>
          <w:szCs w:val="20"/>
        </w:rPr>
        <w:t>nereguliran</w:t>
      </w:r>
      <w:proofErr w:type="spellEnd"/>
      <w:r w:rsidRPr="00AF4D75">
        <w:rPr>
          <w:rFonts w:cs="Arial"/>
          <w:sz w:val="20"/>
          <w:szCs w:val="20"/>
        </w:rPr>
        <w:t xml:space="preserve"> ribolov, ali na seznamu plovil, ki opravljajo nezakonit, neprijavljen in </w:t>
      </w:r>
      <w:proofErr w:type="spellStart"/>
      <w:r w:rsidRPr="00AF4D75">
        <w:rPr>
          <w:rFonts w:cs="Arial"/>
          <w:sz w:val="20"/>
          <w:szCs w:val="20"/>
        </w:rPr>
        <w:t>nereguliran</w:t>
      </w:r>
      <w:proofErr w:type="spellEnd"/>
      <w:r w:rsidRPr="00AF4D75">
        <w:rPr>
          <w:rFonts w:cs="Arial"/>
          <w:sz w:val="20"/>
          <w:szCs w:val="20"/>
        </w:rPr>
        <w:t xml:space="preserve"> ribolov, ki ga sprejmejo regionalne organizacije za upravljanje ribištva, sodelovanje v skupnih ribolovnih operacijah s takimi plovili ali podpiranje in oskrbovanje takih plovil;</w:t>
      </w:r>
    </w:p>
    <w:p w:rsidR="0086366D" w:rsidRPr="00AF4D75" w:rsidRDefault="0086366D" w:rsidP="006D0AC5">
      <w:pPr>
        <w:pStyle w:val="tevilnatoka"/>
        <w:numPr>
          <w:ilvl w:val="0"/>
          <w:numId w:val="20"/>
        </w:numPr>
        <w:rPr>
          <w:rFonts w:cs="Arial"/>
          <w:sz w:val="20"/>
          <w:szCs w:val="20"/>
        </w:rPr>
      </w:pPr>
      <w:r w:rsidRPr="00AF4D75">
        <w:rPr>
          <w:rFonts w:cs="Arial"/>
          <w:sz w:val="20"/>
          <w:szCs w:val="20"/>
        </w:rPr>
        <w:t>sedem (7) točk za hudo kršitev pod št. 12 Priloge XXX, če uporabi ribiško plovilo brez državljanstva oziroma plovilo, ki je v skladu z mednarodno zakonodajo brez državne pripadnosti.</w:t>
      </w:r>
    </w:p>
    <w:p w:rsidR="0086366D" w:rsidRPr="00AF4D75" w:rsidRDefault="0086366D" w:rsidP="0086366D">
      <w:pPr>
        <w:pStyle w:val="Odstavek"/>
        <w:rPr>
          <w:sz w:val="20"/>
          <w:szCs w:val="20"/>
        </w:rPr>
      </w:pPr>
      <w:r w:rsidRPr="00AF4D75">
        <w:rPr>
          <w:sz w:val="20"/>
          <w:szCs w:val="20"/>
        </w:rPr>
        <w:t>(2) Če kapitan ribiškega plovila stori kršitve i se ob upoštevanju meril</w:t>
      </w:r>
      <w:r w:rsidRPr="00AF4D75" w:rsidDel="00880501">
        <w:rPr>
          <w:sz w:val="20"/>
          <w:szCs w:val="20"/>
        </w:rPr>
        <w:t xml:space="preserve"> </w:t>
      </w:r>
      <w:r w:rsidRPr="00AF4D75">
        <w:rPr>
          <w:sz w:val="20"/>
          <w:szCs w:val="20"/>
        </w:rPr>
        <w:t>iz tega odstavka te kršitve v skladu s prvim odstavkom 90. člena Uredbe 1224/2009/ES štejejo za hude kršitve če:</w:t>
      </w:r>
    </w:p>
    <w:p w:rsidR="0086366D" w:rsidRPr="00AF4D75" w:rsidRDefault="0086366D" w:rsidP="0086366D">
      <w:pPr>
        <w:pStyle w:val="Odstavek"/>
        <w:rPr>
          <w:sz w:val="20"/>
          <w:szCs w:val="20"/>
        </w:rPr>
      </w:pPr>
    </w:p>
    <w:p w:rsidR="0086366D" w:rsidRPr="00AF4D75" w:rsidRDefault="0086366D" w:rsidP="0086366D">
      <w:pPr>
        <w:pStyle w:val="tevilnatoka"/>
        <w:rPr>
          <w:rFonts w:cs="Arial"/>
          <w:sz w:val="20"/>
          <w:szCs w:val="20"/>
        </w:rPr>
      </w:pPr>
      <w:r w:rsidRPr="00AF4D75">
        <w:rPr>
          <w:rFonts w:cs="Arial"/>
          <w:sz w:val="20"/>
          <w:szCs w:val="20"/>
        </w:rPr>
        <w:t xml:space="preserve"> 1. je bil v zadnjih 12 mesecih že pravnom</w:t>
      </w:r>
      <w:r w:rsidR="002064C6">
        <w:rPr>
          <w:rFonts w:cs="Arial"/>
          <w:sz w:val="20"/>
          <w:szCs w:val="20"/>
        </w:rPr>
        <w:t xml:space="preserve">očno kaznovan, ker ni predloži </w:t>
      </w:r>
      <w:r w:rsidRPr="00AF4D75">
        <w:rPr>
          <w:rFonts w:cs="Arial"/>
          <w:sz w:val="20"/>
          <w:szCs w:val="20"/>
        </w:rPr>
        <w:t xml:space="preserve">deklaracije o iztovarjanju ali obvestila o prodaji, če je bilo iztovarjanje ulova opravljeno v pristanišču tretje države </w:t>
      </w:r>
    </w:p>
    <w:p w:rsidR="0086366D" w:rsidRPr="00AF4D75" w:rsidRDefault="00AF4D75" w:rsidP="00AF4D75">
      <w:pPr>
        <w:pStyle w:val="tevilnatoka"/>
        <w:rPr>
          <w:rFonts w:cs="Arial"/>
          <w:sz w:val="20"/>
          <w:szCs w:val="20"/>
        </w:rPr>
      </w:pPr>
      <w:r w:rsidRPr="00AF4D75">
        <w:rPr>
          <w:rFonts w:cs="Arial"/>
          <w:sz w:val="20"/>
          <w:szCs w:val="20"/>
        </w:rPr>
        <w:t>2.</w:t>
      </w:r>
      <w:r w:rsidR="0086366D" w:rsidRPr="00AF4D75">
        <w:rPr>
          <w:rFonts w:cs="Arial"/>
          <w:sz w:val="20"/>
          <w:szCs w:val="20"/>
        </w:rPr>
        <w:t>je predelal motor na način, da je je razlika med preverjeno močjo ter potrjeno in zabeleženo močjo večja od 20 %;</w:t>
      </w:r>
    </w:p>
    <w:p w:rsidR="0086366D" w:rsidRPr="00AF4D75" w:rsidRDefault="00AF4D75" w:rsidP="00AF4D75">
      <w:pPr>
        <w:pStyle w:val="tevilnatoka"/>
        <w:rPr>
          <w:rFonts w:cs="Arial"/>
          <w:sz w:val="20"/>
          <w:szCs w:val="20"/>
        </w:rPr>
      </w:pPr>
      <w:r w:rsidRPr="00AF4D75">
        <w:rPr>
          <w:rFonts w:cs="Arial"/>
          <w:sz w:val="20"/>
          <w:szCs w:val="20"/>
        </w:rPr>
        <w:t xml:space="preserve">3. </w:t>
      </w:r>
      <w:r w:rsidR="0086366D" w:rsidRPr="00AF4D75">
        <w:rPr>
          <w:rFonts w:cs="Arial"/>
          <w:sz w:val="20"/>
          <w:szCs w:val="20"/>
        </w:rPr>
        <w:t>če je na krov ribiškega plovila prenesel in na njem obdržal ter iztovoril ulov, katerega količina znaša najmanj 200 kg.</w:t>
      </w:r>
    </w:p>
    <w:p w:rsidR="0086366D" w:rsidRPr="00AF4D75" w:rsidRDefault="0086366D" w:rsidP="0086366D">
      <w:pPr>
        <w:pStyle w:val="tevilnatoka"/>
        <w:ind w:left="425"/>
        <w:rPr>
          <w:rFonts w:cs="Arial"/>
          <w:sz w:val="20"/>
          <w:szCs w:val="20"/>
        </w:rPr>
      </w:pPr>
    </w:p>
    <w:p w:rsidR="0086366D" w:rsidRPr="00AF4D75" w:rsidRDefault="0086366D" w:rsidP="0086366D">
      <w:pPr>
        <w:pStyle w:val="tevilnatoka"/>
        <w:rPr>
          <w:rFonts w:cs="Arial"/>
          <w:sz w:val="20"/>
          <w:szCs w:val="20"/>
        </w:rPr>
      </w:pPr>
      <w:r w:rsidRPr="00AF4D75">
        <w:rPr>
          <w:rFonts w:cs="Arial"/>
          <w:sz w:val="20"/>
          <w:szCs w:val="20"/>
        </w:rPr>
        <w:t xml:space="preserve">(3) Za hudo kršitev obveznosti iztovarjanja iz </w:t>
      </w:r>
      <w:r w:rsidR="00AF4D75" w:rsidRPr="00AF4D75">
        <w:rPr>
          <w:rFonts w:cs="Arial"/>
          <w:sz w:val="20"/>
          <w:szCs w:val="20"/>
        </w:rPr>
        <w:t>3</w:t>
      </w:r>
      <w:r w:rsidRPr="00AF4D75">
        <w:rPr>
          <w:rFonts w:cs="Arial"/>
          <w:sz w:val="20"/>
          <w:szCs w:val="20"/>
        </w:rPr>
        <w:t xml:space="preserve">. točke prejšnjega odstavka se kapitanu ribiškega plovila skladno s prvim odstavkom 92. člena Uredbe 1224/2009/EU izreče tudi pet (5) točk za hudo kršitev.  </w:t>
      </w:r>
    </w:p>
    <w:p w:rsidR="0086366D" w:rsidRPr="00AF4D75" w:rsidRDefault="0086366D" w:rsidP="0086366D">
      <w:pPr>
        <w:pStyle w:val="tevilnatoka"/>
        <w:rPr>
          <w:rFonts w:cs="Arial"/>
          <w:sz w:val="20"/>
          <w:szCs w:val="20"/>
        </w:rPr>
      </w:pPr>
    </w:p>
    <w:p w:rsidR="0086366D" w:rsidRPr="00AF4D75" w:rsidRDefault="0086366D" w:rsidP="0086366D">
      <w:pPr>
        <w:pStyle w:val="Odstavek"/>
        <w:ind w:firstLine="0"/>
        <w:rPr>
          <w:sz w:val="20"/>
          <w:szCs w:val="20"/>
        </w:rPr>
      </w:pPr>
      <w:r w:rsidRPr="00AF4D75">
        <w:rPr>
          <w:sz w:val="20"/>
          <w:szCs w:val="20"/>
        </w:rPr>
        <w:t>(4) Kapitanu ribiškega plovila, ki je storil hudo kršitev iz prvega ali drugega odstavka tega člena, ki je privedla do pridobitve ribiških proizvodov ali proizvodov iz ribogojstva, se za izvajanje tretjega odstavka 90. člena Uredbe 1224/2009/EU ter drugega odstavka 44. člena Uredbe 1005/2008/ES, se globa določi v višini najmanj petkratnika vrednosti ribiških proizvodov ali proizvodov iz ribogojstva, pridobljenih s storitvijo hude kršitve, pri čemer se upošteva razpone glob iz zakona, ki ureja prekrške.</w:t>
      </w:r>
    </w:p>
    <w:p w:rsidR="0086366D" w:rsidRPr="00AF4D75" w:rsidRDefault="0086366D" w:rsidP="0086366D">
      <w:pPr>
        <w:pStyle w:val="Odstavek"/>
        <w:rPr>
          <w:sz w:val="20"/>
          <w:szCs w:val="20"/>
        </w:rPr>
      </w:pPr>
    </w:p>
    <w:p w:rsidR="0086366D" w:rsidRPr="00AF4D75" w:rsidRDefault="0086366D" w:rsidP="0086366D">
      <w:pPr>
        <w:pStyle w:val="Odstavek"/>
        <w:ind w:firstLine="0"/>
        <w:rPr>
          <w:sz w:val="20"/>
          <w:szCs w:val="20"/>
        </w:rPr>
      </w:pPr>
      <w:r w:rsidRPr="00AF4D75">
        <w:rPr>
          <w:sz w:val="20"/>
          <w:szCs w:val="20"/>
        </w:rPr>
        <w:t>(5) Če se huda kršitev kapitana ribiškega plovila, ki je privedla do pridobitve ribiških proizvodov ali proizvodov iz ribogojstva, v petih letih ponovi, se v skladu s tretjim odstavkom 90. člena Uredbe 1224/2009/EU ter drugim odstavkom 44. člena Uredbe 1005/2008/ES taka ponovljena huda kršitev kaznuje z globo, katere najvišji znesek je najmanj osemkratnik vrednosti ribiških proizvodov ali proizvodov iz ribogojstva, pridobljenih s storitvijo hude kršitve, pri čemer se upošteva razpone glob iz zakona, ki ureja prekrške.</w:t>
      </w:r>
      <w:r w:rsidR="006D0AC5">
        <w:rPr>
          <w:sz w:val="20"/>
          <w:szCs w:val="20"/>
        </w:rPr>
        <w:t>«</w:t>
      </w:r>
    </w:p>
    <w:p w:rsidR="00673546" w:rsidRDefault="00673546" w:rsidP="00AF4D75">
      <w:pPr>
        <w:suppressAutoHyphens/>
        <w:overflowPunct w:val="0"/>
        <w:autoSpaceDE w:val="0"/>
        <w:autoSpaceDN w:val="0"/>
        <w:adjustRightInd w:val="0"/>
        <w:spacing w:before="480" w:after="0" w:line="240" w:lineRule="auto"/>
        <w:jc w:val="center"/>
        <w:textAlignment w:val="baseline"/>
        <w:rPr>
          <w:rFonts w:ascii="Arial" w:eastAsia="Times New Roman" w:hAnsi="Arial" w:cs="Arial"/>
          <w:sz w:val="20"/>
          <w:szCs w:val="20"/>
          <w:lang w:eastAsia="sl-SI"/>
        </w:rPr>
      </w:pPr>
    </w:p>
    <w:p w:rsidR="00AF4D75" w:rsidRPr="00AF4D75" w:rsidRDefault="003268B1" w:rsidP="00AF4D75">
      <w:pPr>
        <w:suppressAutoHyphens/>
        <w:overflowPunct w:val="0"/>
        <w:autoSpaceDE w:val="0"/>
        <w:autoSpaceDN w:val="0"/>
        <w:adjustRightInd w:val="0"/>
        <w:spacing w:before="480" w:after="0" w:line="240" w:lineRule="auto"/>
        <w:jc w:val="center"/>
        <w:textAlignment w:val="baseline"/>
        <w:rPr>
          <w:rFonts w:ascii="Arial" w:eastAsia="Times New Roman" w:hAnsi="Arial" w:cs="Arial"/>
          <w:sz w:val="20"/>
          <w:szCs w:val="20"/>
          <w:lang w:eastAsia="sl-SI"/>
        </w:rPr>
      </w:pPr>
      <w:r>
        <w:rPr>
          <w:rFonts w:ascii="Arial" w:eastAsia="Times New Roman" w:hAnsi="Arial" w:cs="Arial"/>
          <w:sz w:val="20"/>
          <w:szCs w:val="20"/>
          <w:lang w:eastAsia="sl-SI"/>
        </w:rPr>
        <w:t>2</w:t>
      </w:r>
      <w:r w:rsidR="00AF4D75" w:rsidRPr="00AF4D75">
        <w:rPr>
          <w:rFonts w:ascii="Arial" w:eastAsia="Times New Roman" w:hAnsi="Arial" w:cs="Arial"/>
          <w:sz w:val="20"/>
          <w:szCs w:val="20"/>
          <w:lang w:eastAsia="sl-SI"/>
        </w:rPr>
        <w:t>. člen</w:t>
      </w:r>
    </w:p>
    <w:p w:rsidR="00AF4D75" w:rsidRPr="00AF4D75" w:rsidRDefault="00AF4D75" w:rsidP="00AF4D75">
      <w:pPr>
        <w:suppressAutoHyphens/>
        <w:overflowPunct w:val="0"/>
        <w:autoSpaceDE w:val="0"/>
        <w:autoSpaceDN w:val="0"/>
        <w:adjustRightInd w:val="0"/>
        <w:spacing w:after="0" w:line="240" w:lineRule="auto"/>
        <w:jc w:val="center"/>
        <w:textAlignment w:val="baseline"/>
        <w:rPr>
          <w:rFonts w:ascii="Arial" w:eastAsia="Times New Roman" w:hAnsi="Arial" w:cs="Arial"/>
          <w:sz w:val="20"/>
          <w:szCs w:val="20"/>
          <w:lang w:eastAsia="sl-SI"/>
        </w:rPr>
      </w:pPr>
      <w:r w:rsidRPr="00AF4D75">
        <w:rPr>
          <w:rFonts w:ascii="Arial" w:eastAsia="Times New Roman" w:hAnsi="Arial" w:cs="Arial"/>
          <w:sz w:val="20"/>
          <w:szCs w:val="20"/>
          <w:lang w:eastAsia="sl-SI"/>
        </w:rPr>
        <w:t>(začetek veljavnosti)</w:t>
      </w:r>
    </w:p>
    <w:p w:rsidR="00AF4D75" w:rsidRPr="00AF4D75" w:rsidRDefault="00AF4D75" w:rsidP="00AF4D75">
      <w:pPr>
        <w:overflowPunct w:val="0"/>
        <w:autoSpaceDE w:val="0"/>
        <w:autoSpaceDN w:val="0"/>
        <w:adjustRightInd w:val="0"/>
        <w:spacing w:before="240" w:after="0" w:line="240" w:lineRule="auto"/>
        <w:ind w:firstLine="1021"/>
        <w:jc w:val="both"/>
        <w:textAlignment w:val="baseline"/>
        <w:rPr>
          <w:rFonts w:ascii="Arial" w:eastAsia="Times New Roman" w:hAnsi="Arial" w:cs="Arial"/>
          <w:sz w:val="20"/>
          <w:szCs w:val="20"/>
          <w:lang w:eastAsia="sl-SI"/>
        </w:rPr>
      </w:pPr>
      <w:r w:rsidRPr="00AF4D75">
        <w:rPr>
          <w:rFonts w:ascii="Arial" w:eastAsia="Times New Roman" w:hAnsi="Arial" w:cs="Arial"/>
          <w:sz w:val="20"/>
          <w:szCs w:val="20"/>
          <w:lang w:eastAsia="sl-SI"/>
        </w:rPr>
        <w:t>Ta uredba začne veljati petnajsti dan po objavi v Uradnem listu Republike Slovenije.</w:t>
      </w:r>
    </w:p>
    <w:p w:rsidR="007B683A" w:rsidRDefault="007B683A">
      <w:pPr>
        <w:rPr>
          <w:rFonts w:ascii="Arial" w:hAnsi="Arial" w:cs="Arial"/>
          <w:sz w:val="20"/>
          <w:szCs w:val="20"/>
        </w:rPr>
      </w:pPr>
    </w:p>
    <w:p w:rsidR="002064C6" w:rsidRDefault="002064C6" w:rsidP="002064C6">
      <w:pPr>
        <w:spacing w:after="0"/>
        <w:rPr>
          <w:rFonts w:ascii="Arial" w:hAnsi="Arial" w:cs="Arial"/>
          <w:sz w:val="20"/>
          <w:szCs w:val="20"/>
        </w:rPr>
      </w:pPr>
      <w:r>
        <w:rPr>
          <w:rFonts w:ascii="Arial" w:hAnsi="Arial" w:cs="Arial"/>
          <w:sz w:val="20"/>
          <w:szCs w:val="20"/>
        </w:rPr>
        <w:t xml:space="preserve">                                                                                               </w:t>
      </w:r>
    </w:p>
    <w:p w:rsidR="002064C6" w:rsidRPr="00D30203" w:rsidRDefault="002064C6" w:rsidP="002064C6">
      <w:pPr>
        <w:spacing w:after="0"/>
        <w:rPr>
          <w:rFonts w:ascii="Arial" w:hAnsi="Arial" w:cs="Arial"/>
          <w:sz w:val="20"/>
          <w:szCs w:val="20"/>
        </w:rPr>
      </w:pPr>
      <w:r>
        <w:rPr>
          <w:rFonts w:ascii="Arial" w:hAnsi="Arial" w:cs="Arial"/>
          <w:sz w:val="20"/>
          <w:szCs w:val="20"/>
        </w:rPr>
        <w:t xml:space="preserve">                                                                                                      </w:t>
      </w:r>
      <w:r w:rsidRPr="00D30203">
        <w:rPr>
          <w:rFonts w:ascii="Arial" w:hAnsi="Arial" w:cs="Arial"/>
          <w:sz w:val="20"/>
          <w:szCs w:val="20"/>
        </w:rPr>
        <w:t>Vlada Republike Slovenije</w:t>
      </w:r>
    </w:p>
    <w:p w:rsidR="002064C6" w:rsidRPr="00D30203" w:rsidRDefault="002064C6" w:rsidP="002064C6">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w:t>
      </w:r>
      <w:r w:rsidRPr="00D30203">
        <w:rPr>
          <w:rFonts w:ascii="Arial" w:hAnsi="Arial" w:cs="Arial"/>
          <w:sz w:val="20"/>
          <w:szCs w:val="20"/>
        </w:rPr>
        <w:t xml:space="preserve">r. Robert Golob </w:t>
      </w:r>
    </w:p>
    <w:p w:rsidR="002064C6" w:rsidRPr="00D30203" w:rsidRDefault="002064C6" w:rsidP="002064C6">
      <w:pPr>
        <w:spacing w:after="0"/>
        <w:rPr>
          <w:rFonts w:ascii="Arial" w:hAnsi="Arial" w:cs="Arial"/>
          <w:sz w:val="20"/>
          <w:szCs w:val="20"/>
        </w:rPr>
      </w:pP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sidRPr="00D30203">
        <w:rPr>
          <w:rFonts w:ascii="Arial" w:hAnsi="Arial" w:cs="Arial"/>
          <w:sz w:val="20"/>
          <w:szCs w:val="20"/>
        </w:rPr>
        <w:tab/>
      </w:r>
      <w:r>
        <w:rPr>
          <w:rFonts w:ascii="Arial" w:hAnsi="Arial" w:cs="Arial"/>
          <w:sz w:val="20"/>
          <w:szCs w:val="20"/>
        </w:rPr>
        <w:t xml:space="preserve">        </w:t>
      </w:r>
      <w:r w:rsidRPr="00D30203">
        <w:rPr>
          <w:rFonts w:ascii="Arial" w:hAnsi="Arial" w:cs="Arial"/>
          <w:sz w:val="20"/>
          <w:szCs w:val="20"/>
        </w:rPr>
        <w:t>predsednik</w:t>
      </w:r>
    </w:p>
    <w:p w:rsidR="002064C6" w:rsidRPr="00AF4D75" w:rsidRDefault="002064C6">
      <w:pPr>
        <w:rPr>
          <w:rFonts w:ascii="Arial" w:hAnsi="Arial" w:cs="Arial"/>
          <w:sz w:val="20"/>
          <w:szCs w:val="20"/>
        </w:rPr>
      </w:pPr>
    </w:p>
    <w:sectPr w:rsidR="002064C6" w:rsidRPr="00AF4D7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A66" w:rsidRDefault="00985A66" w:rsidP="002064C6">
      <w:pPr>
        <w:spacing w:after="0" w:line="240" w:lineRule="auto"/>
      </w:pPr>
      <w:r>
        <w:separator/>
      </w:r>
    </w:p>
  </w:endnote>
  <w:endnote w:type="continuationSeparator" w:id="0">
    <w:p w:rsidR="00985A66" w:rsidRDefault="00985A66" w:rsidP="00206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A66" w:rsidRDefault="00985A66" w:rsidP="002064C6">
      <w:pPr>
        <w:spacing w:after="0" w:line="240" w:lineRule="auto"/>
      </w:pPr>
      <w:r>
        <w:separator/>
      </w:r>
    </w:p>
  </w:footnote>
  <w:footnote w:type="continuationSeparator" w:id="0">
    <w:p w:rsidR="00985A66" w:rsidRDefault="00985A66" w:rsidP="00206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4C6" w:rsidRDefault="002064C6">
    <w:pPr>
      <w:pStyle w:val="Glava"/>
    </w:pPr>
    <w:r>
      <w:tab/>
    </w:r>
    <w:r>
      <w:tab/>
      <w:t>OSNUTEK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1ADA"/>
    <w:multiLevelType w:val="hybridMultilevel"/>
    <w:tmpl w:val="BCC2E95E"/>
    <w:lvl w:ilvl="0" w:tplc="E33AA7CE">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4DC015A"/>
    <w:multiLevelType w:val="hybridMultilevel"/>
    <w:tmpl w:val="F3AA6E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8496717"/>
    <w:multiLevelType w:val="hybridMultilevel"/>
    <w:tmpl w:val="741AA3F6"/>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8DF5924"/>
    <w:multiLevelType w:val="hybridMultilevel"/>
    <w:tmpl w:val="1D861A6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7797E1D"/>
    <w:multiLevelType w:val="hybridMultilevel"/>
    <w:tmpl w:val="EAB4B8FE"/>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BE07A9"/>
    <w:multiLevelType w:val="hybridMultilevel"/>
    <w:tmpl w:val="18A23F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A2375F"/>
    <w:multiLevelType w:val="hybridMultilevel"/>
    <w:tmpl w:val="EC342DB2"/>
    <w:lvl w:ilvl="0" w:tplc="E33AA7CE">
      <w:numFmt w:val="bullet"/>
      <w:lvlText w:val="-"/>
      <w:lvlJc w:val="left"/>
      <w:pPr>
        <w:ind w:left="360" w:hanging="360"/>
      </w:pPr>
      <w:rPr>
        <w:rFonts w:ascii="Arial" w:eastAsia="Times New Roman"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C537DBB"/>
    <w:multiLevelType w:val="hybridMultilevel"/>
    <w:tmpl w:val="A27028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01D5012"/>
    <w:multiLevelType w:val="hybridMultilevel"/>
    <w:tmpl w:val="3A703D96"/>
    <w:lvl w:ilvl="0" w:tplc="67C21E42">
      <w:start w:val="1"/>
      <w:numFmt w:val="bullet"/>
      <w:lvlText w:val="-"/>
      <w:lvlJc w:val="left"/>
      <w:pPr>
        <w:ind w:left="720" w:hanging="360"/>
      </w:pPr>
      <w:rPr>
        <w:rFonts w:ascii="Calibri" w:eastAsiaTheme="minorHAnsi" w:hAnsi="Calibri"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4A143E"/>
    <w:multiLevelType w:val="hybridMultilevel"/>
    <w:tmpl w:val="A3BCE6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1A57EF"/>
    <w:multiLevelType w:val="hybridMultilevel"/>
    <w:tmpl w:val="7B20166C"/>
    <w:lvl w:ilvl="0" w:tplc="04240001">
      <w:start w:val="1"/>
      <w:numFmt w:val="bullet"/>
      <w:lvlText w:val=""/>
      <w:lvlJc w:val="left"/>
      <w:pPr>
        <w:ind w:left="360" w:hanging="360"/>
      </w:pPr>
      <w:rPr>
        <w:rFonts w:ascii="Symbol" w:hAnsi="Symbo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E415031"/>
    <w:multiLevelType w:val="hybridMultilevel"/>
    <w:tmpl w:val="75F0D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EAE2167"/>
    <w:multiLevelType w:val="multilevel"/>
    <w:tmpl w:val="39E22398"/>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F970D8D"/>
    <w:multiLevelType w:val="hybridMultilevel"/>
    <w:tmpl w:val="1C5A001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0D41650"/>
    <w:multiLevelType w:val="hybridMultilevel"/>
    <w:tmpl w:val="670CC916"/>
    <w:lvl w:ilvl="0" w:tplc="E33AA7CE">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C4C15A8"/>
    <w:multiLevelType w:val="hybridMultilevel"/>
    <w:tmpl w:val="121060FA"/>
    <w:lvl w:ilvl="0" w:tplc="E33AA7CE">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C2C48"/>
    <w:multiLevelType w:val="hybridMultilevel"/>
    <w:tmpl w:val="EF6494AA"/>
    <w:lvl w:ilvl="0" w:tplc="E33AA7CE">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7F95D54"/>
    <w:multiLevelType w:val="hybridMultilevel"/>
    <w:tmpl w:val="FCBC5A5C"/>
    <w:lvl w:ilvl="0" w:tplc="777AFC3A">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9B55A0E"/>
    <w:multiLevelType w:val="hybridMultilevel"/>
    <w:tmpl w:val="4C304FEA"/>
    <w:lvl w:ilvl="0" w:tplc="777AFC3A">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7"/>
  </w:num>
  <w:num w:numId="7">
    <w:abstractNumId w:val="12"/>
  </w:num>
  <w:num w:numId="8">
    <w:abstractNumId w:val="9"/>
  </w:num>
  <w:num w:numId="9">
    <w:abstractNumId w:val="6"/>
  </w:num>
  <w:num w:numId="10">
    <w:abstractNumId w:val="19"/>
  </w:num>
  <w:num w:numId="11">
    <w:abstractNumId w:val="20"/>
  </w:num>
  <w:num w:numId="12">
    <w:abstractNumId w:val="10"/>
  </w:num>
  <w:num w:numId="13">
    <w:abstractNumId w:val="3"/>
  </w:num>
  <w:num w:numId="14">
    <w:abstractNumId w:val="11"/>
  </w:num>
  <w:num w:numId="15">
    <w:abstractNumId w:val="14"/>
  </w:num>
  <w:num w:numId="16">
    <w:abstractNumId w:val="7"/>
  </w:num>
  <w:num w:numId="17">
    <w:abstractNumId w:val="16"/>
  </w:num>
  <w:num w:numId="18">
    <w:abstractNumId w:val="18"/>
  </w:num>
  <w:num w:numId="19">
    <w:abstractNumId w:val="8"/>
  </w:num>
  <w:num w:numId="20">
    <w:abstractNumId w:val="1"/>
  </w:num>
  <w:num w:numId="21">
    <w:abstractNumId w:val="2"/>
  </w:num>
  <w:num w:numId="22">
    <w:abstractNumId w:val="5"/>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66D"/>
    <w:rsid w:val="00134A82"/>
    <w:rsid w:val="002064C6"/>
    <w:rsid w:val="003268B1"/>
    <w:rsid w:val="004552A6"/>
    <w:rsid w:val="004C00AC"/>
    <w:rsid w:val="00673546"/>
    <w:rsid w:val="006C3DAE"/>
    <w:rsid w:val="006D0AC5"/>
    <w:rsid w:val="006E69FC"/>
    <w:rsid w:val="007B683A"/>
    <w:rsid w:val="0086366D"/>
    <w:rsid w:val="00985A66"/>
    <w:rsid w:val="00A11AFC"/>
    <w:rsid w:val="00AF4D75"/>
    <w:rsid w:val="00B845B9"/>
    <w:rsid w:val="00E35E5A"/>
    <w:rsid w:val="00ED2503"/>
    <w:rsid w:val="00EE1C32"/>
    <w:rsid w:val="00F803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CCB89"/>
  <w15:chartTrackingRefBased/>
  <w15:docId w15:val="{F151151E-1467-4C01-8624-FA7ECCBE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en">
    <w:name w:val="Člen"/>
    <w:basedOn w:val="Navaden"/>
    <w:link w:val="lenZnak"/>
    <w:qFormat/>
    <w:rsid w:val="0086366D"/>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paragraph" w:customStyle="1" w:styleId="tevilnatoka111">
    <w:name w:val="Številčna točka 1.1.1"/>
    <w:basedOn w:val="Navaden"/>
    <w:qFormat/>
    <w:rsid w:val="0086366D"/>
    <w:pPr>
      <w:widowControl w:val="0"/>
      <w:numPr>
        <w:ilvl w:val="2"/>
        <w:numId w:val="2"/>
      </w:numPr>
      <w:overflowPunct w:val="0"/>
      <w:autoSpaceDE w:val="0"/>
      <w:autoSpaceDN w:val="0"/>
      <w:adjustRightInd w:val="0"/>
      <w:spacing w:after="0" w:line="240" w:lineRule="auto"/>
      <w:jc w:val="both"/>
      <w:textAlignment w:val="baseline"/>
    </w:pPr>
    <w:rPr>
      <w:rFonts w:ascii="Arial" w:eastAsia="Times New Roman" w:hAnsi="Arial" w:cs="Times New Roman"/>
      <w:szCs w:val="16"/>
      <w:lang w:eastAsia="sl-SI"/>
    </w:rPr>
  </w:style>
  <w:style w:type="character" w:customStyle="1" w:styleId="lenZnak">
    <w:name w:val="Člen Znak"/>
    <w:link w:val="len"/>
    <w:rsid w:val="0086366D"/>
    <w:rPr>
      <w:rFonts w:ascii="Arial" w:eastAsia="Times New Roman" w:hAnsi="Arial" w:cs="Arial"/>
      <w:b/>
      <w:lang w:eastAsia="sl-SI"/>
    </w:rPr>
  </w:style>
  <w:style w:type="paragraph" w:customStyle="1" w:styleId="Odstavek">
    <w:name w:val="Odstavek"/>
    <w:basedOn w:val="Navaden"/>
    <w:link w:val="OdstavekZnak"/>
    <w:qFormat/>
    <w:rsid w:val="0086366D"/>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86366D"/>
    <w:rPr>
      <w:rFonts w:ascii="Arial" w:eastAsia="Times New Roman" w:hAnsi="Arial" w:cs="Arial"/>
      <w:lang w:eastAsia="sl-SI"/>
    </w:rPr>
  </w:style>
  <w:style w:type="paragraph" w:customStyle="1" w:styleId="Alineazatevilnotoko">
    <w:name w:val="Alinea za številčno točko"/>
    <w:basedOn w:val="Alineazaodstavkom"/>
    <w:link w:val="AlineazatevilnotokoZnak"/>
    <w:qFormat/>
    <w:rsid w:val="0086366D"/>
    <w:pPr>
      <w:tabs>
        <w:tab w:val="left" w:pos="567"/>
      </w:tabs>
    </w:pPr>
  </w:style>
  <w:style w:type="paragraph" w:customStyle="1" w:styleId="tevilnatoka">
    <w:name w:val="Številčna točka"/>
    <w:basedOn w:val="Navaden"/>
    <w:link w:val="tevilnatokaZnak"/>
    <w:qFormat/>
    <w:rsid w:val="0086366D"/>
    <w:pPr>
      <w:spacing w:after="0" w:line="240" w:lineRule="auto"/>
      <w:jc w:val="both"/>
    </w:pPr>
    <w:rPr>
      <w:rFonts w:ascii="Arial" w:eastAsia="Times New Roman" w:hAnsi="Arial" w:cs="Times New Roman"/>
      <w:lang w:eastAsia="sl-SI"/>
    </w:rPr>
  </w:style>
  <w:style w:type="character" w:customStyle="1" w:styleId="AlineazatevilnotokoZnak">
    <w:name w:val="Alinea za številčno točko Znak"/>
    <w:basedOn w:val="Privzetapisavaodstavka"/>
    <w:link w:val="Alineazatevilnotoko"/>
    <w:rsid w:val="0086366D"/>
    <w:rPr>
      <w:rFonts w:ascii="Arial" w:eastAsia="Times New Roman" w:hAnsi="Arial" w:cs="Arial"/>
      <w:lang w:eastAsia="sl-SI"/>
    </w:rPr>
  </w:style>
  <w:style w:type="character" w:customStyle="1" w:styleId="tevilnatokaZnak">
    <w:name w:val="Številčna točka Znak"/>
    <w:basedOn w:val="OdstavekZnak"/>
    <w:link w:val="tevilnatoka"/>
    <w:rsid w:val="0086366D"/>
    <w:rPr>
      <w:rFonts w:ascii="Arial" w:eastAsia="Times New Roman" w:hAnsi="Arial" w:cs="Times New Roman"/>
      <w:lang w:eastAsia="sl-SI"/>
    </w:rPr>
  </w:style>
  <w:style w:type="paragraph" w:customStyle="1" w:styleId="Alineazaodstavkom">
    <w:name w:val="Alinea za odstavkom"/>
    <w:basedOn w:val="Navaden"/>
    <w:qFormat/>
    <w:rsid w:val="0086366D"/>
    <w:pPr>
      <w:numPr>
        <w:numId w:val="1"/>
      </w:numPr>
      <w:spacing w:after="0" w:line="240" w:lineRule="auto"/>
      <w:jc w:val="both"/>
    </w:pPr>
    <w:rPr>
      <w:rFonts w:ascii="Arial" w:eastAsia="Times New Roman" w:hAnsi="Arial" w:cs="Arial"/>
      <w:lang w:eastAsia="sl-SI"/>
    </w:rPr>
  </w:style>
  <w:style w:type="paragraph" w:customStyle="1" w:styleId="lennaslov">
    <w:name w:val="Člen_naslov"/>
    <w:basedOn w:val="len"/>
    <w:qFormat/>
    <w:rsid w:val="0086366D"/>
    <w:pPr>
      <w:spacing w:before="0"/>
    </w:pPr>
  </w:style>
  <w:style w:type="paragraph" w:customStyle="1" w:styleId="tevilnatoka11Nova">
    <w:name w:val="Številčna točka 1.1 Nova"/>
    <w:basedOn w:val="tevilnatoka"/>
    <w:qFormat/>
    <w:rsid w:val="0086366D"/>
    <w:pPr>
      <w:numPr>
        <w:ilvl w:val="1"/>
        <w:numId w:val="2"/>
      </w:numPr>
      <w:tabs>
        <w:tab w:val="clear" w:pos="425"/>
        <w:tab w:val="num" w:pos="360"/>
      </w:tabs>
      <w:ind w:left="0" w:firstLine="0"/>
    </w:pPr>
  </w:style>
  <w:style w:type="paragraph" w:customStyle="1" w:styleId="Vrstapredpisa">
    <w:name w:val="Vrsta predpisa"/>
    <w:basedOn w:val="Navaden"/>
    <w:link w:val="VrstapredpisaZnak"/>
    <w:qFormat/>
    <w:rsid w:val="0086366D"/>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86366D"/>
    <w:pPr>
      <w:suppressAutoHyphens/>
      <w:overflowPunct w:val="0"/>
      <w:autoSpaceDE w:val="0"/>
      <w:autoSpaceDN w:val="0"/>
      <w:adjustRightInd w:val="0"/>
      <w:spacing w:after="0" w:line="240" w:lineRule="auto"/>
      <w:jc w:val="center"/>
      <w:textAlignment w:val="baseline"/>
    </w:pPr>
    <w:rPr>
      <w:rFonts w:ascii="Arial" w:eastAsia="Times New Roman" w:hAnsi="Arial" w:cs="Arial"/>
      <w:b/>
      <w:lang w:eastAsia="sl-SI"/>
    </w:rPr>
  </w:style>
  <w:style w:type="character" w:customStyle="1" w:styleId="VrstapredpisaZnak">
    <w:name w:val="Vrsta predpisa Znak"/>
    <w:link w:val="Vrstapredpisa"/>
    <w:rsid w:val="0086366D"/>
    <w:rPr>
      <w:rFonts w:ascii="Arial" w:eastAsia="Times New Roman" w:hAnsi="Arial" w:cs="Arial"/>
      <w:b/>
      <w:bCs/>
      <w:color w:val="000000"/>
      <w:spacing w:val="40"/>
      <w:lang w:eastAsia="sl-SI"/>
    </w:rPr>
  </w:style>
  <w:style w:type="character" w:customStyle="1" w:styleId="NaslovpredpisaZnak">
    <w:name w:val="Naslov_predpisa Znak"/>
    <w:link w:val="Naslovpredpisa"/>
    <w:rsid w:val="0086366D"/>
    <w:rPr>
      <w:rFonts w:ascii="Arial" w:eastAsia="Times New Roman" w:hAnsi="Arial" w:cs="Arial"/>
      <w:b/>
      <w:lang w:eastAsia="sl-SI"/>
    </w:rPr>
  </w:style>
  <w:style w:type="numbering" w:customStyle="1" w:styleId="Alinejazaodstavkom">
    <w:name w:val="Alineja za odstavkom"/>
    <w:uiPriority w:val="99"/>
    <w:rsid w:val="0086366D"/>
    <w:pPr>
      <w:numPr>
        <w:numId w:val="5"/>
      </w:numPr>
    </w:pPr>
  </w:style>
  <w:style w:type="paragraph" w:styleId="Odstavekseznama">
    <w:name w:val="List Paragraph"/>
    <w:basedOn w:val="Navaden"/>
    <w:uiPriority w:val="34"/>
    <w:qFormat/>
    <w:rsid w:val="004552A6"/>
    <w:pPr>
      <w:ind w:left="720"/>
      <w:contextualSpacing/>
    </w:pPr>
  </w:style>
  <w:style w:type="paragraph" w:styleId="Besedilooblaka">
    <w:name w:val="Balloon Text"/>
    <w:basedOn w:val="Navaden"/>
    <w:link w:val="BesedilooblakaZnak"/>
    <w:uiPriority w:val="99"/>
    <w:semiHidden/>
    <w:unhideWhenUsed/>
    <w:rsid w:val="00ED250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2503"/>
    <w:rPr>
      <w:rFonts w:ascii="Segoe UI" w:hAnsi="Segoe UI" w:cs="Segoe UI"/>
      <w:sz w:val="18"/>
      <w:szCs w:val="18"/>
    </w:rPr>
  </w:style>
  <w:style w:type="paragraph" w:styleId="Glava">
    <w:name w:val="header"/>
    <w:basedOn w:val="Navaden"/>
    <w:link w:val="GlavaZnak"/>
    <w:uiPriority w:val="99"/>
    <w:unhideWhenUsed/>
    <w:rsid w:val="002064C6"/>
    <w:pPr>
      <w:tabs>
        <w:tab w:val="center" w:pos="4536"/>
        <w:tab w:val="right" w:pos="9072"/>
      </w:tabs>
      <w:spacing w:after="0" w:line="240" w:lineRule="auto"/>
    </w:pPr>
  </w:style>
  <w:style w:type="character" w:customStyle="1" w:styleId="GlavaZnak">
    <w:name w:val="Glava Znak"/>
    <w:basedOn w:val="Privzetapisavaodstavka"/>
    <w:link w:val="Glava"/>
    <w:uiPriority w:val="99"/>
    <w:rsid w:val="002064C6"/>
  </w:style>
  <w:style w:type="paragraph" w:styleId="Noga">
    <w:name w:val="footer"/>
    <w:basedOn w:val="Navaden"/>
    <w:link w:val="NogaZnak"/>
    <w:uiPriority w:val="99"/>
    <w:unhideWhenUsed/>
    <w:rsid w:val="002064C6"/>
    <w:pPr>
      <w:tabs>
        <w:tab w:val="center" w:pos="4536"/>
        <w:tab w:val="right" w:pos="9072"/>
      </w:tabs>
      <w:spacing w:after="0" w:line="240" w:lineRule="auto"/>
    </w:pPr>
  </w:style>
  <w:style w:type="character" w:customStyle="1" w:styleId="NogaZnak">
    <w:name w:val="Noga Znak"/>
    <w:basedOn w:val="Privzetapisavaodstavka"/>
    <w:link w:val="Noga"/>
    <w:uiPriority w:val="99"/>
    <w:rsid w:val="0020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478">
      <w:bodyDiv w:val="1"/>
      <w:marLeft w:val="0"/>
      <w:marRight w:val="0"/>
      <w:marTop w:val="0"/>
      <w:marBottom w:val="0"/>
      <w:divBdr>
        <w:top w:val="none" w:sz="0" w:space="0" w:color="auto"/>
        <w:left w:val="none" w:sz="0" w:space="0" w:color="auto"/>
        <w:bottom w:val="none" w:sz="0" w:space="0" w:color="auto"/>
        <w:right w:val="none" w:sz="0" w:space="0" w:color="auto"/>
      </w:divBdr>
      <w:divsChild>
        <w:div w:id="440341898">
          <w:marLeft w:val="0"/>
          <w:marRight w:val="0"/>
          <w:marTop w:val="240"/>
          <w:marBottom w:val="0"/>
          <w:divBdr>
            <w:top w:val="none" w:sz="0" w:space="0" w:color="auto"/>
            <w:left w:val="none" w:sz="0" w:space="0" w:color="auto"/>
            <w:bottom w:val="none" w:sz="0" w:space="0" w:color="auto"/>
            <w:right w:val="none" w:sz="0" w:space="0" w:color="auto"/>
          </w:divBdr>
        </w:div>
        <w:div w:id="174622360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3330</Words>
  <Characters>18986</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Svetličič</dc:creator>
  <cp:keywords/>
  <dc:description/>
  <cp:lastModifiedBy>Polona Bunič</cp:lastModifiedBy>
  <cp:revision>2</cp:revision>
  <cp:lastPrinted>2024-10-22T07:40:00Z</cp:lastPrinted>
  <dcterms:created xsi:type="dcterms:W3CDTF">2024-10-25T12:44:00Z</dcterms:created>
  <dcterms:modified xsi:type="dcterms:W3CDTF">2024-10-25T12:44:00Z</dcterms:modified>
</cp:coreProperties>
</file>