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84" w:rsidRPr="002F787E" w:rsidRDefault="00627784" w:rsidP="002F1A11">
      <w:pPr>
        <w:tabs>
          <w:tab w:val="left" w:pos="1290"/>
        </w:tabs>
        <w:spacing w:before="20" w:after="20"/>
        <w:rPr>
          <w:rFonts w:cs="Arial"/>
          <w:b/>
          <w:szCs w:val="20"/>
          <w:lang w:val="sl-SI"/>
        </w:rPr>
      </w:pPr>
      <w:bookmarkStart w:id="0" w:name="_GoBack"/>
      <w:bookmarkEnd w:id="0"/>
      <w:r w:rsidRPr="002F787E">
        <w:rPr>
          <w:rFonts w:cs="Arial"/>
          <w:b/>
          <w:szCs w:val="20"/>
          <w:lang w:val="sl-SI"/>
        </w:rPr>
        <w:t xml:space="preserve">Številka:  </w:t>
      </w:r>
      <w:r w:rsidRPr="002F787E">
        <w:rPr>
          <w:rFonts w:cs="Arial"/>
          <w:b/>
          <w:i/>
          <w:szCs w:val="20"/>
          <w:lang w:val="sl-SI"/>
        </w:rPr>
        <w:t>545641-38/2025 / 1</w:t>
      </w:r>
    </w:p>
    <w:p w:rsidR="00627784" w:rsidRPr="002F787E" w:rsidRDefault="00627784" w:rsidP="002F1A11">
      <w:pPr>
        <w:spacing w:before="20" w:after="20"/>
        <w:rPr>
          <w:rFonts w:cs="Arial"/>
          <w:b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 xml:space="preserve">Ljubljana, dne </w:t>
      </w:r>
      <w:r w:rsidRPr="002F787E">
        <w:rPr>
          <w:rFonts w:cs="Arial"/>
          <w:b/>
          <w:i/>
          <w:color w:val="000000"/>
          <w:szCs w:val="20"/>
          <w:lang w:val="sl-SI"/>
        </w:rPr>
        <w:t>06. 11. 2025</w:t>
      </w:r>
    </w:p>
    <w:p w:rsidR="00627784" w:rsidRPr="002F787E" w:rsidRDefault="00627784" w:rsidP="002F1A11">
      <w:pPr>
        <w:spacing w:before="20" w:after="20"/>
        <w:rPr>
          <w:rFonts w:cs="Arial"/>
          <w:b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rPr>
          <w:rFonts w:cs="Arial"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rPr>
          <w:rFonts w:cs="Arial"/>
          <w:b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GENERALNI SEKRETARIAT VLADE REPUBLIKE SLOVENIJE</w:t>
      </w:r>
    </w:p>
    <w:p w:rsidR="00627784" w:rsidRPr="002F787E" w:rsidRDefault="00627784" w:rsidP="002F1A11">
      <w:pPr>
        <w:spacing w:before="20" w:after="20"/>
        <w:rPr>
          <w:rFonts w:cs="Arial"/>
          <w:i/>
          <w:szCs w:val="20"/>
          <w:lang w:val="sl-SI"/>
        </w:rPr>
      </w:pPr>
      <w:r w:rsidRPr="002F787E">
        <w:rPr>
          <w:rFonts w:cs="Arial"/>
          <w:szCs w:val="20"/>
          <w:lang w:val="sl-SI"/>
        </w:rPr>
        <w:t>gp.gs@gov.si</w:t>
      </w:r>
    </w:p>
    <w:p w:rsidR="00627784" w:rsidRPr="002F787E" w:rsidRDefault="00627784" w:rsidP="002F1A11">
      <w:pPr>
        <w:spacing w:before="20" w:after="20"/>
        <w:rPr>
          <w:rFonts w:cs="Arial"/>
          <w:b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V vednost:</w:t>
      </w:r>
    </w:p>
    <w:p w:rsidR="00627784" w:rsidRPr="002F787E" w:rsidRDefault="00627784" w:rsidP="002F1A11">
      <w:pPr>
        <w:spacing w:before="20" w:after="20"/>
        <w:rPr>
          <w:rFonts w:cs="Arial"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MINISTRSTVO ZA ZUNANJE IN EVROPSKE ZADEVE</w:t>
      </w:r>
    </w:p>
    <w:p w:rsidR="00627784" w:rsidRPr="002F787E" w:rsidRDefault="00627784" w:rsidP="002F1A11">
      <w:pPr>
        <w:spacing w:before="20" w:after="20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EU-portal@gov.si</w:t>
      </w:r>
    </w:p>
    <w:p w:rsidR="00627784" w:rsidRPr="002F787E" w:rsidRDefault="00627784" w:rsidP="002F1A11">
      <w:pPr>
        <w:spacing w:before="20" w:after="20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rPr>
          <w:rFonts w:cs="Arial"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2F787E">
        <w:rPr>
          <w:rFonts w:cs="Arial"/>
          <w:b/>
          <w:bCs/>
          <w:szCs w:val="20"/>
          <w:lang w:val="sl-SI"/>
        </w:rPr>
        <w:t>ODLOČITVE REPUBLIKE SLOVENIJE</w:t>
      </w:r>
    </w:p>
    <w:p w:rsidR="00627784" w:rsidRPr="002F787E" w:rsidRDefault="00627784" w:rsidP="002F1A11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2F787E">
        <w:rPr>
          <w:rFonts w:cs="Arial"/>
          <w:b/>
          <w:bCs/>
          <w:szCs w:val="20"/>
          <w:lang w:val="sl-SI"/>
        </w:rPr>
        <w:t>V ZVEZI Z ZADEVAMI EVROPSKE UNIJE</w:t>
      </w:r>
    </w:p>
    <w:p w:rsidR="00627784" w:rsidRPr="002F787E" w:rsidRDefault="00627784" w:rsidP="002F1A11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2F787E">
        <w:rPr>
          <w:rFonts w:cs="Arial"/>
          <w:b/>
          <w:bCs/>
          <w:szCs w:val="20"/>
          <w:lang w:val="sl-SI"/>
        </w:rPr>
        <w:t>PREDLOG ZA OBRAVNAVO</w:t>
      </w:r>
    </w:p>
    <w:p w:rsidR="00627784" w:rsidRPr="002F787E" w:rsidRDefault="00627784" w:rsidP="002F1A11">
      <w:pPr>
        <w:spacing w:before="20" w:after="20"/>
        <w:jc w:val="center"/>
        <w:rPr>
          <w:rFonts w:cs="Arial"/>
          <w:b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center"/>
        <w:rPr>
          <w:rFonts w:cs="Arial"/>
          <w:bCs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t>I.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2F787E">
        <w:rPr>
          <w:rFonts w:cs="Arial"/>
          <w:b/>
          <w:bCs/>
          <w:szCs w:val="20"/>
          <w:lang w:val="sl-SI"/>
        </w:rPr>
        <w:t>1. Zadeva EU</w:t>
      </w:r>
      <w:r w:rsidRPr="002F787E">
        <w:rPr>
          <w:rFonts w:cs="Arial"/>
          <w:bCs/>
          <w:szCs w:val="20"/>
          <w:lang w:val="sl-SI"/>
        </w:rPr>
        <w:t xml:space="preserve">: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887E77" w:rsidRPr="00887E77" w:rsidRDefault="00627784" w:rsidP="00887E77">
      <w:pPr>
        <w:spacing w:before="20" w:after="20"/>
        <w:jc w:val="both"/>
        <w:rPr>
          <w:rFonts w:cs="Arial"/>
          <w:bCs/>
          <w:i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t xml:space="preserve">Naslov dokumenta v slovenskem jeziku: </w:t>
      </w:r>
      <w:r w:rsidR="00887E77" w:rsidRPr="00887E77">
        <w:rPr>
          <w:rFonts w:cs="Arial"/>
          <w:bCs/>
          <w:i/>
          <w:szCs w:val="20"/>
          <w:lang w:val="sl-SI"/>
        </w:rPr>
        <w:t>Predlog uredbe Sveta o določitvi ribolovnih možnosti za nekatere staleže rib za leta 2026, 2027 in 2028, ki se uporabljajo v vodah Unije in za ribiška plovila Unije v nekaterih vodah zunaj Unije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en-GB"/>
        </w:rPr>
      </w:pPr>
      <w:r w:rsidRPr="002F787E">
        <w:rPr>
          <w:rFonts w:cs="Arial"/>
          <w:bCs/>
          <w:szCs w:val="20"/>
          <w:lang w:val="sl-SI"/>
        </w:rPr>
        <w:t xml:space="preserve">Naslov dokumenta v delovnem jeziku EU: </w:t>
      </w:r>
      <w:r w:rsidRPr="002F787E">
        <w:rPr>
          <w:rFonts w:cs="Arial"/>
          <w:bCs/>
          <w:i/>
          <w:szCs w:val="20"/>
          <w:lang w:val="en-GB"/>
        </w:rPr>
        <w:t>Proposal for a Council Regulation fixing for 2026, 2027 and 2028 the fishing opportunities for certain fish stocks, applicable in Union waters and, for Union fishing vessels, in certain non-Union waters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Datum dokumenta: </w:t>
      </w:r>
      <w:r w:rsidRPr="002F787E">
        <w:rPr>
          <w:rFonts w:cs="Arial"/>
          <w:i/>
          <w:szCs w:val="20"/>
          <w:lang w:val="sl-SI"/>
        </w:rPr>
        <w:t>29. 10. 2025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Številka dokumenta: </w:t>
      </w:r>
      <w:r w:rsidRPr="002F787E">
        <w:rPr>
          <w:rFonts w:cs="Arial"/>
          <w:i/>
          <w:szCs w:val="20"/>
          <w:lang w:val="sl-SI"/>
        </w:rPr>
        <w:t xml:space="preserve">12815/25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Medinstitucionalna oznaka: </w:t>
      </w:r>
      <w:r w:rsidRPr="002F787E">
        <w:rPr>
          <w:rFonts w:cs="Arial"/>
          <w:i/>
          <w:szCs w:val="20"/>
          <w:lang w:val="sl-SI"/>
        </w:rPr>
        <w:t>2025/0338(NLE)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t xml:space="preserve">Pri izdelavi predloga stališča so upoštevane še različice in priloge dokumenta EU: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2. Vrsta odločitve RS</w:t>
      </w:r>
      <w:r w:rsidRPr="002F787E">
        <w:rPr>
          <w:rFonts w:cs="Arial"/>
          <w:szCs w:val="20"/>
          <w:lang w:val="sl-SI"/>
        </w:rPr>
        <w:t>:</w:t>
      </w:r>
      <w:r w:rsidRPr="002F787E">
        <w:rPr>
          <w:rFonts w:cs="Arial"/>
          <w:b/>
          <w:bCs/>
          <w:i/>
          <w:color w:val="0070C0"/>
          <w:szCs w:val="20"/>
          <w:lang w:val="sl-SI"/>
        </w:rPr>
        <w:t xml:space="preserve"> </w:t>
      </w:r>
      <w:r w:rsidRPr="002F787E">
        <w:rPr>
          <w:rFonts w:cs="Arial"/>
          <w:i/>
          <w:szCs w:val="20"/>
          <w:lang w:val="sl-SI"/>
        </w:rPr>
        <w:t>Stališče Republike Slovenije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2F787E">
        <w:rPr>
          <w:rFonts w:cs="Arial"/>
          <w:b/>
          <w:bCs/>
          <w:szCs w:val="20"/>
          <w:lang w:val="sl-SI"/>
        </w:rPr>
        <w:t>3. Postopek sprejemanja zadeve EU v institucijah EU</w:t>
      </w:r>
      <w:r w:rsidRPr="002F787E">
        <w:rPr>
          <w:rFonts w:cs="Arial"/>
          <w:bCs/>
          <w:szCs w:val="20"/>
          <w:lang w:val="sl-SI"/>
        </w:rPr>
        <w:t>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t>Postopek</w:t>
      </w:r>
      <w:r w:rsidRPr="002F787E">
        <w:rPr>
          <w:rFonts w:cs="Arial"/>
          <w:szCs w:val="20"/>
          <w:lang w:val="sl-SI"/>
        </w:rPr>
        <w:t xml:space="preserve">: </w:t>
      </w:r>
      <w:r w:rsidRPr="002F787E">
        <w:rPr>
          <w:rFonts w:cs="Arial"/>
          <w:i/>
          <w:szCs w:val="20"/>
          <w:lang w:val="sl-SI"/>
        </w:rPr>
        <w:t xml:space="preserve">Posebni zakonodajni postopek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t xml:space="preserve">Faza sprejemanja: </w:t>
      </w:r>
      <w:r w:rsidRPr="002F787E">
        <w:rPr>
          <w:rFonts w:cs="Arial"/>
          <w:bCs/>
          <w:i/>
          <w:szCs w:val="20"/>
          <w:lang w:val="sl-SI"/>
        </w:rPr>
        <w:t xml:space="preserve">Prva obravnava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bCs/>
          <w:szCs w:val="20"/>
          <w:lang w:val="sl-SI"/>
        </w:rPr>
      </w:pPr>
      <w:r w:rsidRPr="002F787E">
        <w:rPr>
          <w:rFonts w:cs="Arial"/>
          <w:b/>
          <w:bCs/>
          <w:szCs w:val="20"/>
          <w:lang w:val="sl-SI"/>
        </w:rPr>
        <w:t>4. Pristojni organ EU</w:t>
      </w:r>
      <w:r w:rsidRPr="002F787E">
        <w:rPr>
          <w:rFonts w:cs="Arial"/>
          <w:bCs/>
          <w:szCs w:val="20"/>
          <w:lang w:val="sl-SI"/>
        </w:rPr>
        <w:t>:</w:t>
      </w:r>
      <w:r w:rsidRPr="002F787E">
        <w:rPr>
          <w:rFonts w:cs="Arial"/>
          <w:b/>
          <w:bCs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t xml:space="preserve">Svet  EU v sestavi: </w:t>
      </w:r>
      <w:r w:rsidRPr="002F787E">
        <w:rPr>
          <w:rFonts w:cs="Arial"/>
          <w:bCs/>
          <w:i/>
          <w:szCs w:val="20"/>
          <w:lang w:val="sl-SI"/>
        </w:rPr>
        <w:t>AGRI - Svet EU za kmetijstvo in ribištvo</w:t>
      </w:r>
      <w:r w:rsidRPr="002F787E">
        <w:rPr>
          <w:rFonts w:cs="Arial"/>
          <w:bCs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i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t xml:space="preserve">Delovno telo Sveta EU: </w:t>
      </w:r>
      <w:r w:rsidRPr="002F787E">
        <w:rPr>
          <w:rFonts w:cs="Arial"/>
          <w:bCs/>
          <w:i/>
          <w:szCs w:val="20"/>
          <w:lang w:val="sl-SI"/>
        </w:rPr>
        <w:t>F.25 - Delovna skupina za ribiško politiko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bCs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5. Organ, pristojen za dokončen sprejem stališča RS</w:t>
      </w:r>
      <w:r w:rsidRPr="002F787E">
        <w:rPr>
          <w:rFonts w:cs="Arial"/>
          <w:szCs w:val="20"/>
          <w:lang w:val="sl-SI"/>
        </w:rPr>
        <w:t>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szCs w:val="20"/>
          <w:lang w:val="sl-SI"/>
        </w:rPr>
        <w:t>Vlada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2F787E" w:rsidRDefault="002F787E" w:rsidP="002F1A1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b/>
          <w:iCs/>
          <w:szCs w:val="20"/>
          <w:lang w:val="sl-SI"/>
        </w:rPr>
        <w:lastRenderedPageBreak/>
        <w:t>6. Pravna podlaga za obravnavo v Državnem zboru</w:t>
      </w:r>
      <w:r w:rsidRPr="002F787E">
        <w:rPr>
          <w:rFonts w:cs="Arial"/>
          <w:iCs/>
          <w:szCs w:val="20"/>
          <w:lang w:val="sl-SI"/>
        </w:rPr>
        <w:t xml:space="preserve">: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Vlada Republike Slovenije s stališčem Republike Slovenije seznani Državni zbor Republike Slovenije v skladu z 8. členom Zakona o sodelovanju med državnim zborom in vlado v zadevah Evropske unije.</w:t>
      </w:r>
      <w:r w:rsidRPr="002F787E">
        <w:rPr>
          <w:rFonts w:cs="Arial"/>
          <w:b/>
          <w:bCs/>
          <w:i/>
          <w:color w:val="0070C0"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2F787E">
        <w:rPr>
          <w:rFonts w:cs="Arial"/>
          <w:iCs/>
          <w:szCs w:val="20"/>
          <w:lang w:val="sl-SI"/>
        </w:rPr>
        <w:t xml:space="preserve">Pri delu v Državnem zboru bodo sodelovali:  </w:t>
      </w:r>
      <w:r w:rsidRPr="002F787E">
        <w:rPr>
          <w:rFonts w:cs="Arial"/>
          <w:i/>
          <w:iCs/>
          <w:szCs w:val="20"/>
          <w:lang w:val="sl-SI"/>
        </w:rPr>
        <w:t>Mateja Čalušić, ministrica za kmetijstvo, gozdarstvo in prehrano, Maša Žagar, državna sekretarka; mag. Ervin Kosi, državni sekretar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ab/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7. Roki</w:t>
      </w:r>
      <w:r w:rsidRPr="002F787E">
        <w:rPr>
          <w:rFonts w:cs="Arial"/>
          <w:szCs w:val="20"/>
          <w:lang w:val="sl-SI"/>
        </w:rPr>
        <w:t>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Predviden čas pričetka obravnave zadeve EU v institucijah EU: </w:t>
      </w:r>
      <w:r w:rsidRPr="002F787E">
        <w:rPr>
          <w:rFonts w:cs="Arial"/>
          <w:i/>
          <w:szCs w:val="20"/>
          <w:lang w:val="sl-SI"/>
        </w:rPr>
        <w:t>November 2026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Predviden čas sprejema zadeve EU v institucijah EU: </w:t>
      </w:r>
      <w:r w:rsidRPr="002F787E">
        <w:rPr>
          <w:rFonts w:cs="Arial"/>
          <w:i/>
          <w:szCs w:val="20"/>
          <w:lang w:val="sl-SI"/>
        </w:rPr>
        <w:t>December 2026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Rok za odziv organa: </w:t>
      </w:r>
      <w:r w:rsidRPr="002F787E">
        <w:rPr>
          <w:rFonts w:cs="Arial"/>
          <w:i/>
          <w:szCs w:val="20"/>
          <w:lang w:val="sl-SI"/>
        </w:rPr>
        <w:t>20. 11. 2025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Rok za obravnavo na seji Vlade in njenih odborih: </w:t>
      </w:r>
      <w:r w:rsidRPr="002F787E">
        <w:rPr>
          <w:rFonts w:cs="Arial"/>
          <w:i/>
          <w:szCs w:val="20"/>
          <w:lang w:val="sl-SI"/>
        </w:rPr>
        <w:t>4. 12. 2025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Rok za obravnavo predloga stališča RS v DZ: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color w:val="00B050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Predlog z obrazložitvijo za skrajšanje oziroma podaljšanje rokov: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color w:val="00B050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8. Organ, odgovoren za pripravo predloga stališča RS</w:t>
      </w:r>
      <w:r w:rsidRPr="002F787E">
        <w:rPr>
          <w:rFonts w:cs="Arial"/>
          <w:szCs w:val="20"/>
          <w:lang w:val="sl-SI"/>
        </w:rPr>
        <w:t>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Organ: </w:t>
      </w:r>
      <w:r w:rsidRPr="002F787E">
        <w:rPr>
          <w:rFonts w:cs="Arial"/>
          <w:i/>
          <w:szCs w:val="20"/>
          <w:lang w:val="sl-SI"/>
        </w:rPr>
        <w:t>Ministrstvo za kmetijstvo, gozdarstvo in prehrano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Kontaktne osebe organa: </w:t>
      </w:r>
      <w:r w:rsidRPr="002F787E">
        <w:rPr>
          <w:rFonts w:cs="Arial"/>
          <w:i/>
          <w:szCs w:val="20"/>
          <w:lang w:val="sl-SI"/>
        </w:rPr>
        <w:t xml:space="preserve">Helena Gašperlin Pertovt, Služba za evropske zadeve in mednarodno sodelovanje; dr. Polona </w:t>
      </w:r>
      <w:proofErr w:type="spellStart"/>
      <w:r w:rsidRPr="002F787E">
        <w:rPr>
          <w:rFonts w:cs="Arial"/>
          <w:i/>
          <w:szCs w:val="20"/>
          <w:lang w:val="sl-SI"/>
        </w:rPr>
        <w:t>Bunič</w:t>
      </w:r>
      <w:proofErr w:type="spellEnd"/>
      <w:r w:rsidRPr="002F787E">
        <w:rPr>
          <w:rFonts w:cs="Arial"/>
          <w:i/>
          <w:szCs w:val="20"/>
          <w:lang w:val="sl-SI"/>
        </w:rPr>
        <w:t>, Sektor za ribištvo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9. Delovna skupina Vlade, organizirana za posamezno področje zadev EU</w:t>
      </w:r>
      <w:r w:rsidRPr="002F787E">
        <w:rPr>
          <w:rFonts w:cs="Arial"/>
          <w:szCs w:val="20"/>
          <w:lang w:val="sl-SI"/>
        </w:rPr>
        <w:t>:</w:t>
      </w:r>
      <w:r w:rsidRPr="002F787E">
        <w:rPr>
          <w:rFonts w:cs="Arial"/>
          <w:b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2F787E">
        <w:rPr>
          <w:rFonts w:cs="Arial"/>
          <w:i/>
          <w:szCs w:val="20"/>
          <w:lang w:val="sl-SI"/>
        </w:rPr>
        <w:t>DS27 - Ribištvo</w:t>
      </w:r>
      <w:r w:rsidRPr="002F787E">
        <w:rPr>
          <w:rFonts w:cs="Arial"/>
          <w:b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/>
          <w:color w:val="FF0000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vodilni organ: </w:t>
      </w:r>
      <w:r w:rsidRPr="002F787E">
        <w:rPr>
          <w:rFonts w:cs="Arial"/>
          <w:i/>
          <w:szCs w:val="20"/>
          <w:lang w:val="sl-SI"/>
        </w:rPr>
        <w:t>MKGP - Ministrstvo za kmetijstvo, gozdarstvo in prehrano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vodja delovne skupine: </w:t>
      </w:r>
      <w:r w:rsidRPr="002F787E">
        <w:rPr>
          <w:rFonts w:cs="Arial"/>
          <w:i/>
          <w:szCs w:val="20"/>
          <w:lang w:val="sl-SI"/>
        </w:rPr>
        <w:t xml:space="preserve">Ana Le </w:t>
      </w:r>
      <w:proofErr w:type="spellStart"/>
      <w:r w:rsidRPr="002F787E">
        <w:rPr>
          <w:rFonts w:cs="Arial"/>
          <w:i/>
          <w:szCs w:val="20"/>
          <w:lang w:val="sl-SI"/>
        </w:rPr>
        <w:t>Marechal</w:t>
      </w:r>
      <w:proofErr w:type="spellEnd"/>
      <w:r w:rsidRPr="002F787E">
        <w:rPr>
          <w:rFonts w:cs="Arial"/>
          <w:i/>
          <w:szCs w:val="20"/>
          <w:lang w:val="sl-SI"/>
        </w:rPr>
        <w:t>, generalna direktorica Direktorata za hrano in ribištvo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Delovna skupina je predlog stališča RS obravnavala</w:t>
      </w:r>
      <w:r w:rsidRPr="002F787E">
        <w:rPr>
          <w:rFonts w:cs="Arial"/>
          <w:szCs w:val="20"/>
          <w:lang w:val="sl-SI"/>
        </w:rPr>
        <w:t>:</w:t>
      </w:r>
      <w:r w:rsidRPr="002F787E">
        <w:rPr>
          <w:rFonts w:cs="Arial"/>
          <w:b/>
          <w:szCs w:val="20"/>
          <w:lang w:val="sl-SI"/>
        </w:rPr>
        <w:t xml:space="preserve">  </w:t>
      </w:r>
      <w:r w:rsidRPr="002F787E">
        <w:rPr>
          <w:rFonts w:cs="Arial"/>
          <w:i/>
          <w:szCs w:val="20"/>
          <w:lang w:val="sl-SI"/>
        </w:rPr>
        <w:t>Ne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10. Predlog stališča RS je usklajen z organi</w:t>
      </w:r>
      <w:r w:rsidRPr="002F787E">
        <w:rPr>
          <w:rFonts w:cs="Arial"/>
          <w:szCs w:val="20"/>
          <w:lang w:val="sl-SI"/>
        </w:rPr>
        <w:t>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Organ: </w:t>
      </w:r>
      <w:r w:rsidRPr="002F787E">
        <w:rPr>
          <w:rFonts w:cs="Arial"/>
          <w:i/>
          <w:szCs w:val="20"/>
          <w:lang w:val="sl-SI"/>
        </w:rPr>
        <w:t>Ministrstvo za gospodarstvo, turizem in šport, Ministrstvo za naravne vire in prostor, Ministrstvo za okolje, podnebje in energijo, Ministrstvo za zunanje in evropske zadeve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 xml:space="preserve">Kontaktna oseba organa: </w:t>
      </w:r>
      <w:r w:rsidRPr="002F787E">
        <w:rPr>
          <w:rFonts w:cs="Arial"/>
          <w:i/>
          <w:szCs w:val="20"/>
          <w:lang w:val="sl-SI"/>
        </w:rPr>
        <w:t>Snežana Dolenc, MGTŠ; Kaja Česnovar, MNVP; Luka Vombek, MOPE; mag. Jasna Koblar, MZEZ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bCs/>
          <w:szCs w:val="20"/>
          <w:lang w:val="sl-SI"/>
        </w:rPr>
      </w:pPr>
      <w:r w:rsidRPr="002F787E">
        <w:rPr>
          <w:rFonts w:cs="Arial"/>
          <w:b/>
          <w:bCs/>
          <w:szCs w:val="20"/>
          <w:lang w:val="sl-SI"/>
        </w:rPr>
        <w:t>11. O predlogu stališča RS je bilo opravljeno posvetovanje z</w:t>
      </w:r>
      <w:r w:rsidRPr="002F787E">
        <w:rPr>
          <w:rFonts w:cs="Arial"/>
          <w:bCs/>
          <w:szCs w:val="20"/>
          <w:lang w:val="sl-SI"/>
        </w:rPr>
        <w:t>:</w:t>
      </w:r>
      <w:r w:rsidRPr="002F787E">
        <w:rPr>
          <w:rFonts w:cs="Arial"/>
          <w:b/>
          <w:bCs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12. Zahteva za obravnavo</w:t>
      </w:r>
      <w:r w:rsidRPr="002F787E">
        <w:rPr>
          <w:rFonts w:cs="Arial"/>
          <w:szCs w:val="20"/>
          <w:lang w:val="sl-SI"/>
        </w:rPr>
        <w:t>:</w:t>
      </w:r>
      <w:r w:rsidRPr="002F787E">
        <w:rPr>
          <w:rFonts w:cs="Arial"/>
          <w:b/>
          <w:szCs w:val="20"/>
          <w:lang w:val="sl-SI"/>
        </w:rPr>
        <w:t xml:space="preserve"> </w:t>
      </w:r>
      <w:r w:rsidRPr="002F787E">
        <w:rPr>
          <w:rFonts w:cs="Arial"/>
          <w:i/>
          <w:szCs w:val="20"/>
          <w:lang w:val="sl-SI"/>
        </w:rPr>
        <w:t>na seji Vlade, na seji Odbora za gospodarstvo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3085"/>
      </w:tblGrid>
      <w:tr w:rsidR="00627784" w:rsidRPr="002F787E" w:rsidTr="002F1A11">
        <w:tc>
          <w:tcPr>
            <w:tcW w:w="3085" w:type="dxa"/>
            <w:shd w:val="clear" w:color="auto" w:fill="auto"/>
          </w:tcPr>
          <w:p w:rsidR="00627784" w:rsidRPr="002F787E" w:rsidRDefault="00627784" w:rsidP="002F1A11">
            <w:pPr>
              <w:spacing w:before="20" w:after="20"/>
              <w:jc w:val="center"/>
              <w:rPr>
                <w:rFonts w:cs="Arial"/>
                <w:b/>
                <w:iCs/>
                <w:szCs w:val="20"/>
                <w:lang w:val="sl-SI"/>
              </w:rPr>
            </w:pPr>
            <w:r w:rsidRPr="002F787E">
              <w:rPr>
                <w:rFonts w:cs="Arial"/>
                <w:b/>
                <w:iCs/>
                <w:szCs w:val="20"/>
                <w:lang w:val="sl-SI"/>
              </w:rPr>
              <w:t>Mateja Čalušić</w:t>
            </w:r>
          </w:p>
          <w:p w:rsidR="00627784" w:rsidRPr="002F787E" w:rsidRDefault="00627784" w:rsidP="002F1A11">
            <w:pPr>
              <w:spacing w:before="20" w:after="20"/>
              <w:jc w:val="center"/>
              <w:rPr>
                <w:rFonts w:cs="Arial"/>
                <w:b/>
                <w:iCs/>
                <w:szCs w:val="20"/>
                <w:lang w:val="sl-SI"/>
              </w:rPr>
            </w:pPr>
            <w:r w:rsidRPr="002F787E">
              <w:rPr>
                <w:rFonts w:cs="Arial"/>
                <w:b/>
                <w:iCs/>
                <w:szCs w:val="20"/>
                <w:lang w:val="sl-SI"/>
              </w:rPr>
              <w:t>MINISTRICA</w:t>
            </w:r>
          </w:p>
        </w:tc>
      </w:tr>
    </w:tbl>
    <w:p w:rsidR="00627784" w:rsidRPr="002F787E" w:rsidRDefault="00627784" w:rsidP="002F1A11">
      <w:pPr>
        <w:tabs>
          <w:tab w:val="center" w:pos="6804"/>
        </w:tabs>
        <w:spacing w:before="20" w:after="20"/>
        <w:rPr>
          <w:rFonts w:cs="Arial"/>
          <w:b/>
          <w:iCs/>
          <w:szCs w:val="20"/>
          <w:lang w:val="sl-SI"/>
        </w:rPr>
      </w:pPr>
      <w:r w:rsidRPr="002F787E">
        <w:rPr>
          <w:rFonts w:cs="Arial"/>
          <w:b/>
          <w:iCs/>
          <w:szCs w:val="20"/>
          <w:lang w:val="sl-SI"/>
        </w:rPr>
        <w:br w:type="page"/>
      </w:r>
    </w:p>
    <w:p w:rsidR="00627784" w:rsidRPr="002F787E" w:rsidRDefault="00627784" w:rsidP="002F1A11">
      <w:pPr>
        <w:spacing w:before="20" w:after="20"/>
        <w:jc w:val="center"/>
        <w:rPr>
          <w:rFonts w:cs="Arial"/>
          <w:bCs/>
          <w:szCs w:val="20"/>
          <w:lang w:val="sl-SI"/>
        </w:rPr>
      </w:pPr>
      <w:r w:rsidRPr="002F787E">
        <w:rPr>
          <w:rFonts w:cs="Arial"/>
          <w:bCs/>
          <w:szCs w:val="20"/>
          <w:lang w:val="sl-SI"/>
        </w:rPr>
        <w:lastRenderedPageBreak/>
        <w:t>II.</w:t>
      </w:r>
    </w:p>
    <w:p w:rsidR="00627784" w:rsidRPr="002F787E" w:rsidRDefault="00627784" w:rsidP="002F1A11">
      <w:pPr>
        <w:spacing w:before="20" w:after="20"/>
        <w:jc w:val="center"/>
        <w:rPr>
          <w:rFonts w:cs="Arial"/>
          <w:b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PREDLOG</w:t>
      </w:r>
    </w:p>
    <w:p w:rsidR="00627784" w:rsidRPr="002F787E" w:rsidRDefault="00627784" w:rsidP="002F1A11">
      <w:pPr>
        <w:spacing w:before="20" w:after="20"/>
        <w:jc w:val="center"/>
        <w:rPr>
          <w:rFonts w:cs="Arial"/>
          <w:b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center"/>
        <w:rPr>
          <w:rFonts w:cs="Arial"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STALIŠČE RS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Na podlagi 21. člena Zakona o Vladi Republike Slovenije (Uradni list RS, št. 24/05 – uradno prečiščeno besedilo, 109/08, 38/10 – ZUKN, 8/12, 21/13, 47/13 – ZDU-1G, 65/14, 55/17, 163/22 in 57/25 - ZF) je Vlada Republike Slovenije sprejela naslednji sklep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2F787E">
        <w:rPr>
          <w:rFonts w:cs="Arial"/>
          <w:b/>
          <w:iCs/>
          <w:szCs w:val="20"/>
          <w:lang w:val="sl-SI"/>
        </w:rPr>
        <w:t>A)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Cs/>
          <w:szCs w:val="20"/>
          <w:lang w:val="sl-SI"/>
        </w:rPr>
        <w:t>Republika Slovenija je sprejela (določila predlog)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b/>
          <w:i/>
          <w:szCs w:val="20"/>
          <w:lang w:val="sl-SI"/>
        </w:rPr>
        <w:t>Stališče Republike Slovenije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Vlada Republike Slovenije je sprejela na podlagi 49.h člena Poslovnika Vlade Republike Slovenije stališče Republike Slovenije k zadevi </w:t>
      </w:r>
      <w:r w:rsidR="00A408E3" w:rsidRPr="00887E77">
        <w:rPr>
          <w:rFonts w:cs="Arial"/>
          <w:bCs/>
          <w:i/>
          <w:szCs w:val="20"/>
          <w:lang w:val="sl-SI"/>
        </w:rPr>
        <w:t>Predlog uredbe Sveta o določitvi ribolovnih možnosti za nekatere staleže rib za leta 2026, 2027 in 2028, ki se uporabljajo v vodah Unije in za ribiška plovila Unije v nekaterih vodah zunaj Unije</w:t>
      </w:r>
      <w:r w:rsidR="00A408E3">
        <w:rPr>
          <w:rFonts w:cs="Arial"/>
          <w:bCs/>
          <w:i/>
          <w:szCs w:val="20"/>
          <w:lang w:val="sl-SI"/>
        </w:rPr>
        <w:t xml:space="preserve"> </w:t>
      </w:r>
      <w:r w:rsidRPr="002F787E">
        <w:rPr>
          <w:rFonts w:cs="Arial"/>
          <w:i/>
          <w:iCs/>
          <w:szCs w:val="20"/>
          <w:lang w:val="sl-SI"/>
        </w:rPr>
        <w:t>- 12815/25, ki se glasi: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887E77" w:rsidRPr="00887E77" w:rsidRDefault="00887E77" w:rsidP="00887E77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887E77">
        <w:rPr>
          <w:rFonts w:cs="Arial"/>
          <w:i/>
          <w:iCs/>
          <w:szCs w:val="20"/>
          <w:lang w:val="sl-SI"/>
        </w:rPr>
        <w:t xml:space="preserve">Republika Slovenija podpira </w:t>
      </w:r>
      <w:r w:rsidR="00A408E3" w:rsidRPr="00887E77">
        <w:rPr>
          <w:rFonts w:cs="Arial"/>
          <w:bCs/>
          <w:i/>
          <w:szCs w:val="20"/>
          <w:lang w:val="sl-SI"/>
        </w:rPr>
        <w:t>Predlog uredbe Sveta o določitvi ribolovnih možnosti za nekatere staleže rib za leta 2026, 2027 in 2028, ki se uporabljajo v vodah Unije in za ribiška plovila Unije v nekaterih vodah zunaj Unije</w:t>
      </w:r>
      <w:r w:rsidRPr="00887E77">
        <w:rPr>
          <w:rFonts w:cs="Arial"/>
          <w:i/>
          <w:iCs/>
          <w:szCs w:val="20"/>
          <w:lang w:val="sl-SI"/>
        </w:rPr>
        <w:t>.</w:t>
      </w:r>
    </w:p>
    <w:p w:rsidR="00887E77" w:rsidRPr="00887E77" w:rsidRDefault="00887E77" w:rsidP="00887E77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887E77" w:rsidRPr="00887E77" w:rsidRDefault="00887E77" w:rsidP="00887E77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887E77">
        <w:rPr>
          <w:rFonts w:cs="Arial"/>
          <w:i/>
          <w:iCs/>
          <w:szCs w:val="20"/>
          <w:lang w:val="sl-SI"/>
        </w:rPr>
        <w:t>Predlog uredbe slovenskega ribištva ne zadeva neposredno, saj slovenski ribiči izvajajo ribolov v severnem Jadranu. Pri čemer bo Republika Slovenija pozorna na obravnavo vsebin, ki bi lahko prinesle dodatne oziroma nesorazmerne administrativne obveznosti, na primer glede jegulje, ki je sicer v Sloveniji zavarovana živalska vrsta.</w:t>
      </w:r>
    </w:p>
    <w:p w:rsidR="00887E77" w:rsidRPr="00887E77" w:rsidRDefault="00887E77" w:rsidP="00887E77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Default="00887E77" w:rsidP="00887E77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887E77">
        <w:rPr>
          <w:rFonts w:cs="Arial"/>
          <w:i/>
          <w:iCs/>
          <w:szCs w:val="20"/>
          <w:lang w:val="sl-SI"/>
        </w:rPr>
        <w:t>Republika Slovenija meni, da je treba pri obravnavi predloga uredbe upoštevati mnenja tistih držav članic, ki jih predlog neposredno zadeva.</w:t>
      </w:r>
    </w:p>
    <w:p w:rsidR="00887E77" w:rsidRPr="002F787E" w:rsidRDefault="00887E77" w:rsidP="00887E77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/>
          <w:iCs/>
          <w:szCs w:val="20"/>
          <w:lang w:val="sl-SI"/>
        </w:rPr>
      </w:pPr>
      <w:r w:rsidRPr="002F787E">
        <w:rPr>
          <w:rFonts w:cs="Arial"/>
          <w:b/>
          <w:iCs/>
          <w:szCs w:val="20"/>
          <w:lang w:val="sl-SI"/>
        </w:rPr>
        <w:t>B)</w:t>
      </w:r>
      <w:r w:rsidRPr="002F787E">
        <w:rPr>
          <w:rFonts w:cs="Arial"/>
          <w:i/>
          <w:iCs/>
          <w:szCs w:val="20"/>
          <w:lang w:val="sl-SI"/>
        </w:rPr>
        <w:t xml:space="preserve"> (</w:t>
      </w:r>
      <w:r w:rsidRPr="002F787E">
        <w:rPr>
          <w:rFonts w:cs="Arial"/>
          <w:b/>
          <w:i/>
          <w:iCs/>
          <w:szCs w:val="20"/>
          <w:lang w:val="sl-SI"/>
        </w:rPr>
        <w:t>Za zakonodajne akte in odločitve politične narave)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2F787E">
        <w:rPr>
          <w:rFonts w:cs="Arial"/>
          <w:b/>
          <w:iCs/>
          <w:szCs w:val="20"/>
          <w:lang w:val="sl-SI"/>
        </w:rPr>
        <w:t>POGLAVITNE REŠITVE IN CILJI PREDLOGA ZADEVE EU</w:t>
      </w:r>
      <w:r w:rsidRPr="002F787E">
        <w:rPr>
          <w:rFonts w:cs="Arial"/>
          <w:iCs/>
          <w:szCs w:val="20"/>
          <w:lang w:val="sl-SI"/>
        </w:rPr>
        <w:t>:</w:t>
      </w:r>
      <w:r w:rsidRPr="002F787E">
        <w:rPr>
          <w:rFonts w:cs="Arial"/>
          <w:b/>
          <w:i/>
          <w:iCs/>
          <w:color w:val="0070C0"/>
          <w:szCs w:val="20"/>
          <w:lang w:val="sl-SI"/>
        </w:rPr>
        <w:t xml:space="preserve"> </w:t>
      </w:r>
    </w:p>
    <w:p w:rsidR="002F787E" w:rsidRDefault="002F787E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Pogodba o delovanju EU v členu 43(3) določa, da Svet EU na predlog Komisije sprejme ukrepe o določitvi in dodelitvi ribolovnih možnosti. Ribolovne možnosti se določijo za večino staležev vsako leto in za nekatere staleže vsake dve do tri leta.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Namen predloga uredbe je določiti ribolovne možnosti v Severnem morju, Zahodnih vodah in Atlantskem oceanu za leto 2026, v nekaterih primerih pa za večletno obdobje (2026–2028), kjer je na voljo znanstveno mnenje. Predlog je omejen na določitev in dodelitev ribolovnih možnosti ter pogojev, ki so funkcionalno povezani z uporabo teh ribolovnih možnosti.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Predlog zajema: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– avtonomne staleže Unije;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– skupne staleže, ki se upravljajo dvostransko ali tristransko z Združenim kraljestvom in/ali Norveško, ali staleže, ki so predmet posvetovanj z obalnimi državami v okviru severovzhodnega Atlantika;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– ribolovne možnosti na podlagi sporazumov, sklenjenih v okviru regionalnih organizacij za upravljanje ribištva (ang. </w:t>
      </w:r>
      <w:proofErr w:type="spellStart"/>
      <w:r w:rsidRPr="002F787E">
        <w:rPr>
          <w:rFonts w:cs="Arial"/>
          <w:i/>
          <w:iCs/>
          <w:szCs w:val="20"/>
          <w:lang w:val="sl-SI"/>
        </w:rPr>
        <w:t>Regional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2F787E">
        <w:rPr>
          <w:rFonts w:cs="Arial"/>
          <w:i/>
          <w:iCs/>
          <w:szCs w:val="20"/>
          <w:lang w:val="sl-SI"/>
        </w:rPr>
        <w:t>fisheries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management </w:t>
      </w:r>
      <w:proofErr w:type="spellStart"/>
      <w:r w:rsidRPr="002F787E">
        <w:rPr>
          <w:rFonts w:cs="Arial"/>
          <w:i/>
          <w:iCs/>
          <w:szCs w:val="20"/>
          <w:lang w:val="sl-SI"/>
        </w:rPr>
        <w:t>organisations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- </w:t>
      </w:r>
      <w:proofErr w:type="spellStart"/>
      <w:r w:rsidRPr="002F787E">
        <w:rPr>
          <w:rFonts w:cs="Arial"/>
          <w:i/>
          <w:iCs/>
          <w:szCs w:val="20"/>
          <w:lang w:val="sl-SI"/>
        </w:rPr>
        <w:t>RFMOs</w:t>
      </w:r>
      <w:proofErr w:type="spellEnd"/>
      <w:r w:rsidRPr="002F787E">
        <w:rPr>
          <w:rFonts w:cs="Arial"/>
          <w:i/>
          <w:iCs/>
          <w:szCs w:val="20"/>
          <w:lang w:val="sl-SI"/>
        </w:rPr>
        <w:t>); ter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– nekatere ribolovne možnosti v vodah tretjih držav.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lastRenderedPageBreak/>
        <w:t>Nekatere ribolovne možnosti določa EU avtonomno, druge pa so določene na podlagi večstranskih ali dvostranskih posvetovanj z državami, ki niso članice EU. Ribolovne možnosti, določene avtonomno in po posvetovanjih, se razdelijo med države članice v skladu z načelom relativne stabilnosti.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Določitev ribolovnih možnosti temelji na načelu trajnostnega ribolova. To pomeni, da morajo vse uredbe o ribolovnih možnostih omejevati ulov staležev na ravni, ki je skladna s splošnimi cilji Skupne ribiške politike (SRP). Osnovna uredba (EU) št. 1380/2013 določa cilje glede omejitev ulova in ribolovnega napora, da se zagotovi ekološko, gospodarsko in socialno trajnostno ribištvo EU. Predlog o ribolovnih možnostih temelji na znanstvenem mnenju Mednarodnega sveta za raziskovanje morja (ang. </w:t>
      </w:r>
      <w:proofErr w:type="spellStart"/>
      <w:r w:rsidRPr="002F787E">
        <w:rPr>
          <w:rFonts w:cs="Arial"/>
          <w:i/>
          <w:iCs/>
          <w:szCs w:val="20"/>
          <w:lang w:val="sl-SI"/>
        </w:rPr>
        <w:t>International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2F787E">
        <w:rPr>
          <w:rFonts w:cs="Arial"/>
          <w:i/>
          <w:iCs/>
          <w:szCs w:val="20"/>
          <w:lang w:val="sl-SI"/>
        </w:rPr>
        <w:t>Council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for the </w:t>
      </w:r>
      <w:proofErr w:type="spellStart"/>
      <w:r w:rsidRPr="002F787E">
        <w:rPr>
          <w:rFonts w:cs="Arial"/>
          <w:i/>
          <w:iCs/>
          <w:szCs w:val="20"/>
          <w:lang w:val="sl-SI"/>
        </w:rPr>
        <w:t>Exploration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2F787E">
        <w:rPr>
          <w:rFonts w:cs="Arial"/>
          <w:i/>
          <w:iCs/>
          <w:szCs w:val="20"/>
          <w:lang w:val="sl-SI"/>
        </w:rPr>
        <w:t>of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the </w:t>
      </w:r>
      <w:proofErr w:type="spellStart"/>
      <w:r w:rsidRPr="002F787E">
        <w:rPr>
          <w:rFonts w:cs="Arial"/>
          <w:i/>
          <w:iCs/>
          <w:szCs w:val="20"/>
          <w:lang w:val="sl-SI"/>
        </w:rPr>
        <w:t>Sea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– ICES), rezultatih posvetovanj s tretjimi državami in letnih srečanj </w:t>
      </w:r>
      <w:proofErr w:type="spellStart"/>
      <w:r w:rsidRPr="002F787E">
        <w:rPr>
          <w:rFonts w:cs="Arial"/>
          <w:i/>
          <w:iCs/>
          <w:szCs w:val="20"/>
          <w:lang w:val="sl-SI"/>
        </w:rPr>
        <w:t>RFMOs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ter je v skladu s pristopom iz letnega sporočila Komisije »Trajnostni ribolov v EU: trenutno stanje in usmeritve za leto 2026«.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Številne ribolovne možnosti so v tem predlogu označene z »</w:t>
      </w:r>
      <w:proofErr w:type="spellStart"/>
      <w:r w:rsidRPr="002F787E">
        <w:rPr>
          <w:rFonts w:cs="Arial"/>
          <w:i/>
          <w:iCs/>
          <w:szCs w:val="20"/>
          <w:lang w:val="sl-SI"/>
        </w:rPr>
        <w:t>pm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« (pro </w:t>
      </w:r>
      <w:proofErr w:type="spellStart"/>
      <w:r w:rsidRPr="002F787E">
        <w:rPr>
          <w:rFonts w:cs="Arial"/>
          <w:i/>
          <w:iCs/>
          <w:szCs w:val="20"/>
          <w:lang w:val="sl-SI"/>
        </w:rPr>
        <w:t>memoria</w:t>
      </w:r>
      <w:proofErr w:type="spellEnd"/>
      <w:r w:rsidRPr="002F787E">
        <w:rPr>
          <w:rFonts w:cs="Arial"/>
          <w:i/>
          <w:iCs/>
          <w:szCs w:val="20"/>
          <w:lang w:val="sl-SI"/>
        </w:rPr>
        <w:t>), ker: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– znanstveno mnenje za nekatere avtonomne staleže EU še ni bilo na voljo;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– nekatere omejitve ulova in priporočila </w:t>
      </w:r>
      <w:proofErr w:type="spellStart"/>
      <w:r w:rsidRPr="002F787E">
        <w:rPr>
          <w:rFonts w:cs="Arial"/>
          <w:i/>
          <w:iCs/>
          <w:szCs w:val="20"/>
          <w:lang w:val="sl-SI"/>
        </w:rPr>
        <w:t>RFMOs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še niso bila določena, ker letna srečanja še niso bila izvedena;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– podatki za zaključek večstranskih ali dvostranskih posvetovanj z ne-EU državami še niso bili na voljo, zlasti za staleže v vodah tretjih držav, staleže, ki se upravljajo skupaj z ne-EU državami, ali – ribolovne možnosti izmenjane z ne-EU državami.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Te ribolovne možnosti bodo naknadno določene s spremembami predloga uredbe.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S tem predlogom se tehnično spremeni Uredba (EU) 2024/257. Pri oznakah »se določi naknadno« se določi celotni dovoljeni ulov (ang. total </w:t>
      </w:r>
      <w:proofErr w:type="spellStart"/>
      <w:r w:rsidRPr="002F787E">
        <w:rPr>
          <w:rFonts w:cs="Arial"/>
          <w:i/>
          <w:iCs/>
          <w:szCs w:val="20"/>
          <w:lang w:val="sl-SI"/>
        </w:rPr>
        <w:t>allowable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</w:t>
      </w:r>
      <w:proofErr w:type="spellStart"/>
      <w:r w:rsidRPr="002F787E">
        <w:rPr>
          <w:rFonts w:cs="Arial"/>
          <w:i/>
          <w:iCs/>
          <w:szCs w:val="20"/>
          <w:lang w:val="sl-SI"/>
        </w:rPr>
        <w:t>catch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– TAC) za staleže, ki so predmet bilateralnega dogovora med EU in Združenim kraljestvom za leto 2026. Namen teh tehničnih sprememb je uskladiti določbe obstoječe uredbe z rezultati pogajanj med EU in Združenim kraljestvom ter zagotoviti, da ribolovne možnosti za skupne staleže odražajo dosežene dogovore in znanstvena priporočila.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Jegulja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Na podlagi mnenja ICES je bilo določeno zaporedno trimesečno obdobje prepovedi ribolova jegulje v letnih uredbah o ribolovnih možnostih za severovzhodni Atlantik (2018–2022) in za vse vode Sredozemlja (2019–2022). Z Uredbo Sveta (EU) 2023/194 je bilo obdobje prepovedi podaljšano na šest mesecev za vse ribolovne dejavnosti jegulje v vodah EU severovzhodnega Atlantika in Sredozemskega morja ter za plovila EU v vseh morskih vodah Sredozemlja. Prepoved rekreacijskega ribolova jegulje je bila prav tako določena za navedena območja.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Glede na stalno kritično stanje evropske jegulje se za leto 2026 predlaga: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– ohranitev šestmesečnega zaprtja in prepovedi rekreacijskega ribolova jegulj v vodah EU severovzhodnega Atlantika in Sredozemlja;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– posodobitev predloga po objavi znanstvenega mnenja ICES za leto 2026;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 xml:space="preserve">– zagotovitev, da zaprtje v severovzhodnem Atlantiku zajema glavno obdobje migracije in da se države članice na območju ICES </w:t>
      </w:r>
      <w:proofErr w:type="spellStart"/>
      <w:r w:rsidRPr="002F787E">
        <w:rPr>
          <w:rFonts w:cs="Arial"/>
          <w:i/>
          <w:iCs/>
          <w:szCs w:val="20"/>
          <w:lang w:val="sl-SI"/>
        </w:rPr>
        <w:t>subarea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3 (</w:t>
      </w:r>
      <w:proofErr w:type="spellStart"/>
      <w:r w:rsidRPr="002F787E">
        <w:rPr>
          <w:rFonts w:cs="Arial"/>
          <w:i/>
          <w:iCs/>
          <w:szCs w:val="20"/>
          <w:lang w:val="sl-SI"/>
        </w:rPr>
        <w:t>Skagerrak-Kattegat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in Baltsko morje) dogovorijo o obdobjih prepovedi ribolova, da se zaščiti </w:t>
      </w:r>
      <w:proofErr w:type="spellStart"/>
      <w:r w:rsidRPr="002F787E">
        <w:rPr>
          <w:rFonts w:cs="Arial"/>
          <w:i/>
          <w:iCs/>
          <w:szCs w:val="20"/>
          <w:lang w:val="sl-SI"/>
        </w:rPr>
        <w:t>migrujoča</w:t>
      </w:r>
      <w:proofErr w:type="spellEnd"/>
      <w:r w:rsidRPr="002F787E">
        <w:rPr>
          <w:rFonts w:cs="Arial"/>
          <w:i/>
          <w:iCs/>
          <w:szCs w:val="20"/>
          <w:lang w:val="sl-SI"/>
        </w:rPr>
        <w:t xml:space="preserve"> jegulja.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2F787E">
        <w:rPr>
          <w:rFonts w:cs="Arial"/>
          <w:i/>
          <w:iCs/>
          <w:szCs w:val="20"/>
          <w:lang w:val="sl-SI"/>
        </w:rPr>
        <w:t>V Sloveniji je jegulja zavarovana vrsta od leta 2004, za upravljanje s to zavarovano vrsto pa je pristojno Ministrstvo za naravne vire in prostor.</w:t>
      </w:r>
    </w:p>
    <w:p w:rsidR="00627784" w:rsidRDefault="00627784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2F787E" w:rsidRDefault="002F787E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2F787E" w:rsidRPr="002F787E" w:rsidRDefault="002F787E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2F787E">
        <w:rPr>
          <w:rFonts w:cs="Arial"/>
          <w:b/>
          <w:iCs/>
          <w:szCs w:val="20"/>
          <w:lang w:val="sl-SI"/>
        </w:rPr>
        <w:lastRenderedPageBreak/>
        <w:t>OCENA VPLIVOV IN POSLEDIC PREDLOGA ZADEVE EU</w:t>
      </w:r>
      <w:r w:rsidRPr="002F787E">
        <w:rPr>
          <w:rFonts w:cs="Arial"/>
          <w:iCs/>
          <w:szCs w:val="20"/>
          <w:lang w:val="sl-SI"/>
        </w:rPr>
        <w:t xml:space="preserve">: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Vpliv na pravni red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i/>
          <w:szCs w:val="20"/>
          <w:lang w:val="sl-SI"/>
        </w:rPr>
        <w:t>Ni vpliva na pravni red.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Posledice za proračun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i/>
          <w:szCs w:val="20"/>
          <w:lang w:val="sl-SI"/>
        </w:rPr>
        <w:t>Ni posledic za proračun RS in EU.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Vpliv na gospodarstvo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i/>
          <w:szCs w:val="20"/>
          <w:lang w:val="sl-SI"/>
        </w:rPr>
        <w:t xml:space="preserve">Dolgoročno je pričakovati pozitivni vpliv na gospodarstvo, saj se pri letnem določanju ribolovnih možnosti v obliki celotnih dovoljenih ulovov zasleduje načelo izkoriščanja živih morskih bioloških virov na način, ki dovoljuje obnavljanje in ohranjanje populacij </w:t>
      </w:r>
      <w:proofErr w:type="spellStart"/>
      <w:r w:rsidRPr="002F787E">
        <w:rPr>
          <w:rFonts w:cs="Arial"/>
          <w:i/>
          <w:szCs w:val="20"/>
          <w:lang w:val="sl-SI"/>
        </w:rPr>
        <w:t>lovljenih</w:t>
      </w:r>
      <w:proofErr w:type="spellEnd"/>
      <w:r w:rsidRPr="002F787E">
        <w:rPr>
          <w:rFonts w:cs="Arial"/>
          <w:i/>
          <w:szCs w:val="20"/>
          <w:lang w:val="sl-SI"/>
        </w:rPr>
        <w:t xml:space="preserve"> vrst nad ravnmi, ki omogočajo največji trajnostni donos. Namen tega predloga je preprečiti kratkoročne pristope v korist dolgoročne trajnosti, zato lahko pride za določeno obdobje do zmanjšanja ribolovnih možnosti v zadevnih državah članicah.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Vpliv na javno upravo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i/>
          <w:szCs w:val="20"/>
          <w:lang w:val="sl-SI"/>
        </w:rPr>
        <w:t>S predlogom se bodo poenostavili upravni postopki za EU ali nacionalne javne organe, zlasti glede zahtev za upravljanje napora.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Vpliv na okolje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2F787E">
        <w:rPr>
          <w:rFonts w:cs="Arial"/>
          <w:i/>
          <w:szCs w:val="20"/>
          <w:lang w:val="sl-SI"/>
        </w:rPr>
        <w:t xml:space="preserve">Pričakovati je pozitiven vpliv na okolje, saj je cilj predloga zagotoviti, da se pri izkoriščanju živih morskih bioloških virov populacije </w:t>
      </w:r>
      <w:proofErr w:type="spellStart"/>
      <w:r w:rsidRPr="002F787E">
        <w:rPr>
          <w:rFonts w:cs="Arial"/>
          <w:i/>
          <w:szCs w:val="20"/>
          <w:lang w:val="sl-SI"/>
        </w:rPr>
        <w:t>lovljenih</w:t>
      </w:r>
      <w:proofErr w:type="spellEnd"/>
      <w:r w:rsidRPr="002F787E">
        <w:rPr>
          <w:rFonts w:cs="Arial"/>
          <w:i/>
          <w:szCs w:val="20"/>
          <w:lang w:val="sl-SI"/>
        </w:rPr>
        <w:t xml:space="preserve"> vrst obnavljajo in ohranjajo nad ravnmi, ki omogočajo največji trajnostni donos.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  <w:r w:rsidRPr="002F787E">
        <w:rPr>
          <w:rFonts w:cs="Arial"/>
          <w:szCs w:val="20"/>
          <w:lang w:val="sl-SI"/>
        </w:rPr>
        <w:t>Drugo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bCs/>
          <w:i/>
          <w:szCs w:val="20"/>
          <w:lang w:val="sl-SI"/>
        </w:rPr>
      </w:pPr>
      <w:r w:rsidRPr="002F787E">
        <w:rPr>
          <w:rFonts w:cs="Arial"/>
          <w:b/>
          <w:bCs/>
          <w:i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2F787E">
        <w:rPr>
          <w:rFonts w:cs="Arial"/>
          <w:b/>
          <w:szCs w:val="20"/>
          <w:lang w:val="sl-SI"/>
        </w:rPr>
        <w:t>C)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2F787E">
        <w:rPr>
          <w:rFonts w:cs="Arial"/>
          <w:b/>
          <w:iCs/>
          <w:szCs w:val="20"/>
          <w:lang w:val="sl-SI"/>
        </w:rPr>
        <w:t>Predstavniki RS, ki bodo zastopali stališče RS v institucijah EU</w:t>
      </w:r>
      <w:r w:rsidRPr="002F787E">
        <w:rPr>
          <w:rFonts w:cs="Arial"/>
          <w:iCs/>
          <w:szCs w:val="20"/>
          <w:lang w:val="sl-SI"/>
        </w:rPr>
        <w:t>:</w:t>
      </w:r>
      <w:r w:rsidRPr="002F787E">
        <w:rPr>
          <w:rFonts w:cs="Arial"/>
          <w:b/>
          <w:iCs/>
          <w:szCs w:val="20"/>
          <w:lang w:val="sl-SI"/>
        </w:rPr>
        <w:t xml:space="preserve"> 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2F787E">
        <w:rPr>
          <w:rFonts w:cs="Arial"/>
          <w:b/>
          <w:i/>
          <w:iCs/>
          <w:szCs w:val="20"/>
          <w:lang w:val="sl-SI"/>
        </w:rPr>
        <w:t xml:space="preserve">dr. Polona </w:t>
      </w:r>
      <w:proofErr w:type="spellStart"/>
      <w:r w:rsidRPr="002F787E">
        <w:rPr>
          <w:rFonts w:cs="Arial"/>
          <w:b/>
          <w:i/>
          <w:iCs/>
          <w:szCs w:val="20"/>
          <w:lang w:val="sl-SI"/>
        </w:rPr>
        <w:t>Bunič</w:t>
      </w:r>
      <w:proofErr w:type="spellEnd"/>
      <w:r w:rsidRPr="002F787E">
        <w:rPr>
          <w:rFonts w:cs="Arial"/>
          <w:b/>
          <w:i/>
          <w:iCs/>
          <w:szCs w:val="20"/>
          <w:lang w:val="sl-SI"/>
        </w:rPr>
        <w:t>, MKGP; mag. Gvido Mravljak, SPBR</w:t>
      </w:r>
    </w:p>
    <w:p w:rsidR="00627784" w:rsidRPr="002F787E" w:rsidRDefault="00627784" w:rsidP="002F1A11">
      <w:pPr>
        <w:spacing w:before="20" w:after="20"/>
        <w:jc w:val="both"/>
        <w:rPr>
          <w:rFonts w:cs="Arial"/>
          <w:szCs w:val="20"/>
          <w:lang w:val="sl-SI"/>
        </w:rPr>
      </w:pPr>
    </w:p>
    <w:p w:rsidR="007D75CF" w:rsidRPr="002F787E" w:rsidRDefault="007D75CF" w:rsidP="0024718A">
      <w:pPr>
        <w:rPr>
          <w:lang w:val="sl-SI"/>
        </w:rPr>
      </w:pPr>
    </w:p>
    <w:sectPr w:rsidR="007D75CF" w:rsidRPr="002F787E" w:rsidSect="00431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9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11" w:rsidRDefault="002F1A11">
      <w:r>
        <w:separator/>
      </w:r>
    </w:p>
  </w:endnote>
  <w:endnote w:type="continuationSeparator" w:id="0">
    <w:p w:rsidR="002F1A11" w:rsidRDefault="002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84" w:rsidRDefault="006277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84" w:rsidRDefault="006277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84" w:rsidRDefault="006277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11" w:rsidRDefault="002F1A11">
      <w:r>
        <w:separator/>
      </w:r>
    </w:p>
  </w:footnote>
  <w:footnote w:type="continuationSeparator" w:id="0">
    <w:p w:rsidR="002F1A11" w:rsidRDefault="002F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84" w:rsidRDefault="0062778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04"/>
    </w:tblGrid>
    <w:tr w:rsidR="00DC6A71" w:rsidRPr="008F3500">
      <w:trPr>
        <w:cantSplit/>
        <w:trHeight w:hRule="exact" w:val="847"/>
      </w:trPr>
      <w:tc>
        <w:tcPr>
          <w:tcW w:w="567" w:type="dxa"/>
        </w:tcPr>
        <w:p w:rsidR="00530285" w:rsidRPr="00963ADE" w:rsidRDefault="00FF26FD" w:rsidP="00530285">
          <w:pPr>
            <w:autoSpaceDE w:val="0"/>
            <w:autoSpaceDN w:val="0"/>
            <w:adjustRightInd w:val="0"/>
            <w:spacing w:before="100" w:line="240" w:lineRule="auto"/>
            <w:rPr>
              <w:rFonts w:ascii="Republika" w:hAnsi="Republika"/>
              <w:sz w:val="18"/>
              <w:szCs w:val="60"/>
              <w:lang w:val="sl-SI"/>
            </w:rPr>
          </w:pPr>
          <w:r w:rsidRPr="00963ADE">
            <w:rPr>
              <w:noProof/>
              <w:lang w:val="sl-SI" w:eastAsia="ko-KR" w:bidi="mn-Mong-MN"/>
            </w:rPr>
            <w:drawing>
              <wp:inline distT="0" distB="0" distL="0" distR="0">
                <wp:extent cx="246380" cy="2940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42D9" w:rsidRPr="006D42D9" w:rsidRDefault="006D42D9" w:rsidP="0024718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C6A71" w:rsidRPr="006D42D9" w:rsidRDefault="00DC6A7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C6A71" w:rsidRPr="008F3500" w:rsidRDefault="00FF26FD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ko-KR" w:bidi="mn-Mong-MN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98C2E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DC6A71" w:rsidRPr="008F3500">
      <w:rPr>
        <w:rFonts w:ascii="Republika" w:hAnsi="Republika"/>
        <w:lang w:val="sl-SI"/>
      </w:rPr>
      <w:t>REPUBLIKA SLOVENIJA</w:t>
    </w:r>
  </w:p>
  <w:p w:rsidR="00567106" w:rsidRPr="006D3DFE" w:rsidRDefault="006D3DFE" w:rsidP="006D3DF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</w:t>
    </w:r>
    <w:r w:rsidR="00C5062F">
      <w:rPr>
        <w:rFonts w:ascii="Republika Bold" w:hAnsi="Republika Bold"/>
        <w:b/>
        <w:caps/>
        <w:lang w:val="sl-SI"/>
      </w:rPr>
      <w:t>KMETIJSTVO, GOZDARSTVO IN PREHRANO</w:t>
    </w:r>
  </w:p>
  <w:p w:rsidR="00DC6A71" w:rsidRPr="008F3500" w:rsidRDefault="00C5062F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Dunajska </w:t>
    </w:r>
    <w:r w:rsidR="000C407D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22</w:t>
    </w:r>
    <w:r w:rsidR="00DC6A71" w:rsidRPr="008F3500">
      <w:rPr>
        <w:rFonts w:cs="Arial"/>
        <w:sz w:val="16"/>
        <w:lang w:val="sl-SI"/>
      </w:rPr>
      <w:t xml:space="preserve">, </w:t>
    </w:r>
    <w:r w:rsidR="006D3DFE">
      <w:rPr>
        <w:rFonts w:cs="Arial"/>
        <w:sz w:val="16"/>
        <w:lang w:val="sl-SI"/>
      </w:rPr>
      <w:t>1000 Ljubljana</w:t>
    </w:r>
    <w:r w:rsidR="00DC6A71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01 478 9000</w:t>
    </w:r>
  </w:p>
  <w:p w:rsidR="00DC6A71" w:rsidRPr="008F3500" w:rsidRDefault="00DC6A71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6D3DFE">
      <w:rPr>
        <w:rFonts w:cs="Arial"/>
        <w:sz w:val="16"/>
        <w:lang w:val="sl-SI"/>
      </w:rPr>
      <w:t xml:space="preserve">01 478 </w:t>
    </w:r>
    <w:r w:rsidR="000C407D">
      <w:rPr>
        <w:rFonts w:cs="Arial"/>
        <w:sz w:val="16"/>
        <w:lang w:val="sl-SI"/>
      </w:rPr>
      <w:t>9021</w:t>
    </w:r>
    <w:r w:rsidRPr="008F3500">
      <w:rPr>
        <w:rFonts w:cs="Arial"/>
        <w:sz w:val="16"/>
        <w:lang w:val="sl-SI"/>
      </w:rPr>
      <w:t xml:space="preserve"> 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B276A">
      <w:rPr>
        <w:rFonts w:cs="Arial"/>
        <w:sz w:val="16"/>
        <w:lang w:val="sl-SI"/>
      </w:rPr>
      <w:t>gp.mkgp</w:t>
    </w:r>
    <w:r w:rsidR="006D3DFE">
      <w:rPr>
        <w:rFonts w:cs="Arial"/>
        <w:sz w:val="16"/>
        <w:lang w:val="sl-SI"/>
      </w:rPr>
      <w:t>@gov.si</w:t>
    </w:r>
  </w:p>
  <w:p w:rsidR="00CE7514" w:rsidRPr="008F3500" w:rsidRDefault="00CE751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B276A">
      <w:rPr>
        <w:rFonts w:cs="Arial"/>
        <w:sz w:val="16"/>
        <w:lang w:val="sl-SI"/>
      </w:rPr>
      <w:t>www.mkgp</w:t>
    </w:r>
    <w:r w:rsidR="006D3DFE">
      <w:rPr>
        <w:rFonts w:cs="Arial"/>
        <w:sz w:val="16"/>
        <w:lang w:val="sl-SI"/>
      </w:rPr>
      <w:t>.gov.si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23A88"/>
    <w:rsid w:val="000A7238"/>
    <w:rsid w:val="000C407D"/>
    <w:rsid w:val="000D2FE7"/>
    <w:rsid w:val="001357B2"/>
    <w:rsid w:val="00202A77"/>
    <w:rsid w:val="0024718A"/>
    <w:rsid w:val="00271CE5"/>
    <w:rsid w:val="00282020"/>
    <w:rsid w:val="002F1A11"/>
    <w:rsid w:val="002F787E"/>
    <w:rsid w:val="003636BF"/>
    <w:rsid w:val="0037479F"/>
    <w:rsid w:val="003845B4"/>
    <w:rsid w:val="00387B1A"/>
    <w:rsid w:val="003E1C74"/>
    <w:rsid w:val="00431D47"/>
    <w:rsid w:val="004B276A"/>
    <w:rsid w:val="00526246"/>
    <w:rsid w:val="00530285"/>
    <w:rsid w:val="00567106"/>
    <w:rsid w:val="005E1D3C"/>
    <w:rsid w:val="006051E1"/>
    <w:rsid w:val="00627784"/>
    <w:rsid w:val="00632253"/>
    <w:rsid w:val="00642714"/>
    <w:rsid w:val="006455CE"/>
    <w:rsid w:val="006C491D"/>
    <w:rsid w:val="006D3DFE"/>
    <w:rsid w:val="006D42D9"/>
    <w:rsid w:val="00733017"/>
    <w:rsid w:val="00783310"/>
    <w:rsid w:val="007A4A6D"/>
    <w:rsid w:val="007D1BCF"/>
    <w:rsid w:val="007D75CF"/>
    <w:rsid w:val="007E6DC5"/>
    <w:rsid w:val="00876443"/>
    <w:rsid w:val="0088043C"/>
    <w:rsid w:val="00887E77"/>
    <w:rsid w:val="008906C9"/>
    <w:rsid w:val="008C5738"/>
    <w:rsid w:val="008D04F0"/>
    <w:rsid w:val="008F3500"/>
    <w:rsid w:val="00924E3C"/>
    <w:rsid w:val="009612BB"/>
    <w:rsid w:val="009A7C4E"/>
    <w:rsid w:val="00A125C5"/>
    <w:rsid w:val="00A21E7F"/>
    <w:rsid w:val="00A35903"/>
    <w:rsid w:val="00A408E3"/>
    <w:rsid w:val="00A5039D"/>
    <w:rsid w:val="00A65EE7"/>
    <w:rsid w:val="00A70133"/>
    <w:rsid w:val="00B17141"/>
    <w:rsid w:val="00B31575"/>
    <w:rsid w:val="00B8547D"/>
    <w:rsid w:val="00B866EE"/>
    <w:rsid w:val="00C250D5"/>
    <w:rsid w:val="00C5062F"/>
    <w:rsid w:val="00C92898"/>
    <w:rsid w:val="00CE7514"/>
    <w:rsid w:val="00D04605"/>
    <w:rsid w:val="00D248DE"/>
    <w:rsid w:val="00D8542D"/>
    <w:rsid w:val="00DB6F30"/>
    <w:rsid w:val="00DC6A71"/>
    <w:rsid w:val="00DE5B46"/>
    <w:rsid w:val="00E0357D"/>
    <w:rsid w:val="00E24EC2"/>
    <w:rsid w:val="00F240BB"/>
    <w:rsid w:val="00F46724"/>
    <w:rsid w:val="00F57FED"/>
    <w:rsid w:val="00FF26FD"/>
    <w:rsid w:val="00FF3D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5AD2763"/>
  <w15:chartTrackingRefBased/>
  <w15:docId w15:val="{82F9B1DE-0713-478C-85E4-87DFB7E8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ko-KR" w:bidi="mn-Mong-M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ko-KR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1500</Words>
  <Characters>8889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Helena Gašperlin Pertovt</cp:lastModifiedBy>
  <cp:revision>6</cp:revision>
  <cp:lastPrinted>2010-07-05T09:38:00Z</cp:lastPrinted>
  <dcterms:created xsi:type="dcterms:W3CDTF">2025-11-06T09:54:00Z</dcterms:created>
  <dcterms:modified xsi:type="dcterms:W3CDTF">2025-11-19T09:51:00Z</dcterms:modified>
</cp:coreProperties>
</file>