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vnd.openxmlformats-officedocument.wordprocessingml.document.mai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2.xml"/>
  <Override ContentType="application/vnd.openxmlformats-officedocument.wordprocessingml.settings+xml" PartName="/word/glossary/settings2.xml"/>
  <Override ContentType="application/vnd.openxmlformats-officedocument.wordprocessingml.styles+xml" PartName="/word/glossary/styles2.xml"/>
  <Override ContentType="application/vnd.openxmlformats-officedocument.wordprocessingml.webSettings+xml" PartName="/word/glossary/webSettings2.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word/document.xml" Type="http://schemas.openxmlformats.org/officeDocument/2006/relationships/officeDocument" Id="Red7871e387da48d5"/>
    <Relationship Target="/docProps/core.xml" Type="http://schemas.openxmlformats.org/package/2006/relationships/metadata/core-properties" Id="Re55213bf96274b1b"/>
    <Relationship Target="/docProps/app.xml" Type="http://schemas.openxmlformats.org/officeDocument/2006/relationships/extended-properties" Id="R881212d7fd6c4b69"/>
    <Relationship Target="docProps/custom.xml" Type="http://schemas.openxmlformats.org/officeDocument/2006/relationships/custom-properties"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echnicalBlock"/>
        <w:tag w:val="LCK:TechnicalBlock"/>
        <w:placeholder/>
        <w:lock w:val="sdtContentLocked"/>
      </w:sdtPr>
      <w:sdtEndPr/>
      <w:sdtContent>
        <w:tbl>
          <w:tblPr>
            <w:tblW w:w="11344" w:type="dxa"/>
            <w:tblLayout w:type="fixed"/>
            <w:tblCellMar>
              <w:left w:w="0" w:type="dxa"/>
              <w:right w:w="0" w:type="dxa"/>
            </w:tblCellMar>
            <w:tblLook w:val="0000" w:firstRow="0" w:lastRow="0" w:firstColumn="0" w:lastColumn="0" w:noHBand="0" w:noVBand="0"/>
            <w:jc w:val="center"/>
          </w:tblPr>
          <w:tblGrid>
            <w:gridCol w:w="850"/>
            <w:gridCol w:w="970"/>
            <w:gridCol w:w="2862"/>
            <w:gridCol w:w="1696"/>
            <w:gridCol w:w="147"/>
            <w:gridCol w:w="4819"/>
          </w:tblGrid>
          <w:tr w:rsidRPr="005F5A6B" w:rsidR="003558E4" w:rsidTr="00524601" w14:paraId="5F661EC3" w14:textId="77777777">
            <w:trPr>
              <w:cantSplit/>
              <w:trHeight w:val="510"/>
            </w:trPr>
            <w:tc>
              <w:tcPr>
                <w:tcW w:w="11344" w:type="dxa"/>
                <w:gridSpan w:val="6"/>
                <w:vAlign w:val="bottom"/>
              </w:tcPr>
              <w:p w:rsidRPr="005F5A6B" w:rsidR="003558E4" w:rsidP="00524601" w:rsidRDefault="003558E4" w14:paraId="0CA635AE" w14:textId="77777777">
                <w:pPr>
                  <w:pStyle w:val="TBNormalTechnicalBlock"/>
                  <w:jc w:val="right"/>
                  <w:rPr>
                    <w:b w:val="0"/>
                    <w:bCs/>
                  </w:rPr>
                </w:pPr>
              </w:p>
            </w:tc>
          </w:tr>
          <w:tr w:rsidRPr="006720F9" w:rsidR="003558E4" w:rsidTr="00524601" w14:paraId="770D6090" w14:textId="77777777">
            <w:trPr>
              <w:cantSplit/>
              <w:trHeight w:val="567"/>
            </w:trPr>
            <w:tc>
              <w:tcPr>
                <w:tcW w:w="1820" w:type="dxa"/>
                <w:gridSpan w:val="2"/>
                <w:vAlign w:val="bottom"/>
              </w:tcPr>
              <w:p w:rsidRPr="006C5D93" w:rsidR="003558E4" w:rsidP="00524601" w:rsidRDefault="003558E4" w14:paraId="6BB714C6" w14:textId="77777777">
                <w:pPr>
                  <w:pStyle w:val="TBEntInstit"/>
                </w:pPr>
                <w:r w:rsidRPr="006C5D93">
                  <w:rPr>
                    <w:noProof/>
                  </w:rPr>
                  <w:drawing>
                    <wp:inline distT="0" distB="0" distL="0" distR="0" wp14:anchorId="2332012A" wp14:editId="50637A3B">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37d533e734484849"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rsidRPr="008414C3" w:rsidR="003558E4" w:rsidP="00524601" w:rsidRDefault="00000000" w14:paraId="69A4EC62" w14:textId="77777777">
                <w:pPr>
                  <w:pStyle w:val="TBInstitution"/>
                </w:pPr>
                <w:r>
                  <w:t xml:space="preserve">Svet</w:t>
                  <w:br/>
                  <w:t xml:space="preserve">Evropske unije</w:t>
                </w:r>
              </w:p>
            </w:tc>
          </w:tr>
          <w:tr w:rsidRPr="006720F9" w:rsidR="003558E4" w:rsidTr="00524601" w14:paraId="48CA9711" w14:textId="77777777">
            <w:trPr>
              <w:gridBefore w:val="2"/>
              <w:wBefore w:w="1820" w:type="dxa"/>
              <w:cantSplit/>
              <w:trHeight w:val="1191"/>
            </w:trPr>
            <w:tc>
              <w:tcPr>
                <w:tcW w:w="4558" w:type="dxa"/>
                <w:gridSpan w:val="2"/>
                <w:tcMar>
                  <w:top w:w="28" w:type="dxa"/>
                  <w:left w:w="85" w:type="dxa"/>
                </w:tcMar>
              </w:tcPr>
              <w:p w:rsidRPr="00327887" w:rsidR="003558E4" w:rsidP="00524601" w:rsidRDefault="00000000" w14:paraId="573E62E8" w14:textId="77777777">
                <w:pPr>
                  <w:pStyle w:val="TBInstitutionSubwordmark"/>
                </w:pPr>
              </w:p>
            </w:tc>
            <w:tc>
              <w:tcPr>
                <w:tcW w:w="147" w:type="dxa"/>
                <w:vAlign w:val="bottom"/>
              </w:tcPr>
              <w:p w:rsidRPr="00093255" w:rsidR="003558E4" w:rsidP="00524601" w:rsidRDefault="003558E4" w14:paraId="0F653C05" w14:textId="77777777">
                <w:pPr>
                  <w:pStyle w:val="TBNormalTechnicalBlock"/>
                  <w:jc w:val="right"/>
                  <w:rPr>
                    <w:b w:val="0"/>
                    <w:bCs/>
                  </w:rPr>
                </w:pPr>
              </w:p>
            </w:tc>
            <w:tc>
              <w:tcPr>
                <w:tcW w:w="4819" w:type="dxa"/>
                <w:vMerge w:val="restart"/>
                <w:tcMar>
                  <w:top w:w="0" w:type="dxa"/>
                </w:tcMar>
              </w:tcPr>
              <w:p w:rsidRPr="0012121B" w:rsidR="003558E4" w:rsidP="00524601" w:rsidRDefault="00000000" w14:paraId="39BC4836" w14:textId="77777777">
                <w:pPr>
                  <w:pStyle w:val="TBNormalTechnicalBlock"/>
                </w:pPr>
                <w:r>
                  <w:t xml:space="preserve">Bruselj</w:t>
                </w:r>
                <w:r>
                  <w:t xml:space="preserve">, 28. avgust 2025</w:t>
                </w:r>
              </w:p>
              <w:p w:rsidRPr="00871A20" w:rsidR="003558E4" w:rsidP="00524601" w:rsidRDefault="003558E4" w14:paraId="072B0288" w14:textId="77777777">
                <w:pPr>
                  <w:pStyle w:val="TBNormalTechnicalBlock"/>
                  <w:rPr>
                    <w:bCs/>
                  </w:rPr>
                </w:pPr>
                <w:r w:rsidRPr="00E60683">
                  <w:rPr>
                    <w:bCs/>
                  </w:rPr>
                  <w:t xml:space="preserve">(OR. </w:t>
                </w:r>
                <w:r>
                  <w:rPr>
                    <w:bCs/>
                  </w:rPr>
                  <w:t xml:space="preserve">en</w:t>
                </w:r>
                <w:r w:rsidRPr="00871A20">
                  <w:rPr>
                    <w:bCs/>
                  </w:rPr>
                  <w:t>)</w:t>
                </w:r>
              </w:p>
              <w:p w:rsidRPr="00871A20" w:rsidR="003558E4" w:rsidP="00524601" w:rsidRDefault="003558E4" w14:paraId="180CD6C1" w14:textId="77777777">
                <w:pPr>
                  <w:pStyle w:val="TBNormalTechnicalBlock"/>
                  <w:jc w:val="right"/>
                </w:pPr>
              </w:p>
              <w:p w:rsidRPr="00871A20" w:rsidR="003558E4" w:rsidP="00524601" w:rsidRDefault="003558E4" w14:paraId="3F975832" w14:textId="77777777">
                <w:pPr>
                  <w:pStyle w:val="TBNormalTechnicalBlock"/>
                  <w:jc w:val="right"/>
                </w:pPr>
              </w:p>
              <w:p w:rsidRPr="00F65A71" w:rsidR="003558E4" w:rsidP="00524601" w:rsidRDefault="00000000" w14:paraId="2C1F44D7" w14:textId="77777777">
                <w:pPr>
                  <w:pStyle w:val="TBNormalTechnicalBlock"/>
                  <w:rPr>
                    <w:bCs/>
                    <w:lang w:val="en-US"/>
                  </w:rPr>
                </w:pPr>
                <w:r>
                  <w:rPr>
                    <w:bCs/>
                    <w:lang w:val="en-US"/>
                  </w:rPr>
                  <w:t xml:space="preserve">12304</w:t>
                </w:r>
                <w:r w:rsidRPr="00F65A71" w:rsidR="003558E4">
                  <w:rPr>
                    <w:bCs/>
                    <w:lang w:val="en-US"/>
                  </w:rPr>
                  <w:t>/</w:t>
                </w:r>
                <w:r>
                  <w:rPr>
                    <w:bCs/>
                    <w:lang w:val="en-US"/>
                  </w:rPr>
                  <w:t xml:space="preserve">25</w:t>
                </w:r>
              </w:p>
              <w:p w:rsidRPr="00F65A71" w:rsidR="003558E4" w:rsidP="00524601" w:rsidRDefault="00000000" w14:paraId="46A0BB4E" w14:textId="77777777">
                <w:pPr>
                  <w:pStyle w:val="TBNormalTechnicalBlock"/>
                  <w:rPr>
                    <w:lang w:val="en-US"/>
                  </w:rPr>
                </w:pPr>
              </w:p>
              <w:p w:rsidRPr="00F65A71" w:rsidR="003558E4" w:rsidP="00524601" w:rsidRDefault="003558E4" w14:paraId="1F3E78F4" w14:textId="77777777">
                <w:pPr>
                  <w:pStyle w:val="TBNormalTechnicalBlock"/>
                  <w:jc w:val="right"/>
                  <w:rPr>
                    <w:lang w:val="en-US"/>
                  </w:rPr>
                </w:pPr>
              </w:p>
              <w:p w:rsidR="003558E4" w:rsidP="00524601" w:rsidRDefault="00000000" w14:paraId="3AB2E568" w14:textId="77777777">
                <w:pPr>
                  <w:pStyle w:val="TBNormalTechnicalBlock"/>
                </w:pPr>
              </w:p>
              <w:p w:rsidR="003558E4" w:rsidP="00524601" w:rsidRDefault="003558E4" w14:paraId="7C17AC88" w14:textId="77777777">
                <w:pPr>
                  <w:pStyle w:val="TBNormalTechnicalBlock"/>
                  <w:jc w:val="right"/>
                </w:pPr>
              </w:p>
              <w:p>
                <w:pPr>
                  <w:pStyle w:val="TBEntRefer"/>
                  <w:tabs>
                    <w:tab w:val="left" w:pos="2265"/>
                  </w:tabs>
                </w:pPr>
                <w:r>
                  <w:t xml:space="preserve">POLCOM 197</w:t>
                </w:r>
              </w:p>
              <w:p>
                <w:pPr>
                  <w:pStyle w:val="TBEntRefer"/>
                  <w:tabs>
                    <w:tab w:val="left" w:pos="2265"/>
                  </w:tabs>
                </w:pPr>
                <w:r>
                  <w:t xml:space="preserve">COMER 119</w:t>
                </w:r>
              </w:p>
              <w:p>
                <w:pPr>
                  <w:pStyle w:val="TBEntRefer"/>
                  <w:tabs>
                    <w:tab w:val="left" w:pos="2265"/>
                  </w:tabs>
                </w:pPr>
                <w:r>
                  <w:t xml:space="preserve">USA 11</w:t>
                </w:r>
              </w:p>
              <w:p>
                <w:pPr>
                  <w:pStyle w:val="TBEntRefer"/>
                  <w:tabs>
                    <w:tab w:val="left" w:pos="2265"/>
                  </w:tabs>
                </w:pPr>
                <w:r>
                  <w:t xml:space="preserve">COTRA 22</w:t>
                </w:r>
              </w:p>
              <w:p>
                <w:pPr>
                  <w:pStyle w:val="TBEntRefer"/>
                  <w:tabs>
                    <w:tab w:val="left" w:pos="2265"/>
                  </w:tabs>
                </w:pPr>
                <w:r>
                  <w:t xml:space="preserve">CODEC 1175</w:t>
                </w:r>
              </w:p>
            </w:tc>
          </w:tr>
          <w:tr w:rsidRPr="006720F9" w:rsidR="003558E4" w:rsidTr="00524601" w14:paraId="1D7B6A6F" w14:textId="77777777">
            <w:trPr>
              <w:gridBefore w:val="1"/>
              <w:wBefore w:w="850" w:type="dxa"/>
              <w:cantSplit/>
              <w:trHeight w:val="837"/>
            </w:trPr>
            <w:tc>
              <w:tcPr>
                <w:tcW w:w="3832" w:type="dxa"/>
                <w:gridSpan w:val="2"/>
                <w:vAlign w:val="center"/>
              </w:tcPr>
              <w:p>
                <w:pPr>
                  <w:pStyle w:val="TBEntReferNew"/>
                  <w:pBdr>
                    <w:top w:val="double" w:color="auto" w:sz="6" w:space="2"/>
                    <w:bottom w:val="double" w:color="auto" w:sz="6" w:space="2"/>
                  </w:pBdr>
                  <w:rPr>
                    <w:sz w:val="23"/>
                    <w:szCs w:val="23"/>
                  </w:rPr>
                </w:pPr>
                <w:r>
                  <w:rPr>
                    <w:sz w:val="23"/>
                    <w:szCs w:val="23"/>
                  </w:rPr>
                  <w:t xml:space="preserve">Medinstitucionalna zadeva:</w:t>
                </w:r>
              </w:p>
              <w:p>
                <w:pPr>
                  <w:pStyle w:val="TBEntReferNew"/>
                  <w:pBdr>
                    <w:top w:val="double" w:color="auto" w:sz="6" w:space="2"/>
                    <w:bottom w:val="double" w:color="auto" w:sz="6" w:space="2"/>
                  </w:pBdr>
                  <w:rPr>
                    <w:sz w:val="23"/>
                    <w:szCs w:val="23"/>
                  </w:rPr>
                </w:pPr>
                <w:r>
                  <w:rPr>
                    <w:sz w:val="23"/>
                    <w:szCs w:val="23"/>
                  </w:rPr>
                  <w:t xml:space="preserve">2025/0260 (COD)</w:t>
                </w:r>
              </w:p>
            </w:tc>
            <w:tc>
              <w:tcPr>
                <w:tcW w:w="1843" w:type="dxa"/>
                <w:gridSpan w:val="2"/>
                <w:vMerge w:val="restart"/>
                <w:vAlign w:val="bottom"/>
              </w:tcPr>
              <w:p w:rsidRPr="008F6E25" w:rsidR="003558E4" w:rsidP="00524601" w:rsidRDefault="003558E4" w14:paraId="1BC217B4" w14:textId="77777777">
                <w:pPr>
                  <w:pStyle w:val="TBNormalTechnicalBlock"/>
                  <w:jc w:val="right"/>
                  <w:rPr>
                    <w:b w:val="0"/>
                    <w:bCs/>
                  </w:rPr>
                </w:pPr>
              </w:p>
            </w:tc>
            <w:tc>
              <w:tcPr>
                <w:tcW w:w="4819" w:type="dxa"/>
                <w:vMerge/>
              </w:tcPr>
              <w:p w:rsidRPr="00F26BF3" w:rsidR="003558E4" w:rsidP="00524601" w:rsidRDefault="003558E4" w14:paraId="00141522" w14:textId="77777777">
                <w:pPr>
                  <w:pStyle w:val="TBEntRefer"/>
                  <w:rPr>
                    <w:szCs w:val="23"/>
                  </w:rPr>
                </w:pPr>
              </w:p>
            </w:tc>
          </w:tr>
          <w:tr w:rsidRPr="007D65B2" w:rsidR="003558E4" w:rsidTr="00524601" w14:paraId="5155D011" w14:textId="77777777">
            <w:trPr>
              <w:gridBefore w:val="1"/>
              <w:wBefore w:w="850" w:type="dxa"/>
              <w:cantSplit/>
              <w:trHeight w:val="998"/>
            </w:trPr>
            <w:tc>
              <w:tcPr>
                <w:tcW w:w="3832" w:type="dxa"/>
                <w:gridSpan w:val="2"/>
                <w:vAlign w:val="center"/>
              </w:tcPr>
              <w:p w:rsidRPr="007D65B2" w:rsidR="003558E4" w:rsidP="00524601" w:rsidRDefault="00000000" w14:paraId="22AED6D4" w14:textId="77777777">
                <w:pPr>
                  <w:pStyle w:val="TBSousEmbargo"/>
                </w:pPr>
              </w:p>
            </w:tc>
            <w:tc>
              <w:tcPr>
                <w:tcW w:w="1843" w:type="dxa"/>
                <w:gridSpan w:val="2"/>
                <w:vMerge/>
                <w:vAlign w:val="center"/>
              </w:tcPr>
              <w:p w:rsidRPr="008F6E25" w:rsidR="003558E4" w:rsidP="00524601" w:rsidRDefault="003558E4" w14:paraId="28745477" w14:textId="77777777">
                <w:pPr>
                  <w:pStyle w:val="TBNormalTechnicalBlock"/>
                  <w:rPr>
                    <w:b w:val="0"/>
                    <w:bCs/>
                  </w:rPr>
                </w:pPr>
              </w:p>
            </w:tc>
            <w:tc>
              <w:tcPr>
                <w:tcW w:w="4819" w:type="dxa"/>
                <w:vMerge/>
              </w:tcPr>
              <w:p w:rsidRPr="007D65B2" w:rsidR="003558E4" w:rsidP="00524601" w:rsidRDefault="003558E4" w14:paraId="11D91DB8" w14:textId="77777777">
                <w:pPr>
                  <w:pStyle w:val="TBEntRefer"/>
                  <w:rPr>
                    <w:szCs w:val="23"/>
                  </w:rPr>
                </w:pPr>
              </w:p>
            </w:tc>
          </w:tr>
        </w:tbl>
        <w:p w:rsidRPr="007D65B2" w:rsidR="003558E4" w:rsidP="003558E4" w:rsidRDefault="003558E4" w14:paraId="641C0D2A" w14:textId="77777777">
          <w:pPr>
            <w:pStyle w:val="TBEntRefer"/>
            <w:rPr>
              <w:sz w:val="2"/>
              <w:szCs w:val="2"/>
            </w:rPr>
          </w:pPr>
        </w:p>
        <w:tbl>
          <w:tblPr>
            <w:tblW w:w="9640" w:type="dxa"/>
            <w:tblInd w:w="851" w:type="dxa"/>
            <w:tblLayout w:type="fixed"/>
            <w:tblCellMar>
              <w:left w:w="0" w:type="dxa"/>
              <w:right w:w="0" w:type="dxa"/>
            </w:tblCellMar>
            <w:tblLook w:val="0000" w:firstRow="0" w:lastRow="0" w:firstColumn="0" w:lastColumn="0" w:noHBand="0" w:noVBand="0"/>
            <w:jc w:val="center"/>
          </w:tblPr>
          <w:tblGrid>
            <w:gridCol w:w="9640"/>
          </w:tblGrid>
          <w:tr xmlns:w14="http://schemas.microsoft.com/office/word/2010/wordml" xmlns:w="http://schemas.openxmlformats.org/wordprocessingml/2006/main" w:rsidRPr="008C093D" w:rsidR="002D3C08" w:rsidTr="00072A32" w14:paraId="53BBC257" w14:textId="77777777">
            <w:tc>
              <w:tcPr>
                <w:tcW w:w="9640" w:type="dxa"/>
              </w:tcPr>
              <w:p w:rsidRPr="008C093D" w:rsidR="002D3C08" w:rsidP="00072A32" w:rsidRDefault="00000000" w14:paraId="14E296B1" w14:textId="77777777">
                <w:pPr>
                  <w:pStyle w:val="TBHeadingTable"/>
                </w:pPr>
                <w:r>
                  <w:t xml:space="preserve">SPREMNI DOPIS</w:t>
                </w:r>
              </w:p>
            </w:tc>
          </w:tr>
        </w:tbl>
        <w:tbl>
          <w:tblPr>
            <w:tblW w:w="9645" w:type="dxa"/>
            <w:tblInd w:w="851" w:type="dxa"/>
            <w:tblLayout w:type="fixed"/>
            <w:tblCellMar>
              <w:left w:w="0" w:type="dxa"/>
              <w:right w:w="0" w:type="dxa"/>
            </w:tblCellMar>
            <w:tblLook w:val="0000" w:firstRow="0" w:lastRow="0" w:firstColumn="0" w:lastColumn="0" w:noHBand="0" w:noVBand="0"/>
            <w:jc w:val="center"/>
          </w:tblPr>
          <w:tblGrid>
            <w:gridCol w:w="2274"/>
            <w:gridCol w:w="7392"/>
          </w:tblGrid>
          <w:tr xmlns:w14="http://schemas.microsoft.com/office/word/2010/wordml" xmlns:w="http://schemas.openxmlformats.org/wordprocessingml/2006/main" w:rsidRPr="00F13D39" w:rsidR="002D3C08" w:rsidTr="00072A32" w14:paraId="374A8075" w14:textId="77777777">
            <w:tc>
              <w:tcPr>
                <w:tcW w:w="2274" w:type="dxa"/>
                <w:tcBorders>
                  <w:top w:val="single" w:color="auto" w:sz="4" w:space="0"/>
                </w:tcBorders>
              </w:tcPr>
              <w:p w:rsidRPr="00F13D39" w:rsidR="002D3C08" w:rsidP="00072A32" w:rsidRDefault="00000000" w14:paraId="2E7D0831" w14:textId="77777777">
                <w:pPr>
                  <w:pStyle w:val="TBSubjectTable"/>
                </w:pPr>
                <w:r>
                  <w:t xml:space="preserve">Pošiljatelj:</w:t>
                </w:r>
              </w:p>
            </w:tc>
            <w:tc>
              <w:tcPr>
                <w:tcW w:w="7392" w:type="dxa"/>
                <w:tcBorders>
                  <w:top w:val="single" w:color="auto" w:sz="4" w:space="0"/>
                </w:tcBorders>
              </w:tcPr>
              <w:p w:rsidRPr="00F13D39" w:rsidR="002D3C08" w:rsidP="00072A32" w:rsidRDefault="00000000" w14:paraId="0DB0160C" w14:textId="77777777">
                <w:pPr>
                  <w:pStyle w:val="TBSubjectTable"/>
                </w:pPr>
                <w:r>
                  <w:t xml:space="preserve">za generalno sekretarko Evropske komisije:</w:t>
                  <w:br/>
                  <w:t xml:space="preserve">direktorica Martine DEPREZ</w:t>
                </w:r>
              </w:p>
            </w:tc>
          </w:tr>
          <w:tr xmlns:w14="http://schemas.microsoft.com/office/word/2010/wordml" xmlns:w="http://schemas.openxmlformats.org/wordprocessingml/2006/main" w:rsidRPr="00F13D39" w:rsidR="002D3C08" w:rsidTr="00072A32" w14:paraId="4FC1D7E0" w14:textId="77777777">
            <w:tblPrEx>
              <w:tblBorders>
                <w:top w:val="single" w:color="auto" w:sz="4" w:space="0"/>
              </w:tblBorders>
            </w:tblPrEx>
            <w:tc>
              <w:tcPr>
                <w:tcW w:w="2274" w:type="dxa"/>
                <w:tcBorders>
                  <w:top w:val="nil"/>
                  <w:bottom w:val="nil"/>
                </w:tcBorders>
              </w:tcPr>
              <w:p w:rsidRPr="00F13D39" w:rsidR="002D3C08" w:rsidP="00072A32" w:rsidRDefault="00000000" w14:paraId="402EE7E3" w14:textId="77777777">
                <w:pPr>
                  <w:pStyle w:val="TBSubjectTable"/>
                </w:pPr>
                <w:r>
                  <w:t xml:space="preserve">Datum prejema:</w:t>
                </w:r>
              </w:p>
            </w:tc>
            <w:tc>
              <w:tcPr>
                <w:tcW w:w="7392" w:type="dxa"/>
                <w:tcBorders>
                  <w:top w:val="nil"/>
                  <w:bottom w:val="nil"/>
                </w:tcBorders>
              </w:tcPr>
              <w:p w:rsidRPr="00F13D39" w:rsidR="002D3C08" w:rsidP="00072A32" w:rsidRDefault="00000000" w14:paraId="6282D212" w14:textId="77777777">
                <w:pPr>
                  <w:pStyle w:val="TBSubjectTable"/>
                </w:pPr>
                <w:r>
                  <w:t xml:space="preserve">28. avgust 2025</w:t>
                </w:r>
              </w:p>
            </w:tc>
          </w:tr>
          <w:tr xmlns:w14="http://schemas.microsoft.com/office/word/2010/wordml" xmlns:w="http://schemas.openxmlformats.org/wordprocessingml/2006/main" w:rsidRPr="00F13D39" w:rsidR="002D3C08" w:rsidTr="00072A32" w14:paraId="3DF3CACF" w14:textId="77777777">
            <w:tc>
              <w:tcPr>
                <w:tcW w:w="2274" w:type="dxa"/>
                <w:tcBorders>
                  <w:bottom w:val="single" w:color="auto" w:sz="4" w:space="0"/>
                </w:tcBorders>
              </w:tcPr>
              <w:p w:rsidRPr="00F13D39" w:rsidR="002D3C08" w:rsidP="00072A32" w:rsidRDefault="00000000" w14:paraId="54062E45" w14:textId="77777777">
                <w:pPr>
                  <w:pStyle w:val="TBSubjectTable"/>
                </w:pPr>
                <w:r>
                  <w:t xml:space="preserve">Prejemnik:</w:t>
                </w:r>
              </w:p>
            </w:tc>
            <w:tc>
              <w:tcPr>
                <w:tcW w:w="7392" w:type="dxa"/>
                <w:tcBorders>
                  <w:bottom w:val="single" w:color="auto" w:sz="4" w:space="0"/>
                </w:tcBorders>
              </w:tcPr>
              <w:p w:rsidRPr="00F13D39" w:rsidR="002D3C08" w:rsidP="00072A32" w:rsidRDefault="00000000" w14:paraId="0C29E2F0" w14:textId="77777777">
                <w:pPr>
                  <w:pStyle w:val="TBSubjectTable"/>
                </w:pPr>
                <w:r>
                  <w:t xml:space="preserve">Thérèse BLANCHET, generalna sekretarka Sveta Evropske unije</w:t>
                </w:r>
              </w:p>
            </w:tc>
          </w:tr>
          <w:tr xmlns:w14="http://schemas.microsoft.com/office/word/2010/wordml" xmlns:w="http://schemas.openxmlformats.org/wordprocessingml/2006/main" w:rsidRPr="00BB649A" w:rsidR="002D3C08" w:rsidTr="00072A32" w14:paraId="70C090C5" w14:textId="77777777">
            <w:tblPrEx>
              <w:tblBorders>
                <w:top w:val="single" w:color="auto" w:sz="4" w:space="0"/>
              </w:tblBorders>
            </w:tblPrEx>
            <w:tc>
              <w:tcPr>
                <w:tcW w:w="2274" w:type="dxa"/>
                <w:tcBorders>
                  <w:top w:val="nil"/>
                  <w:bottom w:val="single" w:color="auto" w:sz="4" w:space="0"/>
                </w:tcBorders>
              </w:tcPr>
              <w:p w:rsidRPr="00F13D39" w:rsidR="002D3C08" w:rsidP="00072A32" w:rsidRDefault="00000000" w14:paraId="071EE8CE" w14:textId="77777777">
                <w:pPr>
                  <w:pStyle w:val="TBSubjectTable"/>
                </w:pPr>
                <w:r>
                  <w:t xml:space="preserve">Št. dok. Kom.:</w:t>
                </w:r>
              </w:p>
            </w:tc>
            <w:tc>
              <w:tcPr>
                <w:tcW w:w="7392" w:type="dxa"/>
                <w:tcBorders>
                  <w:top w:val="nil"/>
                  <w:bottom w:val="single" w:color="auto" w:sz="4" w:space="0"/>
                </w:tcBorders>
              </w:tcPr>
              <w:p w:rsidRPr="002D3C08" w:rsidR="002D3C08" w:rsidP="00072A32" w:rsidRDefault="00000000" w14:paraId="47D5D105" w14:textId="77777777">
                <w:pPr>
                  <w:pStyle w:val="TBSubjectTable"/>
                  <w:rPr>
                    <w:lang w:val="de-DE"/>
                  </w:rPr>
                </w:pPr>
                <w:r>
                  <w:rPr>
                    <w:lang w:val="de-DE"/>
                  </w:rPr>
                  <w:t xml:space="preserve">COM(2025) 472 final</w:t>
                </w:r>
              </w:p>
            </w:tc>
          </w:tr>
          <w:tr xmlns:w14="http://schemas.microsoft.com/office/word/2010/wordml" xmlns:w="http://schemas.openxmlformats.org/wordprocessingml/2006/main" w:rsidRPr="00F13D39" w:rsidR="002D3C08" w:rsidTr="00072A32" w14:paraId="08715429" w14:textId="77777777">
            <w:tc>
              <w:tcPr>
                <w:tcW w:w="2274" w:type="dxa"/>
                <w:tcBorders>
                  <w:top w:val="single" w:color="auto" w:sz="4" w:space="0"/>
                  <w:bottom w:val="single" w:color="auto" w:sz="4" w:space="0"/>
                </w:tcBorders>
              </w:tcPr>
              <w:p w:rsidRPr="00F13D39" w:rsidR="002D3C08" w:rsidP="00072A32" w:rsidRDefault="00000000" w14:paraId="7676D586" w14:textId="77777777">
                <w:pPr>
                  <w:pStyle w:val="TBSubjectTable"/>
                </w:pPr>
                <w:r>
                  <w:t xml:space="preserve">Zadeva:</w:t>
                </w:r>
              </w:p>
            </w:tc>
            <w:bookmarkStart w:name="SplitParasInCell_1" w:id="1"/>
            <w:bookmarkEnd w:id="1"/>
            <w:tc>
              <w:tcPr>
                <w:tcW w:w="7392" w:type="dxa"/>
                <w:tcBorders>
                  <w:top w:val="single" w:color="auto" w:sz="4" w:space="0"/>
                  <w:bottom w:val="single" w:color="auto" w:sz="4" w:space="0"/>
                </w:tcBorders>
              </w:tcPr>
              <w:p w:rsidRPr="00F13D39" w:rsidR="002D3C08" w:rsidP="00072A32" w:rsidRDefault="00000000" w14:paraId="47EA7402" w14:textId="77777777">
                <w:pPr>
                  <w:pStyle w:val="TBSubjectText"/>
                </w:pPr>
                <w:r>
                  <w:t xml:space="preserve">Predlog</w:t>
                  <w:br/>
                  <w:t xml:space="preserve">UREDBA EVROPSKEGA PARLAMENTA IN SVETA</w:t>
                  <w:br/>
                  <w:t xml:space="preserve">o neuporabi carin za uvoz nekaterega blaga</w:t>
                </w:r>
              </w:p>
            </w:tc>
          </w:tr>
        </w:tbl>
        <w:p w:rsidRPr="002D3C08" w:rsidR="002D3C08" w:rsidP="002D3C08" w:rsidRDefault="002D3C08" w14:paraId="2DF89B2C" w14:textId="77777777">
          <w:pPr>
            <w:spacing w:before="20" w:after="240" w:line="20" w:lineRule="exact"/>
            <w:rPr>
              <w:sz w:val="2"/>
              <w:szCs w:val="2"/>
              <w:lang w:val="fr-FR"/>
            </w:rPr>
          </w:pPr>
        </w:p>
      </w:sdtContent>
    </w:sdt>
    <w:p>
      <w:pPr>
        <w:pStyle w:val="EntText"/>
        <w:spacing w:before="480" w:after="120"/>
      </w:pPr>
      <w:r>
        <w:t xml:space="preserve">Delegacije prejmejo priloženi dokument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COM(2025) 472 final</w:instrText>
      </w:r>
      <w:r>
        <w:instrText xml:space="preserve">" </w:instrText>
      </w:r>
      <w:r>
        <w:fldChar w:fldCharType="separate"/>
      </w:r>
      <w:r>
        <w:t xml:space="preserve">COM(2025) 472 final</w:t>
      </w:r>
      <w:r>
        <w:fldChar w:fldCharType="end"/>
      </w:r>
      <w:r>
        <w:t xml:space="preserve">.</w:t>
      </w:r>
    </w:p>
    <w:p>
      <w:pPr>
        <w:pStyle w:val="Lignefinal"/>
      </w:pPr>
      <w:r/>
    </w:p>
    <w:p>
      <w:pPr>
        <w:pStyle w:val="p.j."/>
        <w:spacing w:before="120" w:after="120"/>
        <w:sectPr w:rsidRPr="007D65B2" w:rsidR="003558E4" w:rsidSect="007F499B">
          <w:headerReference w:type="even" r:id="R297cc86fc18b44e8"/>
          <w:headerReference w:type="default" r:id="R5a9fdced935c4b0e"/>
          <w:footerReference w:type="even" r:id="R2079df6314554cfe"/>
          <w:footerReference w:type="default" r:id="Rfaa7de07f79d4f93"/>
          <w:headerReference w:type="first" r:id="Rc3a52557a2b64e56"/>
          <w:footerReference w:type="first" r:id="Ra3dceca4a14d46fc"/>
          <w:pgSz w:w="11906" w:h="16838" w:code="9"/>
          <w:pgMar w:top="624" w:right="1134" w:bottom="1134" w:left="1134" w:header="567" w:footer="567" w:gutter="0"/>
          <w:cols w:space="708"/>
          <w:docGrid w:linePitch="360"/>
          <w:pgSz w:w="11907" w:h="16840" w:code="9"/>
          <w:titlePg/>
          <w:pgNumType w:start="0"/>
          <w:pgSz w:w="11907" w:h="16840" w:code="9"/>
        </w:sectPr>
      </w:pPr>
      <w:r>
        <w:t xml:space="preserve">Priloga: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COM(2025) 472 final</w:instrText>
      </w:r>
      <w:r>
        <w:instrText xml:space="preserve">" </w:instrText>
      </w:r>
      <w:r>
        <w:fldChar w:fldCharType="separate"/>
      </w:r>
      <w:r>
        <w:t xml:space="preserve">COM(2025) 472 final</w:t>
      </w:r>
      <w:r>
        <w:fldChar w:fldCharType="end"/>
      </w:r>
      <w:r/>
    </w:p>
    <w:p w:rsidRPr="00F92333" w:rsidR="001E0305" w:rsidP="009A340D" w:rsidRDefault="009A340D">
      <w:pPr>
        <w:pStyle w:val="Pagedecouverture"/>
        <w:rPr>
          <w:noProof/>
        </w:rPr>
      </w:pPr>
      <w:r>
        <w:rPr>
          <w:noProo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455.25pt;height:341.25pt" alt="61EA54A4-C3B3-461B-8043-2040952B866C" type="#_x0000_t75">
            <v:imagedata o:title="" r:id="Rac5252ff14264540"/>
          </v:shape>
        </w:pict>
      </w:r>
    </w:p>
    <w:p w:rsidRPr="00F92333" w:rsidR="001E0305" w:rsidP="001E0305" w:rsidRDefault="001E0305">
      <w:pPr>
        <w:rPr>
          <w:noProof/>
        </w:rPr>
        <w:sectPr w:rsidRPr="00F92333" w:rsidR="001E0305" w:rsidSect="009A340D">
          <w:headerReference w:type="default" r:id="Rba95f5a45c8949b5"/>
          <w:footerReference w:type="first" r:id="Rc840b6dd2a8c4c01"/>
          <w:headerReference w:type="first" r:id="R07f3ff9ad48746d9"/>
          <w:headerReference w:type="even" r:id="Ra5a674d6daa04d63"/>
          <w:footerReference w:type="even" r:id="Rf95a5c0520cf40e8"/>
          <w:footerReference w:type="default" r:id="R569d2b6a7ddc4ba6"/>
          <w:pgSz w:w="11907" w:h="16839"/>
          <w:pgMar w:top="1134" w:right="1417" w:bottom="1134" w:left="1417" w:header="709" w:footer="709" w:gutter="0"/>
          <w:pgNumType w:start="0"/>
          <w:cols w:space="720"/>
          <w:docGrid w:linePitch="360"/>
        </w:sectPr>
      </w:pPr>
    </w:p>
    <w:p w:rsidRPr="00F92333" w:rsidR="001E0305" w:rsidRDefault="001E0305">
      <w:pPr>
        <w:pStyle w:val="Exposdesmotifstitre"/>
        <w:rPr>
          <w:noProof/>
        </w:rPr>
      </w:pPr>
      <w:bookmarkStart w:name="_GoBack" w:id="2"/>
      <w:bookmarkEnd w:id="2"/>
      <w:r w:rsidRPr="00F92333">
        <w:rPr>
          <w:noProof/>
        </w:rPr>
        <w:lastRenderedPageBreak/>
        <w:t>OBRAZLOŽITVENI MEMORANDUM</w:t>
      </w:r>
    </w:p>
    <w:p w:rsidRPr="00F92333" w:rsidR="001E0305" w:rsidRDefault="001E0305">
      <w:pPr>
        <w:pStyle w:val="ManualHeading1"/>
        <w:rPr>
          <w:noProof/>
        </w:rPr>
      </w:pPr>
      <w:r w:rsidRPr="00F92333">
        <w:rPr>
          <w:noProof/>
        </w:rPr>
        <w:t>1.</w:t>
      </w:r>
      <w:r w:rsidRPr="00F92333">
        <w:rPr>
          <w:noProof/>
        </w:rPr>
        <w:tab/>
        <w:t>OZADJE PREDLOGA</w:t>
      </w:r>
    </w:p>
    <w:p w:rsidRPr="00F92333" w:rsidR="001E0305" w:rsidRDefault="001E0305">
      <w:pPr>
        <w:pStyle w:val="ManualHeading2"/>
        <w:rPr>
          <w:rFonts w:eastAsia="Arial Unicode MS"/>
          <w:noProof/>
        </w:rPr>
      </w:pPr>
      <w:r w:rsidRPr="00F92333">
        <w:rPr>
          <w:noProof/>
          <w:color w:val="000000"/>
          <w:u w:color="000000"/>
          <w:bdr w:val="nil"/>
        </w:rPr>
        <w:t>•</w:t>
      </w:r>
      <w:r w:rsidRPr="00F92333">
        <w:rPr>
          <w:noProof/>
          <w:color w:val="000000"/>
          <w:u w:color="000000"/>
          <w:bdr w:val="nil"/>
        </w:rPr>
        <w:tab/>
      </w:r>
      <w:r w:rsidRPr="00F92333">
        <w:rPr>
          <w:noProof/>
        </w:rPr>
        <w:t>Razlogi za predlog in njegovi cilji</w:t>
      </w:r>
    </w:p>
    <w:p w:rsidRPr="00F92333" w:rsidR="00615E10" w:rsidP="1CD92556" w:rsidRDefault="00615E10">
      <w:pPr>
        <w:pBdr>
          <w:top w:val="nil"/>
          <w:left w:val="nil"/>
          <w:bottom w:val="nil"/>
          <w:right w:val="nil"/>
          <w:between w:val="nil"/>
          <w:bar w:val="nil"/>
        </w:pBdr>
        <w:spacing w:before="0" w:after="240"/>
        <w:rPr>
          <w:noProof/>
        </w:rPr>
      </w:pPr>
      <w:r w:rsidRPr="00F92333">
        <w:rPr>
          <w:noProof/>
        </w:rPr>
        <w:t>Z Uredbo (EU) 2020/2131 z dne 16. decembra 2020 o odpravi carin za nekatero blago</w:t>
      </w:r>
      <w:r w:rsidRPr="00F92333">
        <w:rPr>
          <w:rStyle w:val="FootnoteReference"/>
          <w:noProof/>
        </w:rPr>
        <w:footnoteReference w:id="2"/>
      </w:r>
      <w:r w:rsidRPr="00F92333">
        <w:rPr>
          <w:noProof/>
        </w:rPr>
        <w:t xml:space="preserve"> so bile carine za uvoz nekaterih vrst jastogov odpravljene za petletno obdobje, tj. do 31. julija 2025.</w:t>
      </w:r>
    </w:p>
    <w:p w:rsidRPr="00F92333" w:rsidR="00615E10" w:rsidP="1C4AE8F8" w:rsidRDefault="00615E10">
      <w:pPr>
        <w:pBdr>
          <w:top w:val="nil"/>
          <w:left w:val="nil"/>
          <w:bottom w:val="nil"/>
          <w:right w:val="nil"/>
          <w:between w:val="nil"/>
          <w:bar w:val="nil"/>
        </w:pBdr>
        <w:spacing w:before="0" w:after="240"/>
        <w:rPr>
          <w:noProof/>
        </w:rPr>
      </w:pPr>
      <w:r w:rsidRPr="00F92333">
        <w:rPr>
          <w:noProof/>
        </w:rPr>
        <w:t>To je bil rezultat skupne izjave z dne 21. avgusta 2020, v kateri so Unija in Združene države napovedale odpravo ali znižanje carin za omejeno število tarifnih postavk kot korak za izboljšanje odnosov med Unijo in Združenimi državami ter začetek postopka za svobodnejšo, pravičnejšo in bolj vzajemno čezatlantsko trgovino. Združene države Amerike so s predsedniškim razglasom z dne 22. decembra 2020 v zameno zagotovile oprostitev dajatev v primerljivi gospodarski vrednosti za izdelke, kot so pripravljene jedi, nekateri izdelki iz kristalnega stekla, preparati za površinsko obdelavo, pogonski prah, vžigalniki za cigarete in deli za vžigalnike.</w:t>
      </w:r>
    </w:p>
    <w:p w:rsidRPr="00F92333" w:rsidR="00615E10" w:rsidP="00615E10" w:rsidRDefault="00615E10">
      <w:pPr>
        <w:pBdr>
          <w:top w:val="nil"/>
          <w:left w:val="nil"/>
          <w:bottom w:val="nil"/>
          <w:right w:val="nil"/>
          <w:between w:val="nil"/>
          <w:bar w:val="nil"/>
        </w:pBdr>
        <w:spacing w:before="0" w:after="240"/>
        <w:rPr>
          <w:noProof/>
        </w:rPr>
      </w:pPr>
      <w:r w:rsidRPr="00F92333">
        <w:rPr>
          <w:noProof/>
        </w:rPr>
        <w:t xml:space="preserve">Unija je v okviru političnega dogovora, ki sta ga predsednica Komisije Ursula von der Leyen in predsednik Združenih držav Donald Trump napovedala 27. julija 2025, in kot je določeno v skupni izjavi z dne 21. avgusta 2025 (v nadaljnjem besedilu: skupna izjava), v kateri sta se obe strani dogovorili o okviru za sporazum o vzajemni, pravični in uravnoteženi trgovini, izrazila namero, da bo nemudoma sprejela potrebne ukrepe za razširitev skupne izjave Unije in Združenih držav z dne 21. avgusta 2020 v zvezi z jastogi, skupaj z razširjenim obsegom izdelka, tako da bodo zajeti predelani (tj. pripravljeni) jastogi.  </w:t>
      </w:r>
    </w:p>
    <w:p w:rsidRPr="00F92333" w:rsidR="00615E10" w:rsidP="2CF76ACF" w:rsidRDefault="19DF8F5C">
      <w:pPr>
        <w:pBdr>
          <w:top w:val="nil"/>
          <w:left w:val="nil"/>
          <w:bottom w:val="nil"/>
          <w:right w:val="nil"/>
          <w:between w:val="nil"/>
          <w:bar w:val="nil"/>
        </w:pBdr>
        <w:spacing w:before="0" w:after="240"/>
        <w:rPr>
          <w:rFonts w:eastAsia="Arial Unicode MS"/>
          <w:noProof/>
        </w:rPr>
      </w:pPr>
      <w:r w:rsidRPr="00F92333">
        <w:rPr>
          <w:noProof/>
        </w:rPr>
        <w:t>Zato je cilj tega predloga določiti neuporabo carin, podobno kot je navedeno v Uredbi (EU) 2020/2131, da se zagotovi nadaljnja neuporaba carin za uvoz nekaterih vrst jastogov in še dodatno za uvoz predelanih (tj. pripravljenih) jastogov.</w:t>
      </w:r>
    </w:p>
    <w:p w:rsidRPr="00F92333" w:rsidR="001E0305" w:rsidRDefault="001E0305">
      <w:pPr>
        <w:pStyle w:val="ManualHeading2"/>
        <w:rPr>
          <w:rFonts w:eastAsia="Arial Unicode MS"/>
          <w:noProof/>
          <w:color w:val="000000"/>
          <w:u w:color="000000"/>
          <w:bdr w:val="nil"/>
        </w:rPr>
      </w:pPr>
      <w:r w:rsidRPr="00F92333">
        <w:rPr>
          <w:noProof/>
          <w:color w:val="000000"/>
          <w:u w:color="000000"/>
          <w:bdr w:val="nil"/>
        </w:rPr>
        <w:t>•</w:t>
      </w:r>
      <w:r w:rsidRPr="00F92333">
        <w:rPr>
          <w:noProof/>
          <w:color w:val="000000"/>
          <w:u w:color="000000"/>
          <w:bdr w:val="nil"/>
        </w:rPr>
        <w:tab/>
      </w:r>
      <w:r w:rsidRPr="00F92333">
        <w:rPr>
          <w:noProof/>
        </w:rPr>
        <w:t>Skladnost z veljavnimi predpisi s področja zadevne politike</w:t>
      </w:r>
    </w:p>
    <w:p w:rsidRPr="00F92333" w:rsidR="001E0305" w:rsidRDefault="00615E10">
      <w:pPr>
        <w:pBdr>
          <w:top w:val="nil"/>
          <w:left w:val="nil"/>
          <w:bottom w:val="nil"/>
          <w:right w:val="nil"/>
          <w:between w:val="nil"/>
          <w:bar w:val="nil"/>
        </w:pBdr>
        <w:spacing w:before="0" w:after="240"/>
        <w:rPr>
          <w:noProof/>
        </w:rPr>
      </w:pPr>
      <w:r w:rsidRPr="00F92333">
        <w:rPr>
          <w:noProof/>
        </w:rPr>
        <w:t>Cilj tega predloga je ohraniti dodatne priložnosti za subjekte iz Unije in Združenih držav z neuporabo ali znižanjem tarif. S tem se bo predvidoma preprečilo poslabšanje trgovinskih odnosov z Združenimi državami. Predlog je popolnoma skladen s Pogodbo o Evropski uniji (PEU), ki določa, da bi se morala Unija zavzemati za spodbujanje vključitve vseh držav v svetovno gospodarstvo, skupaj s postopno odpravo omejitev v mednarodni trgovini</w:t>
      </w:r>
      <w:r w:rsidRPr="00F92333">
        <w:rPr>
          <w:rStyle w:val="FootnoteReference"/>
          <w:noProof/>
        </w:rPr>
        <w:footnoteReference w:id="3"/>
      </w:r>
      <w:r w:rsidRPr="00F92333">
        <w:rPr>
          <w:noProof/>
        </w:rPr>
        <w:t>.</w:t>
      </w:r>
    </w:p>
    <w:p w:rsidRPr="00F92333" w:rsidR="001E0305" w:rsidRDefault="001E0305">
      <w:pPr>
        <w:pStyle w:val="ManualHeading2"/>
        <w:rPr>
          <w:rFonts w:eastAsia="Arial Unicode MS"/>
          <w:noProof/>
        </w:rPr>
      </w:pPr>
      <w:r w:rsidRPr="00F92333">
        <w:rPr>
          <w:noProof/>
          <w:color w:val="000000"/>
          <w:u w:color="000000"/>
          <w:bdr w:val="nil"/>
        </w:rPr>
        <w:t>•</w:t>
      </w:r>
      <w:r w:rsidRPr="00F92333">
        <w:rPr>
          <w:noProof/>
          <w:color w:val="000000"/>
          <w:u w:color="000000"/>
          <w:bdr w:val="nil"/>
        </w:rPr>
        <w:tab/>
      </w:r>
      <w:r w:rsidRPr="00F92333">
        <w:rPr>
          <w:noProof/>
        </w:rPr>
        <w:t>Skladnost z drugimi politikami Unije</w:t>
      </w:r>
    </w:p>
    <w:p w:rsidRPr="00F92333" w:rsidR="001E0305" w:rsidRDefault="00615E10">
      <w:pPr>
        <w:pBdr>
          <w:top w:val="nil"/>
          <w:left w:val="nil"/>
          <w:bottom w:val="nil"/>
          <w:right w:val="nil"/>
          <w:between w:val="nil"/>
          <w:bar w:val="nil"/>
        </w:pBdr>
        <w:spacing w:before="0" w:after="240"/>
        <w:rPr>
          <w:rFonts w:eastAsia="Arial Unicode MS"/>
          <w:noProof/>
        </w:rPr>
      </w:pPr>
      <w:r w:rsidRPr="00F92333">
        <w:rPr>
          <w:noProof/>
        </w:rPr>
        <w:t>Predlog je skladen z drugimi politikami Unije.</w:t>
      </w:r>
    </w:p>
    <w:p w:rsidRPr="00F92333" w:rsidR="001E0305" w:rsidRDefault="001E0305">
      <w:pPr>
        <w:pStyle w:val="ManualHeading1"/>
        <w:rPr>
          <w:noProof/>
        </w:rPr>
      </w:pPr>
      <w:r w:rsidRPr="00F92333">
        <w:rPr>
          <w:noProof/>
        </w:rPr>
        <w:t>2.</w:t>
      </w:r>
      <w:r w:rsidRPr="00F92333">
        <w:rPr>
          <w:noProof/>
        </w:rPr>
        <w:tab/>
        <w:t>PRAVNA PODLAGA, SUBSIDIARNOST IN SORAZMERNOST</w:t>
      </w:r>
    </w:p>
    <w:p w:rsidRPr="00F92333" w:rsidR="001E0305" w:rsidRDefault="001E0305">
      <w:pPr>
        <w:pStyle w:val="ManualHeading2"/>
        <w:rPr>
          <w:rFonts w:eastAsia="Arial Unicode MS"/>
          <w:noProof/>
          <w:u w:color="000000"/>
          <w:bdr w:val="nil"/>
        </w:rPr>
      </w:pPr>
      <w:r w:rsidRPr="00F92333">
        <w:rPr>
          <w:noProof/>
          <w:u w:color="000000"/>
          <w:bdr w:val="nil"/>
        </w:rPr>
        <w:t>•</w:t>
      </w:r>
      <w:r w:rsidRPr="00F92333">
        <w:rPr>
          <w:noProof/>
          <w:u w:color="000000"/>
          <w:bdr w:val="nil"/>
        </w:rPr>
        <w:tab/>
        <w:t>Pravna podlaga</w:t>
      </w:r>
    </w:p>
    <w:p w:rsidRPr="00F92333" w:rsidR="001E0305" w:rsidRDefault="00615E10">
      <w:pPr>
        <w:pBdr>
          <w:top w:val="nil"/>
          <w:left w:val="nil"/>
          <w:bottom w:val="nil"/>
          <w:right w:val="nil"/>
          <w:between w:val="nil"/>
          <w:bar w:val="nil"/>
        </w:pBdr>
        <w:spacing w:before="0" w:after="240"/>
        <w:rPr>
          <w:rFonts w:eastAsia="Arial Unicode MS"/>
          <w:noProof/>
        </w:rPr>
      </w:pPr>
      <w:r w:rsidRPr="00F92333">
        <w:rPr>
          <w:noProof/>
        </w:rPr>
        <w:t>Člen 207 Pogodbe o delovanju Evropske unije (PDEU).</w:t>
      </w:r>
    </w:p>
    <w:p w:rsidRPr="00F92333" w:rsidR="001E0305" w:rsidRDefault="001E0305">
      <w:pPr>
        <w:pStyle w:val="ManualHeading2"/>
        <w:rPr>
          <w:rFonts w:eastAsia="Arial Unicode MS"/>
          <w:noProof/>
          <w:u w:color="000000"/>
          <w:bdr w:val="nil"/>
        </w:rPr>
      </w:pPr>
      <w:r w:rsidRPr="00F92333">
        <w:rPr>
          <w:noProof/>
          <w:u w:color="000000"/>
          <w:bdr w:val="nil"/>
        </w:rPr>
        <w:t>•</w:t>
      </w:r>
      <w:r w:rsidRPr="00F92333">
        <w:rPr>
          <w:noProof/>
          <w:u w:color="000000"/>
          <w:bdr w:val="nil"/>
        </w:rPr>
        <w:tab/>
        <w:t xml:space="preserve">Subsidiarnost (za neizključno pristojnost) </w:t>
      </w:r>
    </w:p>
    <w:p w:rsidRPr="00F92333" w:rsidR="001E0305" w:rsidRDefault="00615E10">
      <w:pPr>
        <w:pBdr>
          <w:top w:val="nil"/>
          <w:left w:val="nil"/>
          <w:bottom w:val="nil"/>
          <w:right w:val="nil"/>
          <w:between w:val="nil"/>
          <w:bar w:val="nil"/>
        </w:pBdr>
        <w:spacing w:before="0" w:after="240"/>
        <w:rPr>
          <w:rFonts w:eastAsia="Arial Unicode MS"/>
          <w:noProof/>
        </w:rPr>
      </w:pPr>
      <w:r w:rsidRPr="00F92333">
        <w:rPr>
          <w:noProof/>
        </w:rPr>
        <w:t>V skladu s členom 5(3) PEU se načelo subsidiarnosti ne uporablja na področjih, ki so v izključni pristojnosti Unije. Carinska unija in skupna trgovinska politika sta v členu 3 PDEU navedeni med področji, ki so v izključni pristojnosti Unije. Ta politika vključuje pogajanja o trgovinskih sporazumih in sprejetje ukrepov trgovinske politike, vključno s tarifnimi znižanji, med drugim na podlagi člena 207 PDEU.</w:t>
      </w:r>
    </w:p>
    <w:p w:rsidRPr="00F92333" w:rsidR="001E0305" w:rsidRDefault="001E0305">
      <w:pPr>
        <w:pStyle w:val="ManualHeading2"/>
        <w:rPr>
          <w:rFonts w:eastAsia="Arial Unicode MS"/>
          <w:noProof/>
          <w:u w:color="000000"/>
          <w:bdr w:val="nil"/>
        </w:rPr>
      </w:pPr>
      <w:r w:rsidRPr="00F92333">
        <w:rPr>
          <w:noProof/>
          <w:u w:color="000000"/>
          <w:bdr w:val="nil"/>
        </w:rPr>
        <w:t>•</w:t>
      </w:r>
      <w:r w:rsidRPr="00F92333">
        <w:rPr>
          <w:noProof/>
          <w:u w:color="000000"/>
          <w:bdr w:val="nil"/>
        </w:rPr>
        <w:tab/>
        <w:t>Sorazmernost</w:t>
      </w:r>
    </w:p>
    <w:p w:rsidRPr="00F92333" w:rsidR="001E0305" w:rsidP="29155669" w:rsidRDefault="19DF8F5C">
      <w:pPr>
        <w:pBdr>
          <w:top w:val="nil"/>
          <w:left w:val="nil"/>
          <w:bottom w:val="nil"/>
          <w:right w:val="nil"/>
          <w:between w:val="nil"/>
          <w:bar w:val="nil"/>
        </w:pBdr>
        <w:spacing w:before="0" w:after="240"/>
        <w:rPr>
          <w:rFonts w:eastAsia="Arial Unicode MS"/>
          <w:noProof/>
        </w:rPr>
      </w:pPr>
      <w:r w:rsidRPr="00F92333">
        <w:rPr>
          <w:noProof/>
        </w:rPr>
        <w:t xml:space="preserve">Predlog Komisije je v skladu z načelom sorazmernosti in potreben glede na cilj preprečevanja poslabšanja trgovinskih odnosov z Združenimi državami. </w:t>
      </w:r>
    </w:p>
    <w:p w:rsidRPr="00F92333" w:rsidR="001E0305" w:rsidRDefault="001E0305">
      <w:pPr>
        <w:pStyle w:val="ManualHeading2"/>
        <w:rPr>
          <w:rFonts w:eastAsia="Arial Unicode MS"/>
          <w:noProof/>
          <w:u w:color="000000"/>
          <w:bdr w:val="nil"/>
        </w:rPr>
      </w:pPr>
      <w:r w:rsidRPr="00F92333">
        <w:rPr>
          <w:noProof/>
          <w:u w:color="000000"/>
          <w:bdr w:val="nil"/>
        </w:rPr>
        <w:t>•</w:t>
      </w:r>
      <w:r w:rsidRPr="00F92333">
        <w:rPr>
          <w:noProof/>
          <w:u w:color="000000"/>
          <w:bdr w:val="nil"/>
        </w:rPr>
        <w:tab/>
        <w:t>Izbira instrumenta</w:t>
      </w:r>
    </w:p>
    <w:p w:rsidRPr="00F92333" w:rsidR="001E0305" w:rsidRDefault="00615E10">
      <w:pPr>
        <w:pBdr>
          <w:top w:val="nil"/>
          <w:left w:val="nil"/>
          <w:bottom w:val="nil"/>
          <w:right w:val="nil"/>
          <w:between w:val="nil"/>
          <w:bar w:val="nil"/>
        </w:pBdr>
        <w:spacing w:before="0" w:after="240"/>
        <w:rPr>
          <w:rFonts w:eastAsia="Arial Unicode MS"/>
          <w:noProof/>
        </w:rPr>
      </w:pPr>
      <w:r w:rsidRPr="00F92333">
        <w:rPr>
          <w:noProof/>
        </w:rPr>
        <w:t xml:space="preserve">Uredba Evropskega parlamenta in Sveta. </w:t>
      </w:r>
    </w:p>
    <w:p w:rsidRPr="00F92333" w:rsidR="001E0305" w:rsidRDefault="001E0305">
      <w:pPr>
        <w:pStyle w:val="ManualHeading1"/>
        <w:rPr>
          <w:noProof/>
        </w:rPr>
      </w:pPr>
      <w:r w:rsidRPr="00F92333">
        <w:rPr>
          <w:noProof/>
        </w:rPr>
        <w:t>3.</w:t>
      </w:r>
      <w:r w:rsidRPr="00F92333">
        <w:rPr>
          <w:noProof/>
        </w:rPr>
        <w:tab/>
        <w:t>REZULTATI NAKNADNIH OCEN, POSVETOVANJ Z DELEŽNIKI IN OCEN UČINKA</w:t>
      </w:r>
    </w:p>
    <w:p w:rsidRPr="00F92333" w:rsidR="001E0305" w:rsidRDefault="001E0305">
      <w:pPr>
        <w:pStyle w:val="ManualHeading2"/>
        <w:rPr>
          <w:rFonts w:eastAsia="Arial Unicode MS"/>
          <w:noProof/>
          <w:u w:color="000000"/>
          <w:bdr w:val="nil"/>
        </w:rPr>
      </w:pPr>
      <w:r w:rsidRPr="00F92333">
        <w:rPr>
          <w:noProof/>
          <w:u w:color="000000"/>
          <w:bdr w:val="nil"/>
        </w:rPr>
        <w:t>•</w:t>
      </w:r>
      <w:r w:rsidRPr="00F92333">
        <w:rPr>
          <w:noProof/>
          <w:u w:color="000000"/>
          <w:bdr w:val="nil"/>
        </w:rPr>
        <w:tab/>
        <w:t>Naknadne ocene/preverjanja primernosti obstoječe zakonodaje</w:t>
      </w:r>
    </w:p>
    <w:p w:rsidRPr="00F92333" w:rsidR="001E0305" w:rsidRDefault="00615E10">
      <w:pPr>
        <w:pBdr>
          <w:top w:val="nil"/>
          <w:left w:val="nil"/>
          <w:bottom w:val="nil"/>
          <w:right w:val="nil"/>
          <w:between w:val="nil"/>
          <w:bar w:val="nil"/>
        </w:pBdr>
        <w:spacing w:before="0" w:after="240"/>
        <w:rPr>
          <w:rFonts w:eastAsia="Arial Unicode MS"/>
          <w:noProof/>
        </w:rPr>
      </w:pPr>
      <w:r w:rsidRPr="00F92333">
        <w:rPr>
          <w:noProof/>
        </w:rPr>
        <w:t>Ni relevantno.</w:t>
      </w:r>
    </w:p>
    <w:p w:rsidRPr="00F92333" w:rsidR="001E0305" w:rsidRDefault="001E0305">
      <w:pPr>
        <w:pStyle w:val="ManualHeading2"/>
        <w:rPr>
          <w:rFonts w:eastAsia="Arial Unicode MS"/>
          <w:noProof/>
          <w:u w:color="000000"/>
          <w:bdr w:val="nil"/>
        </w:rPr>
      </w:pPr>
      <w:r w:rsidRPr="00F92333">
        <w:rPr>
          <w:noProof/>
          <w:u w:color="000000"/>
          <w:bdr w:val="nil"/>
        </w:rPr>
        <w:t>•</w:t>
      </w:r>
      <w:r w:rsidRPr="00F92333">
        <w:rPr>
          <w:noProof/>
          <w:u w:color="000000"/>
          <w:bdr w:val="nil"/>
        </w:rPr>
        <w:tab/>
        <w:t>Posvetovanja z deležniki</w:t>
      </w:r>
    </w:p>
    <w:p w:rsidRPr="00F92333" w:rsidR="001E0305" w:rsidRDefault="00615E10">
      <w:pPr>
        <w:pBdr>
          <w:top w:val="nil"/>
          <w:left w:val="nil"/>
          <w:bottom w:val="nil"/>
          <w:right w:val="nil"/>
          <w:between w:val="nil"/>
          <w:bar w:val="nil"/>
        </w:pBdr>
        <w:spacing w:before="0" w:after="240"/>
        <w:rPr>
          <w:rFonts w:eastAsia="Arial Unicode MS"/>
          <w:noProof/>
        </w:rPr>
      </w:pPr>
      <w:r w:rsidRPr="00F92333">
        <w:rPr>
          <w:noProof/>
        </w:rPr>
        <w:t>Ni relevantno.</w:t>
      </w:r>
    </w:p>
    <w:p w:rsidRPr="00F92333" w:rsidR="001E0305" w:rsidRDefault="001E0305">
      <w:pPr>
        <w:pStyle w:val="ManualHeading2"/>
        <w:rPr>
          <w:rFonts w:eastAsia="Arial Unicode MS"/>
          <w:noProof/>
          <w:u w:color="000000"/>
          <w:bdr w:val="nil"/>
        </w:rPr>
      </w:pPr>
      <w:r w:rsidRPr="00F92333">
        <w:rPr>
          <w:noProof/>
          <w:u w:color="000000"/>
          <w:bdr w:val="nil"/>
        </w:rPr>
        <w:t>•</w:t>
      </w:r>
      <w:r w:rsidRPr="00F92333">
        <w:rPr>
          <w:noProof/>
          <w:u w:color="000000"/>
          <w:bdr w:val="nil"/>
        </w:rPr>
        <w:tab/>
        <w:t>Zbiranje in uporaba strokovnih mnenj</w:t>
      </w:r>
    </w:p>
    <w:p w:rsidRPr="00F92333" w:rsidR="001E0305" w:rsidRDefault="00615E10">
      <w:pPr>
        <w:pBdr>
          <w:top w:val="nil"/>
          <w:left w:val="nil"/>
          <w:bottom w:val="nil"/>
          <w:right w:val="nil"/>
          <w:between w:val="nil"/>
          <w:bar w:val="nil"/>
        </w:pBdr>
        <w:spacing w:before="0" w:after="240"/>
        <w:rPr>
          <w:rFonts w:eastAsia="Arial Unicode MS"/>
          <w:noProof/>
        </w:rPr>
      </w:pPr>
      <w:bookmarkStart w:name="_Hlk205225848" w:id="3"/>
      <w:r w:rsidRPr="00F92333">
        <w:rPr>
          <w:noProof/>
        </w:rPr>
        <w:t>Ni relevantno.</w:t>
      </w:r>
    </w:p>
    <w:bookmarkEnd w:id="3"/>
    <w:p w:rsidRPr="00F92333" w:rsidR="001E0305" w:rsidRDefault="001E0305">
      <w:pPr>
        <w:pStyle w:val="ManualHeading2"/>
        <w:rPr>
          <w:rFonts w:eastAsia="Arial Unicode MS"/>
          <w:noProof/>
          <w:u w:color="000000"/>
          <w:bdr w:val="nil"/>
        </w:rPr>
      </w:pPr>
      <w:r w:rsidRPr="00F92333">
        <w:rPr>
          <w:noProof/>
          <w:u w:color="000000"/>
          <w:bdr w:val="nil"/>
        </w:rPr>
        <w:t>•</w:t>
      </w:r>
      <w:r w:rsidRPr="00F92333">
        <w:rPr>
          <w:noProof/>
          <w:u w:color="000000"/>
          <w:bdr w:val="nil"/>
        </w:rPr>
        <w:tab/>
        <w:t>Ocena učinka</w:t>
      </w:r>
    </w:p>
    <w:p w:rsidRPr="00F92333" w:rsidR="00615E10" w:rsidP="29155669" w:rsidRDefault="19DF8F5C">
      <w:pPr>
        <w:pBdr>
          <w:top w:val="nil"/>
          <w:left w:val="nil"/>
          <w:bottom w:val="nil"/>
          <w:right w:val="nil"/>
          <w:between w:val="nil"/>
          <w:bar w:val="nil"/>
        </w:pBdr>
        <w:spacing w:before="0" w:after="240"/>
        <w:rPr>
          <w:rFonts w:eastAsia="Arial Unicode MS"/>
          <w:noProof/>
        </w:rPr>
      </w:pPr>
      <w:r w:rsidRPr="00F92333">
        <w:rPr>
          <w:noProof/>
        </w:rPr>
        <w:t>Glede na politično zavezo predsednice Komisije Ursule von der Leyen z dne 27. julija, da bodo nemudoma sprejeti potrebni ukrepi za razširitev skupne izjave Unije in Združenih držav z dne 21. avgusta 2020 v zvezi z jastogi, skupaj z razširjenim obsegom izdelka, tako da bodo zajeti predelani (tj. pripravljeni) jastogi, ter zaradi politične nujnosti hitrega ukrepanja, da bi se zmanjšale trgovinske napetosti med Unijo in Združenimi državami, je bil formalni postopek ocene učinka opuščen.</w:t>
      </w:r>
      <w:bookmarkStart w:name="_Hlk179981468" w:id="4"/>
      <w:r w:rsidRPr="00F92333">
        <w:rPr>
          <w:noProof/>
        </w:rPr>
        <w:t xml:space="preserve"> Za Unijo jastogi, vključno s predelanimi (tj. pripravljenimi) jastogi, niso občutljiv proizvod, saj bo Unija še naprej neto uvoznica proizvodov, zajetih v predlagani uredbi. Leta 2024 je Unija iz Združenih držav uvozila za 72 milijonov EUR teh proizvodov iz jastogov (22 % skupnega uvoza zunaj Unije), medtem ko je celotna zadevna trgovina leta 2024 znašala približno 342 milijonov EUR (približno 320 milijonov EUR uvoza v Unijo in 21 milijonov EUR izvoza iz Unije). </w:t>
      </w:r>
    </w:p>
    <w:p w:rsidRPr="00F92333" w:rsidR="001E0305" w:rsidRDefault="00615E10">
      <w:pPr>
        <w:pBdr>
          <w:top w:val="nil"/>
          <w:left w:val="nil"/>
          <w:bottom w:val="nil"/>
          <w:right w:val="nil"/>
          <w:between w:val="nil"/>
          <w:bar w:val="nil"/>
        </w:pBdr>
        <w:spacing w:before="0" w:after="240"/>
        <w:rPr>
          <w:rFonts w:eastAsia="Arial Unicode MS"/>
          <w:noProof/>
        </w:rPr>
      </w:pPr>
      <w:r w:rsidRPr="00F92333">
        <w:rPr>
          <w:noProof/>
        </w:rPr>
        <w:t xml:space="preserve">Nadaljnja neuporaba uvoznih dajatev in razširitev obsega izdelka na predelane (tj. pripravljene) jastoge bosta še naprej podpirala živilskopredelovalno industrijo in gostinski sektor. </w:t>
      </w:r>
      <w:bookmarkEnd w:id="4"/>
    </w:p>
    <w:p w:rsidRPr="00F92333" w:rsidR="001E0305" w:rsidRDefault="001E0305">
      <w:pPr>
        <w:pStyle w:val="ManualHeading2"/>
        <w:rPr>
          <w:rFonts w:eastAsia="Arial Unicode MS"/>
          <w:noProof/>
          <w:u w:color="000000"/>
          <w:bdr w:val="nil"/>
        </w:rPr>
      </w:pPr>
      <w:r w:rsidRPr="00F92333">
        <w:rPr>
          <w:noProof/>
          <w:u w:color="000000"/>
          <w:bdr w:val="nil"/>
        </w:rPr>
        <w:t>•</w:t>
      </w:r>
      <w:r w:rsidRPr="00F92333">
        <w:rPr>
          <w:noProof/>
          <w:u w:color="000000"/>
          <w:bdr w:val="nil"/>
        </w:rPr>
        <w:tab/>
        <w:t>Primernost in poenostavitev ureditve</w:t>
      </w:r>
    </w:p>
    <w:p w:rsidRPr="00F92333" w:rsidR="001E0305" w:rsidRDefault="00615E10">
      <w:pPr>
        <w:pBdr>
          <w:top w:val="nil"/>
          <w:left w:val="nil"/>
          <w:bottom w:val="nil"/>
          <w:right w:val="nil"/>
          <w:between w:val="nil"/>
          <w:bar w:val="nil"/>
        </w:pBdr>
        <w:spacing w:before="0" w:after="240"/>
        <w:rPr>
          <w:rFonts w:eastAsia="Arial Unicode MS"/>
          <w:noProof/>
        </w:rPr>
      </w:pPr>
      <w:bookmarkStart w:name="_Hlk205225917" w:id="5"/>
      <w:r w:rsidRPr="00F92333">
        <w:rPr>
          <w:noProof/>
        </w:rPr>
        <w:t>Ni relevantno.</w:t>
      </w:r>
    </w:p>
    <w:bookmarkEnd w:id="5"/>
    <w:p w:rsidRPr="00F92333" w:rsidR="001E0305" w:rsidRDefault="001E0305">
      <w:pPr>
        <w:pStyle w:val="ManualHeading2"/>
        <w:rPr>
          <w:rFonts w:eastAsia="Arial Unicode MS"/>
          <w:noProof/>
          <w:u w:color="000000"/>
          <w:bdr w:val="nil"/>
        </w:rPr>
      </w:pPr>
      <w:r w:rsidRPr="00F92333">
        <w:rPr>
          <w:noProof/>
          <w:u w:color="000000"/>
          <w:bdr w:val="nil"/>
        </w:rPr>
        <w:t>•</w:t>
      </w:r>
      <w:r w:rsidRPr="00F92333">
        <w:rPr>
          <w:noProof/>
          <w:u w:color="000000"/>
          <w:bdr w:val="nil"/>
        </w:rPr>
        <w:tab/>
        <w:t>Temeljne pravice</w:t>
      </w:r>
    </w:p>
    <w:p w:rsidRPr="00F92333" w:rsidR="001E0305" w:rsidP="29155669" w:rsidRDefault="19DF8F5C">
      <w:pPr>
        <w:pBdr>
          <w:top w:val="nil"/>
          <w:left w:val="nil"/>
          <w:bottom w:val="nil"/>
          <w:right w:val="nil"/>
          <w:between w:val="nil"/>
          <w:bar w:val="nil"/>
        </w:pBdr>
        <w:spacing w:before="0" w:after="240"/>
        <w:rPr>
          <w:rFonts w:eastAsia="Arial Unicode MS"/>
          <w:noProof/>
        </w:rPr>
      </w:pPr>
      <w:r w:rsidRPr="00F92333">
        <w:rPr>
          <w:noProof/>
        </w:rPr>
        <w:t>Predlagana uredba je skladna s Pogodbama in Listino Evropske unije o temeljnih pravicah, ker ne omejuje uresničevanja nobene temeljne pravice, kot je na primer svoboda izbire poklica, saj bi se z njo uvozne dajatve le znižale in ne zvišale. Če se s predlagano uredbo znižajo uvozne dajatve za nekatere izdelke, ne pa tudi za druge, se odločitev sprejme na ustrezni pravni podlagi. Če bi se s predlagano uredbo Komisiji podelila izvedbena pooblastila za opustitev znižanja uvoznih dajatev, bi se s to opustitvijo le ponovno vzpostavil pravni položaj, ki je obstajal pred sprejetjem predlagane uredbe.</w:t>
      </w:r>
    </w:p>
    <w:p w:rsidRPr="00F92333" w:rsidR="001E0305" w:rsidRDefault="001E0305">
      <w:pPr>
        <w:pStyle w:val="ManualHeading1"/>
        <w:rPr>
          <w:noProof/>
        </w:rPr>
      </w:pPr>
      <w:r w:rsidRPr="00F92333">
        <w:rPr>
          <w:noProof/>
        </w:rPr>
        <w:t>4.</w:t>
      </w:r>
      <w:r w:rsidRPr="00F92333">
        <w:rPr>
          <w:noProof/>
        </w:rPr>
        <w:tab/>
        <w:t>PRORAČUNSKE POSLEDICE</w:t>
      </w:r>
    </w:p>
    <w:p w:rsidRPr="00F92333" w:rsidR="001E0305" w:rsidP="367E7960" w:rsidRDefault="00615E10">
      <w:pPr>
        <w:widowControl w:val="0"/>
        <w:spacing w:before="0" w:after="100"/>
        <w:rPr>
          <w:rFonts w:eastAsia="Times New Roman"/>
          <w:noProof/>
          <w:color w:val="000000"/>
        </w:rPr>
      </w:pPr>
      <w:bookmarkStart w:name="_Hlk179981594" w:id="6"/>
      <w:r w:rsidRPr="00F92333">
        <w:rPr>
          <w:noProof/>
          <w:color w:val="000000"/>
        </w:rPr>
        <w:t xml:space="preserve">Nadaljnja liberalizacija industrijskih tarif bo imela omejene negativne posledice na proračun Unije v obliki opuščenih carin zaradi liberalizacije tarif za izdelke, zajete v tarifnih postavkah iz Priloge k tej predlagani uredbi. Od začetka veljavnosti Uredbe (EU) 2020/2131 </w:t>
      </w:r>
      <w:r w:rsidRPr="00F92333">
        <w:rPr>
          <w:noProof/>
          <w:color w:val="000000" w:themeColor="text1"/>
        </w:rPr>
        <w:t xml:space="preserve">do maja </w:t>
      </w:r>
      <w:r w:rsidRPr="00F92333">
        <w:rPr>
          <w:noProof/>
          <w:color w:val="000000"/>
        </w:rPr>
        <w:t>2025</w:t>
      </w:r>
      <w:r w:rsidRPr="00F92333">
        <w:rPr>
          <w:noProof/>
          <w:color w:val="000000" w:themeColor="text1"/>
        </w:rPr>
        <w:t xml:space="preserve"> (najnovejši podatki) so opuščene uvozne dajatve Unije za </w:t>
      </w:r>
      <w:r w:rsidRPr="00F92333">
        <w:rPr>
          <w:noProof/>
          <w:color w:val="000000"/>
        </w:rPr>
        <w:t xml:space="preserve">proizvode iz jastogov </w:t>
      </w:r>
      <w:r w:rsidRPr="00F92333">
        <w:rPr>
          <w:noProof/>
          <w:color w:val="000000" w:themeColor="text1"/>
        </w:rPr>
        <w:t xml:space="preserve">s področja uporabe </w:t>
      </w:r>
      <w:r w:rsidRPr="00F92333">
        <w:rPr>
          <w:noProof/>
          <w:color w:val="000000"/>
        </w:rPr>
        <w:t xml:space="preserve">Uredbe </w:t>
      </w:r>
      <w:r w:rsidRPr="00F92333">
        <w:rPr>
          <w:noProof/>
          <w:color w:val="000000" w:themeColor="text1"/>
        </w:rPr>
        <w:t>(EU) 2020/2131</w:t>
      </w:r>
      <w:r w:rsidRPr="00F92333">
        <w:rPr>
          <w:noProof/>
          <w:color w:val="000000"/>
        </w:rPr>
        <w:t xml:space="preserve"> znašale vsega skupaj </w:t>
      </w:r>
      <w:r w:rsidRPr="00F92333">
        <w:rPr>
          <w:noProof/>
          <w:color w:val="000000" w:themeColor="text1"/>
        </w:rPr>
        <w:t>37,3 milijona EUR</w:t>
      </w:r>
      <w:r w:rsidRPr="00F92333">
        <w:rPr>
          <w:noProof/>
          <w:color w:val="000000"/>
        </w:rPr>
        <w:t xml:space="preserve">, od tega je uvoz iz ZDA predstavljal </w:t>
      </w:r>
      <w:r w:rsidRPr="00F92333">
        <w:rPr>
          <w:noProof/>
          <w:color w:val="000000" w:themeColor="text1"/>
        </w:rPr>
        <w:t>26,5 milijona EUR</w:t>
      </w:r>
      <w:r w:rsidRPr="00F92333" w:rsidR="000354DE">
        <w:rPr>
          <w:rStyle w:val="FootnoteReference"/>
          <w:rFonts w:eastAsia="Times New Roman"/>
          <w:noProof/>
          <w:color w:val="000000"/>
          <w:lang w:eastAsia="hr-HR" w:bidi="hr-HR"/>
        </w:rPr>
        <w:footnoteReference w:id="4"/>
      </w:r>
      <w:r w:rsidRPr="00F92333">
        <w:rPr>
          <w:noProof/>
          <w:color w:val="000000" w:themeColor="text1"/>
        </w:rPr>
        <w:t>. Na podlagi dajatev, ki bi se v odsotnosti Uredbe (EU) 2020/2131 za obdobje od avgusta 2020 do maja 2025 pobrale od tretjih držav, ki niso upravičene do dajatev proste obravnave na podlagi obstoječih preferencialnih trgovinskih sporazumov z Unijo, ocenjene letne posledice na proračun znašajo približno 7,5</w:t>
      </w:r>
      <w:r w:rsidRPr="00F92333">
        <w:rPr>
          <w:noProof/>
        </w:rPr>
        <w:t xml:space="preserve"> </w:t>
      </w:r>
      <w:r w:rsidRPr="00F92333">
        <w:rPr>
          <w:noProof/>
          <w:color w:val="000000"/>
        </w:rPr>
        <w:t>milijona</w:t>
      </w:r>
      <w:r w:rsidRPr="00F92333">
        <w:rPr>
          <w:rStyle w:val="FootnoteReference"/>
          <w:noProof/>
        </w:rPr>
        <w:footnoteReference w:id="5"/>
      </w:r>
      <w:r w:rsidRPr="00F92333">
        <w:rPr>
          <w:noProof/>
        </w:rPr>
        <w:t xml:space="preserve"> EUR</w:t>
      </w:r>
      <w:r w:rsidRPr="00F92333">
        <w:rPr>
          <w:noProof/>
          <w:color w:val="000000"/>
        </w:rPr>
        <w:t xml:space="preserve">. Dajatve, </w:t>
      </w:r>
      <w:bookmarkEnd w:id="6"/>
      <w:r w:rsidRPr="00F92333">
        <w:rPr>
          <w:noProof/>
          <w:color w:val="000000" w:themeColor="text1"/>
        </w:rPr>
        <w:t xml:space="preserve">ki bi bile zaradi razširitve obsega izdelka na pripravljene/predelane jastoge opuščene v istem obdobju (od avgusta 2020 do maja 2025), bi znašale še dodatnih 242 000 EUR </w:t>
      </w:r>
      <w:r w:rsidRPr="00F92333" w:rsidR="001B58AE">
        <w:rPr>
          <w:rStyle w:val="FootnoteReference"/>
          <w:rFonts w:eastAsia="Times New Roman"/>
          <w:noProof/>
          <w:color w:val="000000"/>
          <w:szCs w:val="24"/>
          <w:lang w:eastAsia="hr-HR" w:bidi="hr-HR"/>
        </w:rPr>
        <w:footnoteReference w:id="6"/>
      </w:r>
      <w:r w:rsidRPr="00F92333">
        <w:rPr>
          <w:noProof/>
          <w:color w:val="000000" w:themeColor="text1"/>
        </w:rPr>
        <w:t>, ki bi jih bilo mogoče skoraj v celoti pripisati uvozu iz ZDA. Na podlagi tega se ocenjuje, da letne posledice na proračun v zvezi z neuporabo carin za pripravljene/predelane jastoge znašajo približno 48 000 EUR, letne posledice na proračun v zvezi z neuporabo carin za vse blago iz Priloge k predlagani uredbi pa približno 7,5 milijona EUR</w:t>
      </w:r>
      <w:r w:rsidRPr="00F92333" w:rsidR="008E17D4">
        <w:rPr>
          <w:rStyle w:val="FootnoteReference"/>
          <w:noProof/>
        </w:rPr>
        <w:footnoteReference w:id="7"/>
      </w:r>
      <w:r w:rsidRPr="00F92333">
        <w:rPr>
          <w:noProof/>
          <w:color w:val="000000" w:themeColor="text1"/>
        </w:rPr>
        <w:t>.</w:t>
      </w:r>
    </w:p>
    <w:p w:rsidRPr="00F92333" w:rsidR="001E0305" w:rsidRDefault="001E0305">
      <w:pPr>
        <w:pStyle w:val="ManualHeading1"/>
        <w:rPr>
          <w:noProof/>
        </w:rPr>
      </w:pPr>
      <w:r w:rsidRPr="00F92333">
        <w:rPr>
          <w:noProof/>
        </w:rPr>
        <w:t>5.</w:t>
      </w:r>
      <w:r w:rsidRPr="00F92333">
        <w:rPr>
          <w:noProof/>
        </w:rPr>
        <w:tab/>
        <w:t>DRUGI ELEMENTI</w:t>
      </w:r>
    </w:p>
    <w:p w:rsidRPr="00F92333" w:rsidR="001E0305" w:rsidRDefault="001E0305">
      <w:pPr>
        <w:pStyle w:val="ManualHeading2"/>
        <w:rPr>
          <w:rFonts w:eastAsia="Arial Unicode MS"/>
          <w:noProof/>
          <w:u w:color="000000"/>
          <w:bdr w:val="nil"/>
        </w:rPr>
      </w:pPr>
      <w:r w:rsidRPr="00F92333">
        <w:rPr>
          <w:noProof/>
          <w:u w:color="000000"/>
          <w:bdr w:val="nil"/>
        </w:rPr>
        <w:t>•</w:t>
      </w:r>
      <w:r w:rsidRPr="00F92333">
        <w:rPr>
          <w:noProof/>
          <w:u w:color="000000"/>
          <w:bdr w:val="nil"/>
        </w:rPr>
        <w:tab/>
        <w:t>Načrti za izvedbo ter ureditev spremljanja, ocenjevanja in poročanja</w:t>
      </w:r>
    </w:p>
    <w:p w:rsidRPr="00F92333" w:rsidR="001E0305" w:rsidRDefault="00615E10">
      <w:pPr>
        <w:pBdr>
          <w:top w:val="nil"/>
          <w:left w:val="nil"/>
          <w:bottom w:val="nil"/>
          <w:right w:val="nil"/>
          <w:between w:val="nil"/>
          <w:bar w:val="nil"/>
        </w:pBdr>
        <w:spacing w:before="0" w:after="240"/>
        <w:rPr>
          <w:rFonts w:eastAsia="Arial Unicode MS"/>
          <w:noProof/>
        </w:rPr>
      </w:pPr>
      <w:r w:rsidRPr="00F92333">
        <w:rPr>
          <w:noProof/>
        </w:rPr>
        <w:t>Ni relevantno.</w:t>
      </w:r>
    </w:p>
    <w:p w:rsidRPr="00F92333" w:rsidR="001E0305" w:rsidRDefault="001E0305">
      <w:pPr>
        <w:pStyle w:val="ManualHeading2"/>
        <w:rPr>
          <w:rFonts w:eastAsia="Arial Unicode MS"/>
          <w:noProof/>
          <w:u w:color="000000"/>
          <w:bdr w:val="nil"/>
        </w:rPr>
      </w:pPr>
      <w:r w:rsidRPr="00F92333">
        <w:rPr>
          <w:noProof/>
          <w:u w:color="000000"/>
          <w:bdr w:val="nil"/>
        </w:rPr>
        <w:t>•</w:t>
      </w:r>
      <w:r w:rsidRPr="00F92333">
        <w:rPr>
          <w:noProof/>
          <w:u w:color="000000"/>
          <w:bdr w:val="nil"/>
        </w:rPr>
        <w:tab/>
        <w:t>Obrazložitveni dokumenti (za direktive)</w:t>
      </w:r>
    </w:p>
    <w:p w:rsidRPr="00F92333" w:rsidR="001E0305" w:rsidRDefault="00615E10">
      <w:pPr>
        <w:pBdr>
          <w:top w:val="nil"/>
          <w:left w:val="nil"/>
          <w:bottom w:val="nil"/>
          <w:right w:val="nil"/>
          <w:between w:val="nil"/>
          <w:bar w:val="nil"/>
        </w:pBdr>
        <w:spacing w:before="0" w:after="240"/>
        <w:rPr>
          <w:rFonts w:eastAsia="Arial Unicode MS"/>
          <w:noProof/>
        </w:rPr>
      </w:pPr>
      <w:r w:rsidRPr="00F92333">
        <w:rPr>
          <w:noProof/>
        </w:rPr>
        <w:t>Ni relevantno.</w:t>
      </w:r>
    </w:p>
    <w:p w:rsidRPr="00F92333" w:rsidR="001E0305" w:rsidRDefault="001E0305">
      <w:pPr>
        <w:pStyle w:val="ManualHeading2"/>
        <w:rPr>
          <w:rFonts w:eastAsia="Arial Unicode MS"/>
          <w:noProof/>
          <w:u w:color="000000"/>
          <w:bdr w:val="nil"/>
        </w:rPr>
      </w:pPr>
      <w:r w:rsidRPr="00F92333">
        <w:rPr>
          <w:noProof/>
          <w:u w:color="000000"/>
          <w:bdr w:val="nil"/>
        </w:rPr>
        <w:t>•</w:t>
      </w:r>
      <w:r w:rsidRPr="00F92333">
        <w:rPr>
          <w:noProof/>
          <w:u w:color="000000"/>
          <w:bdr w:val="nil"/>
        </w:rPr>
        <w:tab/>
        <w:t>Natančnejša pojasnitev posameznih določb predloga</w:t>
      </w:r>
    </w:p>
    <w:p w:rsidRPr="00F92333" w:rsidR="001E0305" w:rsidP="29155669" w:rsidRDefault="700B6C76">
      <w:pPr>
        <w:pBdr>
          <w:top w:val="nil"/>
          <w:left w:val="nil"/>
          <w:bottom w:val="nil"/>
          <w:right w:val="nil"/>
          <w:between w:val="nil"/>
          <w:bar w:val="nil"/>
        </w:pBdr>
        <w:spacing w:before="0" w:after="240"/>
        <w:rPr>
          <w:noProof/>
        </w:rPr>
      </w:pPr>
      <w:r w:rsidRPr="00F92333">
        <w:rPr>
          <w:noProof/>
        </w:rPr>
        <w:t xml:space="preserve">Člen 1 določa neuporabo carin na osnovi </w:t>
      </w:r>
      <w:r w:rsidRPr="00F92333">
        <w:rPr>
          <w:i/>
          <w:noProof/>
        </w:rPr>
        <w:t>erga omnes</w:t>
      </w:r>
      <w:r w:rsidRPr="00F92333">
        <w:rPr>
          <w:noProof/>
        </w:rPr>
        <w:t xml:space="preserve"> za tarifne postavke iz Priloge k predlagani uredbi. </w:t>
      </w:r>
    </w:p>
    <w:p w:rsidRPr="00F92333" w:rsidR="00477369" w:rsidP="29155669" w:rsidRDefault="4C5F0169">
      <w:pPr>
        <w:pBdr>
          <w:top w:val="nil"/>
          <w:left w:val="nil"/>
          <w:bottom w:val="nil"/>
          <w:right w:val="nil"/>
          <w:between w:val="nil"/>
          <w:bar w:val="nil"/>
        </w:pBdr>
        <w:spacing w:before="0" w:after="240"/>
        <w:rPr>
          <w:noProof/>
        </w:rPr>
      </w:pPr>
      <w:r w:rsidRPr="00F92333">
        <w:rPr>
          <w:noProof/>
        </w:rPr>
        <w:t xml:space="preserve">Člen 2 določa okoliščine, v katerih lahko Komisija opusti ali ohrani neuporabo carinskih dajatev za to blago. </w:t>
      </w:r>
    </w:p>
    <w:p w:rsidRPr="00F92333" w:rsidR="001E0305" w:rsidP="29155669" w:rsidRDefault="08313904">
      <w:pPr>
        <w:pBdr>
          <w:top w:val="nil"/>
          <w:left w:val="nil"/>
          <w:bottom w:val="nil"/>
          <w:right w:val="nil"/>
          <w:between w:val="nil"/>
          <w:bar w:val="nil"/>
        </w:pBdr>
        <w:spacing w:before="0" w:after="240"/>
        <w:rPr>
          <w:noProof/>
        </w:rPr>
      </w:pPr>
      <w:r w:rsidRPr="00F92333">
        <w:rPr>
          <w:noProof/>
        </w:rPr>
        <w:t xml:space="preserve">Člen 3 določa postopek v odboru, ki ga je treba uporabiti pri opustitvi neuporabe carin. </w:t>
      </w:r>
    </w:p>
    <w:p w:rsidRPr="00F92333" w:rsidR="001E0305" w:rsidP="5BB9E299" w:rsidRDefault="206795EB">
      <w:pPr>
        <w:pBdr>
          <w:top w:val="nil"/>
          <w:left w:val="nil"/>
          <w:bottom w:val="nil"/>
          <w:right w:val="nil"/>
          <w:between w:val="nil"/>
          <w:bar w:val="nil"/>
        </w:pBdr>
        <w:spacing w:before="0" w:after="240"/>
        <w:rPr>
          <w:noProof/>
        </w:rPr>
      </w:pPr>
      <w:r w:rsidRPr="00F92333">
        <w:rPr>
          <w:noProof/>
        </w:rPr>
        <w:t>Člen 4 določa, da se za plačane carine, ki presegajo tiste, ki se v skladu s predlagano uredbo uporabljajo za uvoz v Unijo med 1. avgustom 2025 in datumom začetka veljavnosti predlagane uredbe, lahko zaprosi za povračilo.</w:t>
      </w:r>
    </w:p>
    <w:p w:rsidRPr="00F92333" w:rsidR="001E0305" w:rsidRDefault="00766FE7">
      <w:pPr>
        <w:rPr>
          <w:noProof/>
        </w:rPr>
        <w:sectPr w:rsidRPr="00F92333" w:rsidR="001E0305" w:rsidSect="009A340D">
          <w:headerReference w:type="default" r:id="Rc3f7558903d34f57"/>
          <w:headerReference w:type="even" r:id="R32ca18adb771406c"/>
          <w:footerReference w:type="even" r:id="Rf99703fd4d1146e3"/>
          <w:footerReference w:type="default" r:id="R858548d84ed74c6f"/>
          <w:headerReference w:type="first" r:id="R02000b3114ec4578"/>
          <w:footerReference w:type="first" r:id="Rb618609520944302"/>
          <w:pgSz w:w="11907" w:h="16839"/>
          <w:pgMar w:top="1134" w:right="1417" w:bottom="1134" w:left="1417" w:header="709" w:footer="709" w:gutter="0"/>
          <w:cols w:space="708"/>
          <w:docGrid w:linePitch="360"/>
        </w:sectPr>
      </w:pPr>
      <w:r w:rsidRPr="00F92333">
        <w:rPr>
          <w:noProof/>
          <w:color w:val="000000" w:themeColor="text1"/>
        </w:rPr>
        <w:t>Člen 5</w:t>
      </w:r>
      <w:r w:rsidRPr="00F92333">
        <w:rPr>
          <w:noProof/>
        </w:rPr>
        <w:t xml:space="preserve"> določa podrobnosti o začetku veljavnosti in uporabi predlagane uredbe.</w:t>
      </w:r>
    </w:p>
    <w:p w:rsidR="007430F0" w:rsidRDefault="007753E0">
      <w:pPr>
        <w:pStyle w:val="Rfrenceinterinstitutionnelle"/>
        <w:rPr>
          <w:noProof/>
        </w:rPr>
      </w:pPr>
      <w:r>
        <w:rPr>
          <w:noProof/>
        </w:rPr>
        <w:t>2025/0260 (COD)</w:t>
      </w:r>
    </w:p>
    <w:p w:rsidRPr="00F92333" w:rsidR="001E0305" w:rsidP="00F92333" w:rsidRDefault="00F92333">
      <w:pPr>
        <w:pStyle w:val="Statut"/>
        <w:rPr>
          <w:noProof/>
        </w:rPr>
      </w:pPr>
      <w:r w:rsidRPr="00F92333">
        <w:rPr>
          <w:noProof/>
        </w:rPr>
        <w:t>Predlog</w:t>
      </w:r>
    </w:p>
    <w:p w:rsidRPr="00F92333" w:rsidR="001E0305" w:rsidP="00F92333" w:rsidRDefault="00F92333">
      <w:pPr>
        <w:pStyle w:val="Typedudocument"/>
        <w:rPr>
          <w:noProof/>
        </w:rPr>
      </w:pPr>
      <w:r w:rsidRPr="00F92333">
        <w:rPr>
          <w:noProof/>
        </w:rPr>
        <w:t>UREDBA EVROPSKEGA PARLAMENTA IN SVETA</w:t>
      </w:r>
    </w:p>
    <w:p w:rsidRPr="00F92333" w:rsidR="001E0305" w:rsidP="00F92333" w:rsidRDefault="00F92333">
      <w:pPr>
        <w:pStyle w:val="Titreobjet"/>
        <w:rPr>
          <w:noProof/>
        </w:rPr>
      </w:pPr>
      <w:r w:rsidRPr="00F92333">
        <w:rPr>
          <w:noProof/>
        </w:rPr>
        <w:t>o neuporabi carin za uvoz nekaterega blaga</w:t>
      </w:r>
    </w:p>
    <w:p w:rsidRPr="00F92333" w:rsidR="001E0305" w:rsidRDefault="001E0305">
      <w:pPr>
        <w:pStyle w:val="Institutionquiagit"/>
        <w:rPr>
          <w:noProof/>
        </w:rPr>
      </w:pPr>
      <w:r w:rsidRPr="00F92333">
        <w:rPr>
          <w:noProof/>
        </w:rPr>
        <w:t>EVROPSKI PARLAMENT IN SVET EVROPSKE UNIJE STA –</w:t>
      </w:r>
    </w:p>
    <w:p w:rsidRPr="00F92333" w:rsidR="001E0305" w:rsidRDefault="001E0305">
      <w:pPr>
        <w:rPr>
          <w:noProof/>
        </w:rPr>
      </w:pPr>
      <w:r w:rsidRPr="00F92333">
        <w:rPr>
          <w:noProof/>
        </w:rPr>
        <w:t>ob upoštevanju Pogodbe o delovanju Evropske unije in zlasti člena 207(2) Pogodbe,</w:t>
      </w:r>
    </w:p>
    <w:p w:rsidRPr="00F92333" w:rsidR="001E0305" w:rsidRDefault="001E0305">
      <w:pPr>
        <w:rPr>
          <w:noProof/>
        </w:rPr>
      </w:pPr>
      <w:r w:rsidRPr="00F92333">
        <w:rPr>
          <w:noProof/>
        </w:rPr>
        <w:t>ob upoštevanju predloga Evropske komisije,</w:t>
      </w:r>
    </w:p>
    <w:p w:rsidRPr="00F92333" w:rsidR="001E0305" w:rsidRDefault="001E0305">
      <w:pPr>
        <w:rPr>
          <w:noProof/>
        </w:rPr>
      </w:pPr>
      <w:r w:rsidRPr="00F92333">
        <w:rPr>
          <w:noProof/>
        </w:rPr>
        <w:t>po posredovanju osnutka zakonodajnega akta nacionalnim parlamentom,</w:t>
      </w:r>
    </w:p>
    <w:p w:rsidRPr="00F92333" w:rsidR="001E0305" w:rsidRDefault="001E0305">
      <w:pPr>
        <w:rPr>
          <w:noProof/>
        </w:rPr>
      </w:pPr>
      <w:r w:rsidRPr="00F92333">
        <w:rPr>
          <w:noProof/>
        </w:rPr>
        <w:t>v skladu z rednim zakonodajnim postopkom,</w:t>
      </w:r>
    </w:p>
    <w:p w:rsidRPr="00F92333" w:rsidR="001E0305" w:rsidRDefault="001E0305">
      <w:pPr>
        <w:rPr>
          <w:noProof/>
        </w:rPr>
      </w:pPr>
      <w:r w:rsidRPr="00F92333">
        <w:rPr>
          <w:noProof/>
        </w:rPr>
        <w:t>ob upoštevanju naslednjega:</w:t>
      </w:r>
    </w:p>
    <w:p w:rsidRPr="00F92333" w:rsidR="004D4E26" w:rsidP="00962D28" w:rsidRDefault="00962D28">
      <w:pPr>
        <w:pStyle w:val="ManualConsidrant"/>
        <w:rPr>
          <w:rStyle w:val="Bodytext1"/>
          <w:noProof/>
        </w:rPr>
      </w:pPr>
      <w:r w:rsidRPr="00962D28">
        <w:rPr>
          <w:rStyle w:val="Bodytext1"/>
          <w:noProof/>
        </w:rPr>
        <w:t>(1)</w:t>
      </w:r>
      <w:r w:rsidRPr="00962D28">
        <w:rPr>
          <w:rStyle w:val="Bodytext1"/>
          <w:noProof/>
        </w:rPr>
        <w:tab/>
      </w:r>
      <w:r w:rsidRPr="00F92333" w:rsidR="144B3D9D">
        <w:rPr>
          <w:rStyle w:val="Bodytext1"/>
          <w:noProof/>
        </w:rPr>
        <w:t xml:space="preserve">Unija in Združene države Amerike (v nadaljnjem besedilu: Združene države) imajo najobsežnejše in najgloblje dvostranske trgovinske in naložbene odnose na svetu ter zelo povezani gospodarstvi. Skupna dvosmerna trgovina med njima je bila leta 2024 vredna več kot 1,6 bilijona EUR. To poglobljeno in celovito partnerstvo temelji na znatnih medsebojnih naložbah na trgih pogodbenic v vrednosti približno 5,3 bilijona EUR. </w:t>
      </w:r>
    </w:p>
    <w:p w:rsidRPr="00F92333" w:rsidR="004D4E26" w:rsidP="00962D28" w:rsidRDefault="00962D28">
      <w:pPr>
        <w:pStyle w:val="ManualConsidrant"/>
        <w:rPr>
          <w:rStyle w:val="Bodytext1"/>
          <w:noProof/>
        </w:rPr>
      </w:pPr>
      <w:r w:rsidRPr="00962D28">
        <w:rPr>
          <w:rStyle w:val="Bodytext1"/>
          <w:noProof/>
        </w:rPr>
        <w:t>(2)</w:t>
      </w:r>
      <w:r w:rsidRPr="00962D28">
        <w:rPr>
          <w:rStyle w:val="Bodytext1"/>
          <w:noProof/>
        </w:rPr>
        <w:tab/>
      </w:r>
      <w:r w:rsidRPr="00F92333" w:rsidR="144B3D9D">
        <w:rPr>
          <w:rStyle w:val="Bodytext1"/>
          <w:noProof/>
        </w:rPr>
        <w:t>Da bi se izognili motnjam in še naprej izboljševali trgovinske in naložbene odnose z Združenimi državami, je Unija 16. decembra 2020 sprejela Uredbo (EU) 2020/2131 Evropskega parlamenta in Sveta</w:t>
      </w:r>
      <w:r w:rsidRPr="00F92333" w:rsidR="00BC3ADF">
        <w:rPr>
          <w:rStyle w:val="FootnoteReference"/>
          <w:noProof/>
        </w:rPr>
        <w:footnoteReference w:id="8"/>
      </w:r>
      <w:r w:rsidRPr="00F92333" w:rsidR="144B3D9D">
        <w:rPr>
          <w:rStyle w:val="Bodytext1"/>
          <w:noProof/>
        </w:rPr>
        <w:t xml:space="preserve"> o odpravi carin na nekatero blago, ki velja zlasti za nekatere vrste jastogov in se uporablja od 1. avgusta 2020. Navedena uredba je prenehala veljati 31. julija 2025. </w:t>
      </w:r>
    </w:p>
    <w:p w:rsidRPr="00F92333" w:rsidR="004D4E26" w:rsidP="00962D28" w:rsidRDefault="00962D28">
      <w:pPr>
        <w:pStyle w:val="ManualConsidrant"/>
        <w:rPr>
          <w:rStyle w:val="Bodytext1"/>
          <w:noProof/>
        </w:rPr>
      </w:pPr>
      <w:r w:rsidRPr="00962D28">
        <w:rPr>
          <w:rStyle w:val="Bodytext1"/>
          <w:noProof/>
        </w:rPr>
        <w:t>(3)</w:t>
      </w:r>
      <w:r w:rsidRPr="00962D28">
        <w:rPr>
          <w:rStyle w:val="Bodytext1"/>
          <w:noProof/>
        </w:rPr>
        <w:tab/>
      </w:r>
      <w:r w:rsidRPr="00F92333" w:rsidR="144B3D9D">
        <w:rPr>
          <w:rStyle w:val="Bodytext1"/>
          <w:noProof/>
        </w:rPr>
        <w:t>V skladu s političnim dogovorom med Unijo in Združenimi državami z dne 27. julija 2025 in skupno izjavo z dne 21. avgusta 2025</w:t>
      </w:r>
      <w:r w:rsidRPr="00F92333" w:rsidR="144B3D9D">
        <w:rPr>
          <w:noProof/>
        </w:rPr>
        <w:t xml:space="preserve"> </w:t>
      </w:r>
      <w:r w:rsidRPr="00F92333" w:rsidR="144B3D9D">
        <w:rPr>
          <w:rStyle w:val="Bodytext1"/>
          <w:noProof/>
        </w:rPr>
        <w:t>o okviru Evropske unije in Združenih držav za sporazum o vzajemni, pravični in uravnoteženi trgovini (v nadaljnjem besedilu: skupna izjava)</w:t>
      </w:r>
      <w:r w:rsidRPr="00F92333" w:rsidR="144B3D9D">
        <w:rPr>
          <w:rStyle w:val="FootnoteReference"/>
          <w:noProof/>
        </w:rPr>
        <w:footnoteReference w:id="9"/>
      </w:r>
      <w:r w:rsidRPr="00F92333" w:rsidR="3CF88F79">
        <w:rPr>
          <w:rStyle w:val="FootnoteReference"/>
          <w:noProof/>
        </w:rPr>
        <w:t xml:space="preserve"> </w:t>
      </w:r>
      <w:r w:rsidRPr="00F92333" w:rsidR="144B3D9D">
        <w:rPr>
          <w:rStyle w:val="FootnoteReference"/>
          <w:noProof/>
        </w:rPr>
        <w:t xml:space="preserve"> </w:t>
      </w:r>
      <w:r w:rsidRPr="00F92333" w:rsidR="144B3D9D">
        <w:rPr>
          <w:rStyle w:val="Bodytext1"/>
          <w:noProof/>
        </w:rPr>
        <w:t xml:space="preserve"> ter za zagotovitev stalnega dostopa unijskega blaga do trga Združenih držav bi morala Unija za nadaljnje obdobje določiti neuporabo carin za uvoz vrst jastogov, zajetih v Uredbi (EU) 2020/2131, v Unijo. V skladu s političnim dogovorom bi morala neuporaba carin vključevati tudi uvoz predelanih jastogov, uvrščenih pod oznako kombinirane nomenklature (KN)</w:t>
      </w:r>
      <w:r w:rsidRPr="00F92333" w:rsidR="144B3D9D">
        <w:rPr>
          <w:noProof/>
        </w:rPr>
        <w:t xml:space="preserve"> 1605 30 90</w:t>
      </w:r>
      <w:r w:rsidRPr="00F92333" w:rsidR="144B3D9D">
        <w:rPr>
          <w:rStyle w:val="Bodytext1"/>
          <w:noProof/>
        </w:rPr>
        <w:t>.</w:t>
      </w:r>
    </w:p>
    <w:p w:rsidRPr="00F92333" w:rsidR="004D4E26" w:rsidP="00962D28" w:rsidRDefault="00962D28">
      <w:pPr>
        <w:pStyle w:val="ManualConsidrant"/>
        <w:rPr>
          <w:rStyle w:val="FootnoteReference"/>
          <w:noProof/>
          <w:vertAlign w:val="baseline"/>
        </w:rPr>
      </w:pPr>
      <w:r w:rsidRPr="00962D28">
        <w:rPr>
          <w:rStyle w:val="FootnoteReference"/>
          <w:noProof/>
        </w:rPr>
        <w:t>(4)</w:t>
      </w:r>
      <w:r w:rsidRPr="00962D28">
        <w:rPr>
          <w:rStyle w:val="FootnoteReference"/>
          <w:noProof/>
        </w:rPr>
        <w:tab/>
      </w:r>
      <w:r w:rsidRPr="00F92333" w:rsidR="144B3D9D">
        <w:rPr>
          <w:rStyle w:val="Bodytext1"/>
          <w:noProof/>
        </w:rPr>
        <w:t xml:space="preserve">V skladu z navedenim bi se morale carine na uvoz blaga, uvrščenega pod oznake KN iz Priloge, uporabljati na ravni 0 %, dokler Združene države dejansko izvajajo skupno izjavo. </w:t>
      </w:r>
    </w:p>
    <w:p w:rsidRPr="00F92333" w:rsidR="004D4E26" w:rsidP="00962D28" w:rsidRDefault="00962D28">
      <w:pPr>
        <w:pStyle w:val="ManualConsidrant"/>
        <w:rPr>
          <w:rStyle w:val="Bodytext1"/>
          <w:noProof/>
        </w:rPr>
      </w:pPr>
      <w:r w:rsidRPr="00962D28">
        <w:rPr>
          <w:rStyle w:val="Bodytext1"/>
          <w:noProof/>
        </w:rPr>
        <w:t>(5)</w:t>
      </w:r>
      <w:r w:rsidRPr="00962D28">
        <w:rPr>
          <w:rStyle w:val="Bodytext1"/>
          <w:noProof/>
        </w:rPr>
        <w:tab/>
      </w:r>
      <w:r w:rsidRPr="00F92333" w:rsidR="144B3D9D">
        <w:rPr>
          <w:rStyle w:val="Bodytext1"/>
          <w:noProof/>
        </w:rPr>
        <w:t>Za zagotovitev enotnih pogojev izvajanja te uredbe bi bilo treba na Komisijo prenesti izvedbena pooblastila za opustitev neuporabe carin v posebnih okoliščinah. Ta pooblastila bi bilo treba izvajati v skladu s postopkom pregleda iz Uredbe (EU) št. 182/2011 Evropskega parlamenta in Sveta</w:t>
      </w:r>
      <w:r w:rsidRPr="00F92333" w:rsidR="004D4E26">
        <w:rPr>
          <w:rStyle w:val="Bodytext1"/>
          <w:noProof/>
          <w:vertAlign w:val="superscript"/>
        </w:rPr>
        <w:footnoteReference w:id="10"/>
      </w:r>
      <w:r w:rsidRPr="00F92333" w:rsidR="144B3D9D">
        <w:rPr>
          <w:rStyle w:val="Bodytext1"/>
          <w:noProof/>
        </w:rPr>
        <w:t>.</w:t>
      </w:r>
    </w:p>
    <w:p w:rsidRPr="00F92333" w:rsidR="004D4E26" w:rsidP="00962D28" w:rsidRDefault="00962D28">
      <w:pPr>
        <w:pStyle w:val="ManualConsidrant"/>
        <w:rPr>
          <w:rStyle w:val="Bodytext1"/>
          <w:noProof/>
        </w:rPr>
      </w:pPr>
      <w:r w:rsidRPr="00962D28">
        <w:rPr>
          <w:rStyle w:val="Bodytext1"/>
          <w:noProof/>
        </w:rPr>
        <w:t>(6)</w:t>
      </w:r>
      <w:r w:rsidRPr="00962D28">
        <w:rPr>
          <w:rStyle w:val="Bodytext1"/>
          <w:noProof/>
        </w:rPr>
        <w:tab/>
      </w:r>
      <w:r w:rsidRPr="00F92333" w:rsidR="144B3D9D">
        <w:rPr>
          <w:rStyle w:val="Bodytext1"/>
          <w:noProof/>
        </w:rPr>
        <w:t>Glede na pomen tega, da se preprečijo motnje trgovinskih in naložbenih odnosov med Unijo in Združenimi državami, bi morala ta uredba začeti veljati dan po njeni objavi. Iz istega razloga bi se morala ta uredba uporabljati z retroaktivnim učinkom od 1. avgusta 2025. Plačane carine, ki presegajo tiste, ki v skladu s to uredbo veljajo v obdobju od 1. avgusta 2025 do datuma začetka veljavnosti te uredbe, bi bilo treba na zahtevo povrniti –</w:t>
      </w:r>
    </w:p>
    <w:p w:rsidRPr="00F92333" w:rsidR="001E0305" w:rsidRDefault="001E0305">
      <w:pPr>
        <w:pStyle w:val="Formuledadoption"/>
        <w:rPr>
          <w:noProof/>
        </w:rPr>
      </w:pPr>
      <w:r w:rsidRPr="00F92333">
        <w:rPr>
          <w:noProof/>
        </w:rPr>
        <w:t>SPREJELA NASLEDNJO UREDBO:</w:t>
      </w:r>
    </w:p>
    <w:p w:rsidRPr="00F92333" w:rsidR="001E0305" w:rsidP="004D4E26" w:rsidRDefault="001E0305">
      <w:pPr>
        <w:pStyle w:val="Titrearticle"/>
        <w:rPr>
          <w:rFonts w:eastAsia="inherit"/>
          <w:noProof/>
        </w:rPr>
      </w:pPr>
      <w:r w:rsidRPr="00F92333">
        <w:rPr>
          <w:noProof/>
        </w:rPr>
        <w:t>Člen 1</w:t>
      </w:r>
    </w:p>
    <w:p w:rsidRPr="00F92333" w:rsidR="004D4E26" w:rsidP="001818E5" w:rsidRDefault="0036774F">
      <w:pPr>
        <w:jc w:val="center"/>
        <w:rPr>
          <w:b/>
          <w:bCs/>
          <w:noProof/>
        </w:rPr>
      </w:pPr>
      <w:r w:rsidRPr="00F92333">
        <w:rPr>
          <w:b/>
          <w:noProof/>
        </w:rPr>
        <w:t>Neuporaba carin</w:t>
      </w:r>
    </w:p>
    <w:p w:rsidRPr="00F92333" w:rsidR="00240E5B" w:rsidP="000417E5" w:rsidRDefault="6868845E">
      <w:pPr>
        <w:rPr>
          <w:noProof/>
        </w:rPr>
      </w:pPr>
      <w:r w:rsidRPr="00F92333">
        <w:rPr>
          <w:noProof/>
        </w:rPr>
        <w:t>Carine skupne carinske tarife, ki se pri uvozu v Unijo uporabljajo za blago, uvrščeno pod oznake kombinirane nomenklature (KN) iz Priloge, znašajo 0 %.</w:t>
      </w:r>
    </w:p>
    <w:p w:rsidRPr="00F92333" w:rsidR="004D4E26" w:rsidP="001818E5" w:rsidRDefault="004D4E26">
      <w:pPr>
        <w:pStyle w:val="Titrearticle"/>
        <w:rPr>
          <w:noProof/>
        </w:rPr>
      </w:pPr>
      <w:r w:rsidRPr="00F92333">
        <w:rPr>
          <w:noProof/>
        </w:rPr>
        <w:t>Člen 2</w:t>
      </w:r>
    </w:p>
    <w:p w:rsidRPr="00F92333" w:rsidR="004D4E26" w:rsidP="29155669" w:rsidRDefault="083F4813">
      <w:pPr>
        <w:shd w:val="clear" w:color="auto" w:fill="FFFFFF" w:themeFill="background1"/>
        <w:spacing w:before="60"/>
        <w:jc w:val="center"/>
        <w:rPr>
          <w:rFonts w:eastAsia="Times New Roman"/>
          <w:b/>
          <w:bCs/>
          <w:noProof/>
          <w:color w:val="000000"/>
        </w:rPr>
      </w:pPr>
      <w:r w:rsidRPr="00F92333">
        <w:rPr>
          <w:b/>
          <w:noProof/>
          <w:color w:val="000000" w:themeColor="text1"/>
        </w:rPr>
        <w:t>Opustitev</w:t>
      </w:r>
    </w:p>
    <w:p w:rsidRPr="00F92333" w:rsidR="004D4E26" w:rsidP="00962D28" w:rsidRDefault="00962D28">
      <w:pPr>
        <w:pStyle w:val="ManualNumPar1"/>
        <w:rPr>
          <w:noProof/>
        </w:rPr>
      </w:pPr>
      <w:r w:rsidRPr="00962D28">
        <w:rPr>
          <w:noProof/>
        </w:rPr>
        <w:t>1.</w:t>
      </w:r>
      <w:r w:rsidRPr="00962D28">
        <w:rPr>
          <w:noProof/>
        </w:rPr>
        <w:tab/>
      </w:r>
      <w:r w:rsidRPr="00F92333" w:rsidR="4709DC4D">
        <w:rPr>
          <w:noProof/>
        </w:rPr>
        <w:t xml:space="preserve">Komisija lahko sprejme izvedbeni akt o popolni ali delni opustitvi uporabe člena 1 v naslednjih okoliščinah: </w:t>
      </w:r>
    </w:p>
    <w:p w:rsidRPr="00F92333" w:rsidR="004D4E26" w:rsidP="00962D28" w:rsidRDefault="00962D28">
      <w:pPr>
        <w:pStyle w:val="Point1"/>
        <w:rPr>
          <w:rFonts w:eastAsia="inherit"/>
          <w:noProof/>
        </w:rPr>
      </w:pPr>
      <w:r w:rsidRPr="00962D28">
        <w:rPr>
          <w:noProof/>
        </w:rPr>
        <w:t>(a)</w:t>
      </w:r>
      <w:r w:rsidRPr="00962D28">
        <w:rPr>
          <w:noProof/>
        </w:rPr>
        <w:tab/>
      </w:r>
      <w:r w:rsidRPr="00F92333" w:rsidR="6F2360E5">
        <w:rPr>
          <w:noProof/>
        </w:rPr>
        <w:t xml:space="preserve">če Združene države ne izvajajo skupne izjave ali kako drugače spodkopavajo njene cilje in cilje izboljšanja trgovinskih in naložbenih odnosov med Unijo in Združenimi državami ali spodkopavajo dostop gospodarskih subjektov Unije do trga Združenih držav ali kako drugače motijo trgovinske in naložbene odnose med Unijo in Združenimi državami; </w:t>
      </w:r>
    </w:p>
    <w:p w:rsidRPr="00F92333" w:rsidR="004D4E26" w:rsidP="00962D28" w:rsidRDefault="00962D28">
      <w:pPr>
        <w:pStyle w:val="Point1"/>
        <w:rPr>
          <w:noProof/>
        </w:rPr>
      </w:pPr>
      <w:r w:rsidRPr="00962D28">
        <w:rPr>
          <w:noProof/>
        </w:rPr>
        <w:t>(b)</w:t>
      </w:r>
      <w:r w:rsidRPr="00962D28">
        <w:rPr>
          <w:noProof/>
        </w:rPr>
        <w:tab/>
      </w:r>
      <w:r w:rsidRPr="00F92333" w:rsidR="501EF620">
        <w:rPr>
          <w:noProof/>
        </w:rPr>
        <w:t>če obstaja dovolj znakov, da bodo Združene države v prihodnosti ravnale tako, kot je navedeno v točki (a);</w:t>
      </w:r>
    </w:p>
    <w:p w:rsidRPr="00F92333" w:rsidR="004D4E26" w:rsidP="00962D28" w:rsidRDefault="00962D28">
      <w:pPr>
        <w:pStyle w:val="Point1"/>
        <w:rPr>
          <w:noProof/>
        </w:rPr>
      </w:pPr>
      <w:r w:rsidRPr="00962D28">
        <w:rPr>
          <w:noProof/>
        </w:rPr>
        <w:t>(c)</w:t>
      </w:r>
      <w:r w:rsidRPr="00962D28">
        <w:rPr>
          <w:noProof/>
        </w:rPr>
        <w:tab/>
      </w:r>
      <w:r w:rsidRPr="00F92333" w:rsidR="6E8B2C41">
        <w:rPr>
          <w:noProof/>
        </w:rPr>
        <w:t>če se spremenijo objektivne okoliščine, kot so obstajale v času objave skupne izjave.</w:t>
      </w:r>
    </w:p>
    <w:p w:rsidRPr="00F92333" w:rsidR="6B842841" w:rsidP="00756491" w:rsidRDefault="6B842841">
      <w:pPr>
        <w:pStyle w:val="Text1"/>
        <w:rPr>
          <w:noProof/>
          <w:color w:val="000000" w:themeColor="text1"/>
        </w:rPr>
      </w:pPr>
      <w:r w:rsidRPr="00F92333">
        <w:rPr>
          <w:noProof/>
        </w:rPr>
        <w:t>Ta izvedbeni akt se sprejme v skladu s postopkom pregleda iz člena 3(2).</w:t>
      </w:r>
    </w:p>
    <w:p w:rsidRPr="00F92333" w:rsidR="5BB9E299" w:rsidP="00412F79" w:rsidRDefault="5BB9E299">
      <w:pPr>
        <w:pStyle w:val="Text1"/>
        <w:rPr>
          <w:noProof/>
        </w:rPr>
      </w:pPr>
    </w:p>
    <w:p w:rsidRPr="00F92333" w:rsidR="005762C0" w:rsidP="00962D28" w:rsidRDefault="00962D28">
      <w:pPr>
        <w:pStyle w:val="ManualNumPar1"/>
        <w:rPr>
          <w:noProof/>
        </w:rPr>
      </w:pPr>
      <w:r w:rsidRPr="00962D28">
        <w:rPr>
          <w:noProof/>
        </w:rPr>
        <w:t>2.</w:t>
      </w:r>
      <w:r w:rsidRPr="00962D28">
        <w:rPr>
          <w:noProof/>
        </w:rPr>
        <w:tab/>
      </w:r>
      <w:r w:rsidRPr="00F92333" w:rsidR="005762C0">
        <w:rPr>
          <w:noProof/>
        </w:rPr>
        <w:t>Izvedbeni akt iz odstavka 1 se uporablja, dokler obstajajo okoliščine iz odstavka 1.</w:t>
      </w:r>
    </w:p>
    <w:p w:rsidRPr="00F92333" w:rsidR="004D4E26" w:rsidP="001818E5" w:rsidRDefault="004D4E26">
      <w:pPr>
        <w:pStyle w:val="Titrearticle"/>
        <w:rPr>
          <w:noProof/>
        </w:rPr>
      </w:pPr>
      <w:r w:rsidRPr="00F92333">
        <w:rPr>
          <w:noProof/>
        </w:rPr>
        <w:t>Člen 3</w:t>
      </w:r>
    </w:p>
    <w:p w:rsidRPr="00F92333" w:rsidR="004D4E26" w:rsidP="004D4E26" w:rsidRDefault="004D4E26">
      <w:pPr>
        <w:shd w:val="clear" w:color="auto" w:fill="FFFFFF"/>
        <w:spacing w:before="60"/>
        <w:jc w:val="center"/>
        <w:rPr>
          <w:rFonts w:eastAsia="Times New Roman"/>
          <w:b/>
          <w:bCs/>
          <w:noProof/>
          <w:color w:val="000000"/>
          <w:szCs w:val="24"/>
        </w:rPr>
      </w:pPr>
      <w:r w:rsidRPr="00F92333">
        <w:rPr>
          <w:b/>
          <w:noProof/>
          <w:color w:val="000000"/>
        </w:rPr>
        <w:t>Postopek v odboru</w:t>
      </w:r>
    </w:p>
    <w:p w:rsidRPr="00F92333" w:rsidR="004D4E26" w:rsidP="00962D28" w:rsidRDefault="00962D28">
      <w:pPr>
        <w:pStyle w:val="ManualNumPar1"/>
        <w:rPr>
          <w:noProof/>
        </w:rPr>
      </w:pPr>
      <w:r w:rsidRPr="00962D28">
        <w:rPr>
          <w:noProof/>
        </w:rPr>
        <w:t>1.</w:t>
      </w:r>
      <w:r w:rsidRPr="00962D28">
        <w:rPr>
          <w:noProof/>
        </w:rPr>
        <w:tab/>
      </w:r>
      <w:r w:rsidRPr="00F92333" w:rsidR="004D4E26">
        <w:rPr>
          <w:noProof/>
        </w:rPr>
        <w:t xml:space="preserve">Komisiji pomaga </w:t>
      </w:r>
      <w:r w:rsidRPr="00F92333" w:rsidR="004D4E26">
        <w:rPr>
          <w:noProof/>
          <w:color w:val="000000" w:themeColor="text1"/>
        </w:rPr>
        <w:t>Odbor za trgovinske ovire</w:t>
      </w:r>
      <w:r w:rsidRPr="00F92333" w:rsidR="004D4E26">
        <w:rPr>
          <w:noProof/>
        </w:rPr>
        <w:t>, ustanovljen s členom 7 Uredbe (EU) št. 2015/1843 Evropskega parlamenta in Sveta</w:t>
      </w:r>
      <w:r w:rsidRPr="00F92333" w:rsidR="004D4E26">
        <w:rPr>
          <w:rStyle w:val="FootnoteReference"/>
          <w:noProof/>
        </w:rPr>
        <w:footnoteReference w:id="11"/>
      </w:r>
      <w:r w:rsidRPr="00F92333" w:rsidR="004D4E26">
        <w:rPr>
          <w:noProof/>
        </w:rPr>
        <w:t>.</w:t>
      </w:r>
    </w:p>
    <w:p w:rsidRPr="00F92333" w:rsidR="004D4E26" w:rsidP="00962D28" w:rsidRDefault="00962D28">
      <w:pPr>
        <w:pStyle w:val="ManualNumPar1"/>
        <w:rPr>
          <w:noProof/>
          <w:szCs w:val="24"/>
        </w:rPr>
      </w:pPr>
      <w:r w:rsidRPr="00962D28">
        <w:rPr>
          <w:noProof/>
        </w:rPr>
        <w:t>2.</w:t>
      </w:r>
      <w:r w:rsidRPr="00962D28">
        <w:rPr>
          <w:noProof/>
        </w:rPr>
        <w:tab/>
      </w:r>
      <w:r w:rsidRPr="00F92333" w:rsidR="004D4E26">
        <w:rPr>
          <w:noProof/>
        </w:rPr>
        <w:t>Pri sklicevanju na ta odstavek se uporablja člen 5 Uredbe (EU) št. 182/2011.</w:t>
      </w:r>
    </w:p>
    <w:p w:rsidRPr="00F92333" w:rsidR="00C27DE3" w:rsidP="00EE6622" w:rsidRDefault="00C27DE3">
      <w:pPr>
        <w:pStyle w:val="Titrearticle"/>
        <w:rPr>
          <w:noProof/>
        </w:rPr>
      </w:pPr>
      <w:r w:rsidRPr="00F92333">
        <w:rPr>
          <w:noProof/>
        </w:rPr>
        <w:t>Člen 4</w:t>
      </w:r>
    </w:p>
    <w:p w:rsidRPr="00F92333" w:rsidR="00C27DE3" w:rsidP="00C27DE3" w:rsidRDefault="00C27DE3">
      <w:pPr>
        <w:shd w:val="clear" w:color="auto" w:fill="FFFFFF"/>
        <w:spacing w:before="60"/>
        <w:jc w:val="center"/>
        <w:rPr>
          <w:rFonts w:eastAsia="Times New Roman"/>
          <w:b/>
          <w:bCs/>
          <w:noProof/>
          <w:color w:val="000000"/>
          <w:szCs w:val="24"/>
        </w:rPr>
      </w:pPr>
      <w:r w:rsidRPr="00F92333">
        <w:rPr>
          <w:b/>
          <w:noProof/>
          <w:color w:val="000000"/>
        </w:rPr>
        <w:t>Povračilo carin</w:t>
      </w:r>
    </w:p>
    <w:p w:rsidRPr="00F92333" w:rsidR="00C27DE3" w:rsidP="00C27DE3" w:rsidRDefault="00C27DE3">
      <w:pPr>
        <w:shd w:val="clear" w:color="auto" w:fill="FFFFFF" w:themeFill="background1"/>
        <w:spacing w:after="0"/>
        <w:rPr>
          <w:rFonts w:eastAsia="Times New Roman"/>
          <w:noProof/>
          <w:color w:val="000000"/>
        </w:rPr>
      </w:pPr>
      <w:r w:rsidRPr="00F92333">
        <w:rPr>
          <w:noProof/>
        </w:rPr>
        <w:t>Nacionalni carinski organi zadevnih držav članic na zahtevo zadevnih gospodarskih subjektov povrnejo vse plačane carine, ki presegajo tiste, ki v skladu s to uredbo veljajo za blago, uvrščeno pod oznake KN iz Priloge, ki se v Unijo uvozi v obdobju od 1. avgusta 2025 do datuma začetka veljavnosti te uredbe.</w:t>
      </w:r>
    </w:p>
    <w:p w:rsidRPr="00F92333" w:rsidR="004D4E26" w:rsidP="00EE6622" w:rsidRDefault="004D4E26">
      <w:pPr>
        <w:pStyle w:val="Titrearticle"/>
        <w:rPr>
          <w:noProof/>
        </w:rPr>
      </w:pPr>
      <w:r w:rsidRPr="00F92333">
        <w:rPr>
          <w:noProof/>
        </w:rPr>
        <w:t>Člen 5</w:t>
      </w:r>
    </w:p>
    <w:p w:rsidRPr="00F92333" w:rsidR="004D4E26" w:rsidP="004D4E26" w:rsidRDefault="004D4E26">
      <w:pPr>
        <w:shd w:val="clear" w:color="auto" w:fill="FFFFFF"/>
        <w:spacing w:before="60"/>
        <w:jc w:val="center"/>
        <w:rPr>
          <w:rFonts w:eastAsia="Times New Roman"/>
          <w:b/>
          <w:bCs/>
          <w:noProof/>
          <w:color w:val="000000"/>
          <w:szCs w:val="24"/>
        </w:rPr>
      </w:pPr>
      <w:r w:rsidRPr="00F92333">
        <w:rPr>
          <w:b/>
          <w:noProof/>
          <w:color w:val="000000"/>
        </w:rPr>
        <w:t>Začetek veljavnosti in uporaba</w:t>
      </w:r>
    </w:p>
    <w:p w:rsidRPr="00F92333" w:rsidR="004D4E26" w:rsidP="00217FF2" w:rsidRDefault="004D4E26">
      <w:pPr>
        <w:rPr>
          <w:noProof/>
        </w:rPr>
      </w:pPr>
      <w:r w:rsidRPr="00F92333">
        <w:rPr>
          <w:noProof/>
        </w:rPr>
        <w:t>Ta uredba začne veljati dan po objavi v </w:t>
      </w:r>
      <w:r w:rsidRPr="00F92333">
        <w:rPr>
          <w:i/>
          <w:iCs/>
          <w:noProof/>
        </w:rPr>
        <w:t>Uradnem listu Evropske unije</w:t>
      </w:r>
      <w:r w:rsidRPr="00F92333">
        <w:rPr>
          <w:noProof/>
        </w:rPr>
        <w:t>.</w:t>
      </w:r>
    </w:p>
    <w:p w:rsidRPr="00F92333" w:rsidR="004D4E26" w:rsidP="00217FF2" w:rsidRDefault="47A17A06">
      <w:pPr>
        <w:rPr>
          <w:noProof/>
        </w:rPr>
      </w:pPr>
      <w:r w:rsidRPr="00F92333">
        <w:rPr>
          <w:noProof/>
        </w:rPr>
        <w:t>Uporablja se od 1. avgusta 2025.</w:t>
      </w:r>
    </w:p>
    <w:p w:rsidRPr="00F92333" w:rsidR="001E0305" w:rsidP="00EB2C90" w:rsidRDefault="004D4E26">
      <w:pPr>
        <w:pStyle w:val="Applicationdirecte"/>
        <w:rPr>
          <w:noProof/>
        </w:rPr>
      </w:pPr>
      <w:r w:rsidRPr="00F92333">
        <w:rPr>
          <w:noProof/>
        </w:rPr>
        <w:t>Ta uredba je v celoti zavezujoča in se neposredno uporablja v vseh državah članicah.</w:t>
      </w:r>
    </w:p>
    <w:p w:rsidRPr="00F92333" w:rsidR="001E0305" w:rsidP="00B1505B" w:rsidRDefault="00F92333">
      <w:pPr>
        <w:pStyle w:val="Fait"/>
        <w:rPr>
          <w:noProof/>
        </w:rPr>
      </w:pPr>
      <w:r>
        <w:rPr>
          <w:noProof/>
        </w:rPr>
        <w:t>V Bruslju,</w:t>
      </w:r>
    </w:p>
    <w:p w:rsidRPr="00F92333" w:rsidR="001E0305" w:rsidP="00B1505B" w:rsidRDefault="001E0305">
      <w:pPr>
        <w:pStyle w:val="Institutionquisigne"/>
        <w:rPr>
          <w:noProof/>
        </w:rPr>
      </w:pPr>
      <w:r w:rsidRPr="00F92333">
        <w:rPr>
          <w:noProof/>
        </w:rPr>
        <w:t>Za Evropski parlament</w:t>
      </w:r>
      <w:r w:rsidRPr="00F92333">
        <w:rPr>
          <w:noProof/>
        </w:rPr>
        <w:tab/>
        <w:t>Za Svet</w:t>
      </w:r>
    </w:p>
    <w:p w:rsidRPr="00F92333" w:rsidR="001E0305" w:rsidP="001E0305" w:rsidRDefault="001E0305">
      <w:pPr>
        <w:pStyle w:val="Personnequisigne"/>
        <w:rPr>
          <w:noProof/>
        </w:rPr>
      </w:pPr>
      <w:r w:rsidRPr="00F92333">
        <w:rPr>
          <w:noProof/>
        </w:rPr>
        <w:t>[predsednik][predsednica]</w:t>
      </w:r>
      <w:r w:rsidRPr="00F92333">
        <w:rPr>
          <w:noProof/>
        </w:rPr>
        <w:tab/>
        <w:t>[predsednik][predsednica]</w:t>
      </w:r>
    </w:p>
    <w:p w:rsidRPr="00F92333" w:rsidR="00932487" w:rsidP="001E0305" w:rsidRDefault="00932487">
      <w:pPr>
        <w:rPr>
          <w:noProof/>
        </w:rPr>
        <w:sectPr w:rsidRPr="00F92333" w:rsidR="00932487" w:rsidSect="009A340D">
          <w:footerReference w:type="default" r:id="R49082c16280d419c"/>
          <w:footerReference w:type="even" r:id="R8c4535ef23d24090"/>
          <w:footerReference w:type="first" r:id="Raa1d30c0f24e4513"/>
          <w:headerReference w:type="default" r:id="R1a3d44152ca6454e"/>
          <w:headerReference w:type="even" r:id="R8260833c9f2c4f93"/>
          <w:headerReference w:type="first" r:id="R5fc432dfa9d84363"/>
          <w:footnotePr>
            <w:numRestart w:val="eachSect"/>
          </w:footnotePr>
          <w:pgSz w:w="11907" w:h="16839"/>
          <w:pgMar w:top="1134" w:right="1417" w:bottom="1134" w:left="1417" w:header="709" w:footer="709" w:gutter="0"/>
          <w:pgNumType w:start="1"/>
          <w:cols w:space="708"/>
          <w:docGrid w:linePitch="360"/>
        </w:sectPr>
      </w:pPr>
    </w:p>
    <w:p w:rsidRPr="00F92333" w:rsidR="001E0305" w:rsidRDefault="001E0305">
      <w:pPr>
        <w:pStyle w:val="Fichefinanciretitre"/>
        <w:keepNext/>
        <w:rPr>
          <w:noProof/>
        </w:rPr>
      </w:pPr>
      <w:r w:rsidRPr="00F92333">
        <w:rPr>
          <w:noProof/>
        </w:rPr>
        <w:t>OCENA FINANČNIH POSLEDIC ZAKONODAJNEGA PREDLOGA</w:t>
      </w:r>
    </w:p>
    <w:p w:rsidRPr="00F92333" w:rsidR="001E0305" w:rsidRDefault="001E0305">
      <w:pPr>
        <w:pStyle w:val="TOC1"/>
        <w:rPr>
          <w:rFonts w:asciiTheme="minorHAnsi" w:hAnsiTheme="minorHAnsi" w:eastAsiaTheme="minorEastAsia" w:cstheme="minorBidi"/>
          <w:noProof/>
          <w:kern w:val="2"/>
          <w:sz w:val="22"/>
          <w14:ligatures w14:val="standardContextual"/>
        </w:rPr>
      </w:pPr>
      <w:r w:rsidRPr="00F92333">
        <w:rPr>
          <w:noProof/>
        </w:rPr>
        <w:t>1.</w:t>
      </w:r>
      <w:r w:rsidRPr="00F92333">
        <w:rPr>
          <w:rFonts w:asciiTheme="minorHAnsi" w:hAnsiTheme="minorHAnsi"/>
          <w:noProof/>
          <w:sz w:val="22"/>
        </w:rPr>
        <w:tab/>
      </w:r>
      <w:r w:rsidRPr="00F92333">
        <w:rPr>
          <w:noProof/>
        </w:rPr>
        <w:t>OKVIR PREDLOGA/POBUDE</w:t>
      </w:r>
      <w:r w:rsidRPr="00F92333">
        <w:rPr>
          <w:noProof/>
          <w:webHidden/>
        </w:rPr>
        <w:tab/>
        <w:t>3</w:t>
      </w:r>
    </w:p>
    <w:p w:rsidRPr="00F92333" w:rsidR="001E0305" w:rsidRDefault="001E0305">
      <w:pPr>
        <w:pStyle w:val="TOC2"/>
        <w:rPr>
          <w:rFonts w:asciiTheme="minorHAnsi" w:hAnsiTheme="minorHAnsi" w:eastAsiaTheme="minorEastAsia" w:cstheme="minorBidi"/>
          <w:noProof/>
          <w:kern w:val="2"/>
          <w:sz w:val="22"/>
          <w14:ligatures w14:val="standardContextual"/>
        </w:rPr>
      </w:pPr>
      <w:r w:rsidRPr="00F92333">
        <w:rPr>
          <w:noProof/>
        </w:rPr>
        <w:t>1.1</w:t>
      </w:r>
      <w:r w:rsidRPr="00F92333">
        <w:rPr>
          <w:rFonts w:asciiTheme="minorHAnsi" w:hAnsiTheme="minorHAnsi"/>
          <w:noProof/>
          <w:sz w:val="22"/>
        </w:rPr>
        <w:tab/>
      </w:r>
      <w:r w:rsidRPr="00F92333">
        <w:rPr>
          <w:noProof/>
        </w:rPr>
        <w:t>Naslov predloga/pobude</w:t>
      </w:r>
      <w:r w:rsidRPr="00F92333">
        <w:rPr>
          <w:noProof/>
          <w:webHidden/>
        </w:rPr>
        <w:tab/>
        <w:t>3</w:t>
      </w:r>
    </w:p>
    <w:p w:rsidRPr="00F92333" w:rsidR="001E0305" w:rsidRDefault="001E0305">
      <w:pPr>
        <w:pStyle w:val="TOC2"/>
        <w:rPr>
          <w:rFonts w:asciiTheme="minorHAnsi" w:hAnsiTheme="minorHAnsi" w:eastAsiaTheme="minorEastAsia" w:cstheme="minorBidi"/>
          <w:noProof/>
          <w:kern w:val="2"/>
          <w:sz w:val="22"/>
          <w14:ligatures w14:val="standardContextual"/>
        </w:rPr>
      </w:pPr>
      <w:r w:rsidRPr="00F92333">
        <w:rPr>
          <w:noProof/>
        </w:rPr>
        <w:t>1.2</w:t>
      </w:r>
      <w:r w:rsidRPr="00F92333">
        <w:rPr>
          <w:rFonts w:asciiTheme="minorHAnsi" w:hAnsiTheme="minorHAnsi"/>
          <w:noProof/>
          <w:sz w:val="22"/>
        </w:rPr>
        <w:tab/>
      </w:r>
      <w:r w:rsidRPr="00F92333">
        <w:rPr>
          <w:noProof/>
        </w:rPr>
        <w:t>Zadevna področja</w:t>
      </w:r>
      <w:r w:rsidRPr="00F92333">
        <w:rPr>
          <w:noProof/>
          <w:webHidden/>
        </w:rPr>
        <w:tab/>
        <w:t>3</w:t>
      </w:r>
    </w:p>
    <w:p w:rsidRPr="00F92333" w:rsidR="001E0305" w:rsidRDefault="001E0305">
      <w:pPr>
        <w:pStyle w:val="TOC2"/>
        <w:rPr>
          <w:rFonts w:asciiTheme="minorHAnsi" w:hAnsiTheme="minorHAnsi" w:eastAsiaTheme="minorEastAsia" w:cstheme="minorBidi"/>
          <w:noProof/>
          <w:kern w:val="2"/>
          <w:sz w:val="22"/>
          <w14:ligatures w14:val="standardContextual"/>
        </w:rPr>
      </w:pPr>
      <w:r w:rsidRPr="00F92333">
        <w:rPr>
          <w:noProof/>
        </w:rPr>
        <w:t>1.3</w:t>
      </w:r>
      <w:r w:rsidRPr="00F92333">
        <w:rPr>
          <w:rFonts w:asciiTheme="minorHAnsi" w:hAnsiTheme="minorHAnsi"/>
          <w:noProof/>
          <w:sz w:val="22"/>
        </w:rPr>
        <w:tab/>
      </w:r>
      <w:r w:rsidRPr="00F92333">
        <w:rPr>
          <w:noProof/>
        </w:rPr>
        <w:t>Cilji</w:t>
      </w:r>
      <w:r w:rsidRPr="00F92333">
        <w:rPr>
          <w:noProof/>
          <w:webHidden/>
        </w:rPr>
        <w:tab/>
        <w:t>3</w:t>
      </w:r>
    </w:p>
    <w:p w:rsidRPr="00F92333" w:rsidR="001E0305" w:rsidRDefault="001E0305">
      <w:pPr>
        <w:pStyle w:val="TOC3"/>
        <w:rPr>
          <w:rFonts w:asciiTheme="minorHAnsi" w:hAnsiTheme="minorHAnsi" w:eastAsiaTheme="minorEastAsia" w:cstheme="minorBidi"/>
          <w:noProof/>
          <w:kern w:val="2"/>
          <w:sz w:val="22"/>
          <w14:ligatures w14:val="standardContextual"/>
        </w:rPr>
      </w:pPr>
      <w:r w:rsidRPr="00F92333">
        <w:rPr>
          <w:noProof/>
        </w:rPr>
        <w:t>1.3.1</w:t>
      </w:r>
      <w:r w:rsidRPr="00F92333">
        <w:rPr>
          <w:rFonts w:asciiTheme="minorHAnsi" w:hAnsiTheme="minorHAnsi"/>
          <w:noProof/>
          <w:sz w:val="22"/>
        </w:rPr>
        <w:tab/>
      </w:r>
      <w:r w:rsidRPr="00F92333">
        <w:rPr>
          <w:noProof/>
        </w:rPr>
        <w:t>Splošni cilji</w:t>
      </w:r>
      <w:r w:rsidRPr="00F92333">
        <w:rPr>
          <w:noProof/>
          <w:webHidden/>
        </w:rPr>
        <w:tab/>
        <w:t>3</w:t>
      </w:r>
    </w:p>
    <w:p w:rsidRPr="00F92333" w:rsidR="001E0305" w:rsidRDefault="001E0305">
      <w:pPr>
        <w:pStyle w:val="TOC3"/>
        <w:rPr>
          <w:rFonts w:asciiTheme="minorHAnsi" w:hAnsiTheme="minorHAnsi" w:eastAsiaTheme="minorEastAsia" w:cstheme="minorBidi"/>
          <w:noProof/>
          <w:kern w:val="2"/>
          <w:sz w:val="22"/>
          <w14:ligatures w14:val="standardContextual"/>
        </w:rPr>
      </w:pPr>
      <w:r w:rsidRPr="00F92333">
        <w:rPr>
          <w:noProof/>
        </w:rPr>
        <w:t>1.3.2</w:t>
      </w:r>
      <w:r w:rsidRPr="00F92333">
        <w:rPr>
          <w:rFonts w:asciiTheme="minorHAnsi" w:hAnsiTheme="minorHAnsi"/>
          <w:noProof/>
          <w:sz w:val="22"/>
        </w:rPr>
        <w:tab/>
      </w:r>
      <w:r w:rsidRPr="00F92333">
        <w:rPr>
          <w:noProof/>
        </w:rPr>
        <w:t>Specifični cilji</w:t>
      </w:r>
      <w:r w:rsidRPr="00F92333">
        <w:rPr>
          <w:noProof/>
          <w:webHidden/>
        </w:rPr>
        <w:tab/>
        <w:t>3</w:t>
      </w:r>
    </w:p>
    <w:p w:rsidRPr="00F92333" w:rsidR="001E0305" w:rsidRDefault="001E0305">
      <w:pPr>
        <w:pStyle w:val="TOC3"/>
        <w:rPr>
          <w:rFonts w:asciiTheme="minorHAnsi" w:hAnsiTheme="minorHAnsi" w:eastAsiaTheme="minorEastAsia" w:cstheme="minorBidi"/>
          <w:noProof/>
          <w:kern w:val="2"/>
          <w:sz w:val="22"/>
          <w14:ligatures w14:val="standardContextual"/>
        </w:rPr>
      </w:pPr>
      <w:r w:rsidRPr="00F92333">
        <w:rPr>
          <w:noProof/>
        </w:rPr>
        <w:t>1.3.3</w:t>
      </w:r>
      <w:r w:rsidRPr="00F92333">
        <w:rPr>
          <w:rFonts w:asciiTheme="minorHAnsi" w:hAnsiTheme="minorHAnsi"/>
          <w:noProof/>
          <w:sz w:val="22"/>
        </w:rPr>
        <w:tab/>
      </w:r>
      <w:r w:rsidRPr="00F92333">
        <w:rPr>
          <w:noProof/>
        </w:rPr>
        <w:t>Pričakovani rezultati in posledice</w:t>
      </w:r>
      <w:r w:rsidRPr="00F92333">
        <w:rPr>
          <w:noProof/>
          <w:webHidden/>
        </w:rPr>
        <w:tab/>
        <w:t>3</w:t>
      </w:r>
    </w:p>
    <w:p w:rsidRPr="00F92333" w:rsidR="001E0305" w:rsidRDefault="001E0305">
      <w:pPr>
        <w:pStyle w:val="TOC3"/>
        <w:rPr>
          <w:rFonts w:asciiTheme="minorHAnsi" w:hAnsiTheme="minorHAnsi" w:eastAsiaTheme="minorEastAsia" w:cstheme="minorBidi"/>
          <w:noProof/>
          <w:kern w:val="2"/>
          <w:sz w:val="22"/>
          <w14:ligatures w14:val="standardContextual"/>
        </w:rPr>
      </w:pPr>
      <w:r w:rsidRPr="00F92333">
        <w:rPr>
          <w:noProof/>
        </w:rPr>
        <w:t>1.3.4</w:t>
      </w:r>
      <w:r w:rsidRPr="00F92333">
        <w:rPr>
          <w:rFonts w:asciiTheme="minorHAnsi" w:hAnsiTheme="minorHAnsi"/>
          <w:noProof/>
          <w:sz w:val="22"/>
        </w:rPr>
        <w:tab/>
      </w:r>
      <w:r w:rsidRPr="00F92333">
        <w:rPr>
          <w:noProof/>
        </w:rPr>
        <w:t>Kazalniki smotrnosti</w:t>
      </w:r>
      <w:r w:rsidRPr="00F92333">
        <w:rPr>
          <w:noProof/>
          <w:webHidden/>
        </w:rPr>
        <w:tab/>
        <w:t>3</w:t>
      </w:r>
    </w:p>
    <w:p w:rsidRPr="00F92333" w:rsidR="001E0305" w:rsidRDefault="001E0305">
      <w:pPr>
        <w:pStyle w:val="TOC2"/>
        <w:rPr>
          <w:rFonts w:asciiTheme="minorHAnsi" w:hAnsiTheme="minorHAnsi" w:eastAsiaTheme="minorEastAsia" w:cstheme="minorBidi"/>
          <w:noProof/>
          <w:kern w:val="2"/>
          <w:sz w:val="22"/>
          <w14:ligatures w14:val="standardContextual"/>
        </w:rPr>
      </w:pPr>
      <w:r w:rsidRPr="00F92333">
        <w:rPr>
          <w:noProof/>
        </w:rPr>
        <w:t>1.4</w:t>
      </w:r>
      <w:r w:rsidRPr="00F92333">
        <w:rPr>
          <w:rFonts w:asciiTheme="minorHAnsi" w:hAnsiTheme="minorHAnsi"/>
          <w:noProof/>
          <w:sz w:val="22"/>
        </w:rPr>
        <w:tab/>
      </w:r>
      <w:r w:rsidRPr="00F92333">
        <w:rPr>
          <w:noProof/>
        </w:rPr>
        <w:t>Ukrep, na katerega se predlog/pobuda nanaša</w:t>
      </w:r>
      <w:r w:rsidRPr="00F92333">
        <w:rPr>
          <w:noProof/>
          <w:webHidden/>
        </w:rPr>
        <w:tab/>
        <w:t>4</w:t>
      </w:r>
    </w:p>
    <w:p w:rsidRPr="00F92333" w:rsidR="001E0305" w:rsidRDefault="001E0305">
      <w:pPr>
        <w:pStyle w:val="TOC2"/>
        <w:rPr>
          <w:rFonts w:asciiTheme="minorHAnsi" w:hAnsiTheme="minorHAnsi" w:eastAsiaTheme="minorEastAsia" w:cstheme="minorBidi"/>
          <w:noProof/>
          <w:kern w:val="2"/>
          <w:sz w:val="22"/>
          <w14:ligatures w14:val="standardContextual"/>
        </w:rPr>
      </w:pPr>
      <w:r w:rsidRPr="00F92333">
        <w:rPr>
          <w:noProof/>
        </w:rPr>
        <w:t>1.5</w:t>
      </w:r>
      <w:r w:rsidRPr="00F92333">
        <w:rPr>
          <w:rFonts w:asciiTheme="minorHAnsi" w:hAnsiTheme="minorHAnsi"/>
          <w:noProof/>
          <w:sz w:val="22"/>
        </w:rPr>
        <w:tab/>
      </w:r>
      <w:r w:rsidRPr="00F92333">
        <w:rPr>
          <w:noProof/>
        </w:rPr>
        <w:t>Utemeljitev predloga/pobude</w:t>
      </w:r>
      <w:r w:rsidRPr="00F92333">
        <w:rPr>
          <w:noProof/>
          <w:webHidden/>
        </w:rPr>
        <w:tab/>
        <w:t>4</w:t>
      </w:r>
    </w:p>
    <w:p w:rsidRPr="00F92333" w:rsidR="001E0305" w:rsidRDefault="001E0305">
      <w:pPr>
        <w:pStyle w:val="TOC3"/>
        <w:rPr>
          <w:rFonts w:asciiTheme="minorHAnsi" w:hAnsiTheme="minorHAnsi" w:eastAsiaTheme="minorEastAsia" w:cstheme="minorBidi"/>
          <w:noProof/>
          <w:kern w:val="2"/>
          <w:sz w:val="22"/>
          <w14:ligatures w14:val="standardContextual"/>
        </w:rPr>
      </w:pPr>
      <w:r w:rsidRPr="00F92333">
        <w:rPr>
          <w:noProof/>
        </w:rPr>
        <w:t>1.5.1</w:t>
      </w:r>
      <w:r w:rsidRPr="00F92333">
        <w:rPr>
          <w:rFonts w:asciiTheme="minorHAnsi" w:hAnsiTheme="minorHAnsi"/>
          <w:noProof/>
          <w:sz w:val="22"/>
        </w:rPr>
        <w:tab/>
      </w:r>
      <w:r w:rsidRPr="00F92333">
        <w:rPr>
          <w:noProof/>
        </w:rPr>
        <w:t>Potrebe, ki jih je treba zadovoljiti kratkoročno ali dolgoročno, vključno s podrobno časovnico za uvajanje ustreznih ukrepov za izvajanje pobude</w:t>
      </w:r>
      <w:r w:rsidRPr="00F92333">
        <w:rPr>
          <w:noProof/>
          <w:webHidden/>
        </w:rPr>
        <w:tab/>
        <w:t>4</w:t>
      </w:r>
    </w:p>
    <w:p w:rsidRPr="00F92333" w:rsidR="001E0305" w:rsidRDefault="001E0305">
      <w:pPr>
        <w:pStyle w:val="TOC3"/>
        <w:rPr>
          <w:rFonts w:asciiTheme="minorHAnsi" w:hAnsiTheme="minorHAnsi" w:eastAsiaTheme="minorEastAsia" w:cstheme="minorBidi"/>
          <w:noProof/>
          <w:kern w:val="2"/>
          <w:sz w:val="22"/>
          <w14:ligatures w14:val="standardContextual"/>
        </w:rPr>
      </w:pPr>
      <w:r w:rsidRPr="00F92333">
        <w:rPr>
          <w:noProof/>
        </w:rPr>
        <w:t>1.5.2</w:t>
      </w:r>
      <w:r w:rsidRPr="00F92333">
        <w:rPr>
          <w:rFonts w:asciiTheme="minorHAnsi" w:hAnsiTheme="minorHAnsi"/>
          <w:noProof/>
          <w:sz w:val="22"/>
        </w:rPr>
        <w:tab/>
      </w:r>
      <w:r w:rsidRPr="00F92333">
        <w:rPr>
          <w:noProof/>
        </w:rPr>
        <w:t>Dodana vrednost ukrepanja EU (ki je lahko posledica različnih dejavnikov, npr. boljšega usklajevanja, pravne varnosti, večje učinkovitosti ali dopolnjevanja). Za namene tega oddelka je „dodana vrednost ukrepanja EU“ vrednost, ki izhaja iz ukrepanja EU in predstavlja dodatno vrednost poleg tiste, ki bi jo sicer ustvarile države članice same.</w:t>
      </w:r>
      <w:r w:rsidRPr="00F92333">
        <w:rPr>
          <w:noProof/>
          <w:webHidden/>
        </w:rPr>
        <w:tab/>
        <w:t>4</w:t>
      </w:r>
    </w:p>
    <w:p w:rsidRPr="00F92333" w:rsidR="001E0305" w:rsidRDefault="001E0305">
      <w:pPr>
        <w:pStyle w:val="TOC3"/>
        <w:rPr>
          <w:rFonts w:asciiTheme="minorHAnsi" w:hAnsiTheme="minorHAnsi" w:eastAsiaTheme="minorEastAsia" w:cstheme="minorBidi"/>
          <w:noProof/>
          <w:kern w:val="2"/>
          <w:sz w:val="22"/>
          <w14:ligatures w14:val="standardContextual"/>
        </w:rPr>
      </w:pPr>
      <w:r w:rsidRPr="00F92333">
        <w:rPr>
          <w:noProof/>
        </w:rPr>
        <w:t>1.5.3</w:t>
      </w:r>
      <w:r w:rsidRPr="00F92333">
        <w:rPr>
          <w:rFonts w:asciiTheme="minorHAnsi" w:hAnsiTheme="minorHAnsi"/>
          <w:noProof/>
          <w:sz w:val="22"/>
        </w:rPr>
        <w:tab/>
      </w:r>
      <w:r w:rsidRPr="00F92333">
        <w:rPr>
          <w:noProof/>
        </w:rPr>
        <w:t>Spoznanja iz podobnih izkušenj v preteklosti</w:t>
      </w:r>
      <w:r w:rsidRPr="00F92333">
        <w:rPr>
          <w:noProof/>
          <w:webHidden/>
        </w:rPr>
        <w:tab/>
        <w:t>4</w:t>
      </w:r>
    </w:p>
    <w:p w:rsidRPr="00F92333" w:rsidR="001E0305" w:rsidRDefault="001E0305">
      <w:pPr>
        <w:pStyle w:val="TOC3"/>
        <w:rPr>
          <w:rFonts w:asciiTheme="minorHAnsi" w:hAnsiTheme="minorHAnsi" w:eastAsiaTheme="minorEastAsia" w:cstheme="minorBidi"/>
          <w:noProof/>
          <w:kern w:val="2"/>
          <w:sz w:val="22"/>
          <w14:ligatures w14:val="standardContextual"/>
        </w:rPr>
      </w:pPr>
      <w:r w:rsidRPr="00F92333">
        <w:rPr>
          <w:noProof/>
        </w:rPr>
        <w:t>1.5.4</w:t>
      </w:r>
      <w:r w:rsidRPr="00F92333">
        <w:rPr>
          <w:rFonts w:asciiTheme="minorHAnsi" w:hAnsiTheme="minorHAnsi"/>
          <w:noProof/>
          <w:sz w:val="22"/>
        </w:rPr>
        <w:tab/>
      </w:r>
      <w:r w:rsidRPr="00F92333">
        <w:rPr>
          <w:noProof/>
        </w:rPr>
        <w:t>Skladnost z večletnim finančnim okvirom in možne sinergije z drugimi ustreznimi instrumenti</w:t>
      </w:r>
      <w:r w:rsidRPr="00F92333">
        <w:rPr>
          <w:noProof/>
          <w:webHidden/>
        </w:rPr>
        <w:tab/>
        <w:t>4</w:t>
      </w:r>
    </w:p>
    <w:p w:rsidRPr="00F92333" w:rsidR="001E0305" w:rsidRDefault="001E0305">
      <w:pPr>
        <w:pStyle w:val="TOC3"/>
        <w:rPr>
          <w:rFonts w:asciiTheme="minorHAnsi" w:hAnsiTheme="minorHAnsi" w:eastAsiaTheme="minorEastAsia" w:cstheme="minorBidi"/>
          <w:noProof/>
          <w:kern w:val="2"/>
          <w:sz w:val="22"/>
          <w14:ligatures w14:val="standardContextual"/>
        </w:rPr>
      </w:pPr>
      <w:r w:rsidRPr="00F92333">
        <w:rPr>
          <w:noProof/>
        </w:rPr>
        <w:t>1.5.5</w:t>
      </w:r>
      <w:r w:rsidRPr="00F92333">
        <w:rPr>
          <w:rFonts w:asciiTheme="minorHAnsi" w:hAnsiTheme="minorHAnsi"/>
          <w:noProof/>
          <w:sz w:val="22"/>
        </w:rPr>
        <w:tab/>
      </w:r>
      <w:r w:rsidRPr="00F92333">
        <w:rPr>
          <w:noProof/>
        </w:rPr>
        <w:t>Ocena različnih razpoložljivih možnosti financiranja, vključno z možnostmi za prerazporeditev</w:t>
      </w:r>
      <w:r w:rsidRPr="00F92333">
        <w:rPr>
          <w:noProof/>
          <w:webHidden/>
        </w:rPr>
        <w:tab/>
        <w:t>4</w:t>
      </w:r>
    </w:p>
    <w:p w:rsidRPr="00F92333" w:rsidR="001E0305" w:rsidRDefault="001E0305">
      <w:pPr>
        <w:pStyle w:val="TOC2"/>
        <w:rPr>
          <w:rFonts w:asciiTheme="minorHAnsi" w:hAnsiTheme="minorHAnsi" w:eastAsiaTheme="minorEastAsia" w:cstheme="minorBidi"/>
          <w:noProof/>
          <w:kern w:val="2"/>
          <w:sz w:val="22"/>
          <w14:ligatures w14:val="standardContextual"/>
        </w:rPr>
      </w:pPr>
      <w:r w:rsidRPr="00F92333">
        <w:rPr>
          <w:noProof/>
        </w:rPr>
        <w:t>1.6</w:t>
      </w:r>
      <w:r w:rsidRPr="00F92333">
        <w:rPr>
          <w:rFonts w:asciiTheme="minorHAnsi" w:hAnsiTheme="minorHAnsi"/>
          <w:noProof/>
          <w:sz w:val="22"/>
        </w:rPr>
        <w:tab/>
      </w:r>
      <w:r w:rsidRPr="00F92333">
        <w:rPr>
          <w:noProof/>
        </w:rPr>
        <w:t>Trajanje predloga/pobude in finančnih posledic</w:t>
      </w:r>
      <w:r w:rsidRPr="00F92333">
        <w:rPr>
          <w:noProof/>
          <w:webHidden/>
        </w:rPr>
        <w:tab/>
        <w:t>5</w:t>
      </w:r>
    </w:p>
    <w:p w:rsidRPr="00F92333" w:rsidR="001E0305" w:rsidRDefault="001E0305">
      <w:pPr>
        <w:pStyle w:val="TOC2"/>
        <w:rPr>
          <w:rFonts w:asciiTheme="minorHAnsi" w:hAnsiTheme="minorHAnsi" w:eastAsiaTheme="minorEastAsia" w:cstheme="minorBidi"/>
          <w:noProof/>
          <w:kern w:val="2"/>
          <w:sz w:val="22"/>
          <w14:ligatures w14:val="standardContextual"/>
        </w:rPr>
      </w:pPr>
      <w:r w:rsidRPr="00F92333">
        <w:rPr>
          <w:noProof/>
        </w:rPr>
        <w:t>1.7</w:t>
      </w:r>
      <w:r w:rsidRPr="00F92333">
        <w:rPr>
          <w:rFonts w:asciiTheme="minorHAnsi" w:hAnsiTheme="minorHAnsi"/>
          <w:noProof/>
          <w:sz w:val="22"/>
        </w:rPr>
        <w:tab/>
      </w:r>
      <w:r w:rsidRPr="00F92333">
        <w:rPr>
          <w:noProof/>
        </w:rPr>
        <w:t>Načrtovani načini izvrševanja proračuna</w:t>
      </w:r>
      <w:r w:rsidRPr="00F92333">
        <w:rPr>
          <w:noProof/>
          <w:webHidden/>
        </w:rPr>
        <w:tab/>
        <w:t>5</w:t>
      </w:r>
    </w:p>
    <w:p w:rsidRPr="00F92333" w:rsidR="001E0305" w:rsidRDefault="001E0305">
      <w:pPr>
        <w:pStyle w:val="TOC1"/>
        <w:rPr>
          <w:rFonts w:asciiTheme="minorHAnsi" w:hAnsiTheme="minorHAnsi" w:eastAsiaTheme="minorEastAsia" w:cstheme="minorBidi"/>
          <w:noProof/>
          <w:kern w:val="2"/>
          <w:sz w:val="22"/>
          <w14:ligatures w14:val="standardContextual"/>
        </w:rPr>
      </w:pPr>
      <w:r w:rsidRPr="00F92333">
        <w:rPr>
          <w:noProof/>
        </w:rPr>
        <w:t>2.</w:t>
      </w:r>
      <w:r w:rsidRPr="00F92333">
        <w:rPr>
          <w:rFonts w:asciiTheme="minorHAnsi" w:hAnsiTheme="minorHAnsi"/>
          <w:noProof/>
          <w:sz w:val="22"/>
        </w:rPr>
        <w:tab/>
      </w:r>
      <w:r w:rsidRPr="00F92333">
        <w:rPr>
          <w:noProof/>
        </w:rPr>
        <w:t>UKREPI UPRAVLJANJA</w:t>
      </w:r>
      <w:r w:rsidRPr="00F92333">
        <w:rPr>
          <w:noProof/>
          <w:webHidden/>
        </w:rPr>
        <w:tab/>
        <w:t>6</w:t>
      </w:r>
    </w:p>
    <w:p w:rsidRPr="00F92333" w:rsidR="001E0305" w:rsidRDefault="001E0305">
      <w:pPr>
        <w:pStyle w:val="TOC2"/>
        <w:rPr>
          <w:rFonts w:asciiTheme="minorHAnsi" w:hAnsiTheme="minorHAnsi" w:eastAsiaTheme="minorEastAsia" w:cstheme="minorBidi"/>
          <w:noProof/>
          <w:kern w:val="2"/>
          <w:sz w:val="22"/>
          <w14:ligatures w14:val="standardContextual"/>
        </w:rPr>
      </w:pPr>
      <w:r w:rsidRPr="00F92333">
        <w:rPr>
          <w:noProof/>
        </w:rPr>
        <w:t>2.1</w:t>
      </w:r>
      <w:r w:rsidRPr="00F92333">
        <w:rPr>
          <w:rFonts w:asciiTheme="minorHAnsi" w:hAnsiTheme="minorHAnsi"/>
          <w:noProof/>
          <w:sz w:val="22"/>
        </w:rPr>
        <w:tab/>
      </w:r>
      <w:r w:rsidRPr="00F92333">
        <w:rPr>
          <w:noProof/>
        </w:rPr>
        <w:t>Pravila o spremljanju in poročanju</w:t>
      </w:r>
      <w:r w:rsidRPr="00F92333">
        <w:rPr>
          <w:noProof/>
          <w:webHidden/>
        </w:rPr>
        <w:tab/>
        <w:t>6</w:t>
      </w:r>
    </w:p>
    <w:p w:rsidRPr="00F92333" w:rsidR="001E0305" w:rsidRDefault="001E0305">
      <w:pPr>
        <w:pStyle w:val="TOC2"/>
        <w:rPr>
          <w:rFonts w:asciiTheme="minorHAnsi" w:hAnsiTheme="minorHAnsi" w:eastAsiaTheme="minorEastAsia" w:cstheme="minorBidi"/>
          <w:noProof/>
          <w:kern w:val="2"/>
          <w:sz w:val="22"/>
          <w14:ligatures w14:val="standardContextual"/>
        </w:rPr>
      </w:pPr>
      <w:r w:rsidRPr="00F92333">
        <w:rPr>
          <w:noProof/>
        </w:rPr>
        <w:t>2.2</w:t>
      </w:r>
      <w:r w:rsidRPr="00F92333">
        <w:rPr>
          <w:rFonts w:asciiTheme="minorHAnsi" w:hAnsiTheme="minorHAnsi"/>
          <w:noProof/>
          <w:sz w:val="22"/>
        </w:rPr>
        <w:tab/>
      </w:r>
      <w:r w:rsidRPr="00F92333">
        <w:rPr>
          <w:noProof/>
        </w:rPr>
        <w:t>Upravljavski in kontrolni sistemi</w:t>
      </w:r>
      <w:r w:rsidRPr="00F92333">
        <w:rPr>
          <w:noProof/>
          <w:webHidden/>
        </w:rPr>
        <w:tab/>
        <w:t>6</w:t>
      </w:r>
    </w:p>
    <w:p w:rsidRPr="00F92333" w:rsidR="001E0305" w:rsidRDefault="001E0305">
      <w:pPr>
        <w:pStyle w:val="TOC3"/>
        <w:rPr>
          <w:rFonts w:asciiTheme="minorHAnsi" w:hAnsiTheme="minorHAnsi" w:eastAsiaTheme="minorEastAsia" w:cstheme="minorBidi"/>
          <w:noProof/>
          <w:kern w:val="2"/>
          <w:sz w:val="22"/>
          <w14:ligatures w14:val="standardContextual"/>
        </w:rPr>
      </w:pPr>
      <w:r w:rsidRPr="00F92333">
        <w:rPr>
          <w:noProof/>
        </w:rPr>
        <w:t>2.2.1</w:t>
      </w:r>
      <w:r w:rsidRPr="00F92333">
        <w:rPr>
          <w:rFonts w:asciiTheme="minorHAnsi" w:hAnsiTheme="minorHAnsi"/>
          <w:noProof/>
          <w:sz w:val="22"/>
        </w:rPr>
        <w:tab/>
      </w:r>
      <w:r w:rsidRPr="00F92333">
        <w:rPr>
          <w:noProof/>
        </w:rPr>
        <w:t>Utemeljitev načinov izvrševanja proračuna, mehanizmov financiranja, načinov plačevanja in predlagane strategije kontrol</w:t>
      </w:r>
      <w:r w:rsidRPr="00F92333">
        <w:rPr>
          <w:noProof/>
          <w:webHidden/>
        </w:rPr>
        <w:tab/>
        <w:t>6</w:t>
      </w:r>
    </w:p>
    <w:p w:rsidRPr="00F92333" w:rsidR="001E0305" w:rsidRDefault="001E0305">
      <w:pPr>
        <w:pStyle w:val="TOC3"/>
        <w:rPr>
          <w:rFonts w:asciiTheme="minorHAnsi" w:hAnsiTheme="minorHAnsi" w:eastAsiaTheme="minorEastAsia" w:cstheme="minorBidi"/>
          <w:noProof/>
          <w:kern w:val="2"/>
          <w:sz w:val="22"/>
          <w14:ligatures w14:val="standardContextual"/>
        </w:rPr>
      </w:pPr>
      <w:r w:rsidRPr="00F92333">
        <w:rPr>
          <w:noProof/>
        </w:rPr>
        <w:t>2.2.2</w:t>
      </w:r>
      <w:r w:rsidRPr="00F92333">
        <w:rPr>
          <w:rFonts w:asciiTheme="minorHAnsi" w:hAnsiTheme="minorHAnsi"/>
          <w:noProof/>
          <w:sz w:val="22"/>
        </w:rPr>
        <w:tab/>
      </w:r>
      <w:r w:rsidRPr="00F92333">
        <w:rPr>
          <w:noProof/>
        </w:rPr>
        <w:t>Podatki o ugotovljenih tveganjih in vzpostavljenih sistemih notranjih kontrol za njihovo zmanjševanje</w:t>
      </w:r>
      <w:r w:rsidRPr="00F92333">
        <w:rPr>
          <w:noProof/>
          <w:webHidden/>
        </w:rPr>
        <w:tab/>
        <w:t>6</w:t>
      </w:r>
    </w:p>
    <w:p w:rsidRPr="00F92333" w:rsidR="001E0305" w:rsidRDefault="001E0305">
      <w:pPr>
        <w:pStyle w:val="TOC3"/>
        <w:rPr>
          <w:rFonts w:asciiTheme="minorHAnsi" w:hAnsiTheme="minorHAnsi" w:eastAsiaTheme="minorEastAsia" w:cstheme="minorBidi"/>
          <w:noProof/>
          <w:kern w:val="2"/>
          <w:sz w:val="22"/>
          <w14:ligatures w14:val="standardContextual"/>
        </w:rPr>
      </w:pPr>
      <w:r w:rsidRPr="00F92333">
        <w:rPr>
          <w:noProof/>
        </w:rPr>
        <w:t>2.2.3</w:t>
      </w:r>
      <w:r w:rsidRPr="00F92333">
        <w:rPr>
          <w:rFonts w:asciiTheme="minorHAnsi" w:hAnsiTheme="minorHAnsi"/>
          <w:noProof/>
          <w:sz w:val="22"/>
        </w:rPr>
        <w:tab/>
      </w:r>
      <w:r w:rsidRPr="00F92333">
        <w:rPr>
          <w:noProof/>
        </w:rPr>
        <w:t>Ocena in utemeljitev stroškovne učinkovitosti kontrol (razmerje med stroški kontrol in vrednostjo z njimi povezanih upravljanih sredstev) ter ocena pričakovane stopnje tveganja napake (ob plačilu in ob zaključku)</w:t>
      </w:r>
      <w:r w:rsidRPr="00F92333">
        <w:rPr>
          <w:noProof/>
          <w:webHidden/>
        </w:rPr>
        <w:tab/>
        <w:t>6</w:t>
      </w:r>
    </w:p>
    <w:p w:rsidRPr="00F92333" w:rsidR="001E0305" w:rsidRDefault="001E0305">
      <w:pPr>
        <w:pStyle w:val="TOC2"/>
        <w:rPr>
          <w:rFonts w:asciiTheme="minorHAnsi" w:hAnsiTheme="minorHAnsi" w:eastAsiaTheme="minorEastAsia" w:cstheme="minorBidi"/>
          <w:noProof/>
          <w:kern w:val="2"/>
          <w:sz w:val="22"/>
          <w14:ligatures w14:val="standardContextual"/>
        </w:rPr>
      </w:pPr>
      <w:r w:rsidRPr="00F92333">
        <w:rPr>
          <w:noProof/>
        </w:rPr>
        <w:t>2.3</w:t>
      </w:r>
      <w:r w:rsidRPr="00F92333">
        <w:rPr>
          <w:rFonts w:asciiTheme="minorHAnsi" w:hAnsiTheme="minorHAnsi"/>
          <w:noProof/>
          <w:sz w:val="22"/>
        </w:rPr>
        <w:tab/>
      </w:r>
      <w:r w:rsidRPr="00F92333">
        <w:rPr>
          <w:noProof/>
        </w:rPr>
        <w:t>Ukrepi za preprečevanje goljufij in nepravilnosti</w:t>
      </w:r>
      <w:r w:rsidRPr="00F92333">
        <w:rPr>
          <w:noProof/>
          <w:webHidden/>
        </w:rPr>
        <w:tab/>
        <w:t>6</w:t>
      </w:r>
    </w:p>
    <w:p w:rsidRPr="00F92333" w:rsidR="001E0305" w:rsidRDefault="001E0305">
      <w:pPr>
        <w:pStyle w:val="TOC1"/>
        <w:rPr>
          <w:rFonts w:asciiTheme="minorHAnsi" w:hAnsiTheme="minorHAnsi" w:eastAsiaTheme="minorEastAsia" w:cstheme="minorBidi"/>
          <w:noProof/>
          <w:kern w:val="2"/>
          <w:sz w:val="22"/>
          <w14:ligatures w14:val="standardContextual"/>
        </w:rPr>
      </w:pPr>
      <w:r w:rsidRPr="00F92333">
        <w:rPr>
          <w:noProof/>
        </w:rPr>
        <w:t>3.</w:t>
      </w:r>
      <w:r w:rsidRPr="00F92333">
        <w:rPr>
          <w:rFonts w:asciiTheme="minorHAnsi" w:hAnsiTheme="minorHAnsi"/>
          <w:noProof/>
          <w:sz w:val="22"/>
        </w:rPr>
        <w:tab/>
      </w:r>
      <w:r w:rsidRPr="00F92333">
        <w:rPr>
          <w:noProof/>
        </w:rPr>
        <w:t>OCENA FINANČNIH POSLEDIC PREDLOGA/POBUDE</w:t>
      </w:r>
      <w:r w:rsidRPr="00F92333">
        <w:rPr>
          <w:noProof/>
          <w:webHidden/>
        </w:rPr>
        <w:tab/>
        <w:t>7</w:t>
      </w:r>
    </w:p>
    <w:p w:rsidRPr="00F92333" w:rsidR="001E0305" w:rsidRDefault="001E0305">
      <w:pPr>
        <w:pStyle w:val="TOC2"/>
        <w:rPr>
          <w:rFonts w:asciiTheme="minorHAnsi" w:hAnsiTheme="minorHAnsi" w:eastAsiaTheme="minorEastAsia" w:cstheme="minorBidi"/>
          <w:noProof/>
          <w:kern w:val="2"/>
          <w:sz w:val="22"/>
          <w14:ligatures w14:val="standardContextual"/>
        </w:rPr>
      </w:pPr>
      <w:r w:rsidRPr="00F92333">
        <w:rPr>
          <w:noProof/>
        </w:rPr>
        <w:t>3.1</w:t>
      </w:r>
      <w:r w:rsidRPr="00F92333">
        <w:rPr>
          <w:rFonts w:asciiTheme="minorHAnsi" w:hAnsiTheme="minorHAnsi"/>
          <w:noProof/>
          <w:sz w:val="22"/>
        </w:rPr>
        <w:tab/>
      </w:r>
      <w:r w:rsidRPr="00F92333">
        <w:rPr>
          <w:noProof/>
        </w:rPr>
        <w:t>Naslov predloga</w:t>
      </w:r>
      <w:r w:rsidRPr="00F92333">
        <w:rPr>
          <w:noProof/>
          <w:webHidden/>
        </w:rPr>
        <w:tab/>
        <w:t>7</w:t>
      </w:r>
    </w:p>
    <w:p w:rsidRPr="00F92333" w:rsidR="001E0305" w:rsidRDefault="001E0305">
      <w:pPr>
        <w:pStyle w:val="TOC2"/>
        <w:rPr>
          <w:noProof/>
          <w:kern w:val="2"/>
          <w14:ligatures w14:val="standardContextual"/>
        </w:rPr>
      </w:pPr>
      <w:r w:rsidRPr="00F92333">
        <w:rPr>
          <w:noProof/>
        </w:rPr>
        <w:t>3.2</w:t>
      </w:r>
      <w:r w:rsidRPr="00F92333">
        <w:rPr>
          <w:rFonts w:asciiTheme="minorHAnsi" w:hAnsiTheme="minorHAnsi"/>
          <w:noProof/>
          <w:sz w:val="22"/>
        </w:rPr>
        <w:tab/>
      </w:r>
      <w:r w:rsidRPr="00F92333">
        <w:rPr>
          <w:noProof/>
        </w:rPr>
        <w:t>Proračunske vrstice</w:t>
      </w:r>
      <w:r w:rsidRPr="00F92333">
        <w:rPr>
          <w:noProof/>
          <w:webHidden/>
        </w:rPr>
        <w:tab/>
        <w:t>7</w:t>
      </w:r>
    </w:p>
    <w:p w:rsidRPr="00F92333" w:rsidR="001E0305" w:rsidRDefault="001E0305">
      <w:pPr>
        <w:pStyle w:val="TOC3"/>
        <w:rPr>
          <w:noProof/>
          <w:webHidden/>
        </w:rPr>
      </w:pPr>
      <w:r w:rsidRPr="00F92333">
        <w:rPr>
          <w:noProof/>
        </w:rPr>
        <w:t>3.3</w:t>
      </w:r>
      <w:r w:rsidRPr="00F92333">
        <w:rPr>
          <w:rFonts w:asciiTheme="minorHAnsi" w:hAnsiTheme="minorHAnsi"/>
          <w:noProof/>
          <w:sz w:val="22"/>
        </w:rPr>
        <w:tab/>
      </w:r>
      <w:r w:rsidRPr="00F92333">
        <w:rPr>
          <w:noProof/>
        </w:rPr>
        <w:t>Finančne posledice</w:t>
      </w:r>
      <w:r w:rsidRPr="00F92333">
        <w:rPr>
          <w:noProof/>
          <w:webHidden/>
        </w:rPr>
        <w:tab/>
        <w:t>7</w:t>
      </w:r>
    </w:p>
    <w:p w:rsidRPr="00F92333" w:rsidR="008C599C" w:rsidP="008C599C" w:rsidRDefault="008C599C">
      <w:pPr>
        <w:pStyle w:val="TOC3"/>
        <w:rPr>
          <w:noProof/>
          <w:webHidden/>
        </w:rPr>
      </w:pPr>
      <w:r w:rsidRPr="00F92333">
        <w:rPr>
          <w:noProof/>
        </w:rPr>
        <w:t>4.</w:t>
      </w:r>
      <w:r w:rsidRPr="00F92333">
        <w:rPr>
          <w:noProof/>
        </w:rPr>
        <w:tab/>
        <w:t>DRUGE OPOMBE</w:t>
      </w:r>
      <w:r w:rsidRPr="00F92333">
        <w:rPr>
          <w:noProof/>
          <w:webHidden/>
        </w:rPr>
        <w:tab/>
        <w:t>8</w:t>
      </w:r>
    </w:p>
    <w:p w:rsidRPr="00F92333" w:rsidR="001E0305" w:rsidDel="00A513C5" w:rsidRDefault="001E0305">
      <w:pPr>
        <w:pStyle w:val="TOC2"/>
        <w:rPr>
          <w:noProof/>
        </w:rPr>
      </w:pPr>
    </w:p>
    <w:p w:rsidRPr="00F92333" w:rsidR="001E0305" w:rsidRDefault="001E0305">
      <w:pPr>
        <w:pStyle w:val="TOC1"/>
        <w:ind w:left="0" w:firstLine="0"/>
        <w:rPr>
          <w:noProof/>
        </w:rPr>
        <w:sectPr w:rsidRPr="00F92333" w:rsidR="001E0305" w:rsidSect="009A340D">
          <w:footerReference w:type="default" r:id="R8ab3e062cf054580"/>
          <w:footerReference w:type="even" r:id="R468123f5746b44db"/>
          <w:footerReference w:type="first" r:id="R9c1226f26a734e9d"/>
          <w:headerReference w:type="default" r:id="R3512354d84994be3"/>
          <w:headerReference w:type="even" r:id="Rf62b1bd56a33416f"/>
          <w:headerReference w:type="first" r:id="R5a2d298fe44c4a89"/>
          <w:pgSz w:w="11907" w:h="16840" w:code="9"/>
          <w:pgMar w:top="1134" w:right="1418" w:bottom="1134" w:left="1418" w:header="709" w:footer="709" w:gutter="0"/>
          <w:pgNumType w:start="1"/>
          <w:cols w:space="720"/>
          <w:docGrid w:linePitch="360"/>
        </w:sectPr>
      </w:pPr>
    </w:p>
    <w:p w:rsidRPr="00F92333" w:rsidR="001E0305" w:rsidRDefault="001E0305">
      <w:pPr>
        <w:pStyle w:val="ManualHeading1"/>
        <w:rPr>
          <w:noProof/>
        </w:rPr>
      </w:pPr>
      <w:r w:rsidRPr="00F92333">
        <w:rPr>
          <w:noProof/>
        </w:rPr>
        <w:t>1.</w:t>
      </w:r>
      <w:r w:rsidRPr="00F92333">
        <w:rPr>
          <w:noProof/>
        </w:rPr>
        <w:tab/>
        <w:t>OKVIR PREDLOGA/POBUDE</w:t>
      </w:r>
      <w:r w:rsidRPr="00F92333">
        <w:rPr>
          <w:noProof/>
        </w:rPr>
        <w:t xml:space="preserve"> </w:t>
      </w:r>
    </w:p>
    <w:p w:rsidRPr="00F92333" w:rsidR="001E0305" w:rsidRDefault="001E0305">
      <w:pPr>
        <w:pStyle w:val="ManualHeading2"/>
        <w:rPr>
          <w:noProof/>
        </w:rPr>
      </w:pPr>
      <w:r w:rsidRPr="00F92333">
        <w:rPr>
          <w:noProof/>
        </w:rPr>
        <w:t>1.1</w:t>
      </w:r>
      <w:r w:rsidRPr="00F92333">
        <w:rPr>
          <w:noProof/>
        </w:rPr>
        <w:tab/>
        <w:t>Naslov predloga/pobude</w:t>
      </w:r>
    </w:p>
    <w:p w:rsidRPr="00F92333" w:rsidR="00960317" w:rsidP="00960317" w:rsidRDefault="00276B9C">
      <w:pPr>
        <w:pStyle w:val="Text1"/>
        <w:pBdr>
          <w:top w:val="single" w:color="auto" w:sz="4" w:space="1"/>
          <w:left w:val="single" w:color="auto" w:sz="4" w:space="4"/>
          <w:bottom w:val="single" w:color="auto" w:sz="4" w:space="1"/>
          <w:right w:val="single" w:color="auto" w:sz="4" w:space="4"/>
        </w:pBdr>
        <w:rPr>
          <w:noProof/>
        </w:rPr>
      </w:pPr>
      <w:r w:rsidRPr="00F92333">
        <w:rPr>
          <w:noProof/>
        </w:rPr>
        <w:t>Predlog uredbe Evropskega parlamenta in Sveta o neuporabi carin za nekatero blago</w:t>
      </w:r>
    </w:p>
    <w:p w:rsidRPr="00F92333" w:rsidR="001E0305" w:rsidP="00F03DED" w:rsidRDefault="001E0305">
      <w:pPr>
        <w:pStyle w:val="ManualHeading2"/>
        <w:rPr>
          <w:noProof/>
        </w:rPr>
      </w:pPr>
      <w:r w:rsidRPr="00F92333">
        <w:rPr>
          <w:noProof/>
        </w:rPr>
        <w:t>1.2</w:t>
      </w:r>
      <w:r w:rsidRPr="00F92333">
        <w:rPr>
          <w:noProof/>
        </w:rPr>
        <w:tab/>
        <w:t>Zadevna področja</w:t>
      </w:r>
      <w:r w:rsidRPr="00F92333">
        <w:rPr>
          <w:noProof/>
        </w:rPr>
        <w:t xml:space="preserve"> </w:t>
      </w:r>
    </w:p>
    <w:p w:rsidRPr="00F92333" w:rsidR="001E0305" w:rsidRDefault="00A10EA9">
      <w:pPr>
        <w:pStyle w:val="Text1"/>
        <w:pBdr>
          <w:top w:val="single" w:color="auto" w:sz="4" w:space="1"/>
          <w:left w:val="single" w:color="auto" w:sz="4" w:space="4"/>
          <w:bottom w:val="single" w:color="auto" w:sz="4" w:space="1"/>
          <w:right w:val="single" w:color="auto" w:sz="4" w:space="4"/>
        </w:pBdr>
        <w:rPr>
          <w:noProof/>
        </w:rPr>
      </w:pPr>
      <w:r w:rsidRPr="00F92333">
        <w:rPr>
          <w:noProof/>
        </w:rPr>
        <w:t>Trgovina</w:t>
      </w:r>
    </w:p>
    <w:p w:rsidRPr="00F92333" w:rsidR="001E0305" w:rsidP="00F03DED" w:rsidRDefault="001E0305">
      <w:pPr>
        <w:pStyle w:val="ManualHeading2"/>
        <w:rPr>
          <w:noProof/>
        </w:rPr>
      </w:pPr>
      <w:r w:rsidRPr="00F92333">
        <w:rPr>
          <w:noProof/>
        </w:rPr>
        <w:t>1.3</w:t>
      </w:r>
      <w:r w:rsidRPr="00F92333">
        <w:rPr>
          <w:noProof/>
        </w:rPr>
        <w:tab/>
        <w:t>Cilji</w:t>
      </w:r>
    </w:p>
    <w:p w:rsidRPr="00F92333" w:rsidR="001E0305" w:rsidRDefault="001E0305">
      <w:pPr>
        <w:pStyle w:val="ManualHeading3"/>
        <w:rPr>
          <w:noProof/>
        </w:rPr>
      </w:pPr>
      <w:r w:rsidRPr="00F92333">
        <w:rPr>
          <w:noProof/>
        </w:rPr>
        <w:t>1.3.1</w:t>
      </w:r>
      <w:r w:rsidRPr="00F92333">
        <w:rPr>
          <w:noProof/>
        </w:rPr>
        <w:tab/>
        <w:t>Splošni cilji</w:t>
      </w:r>
    </w:p>
    <w:p w:rsidRPr="00F92333" w:rsidR="00B572D6" w:rsidP="00B04CAE" w:rsidRDefault="00465FC8">
      <w:pPr>
        <w:pStyle w:val="Text1"/>
        <w:pBdr>
          <w:top w:val="single" w:color="auto" w:sz="4" w:space="1"/>
          <w:left w:val="single" w:color="auto" w:sz="4" w:space="4"/>
          <w:bottom w:val="single" w:color="auto" w:sz="4" w:space="1"/>
          <w:right w:val="single" w:color="auto" w:sz="4" w:space="4"/>
        </w:pBdr>
        <w:rPr>
          <w:noProof/>
        </w:rPr>
      </w:pPr>
      <w:r w:rsidRPr="00F92333">
        <w:rPr>
          <w:noProof/>
          <w:color w:val="000000" w:themeColor="text1"/>
        </w:rPr>
        <w:t xml:space="preserve">Ohraniti dodatne priložnosti za subjekte iz Unije in Združenih držav ter preprečiti poslabšanje trgovinskih odnosov z Združenimi državami, in sicer z neuporabo tarif ali njihovim znižanjem. </w:t>
      </w:r>
    </w:p>
    <w:p w:rsidRPr="00F92333" w:rsidR="001E0305" w:rsidP="00F03DED" w:rsidRDefault="001E0305">
      <w:pPr>
        <w:pStyle w:val="ManualHeading3"/>
        <w:rPr>
          <w:noProof/>
        </w:rPr>
      </w:pPr>
      <w:r w:rsidRPr="00F92333">
        <w:rPr>
          <w:noProof/>
        </w:rPr>
        <w:t>1.3.2</w:t>
      </w:r>
      <w:r w:rsidRPr="00F92333">
        <w:rPr>
          <w:noProof/>
        </w:rPr>
        <w:tab/>
        <w:t>Specifični cilji</w:t>
      </w:r>
    </w:p>
    <w:p w:rsidRPr="00F92333" w:rsidR="001E0305" w:rsidRDefault="001E0305">
      <w:pPr>
        <w:pStyle w:val="Text1"/>
        <w:pBdr>
          <w:top w:val="single" w:color="auto" w:sz="4" w:space="1"/>
          <w:left w:val="single" w:color="auto" w:sz="4" w:space="4"/>
          <w:bottom w:val="single" w:color="auto" w:sz="4" w:space="1"/>
          <w:right w:val="single" w:color="auto" w:sz="4" w:space="4"/>
        </w:pBdr>
        <w:rPr>
          <w:noProof/>
          <w:u w:val="single"/>
        </w:rPr>
      </w:pPr>
      <w:r w:rsidRPr="00F92333">
        <w:rPr>
          <w:noProof/>
          <w:u w:val="single"/>
        </w:rPr>
        <w:t>Specifični cilj št.</w:t>
      </w:r>
    </w:p>
    <w:p w:rsidRPr="00F92333" w:rsidR="00D91134" w:rsidP="00684AC8" w:rsidRDefault="00872EF6">
      <w:pPr>
        <w:pStyle w:val="Text1"/>
        <w:pBdr>
          <w:top w:val="single" w:color="auto" w:sz="4" w:space="1"/>
          <w:left w:val="single" w:color="auto" w:sz="4" w:space="4"/>
          <w:bottom w:val="single" w:color="auto" w:sz="4" w:space="1"/>
          <w:right w:val="single" w:color="auto" w:sz="4" w:space="4"/>
        </w:pBdr>
        <w:rPr>
          <w:rFonts w:eastAsia="Times New Roman"/>
          <w:noProof/>
          <w:color w:val="000000" w:themeColor="text1"/>
        </w:rPr>
      </w:pPr>
      <w:r w:rsidRPr="00F92333">
        <w:rPr>
          <w:noProof/>
          <w:color w:val="000000" w:themeColor="text1"/>
        </w:rPr>
        <w:t xml:space="preserve">Neuporaba carin za nekatere vrste jastogov, vključno s pripravljenimi/predelanimi jastogi, na osnovi </w:t>
      </w:r>
      <w:r w:rsidRPr="00F92333">
        <w:rPr>
          <w:i/>
          <w:noProof/>
          <w:color w:val="000000" w:themeColor="text1"/>
        </w:rPr>
        <w:t>erga omnes</w:t>
      </w:r>
      <w:r w:rsidRPr="00F92333">
        <w:rPr>
          <w:noProof/>
          <w:color w:val="000000" w:themeColor="text1"/>
        </w:rPr>
        <w:t>. Razlog za to je iztek veljavnosti prvotne uredbe o neuporabi carin za nekatere vrste jastogov (Uredba (EU) 2020/2131 z dne 16. decembra 2020) 31. julija 2025 in zaveza v okviru političnega dogovora med predsednico Komisije Ursulo von der Leyen in predsednikom ZDA Donaldom Trumpom z dne 27. julija 2025 o takojšnji razširitvi uredbe o jastogih in razširitvi njenega področja uporabe na predelane (tj. pripravljene) jastoge.</w:t>
      </w:r>
    </w:p>
    <w:p w:rsidRPr="00F92333" w:rsidR="001E0305" w:rsidRDefault="001E0305">
      <w:pPr>
        <w:pStyle w:val="ManualHeading3"/>
        <w:rPr>
          <w:noProof/>
        </w:rPr>
      </w:pPr>
      <w:r w:rsidRPr="00F92333">
        <w:rPr>
          <w:noProof/>
        </w:rPr>
        <w:t>1.3.3</w:t>
      </w:r>
      <w:r w:rsidRPr="00F92333">
        <w:rPr>
          <w:noProof/>
        </w:rPr>
        <w:tab/>
        <w:t>Pričakovani rezultati in posledice</w:t>
      </w:r>
    </w:p>
    <w:p w:rsidRPr="00F92333" w:rsidR="001E0305" w:rsidRDefault="001E0305">
      <w:pPr>
        <w:pStyle w:val="Text1"/>
        <w:rPr>
          <w:i/>
          <w:noProof/>
          <w:sz w:val="20"/>
        </w:rPr>
      </w:pPr>
      <w:r w:rsidRPr="00F92333">
        <w:rPr>
          <w:i/>
          <w:noProof/>
          <w:sz w:val="20"/>
        </w:rPr>
        <w:t>Navedite, kakšne učinke naj bi imel(-a) predlog/pobuda za upravičence/ciljne skupine.</w:t>
      </w:r>
    </w:p>
    <w:p w:rsidRPr="00F92333" w:rsidR="000A3524" w:rsidP="00684AC8" w:rsidRDefault="00872EF6">
      <w:pPr>
        <w:pStyle w:val="Text1"/>
        <w:pBdr>
          <w:top w:val="single" w:color="auto" w:sz="4" w:space="1"/>
          <w:left w:val="single" w:color="auto" w:sz="4" w:space="4"/>
          <w:bottom w:val="single" w:color="auto" w:sz="4" w:space="1"/>
          <w:right w:val="single" w:color="auto" w:sz="4" w:space="4"/>
        </w:pBdr>
        <w:rPr>
          <w:rFonts w:eastAsia="Times New Roman"/>
          <w:noProof/>
          <w:color w:val="000000" w:themeColor="text1"/>
        </w:rPr>
      </w:pPr>
      <w:r w:rsidRPr="00F92333">
        <w:rPr>
          <w:noProof/>
          <w:color w:val="000000" w:themeColor="text1"/>
        </w:rPr>
        <w:t>Pričakovani rezultat je nadaljnja neuporaba tarif (največje tarifne ugodnosti) za nekatere vrste jastogov pod podobnimi pogoji, kot so navedeni v Uredbi (EU) 2020/2131, in vključitev predelanih jastogov v področje neuporabe teh tarif. Ti ukrepi izhajajo iz političnega dogovora med predsednico Komisije Ursulo von der Leyen in predsednikom ZDA Donaldom Trumpom z dne 27. julija 2025, s čimer se bodo predvidoma omejile nadaljnje trgovinske napetosti med Unijo in Združenimi državami. Nadaljnja neuporaba tarif za zadevne izdelke bo imela po pričakovanjih omejene negativne posledice na proračun EU v obliki opuščenih carin. Jastogi z vidika Unije niso občutljiv proizvod, razširitev neuporabe uvoznih dajatev in razširitev obsega izdelka na predelane (tj. pripravljene) jastoge pa bosta še naprej podpirala živilskopredelovalno industrijo Unije in gostinski sektor.</w:t>
      </w:r>
    </w:p>
    <w:p w:rsidRPr="00F92333" w:rsidR="001E0305" w:rsidP="00F03DED" w:rsidRDefault="001E0305">
      <w:pPr>
        <w:pStyle w:val="ManualHeading3"/>
        <w:rPr>
          <w:noProof/>
        </w:rPr>
      </w:pPr>
      <w:r w:rsidRPr="00F92333">
        <w:rPr>
          <w:noProof/>
        </w:rPr>
        <w:t>1.3.4</w:t>
      </w:r>
      <w:r w:rsidRPr="00F92333">
        <w:rPr>
          <w:noProof/>
        </w:rPr>
        <w:tab/>
        <w:t>Kazalniki smotrnosti</w:t>
      </w:r>
    </w:p>
    <w:p w:rsidRPr="00F92333" w:rsidR="001E0305" w:rsidRDefault="001E0305">
      <w:pPr>
        <w:pStyle w:val="Text1"/>
        <w:rPr>
          <w:i/>
          <w:noProof/>
          <w:sz w:val="20"/>
        </w:rPr>
      </w:pPr>
      <w:r w:rsidRPr="00F92333">
        <w:rPr>
          <w:i/>
          <w:noProof/>
          <w:sz w:val="20"/>
        </w:rPr>
        <w:t>Navedite, s katerimi kazalniki se bodo spremljali napredek in dosežki.</w:t>
      </w:r>
    </w:p>
    <w:p w:rsidRPr="00F92333" w:rsidR="001E0305" w:rsidP="39FB72F7" w:rsidRDefault="005D0670">
      <w:pPr>
        <w:pStyle w:val="Text1"/>
        <w:pBdr>
          <w:top w:val="single" w:color="auto" w:sz="4" w:space="1"/>
          <w:left w:val="single" w:color="auto" w:sz="4" w:space="4"/>
          <w:bottom w:val="single" w:color="auto" w:sz="4" w:space="1"/>
          <w:right w:val="single" w:color="auto" w:sz="4" w:space="4"/>
        </w:pBdr>
        <w:rPr>
          <w:noProof/>
        </w:rPr>
      </w:pPr>
      <w:r w:rsidRPr="00F92333">
        <w:rPr>
          <w:noProof/>
        </w:rPr>
        <w:t>Ni relevantno, saj je edini cilj Uredbe, da se za nekatere proizvode carine ne uporabljajo.</w:t>
      </w:r>
    </w:p>
    <w:p w:rsidRPr="00F92333" w:rsidR="001E0305" w:rsidRDefault="001E0305">
      <w:pPr>
        <w:pStyle w:val="ManualHeading2"/>
        <w:rPr>
          <w:noProof/>
        </w:rPr>
      </w:pPr>
      <w:r w:rsidRPr="00F92333">
        <w:rPr>
          <w:noProof/>
        </w:rPr>
        <w:t>1.4</w:t>
      </w:r>
      <w:r w:rsidRPr="00F92333">
        <w:rPr>
          <w:noProof/>
        </w:rPr>
        <w:tab/>
        <w:t>Ukrep, na katerega se predlog/pobuda nanaša</w:t>
      </w:r>
      <w:r w:rsidRPr="00F92333">
        <w:rPr>
          <w:noProof/>
        </w:rPr>
        <w:t xml:space="preserve"> </w:t>
      </w:r>
    </w:p>
    <w:p w:rsidRPr="00F92333" w:rsidR="00DA2FF2" w:rsidP="00DA2FF2" w:rsidRDefault="00DA2FF2">
      <w:pPr>
        <w:pStyle w:val="Text1"/>
        <w:rPr>
          <w:b/>
          <w:bCs/>
          <w:noProof/>
          <w:sz w:val="22"/>
        </w:rPr>
      </w:pPr>
      <w:r w:rsidRPr="00F92333">
        <w:rPr>
          <w:rFonts w:ascii="Wingdings" w:hAnsi="Wingdings"/>
          <w:b/>
          <w:noProof/>
          <w:sz w:val="22"/>
        </w:rPr>
        <w:t></w:t>
      </w:r>
      <w:r w:rsidRPr="00F92333">
        <w:rPr>
          <w:b/>
          <w:i/>
          <w:noProof/>
          <w:sz w:val="22"/>
        </w:rPr>
        <w:t xml:space="preserve"> </w:t>
      </w:r>
      <w:r w:rsidRPr="00F92333">
        <w:rPr>
          <w:b/>
          <w:noProof/>
        </w:rPr>
        <w:t>Nov ukrep</w:t>
      </w:r>
      <w:r w:rsidRPr="00F92333">
        <w:rPr>
          <w:b/>
          <w:noProof/>
          <w:sz w:val="22"/>
        </w:rPr>
        <w:t xml:space="preserve"> </w:t>
      </w:r>
    </w:p>
    <w:p w:rsidRPr="00F92333" w:rsidR="001E0305" w:rsidRDefault="001E0305">
      <w:pPr>
        <w:pStyle w:val="Text1"/>
        <w:rPr>
          <w:noProof/>
          <w:sz w:val="22"/>
        </w:rPr>
      </w:pPr>
      <w:r w:rsidRPr="00F92333">
        <w:rPr>
          <w:rFonts w:ascii="Wingdings" w:hAnsi="Wingdings"/>
          <w:noProof/>
          <w:sz w:val="22"/>
        </w:rPr>
        <w:t></w:t>
      </w:r>
      <w:r w:rsidRPr="00F92333">
        <w:rPr>
          <w:i/>
          <w:noProof/>
          <w:sz w:val="22"/>
        </w:rPr>
        <w:t xml:space="preserve"> </w:t>
      </w:r>
      <w:r w:rsidRPr="00F92333">
        <w:rPr>
          <w:noProof/>
        </w:rPr>
        <w:t>Nov ukrep na podlagi pilotnega projekta / pripravljalnega ukrepa</w:t>
      </w:r>
      <w:r w:rsidRPr="00F92333">
        <w:rPr>
          <w:rStyle w:val="FootnoteReference"/>
          <w:noProof/>
        </w:rPr>
        <w:footnoteReference w:id="12"/>
      </w:r>
      <w:r w:rsidRPr="00F92333">
        <w:rPr>
          <w:noProof/>
          <w:sz w:val="22"/>
        </w:rPr>
        <w:t xml:space="preserve"> </w:t>
      </w:r>
    </w:p>
    <w:p w:rsidRPr="00F92333" w:rsidR="001E0305" w:rsidRDefault="001E0305">
      <w:pPr>
        <w:pStyle w:val="Text1"/>
        <w:rPr>
          <w:noProof/>
          <w:sz w:val="22"/>
        </w:rPr>
      </w:pPr>
      <w:r w:rsidRPr="00F92333">
        <w:rPr>
          <w:rFonts w:ascii="Wingdings" w:hAnsi="Wingdings"/>
          <w:noProof/>
          <w:sz w:val="22"/>
        </w:rPr>
        <w:t></w:t>
      </w:r>
      <w:r w:rsidRPr="00F92333">
        <w:rPr>
          <w:i/>
          <w:noProof/>
          <w:sz w:val="22"/>
        </w:rPr>
        <w:t xml:space="preserve"> </w:t>
      </w:r>
      <w:r w:rsidRPr="00F92333">
        <w:rPr>
          <w:noProof/>
        </w:rPr>
        <w:t>Podaljšanje obstoječega ukrepa</w:t>
      </w:r>
      <w:r w:rsidRPr="00F92333">
        <w:rPr>
          <w:noProof/>
          <w:sz w:val="22"/>
        </w:rPr>
        <w:t xml:space="preserve"> </w:t>
      </w:r>
    </w:p>
    <w:p w:rsidRPr="00F92333" w:rsidR="001E0305" w:rsidRDefault="001E0305">
      <w:pPr>
        <w:pStyle w:val="Text1"/>
        <w:rPr>
          <w:noProof/>
        </w:rPr>
      </w:pPr>
      <w:r w:rsidRPr="00F92333">
        <w:rPr>
          <w:rFonts w:ascii="Wingdings" w:hAnsi="Wingdings"/>
          <w:noProof/>
          <w:sz w:val="22"/>
        </w:rPr>
        <w:t></w:t>
      </w:r>
      <w:r w:rsidRPr="00F92333">
        <w:rPr>
          <w:i/>
          <w:noProof/>
          <w:sz w:val="22"/>
        </w:rPr>
        <w:t xml:space="preserve"> </w:t>
      </w:r>
      <w:r w:rsidRPr="00F92333">
        <w:rPr>
          <w:noProof/>
        </w:rPr>
        <w:t>Združitev ali preusmeritev enega ali več ukrepov v drug/nov ukrep</w:t>
      </w:r>
    </w:p>
    <w:p w:rsidRPr="00F92333" w:rsidR="001E0305" w:rsidRDefault="001E0305">
      <w:pPr>
        <w:pStyle w:val="ManualHeading2"/>
        <w:rPr>
          <w:bCs/>
          <w:noProof/>
          <w:szCs w:val="24"/>
        </w:rPr>
      </w:pPr>
      <w:r w:rsidRPr="00F92333">
        <w:rPr>
          <w:noProof/>
        </w:rPr>
        <w:t>1.5</w:t>
      </w:r>
      <w:r w:rsidRPr="00F92333">
        <w:rPr>
          <w:noProof/>
        </w:rPr>
        <w:tab/>
        <w:t>Utemeljitev predloga/pobude</w:t>
      </w:r>
      <w:r w:rsidRPr="00F92333">
        <w:rPr>
          <w:noProof/>
        </w:rPr>
        <w:t xml:space="preserve"> </w:t>
      </w:r>
    </w:p>
    <w:p w:rsidRPr="00F92333" w:rsidR="001E0305" w:rsidRDefault="001E0305">
      <w:pPr>
        <w:pStyle w:val="ManualHeading3"/>
        <w:rPr>
          <w:noProof/>
        </w:rPr>
      </w:pPr>
      <w:r w:rsidRPr="00F92333">
        <w:rPr>
          <w:noProof/>
        </w:rPr>
        <w:t>1.5.1</w:t>
      </w:r>
      <w:r w:rsidRPr="00F92333">
        <w:rPr>
          <w:noProof/>
        </w:rPr>
        <w:tab/>
        <w:t>Potrebe, ki jih je treba zadovoljiti kratkoročno ali dolgoročno, vključno s podrobno časovnico za uvajanje ustreznih ukrepov za izvajanje pobude</w:t>
      </w:r>
    </w:p>
    <w:p w:rsidRPr="00F92333" w:rsidR="000C5DB0" w:rsidP="00530ECD" w:rsidRDefault="5F5B2598">
      <w:pPr>
        <w:pStyle w:val="Text1"/>
        <w:pBdr>
          <w:top w:val="single" w:color="auto" w:sz="4" w:space="1"/>
          <w:left w:val="single" w:color="auto" w:sz="4" w:space="4"/>
          <w:bottom w:val="single" w:color="auto" w:sz="4" w:space="1"/>
          <w:right w:val="single" w:color="auto" w:sz="4" w:space="4"/>
        </w:pBdr>
        <w:rPr>
          <w:noProof/>
        </w:rPr>
      </w:pPr>
      <w:r w:rsidRPr="00F92333">
        <w:rPr>
          <w:noProof/>
        </w:rPr>
        <w:t xml:space="preserve">Predlagano uredbo je treba v skladu z rednim zakonodajnim postopkom sprejeti v najkrajšem možnem času in zagotoviti čimprejšnji začetek njene veljavnosti. </w:t>
      </w:r>
    </w:p>
    <w:p w:rsidRPr="00F92333" w:rsidR="000C5DB0" w:rsidP="00530ECD" w:rsidRDefault="1E8C765B">
      <w:pPr>
        <w:pStyle w:val="Text1"/>
        <w:pBdr>
          <w:top w:val="single" w:color="auto" w:sz="4" w:space="1"/>
          <w:left w:val="single" w:color="auto" w:sz="4" w:space="4"/>
          <w:bottom w:val="single" w:color="auto" w:sz="4" w:space="1"/>
          <w:right w:val="single" w:color="auto" w:sz="4" w:space="4"/>
        </w:pBdr>
        <w:rPr>
          <w:noProof/>
        </w:rPr>
      </w:pPr>
      <w:r w:rsidRPr="00F92333">
        <w:rPr>
          <w:noProof/>
        </w:rPr>
        <w:t xml:space="preserve">Uredba se bo predvidoma uporabljala z retroaktivnim učinkom od 1. avgusta 2025 (datum izteka prvotne uredbe, ki je že določala neuporabo tarif za večino proizvodov iz jastogov, zajetih v tej uredbi). </w:t>
      </w:r>
    </w:p>
    <w:p w:rsidRPr="00F92333" w:rsidR="001E0305" w:rsidRDefault="76719EB3">
      <w:pPr>
        <w:pStyle w:val="ManualHeading3"/>
        <w:rPr>
          <w:bCs/>
          <w:noProof/>
          <w:szCs w:val="24"/>
        </w:rPr>
      </w:pPr>
      <w:r w:rsidRPr="00F92333">
        <w:rPr>
          <w:noProof/>
        </w:rPr>
        <w:t>1.5.2</w:t>
      </w:r>
      <w:r w:rsidRPr="00F92333">
        <w:rPr>
          <w:noProof/>
        </w:rPr>
        <w:tab/>
        <w:t>Dodana vrednost ukrepanja EU (ki je lahko posledica različnih dejavnikov, npr. boljšega usklajevanja, pravne varnosti, večje učinkovitosti ali dopolnjevanja). Za namene tega oddelka je „dodana vrednost ukrepanja EU“ vrednost, ki izhaja iz ukrepanja EU in predstavlja dodatno vrednost poleg tiste, ki bi jo sicer ustvarile države članice same.</w:t>
      </w:r>
    </w:p>
    <w:p w:rsidRPr="00F92333" w:rsidR="015EB438" w:rsidP="00530ECD" w:rsidRDefault="015EB438">
      <w:pPr>
        <w:pStyle w:val="Text1"/>
        <w:pBdr>
          <w:top w:val="single" w:color="auto" w:sz="4" w:space="1"/>
          <w:left w:val="single" w:color="auto" w:sz="4" w:space="4"/>
          <w:bottom w:val="single" w:color="auto" w:sz="4" w:space="1"/>
          <w:right w:val="single" w:color="auto" w:sz="4" w:space="4"/>
        </w:pBdr>
        <w:rPr>
          <w:noProof/>
        </w:rPr>
      </w:pPr>
      <w:r w:rsidRPr="00F92333">
        <w:rPr>
          <w:noProof/>
        </w:rPr>
        <w:t>V skladu s členom 5(3) PEU se načelo subsidiarnosti ne uporablja na področjih, ki so v izključni pristojnosti Unije. Carinska unija in skupna trgovinska politika sta v členu 3 PDEU navedeni med področji, ki so v izključni pristojnosti Unije. Ta politika vključuje pogajanja o trgovinskih sporazumih in sprejetje ukrepov trgovinske politike, vključno s tarifnimi znižanji, med drugim na podlagi člena 207 PDEU.</w:t>
      </w:r>
    </w:p>
    <w:p w:rsidRPr="00F92333" w:rsidR="001E0305" w:rsidRDefault="76719EB3">
      <w:pPr>
        <w:pStyle w:val="ManualHeading3"/>
        <w:rPr>
          <w:noProof/>
        </w:rPr>
      </w:pPr>
      <w:r w:rsidRPr="00F92333">
        <w:rPr>
          <w:noProof/>
        </w:rPr>
        <w:t>1.5.3</w:t>
      </w:r>
      <w:r w:rsidRPr="00F92333">
        <w:rPr>
          <w:noProof/>
        </w:rPr>
        <w:tab/>
        <w:t>Spoznanja iz podobnih izkušenj v preteklosti</w:t>
      </w:r>
    </w:p>
    <w:p w:rsidRPr="00F92333" w:rsidR="001E0305" w:rsidP="68243518" w:rsidRDefault="6FAFBCBB">
      <w:pPr>
        <w:pStyle w:val="Text1"/>
        <w:pBdr>
          <w:top w:val="single" w:color="auto" w:sz="4" w:space="1"/>
          <w:left w:val="single" w:color="auto" w:sz="4" w:space="4"/>
          <w:bottom w:val="single" w:color="auto" w:sz="4" w:space="1"/>
          <w:right w:val="single" w:color="auto" w:sz="4" w:space="4"/>
        </w:pBdr>
        <w:rPr>
          <w:noProof/>
        </w:rPr>
      </w:pPr>
      <w:r w:rsidRPr="00F92333">
        <w:rPr>
          <w:noProof/>
        </w:rPr>
        <w:t xml:space="preserve">Prvotna uredba (Uredba (EU) 2020/2131 z dne 16. decembra 2020) je povzročila, da so se carine za večino proizvodov iz jastogov, zajetih v tej predlagani uredbi, prenehale uporabljati za pet let, pri čemer Unija ni utrpela znatnih negativnih posledic. Neuporaba dajatev za zadevne proizvode iz jastogov in njena razširitev na predelane/pripravljene jastoge sta pomembna dejavnika pri preprečitvi poslabšanja trgovinskih odnosov med EU in ZDA. Zato je pomembno, da se uporaba takih tarif še naprej opušča za zadevne proizvode ter za predelane/pripravljene jastoge, kot je navedeno v političnem dogovoru z dne 27. julija 2025. </w:t>
      </w:r>
    </w:p>
    <w:p w:rsidRPr="00F92333" w:rsidR="001E0305" w:rsidRDefault="76719EB3">
      <w:pPr>
        <w:pStyle w:val="ManualHeading3"/>
        <w:rPr>
          <w:noProof/>
        </w:rPr>
      </w:pPr>
      <w:r w:rsidRPr="00F92333">
        <w:rPr>
          <w:noProof/>
        </w:rPr>
        <w:t>1.5.4</w:t>
      </w:r>
      <w:r w:rsidRPr="00F92333">
        <w:rPr>
          <w:noProof/>
        </w:rPr>
        <w:tab/>
        <w:t>Skladnost z večletnim finančnim okvirom in možne sinergije z drugimi ustreznimi instrumenti</w:t>
      </w:r>
    </w:p>
    <w:p w:rsidRPr="00F92333" w:rsidR="73972361" w:rsidP="00530ECD" w:rsidRDefault="73972361">
      <w:pPr>
        <w:pStyle w:val="Text1"/>
        <w:pBdr>
          <w:top w:val="single" w:color="auto" w:sz="4" w:space="1"/>
          <w:left w:val="single" w:color="auto" w:sz="4" w:space="4"/>
          <w:bottom w:val="single" w:color="auto" w:sz="4" w:space="1"/>
          <w:right w:val="single" w:color="auto" w:sz="4" w:space="4"/>
        </w:pBdr>
        <w:rPr>
          <w:noProof/>
        </w:rPr>
      </w:pPr>
      <w:r w:rsidRPr="00F92333">
        <w:rPr>
          <w:noProof/>
        </w:rPr>
        <w:t>n. r.</w:t>
      </w:r>
    </w:p>
    <w:p w:rsidRPr="00F92333" w:rsidR="001E0305" w:rsidRDefault="76719EB3">
      <w:pPr>
        <w:pStyle w:val="ManualHeading3"/>
        <w:rPr>
          <w:noProof/>
        </w:rPr>
      </w:pPr>
      <w:r w:rsidRPr="00F92333">
        <w:rPr>
          <w:noProof/>
        </w:rPr>
        <w:t>1.5.5</w:t>
      </w:r>
      <w:r w:rsidRPr="00F92333">
        <w:rPr>
          <w:noProof/>
        </w:rPr>
        <w:tab/>
        <w:t>Ocena različnih razpoložljivih možnosti financiranja, vključno z možnostmi za prerazporeditev</w:t>
      </w:r>
    </w:p>
    <w:p w:rsidRPr="00F92333" w:rsidR="0FA916F6" w:rsidP="00530ECD" w:rsidRDefault="0FA916F6">
      <w:pPr>
        <w:pStyle w:val="Text1"/>
        <w:pBdr>
          <w:top w:val="single" w:color="auto" w:sz="4" w:space="1"/>
          <w:left w:val="single" w:color="auto" w:sz="4" w:space="4"/>
          <w:bottom w:val="single" w:color="auto" w:sz="4" w:space="1"/>
          <w:right w:val="single" w:color="auto" w:sz="4" w:space="4"/>
        </w:pBdr>
        <w:rPr>
          <w:noProof/>
        </w:rPr>
      </w:pPr>
      <w:r w:rsidRPr="00F92333">
        <w:rPr>
          <w:noProof/>
        </w:rPr>
        <w:t>n. r.</w:t>
      </w:r>
    </w:p>
    <w:p w:rsidRPr="00F92333" w:rsidR="001E0305" w:rsidRDefault="001E0305">
      <w:pPr>
        <w:pStyle w:val="ManualHeading2"/>
        <w:rPr>
          <w:noProof/>
          <w:szCs w:val="24"/>
        </w:rPr>
      </w:pPr>
      <w:r w:rsidRPr="00F92333">
        <w:rPr>
          <w:noProof/>
        </w:rPr>
        <w:br w:type="page"/>
      </w:r>
      <w:r w:rsidRPr="00F92333">
        <w:rPr>
          <w:noProof/>
        </w:rPr>
        <w:t>1.6</w:t>
      </w:r>
      <w:r w:rsidRPr="00F92333">
        <w:rPr>
          <w:noProof/>
        </w:rPr>
        <w:tab/>
        <w:t>Trajanje predloga/pobude</w:t>
      </w:r>
      <w:r w:rsidRPr="00F92333">
        <w:rPr>
          <w:noProof/>
        </w:rPr>
        <w:t xml:space="preserve"> in finančnih posledic</w:t>
      </w:r>
    </w:p>
    <w:p w:rsidRPr="00F92333" w:rsidR="00E80851" w:rsidP="00E80851" w:rsidRDefault="00E80851">
      <w:pPr>
        <w:pStyle w:val="Text1"/>
        <w:rPr>
          <w:noProof/>
        </w:rPr>
      </w:pPr>
      <w:r w:rsidRPr="00F92333">
        <w:rPr>
          <w:rFonts w:ascii="Wingdings" w:hAnsi="Wingdings"/>
          <w:noProof/>
        </w:rPr>
        <w:t></w:t>
      </w:r>
      <w:r w:rsidRPr="00F92333">
        <w:rPr>
          <w:b/>
          <w:i/>
          <w:noProof/>
        </w:rPr>
        <w:t xml:space="preserve"> </w:t>
      </w:r>
      <w:r w:rsidRPr="00F92333">
        <w:rPr>
          <w:b/>
          <w:noProof/>
        </w:rPr>
        <w:t xml:space="preserve">Časovno omejeno: </w:t>
      </w:r>
    </w:p>
    <w:p w:rsidRPr="00F92333" w:rsidR="00E80851" w:rsidP="00E80851" w:rsidRDefault="00E80851">
      <w:pPr>
        <w:pStyle w:val="ListDash2"/>
        <w:rPr>
          <w:noProof/>
        </w:rPr>
      </w:pPr>
      <w:r w:rsidRPr="00F92333">
        <w:rPr>
          <w:rFonts w:ascii="Wingdings" w:hAnsi="Wingdings"/>
          <w:noProof/>
        </w:rPr>
        <w:t></w:t>
      </w:r>
      <w:r w:rsidRPr="00F92333">
        <w:rPr>
          <w:noProof/>
        </w:rPr>
        <w:tab/>
        <w:t xml:space="preserve">od [D. MMMM] LLLL do [D. MMMM] LLLL, </w:t>
      </w:r>
    </w:p>
    <w:p w:rsidRPr="00F92333" w:rsidR="00E80851" w:rsidP="00412F79" w:rsidRDefault="00E80851">
      <w:pPr>
        <w:pStyle w:val="ListDash2"/>
        <w:rPr>
          <w:noProof/>
        </w:rPr>
      </w:pPr>
      <w:r w:rsidRPr="00F92333">
        <w:rPr>
          <w:rFonts w:ascii="Wingdings" w:hAnsi="Wingdings"/>
          <w:noProof/>
        </w:rPr>
        <w:t></w:t>
      </w:r>
      <w:r w:rsidRPr="00F92333">
        <w:rPr>
          <w:noProof/>
        </w:rPr>
        <w:tab/>
        <w:t xml:space="preserve">finančne posledice med letoma LLLL in LLLL za odobritve za prevzem obveznosti ter med letoma LLLL in LLLL za odobritve plačil. </w:t>
      </w:r>
    </w:p>
    <w:p w:rsidRPr="00F92333" w:rsidR="001E0305" w:rsidP="007343F6" w:rsidRDefault="007343F6">
      <w:pPr>
        <w:pStyle w:val="Text1"/>
        <w:rPr>
          <w:noProof/>
        </w:rPr>
      </w:pPr>
      <w:r w:rsidRPr="00F92333">
        <w:rPr>
          <w:rFonts w:ascii="Wingdings" w:hAnsi="Wingdings"/>
          <w:b/>
          <w:noProof/>
          <w:sz w:val="22"/>
        </w:rPr>
        <w:t></w:t>
      </w:r>
      <w:r w:rsidRPr="00F92333">
        <w:rPr>
          <w:rFonts w:ascii="Wingdings" w:hAnsi="Wingdings"/>
          <w:b/>
          <w:noProof/>
          <w:sz w:val="22"/>
        </w:rPr>
        <w:t></w:t>
      </w:r>
      <w:r w:rsidRPr="00F92333">
        <w:rPr>
          <w:b/>
          <w:noProof/>
        </w:rPr>
        <w:t>Časovno neomejeno:</w:t>
      </w:r>
    </w:p>
    <w:p w:rsidRPr="00F92333" w:rsidR="001E0305" w:rsidRDefault="001E0305">
      <w:pPr>
        <w:pStyle w:val="ListDash1"/>
        <w:rPr>
          <w:noProof/>
        </w:rPr>
      </w:pPr>
      <w:r w:rsidRPr="00F92333">
        <w:rPr>
          <w:noProof/>
        </w:rPr>
        <w:t>izvajanje z obdobjem uvajanja med letoma 2025 in LLLL,</w:t>
      </w:r>
    </w:p>
    <w:p w:rsidRPr="00F92333" w:rsidR="001E0305" w:rsidRDefault="76719EB3">
      <w:pPr>
        <w:pStyle w:val="ListDash1"/>
        <w:rPr>
          <w:noProof/>
        </w:rPr>
      </w:pPr>
      <w:r w:rsidRPr="00F92333">
        <w:rPr>
          <w:noProof/>
        </w:rPr>
        <w:t>ki mu sledi izvajanje v celoti.</w:t>
      </w:r>
    </w:p>
    <w:p w:rsidRPr="00F92333" w:rsidR="001E0305" w:rsidP="00530ECD" w:rsidRDefault="76719EB3">
      <w:pPr>
        <w:pStyle w:val="ManualHeading2"/>
        <w:rPr>
          <w:b w:val="0"/>
          <w:noProof/>
        </w:rPr>
      </w:pPr>
      <w:r w:rsidRPr="00F92333">
        <w:rPr>
          <w:noProof/>
        </w:rPr>
        <w:t>1.7</w:t>
      </w:r>
      <w:r w:rsidRPr="00F92333">
        <w:rPr>
          <w:noProof/>
        </w:rPr>
        <w:tab/>
        <w:t>Načrtovani načini izvrševanja proračuna</w:t>
      </w:r>
      <w:r w:rsidRPr="00F92333">
        <w:rPr>
          <w:noProof/>
        </w:rPr>
        <w:t xml:space="preserve"> </w:t>
      </w:r>
    </w:p>
    <w:p w:rsidRPr="00F92333" w:rsidR="001E0305" w:rsidRDefault="001E0305">
      <w:pPr>
        <w:pStyle w:val="Text1"/>
        <w:rPr>
          <w:noProof/>
        </w:rPr>
      </w:pPr>
      <w:r w:rsidRPr="00F92333">
        <w:rPr>
          <w:rFonts w:ascii="Wingdings" w:hAnsi="Wingdings"/>
          <w:noProof/>
        </w:rPr>
        <w:t></w:t>
      </w:r>
      <w:r w:rsidRPr="00F92333">
        <w:rPr>
          <w:i/>
          <w:noProof/>
        </w:rPr>
        <w:t xml:space="preserve"> </w:t>
      </w:r>
      <w:r w:rsidRPr="00F92333">
        <w:rPr>
          <w:b/>
          <w:noProof/>
        </w:rPr>
        <w:t>Neposredno upravljanje</w:t>
      </w:r>
      <w:r w:rsidRPr="00F92333">
        <w:rPr>
          <w:noProof/>
        </w:rPr>
        <w:t xml:space="preserve"> – Komisija:</w:t>
      </w:r>
    </w:p>
    <w:p w:rsidRPr="00F92333" w:rsidR="001E0305" w:rsidRDefault="001E0305">
      <w:pPr>
        <w:pStyle w:val="ListDash2"/>
        <w:rPr>
          <w:rFonts w:cs="EUAlbertina"/>
          <w:noProof/>
        </w:rPr>
      </w:pPr>
      <w:r w:rsidRPr="00F92333">
        <w:rPr>
          <w:rFonts w:ascii="Wingdings" w:hAnsi="Wingdings"/>
          <w:noProof/>
        </w:rPr>
        <w:t></w:t>
      </w:r>
      <w:r w:rsidRPr="00F92333">
        <w:rPr>
          <w:noProof/>
        </w:rPr>
        <w:t xml:space="preserve"> z lastnimi službami, vključno s svojim osebjem v delegacijah Unije </w:t>
      </w:r>
    </w:p>
    <w:p w:rsidRPr="00F92333" w:rsidR="001E0305" w:rsidRDefault="76719EB3">
      <w:pPr>
        <w:pStyle w:val="ListDash2"/>
        <w:rPr>
          <w:noProof/>
        </w:rPr>
      </w:pPr>
      <w:r w:rsidRPr="00F92333">
        <w:rPr>
          <w:rFonts w:ascii="Wingdings" w:hAnsi="Wingdings"/>
          <w:noProof/>
        </w:rPr>
        <w:t></w:t>
      </w:r>
      <w:r w:rsidRPr="00F92333">
        <w:rPr>
          <w:noProof/>
        </w:rPr>
        <w:t xml:space="preserve"> prek izvajalskih agencij </w:t>
      </w:r>
    </w:p>
    <w:p w:rsidRPr="00F92333" w:rsidR="001E0305" w:rsidRDefault="2664087F">
      <w:pPr>
        <w:pStyle w:val="Text1"/>
        <w:rPr>
          <w:noProof/>
        </w:rPr>
      </w:pPr>
      <w:r w:rsidRPr="00F92333">
        <w:rPr>
          <w:rFonts w:ascii="Wingdings" w:hAnsi="Wingdings"/>
          <w:noProof/>
        </w:rPr>
        <w:t></w:t>
      </w:r>
      <w:r w:rsidRPr="00F92333">
        <w:rPr>
          <w:b/>
          <w:i/>
          <w:noProof/>
        </w:rPr>
        <w:t xml:space="preserve"> </w:t>
      </w:r>
      <w:r w:rsidRPr="00F92333">
        <w:rPr>
          <w:b/>
          <w:noProof/>
        </w:rPr>
        <w:t>Deljeno upravljanje</w:t>
      </w:r>
      <w:r w:rsidRPr="00F92333">
        <w:rPr>
          <w:noProof/>
        </w:rPr>
        <w:t xml:space="preserve"> z državami članicami </w:t>
      </w:r>
    </w:p>
    <w:p w:rsidRPr="00F92333" w:rsidR="001E0305" w:rsidRDefault="001E0305">
      <w:pPr>
        <w:pStyle w:val="Text1"/>
        <w:rPr>
          <w:noProof/>
        </w:rPr>
      </w:pPr>
      <w:r w:rsidRPr="00F92333">
        <w:rPr>
          <w:rFonts w:ascii="Wingdings" w:hAnsi="Wingdings"/>
          <w:noProof/>
        </w:rPr>
        <w:t></w:t>
      </w:r>
      <w:r w:rsidRPr="00F92333">
        <w:rPr>
          <w:i/>
          <w:noProof/>
        </w:rPr>
        <w:t xml:space="preserve"> </w:t>
      </w:r>
      <w:r w:rsidRPr="00F92333">
        <w:rPr>
          <w:b/>
          <w:noProof/>
        </w:rPr>
        <w:t>Posredno upravljanje</w:t>
      </w:r>
      <w:r w:rsidRPr="00F92333">
        <w:rPr>
          <w:noProof/>
        </w:rPr>
        <w:t>, tako da se naloge izvrševanja proračuna poverijo:</w:t>
      </w:r>
    </w:p>
    <w:p w:rsidRPr="00F92333" w:rsidR="001E0305" w:rsidRDefault="001E0305">
      <w:pPr>
        <w:pStyle w:val="ListDash2"/>
        <w:rPr>
          <w:noProof/>
        </w:rPr>
      </w:pPr>
      <w:r w:rsidRPr="00F92333">
        <w:rPr>
          <w:rFonts w:ascii="Wingdings" w:hAnsi="Wingdings"/>
          <w:noProof/>
        </w:rPr>
        <w:t></w:t>
      </w:r>
      <w:r w:rsidRPr="00F92333">
        <w:rPr>
          <w:noProof/>
        </w:rPr>
        <w:t xml:space="preserve"> tretjim državam ali organom, ki jih te imenujejo</w:t>
      </w:r>
    </w:p>
    <w:p w:rsidRPr="00F92333" w:rsidR="001E0305" w:rsidRDefault="001E0305">
      <w:pPr>
        <w:pStyle w:val="ListDash2"/>
        <w:rPr>
          <w:noProof/>
        </w:rPr>
      </w:pPr>
      <w:r w:rsidRPr="00F92333">
        <w:rPr>
          <w:rFonts w:ascii="Wingdings" w:hAnsi="Wingdings"/>
          <w:noProof/>
        </w:rPr>
        <w:t></w:t>
      </w:r>
      <w:r w:rsidRPr="00F92333">
        <w:rPr>
          <w:noProof/>
        </w:rPr>
        <w:t xml:space="preserve"> mednarodnim organizacijam in njihovim agencijam (navedite)</w:t>
      </w:r>
    </w:p>
    <w:p w:rsidRPr="00F92333" w:rsidR="001E0305" w:rsidRDefault="001E0305">
      <w:pPr>
        <w:pStyle w:val="ListDash2"/>
        <w:rPr>
          <w:noProof/>
        </w:rPr>
      </w:pPr>
      <w:r w:rsidRPr="00F92333">
        <w:rPr>
          <w:rFonts w:ascii="Wingdings" w:hAnsi="Wingdings"/>
          <w:noProof/>
        </w:rPr>
        <w:t></w:t>
      </w:r>
      <w:r w:rsidRPr="00F92333">
        <w:rPr>
          <w:noProof/>
        </w:rPr>
        <w:t xml:space="preserve"> Evropski investicijski banki in Evropskemu investicijskemu skladu</w:t>
      </w:r>
    </w:p>
    <w:p w:rsidRPr="00F92333" w:rsidR="001E0305" w:rsidRDefault="001E0305">
      <w:pPr>
        <w:pStyle w:val="ListDash2"/>
        <w:rPr>
          <w:noProof/>
        </w:rPr>
      </w:pPr>
      <w:r w:rsidRPr="00F92333">
        <w:rPr>
          <w:rFonts w:ascii="Wingdings" w:hAnsi="Wingdings"/>
          <w:noProof/>
        </w:rPr>
        <w:t></w:t>
      </w:r>
      <w:r w:rsidRPr="00F92333">
        <w:rPr>
          <w:noProof/>
        </w:rPr>
        <w:t xml:space="preserve"> organom iz členov 70 in 71 finančne uredbe</w:t>
      </w:r>
    </w:p>
    <w:p w:rsidRPr="00F92333" w:rsidR="001E0305" w:rsidRDefault="001E0305">
      <w:pPr>
        <w:pStyle w:val="ListDash2"/>
        <w:rPr>
          <w:noProof/>
        </w:rPr>
      </w:pPr>
      <w:r w:rsidRPr="00F92333">
        <w:rPr>
          <w:rFonts w:ascii="Wingdings" w:hAnsi="Wingdings"/>
          <w:noProof/>
        </w:rPr>
        <w:t></w:t>
      </w:r>
      <w:r w:rsidRPr="00F92333">
        <w:rPr>
          <w:noProof/>
        </w:rPr>
        <w:t xml:space="preserve"> subjektom javnega prava</w:t>
      </w:r>
    </w:p>
    <w:p w:rsidRPr="00F92333" w:rsidR="001E0305" w:rsidRDefault="001E0305">
      <w:pPr>
        <w:pStyle w:val="ListDash2"/>
        <w:rPr>
          <w:noProof/>
        </w:rPr>
      </w:pPr>
      <w:r w:rsidRPr="00F92333">
        <w:rPr>
          <w:rFonts w:ascii="Wingdings" w:hAnsi="Wingdings"/>
          <w:noProof/>
        </w:rPr>
        <w:t></w:t>
      </w:r>
      <w:r w:rsidRPr="00F92333">
        <w:rPr>
          <w:noProof/>
        </w:rPr>
        <w:t xml:space="preserve"> subjektom zasebnega prava, ki opravljajo javne storitve, kolikor imajo ti subjekti ustrezna finančna jamstva</w:t>
      </w:r>
    </w:p>
    <w:p w:rsidRPr="00F92333" w:rsidR="001E0305" w:rsidRDefault="001E0305">
      <w:pPr>
        <w:pStyle w:val="ListDash2"/>
        <w:rPr>
          <w:noProof/>
        </w:rPr>
      </w:pPr>
      <w:r w:rsidRPr="00F92333">
        <w:rPr>
          <w:rFonts w:ascii="Wingdings" w:hAnsi="Wingdings"/>
          <w:noProof/>
        </w:rPr>
        <w:t></w:t>
      </w:r>
      <w:r w:rsidRPr="00F92333">
        <w:rPr>
          <w:noProof/>
        </w:rPr>
        <w:t xml:space="preserve"> subjektom zasebnega prava države članice, ki so pooblaščeni za izvajanje javno-zasebnih partnerstev in ki imajo ustrezna finančna jamstva</w:t>
      </w:r>
    </w:p>
    <w:p w:rsidRPr="00F92333" w:rsidR="001E0305" w:rsidRDefault="001E0305">
      <w:pPr>
        <w:pStyle w:val="ListDash2"/>
        <w:rPr>
          <w:noProof/>
        </w:rPr>
      </w:pPr>
      <w:r w:rsidRPr="00F92333">
        <w:rPr>
          <w:rFonts w:ascii="Wingdings" w:hAnsi="Wingdings"/>
          <w:noProof/>
        </w:rPr>
        <w:t></w:t>
      </w:r>
      <w:r w:rsidRPr="00F92333">
        <w:rPr>
          <w:noProof/>
        </w:rPr>
        <w:t xml:space="preserve"> organom ali osebam, pooblaščenim za izvajanje določenih ukrepov skupne zunanje in varnostne politike na podlagi naslova V Pogodbe o Evropski uniji ter opredeljenim v zadevnem temeljnem aktu</w:t>
      </w:r>
    </w:p>
    <w:p w:rsidRPr="00F92333" w:rsidR="001E0305" w:rsidRDefault="76719EB3">
      <w:pPr>
        <w:pStyle w:val="ListDash2"/>
        <w:rPr>
          <w:noProof/>
        </w:rPr>
      </w:pPr>
      <w:r w:rsidRPr="00F92333">
        <w:rPr>
          <w:rFonts w:ascii="Wingdings" w:hAnsi="Wingdings"/>
          <w:noProof/>
        </w:rPr>
        <w:t></w:t>
      </w:r>
      <w:r w:rsidRPr="00F92333">
        <w:rPr>
          <w:rFonts w:ascii="Wingdings" w:hAnsi="Wingdings"/>
          <w:noProof/>
        </w:rPr>
        <w:t></w:t>
      </w:r>
      <w:r w:rsidRPr="00F92333">
        <w:rPr>
          <w:noProof/>
        </w:rPr>
        <w:t xml:space="preserve"> subjektom s sedežem v državi članici, za katere velja zasebno pravo države članice ali pravo Unije in ki so upravičeni, da se jih v skladu s pravili za posamezni sektor pooblasti za izvrševanje sredstev Unije ali proračunskih jamstev, če so takšni subjekti pod nadzorom subjektov javnega prava ali subjektov zasebnega prava, ki opravljajo javne storitve, in imajo ustrezna finančna jamstva v obliki solidarne odgovornosti nadzornih teles ali enakovredna finančna jamstva, ki so lahko za vsak ukrep omejena na najvišji znesek podpore Unije</w:t>
      </w:r>
    </w:p>
    <w:p w:rsidRPr="00F92333" w:rsidR="001E0305" w:rsidRDefault="001E0305">
      <w:pPr>
        <w:rPr>
          <w:noProof/>
        </w:rPr>
      </w:pPr>
      <w:r w:rsidRPr="00F92333">
        <w:rPr>
          <w:noProof/>
        </w:rPr>
        <w:t xml:space="preserve">Opombe </w:t>
      </w:r>
    </w:p>
    <w:p w:rsidRPr="00F92333" w:rsidR="001E0305" w:rsidP="00530ECD" w:rsidRDefault="12BFEE4A">
      <w:pPr>
        <w:pBdr>
          <w:top w:val="single" w:color="auto" w:sz="4" w:space="1"/>
          <w:left w:val="single" w:color="auto" w:sz="4" w:space="4"/>
          <w:bottom w:val="single" w:color="auto" w:sz="4" w:space="1"/>
          <w:right w:val="single" w:color="auto" w:sz="4" w:space="4"/>
        </w:pBdr>
        <w:rPr>
          <w:noProof/>
        </w:rPr>
      </w:pPr>
      <w:r w:rsidRPr="00F92333">
        <w:rPr>
          <w:noProof/>
        </w:rPr>
        <w:t>n. r.</w:t>
      </w:r>
    </w:p>
    <w:p w:rsidRPr="00F92333" w:rsidR="001E0305" w:rsidRDefault="001E0305">
      <w:pPr>
        <w:rPr>
          <w:noProof/>
        </w:rPr>
        <w:sectPr w:rsidRPr="00F92333" w:rsidR="001E0305" w:rsidSect="009A340D">
          <w:footerReference w:type="default" r:id="R8dfa362493c04cc0"/>
          <w:footerReference w:type="even" r:id="R09050f5227ca4aaf"/>
          <w:footerReference w:type="first" r:id="R09b3977d2adc47b8"/>
          <w:headerReference w:type="default" r:id="Rab4da0fda7de4495"/>
          <w:headerReference w:type="even" r:id="R87b50a3bbd6d4dfd"/>
          <w:headerReference w:type="first" r:id="R3874d82ab15f416e"/>
          <w:pgSz w:w="11907" w:h="16840" w:code="9"/>
          <w:pgMar w:top="1134" w:right="1418" w:bottom="1134" w:left="1418" w:header="709" w:footer="709" w:gutter="0"/>
          <w:cols w:space="708"/>
          <w:docGrid w:linePitch="360"/>
        </w:sectPr>
      </w:pPr>
    </w:p>
    <w:p w:rsidRPr="00F92333" w:rsidR="001E0305" w:rsidRDefault="001E0305">
      <w:pPr>
        <w:pStyle w:val="ManualHeading1"/>
        <w:rPr>
          <w:bCs/>
          <w:noProof/>
          <w:szCs w:val="24"/>
        </w:rPr>
      </w:pPr>
      <w:r w:rsidRPr="00F92333">
        <w:rPr>
          <w:noProof/>
        </w:rPr>
        <w:t>2.</w:t>
      </w:r>
      <w:r w:rsidRPr="00F92333">
        <w:rPr>
          <w:noProof/>
        </w:rPr>
        <w:tab/>
        <w:t>UKREPI UPRAVLJANJA</w:t>
      </w:r>
      <w:r w:rsidRPr="00F92333">
        <w:rPr>
          <w:noProof/>
        </w:rPr>
        <w:t xml:space="preserve"> </w:t>
      </w:r>
    </w:p>
    <w:p w:rsidRPr="00F92333" w:rsidR="001E0305" w:rsidRDefault="001E0305">
      <w:pPr>
        <w:pStyle w:val="ManualHeading2"/>
        <w:rPr>
          <w:noProof/>
        </w:rPr>
      </w:pPr>
      <w:r w:rsidRPr="00F92333">
        <w:rPr>
          <w:noProof/>
        </w:rPr>
        <w:t>2.1</w:t>
      </w:r>
      <w:r w:rsidRPr="00F92333">
        <w:rPr>
          <w:noProof/>
        </w:rPr>
        <w:tab/>
        <w:t>Pravila o spremljanju in poročanju</w:t>
      </w:r>
      <w:r w:rsidRPr="00F92333">
        <w:rPr>
          <w:noProof/>
        </w:rPr>
        <w:t xml:space="preserve"> </w:t>
      </w:r>
    </w:p>
    <w:p w:rsidRPr="00F92333" w:rsidR="001E0305" w:rsidP="1CD92556" w:rsidRDefault="377DCE52">
      <w:pPr>
        <w:pStyle w:val="Text1"/>
        <w:pBdr>
          <w:top w:val="single" w:color="000000" w:sz="4" w:space="1"/>
          <w:left w:val="single" w:color="000000" w:sz="4" w:space="4"/>
          <w:bottom w:val="single" w:color="000000" w:sz="4" w:space="1"/>
          <w:right w:val="single" w:color="000000" w:sz="4" w:space="4"/>
        </w:pBdr>
        <w:rPr>
          <w:noProof/>
        </w:rPr>
      </w:pPr>
      <w:r w:rsidRPr="00F92333">
        <w:rPr>
          <w:noProof/>
        </w:rPr>
        <w:t>Ni relevantno, saj gre za preprosto neuporabo vseh carinskih dajatev (</w:t>
      </w:r>
      <w:r w:rsidRPr="00F92333">
        <w:rPr>
          <w:i/>
          <w:iCs/>
          <w:noProof/>
        </w:rPr>
        <w:t>erga omnes</w:t>
      </w:r>
      <w:r w:rsidRPr="00F92333">
        <w:rPr>
          <w:noProof/>
        </w:rPr>
        <w:t>) za določen obseg blaga.</w:t>
      </w:r>
    </w:p>
    <w:p w:rsidRPr="00F92333" w:rsidR="001E0305" w:rsidRDefault="001E0305">
      <w:pPr>
        <w:pStyle w:val="ManualHeading2"/>
        <w:rPr>
          <w:bCs/>
          <w:noProof/>
          <w:szCs w:val="24"/>
        </w:rPr>
      </w:pPr>
      <w:r w:rsidRPr="00F92333">
        <w:rPr>
          <w:noProof/>
        </w:rPr>
        <w:t>2.2</w:t>
      </w:r>
      <w:r w:rsidRPr="00F92333">
        <w:rPr>
          <w:noProof/>
        </w:rPr>
        <w:tab/>
        <w:t>Upravljavski in kontrolni sistemi</w:t>
      </w:r>
      <w:r w:rsidRPr="00F92333">
        <w:rPr>
          <w:noProof/>
        </w:rPr>
        <w:t xml:space="preserve"> </w:t>
      </w:r>
    </w:p>
    <w:p w:rsidRPr="00F92333" w:rsidR="001E0305" w:rsidRDefault="001E0305">
      <w:pPr>
        <w:pStyle w:val="ManualHeading3"/>
        <w:rPr>
          <w:noProof/>
        </w:rPr>
      </w:pPr>
      <w:r w:rsidRPr="00F92333">
        <w:rPr>
          <w:noProof/>
        </w:rPr>
        <w:t>2.2.1</w:t>
      </w:r>
      <w:r w:rsidRPr="00F92333">
        <w:rPr>
          <w:noProof/>
        </w:rPr>
        <w:tab/>
        <w:t>Utemeljitev načinov izvrševanja proračuna, mehanizmov financiranja, načinov plačevanja in predlagane strategije kontrol</w:t>
      </w:r>
    </w:p>
    <w:p w:rsidRPr="00F92333" w:rsidR="0000605E" w:rsidP="00530ECD" w:rsidRDefault="65212A20">
      <w:pPr>
        <w:pStyle w:val="Text1"/>
        <w:pBdr>
          <w:top w:val="single" w:color="auto" w:sz="4" w:space="1"/>
          <w:left w:val="single" w:color="auto" w:sz="4" w:space="4"/>
          <w:bottom w:val="single" w:color="auto" w:sz="4" w:space="1"/>
          <w:right w:val="single" w:color="auto" w:sz="4" w:space="4"/>
        </w:pBdr>
        <w:rPr>
          <w:noProof/>
        </w:rPr>
      </w:pPr>
      <w:r w:rsidRPr="00F92333">
        <w:rPr>
          <w:noProof/>
        </w:rPr>
        <w:t>Ni relevantno, saj gre za preprosto neuporabo vseh carinskih dajatev (</w:t>
      </w:r>
      <w:r w:rsidRPr="00F92333">
        <w:rPr>
          <w:i/>
          <w:iCs/>
          <w:noProof/>
        </w:rPr>
        <w:t>erga omnes</w:t>
      </w:r>
      <w:r w:rsidRPr="00F92333">
        <w:rPr>
          <w:noProof/>
        </w:rPr>
        <w:t>) za določen obseg blaga.</w:t>
      </w:r>
    </w:p>
    <w:p w:rsidRPr="00F92333" w:rsidR="001E0305" w:rsidRDefault="001E0305">
      <w:pPr>
        <w:pStyle w:val="ManualHeading3"/>
        <w:rPr>
          <w:bCs/>
          <w:noProof/>
          <w:szCs w:val="24"/>
        </w:rPr>
      </w:pPr>
      <w:r w:rsidRPr="00F92333">
        <w:rPr>
          <w:noProof/>
        </w:rPr>
        <w:t>2.2.2</w:t>
      </w:r>
      <w:r w:rsidRPr="00F92333">
        <w:rPr>
          <w:noProof/>
        </w:rPr>
        <w:tab/>
        <w:t>Podatki o ugotovljenih tveganjih in vzpostavljenih sistemih notranjih kontrol za njihovo zmanjševanje</w:t>
      </w:r>
    </w:p>
    <w:p w:rsidRPr="00F92333" w:rsidR="0000605E" w:rsidP="00530ECD" w:rsidRDefault="65212A20">
      <w:pPr>
        <w:pStyle w:val="Text1"/>
        <w:pBdr>
          <w:top w:val="single" w:color="auto" w:sz="4" w:space="1"/>
          <w:left w:val="single" w:color="auto" w:sz="4" w:space="4"/>
          <w:bottom w:val="single" w:color="auto" w:sz="4" w:space="1"/>
          <w:right w:val="single" w:color="auto" w:sz="4" w:space="4"/>
        </w:pBdr>
        <w:rPr>
          <w:noProof/>
        </w:rPr>
      </w:pPr>
      <w:r w:rsidRPr="00F92333">
        <w:rPr>
          <w:noProof/>
        </w:rPr>
        <w:t>Ni relevantno, saj gre za preprosto neuporabo vseh carinskih dajatev (</w:t>
      </w:r>
      <w:r w:rsidRPr="00F92333">
        <w:rPr>
          <w:i/>
          <w:iCs/>
          <w:noProof/>
        </w:rPr>
        <w:t>erga omnes</w:t>
      </w:r>
      <w:r w:rsidRPr="00F92333">
        <w:rPr>
          <w:noProof/>
        </w:rPr>
        <w:t>) za določen obseg blaga.</w:t>
      </w:r>
    </w:p>
    <w:p w:rsidRPr="00F92333" w:rsidR="001E0305" w:rsidRDefault="001E0305">
      <w:pPr>
        <w:pStyle w:val="ManualHeading3"/>
        <w:rPr>
          <w:noProof/>
        </w:rPr>
      </w:pPr>
      <w:r w:rsidRPr="00F92333">
        <w:rPr>
          <w:noProof/>
        </w:rPr>
        <w:t>2.2.3</w:t>
      </w:r>
      <w:r w:rsidRPr="00F92333">
        <w:rPr>
          <w:noProof/>
        </w:rPr>
        <w:tab/>
        <w:t>Ocena in utemeljitev stroškovne učinkovitosti kontrol (razmerje med stroški kontrol in vrednostjo z njimi povezanih upravljanih sredstev) ter ocena pričakovane stopnje tveganja napake (ob plačilu in ob zaključku)</w:t>
      </w:r>
      <w:r w:rsidRPr="00F92333">
        <w:rPr>
          <w:noProof/>
        </w:rPr>
        <w:t xml:space="preserve"> </w:t>
      </w:r>
    </w:p>
    <w:p w:rsidRPr="00F92333" w:rsidR="0000605E" w:rsidP="00530ECD" w:rsidRDefault="65212A20">
      <w:pPr>
        <w:pStyle w:val="Text1"/>
        <w:pBdr>
          <w:top w:val="single" w:color="auto" w:sz="4" w:space="1"/>
          <w:left w:val="single" w:color="auto" w:sz="4" w:space="4"/>
          <w:bottom w:val="single" w:color="auto" w:sz="4" w:space="1"/>
          <w:right w:val="single" w:color="auto" w:sz="4" w:space="4"/>
        </w:pBdr>
        <w:rPr>
          <w:noProof/>
        </w:rPr>
      </w:pPr>
      <w:r w:rsidRPr="00F92333">
        <w:rPr>
          <w:noProof/>
        </w:rPr>
        <w:t>Ni relevantno, saj gre za preprosto neuporabo vseh carinskih dajatev (</w:t>
      </w:r>
      <w:r w:rsidRPr="00F92333">
        <w:rPr>
          <w:i/>
          <w:iCs/>
          <w:noProof/>
        </w:rPr>
        <w:t>erga omnes</w:t>
      </w:r>
      <w:r w:rsidRPr="00F92333">
        <w:rPr>
          <w:noProof/>
        </w:rPr>
        <w:t>) za določen obseg blaga.</w:t>
      </w:r>
    </w:p>
    <w:p w:rsidRPr="00F92333" w:rsidR="001E0305" w:rsidP="00530ECD" w:rsidRDefault="76719EB3">
      <w:pPr>
        <w:pStyle w:val="ManualHeading2"/>
        <w:rPr>
          <w:noProof/>
        </w:rPr>
      </w:pPr>
      <w:r w:rsidRPr="00F92333">
        <w:rPr>
          <w:noProof/>
        </w:rPr>
        <w:t>2.3</w:t>
      </w:r>
      <w:r w:rsidRPr="00F92333">
        <w:rPr>
          <w:noProof/>
        </w:rPr>
        <w:tab/>
        <w:t>Ukrepi za preprečevanje goljufij in nepravilnosti</w:t>
      </w:r>
      <w:r w:rsidRPr="00F92333">
        <w:rPr>
          <w:noProof/>
        </w:rPr>
        <w:t xml:space="preserve"> </w:t>
      </w:r>
    </w:p>
    <w:p w:rsidRPr="00F92333" w:rsidR="03DA7126" w:rsidP="1CD92556" w:rsidRDefault="03DA7126">
      <w:pPr>
        <w:pStyle w:val="Text1"/>
        <w:pBdr>
          <w:top w:val="single" w:color="000000" w:sz="4" w:space="1"/>
          <w:left w:val="single" w:color="000000" w:sz="4" w:space="4"/>
          <w:bottom w:val="single" w:color="000000" w:sz="4" w:space="1"/>
          <w:right w:val="single" w:color="000000" w:sz="4" w:space="4"/>
        </w:pBdr>
        <w:rPr>
          <w:noProof/>
        </w:rPr>
      </w:pPr>
      <w:r w:rsidRPr="00F92333">
        <w:rPr>
          <w:noProof/>
        </w:rPr>
        <w:t>Ni relevantno, saj gre za preprosto neuporabo vseh carinskih dajatev (</w:t>
      </w:r>
      <w:r w:rsidRPr="00F92333">
        <w:rPr>
          <w:i/>
          <w:iCs/>
          <w:noProof/>
        </w:rPr>
        <w:t>erga omnes</w:t>
      </w:r>
      <w:r w:rsidRPr="00F92333">
        <w:rPr>
          <w:noProof/>
        </w:rPr>
        <w:t>) za določen obseg blaga.</w:t>
      </w:r>
    </w:p>
    <w:p w:rsidRPr="00F92333" w:rsidR="001E0305" w:rsidRDefault="001E0305">
      <w:pPr>
        <w:rPr>
          <w:noProof/>
        </w:rPr>
      </w:pPr>
    </w:p>
    <w:p w:rsidRPr="00F92333" w:rsidR="0000605E" w:rsidRDefault="0000605E">
      <w:pPr>
        <w:rPr>
          <w:noProof/>
        </w:rPr>
        <w:sectPr w:rsidRPr="00F92333" w:rsidR="0000605E" w:rsidSect="009A340D">
          <w:footerReference w:type="default" r:id="R5816bf06491d4b22"/>
          <w:footerReference w:type="even" r:id="Rb3cf95d41e9844ba"/>
          <w:footerReference w:type="first" r:id="R675997da8fcf4365"/>
          <w:headerReference w:type="default" r:id="R2d09a662f3c34176"/>
          <w:headerReference w:type="even" r:id="R832c71ace0b34fe4"/>
          <w:headerReference w:type="first" r:id="R4e8c9b0efcd2407a"/>
          <w:pgSz w:w="11907" w:h="16840" w:code="9"/>
          <w:pgMar w:top="1134" w:right="1418" w:bottom="1134" w:left="1418" w:header="709" w:footer="709" w:gutter="0"/>
          <w:cols w:space="708"/>
          <w:docGrid w:linePitch="360"/>
        </w:sectPr>
      </w:pPr>
    </w:p>
    <w:p w:rsidRPr="00F92333" w:rsidR="001E0305" w:rsidP="00530ECD" w:rsidRDefault="76719EB3">
      <w:pPr>
        <w:pStyle w:val="ManualHeading1"/>
        <w:rPr>
          <w:noProof/>
        </w:rPr>
      </w:pPr>
      <w:r w:rsidRPr="00F92333">
        <w:rPr>
          <w:noProof/>
        </w:rPr>
        <w:t>3.</w:t>
      </w:r>
      <w:r w:rsidRPr="00F92333">
        <w:rPr>
          <w:noProof/>
        </w:rPr>
        <w:tab/>
        <w:t>OCENA FINANČNIH POSLEDIC PREDLOGA/POBUDE</w:t>
      </w:r>
      <w:r w:rsidRPr="00F92333">
        <w:rPr>
          <w:noProof/>
        </w:rPr>
        <w:t xml:space="preserve"> </w:t>
      </w:r>
    </w:p>
    <w:p w:rsidRPr="00F92333" w:rsidR="00966E3A" w:rsidP="00966E3A" w:rsidRDefault="00966E3A">
      <w:pPr>
        <w:rPr>
          <w:noProof/>
        </w:rPr>
      </w:pPr>
    </w:p>
    <w:p w:rsidRPr="00F92333" w:rsidR="00B1044D" w:rsidP="00B1044D" w:rsidRDefault="00B1044D">
      <w:pPr>
        <w:pStyle w:val="ManualHeading2"/>
        <w:rPr>
          <w:noProof/>
        </w:rPr>
      </w:pPr>
      <w:bookmarkStart w:name="bookmark35" w:id="7"/>
      <w:r w:rsidRPr="00F92333">
        <w:rPr>
          <w:noProof/>
        </w:rPr>
        <w:t>3.1</w:t>
      </w:r>
      <w:r w:rsidRPr="00F92333">
        <w:rPr>
          <w:noProof/>
        </w:rPr>
        <w:tab/>
        <w:t>Naslov predloga</w:t>
      </w:r>
      <w:bookmarkEnd w:id="7"/>
    </w:p>
    <w:p w:rsidRPr="00F92333" w:rsidR="00966E3A" w:rsidP="00530ECD" w:rsidRDefault="5D07B2C9">
      <w:pPr>
        <w:widowControl w:val="0"/>
        <w:spacing w:before="0" w:after="360"/>
        <w:ind w:left="860"/>
        <w:rPr>
          <w:rFonts w:eastAsia="Times New Roman"/>
          <w:noProof/>
          <w:color w:val="000000"/>
        </w:rPr>
      </w:pPr>
      <w:r w:rsidRPr="00F92333">
        <w:rPr>
          <w:noProof/>
          <w:color w:val="000000" w:themeColor="text1"/>
        </w:rPr>
        <w:t xml:space="preserve">Predlog uredbe Evropskega parlamenta in Sveta o neuporabi carin za uvoz nekaterega blaga </w:t>
      </w:r>
    </w:p>
    <w:p w:rsidRPr="00F92333" w:rsidR="00B1044D" w:rsidP="00B1044D" w:rsidRDefault="00B1044D">
      <w:pPr>
        <w:pStyle w:val="ManualHeading2"/>
        <w:rPr>
          <w:noProof/>
        </w:rPr>
      </w:pPr>
      <w:bookmarkStart w:name="bookmark37" w:id="8"/>
      <w:bookmarkStart w:name="_Hlk179984138" w:id="9"/>
      <w:r w:rsidRPr="00F92333">
        <w:rPr>
          <w:noProof/>
        </w:rPr>
        <w:t>3.2</w:t>
      </w:r>
      <w:r w:rsidRPr="00F92333">
        <w:rPr>
          <w:noProof/>
        </w:rPr>
        <w:tab/>
        <w:t>Proračunske vrstice</w:t>
      </w:r>
      <w:bookmarkEnd w:id="8"/>
    </w:p>
    <w:p w:rsidRPr="00F92333" w:rsidR="00966E3A" w:rsidP="00966E3A" w:rsidRDefault="00966E3A">
      <w:pPr>
        <w:widowControl w:val="0"/>
        <w:spacing w:before="0" w:after="100"/>
        <w:ind w:firstLine="860"/>
        <w:jc w:val="left"/>
        <w:rPr>
          <w:rFonts w:eastAsia="Times New Roman"/>
          <w:noProof/>
          <w:color w:val="000000"/>
          <w:szCs w:val="24"/>
        </w:rPr>
      </w:pPr>
      <w:r w:rsidRPr="00F92333">
        <w:rPr>
          <w:noProof/>
          <w:color w:val="000000"/>
        </w:rPr>
        <w:t>Prihodkovna proračunska vrstica poglavje 1 2, člen 1 2 0.</w:t>
      </w:r>
    </w:p>
    <w:p w:rsidRPr="00F92333" w:rsidR="00966E3A" w:rsidP="00966E3A" w:rsidRDefault="00966E3A">
      <w:pPr>
        <w:widowControl w:val="0"/>
        <w:spacing w:before="0" w:after="100"/>
        <w:ind w:firstLine="860"/>
        <w:jc w:val="left"/>
        <w:rPr>
          <w:rFonts w:eastAsia="Times New Roman"/>
          <w:noProof/>
          <w:color w:val="000000"/>
          <w:szCs w:val="24"/>
        </w:rPr>
      </w:pPr>
      <w:r w:rsidRPr="00F92333">
        <w:rPr>
          <w:noProof/>
          <w:color w:val="000000"/>
        </w:rPr>
        <w:t>Znesek za zadevno leto, določen v proračunu: 21 082 004 566 EUR</w:t>
      </w:r>
    </w:p>
    <w:p w:rsidRPr="00F92333" w:rsidR="00966E3A" w:rsidP="00966E3A" w:rsidRDefault="00966E3A">
      <w:pPr>
        <w:widowControl w:val="0"/>
        <w:spacing w:before="0" w:after="100"/>
        <w:ind w:firstLine="860"/>
        <w:jc w:val="left"/>
        <w:rPr>
          <w:rFonts w:eastAsia="Times New Roman"/>
          <w:noProof/>
          <w:color w:val="000000"/>
          <w:szCs w:val="24"/>
        </w:rPr>
      </w:pPr>
      <w:r w:rsidRPr="00F92333">
        <w:rPr>
          <w:noProof/>
          <w:color w:val="000000"/>
        </w:rPr>
        <w:t>(samo v primeru namenskih prejemkov):</w:t>
      </w:r>
    </w:p>
    <w:p w:rsidRPr="00F92333" w:rsidR="00966E3A" w:rsidP="00966E3A" w:rsidRDefault="00966E3A">
      <w:pPr>
        <w:widowControl w:val="0"/>
        <w:spacing w:before="0" w:after="360"/>
        <w:ind w:left="860"/>
        <w:rPr>
          <w:rFonts w:eastAsia="Times New Roman"/>
          <w:noProof/>
          <w:color w:val="000000"/>
          <w:szCs w:val="24"/>
        </w:rPr>
      </w:pPr>
      <w:r w:rsidRPr="00F92333">
        <w:rPr>
          <w:noProof/>
          <w:color w:val="000000"/>
        </w:rPr>
        <w:t xml:space="preserve">Prihodki bodo dodeljeni naslednji odhodkovni vrstici (poglavje/člen/postavka): </w:t>
      </w:r>
      <w:r w:rsidR="009006A8">
        <w:rPr>
          <w:noProof/>
          <w:color w:val="000000"/>
        </w:rPr>
        <w:t>n</w:t>
      </w:r>
      <w:r w:rsidRPr="00F92333">
        <w:rPr>
          <w:noProof/>
          <w:color w:val="000000"/>
        </w:rPr>
        <w:t>i relevantno.</w:t>
      </w:r>
    </w:p>
    <w:p w:rsidRPr="00F92333" w:rsidR="00B1044D" w:rsidP="00B1044D" w:rsidRDefault="00B1044D">
      <w:pPr>
        <w:pStyle w:val="ManualHeading2"/>
        <w:rPr>
          <w:noProof/>
        </w:rPr>
      </w:pPr>
      <w:bookmarkStart w:name="bookmark39" w:id="10"/>
      <w:bookmarkEnd w:id="9"/>
      <w:r w:rsidRPr="00F92333">
        <w:rPr>
          <w:noProof/>
        </w:rPr>
        <w:t>3.3</w:t>
      </w:r>
      <w:r w:rsidRPr="00F92333">
        <w:rPr>
          <w:noProof/>
        </w:rPr>
        <w:tab/>
        <w:t>Finančne posledice</w:t>
      </w:r>
      <w:bookmarkEnd w:id="10"/>
    </w:p>
    <w:p w:rsidRPr="00F92333" w:rsidR="000476AF" w:rsidP="00B532A0" w:rsidRDefault="004644EC">
      <w:pPr>
        <w:pStyle w:val="Text1"/>
        <w:rPr>
          <w:noProof/>
        </w:rPr>
      </w:pPr>
      <w:r w:rsidRPr="00F92333">
        <w:rPr>
          <w:rFonts w:ascii="Wingdings" w:hAnsi="Wingdings"/>
          <w:noProof/>
        </w:rPr>
        <w:t></w:t>
      </w:r>
      <w:r w:rsidRPr="00F92333">
        <w:rPr>
          <w:rFonts w:ascii="Wingdings" w:hAnsi="Wingdings"/>
          <w:noProof/>
        </w:rPr>
        <w:tab/>
      </w:r>
      <w:r w:rsidRPr="00F92333">
        <w:rPr>
          <w:noProof/>
        </w:rPr>
        <w:t>Predlog nima finančnih posledic.</w:t>
      </w:r>
    </w:p>
    <w:p w:rsidRPr="00F92333" w:rsidR="00E60CD8" w:rsidP="00E60CD8" w:rsidRDefault="00E60CD8">
      <w:pPr>
        <w:pStyle w:val="Text1"/>
        <w:rPr>
          <w:b/>
          <w:bCs/>
          <w:noProof/>
        </w:rPr>
      </w:pPr>
      <w:r w:rsidRPr="00F92333">
        <w:rPr>
          <w:b/>
          <w:noProof/>
        </w:rPr>
        <w:sym w:font="Wingdings" w:char="F0FE"/>
      </w:r>
      <w:r w:rsidRPr="00F92333">
        <w:rPr>
          <w:b/>
          <w:noProof/>
        </w:rPr>
        <w:t xml:space="preserve"> </w:t>
      </w:r>
      <w:r w:rsidRPr="00F92333">
        <w:rPr>
          <w:noProof/>
        </w:rPr>
        <w:tab/>
      </w:r>
      <w:r w:rsidRPr="00F92333">
        <w:rPr>
          <w:b/>
          <w:noProof/>
        </w:rPr>
        <w:t>Predlog nima finančnih posledic za odhodke, ima pa finančne posledice za prihodke.</w:t>
      </w:r>
    </w:p>
    <w:p w:rsidRPr="00F92333" w:rsidR="000476AF" w:rsidP="00B532A0" w:rsidRDefault="004644EC">
      <w:pPr>
        <w:pStyle w:val="Text1"/>
        <w:rPr>
          <w:noProof/>
        </w:rPr>
      </w:pPr>
      <w:r w:rsidRPr="00F92333">
        <w:rPr>
          <w:rFonts w:ascii="Wingdings" w:hAnsi="Wingdings"/>
          <w:noProof/>
        </w:rPr>
        <w:t></w:t>
      </w:r>
      <w:r w:rsidRPr="00F92333">
        <w:rPr>
          <w:rFonts w:ascii="Wingdings" w:hAnsi="Wingdings"/>
          <w:noProof/>
        </w:rPr>
        <w:tab/>
      </w:r>
      <w:r w:rsidRPr="00F92333">
        <w:rPr>
          <w:noProof/>
        </w:rPr>
        <w:t>Predlog ima finančne posledice za namenske prejemke.</w:t>
      </w:r>
    </w:p>
    <w:p w:rsidRPr="00F92333" w:rsidR="000476AF" w:rsidP="000476AF" w:rsidRDefault="000476AF">
      <w:pPr>
        <w:widowControl w:val="0"/>
        <w:spacing w:before="0" w:after="100"/>
        <w:ind w:firstLine="860"/>
        <w:jc w:val="left"/>
        <w:rPr>
          <w:rFonts w:eastAsia="Times New Roman"/>
          <w:noProof/>
          <w:color w:val="000000"/>
          <w:szCs w:val="24"/>
        </w:rPr>
      </w:pPr>
      <w:r w:rsidRPr="00F92333">
        <w:rPr>
          <w:noProof/>
          <w:color w:val="000000"/>
        </w:rPr>
        <w:t>Njihov učinek je naslednji:</w:t>
      </w:r>
    </w:p>
    <w:p w:rsidRPr="00F92333" w:rsidR="000476AF" w:rsidP="000476AF" w:rsidRDefault="000476AF">
      <w:pPr>
        <w:widowControl w:val="0"/>
        <w:spacing w:before="0" w:after="0"/>
        <w:ind w:left="5150"/>
        <w:jc w:val="left"/>
        <w:rPr>
          <w:rFonts w:eastAsia="Times New Roman"/>
          <w:noProof/>
          <w:color w:val="000000"/>
          <w:szCs w:val="24"/>
        </w:rPr>
      </w:pPr>
      <w:r w:rsidRPr="00F92333">
        <w:rPr>
          <w:noProof/>
          <w:color w:val="000000"/>
        </w:rPr>
        <w:t>v mio. EUR (na eno decimalno mesto natančno)</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8"/>
        <w:gridCol w:w="1982"/>
        <w:gridCol w:w="2698"/>
        <w:gridCol w:w="1598"/>
      </w:tblGrid>
      <w:tr w:rsidRPr="00F92333" w:rsidR="000476AF" w:rsidTr="1CD92556">
        <w:trPr>
          <w:trHeight w:val="1085" w:hRule="exact"/>
          <w:jc w:val="center"/>
        </w:trPr>
        <w:tc>
          <w:tcPr>
            <w:tcW w:w="2078" w:type="dxa"/>
            <w:tcBorders>
              <w:top w:val="single" w:color="auto" w:sz="4" w:space="0"/>
              <w:left w:val="single" w:color="auto" w:sz="4" w:space="0"/>
            </w:tcBorders>
          </w:tcPr>
          <w:p w:rsidRPr="00F92333" w:rsidR="000476AF" w:rsidP="009339F5" w:rsidRDefault="000476AF">
            <w:pPr>
              <w:widowControl w:val="0"/>
              <w:spacing w:after="0"/>
              <w:jc w:val="left"/>
              <w:rPr>
                <w:rFonts w:eastAsia="Times New Roman"/>
                <w:noProof/>
                <w:color w:val="000000"/>
                <w:szCs w:val="24"/>
              </w:rPr>
            </w:pPr>
            <w:r w:rsidRPr="00F92333">
              <w:rPr>
                <w:noProof/>
                <w:color w:val="000000"/>
              </w:rPr>
              <w:t>Prihodkovna proračunska vrstica</w:t>
            </w:r>
          </w:p>
        </w:tc>
        <w:tc>
          <w:tcPr>
            <w:tcW w:w="1982" w:type="dxa"/>
            <w:tcBorders>
              <w:top w:val="single" w:color="auto" w:sz="4" w:space="0"/>
              <w:left w:val="single" w:color="auto" w:sz="4" w:space="0"/>
            </w:tcBorders>
          </w:tcPr>
          <w:p w:rsidRPr="00F92333" w:rsidR="000476AF" w:rsidP="009339F5" w:rsidRDefault="000476AF">
            <w:pPr>
              <w:widowControl w:val="0"/>
              <w:spacing w:after="0" w:line="170" w:lineRule="auto"/>
              <w:jc w:val="center"/>
              <w:rPr>
                <w:rFonts w:eastAsia="Times New Roman"/>
                <w:noProof/>
                <w:color w:val="000000"/>
                <w:sz w:val="16"/>
                <w:szCs w:val="16"/>
              </w:rPr>
            </w:pPr>
            <w:r w:rsidRPr="00F92333">
              <w:rPr>
                <w:noProof/>
                <w:color w:val="000000"/>
              </w:rPr>
              <w:t>Posledice za prihodke</w:t>
            </w:r>
            <w:r w:rsidRPr="00F92333" w:rsidR="00906264">
              <w:rPr>
                <w:rStyle w:val="FootnoteReference"/>
                <w:rFonts w:eastAsia="Times New Roman"/>
                <w:noProof/>
                <w:color w:val="000000"/>
                <w:lang w:eastAsia="hr-HR" w:bidi="hr-HR"/>
              </w:rPr>
              <w:footnoteReference w:id="13"/>
            </w:r>
            <w:r w:rsidRPr="00F92333">
              <w:rPr>
                <w:noProof/>
                <w:color w:val="000000"/>
              </w:rPr>
              <w:t xml:space="preserve">, </w:t>
            </w:r>
          </w:p>
        </w:tc>
        <w:tc>
          <w:tcPr>
            <w:tcW w:w="2698" w:type="dxa"/>
            <w:tcBorders>
              <w:top w:val="single" w:color="auto" w:sz="4" w:space="0"/>
              <w:left w:val="single" w:color="auto" w:sz="4" w:space="0"/>
            </w:tcBorders>
            <w:vAlign w:val="center"/>
          </w:tcPr>
          <w:p w:rsidRPr="00F92333" w:rsidR="000476AF" w:rsidP="009339F5" w:rsidRDefault="000476AF">
            <w:pPr>
              <w:widowControl w:val="0"/>
              <w:spacing w:before="0" w:after="0"/>
              <w:jc w:val="center"/>
              <w:rPr>
                <w:rFonts w:eastAsia="Times New Roman"/>
                <w:noProof/>
                <w:color w:val="000000"/>
                <w:szCs w:val="24"/>
              </w:rPr>
            </w:pPr>
            <w:r w:rsidRPr="00F92333">
              <w:rPr>
                <w:noProof/>
                <w:color w:val="000000"/>
              </w:rPr>
              <w:t>XX mesecev od d. mmmmm yyyy (po potrebi)</w:t>
            </w:r>
          </w:p>
        </w:tc>
        <w:tc>
          <w:tcPr>
            <w:tcW w:w="1598" w:type="dxa"/>
            <w:tcBorders>
              <w:top w:val="single" w:color="auto" w:sz="4" w:space="0"/>
              <w:left w:val="single" w:color="auto" w:sz="4" w:space="0"/>
              <w:right w:val="single" w:color="auto" w:sz="4" w:space="0"/>
            </w:tcBorders>
          </w:tcPr>
          <w:p w:rsidRPr="00F92333" w:rsidR="000476AF" w:rsidP="009339F5" w:rsidRDefault="000476AF">
            <w:pPr>
              <w:widowControl w:val="0"/>
              <w:spacing w:after="0"/>
              <w:jc w:val="center"/>
              <w:rPr>
                <w:rFonts w:eastAsia="Times New Roman"/>
                <w:noProof/>
                <w:color w:val="000000"/>
                <w:szCs w:val="24"/>
              </w:rPr>
            </w:pPr>
            <w:r w:rsidRPr="00F92333">
              <w:rPr>
                <w:noProof/>
                <w:color w:val="000000"/>
              </w:rPr>
              <w:t>Leto N</w:t>
            </w:r>
          </w:p>
        </w:tc>
      </w:tr>
      <w:tr w:rsidRPr="00F92333" w:rsidR="000476AF" w:rsidTr="1CD92556">
        <w:trPr>
          <w:trHeight w:val="2467" w:hRule="exact"/>
          <w:jc w:val="center"/>
        </w:trPr>
        <w:tc>
          <w:tcPr>
            <w:tcW w:w="2078" w:type="dxa"/>
            <w:tcBorders>
              <w:top w:val="single" w:color="auto" w:sz="4" w:space="0"/>
              <w:left w:val="single" w:color="auto" w:sz="4" w:space="0"/>
              <w:bottom w:val="single" w:color="auto" w:sz="4" w:space="0"/>
            </w:tcBorders>
            <w:vAlign w:val="center"/>
          </w:tcPr>
          <w:p w:rsidRPr="00F92333" w:rsidR="000476AF" w:rsidP="009339F5" w:rsidRDefault="000476AF">
            <w:pPr>
              <w:widowControl w:val="0"/>
              <w:spacing w:before="0" w:after="0"/>
              <w:jc w:val="left"/>
              <w:rPr>
                <w:rFonts w:eastAsia="Times New Roman"/>
                <w:noProof/>
                <w:color w:val="000000"/>
                <w:szCs w:val="24"/>
              </w:rPr>
            </w:pPr>
            <w:r w:rsidRPr="00F92333">
              <w:rPr>
                <w:noProof/>
                <w:color w:val="000000"/>
              </w:rPr>
              <w:t>Poglavje 12, člen 120 – Carine in druge dajatve iz točke (a) člena 2(1) Sklepa 2014/335/EU, Euratom</w:t>
            </w:r>
          </w:p>
        </w:tc>
        <w:tc>
          <w:tcPr>
            <w:tcW w:w="1982" w:type="dxa"/>
            <w:tcBorders>
              <w:top w:val="single" w:color="auto" w:sz="4" w:space="0"/>
              <w:left w:val="single" w:color="auto" w:sz="4" w:space="0"/>
              <w:bottom w:val="single" w:color="auto" w:sz="4" w:space="0"/>
            </w:tcBorders>
          </w:tcPr>
          <w:p w:rsidRPr="00F92333" w:rsidR="000476AF" w:rsidP="009339F5" w:rsidRDefault="000476AF">
            <w:pPr>
              <w:widowControl w:val="0"/>
              <w:spacing w:before="0" w:after="0"/>
              <w:jc w:val="center"/>
              <w:rPr>
                <w:rFonts w:eastAsia="Times New Roman"/>
                <w:noProof/>
                <w:color w:val="000000"/>
                <w:szCs w:val="24"/>
              </w:rPr>
            </w:pPr>
            <w:r w:rsidRPr="00F92333">
              <w:rPr>
                <w:noProof/>
                <w:color w:val="000000"/>
              </w:rPr>
              <w:t>–2,5</w:t>
            </w:r>
          </w:p>
          <w:p w:rsidRPr="00F92333" w:rsidR="000476AF" w:rsidP="009339F5" w:rsidRDefault="000476AF">
            <w:pPr>
              <w:widowControl w:val="0"/>
              <w:spacing w:before="0" w:after="0"/>
              <w:jc w:val="center"/>
              <w:rPr>
                <w:rFonts w:eastAsia="Times New Roman"/>
                <w:noProof/>
                <w:color w:val="000000"/>
                <w:szCs w:val="24"/>
                <w:lang w:eastAsia="hr-HR" w:bidi="hr-HR"/>
              </w:rPr>
            </w:pPr>
          </w:p>
        </w:tc>
        <w:tc>
          <w:tcPr>
            <w:tcW w:w="2698" w:type="dxa"/>
            <w:tcBorders>
              <w:top w:val="single" w:color="auto" w:sz="4" w:space="0"/>
              <w:left w:val="single" w:color="auto" w:sz="4" w:space="0"/>
              <w:bottom w:val="single" w:color="auto" w:sz="4" w:space="0"/>
            </w:tcBorders>
          </w:tcPr>
          <w:p w:rsidRPr="00F92333" w:rsidR="000476AF" w:rsidP="009339F5" w:rsidRDefault="000476AF">
            <w:pPr>
              <w:widowControl w:val="0"/>
              <w:spacing w:before="0" w:after="0"/>
              <w:jc w:val="left"/>
              <w:rPr>
                <w:rFonts w:eastAsia="Times New Roman"/>
                <w:noProof/>
                <w:color w:val="000000"/>
                <w:szCs w:val="24"/>
              </w:rPr>
            </w:pPr>
            <w:r w:rsidRPr="00F92333">
              <w:rPr>
                <w:noProof/>
                <w:color w:val="000000"/>
              </w:rPr>
              <w:t>5-mesečno obdobje z začetkom 1.8.2025</w:t>
            </w:r>
          </w:p>
        </w:tc>
        <w:tc>
          <w:tcPr>
            <w:tcW w:w="1598" w:type="dxa"/>
            <w:tcBorders>
              <w:top w:val="single" w:color="auto" w:sz="4" w:space="0"/>
              <w:left w:val="single" w:color="auto" w:sz="4" w:space="0"/>
              <w:bottom w:val="single" w:color="auto" w:sz="4" w:space="0"/>
              <w:right w:val="single" w:color="auto" w:sz="4" w:space="0"/>
            </w:tcBorders>
          </w:tcPr>
          <w:p w:rsidRPr="00F92333" w:rsidR="000476AF" w:rsidP="009339F5" w:rsidRDefault="000476AF">
            <w:pPr>
              <w:widowControl w:val="0"/>
              <w:spacing w:before="0" w:after="0"/>
              <w:jc w:val="center"/>
              <w:rPr>
                <w:rFonts w:eastAsia="Times New Roman"/>
                <w:noProof/>
                <w:color w:val="000000"/>
                <w:szCs w:val="24"/>
              </w:rPr>
            </w:pPr>
            <w:r w:rsidRPr="00F92333">
              <w:rPr>
                <w:noProof/>
                <w:color w:val="000000"/>
              </w:rPr>
              <w:t>2025</w:t>
            </w:r>
          </w:p>
        </w:tc>
      </w:tr>
    </w:tbl>
    <w:p w:rsidRPr="00F92333" w:rsidR="000476AF" w:rsidP="000476AF" w:rsidRDefault="000476AF">
      <w:pPr>
        <w:widowControl w:val="0"/>
        <w:spacing w:before="0" w:after="499" w:line="1" w:lineRule="exact"/>
        <w:jc w:val="left"/>
        <w:rPr>
          <w:rFonts w:eastAsia="Times New Roman"/>
          <w:noProof/>
          <w:color w:val="000000"/>
          <w:szCs w:val="24"/>
          <w:lang w:eastAsia="hr-HR" w:bidi="hr-HR"/>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78"/>
        <w:gridCol w:w="1277"/>
        <w:gridCol w:w="1272"/>
        <w:gridCol w:w="1277"/>
        <w:gridCol w:w="1277"/>
        <w:gridCol w:w="1176"/>
      </w:tblGrid>
      <w:tr w:rsidRPr="00F92333" w:rsidR="000476AF" w:rsidTr="68243518">
        <w:trPr>
          <w:trHeight w:val="528" w:hRule="exact"/>
          <w:jc w:val="center"/>
        </w:trPr>
        <w:tc>
          <w:tcPr>
            <w:tcW w:w="8357" w:type="dxa"/>
            <w:gridSpan w:val="6"/>
            <w:tcBorders>
              <w:top w:val="single" w:color="auto" w:sz="4" w:space="0"/>
              <w:left w:val="single" w:color="auto" w:sz="4" w:space="0"/>
              <w:right w:val="single" w:color="auto" w:sz="4" w:space="0"/>
            </w:tcBorders>
            <w:vAlign w:val="center"/>
          </w:tcPr>
          <w:p w:rsidRPr="00F92333" w:rsidR="000476AF" w:rsidP="009339F5" w:rsidRDefault="000476AF">
            <w:pPr>
              <w:widowControl w:val="0"/>
              <w:spacing w:before="0" w:after="0"/>
              <w:jc w:val="center"/>
              <w:rPr>
                <w:rFonts w:eastAsia="Times New Roman"/>
                <w:noProof/>
                <w:color w:val="000000"/>
                <w:szCs w:val="24"/>
              </w:rPr>
            </w:pPr>
            <w:r w:rsidRPr="00F92333">
              <w:rPr>
                <w:noProof/>
                <w:color w:val="000000"/>
              </w:rPr>
              <w:t xml:space="preserve">Stanje po ukrepu  </w:t>
            </w:r>
          </w:p>
        </w:tc>
      </w:tr>
      <w:tr w:rsidRPr="00F92333" w:rsidR="000476AF" w:rsidTr="68243518">
        <w:trPr>
          <w:trHeight w:val="538" w:hRule="exact"/>
          <w:jc w:val="center"/>
        </w:trPr>
        <w:tc>
          <w:tcPr>
            <w:tcW w:w="2078" w:type="dxa"/>
            <w:tcBorders>
              <w:top w:val="single" w:color="auto" w:sz="4" w:space="0"/>
              <w:left w:val="single" w:color="auto" w:sz="4" w:space="0"/>
              <w:bottom w:val="single" w:color="auto" w:sz="4" w:space="0"/>
            </w:tcBorders>
            <w:vAlign w:val="center"/>
          </w:tcPr>
          <w:p w:rsidRPr="00F92333" w:rsidR="000476AF" w:rsidP="009339F5" w:rsidRDefault="000476AF">
            <w:pPr>
              <w:widowControl w:val="0"/>
              <w:spacing w:before="0" w:after="0"/>
              <w:jc w:val="center"/>
              <w:rPr>
                <w:rFonts w:eastAsia="Times New Roman"/>
                <w:noProof/>
                <w:color w:val="000000"/>
                <w:szCs w:val="24"/>
              </w:rPr>
            </w:pPr>
            <w:r w:rsidRPr="00F92333">
              <w:rPr>
                <w:noProof/>
                <w:color w:val="000000"/>
              </w:rPr>
              <w:t>Prihodkovna proračunska vrstica</w:t>
            </w:r>
          </w:p>
        </w:tc>
        <w:tc>
          <w:tcPr>
            <w:tcW w:w="1277" w:type="dxa"/>
            <w:tcBorders>
              <w:top w:val="single" w:color="auto" w:sz="4" w:space="0"/>
              <w:left w:val="single" w:color="auto" w:sz="4" w:space="0"/>
              <w:bottom w:val="single" w:color="auto" w:sz="4" w:space="0"/>
            </w:tcBorders>
            <w:vAlign w:val="center"/>
          </w:tcPr>
          <w:p w:rsidRPr="00F92333" w:rsidR="000476AF" w:rsidP="009339F5" w:rsidRDefault="000476AF">
            <w:pPr>
              <w:widowControl w:val="0"/>
              <w:spacing w:before="0" w:after="0"/>
              <w:jc w:val="center"/>
              <w:rPr>
                <w:rFonts w:eastAsia="Times New Roman"/>
                <w:noProof/>
                <w:color w:val="000000"/>
                <w:szCs w:val="24"/>
              </w:rPr>
            </w:pPr>
            <w:r w:rsidRPr="00F92333">
              <w:rPr>
                <w:noProof/>
                <w:color w:val="000000"/>
              </w:rPr>
              <w:t>2026</w:t>
            </w:r>
          </w:p>
        </w:tc>
        <w:tc>
          <w:tcPr>
            <w:tcW w:w="1272" w:type="dxa"/>
            <w:tcBorders>
              <w:top w:val="single" w:color="auto" w:sz="4" w:space="0"/>
              <w:left w:val="single" w:color="auto" w:sz="4" w:space="0"/>
              <w:bottom w:val="single" w:color="auto" w:sz="4" w:space="0"/>
            </w:tcBorders>
            <w:vAlign w:val="center"/>
          </w:tcPr>
          <w:p w:rsidRPr="00F92333" w:rsidR="000476AF" w:rsidP="009339F5" w:rsidRDefault="000476AF">
            <w:pPr>
              <w:widowControl w:val="0"/>
              <w:spacing w:before="0" w:after="0"/>
              <w:jc w:val="center"/>
              <w:rPr>
                <w:rFonts w:eastAsia="Times New Roman"/>
                <w:noProof/>
                <w:color w:val="000000"/>
                <w:szCs w:val="24"/>
              </w:rPr>
            </w:pPr>
            <w:r w:rsidRPr="00F92333">
              <w:rPr>
                <w:noProof/>
                <w:color w:val="000000"/>
              </w:rPr>
              <w:t>2027</w:t>
            </w:r>
          </w:p>
        </w:tc>
        <w:tc>
          <w:tcPr>
            <w:tcW w:w="1277" w:type="dxa"/>
            <w:tcBorders>
              <w:top w:val="single" w:color="auto" w:sz="4" w:space="0"/>
              <w:left w:val="single" w:color="auto" w:sz="4" w:space="0"/>
              <w:bottom w:val="single" w:color="auto" w:sz="4" w:space="0"/>
            </w:tcBorders>
            <w:vAlign w:val="center"/>
          </w:tcPr>
          <w:p w:rsidRPr="00F92333" w:rsidR="000476AF" w:rsidP="009339F5" w:rsidRDefault="000476AF">
            <w:pPr>
              <w:widowControl w:val="0"/>
              <w:spacing w:before="0" w:after="0"/>
              <w:jc w:val="center"/>
              <w:rPr>
                <w:rFonts w:eastAsia="Times New Roman"/>
                <w:noProof/>
                <w:color w:val="000000"/>
                <w:szCs w:val="24"/>
              </w:rPr>
            </w:pPr>
            <w:r w:rsidRPr="00F92333">
              <w:rPr>
                <w:noProof/>
                <w:color w:val="000000"/>
              </w:rPr>
              <w:t>2028</w:t>
            </w:r>
          </w:p>
        </w:tc>
        <w:tc>
          <w:tcPr>
            <w:tcW w:w="1277" w:type="dxa"/>
            <w:tcBorders>
              <w:top w:val="single" w:color="auto" w:sz="4" w:space="0"/>
              <w:left w:val="single" w:color="auto" w:sz="4" w:space="0"/>
              <w:bottom w:val="single" w:color="auto" w:sz="4" w:space="0"/>
            </w:tcBorders>
            <w:vAlign w:val="center"/>
          </w:tcPr>
          <w:p w:rsidRPr="00F92333" w:rsidR="000476AF" w:rsidP="009339F5" w:rsidRDefault="000476AF">
            <w:pPr>
              <w:widowControl w:val="0"/>
              <w:spacing w:before="0" w:after="0"/>
              <w:jc w:val="center"/>
              <w:rPr>
                <w:rFonts w:eastAsia="Times New Roman"/>
                <w:noProof/>
                <w:color w:val="000000"/>
                <w:szCs w:val="24"/>
              </w:rPr>
            </w:pPr>
            <w:r w:rsidRPr="00F92333">
              <w:rPr>
                <w:noProof/>
                <w:color w:val="000000"/>
              </w:rPr>
              <w:t>2029</w:t>
            </w:r>
          </w:p>
        </w:tc>
        <w:tc>
          <w:tcPr>
            <w:tcW w:w="1176" w:type="dxa"/>
            <w:tcBorders>
              <w:top w:val="single" w:color="auto" w:sz="4" w:space="0"/>
              <w:left w:val="single" w:color="auto" w:sz="4" w:space="0"/>
              <w:bottom w:val="single" w:color="auto" w:sz="4" w:space="0"/>
              <w:right w:val="single" w:color="auto" w:sz="4" w:space="0"/>
            </w:tcBorders>
            <w:vAlign w:val="center"/>
          </w:tcPr>
          <w:p w:rsidRPr="00F92333" w:rsidR="000476AF" w:rsidP="009339F5" w:rsidRDefault="000476AF">
            <w:pPr>
              <w:widowControl w:val="0"/>
              <w:spacing w:before="0" w:after="0"/>
              <w:jc w:val="center"/>
              <w:rPr>
                <w:rFonts w:eastAsia="Times New Roman"/>
                <w:noProof/>
                <w:color w:val="000000"/>
                <w:szCs w:val="24"/>
              </w:rPr>
            </w:pPr>
            <w:r w:rsidRPr="00F92333">
              <w:rPr>
                <w:noProof/>
                <w:color w:val="000000"/>
              </w:rPr>
              <w:t>2030</w:t>
            </w:r>
          </w:p>
        </w:tc>
      </w:tr>
      <w:tr w:rsidRPr="00F92333" w:rsidR="000476AF" w:rsidTr="68243518">
        <w:trPr>
          <w:trHeight w:val="816" w:hRule="exact"/>
          <w:jc w:val="center"/>
        </w:trPr>
        <w:tc>
          <w:tcPr>
            <w:tcW w:w="2078" w:type="dxa"/>
            <w:tcBorders>
              <w:top w:val="single" w:color="auto" w:sz="4" w:space="0"/>
              <w:left w:val="single" w:color="auto" w:sz="4" w:space="0"/>
              <w:bottom w:val="single" w:color="auto" w:sz="4" w:space="0"/>
            </w:tcBorders>
            <w:vAlign w:val="center"/>
          </w:tcPr>
          <w:p w:rsidRPr="00F92333" w:rsidR="000476AF" w:rsidP="009339F5" w:rsidRDefault="000476AF">
            <w:pPr>
              <w:widowControl w:val="0"/>
              <w:spacing w:before="0" w:after="0"/>
              <w:jc w:val="left"/>
              <w:rPr>
                <w:rFonts w:eastAsia="Times New Roman"/>
                <w:noProof/>
                <w:color w:val="000000"/>
                <w:szCs w:val="24"/>
              </w:rPr>
            </w:pPr>
            <w:r w:rsidRPr="00F92333">
              <w:rPr>
                <w:noProof/>
              </w:rPr>
              <w:br w:type="page"/>
            </w:r>
            <w:r w:rsidRPr="00F92333">
              <w:rPr>
                <w:noProof/>
                <w:color w:val="000000"/>
              </w:rPr>
              <w:t>Poglavje 12, člen 120</w:t>
            </w:r>
          </w:p>
        </w:tc>
        <w:tc>
          <w:tcPr>
            <w:tcW w:w="1277" w:type="dxa"/>
            <w:tcBorders>
              <w:top w:val="single" w:color="auto" w:sz="4" w:space="0"/>
              <w:left w:val="single" w:color="auto" w:sz="4" w:space="0"/>
              <w:bottom w:val="single" w:color="auto" w:sz="4" w:space="0"/>
            </w:tcBorders>
          </w:tcPr>
          <w:p w:rsidRPr="00F92333" w:rsidR="000476AF" w:rsidP="68243518" w:rsidRDefault="000476AF">
            <w:pPr>
              <w:widowControl w:val="0"/>
              <w:spacing w:before="0" w:after="0"/>
              <w:jc w:val="center"/>
              <w:rPr>
                <w:rFonts w:eastAsia="Times New Roman"/>
                <w:noProof/>
                <w:color w:val="000000"/>
              </w:rPr>
            </w:pPr>
            <w:r w:rsidRPr="00F92333">
              <w:rPr>
                <w:noProof/>
                <w:color w:val="000000" w:themeColor="text1"/>
              </w:rPr>
              <w:t>–7,5 milijona EUR</w:t>
            </w:r>
          </w:p>
        </w:tc>
        <w:tc>
          <w:tcPr>
            <w:tcW w:w="1272" w:type="dxa"/>
            <w:tcBorders>
              <w:top w:val="single" w:color="auto" w:sz="4" w:space="0"/>
              <w:left w:val="single" w:color="auto" w:sz="4" w:space="0"/>
              <w:bottom w:val="single" w:color="auto" w:sz="4" w:space="0"/>
            </w:tcBorders>
          </w:tcPr>
          <w:p w:rsidRPr="00F92333" w:rsidR="000476AF" w:rsidP="68243518" w:rsidRDefault="000476AF">
            <w:pPr>
              <w:widowControl w:val="0"/>
              <w:spacing w:before="0" w:after="0"/>
              <w:jc w:val="center"/>
              <w:rPr>
                <w:rFonts w:eastAsia="Times New Roman"/>
                <w:noProof/>
                <w:color w:val="000000"/>
              </w:rPr>
            </w:pPr>
            <w:r w:rsidRPr="00F92333">
              <w:rPr>
                <w:noProof/>
                <w:color w:val="000000" w:themeColor="text1"/>
              </w:rPr>
              <w:t>–7,5 milijona EUR</w:t>
            </w:r>
          </w:p>
        </w:tc>
        <w:tc>
          <w:tcPr>
            <w:tcW w:w="1277" w:type="dxa"/>
            <w:tcBorders>
              <w:top w:val="single" w:color="auto" w:sz="4" w:space="0"/>
              <w:left w:val="single" w:color="auto" w:sz="4" w:space="0"/>
              <w:bottom w:val="single" w:color="auto" w:sz="4" w:space="0"/>
            </w:tcBorders>
          </w:tcPr>
          <w:p w:rsidRPr="00F92333" w:rsidR="000476AF" w:rsidP="68243518" w:rsidRDefault="000476AF">
            <w:pPr>
              <w:widowControl w:val="0"/>
              <w:spacing w:before="0" w:after="0"/>
              <w:jc w:val="center"/>
              <w:rPr>
                <w:rFonts w:eastAsia="Times New Roman"/>
                <w:noProof/>
                <w:color w:val="000000"/>
              </w:rPr>
            </w:pPr>
            <w:r w:rsidRPr="00F92333">
              <w:rPr>
                <w:noProof/>
                <w:color w:val="000000" w:themeColor="text1"/>
              </w:rPr>
              <w:t>–7,5 milijona EUR</w:t>
            </w:r>
          </w:p>
        </w:tc>
        <w:tc>
          <w:tcPr>
            <w:tcW w:w="1277" w:type="dxa"/>
            <w:tcBorders>
              <w:top w:val="single" w:color="auto" w:sz="4" w:space="0"/>
              <w:left w:val="single" w:color="auto" w:sz="4" w:space="0"/>
              <w:bottom w:val="single" w:color="auto" w:sz="4" w:space="0"/>
            </w:tcBorders>
          </w:tcPr>
          <w:p w:rsidRPr="00F92333" w:rsidR="000476AF" w:rsidP="68243518" w:rsidRDefault="000476AF">
            <w:pPr>
              <w:widowControl w:val="0"/>
              <w:spacing w:before="0" w:after="0"/>
              <w:jc w:val="center"/>
              <w:rPr>
                <w:rFonts w:eastAsia="Times New Roman"/>
                <w:noProof/>
                <w:color w:val="000000"/>
              </w:rPr>
            </w:pPr>
            <w:r w:rsidRPr="00F92333">
              <w:rPr>
                <w:noProof/>
                <w:color w:val="000000" w:themeColor="text1"/>
              </w:rPr>
              <w:t>–7,5 milijona EUR</w:t>
            </w:r>
          </w:p>
        </w:tc>
        <w:tc>
          <w:tcPr>
            <w:tcW w:w="1176" w:type="dxa"/>
            <w:tcBorders>
              <w:top w:val="single" w:color="auto" w:sz="4" w:space="0"/>
              <w:left w:val="single" w:color="auto" w:sz="4" w:space="0"/>
              <w:bottom w:val="single" w:color="auto" w:sz="4" w:space="0"/>
              <w:right w:val="single" w:color="auto" w:sz="4" w:space="0"/>
            </w:tcBorders>
          </w:tcPr>
          <w:p w:rsidRPr="00F92333" w:rsidR="000476AF" w:rsidP="68243518" w:rsidRDefault="000476AF">
            <w:pPr>
              <w:widowControl w:val="0"/>
              <w:spacing w:before="0" w:after="0"/>
              <w:jc w:val="center"/>
              <w:rPr>
                <w:rFonts w:eastAsia="Times New Roman"/>
                <w:noProof/>
                <w:color w:val="000000"/>
              </w:rPr>
            </w:pPr>
            <w:r w:rsidRPr="00F92333">
              <w:rPr>
                <w:noProof/>
                <w:color w:val="000000" w:themeColor="text1"/>
              </w:rPr>
              <w:t>–5 milijona EUR</w:t>
            </w:r>
          </w:p>
        </w:tc>
      </w:tr>
    </w:tbl>
    <w:p w:rsidRPr="00F92333" w:rsidR="000476AF" w:rsidP="000476AF" w:rsidRDefault="000476AF">
      <w:pPr>
        <w:widowControl w:val="0"/>
        <w:spacing w:before="0" w:after="499" w:line="1" w:lineRule="exact"/>
        <w:jc w:val="left"/>
        <w:rPr>
          <w:rFonts w:eastAsia="Times New Roman"/>
          <w:noProof/>
          <w:color w:val="000000"/>
          <w:szCs w:val="24"/>
          <w:lang w:eastAsia="hr-HR" w:bidi="hr-HR"/>
        </w:rPr>
      </w:pPr>
    </w:p>
    <w:p w:rsidRPr="00F92333" w:rsidR="000476AF" w:rsidP="000476AF" w:rsidRDefault="000476AF">
      <w:pPr>
        <w:widowControl w:val="0"/>
        <w:spacing w:before="0" w:after="100"/>
        <w:ind w:left="860"/>
        <w:rPr>
          <w:rFonts w:eastAsia="Times New Roman"/>
          <w:noProof/>
          <w:color w:val="000000"/>
          <w:szCs w:val="24"/>
        </w:rPr>
      </w:pPr>
      <w:r w:rsidRPr="00F92333">
        <w:rPr>
          <w:noProof/>
          <w:color w:val="000000"/>
        </w:rPr>
        <w:t>(samo v primeru namenskih prejemkov, če je proračunska vrstica že znana)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17"/>
        <w:gridCol w:w="3346"/>
        <w:gridCol w:w="3101"/>
      </w:tblGrid>
      <w:tr w:rsidRPr="00F92333" w:rsidR="000476AF" w:rsidTr="1CD92556">
        <w:trPr>
          <w:trHeight w:val="528" w:hRule="exact"/>
          <w:jc w:val="center"/>
        </w:trPr>
        <w:tc>
          <w:tcPr>
            <w:tcW w:w="2117" w:type="dxa"/>
            <w:tcBorders>
              <w:top w:val="single" w:color="auto" w:sz="4" w:space="0"/>
              <w:left w:val="single" w:color="auto" w:sz="4" w:space="0"/>
            </w:tcBorders>
            <w:vAlign w:val="center"/>
          </w:tcPr>
          <w:p w:rsidRPr="00F92333" w:rsidR="000476AF" w:rsidP="009339F5" w:rsidRDefault="000476AF">
            <w:pPr>
              <w:widowControl w:val="0"/>
              <w:spacing w:before="0" w:after="0" w:line="180" w:lineRule="auto"/>
              <w:jc w:val="left"/>
              <w:rPr>
                <w:rFonts w:eastAsia="Times New Roman"/>
                <w:noProof/>
                <w:color w:val="000000"/>
                <w:szCs w:val="24"/>
              </w:rPr>
            </w:pPr>
            <w:r w:rsidRPr="00F92333">
              <w:rPr>
                <w:noProof/>
                <w:color w:val="000000"/>
              </w:rPr>
              <w:t>Odhodkovna proračunska vrstica</w:t>
            </w:r>
            <w:r w:rsidRPr="00F92333">
              <w:rPr>
                <w:rStyle w:val="FootnoteReference"/>
                <w:noProof/>
              </w:rPr>
              <w:footnoteReference w:id="14"/>
            </w:r>
          </w:p>
        </w:tc>
        <w:tc>
          <w:tcPr>
            <w:tcW w:w="3346" w:type="dxa"/>
            <w:tcBorders>
              <w:top w:val="single" w:color="auto" w:sz="4" w:space="0"/>
              <w:left w:val="single" w:color="auto" w:sz="4" w:space="0"/>
            </w:tcBorders>
            <w:vAlign w:val="center"/>
          </w:tcPr>
          <w:p w:rsidRPr="00F92333" w:rsidR="000476AF" w:rsidP="009339F5" w:rsidRDefault="000476AF">
            <w:pPr>
              <w:widowControl w:val="0"/>
              <w:spacing w:before="0" w:after="0"/>
              <w:jc w:val="center"/>
              <w:rPr>
                <w:rFonts w:eastAsia="Times New Roman"/>
                <w:noProof/>
                <w:color w:val="000000"/>
                <w:szCs w:val="24"/>
              </w:rPr>
            </w:pPr>
            <w:r w:rsidRPr="00F92333">
              <w:rPr>
                <w:noProof/>
                <w:color w:val="000000"/>
              </w:rPr>
              <w:t>Leto N</w:t>
            </w:r>
          </w:p>
        </w:tc>
        <w:tc>
          <w:tcPr>
            <w:tcW w:w="3101" w:type="dxa"/>
            <w:tcBorders>
              <w:top w:val="single" w:color="auto" w:sz="4" w:space="0"/>
              <w:left w:val="single" w:color="auto" w:sz="4" w:space="0"/>
              <w:right w:val="single" w:color="auto" w:sz="4" w:space="0"/>
            </w:tcBorders>
            <w:vAlign w:val="center"/>
          </w:tcPr>
          <w:p w:rsidRPr="00F92333" w:rsidR="000476AF" w:rsidP="009339F5" w:rsidRDefault="000476AF">
            <w:pPr>
              <w:widowControl w:val="0"/>
              <w:spacing w:before="0" w:after="0"/>
              <w:jc w:val="center"/>
              <w:rPr>
                <w:rFonts w:eastAsia="Times New Roman"/>
                <w:noProof/>
                <w:color w:val="000000"/>
                <w:szCs w:val="24"/>
              </w:rPr>
            </w:pPr>
            <w:r w:rsidRPr="00F92333">
              <w:rPr>
                <w:noProof/>
                <w:color w:val="000000"/>
              </w:rPr>
              <w:t>Leto N+1</w:t>
            </w:r>
          </w:p>
        </w:tc>
      </w:tr>
      <w:tr w:rsidRPr="00F92333" w:rsidR="000476AF" w:rsidTr="1CD92556">
        <w:trPr>
          <w:trHeight w:val="802" w:hRule="exact"/>
          <w:jc w:val="center"/>
        </w:trPr>
        <w:tc>
          <w:tcPr>
            <w:tcW w:w="2117" w:type="dxa"/>
            <w:tcBorders>
              <w:top w:val="single" w:color="auto" w:sz="4" w:space="0"/>
              <w:left w:val="single" w:color="auto" w:sz="4" w:space="0"/>
            </w:tcBorders>
          </w:tcPr>
          <w:p w:rsidRPr="00F92333" w:rsidR="000476AF" w:rsidP="009339F5" w:rsidRDefault="000476AF">
            <w:pPr>
              <w:widowControl w:val="0"/>
              <w:spacing w:after="0"/>
              <w:jc w:val="left"/>
              <w:rPr>
                <w:rFonts w:eastAsia="Times New Roman"/>
                <w:noProof/>
                <w:color w:val="000000"/>
                <w:szCs w:val="24"/>
              </w:rPr>
            </w:pPr>
            <w:r w:rsidRPr="00F92333">
              <w:rPr>
                <w:noProof/>
                <w:color w:val="000000"/>
              </w:rPr>
              <w:t>poglavje/člen/postavka …</w:t>
            </w:r>
          </w:p>
        </w:tc>
        <w:tc>
          <w:tcPr>
            <w:tcW w:w="3346" w:type="dxa"/>
            <w:tcBorders>
              <w:top w:val="single" w:color="auto" w:sz="4" w:space="0"/>
              <w:left w:val="single" w:color="auto" w:sz="4" w:space="0"/>
            </w:tcBorders>
          </w:tcPr>
          <w:p w:rsidRPr="00F92333" w:rsidR="000476AF" w:rsidP="009339F5" w:rsidRDefault="000476AF">
            <w:pPr>
              <w:widowControl w:val="0"/>
              <w:spacing w:before="0" w:after="0"/>
              <w:jc w:val="left"/>
              <w:rPr>
                <w:rFonts w:eastAsia="Times New Roman"/>
                <w:noProof/>
                <w:color w:val="000000"/>
                <w:sz w:val="10"/>
                <w:szCs w:val="10"/>
                <w:lang w:eastAsia="hr-HR" w:bidi="hr-HR"/>
              </w:rPr>
            </w:pPr>
          </w:p>
        </w:tc>
        <w:tc>
          <w:tcPr>
            <w:tcW w:w="3101" w:type="dxa"/>
            <w:tcBorders>
              <w:top w:val="single" w:color="auto" w:sz="4" w:space="0"/>
              <w:left w:val="single" w:color="auto" w:sz="4" w:space="0"/>
              <w:right w:val="single" w:color="auto" w:sz="4" w:space="0"/>
            </w:tcBorders>
          </w:tcPr>
          <w:p w:rsidRPr="00F92333" w:rsidR="000476AF" w:rsidP="009339F5" w:rsidRDefault="000476AF">
            <w:pPr>
              <w:widowControl w:val="0"/>
              <w:spacing w:before="0" w:after="0"/>
              <w:jc w:val="left"/>
              <w:rPr>
                <w:rFonts w:eastAsia="Times New Roman"/>
                <w:noProof/>
                <w:color w:val="000000"/>
                <w:sz w:val="10"/>
                <w:szCs w:val="10"/>
                <w:lang w:eastAsia="hr-HR" w:bidi="hr-HR"/>
              </w:rPr>
            </w:pPr>
          </w:p>
        </w:tc>
      </w:tr>
      <w:tr w:rsidRPr="00F92333" w:rsidR="000476AF" w:rsidTr="1CD92556">
        <w:trPr>
          <w:trHeight w:val="811" w:hRule="exact"/>
          <w:jc w:val="center"/>
        </w:trPr>
        <w:tc>
          <w:tcPr>
            <w:tcW w:w="2117" w:type="dxa"/>
            <w:tcBorders>
              <w:top w:val="single" w:color="auto" w:sz="4" w:space="0"/>
              <w:left w:val="single" w:color="auto" w:sz="4" w:space="0"/>
              <w:bottom w:val="single" w:color="auto" w:sz="4" w:space="0"/>
            </w:tcBorders>
          </w:tcPr>
          <w:p w:rsidRPr="00F92333" w:rsidR="000476AF" w:rsidP="009339F5" w:rsidRDefault="000476AF">
            <w:pPr>
              <w:widowControl w:val="0"/>
              <w:spacing w:after="0"/>
              <w:jc w:val="left"/>
              <w:rPr>
                <w:rFonts w:eastAsia="Times New Roman"/>
                <w:noProof/>
                <w:color w:val="000000"/>
                <w:szCs w:val="24"/>
              </w:rPr>
            </w:pPr>
            <w:r w:rsidRPr="00F92333">
              <w:rPr>
                <w:noProof/>
                <w:color w:val="000000"/>
              </w:rPr>
              <w:t>poglavje/člen/postavka …</w:t>
            </w:r>
          </w:p>
        </w:tc>
        <w:tc>
          <w:tcPr>
            <w:tcW w:w="3346" w:type="dxa"/>
            <w:tcBorders>
              <w:top w:val="single" w:color="auto" w:sz="4" w:space="0"/>
              <w:left w:val="single" w:color="auto" w:sz="4" w:space="0"/>
              <w:bottom w:val="single" w:color="auto" w:sz="4" w:space="0"/>
            </w:tcBorders>
          </w:tcPr>
          <w:p w:rsidRPr="00F92333" w:rsidR="000476AF" w:rsidP="009339F5" w:rsidRDefault="000476AF">
            <w:pPr>
              <w:widowControl w:val="0"/>
              <w:spacing w:before="0" w:after="0"/>
              <w:jc w:val="left"/>
              <w:rPr>
                <w:rFonts w:eastAsia="Times New Roman"/>
                <w:noProof/>
                <w:color w:val="000000"/>
                <w:sz w:val="10"/>
                <w:szCs w:val="10"/>
                <w:lang w:eastAsia="hr-HR" w:bidi="hr-HR"/>
              </w:rPr>
            </w:pPr>
          </w:p>
        </w:tc>
        <w:tc>
          <w:tcPr>
            <w:tcW w:w="3101" w:type="dxa"/>
            <w:tcBorders>
              <w:top w:val="single" w:color="auto" w:sz="4" w:space="0"/>
              <w:left w:val="single" w:color="auto" w:sz="4" w:space="0"/>
              <w:bottom w:val="single" w:color="auto" w:sz="4" w:space="0"/>
              <w:right w:val="single" w:color="auto" w:sz="4" w:space="0"/>
            </w:tcBorders>
          </w:tcPr>
          <w:p w:rsidRPr="00F92333" w:rsidR="000476AF" w:rsidP="009339F5" w:rsidRDefault="000476AF">
            <w:pPr>
              <w:widowControl w:val="0"/>
              <w:spacing w:before="0" w:after="0"/>
              <w:jc w:val="left"/>
              <w:rPr>
                <w:rFonts w:eastAsia="Times New Roman"/>
                <w:noProof/>
                <w:color w:val="000000"/>
                <w:sz w:val="10"/>
                <w:szCs w:val="10"/>
                <w:lang w:eastAsia="hr-HR" w:bidi="hr-HR"/>
              </w:rPr>
            </w:pPr>
          </w:p>
        </w:tc>
      </w:tr>
    </w:tbl>
    <w:p w:rsidRPr="00F92333" w:rsidR="000476AF" w:rsidP="000476AF" w:rsidRDefault="000476AF">
      <w:pPr>
        <w:widowControl w:val="0"/>
        <w:spacing w:before="0" w:after="499" w:line="1" w:lineRule="exact"/>
        <w:jc w:val="left"/>
        <w:rPr>
          <w:rFonts w:eastAsia="Times New Roman"/>
          <w:noProof/>
          <w:color w:val="000000"/>
          <w:szCs w:val="24"/>
          <w:lang w:eastAsia="hr-HR" w:bidi="hr-HR"/>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95"/>
        <w:gridCol w:w="970"/>
        <w:gridCol w:w="1440"/>
        <w:gridCol w:w="1262"/>
        <w:gridCol w:w="1440"/>
        <w:gridCol w:w="1450"/>
      </w:tblGrid>
      <w:tr w:rsidRPr="00F92333" w:rsidR="000476AF">
        <w:trPr>
          <w:trHeight w:val="533" w:hRule="exact"/>
          <w:jc w:val="center"/>
        </w:trPr>
        <w:tc>
          <w:tcPr>
            <w:tcW w:w="8357" w:type="dxa"/>
            <w:gridSpan w:val="6"/>
            <w:tcBorders>
              <w:top w:val="single" w:color="auto" w:sz="4" w:space="0"/>
              <w:left w:val="single" w:color="auto" w:sz="4" w:space="0"/>
              <w:right w:val="single" w:color="auto" w:sz="4" w:space="0"/>
            </w:tcBorders>
            <w:vAlign w:val="center"/>
          </w:tcPr>
          <w:p w:rsidRPr="00F92333" w:rsidR="000476AF" w:rsidP="009339F5" w:rsidRDefault="000476AF">
            <w:pPr>
              <w:widowControl w:val="0"/>
              <w:spacing w:before="0" w:after="0"/>
              <w:jc w:val="center"/>
              <w:rPr>
                <w:rFonts w:eastAsia="Times New Roman"/>
                <w:noProof/>
                <w:color w:val="000000"/>
                <w:szCs w:val="24"/>
              </w:rPr>
            </w:pPr>
            <w:r w:rsidRPr="00F92333">
              <w:rPr>
                <w:noProof/>
                <w:color w:val="000000"/>
              </w:rPr>
              <w:t>Stanje po ukrepu</w:t>
            </w:r>
          </w:p>
        </w:tc>
      </w:tr>
      <w:tr w:rsidRPr="00F92333" w:rsidR="000476AF">
        <w:trPr>
          <w:trHeight w:val="523" w:hRule="exact"/>
          <w:jc w:val="center"/>
        </w:trPr>
        <w:tc>
          <w:tcPr>
            <w:tcW w:w="1795" w:type="dxa"/>
            <w:tcBorders>
              <w:top w:val="single" w:color="auto" w:sz="4" w:space="0"/>
              <w:left w:val="single" w:color="auto" w:sz="4" w:space="0"/>
            </w:tcBorders>
            <w:vAlign w:val="center"/>
          </w:tcPr>
          <w:p w:rsidRPr="00F92333" w:rsidR="000476AF" w:rsidP="009339F5" w:rsidRDefault="000476AF">
            <w:pPr>
              <w:widowControl w:val="0"/>
              <w:spacing w:before="0" w:after="0"/>
              <w:jc w:val="left"/>
              <w:rPr>
                <w:rFonts w:eastAsia="Times New Roman"/>
                <w:noProof/>
                <w:color w:val="000000"/>
                <w:szCs w:val="24"/>
              </w:rPr>
            </w:pPr>
            <w:r w:rsidRPr="00F92333">
              <w:rPr>
                <w:noProof/>
                <w:color w:val="000000"/>
              </w:rPr>
              <w:t>Odhodkovna proračunska vrstica</w:t>
            </w:r>
          </w:p>
        </w:tc>
        <w:tc>
          <w:tcPr>
            <w:tcW w:w="970" w:type="dxa"/>
            <w:tcBorders>
              <w:top w:val="single" w:color="auto" w:sz="4" w:space="0"/>
              <w:left w:val="single" w:color="auto" w:sz="4" w:space="0"/>
            </w:tcBorders>
            <w:vAlign w:val="center"/>
          </w:tcPr>
          <w:p w:rsidRPr="00F92333" w:rsidR="000476AF" w:rsidP="009339F5" w:rsidRDefault="000476AF">
            <w:pPr>
              <w:widowControl w:val="0"/>
              <w:spacing w:before="0" w:after="0"/>
              <w:jc w:val="center"/>
              <w:rPr>
                <w:rFonts w:eastAsia="Times New Roman"/>
                <w:noProof/>
                <w:color w:val="000000"/>
                <w:szCs w:val="24"/>
              </w:rPr>
            </w:pPr>
            <w:r w:rsidRPr="00F92333">
              <w:rPr>
                <w:noProof/>
                <w:color w:val="000000"/>
              </w:rPr>
              <w:t>[N+1]</w:t>
            </w:r>
          </w:p>
        </w:tc>
        <w:tc>
          <w:tcPr>
            <w:tcW w:w="1440" w:type="dxa"/>
            <w:tcBorders>
              <w:top w:val="single" w:color="auto" w:sz="4" w:space="0"/>
              <w:left w:val="single" w:color="auto" w:sz="4" w:space="0"/>
            </w:tcBorders>
            <w:vAlign w:val="center"/>
          </w:tcPr>
          <w:p w:rsidRPr="00F92333" w:rsidR="000476AF" w:rsidP="009339F5" w:rsidRDefault="000476AF">
            <w:pPr>
              <w:widowControl w:val="0"/>
              <w:spacing w:before="0" w:after="0"/>
              <w:jc w:val="center"/>
              <w:rPr>
                <w:rFonts w:eastAsia="Times New Roman"/>
                <w:noProof/>
                <w:color w:val="000000"/>
                <w:szCs w:val="24"/>
              </w:rPr>
            </w:pPr>
            <w:r w:rsidRPr="00F92333">
              <w:rPr>
                <w:noProof/>
                <w:color w:val="000000"/>
              </w:rPr>
              <w:t>[N+2]</w:t>
            </w:r>
          </w:p>
        </w:tc>
        <w:tc>
          <w:tcPr>
            <w:tcW w:w="1262" w:type="dxa"/>
            <w:tcBorders>
              <w:top w:val="single" w:color="auto" w:sz="4" w:space="0"/>
              <w:left w:val="single" w:color="auto" w:sz="4" w:space="0"/>
            </w:tcBorders>
            <w:vAlign w:val="center"/>
          </w:tcPr>
          <w:p w:rsidRPr="00F92333" w:rsidR="000476AF" w:rsidP="009339F5" w:rsidRDefault="000476AF">
            <w:pPr>
              <w:widowControl w:val="0"/>
              <w:spacing w:before="0" w:after="0"/>
              <w:jc w:val="center"/>
              <w:rPr>
                <w:rFonts w:eastAsia="Times New Roman"/>
                <w:noProof/>
                <w:color w:val="000000"/>
                <w:szCs w:val="24"/>
              </w:rPr>
            </w:pPr>
            <w:r w:rsidRPr="00F92333">
              <w:rPr>
                <w:noProof/>
                <w:color w:val="000000"/>
              </w:rPr>
              <w:t>[N+3]</w:t>
            </w:r>
          </w:p>
        </w:tc>
        <w:tc>
          <w:tcPr>
            <w:tcW w:w="1440" w:type="dxa"/>
            <w:tcBorders>
              <w:top w:val="single" w:color="auto" w:sz="4" w:space="0"/>
              <w:left w:val="single" w:color="auto" w:sz="4" w:space="0"/>
            </w:tcBorders>
            <w:vAlign w:val="center"/>
          </w:tcPr>
          <w:p w:rsidRPr="00F92333" w:rsidR="000476AF" w:rsidP="009339F5" w:rsidRDefault="000476AF">
            <w:pPr>
              <w:widowControl w:val="0"/>
              <w:spacing w:before="0" w:after="0"/>
              <w:jc w:val="center"/>
              <w:rPr>
                <w:rFonts w:eastAsia="Times New Roman"/>
                <w:noProof/>
                <w:color w:val="000000"/>
                <w:szCs w:val="24"/>
              </w:rPr>
            </w:pPr>
            <w:r w:rsidRPr="00F92333">
              <w:rPr>
                <w:noProof/>
                <w:color w:val="000000"/>
              </w:rPr>
              <w:t>[N+4]</w:t>
            </w:r>
          </w:p>
        </w:tc>
        <w:tc>
          <w:tcPr>
            <w:tcW w:w="1450" w:type="dxa"/>
            <w:tcBorders>
              <w:top w:val="single" w:color="auto" w:sz="4" w:space="0"/>
              <w:left w:val="single" w:color="auto" w:sz="4" w:space="0"/>
              <w:right w:val="single" w:color="auto" w:sz="4" w:space="0"/>
            </w:tcBorders>
            <w:vAlign w:val="center"/>
          </w:tcPr>
          <w:p w:rsidRPr="00F92333" w:rsidR="000476AF" w:rsidP="009339F5" w:rsidRDefault="000476AF">
            <w:pPr>
              <w:widowControl w:val="0"/>
              <w:spacing w:before="0" w:after="0"/>
              <w:jc w:val="center"/>
              <w:rPr>
                <w:rFonts w:eastAsia="Times New Roman"/>
                <w:noProof/>
                <w:color w:val="000000"/>
                <w:szCs w:val="24"/>
              </w:rPr>
            </w:pPr>
            <w:r w:rsidRPr="00F92333">
              <w:rPr>
                <w:noProof/>
                <w:color w:val="000000"/>
              </w:rPr>
              <w:t>[N+5]</w:t>
            </w:r>
          </w:p>
        </w:tc>
      </w:tr>
      <w:tr w:rsidRPr="00F92333" w:rsidR="000476AF">
        <w:trPr>
          <w:trHeight w:val="802" w:hRule="exact"/>
          <w:jc w:val="center"/>
        </w:trPr>
        <w:tc>
          <w:tcPr>
            <w:tcW w:w="1795" w:type="dxa"/>
            <w:tcBorders>
              <w:top w:val="single" w:color="auto" w:sz="4" w:space="0"/>
              <w:left w:val="single" w:color="auto" w:sz="4" w:space="0"/>
            </w:tcBorders>
            <w:vAlign w:val="center"/>
          </w:tcPr>
          <w:p w:rsidRPr="00F92333" w:rsidR="000476AF" w:rsidP="009339F5" w:rsidRDefault="000476AF">
            <w:pPr>
              <w:widowControl w:val="0"/>
              <w:spacing w:before="0" w:after="0"/>
              <w:jc w:val="left"/>
              <w:rPr>
                <w:rFonts w:eastAsia="Times New Roman"/>
                <w:noProof/>
                <w:color w:val="000000"/>
                <w:szCs w:val="24"/>
              </w:rPr>
            </w:pPr>
            <w:r w:rsidRPr="00F92333">
              <w:rPr>
                <w:noProof/>
                <w:color w:val="000000"/>
              </w:rPr>
              <w:t>poglavje/člen/postavka …</w:t>
            </w:r>
          </w:p>
        </w:tc>
        <w:tc>
          <w:tcPr>
            <w:tcW w:w="970" w:type="dxa"/>
            <w:tcBorders>
              <w:top w:val="single" w:color="auto" w:sz="4" w:space="0"/>
              <w:left w:val="single" w:color="auto" w:sz="4" w:space="0"/>
            </w:tcBorders>
          </w:tcPr>
          <w:p w:rsidRPr="00F92333" w:rsidR="000476AF" w:rsidP="009339F5" w:rsidRDefault="000476AF">
            <w:pPr>
              <w:widowControl w:val="0"/>
              <w:spacing w:before="0" w:after="0"/>
              <w:jc w:val="left"/>
              <w:rPr>
                <w:rFonts w:eastAsia="Times New Roman"/>
                <w:noProof/>
                <w:color w:val="000000"/>
                <w:sz w:val="10"/>
                <w:szCs w:val="10"/>
                <w:lang w:eastAsia="hr-HR" w:bidi="hr-HR"/>
              </w:rPr>
            </w:pPr>
          </w:p>
        </w:tc>
        <w:tc>
          <w:tcPr>
            <w:tcW w:w="1440" w:type="dxa"/>
            <w:tcBorders>
              <w:top w:val="single" w:color="auto" w:sz="4" w:space="0"/>
              <w:left w:val="single" w:color="auto" w:sz="4" w:space="0"/>
            </w:tcBorders>
          </w:tcPr>
          <w:p w:rsidRPr="00F92333" w:rsidR="000476AF" w:rsidP="009339F5" w:rsidRDefault="000476AF">
            <w:pPr>
              <w:widowControl w:val="0"/>
              <w:spacing w:before="0" w:after="0"/>
              <w:jc w:val="left"/>
              <w:rPr>
                <w:rFonts w:eastAsia="Times New Roman"/>
                <w:noProof/>
                <w:color w:val="000000"/>
                <w:sz w:val="10"/>
                <w:szCs w:val="10"/>
                <w:lang w:eastAsia="hr-HR" w:bidi="hr-HR"/>
              </w:rPr>
            </w:pPr>
          </w:p>
        </w:tc>
        <w:tc>
          <w:tcPr>
            <w:tcW w:w="1262" w:type="dxa"/>
            <w:tcBorders>
              <w:top w:val="single" w:color="auto" w:sz="4" w:space="0"/>
              <w:left w:val="single" w:color="auto" w:sz="4" w:space="0"/>
            </w:tcBorders>
          </w:tcPr>
          <w:p w:rsidRPr="00F92333" w:rsidR="000476AF" w:rsidP="009339F5" w:rsidRDefault="000476AF">
            <w:pPr>
              <w:widowControl w:val="0"/>
              <w:spacing w:before="0" w:after="0"/>
              <w:jc w:val="left"/>
              <w:rPr>
                <w:rFonts w:eastAsia="Times New Roman"/>
                <w:noProof/>
                <w:color w:val="000000"/>
                <w:sz w:val="10"/>
                <w:szCs w:val="10"/>
                <w:lang w:eastAsia="hr-HR" w:bidi="hr-HR"/>
              </w:rPr>
            </w:pPr>
          </w:p>
        </w:tc>
        <w:tc>
          <w:tcPr>
            <w:tcW w:w="1440" w:type="dxa"/>
            <w:tcBorders>
              <w:top w:val="single" w:color="auto" w:sz="4" w:space="0"/>
              <w:left w:val="single" w:color="auto" w:sz="4" w:space="0"/>
            </w:tcBorders>
          </w:tcPr>
          <w:p w:rsidRPr="00F92333" w:rsidR="000476AF" w:rsidP="009339F5" w:rsidRDefault="000476AF">
            <w:pPr>
              <w:widowControl w:val="0"/>
              <w:spacing w:before="0" w:after="0"/>
              <w:jc w:val="left"/>
              <w:rPr>
                <w:rFonts w:eastAsia="Times New Roman"/>
                <w:noProof/>
                <w:color w:val="000000"/>
                <w:sz w:val="10"/>
                <w:szCs w:val="10"/>
                <w:lang w:eastAsia="hr-HR" w:bidi="hr-HR"/>
              </w:rPr>
            </w:pPr>
          </w:p>
        </w:tc>
        <w:tc>
          <w:tcPr>
            <w:tcW w:w="1450" w:type="dxa"/>
            <w:tcBorders>
              <w:top w:val="single" w:color="auto" w:sz="4" w:space="0"/>
              <w:left w:val="single" w:color="auto" w:sz="4" w:space="0"/>
              <w:right w:val="single" w:color="auto" w:sz="4" w:space="0"/>
            </w:tcBorders>
          </w:tcPr>
          <w:p w:rsidRPr="00F92333" w:rsidR="000476AF" w:rsidP="009339F5" w:rsidRDefault="000476AF">
            <w:pPr>
              <w:widowControl w:val="0"/>
              <w:spacing w:before="0" w:after="0"/>
              <w:jc w:val="left"/>
              <w:rPr>
                <w:rFonts w:eastAsia="Times New Roman"/>
                <w:noProof/>
                <w:color w:val="000000"/>
                <w:sz w:val="10"/>
                <w:szCs w:val="10"/>
                <w:lang w:eastAsia="hr-HR" w:bidi="hr-HR"/>
              </w:rPr>
            </w:pPr>
          </w:p>
        </w:tc>
      </w:tr>
      <w:tr w:rsidRPr="00F92333" w:rsidR="000476AF">
        <w:trPr>
          <w:trHeight w:val="811" w:hRule="exact"/>
          <w:jc w:val="center"/>
        </w:trPr>
        <w:tc>
          <w:tcPr>
            <w:tcW w:w="1795" w:type="dxa"/>
            <w:tcBorders>
              <w:top w:val="single" w:color="auto" w:sz="4" w:space="0"/>
              <w:left w:val="single" w:color="auto" w:sz="4" w:space="0"/>
              <w:bottom w:val="single" w:color="auto" w:sz="4" w:space="0"/>
            </w:tcBorders>
            <w:vAlign w:val="center"/>
          </w:tcPr>
          <w:p w:rsidRPr="00F92333" w:rsidR="000476AF" w:rsidP="009339F5" w:rsidRDefault="000476AF">
            <w:pPr>
              <w:widowControl w:val="0"/>
              <w:spacing w:before="0" w:after="0"/>
              <w:jc w:val="left"/>
              <w:rPr>
                <w:rFonts w:eastAsia="Times New Roman"/>
                <w:noProof/>
                <w:color w:val="000000"/>
                <w:szCs w:val="24"/>
              </w:rPr>
            </w:pPr>
            <w:r w:rsidRPr="00F92333">
              <w:rPr>
                <w:noProof/>
                <w:color w:val="000000"/>
              </w:rPr>
              <w:t>poglavje/člen/postavka …</w:t>
            </w:r>
          </w:p>
        </w:tc>
        <w:tc>
          <w:tcPr>
            <w:tcW w:w="970" w:type="dxa"/>
            <w:tcBorders>
              <w:top w:val="single" w:color="auto" w:sz="4" w:space="0"/>
              <w:left w:val="single" w:color="auto" w:sz="4" w:space="0"/>
              <w:bottom w:val="single" w:color="auto" w:sz="4" w:space="0"/>
            </w:tcBorders>
          </w:tcPr>
          <w:p w:rsidRPr="00F92333" w:rsidR="000476AF" w:rsidP="009339F5" w:rsidRDefault="000476AF">
            <w:pPr>
              <w:widowControl w:val="0"/>
              <w:spacing w:before="0" w:after="0"/>
              <w:jc w:val="left"/>
              <w:rPr>
                <w:rFonts w:eastAsia="Times New Roman"/>
                <w:noProof/>
                <w:color w:val="000000"/>
                <w:sz w:val="10"/>
                <w:szCs w:val="10"/>
                <w:lang w:eastAsia="hr-HR" w:bidi="hr-HR"/>
              </w:rPr>
            </w:pPr>
          </w:p>
        </w:tc>
        <w:tc>
          <w:tcPr>
            <w:tcW w:w="1440" w:type="dxa"/>
            <w:tcBorders>
              <w:top w:val="single" w:color="auto" w:sz="4" w:space="0"/>
              <w:left w:val="single" w:color="auto" w:sz="4" w:space="0"/>
              <w:bottom w:val="single" w:color="auto" w:sz="4" w:space="0"/>
            </w:tcBorders>
          </w:tcPr>
          <w:p w:rsidRPr="00F92333" w:rsidR="000476AF" w:rsidP="009339F5" w:rsidRDefault="000476AF">
            <w:pPr>
              <w:widowControl w:val="0"/>
              <w:spacing w:before="0" w:after="0"/>
              <w:jc w:val="left"/>
              <w:rPr>
                <w:rFonts w:eastAsia="Times New Roman"/>
                <w:noProof/>
                <w:color w:val="000000"/>
                <w:sz w:val="10"/>
                <w:szCs w:val="10"/>
                <w:lang w:eastAsia="hr-HR" w:bidi="hr-HR"/>
              </w:rPr>
            </w:pPr>
          </w:p>
        </w:tc>
        <w:tc>
          <w:tcPr>
            <w:tcW w:w="1262" w:type="dxa"/>
            <w:tcBorders>
              <w:top w:val="single" w:color="auto" w:sz="4" w:space="0"/>
              <w:left w:val="single" w:color="auto" w:sz="4" w:space="0"/>
              <w:bottom w:val="single" w:color="auto" w:sz="4" w:space="0"/>
            </w:tcBorders>
          </w:tcPr>
          <w:p w:rsidRPr="00F92333" w:rsidR="000476AF" w:rsidP="009339F5" w:rsidRDefault="000476AF">
            <w:pPr>
              <w:widowControl w:val="0"/>
              <w:spacing w:before="0" w:after="0"/>
              <w:jc w:val="left"/>
              <w:rPr>
                <w:rFonts w:eastAsia="Times New Roman"/>
                <w:noProof/>
                <w:color w:val="000000"/>
                <w:sz w:val="10"/>
                <w:szCs w:val="10"/>
                <w:lang w:eastAsia="hr-HR" w:bidi="hr-HR"/>
              </w:rPr>
            </w:pPr>
          </w:p>
        </w:tc>
        <w:tc>
          <w:tcPr>
            <w:tcW w:w="1440" w:type="dxa"/>
            <w:tcBorders>
              <w:top w:val="single" w:color="auto" w:sz="4" w:space="0"/>
              <w:left w:val="single" w:color="auto" w:sz="4" w:space="0"/>
              <w:bottom w:val="single" w:color="auto" w:sz="4" w:space="0"/>
            </w:tcBorders>
          </w:tcPr>
          <w:p w:rsidRPr="00F92333" w:rsidR="000476AF" w:rsidP="009339F5" w:rsidRDefault="000476AF">
            <w:pPr>
              <w:widowControl w:val="0"/>
              <w:spacing w:before="0" w:after="0"/>
              <w:jc w:val="left"/>
              <w:rPr>
                <w:rFonts w:eastAsia="Times New Roman"/>
                <w:noProof/>
                <w:color w:val="000000"/>
                <w:sz w:val="10"/>
                <w:szCs w:val="10"/>
                <w:lang w:eastAsia="hr-HR" w:bidi="hr-HR"/>
              </w:rPr>
            </w:pPr>
          </w:p>
        </w:tc>
        <w:tc>
          <w:tcPr>
            <w:tcW w:w="1450" w:type="dxa"/>
            <w:tcBorders>
              <w:top w:val="single" w:color="auto" w:sz="4" w:space="0"/>
              <w:left w:val="single" w:color="auto" w:sz="4" w:space="0"/>
              <w:bottom w:val="single" w:color="auto" w:sz="4" w:space="0"/>
              <w:right w:val="single" w:color="auto" w:sz="4" w:space="0"/>
            </w:tcBorders>
          </w:tcPr>
          <w:p w:rsidRPr="00F92333" w:rsidR="000476AF" w:rsidP="009339F5" w:rsidRDefault="000476AF">
            <w:pPr>
              <w:widowControl w:val="0"/>
              <w:spacing w:before="0" w:after="0"/>
              <w:jc w:val="left"/>
              <w:rPr>
                <w:rFonts w:eastAsia="Times New Roman"/>
                <w:noProof/>
                <w:color w:val="000000"/>
                <w:sz w:val="10"/>
                <w:szCs w:val="10"/>
                <w:lang w:eastAsia="hr-HR" w:bidi="hr-HR"/>
              </w:rPr>
            </w:pPr>
          </w:p>
        </w:tc>
      </w:tr>
    </w:tbl>
    <w:p w:rsidRPr="00F92333" w:rsidR="000476AF" w:rsidP="000476AF" w:rsidRDefault="000476AF">
      <w:pPr>
        <w:widowControl w:val="0"/>
        <w:spacing w:before="0" w:after="739" w:line="1" w:lineRule="exact"/>
        <w:jc w:val="left"/>
        <w:rPr>
          <w:rFonts w:eastAsia="Times New Roman"/>
          <w:noProof/>
          <w:color w:val="000000"/>
          <w:szCs w:val="24"/>
          <w:lang w:eastAsia="hr-HR" w:bidi="hr-HR"/>
        </w:rPr>
      </w:pPr>
    </w:p>
    <w:p w:rsidRPr="00F92333" w:rsidR="006579BD" w:rsidP="006579BD" w:rsidRDefault="006579BD">
      <w:pPr>
        <w:pStyle w:val="ManualHeading1"/>
        <w:rPr>
          <w:noProof/>
        </w:rPr>
      </w:pPr>
      <w:r w:rsidRPr="00F92333">
        <w:rPr>
          <w:noProof/>
        </w:rPr>
        <w:t>4.</w:t>
      </w:r>
      <w:r w:rsidRPr="00F92333">
        <w:rPr>
          <w:noProof/>
        </w:rPr>
        <w:tab/>
        <w:t>DRUGE OPOMBE</w:t>
      </w:r>
    </w:p>
    <w:p w:rsidRPr="00F92333" w:rsidR="000476AF" w:rsidRDefault="000476AF">
      <w:pPr>
        <w:widowControl w:val="0"/>
        <w:spacing w:before="0" w:after="420"/>
        <w:rPr>
          <w:rFonts w:eastAsia="Times New Roman"/>
          <w:noProof/>
          <w:color w:val="000000" w:themeColor="text1"/>
        </w:rPr>
      </w:pPr>
      <w:r w:rsidRPr="00F92333">
        <w:rPr>
          <w:noProof/>
          <w:color w:val="000000" w:themeColor="text1"/>
        </w:rPr>
        <w:t xml:space="preserve">Izračuni so temeljili na razpoložljivih statističnih podatkih, v katerih je bilo ocenjeno, da opuščene carine zaradi liberalizacije tarif za izdelke, zajete v tarifnih postavkah iz Priloge k tej uredbi, znašajo približno 7,5 milijona EUR na leto v obliki dajatev, pobranih od tretjih držav, ki niso upravičene do dajatev proste obravnave na podlagi obstoječih preferencialnih trgovinskih sporazumov z EU (povprečje v obdobju od avgusta 2020 do maja 2025). </w:t>
      </w:r>
    </w:p>
    <w:sectPr w:rsidRPr="00F92333" w:rsidR="000476AF" w:rsidSect="009A340D">
      <w:footerReference w:type="default" r:id="Red1ce9f8c65e498a"/>
      <w:footerReference w:type="even" r:id="R1695ea171d8c4d0e"/>
      <w:footerReference w:type="first" r:id="R5e847962482741ed"/>
      <w:headerReference w:type="default" r:id="Rd6980b614e0a4b05"/>
      <w:headerReference w:type="even" r:id="Rce0677df3fe742c8"/>
      <w:headerReference w:type="first" r:id="R8abd3fc1653d4743"/>
      <w:pgSz w:w="11907" w:h="16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0">
    <w:p w:rsidR="00144FF1" w:rsidP="00A43C50" w:rsidRDefault="00144FF1" w14:paraId="65BA9E24" w14:textId="77777777">
      <w:r>
        <w:separator/>
      </w:r>
    </w:p>
  </w:endnote>
  <w:endnote w:type="continuationSeparator" w:id="1">
    <w:p w:rsidR="00144FF1" w:rsidP="00A43C50" w:rsidRDefault="00144FF1" w14:paraId="2F922D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libri"/>
    <w:charset w:val="00"/>
    <w:family w:val="auto"/>
    <w:pitch w:val="variable"/>
    <w:sig w:usb0="800002EF" w:usb1="1000E0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2965762A"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A340D" w:rsidR="009A340D" w:rsidP="009A340D" w:rsidRDefault="009A340D">
    <w:pPr>
      <w:pStyle w:val="Footer"/>
      <w:rPr>
        <w:rFonts w:ascii="Arial" w:hAnsi="Arial" w:cs="Arial"/>
        <w:b/>
        <w:sz w:val="48"/>
      </w:rPr>
    </w:pPr>
    <w:r w:rsidRPr="009A340D">
      <w:rPr>
        <w:rFonts w:ascii="Arial" w:hAnsi="Arial" w:cs="Arial"/>
        <w:b/>
        <w:sz w:val="48"/>
      </w:rPr>
      <w:t>SL</w:t>
    </w:r>
    <w:r w:rsidRPr="009A340D">
      <w:rPr>
        <w:rFonts w:ascii="Arial" w:hAnsi="Arial" w:cs="Arial"/>
        <w:b/>
        <w:sz w:val="48"/>
      </w:rPr>
      <w:tab/>
    </w:r>
    <w:r>
      <w:fldChar w:fldCharType="begin"/>
    </w:r>
    <w:r>
      <w:instrText xml:space="preserve"> PAGE  \* MERGEFORMAT </w:instrText>
    </w:r>
    <w:r>
      <w:fldChar w:fldCharType="separate"/>
    </w:r>
    <w:r w:rsidR="00B1505B">
      <w:rPr>
        <w:noProof/>
      </w:rPr>
      <w:t>3</w:t>
    </w:r>
    <w:r>
      <w:fldChar w:fldCharType="end"/>
    </w:r>
    <w:r>
      <w:tab/>
    </w:r>
    <w:r w:rsidRPr="009A340D">
      <w:tab/>
    </w:r>
    <w:r w:rsidRPr="009A340D">
      <w:rPr>
        <w:rFonts w:ascii="Arial" w:hAnsi="Arial" w:cs="Arial"/>
        <w:b/>
        <w:sz w:val="48"/>
      </w:rPr>
      <w:t>SL</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RDefault="009A340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P="009A340D" w:rsidRDefault="009A340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A340D" w:rsidR="009A340D" w:rsidP="009A340D" w:rsidRDefault="009A340D">
    <w:pPr>
      <w:pStyle w:val="Footer"/>
      <w:rPr>
        <w:rFonts w:ascii="Arial" w:hAnsi="Arial" w:cs="Arial"/>
        <w:b/>
        <w:sz w:val="48"/>
      </w:rPr>
    </w:pPr>
    <w:r w:rsidRPr="009A340D">
      <w:rPr>
        <w:rFonts w:ascii="Arial" w:hAnsi="Arial" w:cs="Arial"/>
        <w:b/>
        <w:sz w:val="48"/>
      </w:rPr>
      <w:t>SL</w:t>
    </w:r>
    <w:r w:rsidRPr="009A340D">
      <w:rPr>
        <w:rFonts w:ascii="Arial" w:hAnsi="Arial" w:cs="Arial"/>
        <w:b/>
        <w:sz w:val="48"/>
      </w:rPr>
      <w:tab/>
    </w:r>
    <w:r>
      <w:fldChar w:fldCharType="begin"/>
    </w:r>
    <w:r>
      <w:instrText xml:space="preserve"> PAGE  \* MERGEFORMAT </w:instrText>
    </w:r>
    <w:r>
      <w:fldChar w:fldCharType="separate"/>
    </w:r>
    <w:r w:rsidR="00B1505B">
      <w:rPr>
        <w:noProof/>
      </w:rPr>
      <w:t>3</w:t>
    </w:r>
    <w:r>
      <w:fldChar w:fldCharType="end"/>
    </w:r>
    <w:r>
      <w:tab/>
    </w:r>
    <w:r w:rsidRPr="009A340D">
      <w:tab/>
    </w:r>
    <w:r w:rsidRPr="009A340D">
      <w:rPr>
        <w:rFonts w:ascii="Arial" w:hAnsi="Arial" w:cs="Arial"/>
        <w:b/>
        <w:sz w:val="48"/>
      </w:rPr>
      <w:t>SL</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RDefault="009A340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P="009A340D" w:rsidRDefault="009A340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A340D" w:rsidR="009A340D" w:rsidP="009A340D" w:rsidRDefault="009A340D">
    <w:pPr>
      <w:pStyle w:val="Footer"/>
      <w:rPr>
        <w:rFonts w:ascii="Arial" w:hAnsi="Arial" w:cs="Arial"/>
        <w:b/>
        <w:sz w:val="48"/>
      </w:rPr>
    </w:pPr>
    <w:r w:rsidRPr="009A340D">
      <w:rPr>
        <w:rFonts w:ascii="Arial" w:hAnsi="Arial" w:cs="Arial"/>
        <w:b/>
        <w:sz w:val="48"/>
      </w:rPr>
      <w:t>SL</w:t>
    </w:r>
    <w:r w:rsidRPr="009A340D">
      <w:rPr>
        <w:rFonts w:ascii="Arial" w:hAnsi="Arial" w:cs="Arial"/>
        <w:b/>
        <w:sz w:val="48"/>
      </w:rPr>
      <w:tab/>
    </w:r>
    <w:r>
      <w:fldChar w:fldCharType="begin"/>
    </w:r>
    <w:r>
      <w:instrText xml:space="preserve"> PAGE  \* MERGEFORMAT </w:instrText>
    </w:r>
    <w:r>
      <w:fldChar w:fldCharType="separate"/>
    </w:r>
    <w:r w:rsidR="00B1505B">
      <w:rPr>
        <w:noProof/>
      </w:rPr>
      <w:t>3</w:t>
    </w:r>
    <w:r>
      <w:fldChar w:fldCharType="end"/>
    </w:r>
    <w:r>
      <w:tab/>
    </w:r>
    <w:r w:rsidRPr="009A340D">
      <w:tab/>
    </w:r>
    <w:r w:rsidRPr="009A340D">
      <w:rPr>
        <w:rFonts w:ascii="Arial" w:hAnsi="Arial" w:cs="Arial"/>
        <w:b/>
        <w:sz w:val="48"/>
      </w:rPr>
      <w:t>SL</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RDefault="009A340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P="009A340D" w:rsidRDefault="009A340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A340D" w:rsidR="009A340D" w:rsidP="009A340D" w:rsidRDefault="009A340D">
    <w:pPr>
      <w:pStyle w:val="Footer"/>
      <w:rPr>
        <w:rFonts w:ascii="Arial" w:hAnsi="Arial" w:cs="Arial"/>
        <w:b/>
        <w:sz w:val="48"/>
      </w:rPr>
    </w:pPr>
    <w:r w:rsidRPr="009A340D">
      <w:rPr>
        <w:rFonts w:ascii="Arial" w:hAnsi="Arial" w:cs="Arial"/>
        <w:b/>
        <w:sz w:val="48"/>
      </w:rPr>
      <w:t>SL</w:t>
    </w:r>
    <w:r w:rsidRPr="009A340D">
      <w:rPr>
        <w:rFonts w:ascii="Arial" w:hAnsi="Arial" w:cs="Arial"/>
        <w:b/>
        <w:sz w:val="48"/>
      </w:rPr>
      <w:tab/>
    </w:r>
    <w:r>
      <w:fldChar w:fldCharType="begin"/>
    </w:r>
    <w:r>
      <w:instrText xml:space="preserve"> PAGE  \* MERGEFORMAT </w:instrText>
    </w:r>
    <w:r>
      <w:fldChar w:fldCharType="separate"/>
    </w:r>
    <w:r w:rsidR="00B1505B">
      <w:rPr>
        <w:noProof/>
      </w:rPr>
      <w:t>3</w:t>
    </w:r>
    <w:r>
      <w:fldChar w:fldCharType="end"/>
    </w:r>
    <w:r>
      <w:tab/>
    </w:r>
    <w:r w:rsidRPr="009A340D">
      <w:tab/>
    </w:r>
    <w:r w:rsidRPr="009A340D">
      <w:rPr>
        <w:rFonts w:ascii="Arial" w:hAnsi="Arial" w:cs="Arial"/>
        <w:b/>
        <w:sz w:val="48"/>
      </w:rPr>
      <w:t>SL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12304</w:t>
          </w:r>
          <w:r w:rsidR="00A60547">
            <w:t>/</w:t>
          </w:r>
          <w:r>
            <w:t xml:space="preserve">25</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COMPET.3</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SL</w:t>
          </w:r>
        </w:p>
      </w:tc>
    </w:tr>
    <w:bookmarkEnd w:id="4"/>
  </w:tbl>
  <w:p>
    <w:pPr>
      <w:pStyle w:val="FooterCouncil"/>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RDefault="009A340D">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P="009A340D" w:rsidRDefault="009A340D">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A340D" w:rsidR="009A340D" w:rsidP="009A340D" w:rsidRDefault="009A340D">
    <w:pPr>
      <w:pStyle w:val="Footer"/>
      <w:rPr>
        <w:rFonts w:ascii="Arial" w:hAnsi="Arial" w:cs="Arial"/>
        <w:b/>
        <w:sz w:val="48"/>
      </w:rPr>
    </w:pPr>
    <w:r w:rsidRPr="009A340D">
      <w:rPr>
        <w:rFonts w:ascii="Arial" w:hAnsi="Arial" w:cs="Arial"/>
        <w:b/>
        <w:sz w:val="48"/>
      </w:rPr>
      <w:t>SL</w:t>
    </w:r>
    <w:r w:rsidRPr="009A340D">
      <w:rPr>
        <w:rFonts w:ascii="Arial" w:hAnsi="Arial" w:cs="Arial"/>
        <w:b/>
        <w:sz w:val="48"/>
      </w:rPr>
      <w:tab/>
    </w:r>
    <w:r>
      <w:fldChar w:fldCharType="begin"/>
    </w:r>
    <w:r>
      <w:instrText xml:space="preserve"> PAGE  \* MERGEFORMAT </w:instrText>
    </w:r>
    <w:r>
      <w:fldChar w:fldCharType="separate"/>
    </w:r>
    <w:r w:rsidR="00B1505B">
      <w:rPr>
        <w:noProof/>
      </w:rPr>
      <w:t>3</w:t>
    </w:r>
    <w:r>
      <w:fldChar w:fldCharType="end"/>
    </w:r>
    <w:r>
      <w:tab/>
    </w:r>
    <w:r w:rsidRPr="009A340D">
      <w:tab/>
    </w:r>
    <w:r w:rsidRPr="009A340D">
      <w:rPr>
        <w:rFonts w:ascii="Arial" w:hAnsi="Arial" w:cs="Arial"/>
        <w:b/>
        <w:sz w:val="48"/>
      </w:rPr>
      <w:t>SL</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RDefault="009A340D">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P="009A340D" w:rsidRDefault="009A34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12304</w:t>
          </w:r>
          <w:r w:rsidR="00A60547">
            <w:t>/</w:t>
          </w:r>
          <w:r>
            <w:t xml:space="preserve">25</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COMPET.3</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SL</w:t>
          </w:r>
        </w:p>
      </w:tc>
    </w:tr>
    <w:bookmarkEnd w:id="4"/>
  </w:tbl>
  <w:p>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A340D" w:rsidR="009A340D" w:rsidP="009A340D" w:rsidRDefault="009A340D">
    <w:pPr>
      <w:pStyle w:val="Footer"/>
      <w:rPr>
        <w:rFonts w:ascii="Arial" w:hAnsi="Arial" w:cs="Arial"/>
        <w:b/>
        <w:sz w:val="48"/>
      </w:rPr>
    </w:pPr>
    <w:r w:rsidRPr="009A340D">
      <w:rPr>
        <w:rFonts w:ascii="Arial" w:hAnsi="Arial" w:cs="Arial"/>
        <w:b/>
        <w:sz w:val="48"/>
      </w:rPr>
      <w:t>SL</w:t>
    </w:r>
    <w:r w:rsidRPr="009A340D">
      <w:rPr>
        <w:rFonts w:ascii="Arial" w:hAnsi="Arial" w:cs="Arial"/>
        <w:b/>
        <w:sz w:val="48"/>
      </w:rPr>
      <w:tab/>
    </w:r>
    <w:r w:rsidRPr="009A340D">
      <w:rPr>
        <w:rFonts w:ascii="Arial" w:hAnsi="Arial" w:cs="Arial"/>
        <w:b/>
        <w:sz w:val="48"/>
      </w:rPr>
      <w:tab/>
    </w:r>
    <w:r w:rsidRPr="009A340D">
      <w:tab/>
    </w:r>
    <w:r w:rsidRPr="009A340D">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A340D" w:rsidR="009A340D" w:rsidP="009A340D" w:rsidRDefault="009A340D">
    <w:pPr>
      <w:pStyle w:val="Footer"/>
      <w:rPr>
        <w:rFonts w:ascii="Arial" w:hAnsi="Arial" w:cs="Arial"/>
        <w:b/>
        <w:sz w:val="48"/>
      </w:rPr>
    </w:pPr>
    <w:r w:rsidRPr="009A340D">
      <w:rPr>
        <w:rFonts w:ascii="Arial" w:hAnsi="Arial" w:cs="Arial"/>
        <w:b/>
        <w:sz w:val="48"/>
      </w:rPr>
      <w:t>SL</w:t>
    </w:r>
    <w:r w:rsidRPr="009A340D">
      <w:rPr>
        <w:rFonts w:ascii="Arial" w:hAnsi="Arial" w:cs="Arial"/>
        <w:b/>
        <w:sz w:val="48"/>
      </w:rPr>
      <w:tab/>
    </w:r>
    <w:r w:rsidRPr="009A340D">
      <w:rPr>
        <w:rFonts w:ascii="Arial" w:hAnsi="Arial" w:cs="Arial"/>
        <w:b/>
        <w:sz w:val="48"/>
      </w:rPr>
      <w:tab/>
    </w:r>
    <w:r w:rsidRPr="009A340D">
      <w:tab/>
    </w:r>
    <w:r w:rsidRPr="009A340D">
      <w:rPr>
        <w:rFonts w:ascii="Arial" w:hAnsi="Arial" w:cs="Arial"/>
        <w:b/>
        <w:sz w:val="48"/>
      </w:rPr>
      <w:t>SL</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A340D" w:rsidR="009A340D" w:rsidP="009A340D" w:rsidRDefault="009A340D">
    <w:pPr>
      <w:pStyle w:val="Footer"/>
      <w:rPr>
        <w:rFonts w:ascii="Arial" w:hAnsi="Arial" w:cs="Arial"/>
        <w:b/>
        <w:sz w:val="48"/>
      </w:rPr>
    </w:pPr>
    <w:r w:rsidRPr="009A340D">
      <w:rPr>
        <w:rFonts w:ascii="Arial" w:hAnsi="Arial" w:cs="Arial"/>
        <w:b/>
        <w:sz w:val="48"/>
      </w:rPr>
      <w:t>SL</w:t>
    </w:r>
    <w:r w:rsidRPr="009A340D">
      <w:rPr>
        <w:rFonts w:ascii="Arial" w:hAnsi="Arial" w:cs="Arial"/>
        <w:b/>
        <w:sz w:val="48"/>
      </w:rPr>
      <w:tab/>
    </w:r>
    <w:r w:rsidRPr="009A340D">
      <w:rPr>
        <w:rFonts w:ascii="Arial" w:hAnsi="Arial" w:cs="Arial"/>
        <w:b/>
        <w:sz w:val="48"/>
      </w:rPr>
      <w:tab/>
    </w:r>
    <w:r w:rsidRPr="009A340D">
      <w:tab/>
    </w:r>
    <w:r w:rsidRPr="009A340D">
      <w:rPr>
        <w:rFonts w:ascii="Arial" w:hAnsi="Arial" w:cs="Arial"/>
        <w:b/>
        <w:sz w:val="48"/>
      </w:rPr>
      <w:t>SL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RDefault="009A340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A340D" w:rsidR="009A340D" w:rsidP="009A340D" w:rsidRDefault="009A340D">
    <w:pPr>
      <w:pStyle w:val="Footer"/>
      <w:rPr>
        <w:rFonts w:ascii="Arial" w:hAnsi="Arial" w:cs="Arial"/>
        <w:b/>
        <w:sz w:val="48"/>
      </w:rPr>
    </w:pPr>
    <w:r w:rsidRPr="009A340D">
      <w:rPr>
        <w:rFonts w:ascii="Arial" w:hAnsi="Arial" w:cs="Arial"/>
        <w:b/>
        <w:sz w:val="48"/>
      </w:rPr>
      <w:t>SL</w:t>
    </w:r>
    <w:r w:rsidRPr="009A340D">
      <w:rPr>
        <w:rFonts w:ascii="Arial" w:hAnsi="Arial" w:cs="Arial"/>
        <w:b/>
        <w:sz w:val="48"/>
      </w:rPr>
      <w:tab/>
    </w:r>
    <w:r>
      <w:fldChar w:fldCharType="begin"/>
    </w:r>
    <w:r>
      <w:instrText xml:space="preserve"> PAGE  \* MERGEFORMAT </w:instrText>
    </w:r>
    <w:r>
      <w:fldChar w:fldCharType="separate"/>
    </w:r>
    <w:r w:rsidR="00B1505B">
      <w:rPr>
        <w:noProof/>
      </w:rPr>
      <w:t>3</w:t>
    </w:r>
    <w:r>
      <w:fldChar w:fldCharType="end"/>
    </w:r>
    <w:r>
      <w:tab/>
    </w:r>
    <w:r w:rsidRPr="009A340D">
      <w:tab/>
    </w:r>
    <w:r w:rsidRPr="009A340D">
      <w:rPr>
        <w:rFonts w:ascii="Arial" w:hAnsi="Arial" w:cs="Arial"/>
        <w:b/>
        <w:sz w:val="48"/>
      </w:rPr>
      <w:t>SL</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P="009A340D" w:rsidRDefault="009A3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continuationNotice" w:id="1">
    <w:p w:rsidR="00D3190C" w:rsidRDefault="00D3190C">
      <w:pPr>
        <w:spacing w:before="0" w:after="0"/>
      </w:pPr>
    </w:p>
  </w:footnote>
  <w:footnote w:type="separator" w:id="-1">
    <w:p w:rsidR="00D3190C" w:rsidP="001E0305" w:rsidRDefault="00D3190C">
      <w:pPr>
        <w:spacing w:before="0" w:after="0"/>
      </w:pPr>
      <w:r>
        <w:separator/>
      </w:r>
    </w:p>
  </w:footnote>
  <w:footnote w:type="continuationSeparator" w:id="0">
    <w:p w:rsidR="00D3190C" w:rsidP="001E0305" w:rsidRDefault="00D3190C">
      <w:pPr>
        <w:spacing w:before="0" w:after="0"/>
      </w:pPr>
      <w:r>
        <w:continuationSeparator/>
      </w:r>
    </w:p>
  </w:footnote>
  <w:footnote w:id="2">
    <w:p w:rsidRPr="009006A8" w:rsidR="00615E10" w:rsidP="00615E10" w:rsidRDefault="00615E10">
      <w:pPr>
        <w:pStyle w:val="FootnoteText"/>
        <w:rPr>
          <w:lang w:val="it-IT"/>
        </w:rPr>
      </w:pPr>
      <w:r>
        <w:rPr>
          <w:rStyle w:val="FootnoteReference"/>
        </w:rPr>
        <w:footnoteRef/>
      </w:r>
      <w:r w:rsidRPr="009006A8">
        <w:rPr>
          <w:lang w:val="it-IT"/>
        </w:rPr>
        <w:tab/>
        <w:t>UL L 430, 18.12.2020, str. 1.</w:t>
      </w:r>
    </w:p>
  </w:footnote>
  <w:footnote w:id="3">
    <w:p w:rsidRPr="009006A8" w:rsidR="00615E10" w:rsidP="5BB9E299" w:rsidRDefault="00615E10">
      <w:pPr>
        <w:pStyle w:val="FootnoteText"/>
        <w:rPr>
          <w:lang w:val="it-IT"/>
        </w:rPr>
      </w:pPr>
      <w:r>
        <w:rPr>
          <w:rStyle w:val="FootnoteReference"/>
        </w:rPr>
        <w:footnoteRef/>
      </w:r>
      <w:r w:rsidRPr="009006A8">
        <w:rPr>
          <w:lang w:val="it-IT"/>
        </w:rPr>
        <w:tab/>
        <w:t>Člen 21(2)(e) PEU.</w:t>
      </w:r>
    </w:p>
  </w:footnote>
  <w:footnote w:id="4">
    <w:p w:rsidRPr="009006A8" w:rsidR="000354DE" w:rsidP="000354DE" w:rsidRDefault="000354DE">
      <w:pPr>
        <w:pStyle w:val="FootnoteText"/>
        <w:ind w:left="0" w:firstLine="0"/>
        <w:rPr>
          <w:lang w:val="it-IT"/>
        </w:rPr>
      </w:pPr>
      <w:r>
        <w:rPr>
          <w:rStyle w:val="FootnoteReference"/>
        </w:rPr>
        <w:footnoteRef/>
      </w:r>
      <w:r w:rsidRPr="009006A8">
        <w:rPr>
          <w:lang w:val="it-IT"/>
        </w:rPr>
        <w:tab/>
        <w:t xml:space="preserve">Vrednost opuščenih dajatev je bila izračunana na podlagi uvoza iz tretjih držav, ki niso upravičene do dajatev proste obravnave na podlagi obstoječih preferencialnih trgovinskih sporazumov z EU (kategoriji Eurostata „zunaj EU-27“ in „Vzpostavljeni trgovinski sporazumi – vsi – preferencialni (76 držav)“). </w:t>
      </w:r>
    </w:p>
  </w:footnote>
  <w:footnote w:id="5">
    <w:p w:rsidRPr="009006A8" w:rsidR="00615E10" w:rsidP="00615E10" w:rsidRDefault="00615E10">
      <w:pPr>
        <w:pStyle w:val="FootnoteText"/>
        <w:rPr>
          <w:lang w:val="it-IT"/>
        </w:rPr>
      </w:pPr>
      <w:r>
        <w:rPr>
          <w:rStyle w:val="FootnoteReference"/>
        </w:rPr>
        <w:footnoteRef/>
      </w:r>
      <w:r w:rsidRPr="009006A8">
        <w:rPr>
          <w:lang w:val="it-IT"/>
        </w:rPr>
        <w:tab/>
      </w:r>
      <w:r w:rsidRPr="009006A8">
        <w:rPr>
          <w:rStyle w:val="Footnote1"/>
          <w:lang w:val="it-IT"/>
        </w:rPr>
        <w:t>Vir: Eurostat.</w:t>
      </w:r>
    </w:p>
  </w:footnote>
  <w:footnote w:id="6">
    <w:p w:rsidRPr="009006A8" w:rsidR="001B58AE" w:rsidP="001B58AE" w:rsidRDefault="001B58AE">
      <w:pPr>
        <w:pStyle w:val="FootnoteText"/>
        <w:ind w:left="0" w:firstLine="0"/>
        <w:rPr>
          <w:lang w:val="it-IT"/>
        </w:rPr>
      </w:pPr>
      <w:r>
        <w:rPr>
          <w:rStyle w:val="FootnoteReference"/>
        </w:rPr>
        <w:footnoteRef/>
      </w:r>
      <w:r w:rsidRPr="009006A8">
        <w:rPr>
          <w:lang w:val="it-IT"/>
        </w:rPr>
        <w:tab/>
        <w:t xml:space="preserve">Vrednost opuščenih dajatev je bila izračunana na podlagi uvoza iz tretjih držav, ki niso upravičene do dajatev proste obravnave na podlagi obstoječih preferencialnih trgovinskih sporazumov z EU (kategoriji Eurostata „zunaj EU-27“ in „Vzpostavljeni trgovinski sporazumi – vsi – preferencialni (76 držav)“). </w:t>
      </w:r>
    </w:p>
  </w:footnote>
  <w:footnote w:id="7">
    <w:p w:rsidRPr="009006A8" w:rsidR="008E17D4" w:rsidP="008E17D4" w:rsidRDefault="008E17D4">
      <w:pPr>
        <w:pStyle w:val="FootnoteText"/>
        <w:rPr>
          <w:lang w:val="it-IT"/>
        </w:rPr>
      </w:pPr>
      <w:r>
        <w:rPr>
          <w:rStyle w:val="FootnoteReference"/>
        </w:rPr>
        <w:footnoteRef/>
      </w:r>
      <w:r w:rsidRPr="009006A8">
        <w:rPr>
          <w:lang w:val="it-IT"/>
        </w:rPr>
        <w:tab/>
      </w:r>
      <w:r w:rsidRPr="009006A8">
        <w:rPr>
          <w:rStyle w:val="Footnote1"/>
          <w:lang w:val="it-IT"/>
        </w:rPr>
        <w:t>Vir: Eurostat.</w:t>
      </w:r>
    </w:p>
  </w:footnote>
  <w:footnote w:id="8">
    <w:p w:rsidRPr="009006A8" w:rsidR="00BC3ADF" w:rsidP="00BC3ADF" w:rsidRDefault="00BC3ADF">
      <w:pPr>
        <w:pStyle w:val="FootnoteText"/>
        <w:rPr>
          <w:lang w:val="it-IT"/>
        </w:rPr>
      </w:pPr>
      <w:r>
        <w:rPr>
          <w:rStyle w:val="FootnoteReference"/>
        </w:rPr>
        <w:footnoteRef/>
      </w:r>
      <w:r w:rsidRPr="009006A8">
        <w:rPr>
          <w:lang w:val="it-IT"/>
        </w:rPr>
        <w:tab/>
        <w:t xml:space="preserve">Uredba (EU) 2020/2131 Evropskega parlamenta in Sveta z dne 16. decembra 2020 o odpravi carin na nekatero blago (UL L 430, 18.12.2020, str. 1, ELI:  </w:t>
      </w:r>
      <w:hyperlink w:history="1" r:id="rId1">
        <w:r w:rsidRPr="009006A8">
          <w:rPr>
            <w:rStyle w:val="Hyperlink"/>
            <w:lang w:val="it-IT"/>
          </w:rPr>
          <w:t>http://data.europa.eu/eli/reg/2020/2131/oj</w:t>
        </w:r>
      </w:hyperlink>
      <w:r w:rsidRPr="009006A8">
        <w:rPr>
          <w:lang w:val="it-IT"/>
        </w:rPr>
        <w:t>).</w:t>
      </w:r>
    </w:p>
  </w:footnote>
  <w:footnote w:id="9">
    <w:p w:rsidRPr="009006A8" w:rsidR="5BB9E299" w:rsidP="5BB9E299" w:rsidRDefault="5BB9E299">
      <w:pPr>
        <w:pStyle w:val="FootnoteText"/>
        <w:rPr>
          <w:lang w:val="it-IT"/>
        </w:rPr>
      </w:pPr>
      <w:r>
        <w:rPr>
          <w:rStyle w:val="FootnoteReference"/>
        </w:rPr>
        <w:footnoteRef/>
      </w:r>
      <w:r w:rsidRPr="009006A8">
        <w:rPr>
          <w:lang w:val="it-IT"/>
        </w:rPr>
        <w:tab/>
      </w:r>
      <w:hyperlink r:id="rId2">
        <w:r w:rsidRPr="009006A8">
          <w:rPr>
            <w:rStyle w:val="Hyperlink"/>
            <w:lang w:val="it-IT"/>
          </w:rPr>
          <w:t>Skupna izjava o okviru Združenih držav in Evropske unije za sporazum o vzajemni, pravični in uravnoteženi trgovini – Evropska komisija</w:t>
        </w:r>
      </w:hyperlink>
      <w:r w:rsidRPr="009006A8">
        <w:rPr>
          <w:lang w:val="it-IT"/>
        </w:rPr>
        <w:t xml:space="preserve">, povezava: </w:t>
      </w:r>
      <w:hyperlink r:id="rId3">
        <w:r w:rsidRPr="009006A8">
          <w:rPr>
            <w:rStyle w:val="Hyperlink"/>
            <w:lang w:val="it-IT"/>
          </w:rPr>
          <w:t>https://policy.trade.ec.europa.eu/news/joint-statement-united-states-european-union-framework-agreement-reciprocal-fair-and-balanced-trade-2025-08-21_en</w:t>
        </w:r>
      </w:hyperlink>
      <w:r w:rsidRPr="009006A8">
        <w:rPr>
          <w:lang w:val="it-IT"/>
        </w:rPr>
        <w:t xml:space="preserve"> </w:t>
      </w:r>
    </w:p>
  </w:footnote>
  <w:footnote w:id="10">
    <w:p w:rsidRPr="009006A8" w:rsidR="004D4E26" w:rsidP="004D4E26" w:rsidRDefault="004D4E26">
      <w:pPr>
        <w:pStyle w:val="FootnoteText"/>
        <w:ind w:left="0" w:firstLine="0"/>
        <w:rPr>
          <w:lang w:val="it-IT"/>
        </w:rPr>
      </w:pPr>
      <w:r>
        <w:rPr>
          <w:rStyle w:val="FootnoteReference"/>
        </w:rPr>
        <w:footnoteRef/>
      </w:r>
      <w:r w:rsidRPr="009006A8">
        <w:rPr>
          <w:lang w:val="it-IT"/>
        </w:rPr>
        <w:tab/>
        <w:t xml:space="preserve">Uredba (EU) št. 182/2011 Evropskega parlamenta in Sveta z dne 16. februarja 2011 o določitvi splošnih pravil in načel, na podlagi katerih države članice nadzirajo izvajanje izvedbenih pooblastil Komisije (UL L 55, 28.2.2011, str. 13, ELI:  </w:t>
      </w:r>
      <w:hyperlink w:history="1" r:id="rId4">
        <w:r w:rsidRPr="009006A8">
          <w:rPr>
            <w:rStyle w:val="Hyperlink"/>
            <w:lang w:val="it-IT"/>
          </w:rPr>
          <w:t>http://data.europa.eu/eli/reg/2011/182/oj</w:t>
        </w:r>
      </w:hyperlink>
      <w:r w:rsidRPr="009006A8">
        <w:rPr>
          <w:lang w:val="it-IT"/>
        </w:rPr>
        <w:t>).</w:t>
      </w:r>
    </w:p>
  </w:footnote>
  <w:footnote w:id="11">
    <w:p w:rsidRPr="009006A8" w:rsidR="004D4E26" w:rsidP="1CD92556" w:rsidRDefault="004D4E26">
      <w:pPr>
        <w:pStyle w:val="FootnoteText"/>
        <w:ind w:left="0" w:hanging="11"/>
        <w:rPr>
          <w:rFonts w:eastAsia="Calibri"/>
          <w:i/>
          <w:iCs/>
          <w:sz w:val="19"/>
          <w:szCs w:val="19"/>
          <w:lang w:val="it-IT"/>
        </w:rPr>
      </w:pPr>
      <w:r>
        <w:rPr>
          <w:rStyle w:val="FootnoteReference"/>
        </w:rPr>
        <w:footnoteRef/>
      </w:r>
      <w:r w:rsidRPr="009006A8">
        <w:rPr>
          <w:lang w:val="it-IT"/>
        </w:rPr>
        <w:tab/>
      </w:r>
      <w:r w:rsidRPr="009006A8">
        <w:rPr>
          <w:sz w:val="19"/>
          <w:lang w:val="it-IT"/>
        </w:rPr>
        <w:t xml:space="preserve">Uredba (EU) 2015/1843 Evropskega parlamenta in Sveta z dne 6. oktobra 2015 o določitvi postopkov Unije na področju skupne trgovinske politike za zagotovitev izvrševanja pravic Unije po mednarodnih pravilih trgovanja, zlasti tistih, ki so dogovorjena v okviru Svetovne trgovinske organizacije (UL L 272, 16.10.2015, str. 1, </w:t>
      </w:r>
      <w:r w:rsidRPr="009006A8">
        <w:rPr>
          <w:i/>
          <w:sz w:val="19"/>
          <w:lang w:val="it-IT"/>
        </w:rPr>
        <w:t xml:space="preserve">ELI: </w:t>
      </w:r>
      <w:hyperlink w:history="1" r:id="rId5">
        <w:r w:rsidRPr="009006A8">
          <w:rPr>
            <w:rStyle w:val="Hyperlink"/>
            <w:i/>
            <w:sz w:val="19"/>
            <w:u w:val="none"/>
            <w:lang w:val="it-IT"/>
          </w:rPr>
          <w:t>http://data.europa.eu/eli/reg/2015/1843/oj</w:t>
        </w:r>
      </w:hyperlink>
      <w:r w:rsidRPr="009006A8">
        <w:rPr>
          <w:sz w:val="19"/>
          <w:lang w:val="it-IT"/>
        </w:rPr>
        <w:t>)</w:t>
      </w:r>
      <w:r w:rsidRPr="009006A8">
        <w:rPr>
          <w:color w:val="000000" w:themeColor="text1"/>
          <w:sz w:val="19"/>
          <w:lang w:val="it-IT"/>
        </w:rPr>
        <w:t>.</w:t>
      </w:r>
    </w:p>
  </w:footnote>
  <w:footnote w:id="12">
    <w:p w:rsidRPr="009006A8" w:rsidR="001E0305" w:rsidRDefault="001E0305">
      <w:pPr>
        <w:pStyle w:val="FootnoteText"/>
        <w:rPr>
          <w:lang w:val="it-IT"/>
        </w:rPr>
      </w:pPr>
      <w:r>
        <w:rPr>
          <w:rStyle w:val="FootnoteReference"/>
        </w:rPr>
        <w:footnoteRef/>
      </w:r>
      <w:r w:rsidRPr="009006A8">
        <w:rPr>
          <w:lang w:val="it-IT"/>
        </w:rPr>
        <w:tab/>
        <w:t>Po členu 58(2), točka (a) oz. (b), finančne uredbe.</w:t>
      </w:r>
    </w:p>
  </w:footnote>
  <w:footnote w:id="13">
    <w:p w:rsidRPr="009006A8" w:rsidR="00906264" w:rsidRDefault="00906264">
      <w:pPr>
        <w:pStyle w:val="FootnoteText"/>
        <w:rPr>
          <w:lang w:val="it-IT"/>
        </w:rPr>
      </w:pPr>
      <w:r>
        <w:rPr>
          <w:rStyle w:val="FootnoteReference"/>
        </w:rPr>
        <w:footnoteRef/>
      </w:r>
      <w:r w:rsidRPr="009006A8">
        <w:rPr>
          <w:lang w:val="it-IT"/>
        </w:rPr>
        <w:tab/>
        <w:t>Pri tradicionalnih lastnih sredstvih (carine, prelevmani na sladkor) se navedejo neto zneski, tj. bruto zneski po odbitku 25 % stroškov pobiranja.</w:t>
      </w:r>
    </w:p>
  </w:footnote>
  <w:footnote w:id="14">
    <w:p w:rsidRPr="00F92333" w:rsidR="000476AF" w:rsidP="000476AF" w:rsidRDefault="000476AF">
      <w:pPr>
        <w:pStyle w:val="FootnoteText"/>
        <w:rPr>
          <w:lang w:val="fr-FR"/>
        </w:rPr>
      </w:pPr>
      <w:r>
        <w:rPr>
          <w:rStyle w:val="FootnoteReference"/>
        </w:rPr>
        <w:footnoteRef/>
      </w:r>
      <w:r w:rsidRPr="00F92333">
        <w:rPr>
          <w:lang w:val="fr-FR"/>
        </w:rPr>
        <w:tab/>
        <w:t>Uporabi se samo, če je potrebno.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15179C7A" w14:textId="7777777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RDefault="009A340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RDefault="009A340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RDefault="009A340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RDefault="009A340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RDefault="009A340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RDefault="009A340D">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RDefault="009A340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RDefault="009A340D">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RDefault="009A340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RDefault="009A34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RDefault="009A340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0D" w:rsidRDefault="009A340D">
    <w:pPr>
      <w:pStyle w:val="Header"/>
    </w:pPr>
  </w:p>
</w:hdr>
</file>

<file path=word/numbering.xml><?xml version="1.0" encoding="utf-8"?>
<w:numbering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15="http://schemas.microsoft.com/office/word/2012/wordml" w:abstractNumId="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xmlns:w15="http://schemas.microsoft.com/office/word/2012/wordml" w:abstractNumId="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hint="default" w:ascii="Symbol" w:hAnsi="Symbol"/>
      </w:rPr>
    </w:lvl>
  </w:abstractNum>
  <w:abstractNum xmlns:w15="http://schemas.microsoft.com/office/word/2012/wordml" w:abstractNumId="2"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hint="default"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xmlns:w15="http://schemas.microsoft.com/office/word/2012/wordml" w:abstractNumId="3"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hint="default" w:ascii="Symbol" w:hAnsi="Symbol"/>
      </w:rPr>
    </w:lvl>
  </w:abstractNum>
  <w:abstractNum xmlns:w15="http://schemas.microsoft.com/office/word/2012/wordml" w:abstractNumId="4"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xmlns:w15="http://schemas.microsoft.com/office/word/2012/wordml" w:abstractNumId="5"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xmlns:w15="http://schemas.microsoft.com/office/word/2012/wordml" w:abstractNumId="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xmlns:w15="http://schemas.microsoft.com/office/word/2012/wordml" w:abstractNumId="7"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hint="default" w:ascii="Symbol" w:hAnsi="Symbol"/>
      </w:rPr>
    </w:lvl>
  </w:abstractNum>
  <w:abstractNum xmlns:w15="http://schemas.microsoft.com/office/word/2012/wordml" w:abstractNumId="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hint="default" w:ascii="Symbol" w:hAnsi="Symbol"/>
      </w:rPr>
    </w:lvl>
  </w:abstractNum>
  <w:abstractNum xmlns:w15="http://schemas.microsoft.com/office/word/2012/wordml" w:abstractNumId="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hint="default" w:ascii="Symbol" w:hAnsi="Symbol"/>
      </w:rPr>
    </w:lvl>
  </w:abstractNum>
  <w:abstractNum xmlns:w15="http://schemas.microsoft.com/office/word/2012/wordml"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hint="default"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xmlns:w15="http://schemas.microsoft.com/office/word/2012/wordml" w:abstractNumId="11"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hint="default"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xmlns:w15="http://schemas.microsoft.com/office/word/2012/wordml" w:abstractNumId="12"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hint="default"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xmlns:w15="http://schemas.microsoft.com/office/word/2012/wordml" w:abstractNumId="13"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xmlns:w15="http://schemas.microsoft.com/office/word/2012/wordml" w:abstractNumId="14"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xmlns:w15="http://schemas.microsoft.com/office/word/2012/wordml" w:abstractNumId="15"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hint="default"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xmlns:w15="http://schemas.microsoft.com/office/word/2012/wordml" w:abstractNumId="1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xmlns:w15="http://schemas.microsoft.com/office/word/2012/wordml" w:abstractNumId="1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xmlns:w15="http://schemas.microsoft.com/office/word/2012/wordml"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xmlns:w15="http://schemas.microsoft.com/office/word/2012/wordml" w:abstractNumId="1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xmlns:w15="http://schemas.microsoft.com/office/word/2012/wordml" w:abstractNumId="2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xmlns:w15="http://schemas.microsoft.com/office/word/2012/wordml" w:abstractNumId="2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xmlns:w15="http://schemas.microsoft.com/office/word/2012/wordml" w:abstractNumId="2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xmlns:w15="http://schemas.microsoft.com/office/word/2012/wordml"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xmlns:w15="http://schemas.microsoft.com/office/word/2012/wordml" w:abstractNumId="2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xmlns:w15="http://schemas.microsoft.com/office/word/2012/wordml" w:abstractNumId="2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hint="default" w:ascii="Symbol" w:hAnsi="Symbol"/>
      </w:rPr>
    </w:lvl>
  </w:abstractNum>
  <w:abstractNum xmlns:w15="http://schemas.microsoft.com/office/word/2012/wordml" w:abstractNumId="2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hint="default" w:ascii="Symbol" w:hAnsi="Symbol"/>
      </w:rPr>
    </w:lvl>
  </w:abstractNum>
  <w:abstractNum xmlns:w15="http://schemas.microsoft.com/office/word/2012/wordml" w:abstractNumId="2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hint="default" w:ascii="Symbol" w:hAnsi="Symbol"/>
      </w:rPr>
    </w:lvl>
  </w:abstractNum>
  <w:abstractNum xmlns:w15="http://schemas.microsoft.com/office/word/2012/wordml" w:abstractNumId="2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hint="default" w:ascii="Symbol" w:hAnsi="Symbol"/>
      </w:rPr>
    </w:lvl>
  </w:abstractNum>
  <w:abstractNum xmlns:w15="http://schemas.microsoft.com/office/word/2012/wordml" w:abstractNumId="2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hint="default" w:ascii="Symbol" w:hAnsi="Symbol"/>
      </w:rPr>
    </w:lvl>
  </w:abstractNum>
  <w:abstractNum xmlns:w15="http://schemas.microsoft.com/office/word/2012/wordml"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footnotePr>
    <w:footnote w:id="-1"/>
    <w:footnote w:id="0"/>
    <w:footnote w:id="1"/>
  </w:footnotePr>
  <w:endnotePr>
    <w:endnote w:id="0"/>
    <w:endnote w:id="1"/>
  </w:endnotePr>
  <w:docVars>
    <w:docVar w:name="DW_DocType" w:val=""/>
    <w:docVar w:name="DW_ProcessingType" w:val=""/>
    <w:docVar w:name="Council" w:val="true"/>
    <w:docVar w:name="DocuWriteMetaData" w:val="&lt;metadataset docuwriteversion=&quot;4.12.1&quot; technicalblockguid=&quot;4875310730265016885&quot;&gt;&#13;&#10;  &lt;metadata key=&quot;md_DocumentLanguages&quot;&gt;&#13;&#10;    &lt;basicdatatypelist&gt;&#13;&#10;      &lt;language key=&quot;SL&quot; text=&quot;SL&quot; /&gt;&#13;&#10;    &lt;/basicdatatypelist&gt;&#13;&#10;  &lt;/metadata&gt;&#13;&#10;  &lt;metadata key=&quot;md_OriginalLanguages&quot;&gt;&#13;&#10;    &lt;basicdatatypelist&gt;&#13;&#10;      &lt;language key=&quot;EN&quot; text=&quot;EN&quot; /&gt;&#13;&#10;    &lt;/basicdatatypelist&gt;&#13;&#10;  &lt;/metadata&gt;&#13;&#10;  &lt;metadata key=&quot;md_UniqueHeading&quot;&gt;&#13;&#10;    &lt;basicdatatype&gt;&#13;&#10;      &lt;heading key=&quot;uh_64&quot; text=&quot;SPREMNI DOPIS&quot; /&gt;&#13;&#10;    &lt;/basicdatatype&gt;&#13;&#10;  &lt;/metadata&gt;&#13;&#10;  &lt;metadata key=&quot;md_HeadingText&quot;&gt;&#13;&#10;    &lt;headingtext text=&quot;SPREMNI DOPIS&quot;&gt;&#13;&#10;      &lt;formattedtext&gt;&#13;&#10;        &lt;xaml text=&quot;SPREMNI DOPIS&quot;&gt;&amp;lt;FlowDocument xmlns=&quot;http://schemas.microsoft.com/winfx/2006/xaml/presentation&quot;&amp;gt;&amp;lt;Paragraph&amp;gt;SPREMNI DOPIS&amp;lt;/Paragraph&amp;gt;&amp;lt;/FlowDocument&amp;gt;&lt;/xaml&gt;&#13;&#10;      &lt;/formattedtext&gt;&#13;&#10;    &lt;/headingtext&gt;&#13;&#10;  &lt;/metadata&gt;&#13;&#10;  &lt;metadata key=&quot;md_CustomFootnote&quot;&gt;&#13;&#10;    &lt;text&gt;&lt;/text&gt;&#13;&#10;  &lt;/metadata&gt;&#13;&#10;  &lt;metadata key=&quot;md_DocumentGroup&quot;&gt;&#13;&#10;    &lt;basicdatatype&gt;&#13;&#10;      &lt;document_group key=&quot;dg_07&quot; text=&quot;Note&quot; /&gt;&#13;&#10;    &lt;/basicdatatype&gt;&#13;&#10;  &lt;/metadata&gt;&#13;&#10;  &lt;metadata key=&quot;md_DocumentType&quot;&gt;&#13;&#10;    &lt;basicdatatype&gt;&#13;&#10;      &lt;doc_type key=&quot;dt_ST&quot; text=&quot;ST&quot; /&gt;&#13;&#10;    &lt;/basicdatatype&gt;&#13;&#10;  &lt;/metadata&gt;&#13;&#10;  &lt;metadata key=&quot;md_InstitutionalFramework&quot;&gt;&#13;&#10;    &lt;basicdatatype&gt;&#13;&#10;      &lt;framework key=&quot;if_01&quot; text=&quot;Svet Evropske unije&quot; institution=&quot;instfr_institution&quot; acronym=&quot;instfr_acronym&quot; /&gt;&#13;&#10;    &lt;/basicdatatype&gt;&#13;&#10;  &lt;/metadata&gt;&#13;&#10;  &lt;metadata key=&quot;md_DraftNote&quot; /&gt;&#13;&#10;  &lt;metadata key=&quot;md_DGName&quot; /&gt;&#13;&#10;  &lt;metadata key=&quot;md_ContributingService&quot; /&gt;&#13;&#10;  &lt;metadata key=&quot;md_DocumentLocation&quot;&gt;&#13;&#10;    &lt;basicdatatype&gt;&#13;&#10;      &lt;location key=&quot;loc_01&quot; text=&quot;Bruselj&quot; /&gt;&#13;&#10;    &lt;/basicdatatype&gt;&#13;&#10;  &lt;/metadata&gt;&#13;&#10;  &lt;metadata key=&quot;md_DocumentDate&quot;&gt;&#13;&#10;    &lt;text&gt;2025-08-28&lt;/text&gt;&#13;&#10;  &lt;/metadata&gt;&#13;&#10;  &lt;metadata key=&quot;md_Prefix&quot;&gt;&#13;&#10;    &lt;text&gt;&lt;/text&gt;&#13;&#10;  &lt;/metadata&gt;&#13;&#10;  &lt;metadata key=&quot;md_DocumentNumber&quot;&gt;&#13;&#10;    &lt;text&gt;12304&lt;/text&gt;&#13;&#10;  &lt;/metadata&gt;&#13;&#10;  &lt;metadata key=&quot;md_YearDocumentNumber&quot;&gt;&#13;&#10;    &lt;text&gt;2025&lt;/text&gt;&#13;&#10;  &lt;/metadata&gt;&#13;&#10;  &lt;metadata key=&quot;md_Suffixes&quot;&gt;&#13;&#10;    &lt;text&gt;&lt;/text&gt;&#13;&#10;  &lt;/metadata&gt;&#13;&#10;  &lt;metadata key=&quot;md_SuffixLanguagesInvolved&quot;&gt;&#13;&#10;    &lt;text&gt;&lt;/text&gt;&#13;&#10;  &lt;/metadata&gt;&#13;&#10;  &lt;metadata key=&quot;md_FirstRevNumber&quot;&gt;&#13;&#10;    &lt;text&gt;&lt;/text&gt;&#13;&#10;  &lt;/metadata&gt;&#13;&#10;  &lt;metadata key=&quot;md_Distribution&quot;&gt;&#13;&#10;    &lt;basicdatatype&gt;&#13;&#10;      &lt;distribution key=&quot;dis_01&quot; text=&quot;PUBLIC&quot; /&gt;&#13;&#10;    &lt;/basicdatatype&gt;&#13;&#10;  &lt;/metadata&gt;&#13;&#10;  &lt;metadata key=&quot;md_SubjectCodes&quot;&gt;&#13;&#10;    &lt;textlist&gt;&#13;&#10;      &lt;text&gt;POLCOM 197&lt;/text&gt;&#13;&#10;      &lt;text&gt;COMER 119&lt;/text&gt;&#13;&#10;      &lt;text&gt;USA 11&lt;/text&gt;&#13;&#10;      &lt;text&gt;COTRA 22&lt;/text&gt;&#13;&#10;      &lt;text&gt;CODEC 1175&lt;/text&gt;&#13;&#10;    &lt;/textlist&gt;&#13;&#10;  &lt;/metadata&gt;&#13;&#10;  &lt;metadata key=&quot;md_ThirdPartyDistributionMarkers&quot;&gt;&#13;&#10;    &lt;textlist /&gt;&#13;&#10;  &lt;/metadata&gt;&#13;&#10;  &lt;metadata key=&quot;md_Contact&quot;&gt;&#13;&#10;    &lt;text&gt;&lt;/text&gt;&#13;&#10;  &lt;/metadata&gt;&#13;&#10;  &lt;metadata key=&quot;md_ContactPhoneFax&quot;&gt;&#13;&#10;    &lt;text&gt;&lt;/text&gt;&#13;&#10;  &lt;/metadata&gt;&#13;&#10;  &lt;metadata key=&quot;md_MeetingVenue&quot; /&gt;&#13;&#10;  &lt;metadata key=&quot;md_ProvisionalVersion&quot;&gt;&#13;&#10;    &lt;text&gt;&lt;/text&gt;&#13;&#10;  &lt;/metadata&gt;&#13;&#10;  &lt;metadata key=&quot;md_PresidentInformation&quot; /&gt;&#13;&#10;  &lt;metadata key=&quot;md_MeetingNumber&quot;&gt;&#13;&#10;    &lt;text&gt;&lt;/text&gt;&#13;&#10;  &lt;/metadata&gt;&#13;&#10;  &lt;metadata key=&quot;md_CouncilConfiguration&quot; /&gt;&#13;&#10;  &lt;metadata key=&quot;md_CouncilIssue&quot; /&gt;&#13;&#10;  &lt;metadata key=&quot;md_PhoneNumber&quot;&gt;&#13;&#10;    &lt;text&gt;&lt;/text&gt;&#13;&#10;  &lt;/metadata&gt;&#13;&#10;  &lt;metadata key=&quot;md_TypeOfHeading&quot;&gt;&#13;&#10;    &lt;basicdatatype&gt;&#13;&#10;      &lt;typeofheading key=&quot;typeofhead_06&quot; text=&quot;Other&quot; /&gt;&#13;&#10;    &lt;/basicdatatype&gt;&#13;&#10;  &lt;/metadata&gt;&#13;&#10;  &lt;metadata key=&quot;md_ReplyName&quot; /&gt;&#13;&#10;  &lt;metadata key=&quot;md_EPQuestionsData&quot; /&gt;&#13;&#10;  &lt;metadata key=&quot;md_Deadline&quot; /&gt;&#13;&#10;  &lt;metadata key=&quot;md_InterinstitutionalFiles&quot;&gt;&#13;&#10;    &lt;textlist&gt;&#13;&#10;      &lt;text&gt;2025/0260 (COD)&lt;/text&gt;&#13;&#10;    &lt;/textlist&gt;&#13;&#10;  &lt;/metadata&gt;&#13;&#10;  &lt;metadata key=&quot;md_AdditionalReferences&quot;&gt;&#13;&#10;    &lt;textlist&gt;&#13;&#10;      &lt;text&gt;&lt;/text&gt;&#13;&#10;    &lt;/textlist&gt;&#13;&#10;  &lt;/metadata&gt;&#13;&#10;  &lt;metadata key=&quot;md_LEXNumber&quot;&gt;&#13;&#10;    &lt;text&gt;&lt;/text&gt;&#13;&#10;  &lt;/metadata&gt;&#13;&#10;  &lt;metadata key=&quot;md_SousEmbargo&quot;&gt;&#13;&#10;    &lt;text&gt;&lt;/text&gt;&#13;&#10;  &lt;/metadata&gt;&#13;&#10;  &lt;metadata key=&quot;md_DraftVersion&quot;&gt;&#13;&#10;    &lt;text&gt;&lt;/text&gt;&#13;&#10;  &lt;/metadata&gt;&#13;&#10;  &lt;metadata key=&quot;md_Originator&quot;&gt;&#13;&#10;    &lt;basicdatatype&gt;&#13;&#10;      &lt;originator key=&quot;or_33&quot; text=&quot;za generalno sekretarko Evropske komisije: direktorica Martine DEPREZ&quot; /&gt;&#13;&#10;    &lt;/basicdatatype&gt;&#13;&#10;  &lt;/metadata&gt;&#13;&#10;  &lt;metadata key=&quot;md_Recipient&quot;&gt;&#13;&#10;    &lt;basicdatatype&gt;&#13;&#10;      &lt;recipient key=&quot;re_47&quot; text=&quot;Thérèse BLANCHET, generalna sekretarka Sveta Evropske unije&quot; /&gt;&#13;&#10;    &lt;/basicdatatype&gt;&#13;&#10;  &lt;/metadata&gt;&#13;&#10;  &lt;metadata key=&quot;md_DateOfReceipt&quot;&gt;&#13;&#10;    &lt;text&gt;2025-08-28&lt;/text&gt;&#13;&#10;  &lt;/metadata&gt;&#13;&#10;  &lt;metadata key=&quot;md_FreeDate&quot;&gt;&#13;&#10;    &lt;textlist /&gt;&#13;&#10;  &lt;/metadata&gt;&#13;&#10;  &lt;metadata key=&quot;md_PrecedingDocuments&quot;&gt;&#13;&#10;    &lt;textlist /&gt;&#13;&#10;  &lt;/metadata&gt;&#13;&#10;  &lt;metadata key=&quot;md_CommissionDocuments&quot;&gt;&#13;&#10;    &lt;textlist&gt;&#13;&#10;      &lt;text&gt;COM(2025) 472 final&lt;/text&gt;&#13;&#10;    &lt;/textlist&gt;&#13;&#10;  &lt;/metadata&gt;&#13;&#10;  &lt;metadata key=&quot;md_DocForDWNDCL&quot; /&gt;&#13;&#10;  &lt;metadata key=&quot;md_Distribution_NewClassification&quot; /&gt;&#13;&#10;  &lt;metadata key=&quot;md_DWNDCLAuthorization&quot; /&gt;&#13;&#10;  &lt;metadata key=&quot;md_DateOfAuthorization&quot; /&gt;&#13;&#10;  &lt;metadata key=&quot;md_MeetingLocation&quot;&gt;&#13;&#10;    &lt;basicdatatype&gt;&#13;&#10;      &lt;location key=&quot;&quot; /&gt;&#13;&#10;    &lt;/basicdatatype&gt;&#13;&#10;  &lt;/metadata&gt;&#13;&#10;  &lt;metadata key=&quot;md_MeetingDate&quot;&gt;&#13;&#10;    &lt;textlist /&gt;&#13;&#10;  &lt;/metadata&gt;&#13;&#10;  &lt;metadata key=&quot;md_DateFormatOr&quot;&gt;&#13;&#10;    &lt;text&gt;&lt;/text&gt;&#13;&#10;  &lt;/metadata&gt;&#13;&#10;  &lt;metadata key=&quot;md_MeetingInformation&quot; /&gt;&#13;&#10;  &lt;metadata key=&quot;md_Item&quot; /&gt;&#13;&#10;  &lt;metadata key=&quot;md_SubjectPrefix&quot; /&gt;&#13;&#10;  &lt;metadata key=&quot;md_Subject&quot;&gt;&#13;&#10;    &lt;xaml text=&quot;Predlog UREDBA EVROPSKEGA PARLAMENTA IN SVETA o neuporabi carin za uvoz nekaterega blaga&quot;&gt;&amp;lt;FlowDocument xmlns=&quot;http://schemas.microsoft.com/winfx/2006/xaml/presentation&quot;&amp;gt;&amp;lt;Paragraph&amp;gt;Predlog&amp;lt;LineBreak /&amp;gt;UREDBA EVROPSKEGA PARLAMENTA IN SVETA&amp;lt;LineBreak /&amp;gt;o neuporabi carin za uvoz nekaterega blaga&amp;lt;/Paragraph&amp;gt;&amp;lt;/FlowDocument&amp;gt;&lt;/xaml&gt;&#13;&#10;  &lt;/metadata&gt;&#13;&#10;  &lt;metadata key=&quot;md_SubjectFootnote&quot;&gt;&#13;&#10;    &lt;text&gt;&lt;/text&gt;&#13;&#10;  &lt;/metadata&gt;&#13;&#10;  &lt;metadata key=&quot;md_DG&quot;&gt;&#13;&#10;    &lt;text&gt;COMPET.3&lt;/text&gt;&#13;&#10;  &lt;/metadata&gt;&#13;&#10;  &lt;metadata key=&quot;md_Initials&quot;&gt;&#13;&#10;    &lt;text&gt;&lt;/text&gt;&#13;&#10;  &lt;/metadata&gt;&#13;&#10;  &lt;metadata key=&quot;md_SensitivityLabel&quot;&gt;&#13;&#10;    &lt;basicdatatype&gt;&#13;&#10;      &lt;sensitivity_label key=&quot;senslabel_02&quot; text=&quot;NON-PUBLIC&quot; labelid=&quot;b1df41d6-74a9-4a97-809c-213cd32520cc&quot; siteid=&quot;03ad1c97-0a4d-4e82-8f93-27291a6a0767&quot; isdefault=&quot;true&quot; /&gt;&#13;&#10;    &lt;/basicdatatype&gt;&#13;&#10;  &lt;/metadata&gt;&#13;&#10;  &lt;metadata key=&quot;md_RectifProcedureType&quot; /&gt;&#13;&#10;  &lt;metadata key=&quot;md_RectifLanguagesBase&quot; /&gt;&#13;&#10;  &lt;metadata key=&quot;md_RectifLanguagesConcerned&quot; /&gt;&#13;&#10;  &lt;metadata key=&quot;md_RectifIsLangSpec&quot; /&gt;&#13;&#10;  &lt;metadata key=&quot;md_RectifLangSpecValue&quot; /&gt;&#13;&#10;  &lt;metadata key=&quot;md_RectifNumberOfMistakes&quot; /&gt;&#13;&#10;  &lt;metadata key=&quot;md_RectifHasRemarks&quot; /&gt;&#13;&#10;  &lt;metadata key=&quot;md_RectifUseDocRef&quot; /&gt;&#13;&#10;  &lt;metadata key=&quot;md_RectifDocRefNumber&quot; /&gt;&#13;&#10;  &lt;metadata key=&quot;md_RectifDocRefDate&quot; /&gt;&#13;&#10;  &lt;metadata key=&quot;md_RectifUseOJRef&quot; /&gt;&#13;&#10;  &lt;metadata key=&quot;md_RectifOJRefType&quot; /&gt;&#13;&#10;  &lt;metadata key=&quot;md_RectifOJLRefNumber&quot; /&gt;&#13;&#10;  &lt;metadata key=&quot;md_RectifOJCRefNumber&quot; /&gt;&#13;&#10;  &lt;metadata key=&quot;md_RectifOJLRefDate&quot; /&gt;&#13;&#10;  &lt;metadata key=&quot;md_RectifOJCRefDate&quot; /&gt;&#13;&#10;  &lt;metadata key=&quot;md_RectifOJLRefPage&quot; /&gt;&#13;&#10;  &lt;metadata key=&quot;md_RectifOJCRefPage&quot; /&gt;&#13;&#10;  &lt;metadata key=&quot;md_RectifUseOJCorRef&quot; /&gt;&#13;&#10;  &lt;metadata key=&quot;md_RectifOJCorRefNumber&quot; /&gt;&#13;&#10;  &lt;metadata key=&quot;md_RectifOJCorRefDate&quot; /&gt;&#13;&#10;  &lt;metadata key=&quot;md_RectifOJCorRefPage&quot; /&gt;&#13;&#10;  &lt;metadata key=&quot;md_RectifTimeLimit&quot; /&gt;&#13;&#10;  &lt;metadata key=&quot;md_RectifCodecision&quot; /&gt;&#13;&#10;  &lt;metadata key=&quot;md_RectifCorrectionNewLang&quot; /&gt;&#13;&#10;  &lt;metadata key=&quot;md_RectifAgreement&quot; /&gt;&#13;&#10;  &lt;metadata key=&quot;md_RectifSignature&quot; /&gt;&#13;&#10;  &lt;metadata key=&quot;md_RectifLastMergeDate&quot; /&gt;&#13;&#10;  &lt;metadata key=&quot;md_Rectif_Source1_UniqueHeading&quot; /&gt;&#13;&#10;  &lt;metadata key=&quot;md_Rectif_Source1_DocumentType&quot; /&gt;&#13;&#10;  &lt;metadata key=&quot;md_Rectif_Source1_DocumentNumber&quot; /&gt;&#13;&#10;  &lt;metadata key=&quot;md_Rectif_Source1_YearDocumentNumber&quot; /&gt;&#13;&#10;  &lt;metadata key=&quot;md_Rectif_Source1_Suffixes&quot; /&gt;&#13;&#10;  &lt;metadata key=&quot;md_Rectif_Source2_UniqueHeading&quot; /&gt;&#13;&#10;  &lt;metadata key=&quot;md_Rectif_Source2_DocumentType&quot; /&gt;&#13;&#10;  &lt;metadata key=&quot;md_Rectif_Source2_DocumentNumber&quot; /&gt;&#13;&#10;  &lt;metadata key=&quot;md_Rectif_Source2_YearDocumentNumber&quot; /&gt;&#13;&#10;  &lt;metadata key=&quot;md_Rectif_Source2_Suffixes&quot; /&gt;&#13;&#10;  &lt;metadata key=&quot;md_CoverPageDocWithCouncilFooter&quot;&gt;&#13;&#10;    &lt;text&gt;false&lt;/text&gt;&#13;&#10;  &lt;/metadata&gt;&#13;&#10;  &lt;metadata key=&quot;md_SourceDocLanguage&quot;&gt;&#13;&#10;    &lt;text&gt;SL&lt;/text&gt;&#13;&#10;  &lt;/metadata&gt;&#13;&#10;  &lt;metadata key=&quot;md_SourceDocType&quot;&gt;&#13;&#10;    &lt;text&gt;Predlog UREDBA EVROPSKEGA PARLAMENTA IN SVETA&lt;/text&gt;&#13;&#10;  &lt;/metadata&gt;&#13;&#10;  &lt;metadata key=&quot;md_SourceDocTitle&quot;&gt;&#13;&#10;    &lt;text&gt;o neuporabi carin za uvoz nekaterega blaga&lt;/text&gt;&#13;&#10;  &lt;/metadata&gt;&#13;&#10;  &lt;metadata key=&quot;md_SourceDocIsCECDoc&quot;&gt;&#13;&#10;    &lt;text&gt;true&lt;/text&gt;&#13;&#10;  &lt;/metadata&gt;&#13;&#10;  &lt;metadata key=&quot;md_NB1&quot; /&gt;&#13;&#10;  &lt;metadata key=&quot;md_NB2&quot; /&gt;&#13;&#10;  &lt;metadata key=&quot;md_NB3&quot; /&gt;&#13;&#10;  &lt;metadata key=&quot;md_NB4&quot; /&gt;&#13;&#10;  &lt;metadata key=&quot;md_NB5&quot; /&gt;&#13;&#10;  &lt;metadata key=&quot;md_CustomNB&quot; /&gt;&#13;&#10;  &lt;metadata key=&quot;md_Meetings&quot;&gt;&#13;&#10;    &lt;meetings /&gt;&#13;&#10;  &lt;/metadata&gt;&#13;&#10;  &lt;metadata key=&quot;md_VisualRepresentation&quot;&gt;&#13;&#10;    &lt;basicdatatype&gt;&#13;&#10;      &lt;originator key=&quot;visrep_02&quot; /&gt;&#13;&#10;    &lt;/basicdatatype&gt;&#13;&#10;  &lt;/metadata&gt;&#13;&#10;  &lt;metadata key=&quot;md_LetterData&quot; /&gt;&#13;&#10;  &lt;metadata key=&quot;md_InstFrSubWordmark&quot;&gt;&#13;&#10;    &lt;xaml text=&quot;&quot;&gt;&amp;lt;FlowDocument xmlns=&quot;http://schemas.microsoft.com/winfx/2006/xaml/presentation&quot;&amp;gt;&amp;lt;Paragraph&amp;gt;&amp;lt;/Paragraph&amp;gt;&amp;lt;/FlowDocument&amp;gt;&lt;/xaml&gt;&#13;&#10;  &lt;/metadata&gt;&#13;&#10;  &lt;metadata key=&quot;md_WorkflowLinkStatus&quot; /&gt;&#13;&#10;  &lt;metadata key=&quot;md_eAgendaLinkStatus&quot; /&gt;&#13;&#10;  &lt;metadata key=&quot;md_Caveat&quot; /&gt;&#13;&#10;  &lt;metadata key=&quot;md_TechnicalKey&quot; /&gt;&#13;&#10;&lt;/metadataset&gt;"/>
    <w:docVar w:name="CR_RefLast" w:val="0"/>
    <w:docVar w:name="DQCDateTime" w:val="2025-09-08 14:26:1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1EA54A4-C3B3-461B-8043-2040952B866C"/>
    <w:docVar w:name="LW_COVERPAGE_TYPE" w:val="1"/>
    <w:docVar w:name="LW_CreatedUtc" w:val="2025-08-02T16:06:28.3732873Z"/>
    <w:docVar w:name="LW_CROSSREFERENCE" w:val="&lt;UNUSED&gt;"/>
    <w:docVar w:name="LW_DocType" w:val="COM"/>
    <w:docVar w:name="LW_EMISSION" w:val="28.8.2025"/>
    <w:docVar w:name="LW_EMISSION_ISODATE" w:val="2025-08-28"/>
    <w:docVar w:name="LW_EMISSION_LOCATION" w:val="BRX"/>
    <w:docVar w:name="LW_EMISSION_PREFIX" w:val="Bruselj,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COD"/>
    <w:docVar w:name="LW_REF.II.NEW.CP_NUMBER" w:val="0260"/>
    <w:docVar w:name="LW_REF.II.NEW.CP_YEAR" w:val="2025"/>
    <w:docVar w:name="LW_REF.INST.NEW" w:val="COM"/>
    <w:docVar w:name="LW_REF.INST.NEW_ADOPTED" w:val="final"/>
    <w:docVar w:name="LW_REF.INST.NEW_TEXT" w:val="(2025) 47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neuporabi carin za uvoz nekaterega blaga"/>
    <w:docVar w:name="LW_TYPE.DOC.CP" w:val="UREDBA EVROPSKEGA PARLAMENTA IN SVETA"/>
    <w:docVar w:name="LwApiVersions" w:val="LW4CoDe 1.24.5.0; LW 9.0, Build 20240221"/>
    <w:docVar w:name="CoverPageOnWordDoc" w:val="false"/>
  </w:docVars>
  <w:rsids>
    <w:rsidRoot w:val="00A86151"/>
    <w:rsid w:val="00052D7C"/>
    <w:rsid w:val="00144FF1"/>
    <w:rsid w:val="001C16E9"/>
    <w:rsid w:val="003558E4"/>
    <w:rsid w:val="003B3627"/>
    <w:rsid w:val="003C184A"/>
    <w:rsid w:val="00443A64"/>
    <w:rsid w:val="0054146C"/>
    <w:rsid w:val="00546796"/>
    <w:rsid w:val="007F499B"/>
    <w:rsid w:val="00854E58"/>
    <w:rsid w:val="00894139"/>
    <w:rsid w:val="00A43C50"/>
    <w:rsid w:val="00A86151"/>
    <w:rsid w:val="00D3039B"/>
    <w:rsid w:val="00D93DF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075C0-6990-4042-BE74-F3D5390DE68A}"/>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attachedTemplate r:id="rId1"/>
</w:settings>
</file>

<file path=word/styles.xml><?xml version="1.0" encoding="utf-8"?>
<w:styles xmlns:w="http://schemas.openxmlformats.org/wordprocessingml/2006/main">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Heading8">
    <w:name w:val="heading 8"/>
    <w:basedOn w:val="Normal"/>
    <w:next w:val="Normal"/>
    <w:link w:val="Heading8Char"/>
    <w:uiPriority w:val="9"/>
    <w:semiHidden/>
    <w:unhideWhenUsed/>
    <w:qFormat/>
    <w:rsid w:val="00A86151"/>
    <w:pPr>
      <w:keepNext/>
      <w:keepLines/>
      <w:spacing w:line="259" w:lineRule="auto"/>
      <w:outlineLvl w:val="7"/>
    </w:pPr>
    <w:rPr>
      <w:rFonts w:asciiTheme="minorHAnsi" w:hAnsiTheme="minorHAnsi" w:eastAsiaTheme="majorEastAsia" w:cstheme="majorBidi"/>
      <w:i/>
      <w:iCs/>
      <w:color w:val="272727" w:themeColor="text1" w:themeTint="D8"/>
      <w:kern w:val="2"/>
      <w:sz w:val="22"/>
      <w:szCs w:val="22"/>
      <w:lang w:val="en-DE"/>
    </w:rPr>
  </w:style>
  <w:style w:type="paragraph" w:styleId="Heading9">
    <w:name w:val="heading 9"/>
    <w:basedOn w:val="Normal"/>
    <w:next w:val="Normal"/>
    <w:link w:val="Heading9Char"/>
    <w:uiPriority w:val="9"/>
    <w:semiHidden/>
    <w:unhideWhenUsed/>
    <w:qFormat/>
    <w:rsid w:val="00A86151"/>
    <w:pPr>
      <w:keepNext/>
      <w:keepLines/>
      <w:spacing w:line="259" w:lineRule="auto"/>
      <w:outlineLvl w:val="8"/>
    </w:pPr>
    <w:rPr>
      <w:rFonts w:asciiTheme="minorHAnsi" w:hAnsiTheme="minorHAnsi" w:eastAsiaTheme="majorEastAsia" w:cstheme="majorBidi"/>
      <w:color w:val="272727" w:themeColor="text1" w:themeTint="D8"/>
      <w:kern w:val="2"/>
      <w:sz w:val="22"/>
      <w:szCs w:val="22"/>
      <w:lang w:val="en-DE"/>
    </w:rPr>
  </w:style>
  <w:style w:type="character" w:styleId="Heading8Char" w:customStyle="1">
    <w:name w:val="Heading 8 Char"/>
    <w:basedOn w:val="DefaultParagraphFont"/>
    <w:link w:val="Heading8"/>
    <w:uiPriority w:val="9"/>
    <w:semiHidden/>
    <w:rsid w:val="00A861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86151"/>
    <w:rPr>
      <w:rFonts w:eastAsiaTheme="majorEastAsia" w:cstheme="majorBidi"/>
      <w:color w:val="272727" w:themeColor="text1" w:themeTint="D8"/>
    </w:rPr>
  </w:style>
  <w:style w:type="paragraph" w:styleId="Title">
    <w:name w:val="Title"/>
    <w:basedOn w:val="Normal"/>
    <w:next w:val="Normal"/>
    <w:link w:val="TitleChar"/>
    <w:uiPriority w:val="10"/>
    <w:qFormat/>
    <w:rsid w:val="00A86151"/>
    <w:pPr>
      <w:spacing w:after="80"/>
      <w:contextualSpacing/>
    </w:pPr>
    <w:rPr>
      <w:rFonts w:asciiTheme="majorHAnsi" w:hAnsiTheme="majorHAnsi" w:eastAsiaTheme="majorEastAsia" w:cstheme="majorBidi"/>
      <w:spacing w:val="-10"/>
      <w:kern w:val="28"/>
      <w:sz w:val="56"/>
      <w:szCs w:val="56"/>
      <w:lang w:val="en-DE"/>
    </w:rPr>
  </w:style>
  <w:style w:type="character" w:styleId="TitleChar" w:customStyle="1">
    <w:name w:val="Title Char"/>
    <w:basedOn w:val="DefaultParagraphFont"/>
    <w:link w:val="Title"/>
    <w:uiPriority w:val="10"/>
    <w:rsid w:val="00A8615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86151"/>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val="en-DE"/>
    </w:rPr>
  </w:style>
  <w:style w:type="character" w:styleId="SubtitleChar" w:customStyle="1">
    <w:name w:val="Subtitle Char"/>
    <w:basedOn w:val="DefaultParagraphFont"/>
    <w:link w:val="Subtitle"/>
    <w:uiPriority w:val="11"/>
    <w:rsid w:val="00A86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151"/>
    <w:pPr>
      <w:spacing w:before="160" w:after="160" w:line="259" w:lineRule="auto"/>
      <w:jc w:val="center"/>
    </w:pPr>
    <w:rPr>
      <w:rFonts w:asciiTheme="minorHAnsi" w:hAnsiTheme="minorHAnsi" w:eastAsiaTheme="minorHAnsi" w:cstheme="minorBidi"/>
      <w:i/>
      <w:iCs/>
      <w:color w:val="404040" w:themeColor="text1" w:themeTint="BF"/>
      <w:kern w:val="2"/>
      <w:sz w:val="22"/>
      <w:szCs w:val="22"/>
      <w:lang w:val="en-DE"/>
    </w:rPr>
  </w:style>
  <w:style w:type="character" w:styleId="QuoteChar" w:customStyle="1">
    <w:name w:val="Quote Char"/>
    <w:basedOn w:val="DefaultParagraphFont"/>
    <w:link w:val="Quote"/>
    <w:uiPriority w:val="29"/>
    <w:rsid w:val="00A86151"/>
    <w:rPr>
      <w:i/>
      <w:iCs/>
      <w:color w:val="404040" w:themeColor="text1" w:themeTint="BF"/>
    </w:rPr>
  </w:style>
  <w:style w:type="character" w:styleId="IntenseEmphasis">
    <w:name w:val="Intense Emphasis"/>
    <w:basedOn w:val="DefaultParagraphFont"/>
    <w:uiPriority w:val="21"/>
    <w:qFormat/>
    <w:rsid w:val="00A86151"/>
    <w:rPr>
      <w:i/>
      <w:iCs/>
      <w:color w:val="0F4761" w:themeColor="accent1" w:themeShade="BF"/>
    </w:rPr>
  </w:style>
  <w:style w:type="paragraph" w:styleId="IntenseQuote">
    <w:name w:val="Intense Quote"/>
    <w:basedOn w:val="Normal"/>
    <w:next w:val="Normal"/>
    <w:link w:val="IntenseQuoteChar"/>
    <w:uiPriority w:val="30"/>
    <w:qFormat/>
    <w:rsid w:val="00A86151"/>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eastAsiaTheme="minorHAnsi" w:cstheme="minorBidi"/>
      <w:i/>
      <w:iCs/>
      <w:color w:val="0F4761" w:themeColor="accent1" w:themeShade="BF"/>
      <w:kern w:val="2"/>
      <w:sz w:val="22"/>
      <w:szCs w:val="22"/>
      <w:lang w:val="en-DE"/>
    </w:rPr>
  </w:style>
  <w:style w:type="character" w:styleId="IntenseQuoteChar" w:customStyle="1">
    <w:name w:val="Intense Quote Char"/>
    <w:basedOn w:val="DefaultParagraphFont"/>
    <w:link w:val="IntenseQuote"/>
    <w:uiPriority w:val="30"/>
    <w:rsid w:val="00A86151"/>
    <w:rPr>
      <w:i/>
      <w:iCs/>
      <w:color w:val="0F4761" w:themeColor="accent1" w:themeShade="BF"/>
    </w:rPr>
  </w:style>
  <w:style w:type="character" w:styleId="IntenseReference">
    <w:name w:val="Intense Reference"/>
    <w:basedOn w:val="DefaultParagraphFont"/>
    <w:uiPriority w:val="32"/>
    <w:qFormat/>
    <w:rsid w:val="00A86151"/>
    <w:rPr>
      <w:b/>
      <w:bCs/>
      <w:smallCaps/>
      <w:color w:val="0F4761" w:themeColor="accent1" w:themeShade="BF"/>
      <w:spacing w:val="5"/>
    </w:rPr>
  </w:style>
  <w:style w:type="paragraph" w:styleId="TechnicalBlockBase" w:customStyle="1">
    <w:name w:val="TechnicalBlockBase"/>
    <w:link w:val="TechnicalBlockBaseChar"/>
    <w:rsid w:val="00894139"/>
    <w:pPr>
      <w:widowControl w:val="0"/>
      <w:spacing w:before="140" w:after="140" w:line="185" w:lineRule="auto"/>
      <w:ind w:left="260" w:right="260" w:hanging="0" w:firstLine="0"/>
      <w:jc w:val="left"/>
    </w:pPr>
    <w:rPr>
      <w:rFonts w:ascii="Arial New Roman" w:hAnsi="Arial New Roman" w:eastAsia="Times New Roman" w:cs="Arial"/>
      <w:b/>
      <w:i/>
      <w:dstrike/>
      <w:color w:val="606060"/>
      <w:w w:val="98"/>
      <w:kern w:val="0"/>
      <w:sz w:val="10"/>
      <w:szCs w:val="20"/>
      <w:u w:val="words" w:color="606060"/>
      <w:lang w:val="en-GB" w:eastAsia="fr-BE"/>
    </w:rPr>
  </w:style>
  <w:style w:type="character" w:styleId="TechnicalBlockBaseChar" w:customStyle="1">
    <w:name w:val="TechnicalBlockBase Char"/>
    <w:basedOn w:val="EntInstitChar"/>
    <w:link w:val="TechnicalBlockBase"/>
    <w:rsid w:val="00894139"/>
    <w:rPr>
      <w:rFonts w:ascii="Arial New Roman" w:hAnsi="Arial New Roman" w:eastAsia="Times New Roman" w:cs="Arial"/>
      <w:b/>
      <w:i/>
      <w:dstrike/>
      <w:color w:val="606060"/>
      <w:w w:val="98"/>
      <w:kern w:val="0"/>
      <w:sz w:val="10"/>
      <w:szCs w:val="20"/>
      <w:u w:val="words" w:color="606060"/>
      <w:lang w:val="en-GB" w:eastAsia="fr-BE"/>
    </w:rPr>
  </w:style>
  <w:style w:type="paragraph" w:styleId="TBEntRefer" w:customStyle="1">
    <w:name w:val="TBEntRefer"/>
    <w:basedOn w:val="TechnicalBlockBase"/>
    <w:link w:val="EntReferChar"/>
    <w:rsid w:val="00894139"/>
    <w:pPr>
      <w:spacing w:before="0" w:after="0" w:line="240" w:lineRule="auto"/>
      <w:ind w:left="0" w:right="0"/>
    </w:pPr>
    <w:rPr>
      <w:rFonts w:ascii="Arial" w:hAnsi="Arial"/>
      <w:i w:val="0"/>
      <w:dstrike w:val="0"/>
      <w:color w:val="auto"/>
      <w:w w:val="100"/>
      <w:sz w:val="23"/>
      <w:u w:val="none"/>
    </w:rPr>
  </w:style>
  <w:style w:type="character" w:styleId="EntReferChar" w:customStyle="1">
    <w:name w:val="EntRefer Char"/>
    <w:basedOn w:val="DefaultParagraphFont"/>
    <w:link w:val="TBEntRefer"/>
    <w:rsid w:val="00A43C50"/>
    <w:rPr>
      <w:rFonts w:ascii="Arial" w:hAnsi="Arial" w:eastAsia="Times New Roman" w:cs="Arial"/>
      <w:b/>
      <w:kern w:val="0"/>
      <w:sz w:val="23"/>
      <w:szCs w:val="20"/>
      <w:u w:color="606060"/>
      <w:lang w:val="en-GB" w:eastAsia="fr-BE"/>
    </w:rPr>
  </w:style>
  <w:style w:type="paragraph" w:styleId="TBDistrbMarkers" w:customStyle="1">
    <w:name w:val="TBDistrbMarkers"/>
    <w:basedOn w:val="TBEntRefer"/>
    <w:qFormat/>
    <w:rsid w:val="00894139"/>
    <w:pPr>
      <w:tabs>
        <w:tab w:val="left" w:pos="2262"/>
      </w:tabs>
    </w:pPr>
    <w:rPr>
      <w:i/>
      <w:iCs/>
      <w:szCs w:val="23"/>
    </w:rPr>
  </w:style>
  <w:style w:type="paragraph" w:styleId="TBEntACP" w:customStyle="1">
    <w:name w:val="TBEntACP"/>
    <w:basedOn w:val="TechnicalBlockBase"/>
    <w:rsid w:val="00A43C50"/>
    <w:pPr>
      <w:widowControl/>
      <w:spacing w:before="0" w:after="0" w:line="360" w:lineRule="auto"/>
      <w:ind w:left="0" w:right="0"/>
      <w:jc w:val="center"/>
    </w:pPr>
    <w:rPr>
      <w:rFonts w:ascii="Arial" w:hAnsi="Arial"/>
      <w:bCs/>
      <w:i w:val="0"/>
      <w:dstrike w:val="0"/>
      <w:color w:val="auto"/>
      <w:spacing w:val="40"/>
      <w:w w:val="100"/>
      <w:sz w:val="28"/>
      <w:szCs w:val="28"/>
      <w:u w:val="none"/>
    </w:rPr>
  </w:style>
  <w:style w:type="paragraph" w:styleId="TBEntInstitACP" w:customStyle="1">
    <w:name w:val="TBEntInstitACP"/>
    <w:basedOn w:val="TechnicalBlockBase"/>
    <w:rsid w:val="00A43C50"/>
    <w:pPr>
      <w:widowControl/>
      <w:spacing w:before="0" w:after="0" w:line="240" w:lineRule="auto"/>
      <w:ind w:left="0" w:right="0"/>
      <w:jc w:val="center"/>
    </w:pPr>
    <w:rPr>
      <w:rFonts w:ascii="Arial" w:hAnsi="Arial"/>
      <w:bCs/>
      <w:i w:val="0"/>
      <w:dstrike w:val="0"/>
      <w:color w:val="auto"/>
      <w:w w:val="100"/>
      <w:sz w:val="23"/>
      <w:szCs w:val="23"/>
      <w:u w:val="none"/>
    </w:rPr>
  </w:style>
  <w:style w:type="paragraph" w:styleId="TBSousEmbargo" w:customStyle="1">
    <w:name w:val="TBSousEmbargo"/>
    <w:basedOn w:val="TechnicalBlockBase"/>
    <w:qFormat/>
    <w:rsid w:val="00894139"/>
    <w:pPr>
      <w:spacing w:before="360" w:after="360" w:line="240" w:lineRule="auto"/>
      <w:ind w:left="0" w:right="0"/>
      <w:jc w:val="center"/>
    </w:pPr>
    <w:rPr>
      <w:rFonts w:ascii="Arial" w:hAnsi="Arial"/>
      <w:i w:val="0"/>
      <w:dstrike w:val="0"/>
      <w:color w:val="auto"/>
      <w:w w:val="100"/>
      <w:sz w:val="23"/>
      <w:szCs w:val="23"/>
      <w:u w:val="double"/>
    </w:rPr>
  </w:style>
  <w:style w:type="paragraph" w:styleId="TBEntInstit" w:customStyle="1">
    <w:name w:val="TBEntInstit"/>
    <w:basedOn w:val="TechnicalBlockBase"/>
    <w:link w:val="EntInstitChar"/>
    <w:rsid w:val="00894139"/>
    <w:pPr>
      <w:spacing w:before="0" w:after="60" w:line="240" w:lineRule="auto"/>
      <w:ind w:left="0" w:right="0"/>
      <w:jc w:val="right"/>
    </w:pPr>
    <w:rPr>
      <w:rFonts w:ascii="Arial" w:hAnsi="Arial"/>
      <w:i w:val="0"/>
      <w:dstrike w:val="0"/>
      <w:color w:val="auto"/>
      <w:w w:val="100"/>
      <w:sz w:val="23"/>
      <w:u w:val="none"/>
    </w:rPr>
  </w:style>
  <w:style w:type="paragraph" w:styleId="TBEntReferNew" w:customStyle="1">
    <w:name w:val="TBEntReferNew"/>
    <w:basedOn w:val="TechnicalBlockBase"/>
    <w:rsid w:val="00894139"/>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styleId="TBInstitution" w:customStyle="1">
    <w:name w:val="TBInstitution"/>
    <w:basedOn w:val="TechnicalBlockBase"/>
    <w:rsid w:val="00894139"/>
    <w:pPr>
      <w:spacing w:before="0" w:after="28" w:line="204" w:lineRule="auto"/>
      <w:ind w:left="0" w:right="0"/>
    </w:pPr>
    <w:rPr>
      <w:rFonts w:ascii="Arial" w:hAnsi="Arial"/>
      <w:i w:val="0"/>
      <w:dstrike w:val="0"/>
      <w:color w:val="626262"/>
      <w:spacing w:val="4"/>
      <w:w w:val="100"/>
      <w:sz w:val="24"/>
      <w:szCs w:val="23"/>
      <w:u w:val="none"/>
    </w:rPr>
  </w:style>
  <w:style w:type="paragraph" w:styleId="TBNormalTechnicalBlock" w:customStyle="1">
    <w:name w:val="TBNormalTechnicalBlock"/>
    <w:basedOn w:val="TechnicalBlockBase"/>
    <w:rsid w:val="00894139"/>
    <w:pPr>
      <w:spacing w:before="0" w:after="0" w:line="216" w:lineRule="auto"/>
      <w:ind w:left="0" w:right="0"/>
      <w:contextualSpacing/>
    </w:pPr>
    <w:rPr>
      <w:rFonts w:ascii="Arial" w:hAnsi="Arial"/>
      <w:i w:val="0"/>
      <w:dstrike w:val="0"/>
      <w:color w:val="auto"/>
      <w:w w:val="100"/>
      <w:sz w:val="23"/>
      <w:szCs w:val="23"/>
      <w:u w:val="none"/>
    </w:rPr>
  </w:style>
  <w:style w:type="paragraph" w:styleId="TBInstitutionSubwordmark" w:customStyle="1">
    <w:name w:val="TBInstitutionSubwordmark"/>
    <w:basedOn w:val="TechnicalBlockBase"/>
    <w:rsid w:val="00894139"/>
    <w:pPr>
      <w:spacing w:before="0" w:after="0" w:line="204" w:lineRule="auto"/>
      <w:ind w:left="0" w:right="0"/>
    </w:pPr>
    <w:rPr>
      <w:rFonts w:ascii="Arial" w:hAnsi="Arial"/>
      <w:b w:val="0"/>
      <w:i w:val="0"/>
      <w:dstrike w:val="0"/>
      <w:color w:val="626262"/>
      <w:spacing w:val="4"/>
      <w:w w:val="100"/>
      <w:sz w:val="24"/>
      <w:u w:val="none"/>
    </w:rPr>
  </w:style>
  <w:style w:type="character" w:styleId="EntInstitChar" w:customStyle="1">
    <w:name w:val="EntInstit Char"/>
    <w:basedOn w:val="DefaultParagraphFont"/>
    <w:link w:val="TBEntInstit"/>
    <w:rsid w:val="00894139"/>
    <w:rPr>
      <w:rFonts w:ascii="Arial" w:hAnsi="Arial" w:eastAsia="Times New Roman" w:cs="Arial"/>
      <w:b/>
      <w:kern w:val="0"/>
      <w:sz w:val="23"/>
      <w:szCs w:val="20"/>
      <w:u w:color="606060"/>
      <w:lang w:val="en-GB" w:eastAsia="fr-BE"/>
    </w:rPr>
  </w:style>
  <w:style w:type="paragraph" w:styleId="TBSubjectTable" w:customStyle="1">
    <w:name w:val="TBSubjectTable"/>
    <w:basedOn w:val="TechnicalBlockBase"/>
    <w:rsid w:val="002D3C08"/>
    <w:pPr>
      <w:widowControl/>
      <w:spacing w:before="40" w:after="40" w:line="240" w:lineRule="auto"/>
      <w:ind w:left="0" w:right="0"/>
    </w:pPr>
    <w:rPr>
      <w:rFonts w:ascii="Arial" w:hAnsi="Arial"/>
      <w:b w:val="0"/>
      <w:i w:val="0"/>
      <w:dstrike w:val="0"/>
      <w:color w:val="auto"/>
      <w:w w:val="100"/>
      <w:sz w:val="23"/>
      <w:u w:val="none"/>
    </w:rPr>
  </w:style>
  <w:style w:type="paragraph" w:styleId="TBDocumentGroup" w:customStyle="1">
    <w:name w:val="TBDocumentGroup"/>
    <w:basedOn w:val="TechnicalBlockBase"/>
    <w:rsid w:val="002D3C08"/>
    <w:pPr>
      <w:widowControl/>
      <w:spacing w:before="560" w:after="480" w:line="240" w:lineRule="auto"/>
      <w:ind w:left="0" w:right="0"/>
      <w:jc w:val="center"/>
    </w:pPr>
    <w:rPr>
      <w:rFonts w:ascii="Arial" w:hAnsi="Arial"/>
      <w:i w:val="0"/>
      <w:caps/>
      <w:dstrike w:val="0"/>
      <w:color w:val="auto"/>
      <w:w w:val="100"/>
      <w:sz w:val="23"/>
      <w:u w:val="single"/>
    </w:rPr>
  </w:style>
  <w:style w:type="paragraph" w:styleId="TBHeadingTable" w:customStyle="1">
    <w:name w:val="TBHeadingTable"/>
    <w:basedOn w:val="TechnicalBlockBase"/>
    <w:rsid w:val="002D3C08"/>
    <w:pPr>
      <w:widowControl/>
      <w:spacing w:before="240" w:after="40" w:line="240" w:lineRule="auto"/>
      <w:ind w:left="0" w:right="0"/>
    </w:pPr>
    <w:rPr>
      <w:rFonts w:ascii="Arial" w:hAnsi="Arial"/>
      <w:i w:val="0"/>
      <w:dstrike w:val="0"/>
      <w:color w:val="auto"/>
      <w:w w:val="100"/>
      <w:sz w:val="23"/>
      <w:u w:val="none"/>
    </w:rPr>
  </w:style>
  <w:style w:type="paragraph" w:styleId="TBSubjectBold" w:customStyle="1">
    <w:name w:val="TBSubjectBold"/>
    <w:basedOn w:val="TechnicalBlockBase"/>
    <w:rsid w:val="002D3C08"/>
    <w:pPr>
      <w:widowControl/>
      <w:spacing w:before="160" w:after="0" w:line="360" w:lineRule="auto"/>
      <w:ind w:left="0" w:right="0"/>
      <w:jc w:val="center"/>
    </w:pPr>
    <w:rPr>
      <w:rFonts w:ascii="Arial" w:hAnsi="Arial"/>
      <w:i w:val="0"/>
      <w:dstrike w:val="0"/>
      <w:color w:val="auto"/>
      <w:w w:val="100"/>
      <w:sz w:val="23"/>
      <w:u w:val="none"/>
    </w:rPr>
  </w:style>
  <w:style w:type="paragraph" w:styleId="TBSubjectText" w:customStyle="1">
    <w:name w:val="TBSubjectText"/>
    <w:basedOn w:val="TechnicalBlockBase"/>
    <w:qFormat/>
    <w:rsid w:val="002D3C08"/>
    <w:pPr>
      <w:widowControl/>
      <w:spacing w:before="40" w:after="40" w:line="240" w:lineRule="auto"/>
      <w:ind w:left="0" w:right="0"/>
    </w:pPr>
    <w:rPr>
      <w:rFonts w:ascii="Arial" w:hAnsi="Arial"/>
      <w:b w:val="0"/>
      <w:i w:val="0"/>
      <w:dstrike w:val="0"/>
      <w:color w:val="auto"/>
      <w:w w:val="100"/>
      <w:sz w:val="23"/>
      <w:u w:val="none"/>
    </w:rPr>
  </w:style>
  <w:style w:type="paragraph" w:styleId="HeaderCouncil">
    <w:name w:val="Header Council"/>
    <w:basedOn w:val="Normal"/>
    <w:uiPriority w:val="99"/>
    <w:unhideWhenUsed/>
    <w:rPr>
      <w:rFonts w:ascii="Times New Roman" w:hAnsi="Times New Roman"/>
      <w:sz w:val="2"/>
    </w:rPr>
    <w:pPr>
      <w:spacing w:before="0" w:after="0"/>
    </w:pPr>
  </w:style>
  <w:style w:type="paragraph" w:styleId="HeaderCouncilLarge">
    <w:name w:val="Header Council Large"/>
    <w:basedOn w:val="Normal"/>
    <w:uiPriority w:val="99"/>
    <w:unhideWhenUsed/>
    <w:rPr>
      <w:rFonts w:ascii="Times New Roman" w:hAnsi="Times New Roman"/>
      <w:sz w:val="2"/>
    </w:rPr>
    <w:pPr>
      <w:spacing w:before="0" w:after="440"/>
    </w:pPr>
  </w:style>
  <w:style w:type="paragraph" w:styleId="FooterCouncil">
    <w:name w:val="Footer Council"/>
    <w:basedOn w:val="Normal"/>
    <w:uiPriority w:val="99"/>
    <w:unhideWhenUsed/>
    <w:rPr>
      <w:rFonts w:ascii="Times New Roman" w:hAnsi="Times New Roman"/>
      <w:sz w:val="2"/>
    </w:rPr>
    <w:pPr>
      <w:spacing w:before="0" w:after="0"/>
    </w:pPr>
  </w:style>
  <w:style w:type="paragraph" w:styleId="FooterText">
    <w:name w:val="Footer Text"/>
    <w:basedOn w:val="Normal"/>
    <w:uiPriority w:val="99"/>
    <w:unhideWhenUsed/>
    <w:rPr>
      <w:rFonts w:ascii="Times New Roman" w:hAnsi="Times New Roman"/>
      <w:sz w:val="24"/>
      <w:color w:val="auto"/>
    </w:rPr>
    <w:pPr>
      <w:spacing w:before="0" w:after="0" w:line="240"/>
    </w:pPr>
  </w:style>
  <w:style w:type="paragraph" w:styleId="EntText">
    <w:name w:val="EntText"/>
    <w:basedOn w:val="Normal"/>
    <w:uiPriority w:val="99"/>
    <w:unhideWhenUsed/>
    <w:pPr>
      <w:spacing w:line="360"/>
    </w:pPr>
    <w:rPr>
      <w:sz w:val="24"/>
      <w:rFonts w:ascii="Times New Roman" w:hAnsi="Times New Roman"/>
    </w:rPr>
  </w:style>
  <w:style w:type="paragraph" w:styleId="Lignefinal">
    <w:name w:val="Ligne final"/>
    <w:basedOn w:val="Normal"/>
    <w:uiPriority w:val="99"/>
    <w:unhideWhenUsed/>
    <w:pPr>
      <w:spacing w:before="360" w:after="120"/>
      <w:ind w:left="3400" w:right="3400"/>
      <w:jc w:val="center"/>
      <w:pBdr>
        <w:bottom w:val="single" w:color="000000" w:sz="4" w:space="0"/>
      </w:pBdr>
    </w:pPr>
    <w:rPr>
      <w:rFonts w:ascii="Times New Roman" w:hAnsi="Times New Roman"/>
    </w:rPr>
  </w:style>
  <w:style w:type="paragraph" w:styleId="p.j.">
    <w:name w:val="p.j."/>
    <w:basedOn w:val="Normal"/>
    <w:uiPriority w:val="99"/>
    <w:unhideWhenUsed/>
    <w:pPr>
      <w:spacing w:before="1200" w:after="120"/>
      <w:ind w:left="1440" w:hanging="1440"/>
      <w:jc w:val="left"/>
    </w:pPr>
    <w:rPr>
      <w:sz w:val="24"/>
      <w:rFonts w:ascii="Times New Roman" w:hAnsi="Times New Roman"/>
    </w:rPr>
  </w:style>
  <w:style w:type="paragraph" w:styleId="Normal" w:default="1">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
      </w:numPr>
      <w:outlineLvl w:val="6"/>
    </w:pPr>
    <w:rPr>
      <w:rFonts w:eastAsiaTheme="majorEastAsia"/>
      <w:i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4">
    <w:name w:val="List Bullet 4"/>
    <w:basedOn w:val="Normal"/>
    <w:rsid w:val="001E0305"/>
    <w:pPr>
      <w:numPr>
        <w:numId w:val="2"/>
      </w:numPr>
      <w:tabs>
        <w:tab w:val="num" w:pos="360"/>
      </w:tabs>
      <w:ind w:left="0" w:firstLine="0"/>
    </w:pPr>
    <w:rPr>
      <w:rFonts w:eastAsia="Times New Roman"/>
      <w:lang w:eastAsia="de-DE"/>
    </w:rPr>
  </w:style>
  <w:style w:type="paragraph" w:styleId="ListNumber">
    <w:name w:val="List Number"/>
    <w:basedOn w:val="Normal"/>
    <w:rsid w:val="001E0305"/>
    <w:pPr>
      <w:numPr>
        <w:numId w:val="3"/>
      </w:numPr>
    </w:pPr>
    <w:rPr>
      <w:rFonts w:eastAsia="Times New Roman"/>
      <w:lang w:eastAsia="de-DE"/>
    </w:rPr>
  </w:style>
  <w:style w:type="paragraph" w:styleId="ListBullet1" w:customStyle="1">
    <w:name w:val="List Bullet 1"/>
    <w:basedOn w:val="Normal"/>
    <w:rsid w:val="001E0305"/>
    <w:pPr>
      <w:numPr>
        <w:numId w:val="4"/>
      </w:numPr>
    </w:pPr>
    <w:rPr>
      <w:rFonts w:eastAsia="Times New Roman"/>
      <w:lang w:eastAsia="de-DE"/>
    </w:rPr>
  </w:style>
  <w:style w:type="paragraph" w:styleId="ListDash" w:customStyle="1">
    <w:name w:val="List Dash"/>
    <w:basedOn w:val="Normal"/>
    <w:rsid w:val="001E0305"/>
    <w:pPr>
      <w:numPr>
        <w:numId w:val="5"/>
      </w:numPr>
    </w:pPr>
    <w:rPr>
      <w:rFonts w:eastAsia="Times New Roman"/>
      <w:lang w:eastAsia="de-DE"/>
    </w:rPr>
  </w:style>
  <w:style w:type="paragraph" w:styleId="ListDash1" w:customStyle="1">
    <w:name w:val="List Dash 1"/>
    <w:basedOn w:val="Normal"/>
    <w:rsid w:val="001E0305"/>
    <w:pPr>
      <w:numPr>
        <w:numId w:val="6"/>
      </w:numPr>
    </w:pPr>
    <w:rPr>
      <w:rFonts w:eastAsia="Times New Roman"/>
      <w:lang w:eastAsia="de-DE"/>
    </w:rPr>
  </w:style>
  <w:style w:type="paragraph" w:styleId="ListDash2" w:customStyle="1">
    <w:name w:val="List Dash 2"/>
    <w:basedOn w:val="Normal"/>
    <w:rsid w:val="001E0305"/>
    <w:pPr>
      <w:numPr>
        <w:numId w:val="7"/>
      </w:numPr>
    </w:pPr>
    <w:rPr>
      <w:rFonts w:eastAsia="Times New Roman"/>
      <w:lang w:eastAsia="de-DE"/>
    </w:rPr>
  </w:style>
  <w:style w:type="paragraph" w:styleId="ListNumberLevel2" w:customStyle="1">
    <w:name w:val="List Number (Level 2)"/>
    <w:basedOn w:val="Normal"/>
    <w:rsid w:val="001E0305"/>
    <w:pPr>
      <w:numPr>
        <w:ilvl w:val="1"/>
        <w:numId w:val="3"/>
      </w:numPr>
    </w:pPr>
    <w:rPr>
      <w:rFonts w:eastAsia="Times New Roman"/>
      <w:lang w:eastAsia="de-DE"/>
    </w:rPr>
  </w:style>
  <w:style w:type="paragraph" w:styleId="ListNumberLevel3" w:customStyle="1">
    <w:name w:val="List Number (Level 3)"/>
    <w:basedOn w:val="Normal"/>
    <w:rsid w:val="001E0305"/>
    <w:pPr>
      <w:numPr>
        <w:ilvl w:val="2"/>
        <w:numId w:val="3"/>
      </w:numPr>
    </w:pPr>
    <w:rPr>
      <w:rFonts w:eastAsia="Times New Roman"/>
      <w:lang w:eastAsia="de-DE"/>
    </w:rPr>
  </w:style>
  <w:style w:type="paragraph" w:styleId="ListNumberLevel4" w:customStyle="1">
    <w:name w:val="List Number (Level 4)"/>
    <w:basedOn w:val="Normal"/>
    <w:rsid w:val="001E0305"/>
    <w:pPr>
      <w:numPr>
        <w:ilvl w:val="3"/>
        <w:numId w:val="3"/>
      </w:numPr>
    </w:pPr>
    <w:rPr>
      <w:rFonts w:eastAsia="Times New Roman"/>
      <w:lang w:eastAsia="de-DE"/>
    </w:rPr>
  </w:style>
  <w:style w:type="table" w:styleId="TableGrid">
    <w:name w:val="Table Grid"/>
    <w:basedOn w:val="TableNormal"/>
    <w:rsid w:val="001E0305"/>
    <w:pPr>
      <w:spacing w:before="120" w:after="120" w:line="240" w:lineRule="auto"/>
      <w:jc w:val="both"/>
    </w:pPr>
    <w:rPr>
      <w:rFonts w:ascii="Times New Roman" w:hAnsi="Times New Roman" w:eastAsia="Times New Roman" w:cs="Times New Roman"/>
      <w:sz w:val="20"/>
      <w:szCs w:val="20"/>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1E0305"/>
    <w:rPr>
      <w:color w:val="0000FF"/>
      <w:u w:val="single"/>
    </w:rPr>
  </w:style>
  <w:style w:type="paragraph" w:styleId="ListBullet">
    <w:name w:val="List Bullet"/>
    <w:basedOn w:val="Normal"/>
    <w:rsid w:val="001E0305"/>
    <w:pPr>
      <w:numPr>
        <w:numId w:val="8"/>
      </w:numPr>
    </w:pPr>
    <w:rPr>
      <w:rFonts w:eastAsia="Times New Roman"/>
      <w:lang w:eastAsia="en-GB"/>
    </w:rPr>
  </w:style>
  <w:style w:type="paragraph" w:styleId="ListBullet2">
    <w:name w:val="List Bullet 2"/>
    <w:basedOn w:val="Normal"/>
    <w:rsid w:val="001E0305"/>
    <w:pPr>
      <w:numPr>
        <w:numId w:val="9"/>
      </w:numPr>
    </w:pPr>
    <w:rPr>
      <w:rFonts w:eastAsia="Times New Roman"/>
      <w:lang w:eastAsia="en-GB"/>
    </w:rPr>
  </w:style>
  <w:style w:type="paragraph" w:styleId="ListBullet3">
    <w:name w:val="List Bullet 3"/>
    <w:basedOn w:val="Normal"/>
    <w:rsid w:val="001E0305"/>
    <w:pPr>
      <w:numPr>
        <w:numId w:val="10"/>
      </w:numPr>
    </w:pPr>
    <w:rPr>
      <w:rFonts w:eastAsia="Times New Roman"/>
      <w:lang w:eastAsia="en-GB"/>
    </w:rPr>
  </w:style>
  <w:style w:type="paragraph" w:styleId="ListNumber2">
    <w:name w:val="List Number 2"/>
    <w:basedOn w:val="Normal"/>
    <w:rsid w:val="001E0305"/>
    <w:pPr>
      <w:numPr>
        <w:numId w:val="11"/>
      </w:numPr>
    </w:pPr>
    <w:rPr>
      <w:rFonts w:eastAsia="Times New Roman"/>
      <w:lang w:eastAsia="en-GB"/>
    </w:rPr>
  </w:style>
  <w:style w:type="paragraph" w:styleId="ListNumber3">
    <w:name w:val="List Number 3"/>
    <w:basedOn w:val="Normal"/>
    <w:rsid w:val="001E0305"/>
    <w:pPr>
      <w:numPr>
        <w:numId w:val="12"/>
      </w:numPr>
    </w:pPr>
    <w:rPr>
      <w:rFonts w:eastAsia="Times New Roman"/>
      <w:lang w:eastAsia="en-GB"/>
    </w:rPr>
  </w:style>
  <w:style w:type="paragraph" w:styleId="ListNumber4">
    <w:name w:val="List Number 4"/>
    <w:basedOn w:val="Normal"/>
    <w:rsid w:val="001E0305"/>
    <w:pPr>
      <w:numPr>
        <w:numId w:val="13"/>
      </w:numPr>
    </w:pPr>
    <w:rPr>
      <w:rFonts w:eastAsia="Times New Roman"/>
      <w:lang w:eastAsia="en-GB"/>
    </w:rPr>
  </w:style>
  <w:style w:type="paragraph" w:styleId="ListDash3" w:customStyle="1">
    <w:name w:val="List Dash 3"/>
    <w:basedOn w:val="Normal"/>
    <w:rsid w:val="001E0305"/>
    <w:pPr>
      <w:numPr>
        <w:numId w:val="14"/>
      </w:numPr>
    </w:pPr>
    <w:rPr>
      <w:rFonts w:eastAsia="Times New Roman"/>
      <w:lang w:eastAsia="en-GB"/>
    </w:rPr>
  </w:style>
  <w:style w:type="paragraph" w:styleId="ListDash4" w:customStyle="1">
    <w:name w:val="List Dash 4"/>
    <w:basedOn w:val="Normal"/>
    <w:rsid w:val="001E0305"/>
    <w:pPr>
      <w:numPr>
        <w:numId w:val="15"/>
      </w:numPr>
    </w:pPr>
    <w:rPr>
      <w:rFonts w:eastAsia="Times New Roman"/>
      <w:lang w:eastAsia="en-GB"/>
    </w:rPr>
  </w:style>
  <w:style w:type="paragraph" w:styleId="ListNumber1" w:customStyle="1">
    <w:name w:val="List Number 1"/>
    <w:basedOn w:val="Text1"/>
    <w:rsid w:val="001E0305"/>
    <w:pPr>
      <w:numPr>
        <w:numId w:val="16"/>
      </w:numPr>
    </w:pPr>
    <w:rPr>
      <w:rFonts w:eastAsia="Times New Roman"/>
      <w:lang w:eastAsia="en-GB"/>
    </w:rPr>
  </w:style>
  <w:style w:type="paragraph" w:styleId="ListNumber1Level2" w:customStyle="1">
    <w:name w:val="List Number 1 (Level 2)"/>
    <w:basedOn w:val="Text1"/>
    <w:rsid w:val="001E0305"/>
    <w:pPr>
      <w:numPr>
        <w:ilvl w:val="1"/>
        <w:numId w:val="16"/>
      </w:numPr>
    </w:pPr>
    <w:rPr>
      <w:rFonts w:eastAsia="Times New Roman"/>
      <w:lang w:eastAsia="en-GB"/>
    </w:rPr>
  </w:style>
  <w:style w:type="paragraph" w:styleId="ListNumber2Level2" w:customStyle="1">
    <w:name w:val="List Number 2 (Level 2)"/>
    <w:basedOn w:val="Text2"/>
    <w:rsid w:val="001E0305"/>
    <w:pPr>
      <w:numPr>
        <w:ilvl w:val="1"/>
        <w:numId w:val="11"/>
      </w:numPr>
    </w:pPr>
    <w:rPr>
      <w:rFonts w:eastAsia="Times New Roman"/>
      <w:lang w:eastAsia="en-GB"/>
    </w:rPr>
  </w:style>
  <w:style w:type="paragraph" w:styleId="ListNumber3Level2" w:customStyle="1">
    <w:name w:val="List Number 3 (Level 2)"/>
    <w:basedOn w:val="Text3"/>
    <w:rsid w:val="001E0305"/>
    <w:pPr>
      <w:numPr>
        <w:ilvl w:val="1"/>
        <w:numId w:val="12"/>
      </w:numPr>
    </w:pPr>
    <w:rPr>
      <w:rFonts w:eastAsia="Times New Roman"/>
      <w:lang w:eastAsia="en-GB"/>
    </w:rPr>
  </w:style>
  <w:style w:type="paragraph" w:styleId="ListNumber4Level2" w:customStyle="1">
    <w:name w:val="List Number 4 (Level 2)"/>
    <w:basedOn w:val="Text4"/>
    <w:rsid w:val="001E0305"/>
    <w:pPr>
      <w:numPr>
        <w:ilvl w:val="1"/>
        <w:numId w:val="13"/>
      </w:numPr>
    </w:pPr>
    <w:rPr>
      <w:rFonts w:eastAsia="Times New Roman"/>
      <w:lang w:eastAsia="en-GB"/>
    </w:rPr>
  </w:style>
  <w:style w:type="paragraph" w:styleId="ListNumber1Level3" w:customStyle="1">
    <w:name w:val="List Number 1 (Level 3)"/>
    <w:basedOn w:val="Text1"/>
    <w:rsid w:val="001E0305"/>
    <w:pPr>
      <w:numPr>
        <w:ilvl w:val="2"/>
        <w:numId w:val="16"/>
      </w:numPr>
    </w:pPr>
    <w:rPr>
      <w:rFonts w:eastAsia="Times New Roman"/>
      <w:lang w:eastAsia="en-GB"/>
    </w:rPr>
  </w:style>
  <w:style w:type="paragraph" w:styleId="ListNumber2Level3" w:customStyle="1">
    <w:name w:val="List Number 2 (Level 3)"/>
    <w:basedOn w:val="Text2"/>
    <w:rsid w:val="001E0305"/>
    <w:pPr>
      <w:numPr>
        <w:ilvl w:val="2"/>
        <w:numId w:val="11"/>
      </w:numPr>
    </w:pPr>
    <w:rPr>
      <w:rFonts w:eastAsia="Times New Roman"/>
      <w:lang w:eastAsia="en-GB"/>
    </w:rPr>
  </w:style>
  <w:style w:type="paragraph" w:styleId="ListNumber3Level3" w:customStyle="1">
    <w:name w:val="List Number 3 (Level 3)"/>
    <w:basedOn w:val="Text3"/>
    <w:rsid w:val="001E0305"/>
    <w:pPr>
      <w:numPr>
        <w:ilvl w:val="2"/>
        <w:numId w:val="12"/>
      </w:numPr>
    </w:pPr>
    <w:rPr>
      <w:rFonts w:eastAsia="Times New Roman"/>
      <w:lang w:eastAsia="en-GB"/>
    </w:rPr>
  </w:style>
  <w:style w:type="paragraph" w:styleId="ListNumber4Level3" w:customStyle="1">
    <w:name w:val="List Number 4 (Level 3)"/>
    <w:basedOn w:val="Text4"/>
    <w:rsid w:val="001E0305"/>
    <w:pPr>
      <w:numPr>
        <w:ilvl w:val="2"/>
        <w:numId w:val="13"/>
      </w:numPr>
    </w:pPr>
    <w:rPr>
      <w:rFonts w:eastAsia="Times New Roman"/>
      <w:lang w:eastAsia="en-GB"/>
    </w:rPr>
  </w:style>
  <w:style w:type="paragraph" w:styleId="ListNumber1Level4" w:customStyle="1">
    <w:name w:val="List Number 1 (Level 4)"/>
    <w:basedOn w:val="Text1"/>
    <w:rsid w:val="001E0305"/>
    <w:pPr>
      <w:numPr>
        <w:ilvl w:val="3"/>
        <w:numId w:val="16"/>
      </w:numPr>
    </w:pPr>
    <w:rPr>
      <w:rFonts w:eastAsia="Times New Roman"/>
      <w:lang w:eastAsia="en-GB"/>
    </w:rPr>
  </w:style>
  <w:style w:type="paragraph" w:styleId="ListNumber2Level4" w:customStyle="1">
    <w:name w:val="List Number 2 (Level 4)"/>
    <w:basedOn w:val="Text2"/>
    <w:rsid w:val="001E0305"/>
    <w:pPr>
      <w:numPr>
        <w:ilvl w:val="3"/>
        <w:numId w:val="11"/>
      </w:numPr>
    </w:pPr>
    <w:rPr>
      <w:rFonts w:eastAsia="Times New Roman"/>
      <w:lang w:eastAsia="en-GB"/>
    </w:rPr>
  </w:style>
  <w:style w:type="paragraph" w:styleId="ListNumber3Level4" w:customStyle="1">
    <w:name w:val="List Number 3 (Level 4)"/>
    <w:basedOn w:val="Text3"/>
    <w:rsid w:val="001E0305"/>
    <w:pPr>
      <w:numPr>
        <w:ilvl w:val="3"/>
        <w:numId w:val="12"/>
      </w:numPr>
    </w:pPr>
    <w:rPr>
      <w:rFonts w:eastAsia="Times New Roman"/>
      <w:lang w:eastAsia="en-GB"/>
    </w:rPr>
  </w:style>
  <w:style w:type="paragraph" w:styleId="ListNumber4Level4" w:customStyle="1">
    <w:name w:val="List Number 4 (Level 4)"/>
    <w:basedOn w:val="Text4"/>
    <w:rsid w:val="001E0305"/>
    <w:pPr>
      <w:numPr>
        <w:ilvl w:val="3"/>
        <w:numId w:val="13"/>
      </w:numPr>
    </w:pPr>
    <w:rPr>
      <w:rFonts w:eastAsia="Times New Roman"/>
      <w:lang w:eastAsia="en-GB"/>
    </w:rPr>
  </w:style>
  <w:style w:type="paragraph" w:styleId="Annexetitreacte" w:customStyle="1">
    <w:name w:val="Annexe titre (acte)"/>
    <w:basedOn w:val="Normal"/>
    <w:next w:val="Normal"/>
    <w:rsid w:val="001E0305"/>
    <w:pPr>
      <w:jc w:val="center"/>
    </w:pPr>
    <w:rPr>
      <w:rFonts w:eastAsia="Times New Roman"/>
      <w:b/>
      <w:u w:val="single"/>
      <w:lang w:eastAsia="en-GB"/>
    </w:rPr>
  </w:style>
  <w:style w:type="paragraph" w:styleId="Annexetitreexposglobal" w:customStyle="1">
    <w:name w:val="Annexe titre (exposé global)"/>
    <w:basedOn w:val="Normal"/>
    <w:next w:val="Normal"/>
    <w:rsid w:val="001E0305"/>
    <w:pPr>
      <w:jc w:val="center"/>
    </w:pPr>
    <w:rPr>
      <w:rFonts w:eastAsia="Times New Roman"/>
      <w:b/>
      <w:u w:val="single"/>
      <w:lang w:eastAsia="en-GB"/>
    </w:rPr>
  </w:style>
  <w:style w:type="paragraph" w:styleId="Annexetitrefichefinacte" w:customStyle="1">
    <w:name w:val="Annexe titre (fiche fin. acte)"/>
    <w:basedOn w:val="Normal"/>
    <w:next w:val="Normal"/>
    <w:rsid w:val="001E0305"/>
    <w:pPr>
      <w:jc w:val="center"/>
    </w:pPr>
    <w:rPr>
      <w:rFonts w:eastAsia="Times New Roman"/>
      <w:b/>
      <w:u w:val="single"/>
      <w:lang w:eastAsia="en-GB"/>
    </w:rPr>
  </w:style>
  <w:style w:type="paragraph" w:styleId="Annexetitrefichefinglobale" w:customStyle="1">
    <w:name w:val="Annexe titre (fiche fin. globale)"/>
    <w:basedOn w:val="Normal"/>
    <w:next w:val="Normal"/>
    <w:rsid w:val="001E0305"/>
    <w:pPr>
      <w:jc w:val="center"/>
    </w:pPr>
    <w:rPr>
      <w:rFonts w:eastAsia="Times New Roman"/>
      <w:b/>
      <w:u w:val="single"/>
      <w:lang w:eastAsia="en-GB"/>
    </w:rPr>
  </w:style>
  <w:style w:type="paragraph" w:styleId="Annexetitreglobale" w:customStyle="1">
    <w:name w:val="Annexe titre (globale)"/>
    <w:basedOn w:val="Normal"/>
    <w:next w:val="Normal"/>
    <w:rsid w:val="001E0305"/>
    <w:pPr>
      <w:jc w:val="center"/>
    </w:pPr>
    <w:rPr>
      <w:rFonts w:eastAsia="Times New Roman"/>
      <w:b/>
      <w:u w:val="single"/>
      <w:lang w:eastAsia="en-GB"/>
    </w:rPr>
  </w:style>
  <w:style w:type="paragraph" w:styleId="Exposdesmotifstitreglobal" w:customStyle="1">
    <w:name w:val="Exposé des motifs titre (global)"/>
    <w:basedOn w:val="Normal"/>
    <w:next w:val="Normal"/>
    <w:rsid w:val="001E0305"/>
    <w:pPr>
      <w:jc w:val="center"/>
    </w:pPr>
    <w:rPr>
      <w:rFonts w:eastAsia="Times New Roman"/>
      <w:b/>
      <w:u w:val="single"/>
      <w:lang w:eastAsia="en-GB"/>
    </w:rPr>
  </w:style>
  <w:style w:type="paragraph" w:styleId="Langueoriginale" w:customStyle="1">
    <w:name w:val="Langue originale"/>
    <w:basedOn w:val="Normal"/>
    <w:rsid w:val="001E0305"/>
    <w:pPr>
      <w:spacing w:before="360"/>
      <w:jc w:val="center"/>
    </w:pPr>
    <w:rPr>
      <w:rFonts w:eastAsia="Times New Roman"/>
      <w:caps/>
      <w:lang w:eastAsia="en-GB"/>
    </w:rPr>
  </w:style>
  <w:style w:type="paragraph" w:styleId="Phrasefinale" w:customStyle="1">
    <w:name w:val="Phrase finale"/>
    <w:basedOn w:val="Normal"/>
    <w:next w:val="Normal"/>
    <w:rsid w:val="001E0305"/>
    <w:pPr>
      <w:spacing w:before="360" w:after="0"/>
      <w:jc w:val="center"/>
    </w:pPr>
    <w:rPr>
      <w:rFonts w:eastAsia="Times New Roman"/>
      <w:lang w:eastAsia="en-GB"/>
    </w:rPr>
  </w:style>
  <w:style w:type="paragraph" w:styleId="Prliminairetitre" w:customStyle="1">
    <w:name w:val="Préliminaire titre"/>
    <w:basedOn w:val="Normal"/>
    <w:next w:val="Normal"/>
    <w:rsid w:val="001E0305"/>
    <w:pPr>
      <w:spacing w:before="360" w:after="360"/>
      <w:jc w:val="center"/>
    </w:pPr>
    <w:rPr>
      <w:rFonts w:eastAsia="Times New Roman"/>
      <w:b/>
      <w:lang w:eastAsia="en-GB"/>
    </w:rPr>
  </w:style>
  <w:style w:type="paragraph" w:styleId="Prliminairetype" w:customStyle="1">
    <w:name w:val="Préliminaire type"/>
    <w:basedOn w:val="Normal"/>
    <w:next w:val="Normal"/>
    <w:rsid w:val="001E0305"/>
    <w:pPr>
      <w:spacing w:before="360" w:after="0"/>
      <w:jc w:val="center"/>
    </w:pPr>
    <w:rPr>
      <w:rFonts w:eastAsia="Times New Roman"/>
      <w:b/>
      <w:lang w:eastAsia="en-GB"/>
    </w:rPr>
  </w:style>
  <w:style w:type="paragraph" w:styleId="Rfrenceinstitutionelle" w:customStyle="1">
    <w:name w:val="Référence institutionelle"/>
    <w:basedOn w:val="Normal"/>
    <w:next w:val="Statut"/>
    <w:rsid w:val="001E0305"/>
    <w:pPr>
      <w:spacing w:before="0" w:after="240"/>
      <w:ind w:left="5103"/>
      <w:jc w:val="left"/>
    </w:pPr>
    <w:rPr>
      <w:rFonts w:eastAsia="Times New Roman"/>
      <w:lang w:eastAsia="en-GB"/>
    </w:rPr>
  </w:style>
  <w:style w:type="paragraph" w:styleId="Rfrenceinterinstitutionelle" w:customStyle="1">
    <w:name w:val="Référence interinstitutionelle"/>
    <w:basedOn w:val="Normal"/>
    <w:next w:val="Statut"/>
    <w:rsid w:val="001E0305"/>
    <w:pPr>
      <w:spacing w:before="0" w:after="0"/>
      <w:ind w:left="5103"/>
      <w:jc w:val="left"/>
    </w:pPr>
    <w:rPr>
      <w:rFonts w:eastAsia="Times New Roman"/>
      <w:lang w:eastAsia="en-GB"/>
    </w:rPr>
  </w:style>
  <w:style w:type="paragraph" w:styleId="Rfrenceinterinstitutionelleprliminaire" w:customStyle="1">
    <w:name w:val="Référence interinstitutionelle (préliminaire)"/>
    <w:basedOn w:val="Normal"/>
    <w:next w:val="Normal"/>
    <w:rsid w:val="001E0305"/>
    <w:pPr>
      <w:spacing w:before="0" w:after="0"/>
      <w:ind w:left="5103"/>
      <w:jc w:val="left"/>
    </w:pPr>
    <w:rPr>
      <w:rFonts w:eastAsia="Times New Roman"/>
      <w:lang w:eastAsia="en-GB"/>
    </w:rPr>
  </w:style>
  <w:style w:type="paragraph" w:styleId="Sous-titreobjetprliminaire" w:customStyle="1">
    <w:name w:val="Sous-titre objet (préliminaire)"/>
    <w:basedOn w:val="Normal"/>
    <w:rsid w:val="001E0305"/>
    <w:pPr>
      <w:spacing w:before="0" w:after="0"/>
      <w:jc w:val="center"/>
    </w:pPr>
    <w:rPr>
      <w:rFonts w:eastAsia="Times New Roman"/>
      <w:b/>
      <w:lang w:eastAsia="en-GB"/>
    </w:rPr>
  </w:style>
  <w:style w:type="paragraph" w:styleId="Statutprliminaire" w:customStyle="1">
    <w:name w:val="Statut (préliminaire)"/>
    <w:basedOn w:val="Normal"/>
    <w:next w:val="Normal"/>
    <w:rsid w:val="001E0305"/>
    <w:pPr>
      <w:spacing w:before="360" w:after="0"/>
      <w:jc w:val="center"/>
    </w:pPr>
    <w:rPr>
      <w:rFonts w:eastAsia="Times New Roman"/>
      <w:lang w:eastAsia="en-GB"/>
    </w:rPr>
  </w:style>
  <w:style w:type="paragraph" w:styleId="Titreobjetprliminaire" w:customStyle="1">
    <w:name w:val="Titre objet (préliminaire)"/>
    <w:basedOn w:val="Normal"/>
    <w:next w:val="Normal"/>
    <w:rsid w:val="001E0305"/>
    <w:pPr>
      <w:spacing w:before="360" w:after="360"/>
      <w:jc w:val="center"/>
    </w:pPr>
    <w:rPr>
      <w:rFonts w:eastAsia="Times New Roman"/>
      <w:b/>
      <w:lang w:eastAsia="en-GB"/>
    </w:rPr>
  </w:style>
  <w:style w:type="paragraph" w:styleId="Typedudocumentprliminaire" w:customStyle="1">
    <w:name w:val="Type du document (préliminaire)"/>
    <w:basedOn w:val="Normal"/>
    <w:next w:val="Normal"/>
    <w:rsid w:val="001E0305"/>
    <w:pPr>
      <w:spacing w:before="360" w:after="0"/>
      <w:jc w:val="center"/>
    </w:pPr>
    <w:rPr>
      <w:rFonts w:eastAsia="Times New Roman"/>
      <w:b/>
      <w:lang w:eastAsia="en-GB"/>
    </w:rPr>
  </w:style>
  <w:style w:type="paragraph" w:styleId="Fichefinancirestandardtitre" w:customStyle="1">
    <w:name w:val="Fiche financière (standard) titre"/>
    <w:basedOn w:val="Normal"/>
    <w:next w:val="Normal"/>
    <w:rsid w:val="001E0305"/>
    <w:pPr>
      <w:jc w:val="center"/>
    </w:pPr>
    <w:rPr>
      <w:rFonts w:eastAsia="Times New Roman"/>
      <w:b/>
      <w:u w:val="single"/>
      <w:lang w:eastAsia="en-GB"/>
    </w:rPr>
  </w:style>
  <w:style w:type="paragraph" w:styleId="Fichefinancirestandardtitreacte" w:customStyle="1">
    <w:name w:val="Fiche financière (standard) titre (acte)"/>
    <w:basedOn w:val="Normal"/>
    <w:next w:val="Normal"/>
    <w:rsid w:val="001E0305"/>
    <w:pPr>
      <w:jc w:val="center"/>
    </w:pPr>
    <w:rPr>
      <w:rFonts w:eastAsia="Times New Roman"/>
      <w:b/>
      <w:u w:val="single"/>
      <w:lang w:eastAsia="en-GB"/>
    </w:rPr>
  </w:style>
  <w:style w:type="paragraph" w:styleId="Fichefinanciretravailtitre" w:customStyle="1">
    <w:name w:val="Fiche financière (travail) titre"/>
    <w:basedOn w:val="Normal"/>
    <w:next w:val="Normal"/>
    <w:rsid w:val="001E0305"/>
    <w:pPr>
      <w:jc w:val="center"/>
    </w:pPr>
    <w:rPr>
      <w:rFonts w:eastAsia="Times New Roman"/>
      <w:b/>
      <w:u w:val="single"/>
      <w:lang w:eastAsia="en-GB"/>
    </w:rPr>
  </w:style>
  <w:style w:type="paragraph" w:styleId="Fichefinanciretravailtitreacte" w:customStyle="1">
    <w:name w:val="Fiche financière (travail) titre (acte)"/>
    <w:basedOn w:val="Normal"/>
    <w:next w:val="Normal"/>
    <w:rsid w:val="001E0305"/>
    <w:pPr>
      <w:jc w:val="center"/>
    </w:pPr>
    <w:rPr>
      <w:rFonts w:eastAsia="Times New Roman"/>
      <w:b/>
      <w:u w:val="single"/>
      <w:lang w:eastAsia="en-GB"/>
    </w:rPr>
  </w:style>
  <w:style w:type="paragraph" w:styleId="Fichefinancireattributiontitre" w:customStyle="1">
    <w:name w:val="Fiche financière (attribution) titre"/>
    <w:basedOn w:val="Normal"/>
    <w:next w:val="Normal"/>
    <w:rsid w:val="001E0305"/>
    <w:pPr>
      <w:jc w:val="center"/>
    </w:pPr>
    <w:rPr>
      <w:rFonts w:eastAsia="Times New Roman"/>
      <w:b/>
      <w:u w:val="single"/>
      <w:lang w:eastAsia="en-GB"/>
    </w:rPr>
  </w:style>
  <w:style w:type="paragraph" w:styleId="Fichefinancireattributiontitreacte" w:customStyle="1">
    <w:name w:val="Fiche financière (attribution) titre (acte)"/>
    <w:basedOn w:val="Normal"/>
    <w:next w:val="Normal"/>
    <w:rsid w:val="001E0305"/>
    <w:pPr>
      <w:jc w:val="center"/>
    </w:pPr>
    <w:rPr>
      <w:rFonts w:eastAsia="Times New Roman"/>
      <w:b/>
      <w:u w:val="single"/>
      <w:lang w:eastAsia="en-GB"/>
    </w:rPr>
  </w:style>
  <w:style w:type="character" w:styleId="CommentReference">
    <w:name w:val="annotation reference"/>
    <w:rsid w:val="001E0305"/>
    <w:rPr>
      <w:rFonts w:cs="Times New Roman"/>
      <w:sz w:val="16"/>
      <w:szCs w:val="16"/>
    </w:rPr>
  </w:style>
  <w:style w:type="paragraph" w:styleId="CommentText">
    <w:name w:val="annotation text"/>
    <w:basedOn w:val="Normal"/>
    <w:link w:val="CommentTextChar"/>
    <w:rsid w:val="001E0305"/>
    <w:rPr>
      <w:rFonts w:eastAsia="Times New Roman"/>
      <w:sz w:val="20"/>
      <w:szCs w:val="20"/>
      <w:lang w:eastAsia="en-GB"/>
    </w:rPr>
  </w:style>
  <w:style w:type="character" w:styleId="CommentTextChar" w:customStyle="1">
    <w:name w:val="Comment Text Char"/>
    <w:basedOn w:val="DefaultParagraphFont"/>
    <w:link w:val="CommentText"/>
    <w:rsid w:val="001E0305"/>
    <w:rPr>
      <w:rFonts w:ascii="Times New Roman" w:hAnsi="Times New Roman" w:eastAsia="Times New Roman" w:cs="Times New Roman"/>
      <w:sz w:val="20"/>
      <w:szCs w:val="20"/>
      <w:lang w:val="sl-SI" w:eastAsia="en-GB"/>
    </w:rPr>
  </w:style>
  <w:style w:type="paragraph" w:styleId="CommentSubject">
    <w:name w:val="annotation subject"/>
    <w:basedOn w:val="CommentText"/>
    <w:next w:val="CommentText"/>
    <w:link w:val="CommentSubjectChar"/>
    <w:rsid w:val="001E0305"/>
    <w:rPr>
      <w:b/>
      <w:bCs/>
    </w:rPr>
  </w:style>
  <w:style w:type="character" w:styleId="CommentSubjectChar" w:customStyle="1">
    <w:name w:val="Comment Subject Char"/>
    <w:basedOn w:val="CommentTextChar"/>
    <w:link w:val="CommentSubject"/>
    <w:rsid w:val="001E0305"/>
    <w:rPr>
      <w:rFonts w:ascii="Times New Roman" w:hAnsi="Times New Roman" w:eastAsia="Times New Roman" w:cs="Times New Roman"/>
      <w:b/>
      <w:bCs/>
      <w:sz w:val="20"/>
      <w:szCs w:val="20"/>
      <w:lang w:val="sl-SI" w:eastAsia="en-GB"/>
    </w:rPr>
  </w:style>
  <w:style w:type="paragraph" w:styleId="BalloonText">
    <w:name w:val="Balloon Text"/>
    <w:basedOn w:val="Normal"/>
    <w:link w:val="BalloonTextChar"/>
    <w:rsid w:val="001E0305"/>
    <w:rPr>
      <w:rFonts w:ascii="Tahoma" w:hAnsi="Tahoma" w:eastAsia="Times New Roman" w:cs="Tahoma"/>
      <w:sz w:val="16"/>
      <w:szCs w:val="16"/>
      <w:lang w:eastAsia="en-GB"/>
    </w:rPr>
  </w:style>
  <w:style w:type="character" w:styleId="BalloonTextChar" w:customStyle="1">
    <w:name w:val="Balloon Text Char"/>
    <w:basedOn w:val="DefaultParagraphFont"/>
    <w:link w:val="BalloonText"/>
    <w:rsid w:val="001E0305"/>
    <w:rPr>
      <w:rFonts w:ascii="Tahoma" w:hAnsi="Tahoma" w:eastAsia="Times New Roman" w:cs="Tahoma"/>
      <w:sz w:val="16"/>
      <w:szCs w:val="16"/>
      <w:lang w:val="sl-SI" w:eastAsia="en-GB"/>
    </w:rPr>
  </w:style>
  <w:style w:type="paragraph" w:styleId="Caption">
    <w:name w:val="caption"/>
    <w:basedOn w:val="Normal"/>
    <w:next w:val="Normal"/>
    <w:qFormat/>
    <w:rsid w:val="001E0305"/>
    <w:rPr>
      <w:rFonts w:eastAsia="Times New Roman"/>
      <w:b/>
      <w:bCs/>
      <w:sz w:val="20"/>
      <w:szCs w:val="20"/>
      <w:lang w:eastAsia="en-GB"/>
    </w:rPr>
  </w:style>
  <w:style w:type="paragraph" w:styleId="TableofFigures">
    <w:name w:val="table of figures"/>
    <w:basedOn w:val="Normal"/>
    <w:next w:val="Normal"/>
    <w:rsid w:val="001E0305"/>
    <w:rPr>
      <w:rFonts w:eastAsia="Times New Roman"/>
      <w:lang w:eastAsia="en-GB"/>
    </w:rPr>
  </w:style>
  <w:style w:type="character" w:styleId="PageNumber">
    <w:name w:val="page number"/>
    <w:rsid w:val="001E0305"/>
  </w:style>
  <w:style w:type="character" w:styleId="tw4winMark" w:customStyle="1">
    <w:name w:val="tw4winMark"/>
    <w:rsid w:val="001E0305"/>
    <w:rPr>
      <w:vanish/>
      <w:color w:val="800080"/>
      <w:vertAlign w:val="subscript"/>
    </w:rPr>
  </w:style>
  <w:style w:type="character" w:styleId="FollowedHyperlink">
    <w:name w:val="FollowedHyperlink"/>
    <w:rsid w:val="001E0305"/>
    <w:rPr>
      <w:color w:val="800080"/>
      <w:u w:val="single"/>
    </w:rPr>
  </w:style>
  <w:style w:type="paragraph" w:styleId="Sous-titreobjet" w:customStyle="1">
    <w:name w:val="Sous-titre objet"/>
    <w:basedOn w:val="Normal"/>
    <w:rsid w:val="001E0305"/>
    <w:pPr>
      <w:spacing w:before="0" w:after="0"/>
      <w:jc w:val="center"/>
    </w:pPr>
    <w:rPr>
      <w:rFonts w:eastAsia="Times New Roman"/>
      <w:b/>
      <w:lang w:eastAsia="en-GB"/>
    </w:rPr>
  </w:style>
  <w:style w:type="paragraph" w:styleId="Sous-titreobjetPagedecouverture" w:customStyle="1">
    <w:name w:val="Sous-titre objet (Page de couverture)"/>
    <w:basedOn w:val="Sous-titreobjet"/>
    <w:rsid w:val="001E0305"/>
  </w:style>
  <w:style w:type="paragraph" w:styleId="Revision">
    <w:name w:val="Revision"/>
    <w:hidden/>
    <w:uiPriority w:val="99"/>
    <w:semiHidden/>
    <w:rsid w:val="001E0305"/>
    <w:rPr>
      <w:rFonts w:ascii="Calibri" w:hAnsi="Calibri" w:eastAsia="Calibri" w:cs="Times New Roman"/>
      <w:sz w:val="24"/>
      <w:lang w:eastAsia="en-GB"/>
    </w:rPr>
  </w:style>
  <w:style w:type="paragraph" w:styleId="FooterCoverPage" w:customStyle="1">
    <w:name w:val="Footer Cover Page"/>
    <w:basedOn w:val="Normal"/>
    <w:link w:val="FooterCoverPageChar"/>
    <w:rsid w:val="001E0305"/>
    <w:pPr>
      <w:tabs>
        <w:tab w:val="center" w:pos="4535"/>
        <w:tab w:val="right" w:pos="9071"/>
        <w:tab w:val="right" w:pos="9921"/>
      </w:tabs>
      <w:spacing w:before="360" w:after="0"/>
      <w:ind w:left="-850" w:right="-850"/>
      <w:jc w:val="left"/>
    </w:pPr>
    <w:rPr>
      <w:rFonts w:eastAsia="Calibri"/>
      <w:lang w:eastAsia="en-GB"/>
    </w:rPr>
  </w:style>
  <w:style w:type="character" w:styleId="TOCHeadingChar" w:customStyle="1">
    <w:name w:val="TOC Heading Char"/>
    <w:uiPriority w:val="39"/>
    <w:rsid w:val="001E0305"/>
    <w:rPr>
      <w:rFonts w:ascii="Times New Roman" w:hAnsi="Times New Roman" w:cs="Times New Roman"/>
      <w:b/>
      <w:sz w:val="28"/>
      <w:lang w:val="sl-SI"/>
    </w:rPr>
  </w:style>
  <w:style w:type="character" w:styleId="FooterCoverPageChar" w:customStyle="1">
    <w:name w:val="Footer Cover Page Char"/>
    <w:link w:val="FooterCoverPage"/>
    <w:rsid w:val="001E0305"/>
    <w:rPr>
      <w:rFonts w:ascii="Times New Roman" w:hAnsi="Times New Roman" w:eastAsia="Calibri" w:cs="Times New Roman"/>
      <w:sz w:val="24"/>
      <w:lang w:val="sl-SI" w:eastAsia="en-GB"/>
    </w:rPr>
  </w:style>
  <w:style w:type="paragraph" w:styleId="HeaderCoverPage" w:customStyle="1">
    <w:name w:val="Header Cover Page"/>
    <w:basedOn w:val="Normal"/>
    <w:link w:val="HeaderCoverPageChar"/>
    <w:rsid w:val="001E0305"/>
    <w:pPr>
      <w:tabs>
        <w:tab w:val="center" w:pos="4535"/>
        <w:tab w:val="right" w:pos="9071"/>
      </w:tabs>
      <w:spacing w:before="0"/>
    </w:pPr>
    <w:rPr>
      <w:rFonts w:eastAsia="Calibri"/>
      <w:lang w:eastAsia="en-GB"/>
    </w:rPr>
  </w:style>
  <w:style w:type="character" w:styleId="HeaderCoverPageChar" w:customStyle="1">
    <w:name w:val="Header Cover Page Char"/>
    <w:link w:val="HeaderCoverPage"/>
    <w:rsid w:val="001E0305"/>
    <w:rPr>
      <w:rFonts w:ascii="Times New Roman" w:hAnsi="Times New Roman" w:eastAsia="Calibri" w:cs="Times New Roman"/>
      <w:sz w:val="24"/>
      <w:lang w:val="sl-SI" w:eastAsia="en-GB"/>
    </w:rPr>
  </w:style>
  <w:style w:type="character" w:styleId="FooterSensitivityChar" w:customStyle="1">
    <w:name w:val="Footer Sensitivity Char"/>
    <w:rsid w:val="001E0305"/>
    <w:rPr>
      <w:rFonts w:ascii="Times New Roman" w:hAnsi="Times New Roman" w:cs="Times New Roman"/>
      <w:b/>
      <w:sz w:val="32"/>
      <w:lang w:val="sl-SI"/>
    </w:rPr>
  </w:style>
  <w:style w:type="character" w:styleId="HeaderSensitivityChar" w:customStyle="1">
    <w:name w:val="Header Sensitivity Char"/>
    <w:rsid w:val="001E0305"/>
    <w:rPr>
      <w:rFonts w:ascii="Times New Roman" w:hAnsi="Times New Roman" w:cs="Times New Roman"/>
      <w:b/>
      <w:sz w:val="32"/>
      <w:lang w:val="sl-SI"/>
    </w:rPr>
  </w:style>
  <w:style w:type="character" w:styleId="HeaderSensitivityRightChar" w:customStyle="1">
    <w:name w:val="Header Sensitivity Right Char"/>
    <w:rsid w:val="001E0305"/>
    <w:rPr>
      <w:rFonts w:ascii="Times New Roman" w:hAnsi="Times New Roman" w:cs="Times New Roman"/>
      <w:sz w:val="28"/>
      <w:lang w:val="sl-SI"/>
    </w:rPr>
  </w:style>
  <w:style w:type="paragraph" w:styleId="LegalNumPar" w:customStyle="1">
    <w:name w:val="LegalNumPar"/>
    <w:basedOn w:val="Normal"/>
    <w:rsid w:val="001E0305"/>
    <w:pPr>
      <w:numPr>
        <w:numId w:val="17"/>
      </w:numPr>
      <w:spacing w:line="360" w:lineRule="auto"/>
    </w:pPr>
    <w:rPr>
      <w:rFonts w:eastAsia="Times New Roman"/>
      <w:lang w:eastAsia="en-GB"/>
    </w:rPr>
  </w:style>
  <w:style w:type="paragraph" w:styleId="LegalNumPar2" w:customStyle="1">
    <w:name w:val="LegalNumPar2"/>
    <w:basedOn w:val="Normal"/>
    <w:rsid w:val="001E0305"/>
    <w:pPr>
      <w:numPr>
        <w:ilvl w:val="1"/>
        <w:numId w:val="17"/>
      </w:numPr>
      <w:spacing w:line="360" w:lineRule="auto"/>
    </w:pPr>
    <w:rPr>
      <w:rFonts w:eastAsia="Times New Roman"/>
      <w:lang w:eastAsia="en-GB"/>
    </w:rPr>
  </w:style>
  <w:style w:type="paragraph" w:styleId="LegalNumPar3" w:customStyle="1">
    <w:name w:val="LegalNumPar3"/>
    <w:basedOn w:val="Normal"/>
    <w:rsid w:val="001E0305"/>
    <w:pPr>
      <w:numPr>
        <w:ilvl w:val="2"/>
        <w:numId w:val="17"/>
      </w:numPr>
      <w:spacing w:line="360" w:lineRule="auto"/>
    </w:pPr>
    <w:rPr>
      <w:rFonts w:eastAsia="Times New Roman"/>
      <w:lang w:eastAsia="en-GB"/>
    </w:rPr>
  </w:style>
  <w:style w:type="paragraph" w:styleId="ListParagraph">
    <w:name w:val="List Paragraph"/>
    <w:basedOn w:val="Normal"/>
    <w:uiPriority w:val="34"/>
    <w:qFormat/>
    <w:rsid w:val="001E0305"/>
    <w:pPr>
      <w:ind w:left="720"/>
      <w:contextualSpacing/>
    </w:pPr>
    <w:rPr>
      <w:rFonts w:eastAsia="Times New Roman"/>
      <w:lang w:eastAsia="en-GB"/>
    </w:rPr>
  </w:style>
  <w:style w:type="character" w:styleId="UnresolvedMention" w:customStyle="1">
    <w:name w:val="Unresolved Mention"/>
    <w:basedOn w:val="DefaultParagraphFont"/>
    <w:uiPriority w:val="99"/>
    <w:semiHidden/>
    <w:unhideWhenUsed/>
    <w:rsid w:val="001E0305"/>
    <w:rPr>
      <w:color w:val="605E5C"/>
      <w:shd w:val="clear" w:color="auto" w:fill="E1DFDD"/>
    </w:rPr>
  </w:style>
  <w:style w:type="character" w:styleId="Strong">
    <w:name w:val="Strong"/>
    <w:basedOn w:val="DefaultParagraphFont"/>
    <w:qFormat/>
    <w:rsid w:val="001E0305"/>
    <w:rPr>
      <w:b/>
      <w:bCs/>
    </w:rPr>
  </w:style>
  <w:style w:type="character" w:styleId="Emphasis">
    <w:name w:val="Emphasis"/>
    <w:basedOn w:val="DefaultParagraphFont"/>
    <w:qFormat/>
    <w:rsid w:val="001E0305"/>
    <w:rPr>
      <w:i/>
      <w:iCs/>
    </w:rPr>
  </w:style>
  <w:style w:type="character" w:styleId="Mention" w:customStyle="1">
    <w:name w:val="Mention"/>
    <w:basedOn w:val="DefaultParagraphFont"/>
    <w:uiPriority w:val="99"/>
    <w:unhideWhenUsed/>
    <w:rsid w:val="001E0305"/>
    <w:rPr>
      <w:color w:val="2B579A"/>
      <w:shd w:val="clear" w:color="auto" w:fill="E1DFDD"/>
    </w:rPr>
  </w:style>
  <w:style w:type="character" w:styleId="normaltextrun" w:customStyle="1">
    <w:name w:val="normaltextrun"/>
    <w:basedOn w:val="DefaultParagraphFont"/>
    <w:rsid w:val="001E0305"/>
  </w:style>
  <w:style w:type="character" w:styleId="eop" w:customStyle="1">
    <w:name w:val="eop"/>
    <w:basedOn w:val="DefaultParagraphFont"/>
    <w:rsid w:val="001E0305"/>
  </w:style>
  <w:style w:type="paragraph" w:styleId="oj-doc-ti" w:customStyle="1">
    <w:name w:val="oj-doc-ti"/>
    <w:basedOn w:val="Normal"/>
    <w:rsid w:val="00615E10"/>
    <w:pPr>
      <w:spacing w:before="100" w:beforeAutospacing="1" w:after="100" w:afterAutospacing="1"/>
      <w:jc w:val="left"/>
    </w:pPr>
    <w:rPr>
      <w:rFonts w:eastAsia="Times New Roman"/>
      <w:szCs w:val="24"/>
      <w:lang w:eastAsia="en-IE"/>
    </w:rPr>
  </w:style>
  <w:style w:type="character" w:styleId="Footnote1" w:customStyle="1">
    <w:name w:val="Footnote|1_"/>
    <w:basedOn w:val="DefaultParagraphFont"/>
    <w:link w:val="Footnote10"/>
    <w:rsid w:val="00615E10"/>
    <w:rPr>
      <w:sz w:val="20"/>
      <w:szCs w:val="20"/>
    </w:rPr>
  </w:style>
  <w:style w:type="paragraph" w:styleId="Footnote10" w:customStyle="1">
    <w:name w:val="Footnote|1"/>
    <w:basedOn w:val="Normal"/>
    <w:link w:val="Footnote1"/>
    <w:rsid w:val="00615E10"/>
    <w:pPr>
      <w:widowControl w:val="0"/>
      <w:spacing w:before="0" w:after="0"/>
      <w:ind w:firstLine="730"/>
      <w:jc w:val="left"/>
    </w:pPr>
    <w:rPr>
      <w:rFonts w:asciiTheme="minorHAnsi" w:hAnsiTheme="minorHAnsi" w:cstheme="minorBidi"/>
      <w:sz w:val="20"/>
      <w:szCs w:val="20"/>
    </w:rPr>
  </w:style>
  <w:style w:type="character" w:styleId="Bodytext1" w:customStyle="1">
    <w:name w:val="Body text|1_"/>
    <w:basedOn w:val="DefaultParagraphFont"/>
    <w:link w:val="Bodytext10"/>
    <w:rsid w:val="004D4E26"/>
  </w:style>
  <w:style w:type="paragraph" w:styleId="Bodytext10" w:customStyle="1">
    <w:name w:val="Body text|1"/>
    <w:basedOn w:val="Normal"/>
    <w:link w:val="Bodytext1"/>
    <w:rsid w:val="004D4E26"/>
    <w:pPr>
      <w:widowControl w:val="0"/>
      <w:spacing w:before="0" w:after="100"/>
      <w:jc w:val="left"/>
    </w:pPr>
    <w:rPr>
      <w:rFonts w:asciiTheme="minorHAnsi" w:hAnsiTheme="minorHAnsi" w:cstheme="minorBidi"/>
      <w:sz w:val="22"/>
    </w:rPr>
  </w:style>
  <w:style w:type="character" w:styleId="Tablecaption1" w:customStyle="1">
    <w:name w:val="Table caption|1_"/>
    <w:basedOn w:val="DefaultParagraphFont"/>
    <w:link w:val="Tablecaption10"/>
    <w:rsid w:val="00966E3A"/>
    <w:rPr>
      <w:sz w:val="20"/>
      <w:szCs w:val="20"/>
    </w:rPr>
  </w:style>
  <w:style w:type="paragraph" w:styleId="Tablecaption10" w:customStyle="1">
    <w:name w:val="Table caption|1"/>
    <w:basedOn w:val="Normal"/>
    <w:link w:val="Tablecaption1"/>
    <w:rsid w:val="00966E3A"/>
    <w:pPr>
      <w:widowControl w:val="0"/>
      <w:spacing w:before="0" w:after="0"/>
      <w:jc w:val="left"/>
    </w:pPr>
    <w:rPr>
      <w:rFonts w:asciiTheme="minorHAnsi" w:hAnsiTheme="minorHAnsi" w:cstheme="minorBidi"/>
      <w:sz w:val="20"/>
      <w:szCs w:val="20"/>
    </w:rPr>
  </w:style>
  <w:style w:type="character" w:styleId="HeaderChar" w:customStyle="1">
    <w:name w:val="Header Char"/>
    <w:basedOn w:val="DefaultParagraphFont"/>
    <w:link w:val="Header"/>
    <w:uiPriority w:val="99"/>
    <w:rsid w:val="009A340D"/>
    <w:rPr>
      <w:rFonts w:ascii="Times New Roman" w:hAnsi="Times New Roman" w:cs="Times New Roman"/>
      <w:sz w:val="24"/>
      <w:lang w:val="sl-SI"/>
    </w:rPr>
  </w:style>
  <w:style w:type="character" w:styleId="FooterChar" w:customStyle="1">
    <w:name w:val="Footer Char"/>
    <w:basedOn w:val="DefaultParagraphFont"/>
    <w:link w:val="Footer"/>
    <w:uiPriority w:val="99"/>
    <w:rsid w:val="009A340D"/>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styleId="FootnoteTextChar" w:customStyle="1">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styleId="Heading1Char" w:customStyle="1">
    <w:name w:val="Heading 1 Char"/>
    <w:basedOn w:val="DefaultParagraphFont"/>
    <w:link w:val="Heading1"/>
    <w:uiPriority w:val="9"/>
    <w:rPr>
      <w:rFonts w:ascii="Times New Roman" w:hAnsi="Times New Roman" w:cs="Times New Roman" w:eastAsiaTheme="majorEastAsia"/>
      <w:b/>
      <w:bCs/>
      <w:smallCaps/>
      <w:sz w:val="24"/>
      <w:szCs w:val="28"/>
      <w:shd w:val="clear" w:color="auto" w:fill="auto"/>
      <w:lang w:val="en-GB"/>
    </w:rPr>
  </w:style>
  <w:style w:type="character" w:styleId="Heading2Char" w:customStyle="1">
    <w:name w:val="Heading 2 Char"/>
    <w:basedOn w:val="DefaultParagraphFont"/>
    <w:link w:val="Heading2"/>
    <w:uiPriority w:val="9"/>
    <w:semiHidden/>
    <w:rPr>
      <w:rFonts w:ascii="Times New Roman" w:hAnsi="Times New Roman" w:cs="Times New Roman" w:eastAsiaTheme="majorEastAsia"/>
      <w:b/>
      <w:bCs/>
      <w:sz w:val="24"/>
      <w:szCs w:val="26"/>
      <w:shd w:val="clear" w:color="auto" w:fill="auto"/>
      <w:lang w:val="en-GB"/>
    </w:rPr>
  </w:style>
  <w:style w:type="character" w:styleId="Heading3Char" w:customStyle="1">
    <w:name w:val="Heading 3 Char"/>
    <w:basedOn w:val="DefaultParagraphFont"/>
    <w:link w:val="Heading3"/>
    <w:uiPriority w:val="9"/>
    <w:semiHidden/>
    <w:rPr>
      <w:rFonts w:ascii="Times New Roman" w:hAnsi="Times New Roman" w:cs="Times New Roman" w:eastAsiaTheme="majorEastAsia"/>
      <w:bCs/>
      <w:i/>
      <w:sz w:val="24"/>
      <w:shd w:val="clear" w:color="auto" w:fill="auto"/>
      <w:lang w:val="en-GB"/>
    </w:rPr>
  </w:style>
  <w:style w:type="character" w:styleId="Heading4Char" w:customStyle="1">
    <w:name w:val="Heading 4 Char"/>
    <w:basedOn w:val="DefaultParagraphFont"/>
    <w:link w:val="Heading4"/>
    <w:uiPriority w:val="9"/>
    <w:semiHidden/>
    <w:rPr>
      <w:rFonts w:ascii="Times New Roman" w:hAnsi="Times New Roman" w:cs="Times New Roman" w:eastAsiaTheme="majorEastAsia"/>
      <w:bCs/>
      <w:iCs/>
      <w:sz w:val="24"/>
      <w:shd w:val="clear" w:color="auto" w:fill="auto"/>
      <w:lang w:val="en-GB"/>
    </w:rPr>
  </w:style>
  <w:style w:type="character" w:styleId="Heading5Char" w:customStyle="1">
    <w:name w:val="Heading 5 Char"/>
    <w:basedOn w:val="DefaultParagraphFont"/>
    <w:link w:val="Heading5"/>
    <w:uiPriority w:val="9"/>
    <w:semiHidden/>
    <w:rPr>
      <w:rFonts w:ascii="Times New Roman" w:hAnsi="Times New Roman" w:cs="Times New Roman" w:eastAsiaTheme="majorEastAsia"/>
      <w:sz w:val="24"/>
      <w:shd w:val="clear" w:color="auto" w:fill="auto"/>
      <w:lang w:val="en-GB"/>
    </w:rPr>
  </w:style>
  <w:style w:type="character" w:styleId="Heading6Char" w:customStyle="1">
    <w:name w:val="Heading 6 Char"/>
    <w:basedOn w:val="DefaultParagraphFont"/>
    <w:link w:val="Heading6"/>
    <w:uiPriority w:val="9"/>
    <w:semiHidden/>
    <w:rPr>
      <w:rFonts w:ascii="Times New Roman" w:hAnsi="Times New Roman" w:cs="Times New Roman" w:eastAsiaTheme="majorEastAsia"/>
      <w:iCs/>
      <w:sz w:val="24"/>
      <w:shd w:val="clear" w:color="auto" w:fill="auto"/>
      <w:lang w:val="en-GB"/>
    </w:rPr>
  </w:style>
  <w:style w:type="character" w:styleId="Heading7Char" w:customStyle="1">
    <w:name w:val="Heading 7 Char"/>
    <w:basedOn w:val="DefaultParagraphFont"/>
    <w:link w:val="Heading7"/>
    <w:uiPriority w:val="9"/>
    <w:semiHidden/>
    <w:rPr>
      <w:rFonts w:ascii="Times New Roman" w:hAnsi="Times New Roman" w:cs="Times New Roman" w:eastAsiaTheme="majorEastAsia"/>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unhideWhenUsed/>
    <w:rPr>
      <w:shd w:val="clear" w:color="auto" w:fill="auto"/>
      <w:vertAlign w:val="superscript"/>
    </w:rPr>
  </w:style>
  <w:style w:type="paragraph" w:styleId="HeaderSensitivity" w:customStyle="1">
    <w:name w:val="Header Sensitivity"/>
    <w:basedOn w:val="Normal"/>
    <w:rsid w:val="009A340D"/>
    <w:pPr>
      <w:pBdr>
        <w:top w:val="single" w:color="auto" w:sz="4" w:space="1"/>
        <w:left w:val="single" w:color="auto" w:sz="4" w:space="4"/>
        <w:bottom w:val="single" w:color="auto" w:sz="4" w:space="1"/>
        <w:right w:val="single" w:color="auto" w:sz="4" w:space="4"/>
      </w:pBdr>
      <w:spacing w:before="0"/>
      <w:ind w:left="113" w:right="113"/>
      <w:jc w:val="center"/>
    </w:pPr>
    <w:rPr>
      <w:b/>
      <w:sz w:val="32"/>
    </w:rPr>
  </w:style>
  <w:style w:type="paragraph" w:styleId="HeaderSensitivityRight" w:customStyle="1">
    <w:name w:val="Header Sensitivity Right"/>
    <w:basedOn w:val="Normal"/>
    <w:rsid w:val="009A340D"/>
    <w:pPr>
      <w:spacing w:before="0"/>
      <w:jc w:val="right"/>
    </w:pPr>
    <w:rPr>
      <w:sz w:val="28"/>
    </w:rPr>
  </w:style>
  <w:style w:type="paragraph" w:styleId="FooterSensitivity" w:customStyle="1">
    <w:name w:val="Footer Sensitivity"/>
    <w:basedOn w:val="Normal"/>
    <w:rsid w:val="009A340D"/>
    <w:pPr>
      <w:pBdr>
        <w:top w:val="single" w:color="auto" w:sz="4" w:space="1"/>
        <w:left w:val="single" w:color="auto" w:sz="4" w:space="4"/>
        <w:bottom w:val="single" w:color="auto" w:sz="4" w:space="1"/>
        <w:right w:val="single" w:color="auto" w:sz="4" w:space="4"/>
      </w:pBdr>
      <w:spacing w:before="360" w:after="0"/>
      <w:ind w:left="113" w:right="113"/>
      <w:jc w:val="center"/>
    </w:pPr>
    <w:rPr>
      <w:b/>
      <w:sz w:val="32"/>
    </w:rPr>
  </w:style>
  <w:style w:type="paragraph" w:styleId="Text1" w:customStyle="1">
    <w:name w:val="Text 1"/>
    <w:basedOn w:val="Normal"/>
    <w:pPr>
      <w:ind w:left="850"/>
    </w:pPr>
  </w:style>
  <w:style w:type="paragraph" w:styleId="Text2" w:customStyle="1">
    <w:name w:val="Text 2"/>
    <w:basedOn w:val="Normal"/>
    <w:pPr>
      <w:ind w:left="1417"/>
    </w:pPr>
  </w:style>
  <w:style w:type="paragraph" w:styleId="Text3" w:customStyle="1">
    <w:name w:val="Text 3"/>
    <w:basedOn w:val="Normal"/>
    <w:pPr>
      <w:ind w:left="1984"/>
    </w:pPr>
  </w:style>
  <w:style w:type="paragraph" w:styleId="Text4" w:customStyle="1">
    <w:name w:val="Text 4"/>
    <w:basedOn w:val="Normal"/>
    <w:pPr>
      <w:ind w:left="2551"/>
    </w:pPr>
  </w:style>
  <w:style w:type="paragraph" w:styleId="Text5" w:customStyle="1">
    <w:name w:val="Text 5"/>
    <w:basedOn w:val="Normal"/>
    <w:pPr>
      <w:ind w:left="3118"/>
    </w:pPr>
  </w:style>
  <w:style w:type="paragraph" w:styleId="Text6" w:customStyle="1">
    <w:name w:val="Text 6"/>
    <w:basedOn w:val="Normal"/>
    <w:pPr>
      <w:ind w:left="3685"/>
    </w:pPr>
  </w:style>
  <w:style w:type="paragraph" w:styleId="NormalCentered" w:customStyle="1">
    <w:name w:val="Normal Centered"/>
    <w:basedOn w:val="Normal"/>
    <w:pPr>
      <w:jc w:val="center"/>
    </w:pPr>
  </w:style>
  <w:style w:type="paragraph" w:styleId="NormalLeft" w:customStyle="1">
    <w:name w:val="Normal Left"/>
    <w:basedOn w:val="Normal"/>
    <w:pPr>
      <w:jc w:val="left"/>
    </w:pPr>
  </w:style>
  <w:style w:type="paragraph" w:styleId="NormalRight" w:customStyle="1">
    <w:name w:val="Normal Right"/>
    <w:basedOn w:val="Normal"/>
    <w:pPr>
      <w:jc w:val="right"/>
    </w:pPr>
  </w:style>
  <w:style w:type="paragraph" w:styleId="QuotedText" w:customStyle="1">
    <w:name w:val="Quoted Text"/>
    <w:basedOn w:val="Normal"/>
    <w:pPr>
      <w:ind w:left="1417"/>
    </w:pPr>
  </w:style>
  <w:style w:type="paragraph" w:styleId="Point0" w:customStyle="1">
    <w:name w:val="Point 0"/>
    <w:basedOn w:val="Normal"/>
    <w:pPr>
      <w:ind w:left="850" w:hanging="850"/>
    </w:pPr>
  </w:style>
  <w:style w:type="paragraph" w:styleId="Point1" w:customStyle="1">
    <w:name w:val="Point 1"/>
    <w:basedOn w:val="Normal"/>
    <w:pPr>
      <w:ind w:left="1417" w:hanging="567"/>
    </w:pPr>
  </w:style>
  <w:style w:type="paragraph" w:styleId="Point2" w:customStyle="1">
    <w:name w:val="Point 2"/>
    <w:basedOn w:val="Normal"/>
    <w:pPr>
      <w:ind w:left="1984" w:hanging="567"/>
    </w:pPr>
  </w:style>
  <w:style w:type="paragraph" w:styleId="Point3" w:customStyle="1">
    <w:name w:val="Point 3"/>
    <w:basedOn w:val="Normal"/>
    <w:pPr>
      <w:ind w:left="2551" w:hanging="567"/>
    </w:pPr>
  </w:style>
  <w:style w:type="paragraph" w:styleId="Point4" w:customStyle="1">
    <w:name w:val="Point 4"/>
    <w:basedOn w:val="Normal"/>
    <w:pPr>
      <w:ind w:left="3118" w:hanging="567"/>
    </w:pPr>
  </w:style>
  <w:style w:type="paragraph" w:styleId="Point5" w:customStyle="1">
    <w:name w:val="Point 5"/>
    <w:basedOn w:val="Normal"/>
    <w:pPr>
      <w:ind w:left="3685" w:hanging="567"/>
    </w:pPr>
  </w:style>
  <w:style w:type="paragraph" w:styleId="Tiret0" w:customStyle="1">
    <w:name w:val="Tiret 0"/>
    <w:basedOn w:val="Point0"/>
    <w:pPr>
      <w:numPr>
        <w:numId w:val="18"/>
      </w:numPr>
    </w:pPr>
  </w:style>
  <w:style w:type="paragraph" w:styleId="Tiret1" w:customStyle="1">
    <w:name w:val="Tiret 1"/>
    <w:basedOn w:val="Point1"/>
    <w:pPr>
      <w:numPr>
        <w:numId w:val="19"/>
      </w:numPr>
    </w:pPr>
  </w:style>
  <w:style w:type="paragraph" w:styleId="Tiret2" w:customStyle="1">
    <w:name w:val="Tiret 2"/>
    <w:basedOn w:val="Point2"/>
    <w:pPr>
      <w:numPr>
        <w:numId w:val="20"/>
      </w:numPr>
    </w:pPr>
  </w:style>
  <w:style w:type="paragraph" w:styleId="Tiret3" w:customStyle="1">
    <w:name w:val="Tiret 3"/>
    <w:basedOn w:val="Point3"/>
    <w:pPr>
      <w:numPr>
        <w:numId w:val="21"/>
      </w:numPr>
    </w:pPr>
  </w:style>
  <w:style w:type="paragraph" w:styleId="Tiret4" w:customStyle="1">
    <w:name w:val="Tiret 4"/>
    <w:basedOn w:val="Point4"/>
    <w:pPr>
      <w:numPr>
        <w:numId w:val="22"/>
      </w:numPr>
    </w:pPr>
  </w:style>
  <w:style w:type="paragraph" w:styleId="Tiret5" w:customStyle="1">
    <w:name w:val="Tiret 5"/>
    <w:basedOn w:val="Point5"/>
    <w:pPr>
      <w:numPr>
        <w:numId w:val="23"/>
      </w:numPr>
    </w:pPr>
  </w:style>
  <w:style w:type="paragraph" w:styleId="PointDouble0" w:customStyle="1">
    <w:name w:val="PointDouble 0"/>
    <w:basedOn w:val="Normal"/>
    <w:pPr>
      <w:tabs>
        <w:tab w:val="left" w:pos="850"/>
      </w:tabs>
      <w:ind w:left="1417" w:hanging="1417"/>
    </w:pPr>
  </w:style>
  <w:style w:type="paragraph" w:styleId="PointDouble1" w:customStyle="1">
    <w:name w:val="PointDouble 1"/>
    <w:basedOn w:val="Normal"/>
    <w:pPr>
      <w:tabs>
        <w:tab w:val="left" w:pos="1417"/>
      </w:tabs>
      <w:ind w:left="1984" w:hanging="1134"/>
    </w:pPr>
  </w:style>
  <w:style w:type="paragraph" w:styleId="PointDouble2" w:customStyle="1">
    <w:name w:val="PointDouble 2"/>
    <w:basedOn w:val="Normal"/>
    <w:pPr>
      <w:tabs>
        <w:tab w:val="left" w:pos="1984"/>
      </w:tabs>
      <w:ind w:left="2551" w:hanging="1134"/>
    </w:pPr>
  </w:style>
  <w:style w:type="paragraph" w:styleId="PointDouble3" w:customStyle="1">
    <w:name w:val="PointDouble 3"/>
    <w:basedOn w:val="Normal"/>
    <w:pPr>
      <w:tabs>
        <w:tab w:val="left" w:pos="2551"/>
      </w:tabs>
      <w:ind w:left="3118" w:hanging="1134"/>
    </w:pPr>
  </w:style>
  <w:style w:type="paragraph" w:styleId="PointDouble4" w:customStyle="1">
    <w:name w:val="PointDouble 4"/>
    <w:basedOn w:val="Normal"/>
    <w:pPr>
      <w:tabs>
        <w:tab w:val="left" w:pos="3118"/>
      </w:tabs>
      <w:ind w:left="3685" w:hanging="1134"/>
    </w:pPr>
  </w:style>
  <w:style w:type="paragraph" w:styleId="PointTriple0" w:customStyle="1">
    <w:name w:val="PointTriple 0"/>
    <w:basedOn w:val="Normal"/>
    <w:pPr>
      <w:tabs>
        <w:tab w:val="left" w:pos="850"/>
        <w:tab w:val="left" w:pos="1417"/>
      </w:tabs>
      <w:ind w:left="1984" w:hanging="1984"/>
    </w:pPr>
  </w:style>
  <w:style w:type="paragraph" w:styleId="PointTriple1" w:customStyle="1">
    <w:name w:val="PointTriple 1"/>
    <w:basedOn w:val="Normal"/>
    <w:pPr>
      <w:tabs>
        <w:tab w:val="left" w:pos="1417"/>
        <w:tab w:val="left" w:pos="1984"/>
      </w:tabs>
      <w:ind w:left="2551" w:hanging="1701"/>
    </w:pPr>
  </w:style>
  <w:style w:type="paragraph" w:styleId="PointTriple2" w:customStyle="1">
    <w:name w:val="PointTriple 2"/>
    <w:basedOn w:val="Normal"/>
    <w:pPr>
      <w:tabs>
        <w:tab w:val="left" w:pos="1984"/>
        <w:tab w:val="left" w:pos="2551"/>
      </w:tabs>
      <w:ind w:left="3118" w:hanging="1701"/>
    </w:pPr>
  </w:style>
  <w:style w:type="paragraph" w:styleId="PointTriple3" w:customStyle="1">
    <w:name w:val="PointTriple 3"/>
    <w:basedOn w:val="Normal"/>
    <w:pPr>
      <w:tabs>
        <w:tab w:val="left" w:pos="2551"/>
        <w:tab w:val="left" w:pos="3118"/>
      </w:tabs>
      <w:ind w:left="3685" w:hanging="1701"/>
    </w:pPr>
  </w:style>
  <w:style w:type="paragraph" w:styleId="PointTriple4" w:customStyle="1">
    <w:name w:val="PointTriple 4"/>
    <w:basedOn w:val="Normal"/>
    <w:pPr>
      <w:tabs>
        <w:tab w:val="left" w:pos="3118"/>
        <w:tab w:val="left" w:pos="3685"/>
      </w:tabs>
      <w:ind w:left="4252" w:hanging="1701"/>
    </w:pPr>
  </w:style>
  <w:style w:type="paragraph" w:styleId="NumPar1" w:customStyle="1">
    <w:name w:val="NumPar 1"/>
    <w:basedOn w:val="Normal"/>
    <w:next w:val="Text1"/>
    <w:pPr>
      <w:numPr>
        <w:numId w:val="24"/>
      </w:numPr>
    </w:pPr>
  </w:style>
  <w:style w:type="paragraph" w:styleId="NumPar2" w:customStyle="1">
    <w:name w:val="NumPar 2"/>
    <w:basedOn w:val="Normal"/>
    <w:next w:val="Text1"/>
    <w:pPr>
      <w:numPr>
        <w:ilvl w:val="1"/>
        <w:numId w:val="24"/>
      </w:numPr>
    </w:pPr>
  </w:style>
  <w:style w:type="paragraph" w:styleId="NumPar3" w:customStyle="1">
    <w:name w:val="NumPar 3"/>
    <w:basedOn w:val="Normal"/>
    <w:next w:val="Text1"/>
    <w:pPr>
      <w:numPr>
        <w:ilvl w:val="2"/>
        <w:numId w:val="24"/>
      </w:numPr>
    </w:pPr>
  </w:style>
  <w:style w:type="paragraph" w:styleId="NumPar4" w:customStyle="1">
    <w:name w:val="NumPar 4"/>
    <w:basedOn w:val="Normal"/>
    <w:next w:val="Text1"/>
    <w:pPr>
      <w:numPr>
        <w:ilvl w:val="3"/>
        <w:numId w:val="24"/>
      </w:numPr>
    </w:pPr>
  </w:style>
  <w:style w:type="paragraph" w:styleId="NumPar5" w:customStyle="1">
    <w:name w:val="NumPar 5"/>
    <w:basedOn w:val="Normal"/>
    <w:next w:val="Text2"/>
    <w:pPr>
      <w:numPr>
        <w:ilvl w:val="4"/>
        <w:numId w:val="24"/>
      </w:numPr>
    </w:pPr>
  </w:style>
  <w:style w:type="paragraph" w:styleId="NumPar6" w:customStyle="1">
    <w:name w:val="NumPar 6"/>
    <w:basedOn w:val="Normal"/>
    <w:next w:val="Text2"/>
    <w:pPr>
      <w:numPr>
        <w:ilvl w:val="5"/>
        <w:numId w:val="24"/>
      </w:numPr>
    </w:pPr>
  </w:style>
  <w:style w:type="paragraph" w:styleId="NumPar7" w:customStyle="1">
    <w:name w:val="NumPar 7"/>
    <w:basedOn w:val="Normal"/>
    <w:next w:val="Text2"/>
    <w:pPr>
      <w:numPr>
        <w:ilvl w:val="6"/>
        <w:numId w:val="24"/>
      </w:numPr>
    </w:pPr>
  </w:style>
  <w:style w:type="paragraph" w:styleId="ManualNumPar1" w:customStyle="1">
    <w:name w:val="Manual NumPar 1"/>
    <w:basedOn w:val="Normal"/>
    <w:next w:val="Text1"/>
    <w:pPr>
      <w:ind w:left="850" w:hanging="850"/>
    </w:pPr>
  </w:style>
  <w:style w:type="paragraph" w:styleId="ManualNumPar2" w:customStyle="1">
    <w:name w:val="Manual NumPar 2"/>
    <w:basedOn w:val="Normal"/>
    <w:next w:val="Text1"/>
    <w:pPr>
      <w:ind w:left="850" w:hanging="850"/>
    </w:pPr>
  </w:style>
  <w:style w:type="paragraph" w:styleId="ManualNumPar3" w:customStyle="1">
    <w:name w:val="Manual NumPar 3"/>
    <w:basedOn w:val="Normal"/>
    <w:next w:val="Text1"/>
    <w:pPr>
      <w:ind w:left="850" w:hanging="850"/>
    </w:pPr>
  </w:style>
  <w:style w:type="paragraph" w:styleId="ManualNumPar4" w:customStyle="1">
    <w:name w:val="Manual NumPar 4"/>
    <w:basedOn w:val="Normal"/>
    <w:next w:val="Text1"/>
    <w:pPr>
      <w:ind w:left="850" w:hanging="850"/>
    </w:pPr>
  </w:style>
  <w:style w:type="paragraph" w:styleId="ManualNumPar5" w:customStyle="1">
    <w:name w:val="Manual NumPar 5"/>
    <w:basedOn w:val="Normal"/>
    <w:next w:val="Text2"/>
    <w:pPr>
      <w:ind w:left="1417" w:hanging="1417"/>
    </w:pPr>
  </w:style>
  <w:style w:type="paragraph" w:styleId="ManualNumPar6" w:customStyle="1">
    <w:name w:val="Manual NumPar 6"/>
    <w:basedOn w:val="Normal"/>
    <w:next w:val="Text2"/>
    <w:pPr>
      <w:ind w:left="1417" w:hanging="1417"/>
    </w:pPr>
  </w:style>
  <w:style w:type="paragraph" w:styleId="ManualNumPar7" w:customStyle="1">
    <w:name w:val="Manual NumPar 7"/>
    <w:basedOn w:val="Normal"/>
    <w:next w:val="Text2"/>
    <w:pPr>
      <w:ind w:left="1417" w:hanging="1417"/>
    </w:pPr>
  </w:style>
  <w:style w:type="paragraph" w:styleId="QuotedNumPar" w:customStyle="1">
    <w:name w:val="Quoted NumPar"/>
    <w:basedOn w:val="Normal"/>
    <w:pPr>
      <w:ind w:left="1417" w:hanging="567"/>
    </w:pPr>
  </w:style>
  <w:style w:type="paragraph" w:styleId="ManualHeading1" w:customStyle="1">
    <w:name w:val="Manual Heading 1"/>
    <w:basedOn w:val="Normal"/>
    <w:next w:val="Text1"/>
    <w:pPr>
      <w:keepNext/>
      <w:tabs>
        <w:tab w:val="left" w:pos="850"/>
      </w:tabs>
      <w:spacing w:before="360"/>
      <w:ind w:left="850" w:hanging="850"/>
      <w:outlineLvl w:val="0"/>
    </w:pPr>
    <w:rPr>
      <w:b/>
      <w:smallCaps/>
    </w:rPr>
  </w:style>
  <w:style w:type="paragraph" w:styleId="ManualHeading2" w:customStyle="1">
    <w:name w:val="Manual Heading 2"/>
    <w:basedOn w:val="Normal"/>
    <w:next w:val="Text1"/>
    <w:pPr>
      <w:keepNext/>
      <w:tabs>
        <w:tab w:val="left" w:pos="850"/>
      </w:tabs>
      <w:ind w:left="850" w:hanging="850"/>
      <w:outlineLvl w:val="1"/>
    </w:pPr>
    <w:rPr>
      <w:b/>
    </w:rPr>
  </w:style>
  <w:style w:type="paragraph" w:styleId="ManualHeading3" w:customStyle="1">
    <w:name w:val="Manual Heading 3"/>
    <w:basedOn w:val="Normal"/>
    <w:next w:val="Text1"/>
    <w:pPr>
      <w:keepNext/>
      <w:tabs>
        <w:tab w:val="left" w:pos="850"/>
      </w:tabs>
      <w:ind w:left="850" w:hanging="850"/>
      <w:outlineLvl w:val="2"/>
    </w:pPr>
    <w:rPr>
      <w:i/>
    </w:rPr>
  </w:style>
  <w:style w:type="paragraph" w:styleId="ManualHeading4" w:customStyle="1">
    <w:name w:val="Manual Heading 4"/>
    <w:basedOn w:val="Normal"/>
    <w:next w:val="Text1"/>
    <w:pPr>
      <w:keepNext/>
      <w:tabs>
        <w:tab w:val="left" w:pos="850"/>
      </w:tabs>
      <w:ind w:left="850" w:hanging="850"/>
      <w:outlineLvl w:val="3"/>
    </w:pPr>
  </w:style>
  <w:style w:type="paragraph" w:styleId="ManualHeading5" w:customStyle="1">
    <w:name w:val="Manual Heading 5"/>
    <w:basedOn w:val="Normal"/>
    <w:next w:val="Text2"/>
    <w:pPr>
      <w:keepNext/>
      <w:tabs>
        <w:tab w:val="left" w:pos="1417"/>
      </w:tabs>
      <w:ind w:left="1417" w:hanging="1417"/>
      <w:outlineLvl w:val="4"/>
    </w:pPr>
  </w:style>
  <w:style w:type="paragraph" w:styleId="ManualHeading6" w:customStyle="1">
    <w:name w:val="Manual Heading 6"/>
    <w:basedOn w:val="Normal"/>
    <w:next w:val="Text2"/>
    <w:pPr>
      <w:keepNext/>
      <w:tabs>
        <w:tab w:val="left" w:pos="1417"/>
      </w:tabs>
      <w:ind w:left="1417" w:hanging="1417"/>
      <w:outlineLvl w:val="5"/>
    </w:pPr>
  </w:style>
  <w:style w:type="paragraph" w:styleId="ManualHeading7" w:customStyle="1">
    <w:name w:val="Manual Heading 7"/>
    <w:basedOn w:val="Normal"/>
    <w:next w:val="Text2"/>
    <w:pPr>
      <w:keepNext/>
      <w:tabs>
        <w:tab w:val="left" w:pos="1417"/>
      </w:tabs>
      <w:ind w:left="1417" w:hanging="1417"/>
      <w:outlineLvl w:val="6"/>
    </w:pPr>
  </w:style>
  <w:style w:type="paragraph" w:styleId="ChapterTitle" w:customStyle="1">
    <w:name w:val="ChapterTitle"/>
    <w:basedOn w:val="Normal"/>
    <w:next w:val="Normal"/>
    <w:pPr>
      <w:keepNext/>
      <w:spacing w:after="360"/>
      <w:jc w:val="center"/>
    </w:pPr>
    <w:rPr>
      <w:b/>
      <w:sz w:val="32"/>
    </w:rPr>
  </w:style>
  <w:style w:type="paragraph" w:styleId="PartTitle" w:customStyle="1">
    <w:name w:val="PartTitle"/>
    <w:basedOn w:val="Normal"/>
    <w:next w:val="ChapterTitle"/>
    <w:pPr>
      <w:keepNext/>
      <w:pageBreakBefore/>
      <w:spacing w:after="360"/>
      <w:jc w:val="center"/>
    </w:pPr>
    <w:rPr>
      <w:b/>
      <w:sz w:val="36"/>
    </w:rPr>
  </w:style>
  <w:style w:type="paragraph" w:styleId="SectionTitle" w:customStyle="1">
    <w:name w:val="SectionTitle"/>
    <w:basedOn w:val="Normal"/>
    <w:next w:val="Heading1"/>
    <w:pPr>
      <w:keepNext/>
      <w:spacing w:after="360"/>
      <w:jc w:val="center"/>
    </w:pPr>
    <w:rPr>
      <w:b/>
      <w:smallCaps/>
      <w:sz w:val="28"/>
    </w:rPr>
  </w:style>
  <w:style w:type="paragraph" w:styleId="TableTitle" w:customStyle="1">
    <w:name w:val="Table Title"/>
    <w:basedOn w:val="Normal"/>
    <w:next w:val="Normal"/>
    <w:pPr>
      <w:jc w:val="center"/>
    </w:pPr>
    <w:rPr>
      <w:b/>
    </w:rPr>
  </w:style>
  <w:style w:type="character" w:styleId="Marker" w:customStyle="1">
    <w:name w:val="Marker"/>
    <w:basedOn w:val="DefaultParagraphFont"/>
    <w:rPr>
      <w:color w:val="0000FF"/>
      <w:shd w:val="clear" w:color="auto" w:fill="auto"/>
    </w:rPr>
  </w:style>
  <w:style w:type="character" w:styleId="Marker1" w:customStyle="1">
    <w:name w:val="Marker1"/>
    <w:basedOn w:val="DefaultParagraphFont"/>
    <w:rPr>
      <w:color w:val="008000"/>
      <w:shd w:val="clear" w:color="auto" w:fill="auto"/>
    </w:rPr>
  </w:style>
  <w:style w:type="character" w:styleId="Marker2" w:customStyle="1">
    <w:name w:val="Marker2"/>
    <w:basedOn w:val="DefaultParagraphFont"/>
    <w:rPr>
      <w:color w:val="FF0000"/>
      <w:shd w:val="clear" w:color="auto" w:fill="auto"/>
    </w:rPr>
  </w:style>
  <w:style w:type="paragraph" w:styleId="Point0number" w:customStyle="1">
    <w:name w:val="Point 0 (number)"/>
    <w:basedOn w:val="Normal"/>
    <w:pPr>
      <w:numPr>
        <w:numId w:val="25"/>
      </w:numPr>
    </w:pPr>
  </w:style>
  <w:style w:type="paragraph" w:styleId="Point1number" w:customStyle="1">
    <w:name w:val="Point 1 (number)"/>
    <w:basedOn w:val="Normal"/>
    <w:pPr>
      <w:numPr>
        <w:ilvl w:val="2"/>
        <w:numId w:val="25"/>
      </w:numPr>
    </w:pPr>
  </w:style>
  <w:style w:type="paragraph" w:styleId="Point2number" w:customStyle="1">
    <w:name w:val="Point 2 (number)"/>
    <w:basedOn w:val="Normal"/>
    <w:pPr>
      <w:numPr>
        <w:ilvl w:val="4"/>
        <w:numId w:val="25"/>
      </w:numPr>
    </w:pPr>
  </w:style>
  <w:style w:type="paragraph" w:styleId="Point3number" w:customStyle="1">
    <w:name w:val="Point 3 (number)"/>
    <w:basedOn w:val="Normal"/>
    <w:pPr>
      <w:numPr>
        <w:ilvl w:val="6"/>
        <w:numId w:val="25"/>
      </w:numPr>
    </w:pPr>
  </w:style>
  <w:style w:type="paragraph" w:styleId="Point0letter" w:customStyle="1">
    <w:name w:val="Point 0 (letter)"/>
    <w:basedOn w:val="Normal"/>
    <w:pPr>
      <w:numPr>
        <w:ilvl w:val="1"/>
        <w:numId w:val="25"/>
      </w:numPr>
    </w:pPr>
  </w:style>
  <w:style w:type="paragraph" w:styleId="Point1letter" w:customStyle="1">
    <w:name w:val="Point 1 (letter)"/>
    <w:basedOn w:val="Normal"/>
    <w:pPr>
      <w:numPr>
        <w:ilvl w:val="3"/>
        <w:numId w:val="25"/>
      </w:numPr>
    </w:pPr>
  </w:style>
  <w:style w:type="paragraph" w:styleId="Point2letter" w:customStyle="1">
    <w:name w:val="Point 2 (letter)"/>
    <w:basedOn w:val="Normal"/>
    <w:pPr>
      <w:numPr>
        <w:ilvl w:val="5"/>
        <w:numId w:val="25"/>
      </w:numPr>
    </w:pPr>
  </w:style>
  <w:style w:type="paragraph" w:styleId="Point3letter" w:customStyle="1">
    <w:name w:val="Point 3 (letter)"/>
    <w:basedOn w:val="Normal"/>
    <w:pPr>
      <w:numPr>
        <w:ilvl w:val="7"/>
        <w:numId w:val="25"/>
      </w:numPr>
    </w:pPr>
  </w:style>
  <w:style w:type="paragraph" w:styleId="Point4letter" w:customStyle="1">
    <w:name w:val="Point 4 (letter)"/>
    <w:basedOn w:val="Normal"/>
    <w:pPr>
      <w:numPr>
        <w:ilvl w:val="8"/>
        <w:numId w:val="25"/>
      </w:numPr>
    </w:pPr>
  </w:style>
  <w:style w:type="paragraph" w:styleId="Bullet0" w:customStyle="1">
    <w:name w:val="Bullet 0"/>
    <w:basedOn w:val="Normal"/>
    <w:pPr>
      <w:numPr>
        <w:numId w:val="26"/>
      </w:numPr>
    </w:pPr>
  </w:style>
  <w:style w:type="paragraph" w:styleId="Bullet1" w:customStyle="1">
    <w:name w:val="Bullet 1"/>
    <w:basedOn w:val="Normal"/>
    <w:pPr>
      <w:numPr>
        <w:numId w:val="27"/>
      </w:numPr>
    </w:pPr>
  </w:style>
  <w:style w:type="paragraph" w:styleId="Bullet2" w:customStyle="1">
    <w:name w:val="Bullet 2"/>
    <w:basedOn w:val="Normal"/>
    <w:pPr>
      <w:numPr>
        <w:numId w:val="28"/>
      </w:numPr>
    </w:pPr>
  </w:style>
  <w:style w:type="paragraph" w:styleId="Bullet3" w:customStyle="1">
    <w:name w:val="Bullet 3"/>
    <w:basedOn w:val="Normal"/>
    <w:pPr>
      <w:numPr>
        <w:numId w:val="29"/>
      </w:numPr>
    </w:pPr>
  </w:style>
  <w:style w:type="paragraph" w:styleId="Bullet4" w:customStyle="1">
    <w:name w:val="Bullet 4"/>
    <w:basedOn w:val="Normal"/>
    <w:pPr>
      <w:numPr>
        <w:numId w:val="30"/>
      </w:numPr>
    </w:pPr>
  </w:style>
  <w:style w:type="paragraph" w:styleId="Langue" w:customStyle="1">
    <w:name w:val="Langue"/>
    <w:basedOn w:val="Normal"/>
    <w:next w:val="Rfrenceinterne"/>
    <w:pPr>
      <w:framePr w:wrap="around" w:hAnchor="text" w:vAnchor="page" w:xAlign="center" w:y="14741"/>
      <w:spacing w:before="0" w:after="600"/>
      <w:jc w:val="center"/>
    </w:pPr>
    <w:rPr>
      <w:b/>
      <w:caps/>
    </w:rPr>
  </w:style>
  <w:style w:type="paragraph" w:styleId="Nomdelinstitution" w:customStyle="1">
    <w:name w:val="Nom de l'institution"/>
    <w:basedOn w:val="Normal"/>
    <w:next w:val="Emission"/>
    <w:pPr>
      <w:spacing w:before="0" w:after="0"/>
      <w:jc w:val="left"/>
    </w:pPr>
    <w:rPr>
      <w:rFonts w:ascii="Arial" w:hAnsi="Arial" w:cs="Arial"/>
    </w:rPr>
  </w:style>
  <w:style w:type="paragraph" w:styleId="Emission" w:customStyle="1">
    <w:name w:val="Emission"/>
    <w:basedOn w:val="Normal"/>
    <w:next w:val="Rfrenceinstitutionnelle"/>
    <w:pPr>
      <w:spacing w:before="0" w:after="0"/>
      <w:ind w:left="5103"/>
      <w:jc w:val="left"/>
    </w:pPr>
  </w:style>
  <w:style w:type="paragraph" w:styleId="Rfrenceinstitutionnelle" w:customStyle="1">
    <w:name w:val="Référence institutionnelle"/>
    <w:basedOn w:val="Normal"/>
    <w:next w:val="Confidentialit"/>
    <w:pPr>
      <w:spacing w:before="0" w:after="240"/>
      <w:ind w:left="5103"/>
      <w:jc w:val="left"/>
    </w:pPr>
  </w:style>
  <w:style w:type="paragraph" w:styleId="Pagedecouverture" w:customStyle="1">
    <w:name w:val="Page de couverture"/>
    <w:basedOn w:val="Normal"/>
    <w:next w:val="Normal"/>
    <w:pPr>
      <w:spacing w:before="0" w:after="0"/>
    </w:pPr>
  </w:style>
  <w:style w:type="paragraph" w:styleId="Declassification" w:customStyle="1">
    <w:name w:val="Declassification"/>
    <w:basedOn w:val="Normal"/>
    <w:next w:val="Normal"/>
    <w:pPr>
      <w:spacing w:before="0" w:after="0"/>
    </w:pPr>
  </w:style>
  <w:style w:type="paragraph" w:styleId="Disclaimer" w:customStyle="1">
    <w:name w:val="Disclaimer"/>
    <w:basedOn w:val="Normal"/>
    <w:pPr>
      <w:framePr w:w="8220" w:wrap="notBeside" w:hAnchor="margin" w:xAlign="center" w:y="10401"/>
      <w:pBdr>
        <w:top w:val="single" w:color="auto" w:sz="6" w:space="4"/>
        <w:left w:val="single" w:color="auto" w:sz="6" w:space="7"/>
        <w:bottom w:val="single" w:color="auto" w:sz="6" w:space="4"/>
        <w:right w:val="single" w:color="auto" w:sz="6" w:space="7"/>
      </w:pBdr>
      <w:shd w:val="clear" w:color="FFFFFF" w:fill="auto"/>
    </w:pPr>
  </w:style>
  <w:style w:type="paragraph" w:styleId="SecurityMarking" w:customStyle="1">
    <w:name w:val="SecurityMarking"/>
    <w:basedOn w:val="Normal"/>
    <w:pPr>
      <w:spacing w:before="0" w:after="0" w:line="276" w:lineRule="auto"/>
      <w:ind w:left="5103"/>
      <w:jc w:val="left"/>
    </w:pPr>
    <w:rPr>
      <w:sz w:val="28"/>
    </w:rPr>
  </w:style>
  <w:style w:type="paragraph" w:styleId="DateMarking" w:customStyle="1">
    <w:name w:val="DateMarking"/>
    <w:basedOn w:val="Normal"/>
    <w:pPr>
      <w:spacing w:before="0" w:after="0" w:line="276" w:lineRule="auto"/>
      <w:ind w:left="5103"/>
      <w:jc w:val="left"/>
    </w:pPr>
    <w:rPr>
      <w:i/>
      <w:sz w:val="28"/>
    </w:rPr>
  </w:style>
  <w:style w:type="paragraph" w:styleId="ReleasableTo" w:customStyle="1">
    <w:name w:val="ReleasableTo"/>
    <w:basedOn w:val="Normal"/>
    <w:pPr>
      <w:spacing w:before="0" w:after="0" w:line="276" w:lineRule="auto"/>
      <w:ind w:left="5103"/>
      <w:jc w:val="left"/>
    </w:pPr>
    <w:rPr>
      <w:i/>
      <w:sz w:val="28"/>
    </w:rPr>
  </w:style>
  <w:style w:type="paragraph" w:styleId="Annexetitreexpos" w:customStyle="1">
    <w:name w:val="Annexe titre (exposé)"/>
    <w:basedOn w:val="Normal"/>
    <w:next w:val="Normal"/>
    <w:pPr>
      <w:jc w:val="center"/>
    </w:pPr>
    <w:rPr>
      <w:b/>
      <w:u w:val="single"/>
    </w:rPr>
  </w:style>
  <w:style w:type="paragraph" w:styleId="Annexetitre" w:customStyle="1">
    <w:name w:val="Annexe titre"/>
    <w:basedOn w:val="Normal"/>
    <w:next w:val="Normal"/>
    <w:pPr>
      <w:jc w:val="center"/>
    </w:pPr>
    <w:rPr>
      <w:b/>
      <w:u w:val="single"/>
    </w:rPr>
  </w:style>
  <w:style w:type="paragraph" w:styleId="Annexetitrefichefinancire" w:customStyle="1">
    <w:name w:val="Annexe titre (fiche financière)"/>
    <w:basedOn w:val="Normal"/>
    <w:next w:val="Normal"/>
    <w:pPr>
      <w:jc w:val="center"/>
    </w:pPr>
    <w:rPr>
      <w:b/>
      <w:u w:val="single"/>
    </w:rPr>
  </w:style>
  <w:style w:type="paragraph" w:styleId="Applicationdirecte" w:customStyle="1">
    <w:name w:val="Application directe"/>
    <w:basedOn w:val="Normal"/>
    <w:next w:val="Fait"/>
    <w:pPr>
      <w:spacing w:before="480"/>
    </w:pPr>
  </w:style>
  <w:style w:type="paragraph" w:styleId="Avertissementtitre" w:customStyle="1">
    <w:name w:val="Avertissement titre"/>
    <w:basedOn w:val="Normal"/>
    <w:next w:val="Normal"/>
    <w:pPr>
      <w:keepNext/>
      <w:spacing w:before="480"/>
    </w:pPr>
    <w:rPr>
      <w:u w:val="single"/>
    </w:rPr>
  </w:style>
  <w:style w:type="paragraph" w:styleId="Confidence" w:customStyle="1">
    <w:name w:val="Confidence"/>
    <w:basedOn w:val="Normal"/>
    <w:next w:val="Normal"/>
    <w:pPr>
      <w:spacing w:before="360"/>
      <w:jc w:val="center"/>
    </w:pPr>
  </w:style>
  <w:style w:type="paragraph" w:styleId="Confidentialit" w:customStyle="1">
    <w:name w:val="Confidentialité"/>
    <w:basedOn w:val="Normal"/>
    <w:next w:val="TypedudocumentPagedecouverture"/>
    <w:pPr>
      <w:spacing w:before="240" w:after="240"/>
      <w:ind w:left="5103"/>
      <w:jc w:val="left"/>
    </w:pPr>
    <w:rPr>
      <w:i/>
      <w:sz w:val="32"/>
    </w:rPr>
  </w:style>
  <w:style w:type="paragraph" w:styleId="Considrant" w:customStyle="1">
    <w:name w:val="Considérant"/>
    <w:basedOn w:val="Normal"/>
    <w:pPr>
      <w:numPr>
        <w:numId w:val="31"/>
      </w:numPr>
    </w:pPr>
  </w:style>
  <w:style w:type="paragraph" w:styleId="Corrigendum" w:customStyle="1">
    <w:name w:val="Corrigendum"/>
    <w:basedOn w:val="Normal"/>
    <w:next w:val="Normal"/>
    <w:pPr>
      <w:spacing w:before="0" w:after="240"/>
      <w:jc w:val="left"/>
    </w:pPr>
  </w:style>
  <w:style w:type="paragraph" w:styleId="Datedadoption" w:customStyle="1">
    <w:name w:val="Date d'adoption"/>
    <w:basedOn w:val="Normal"/>
    <w:next w:val="Titreobjet"/>
    <w:pPr>
      <w:spacing w:before="360" w:after="0"/>
      <w:jc w:val="center"/>
    </w:pPr>
    <w:rPr>
      <w:b/>
    </w:rPr>
  </w:style>
  <w:style w:type="paragraph" w:styleId="Exposdesmotifstitre" w:customStyle="1">
    <w:name w:val="Exposé des motifs titre"/>
    <w:basedOn w:val="Normal"/>
    <w:next w:val="Normal"/>
    <w:pPr>
      <w:jc w:val="center"/>
    </w:pPr>
    <w:rPr>
      <w:b/>
      <w:u w:val="single"/>
    </w:rPr>
  </w:style>
  <w:style w:type="paragraph" w:styleId="Fait" w:customStyle="1">
    <w:name w:val="Fait à"/>
    <w:basedOn w:val="Normal"/>
    <w:next w:val="Institutionquisigne"/>
    <w:pPr>
      <w:keepNext/>
      <w:spacing w:after="0"/>
    </w:pPr>
  </w:style>
  <w:style w:type="paragraph" w:styleId="Formuledadoption" w:customStyle="1">
    <w:name w:val="Formule d'adoption"/>
    <w:basedOn w:val="Normal"/>
    <w:next w:val="Titrearticle"/>
    <w:pPr>
      <w:keepNext/>
    </w:pPr>
  </w:style>
  <w:style w:type="paragraph" w:styleId="Institutionquiagit" w:customStyle="1">
    <w:name w:val="Institution qui agit"/>
    <w:basedOn w:val="Normal"/>
    <w:next w:val="Normal"/>
    <w:pPr>
      <w:keepNext/>
      <w:spacing w:before="600"/>
    </w:pPr>
  </w:style>
  <w:style w:type="paragraph" w:styleId="Institutionquisigne" w:customStyle="1">
    <w:name w:val="Institution qui signe"/>
    <w:basedOn w:val="Normal"/>
    <w:next w:val="Personnequisigne"/>
    <w:pPr>
      <w:keepNext/>
      <w:tabs>
        <w:tab w:val="left" w:pos="4252"/>
      </w:tabs>
      <w:spacing w:before="720" w:after="0"/>
    </w:pPr>
    <w:rPr>
      <w:i/>
    </w:rPr>
  </w:style>
  <w:style w:type="paragraph" w:styleId="ManualConsidrant" w:customStyle="1">
    <w:name w:val="Manual Considérant"/>
    <w:basedOn w:val="Normal"/>
    <w:pPr>
      <w:ind w:left="709" w:hanging="709"/>
    </w:pPr>
  </w:style>
  <w:style w:type="paragraph" w:styleId="Personnequisigne" w:customStyle="1">
    <w:name w:val="Personne qui signe"/>
    <w:basedOn w:val="Normal"/>
    <w:next w:val="Institutionquisigne"/>
    <w:pPr>
      <w:tabs>
        <w:tab w:val="left" w:pos="4252"/>
      </w:tabs>
      <w:spacing w:before="0" w:after="0"/>
      <w:jc w:val="left"/>
    </w:pPr>
    <w:rPr>
      <w:i/>
    </w:rPr>
  </w:style>
  <w:style w:type="paragraph" w:styleId="Rfrenceinterinstitutionnelle" w:customStyle="1">
    <w:name w:val="Référence interinstitutionnelle"/>
    <w:basedOn w:val="Normal"/>
    <w:next w:val="Statut"/>
    <w:pPr>
      <w:spacing w:before="0" w:after="0"/>
      <w:ind w:left="5103"/>
      <w:jc w:val="left"/>
    </w:pPr>
  </w:style>
  <w:style w:type="paragraph" w:styleId="Rfrenceinterne" w:customStyle="1">
    <w:name w:val="Référence interne"/>
    <w:basedOn w:val="Normal"/>
    <w:next w:val="Rfrenceinterinstitutionnelle"/>
    <w:pPr>
      <w:spacing w:before="0" w:after="0"/>
      <w:ind w:left="5103"/>
      <w:jc w:val="left"/>
    </w:pPr>
  </w:style>
  <w:style w:type="paragraph" w:styleId="Statut" w:customStyle="1">
    <w:name w:val="Statut"/>
    <w:basedOn w:val="Normal"/>
    <w:next w:val="Typedudocument"/>
    <w:pPr>
      <w:spacing w:before="360" w:after="0"/>
      <w:jc w:val="center"/>
    </w:pPr>
  </w:style>
  <w:style w:type="paragraph" w:styleId="Titrearticle" w:customStyle="1">
    <w:name w:val="Titre article"/>
    <w:basedOn w:val="Normal"/>
    <w:next w:val="Normal"/>
    <w:pPr>
      <w:keepNext/>
      <w:spacing w:before="360"/>
      <w:jc w:val="center"/>
    </w:pPr>
    <w:rPr>
      <w:i/>
    </w:rPr>
  </w:style>
  <w:style w:type="paragraph" w:styleId="Titreobjet" w:customStyle="1">
    <w:name w:val="Titre objet"/>
    <w:basedOn w:val="Normal"/>
    <w:next w:val="IntrtEEE"/>
    <w:pPr>
      <w:spacing w:before="360" w:after="360"/>
      <w:jc w:val="center"/>
    </w:pPr>
    <w:rPr>
      <w:b/>
    </w:rPr>
  </w:style>
  <w:style w:type="paragraph" w:styleId="Typedudocument" w:customStyle="1">
    <w:name w:val="Type du document"/>
    <w:basedOn w:val="Normal"/>
    <w:next w:val="Titreobjet"/>
    <w:pPr>
      <w:spacing w:before="360" w:after="0"/>
      <w:jc w:val="center"/>
    </w:pPr>
    <w:rPr>
      <w:b/>
    </w:rPr>
  </w:style>
  <w:style w:type="character" w:styleId="Added" w:customStyle="1">
    <w:name w:val="Added"/>
    <w:basedOn w:val="DefaultParagraphFont"/>
    <w:rPr>
      <w:b/>
      <w:u w:val="single"/>
      <w:shd w:val="clear" w:color="auto" w:fill="auto"/>
    </w:rPr>
  </w:style>
  <w:style w:type="character" w:styleId="Deleted" w:customStyle="1">
    <w:name w:val="Deleted"/>
    <w:basedOn w:val="DefaultParagraphFont"/>
    <w:rPr>
      <w:strike/>
      <w:dstrike w:val="0"/>
      <w:shd w:val="clear" w:color="auto" w:fill="auto"/>
    </w:rPr>
  </w:style>
  <w:style w:type="paragraph" w:styleId="Address" w:customStyle="1">
    <w:name w:val="Address"/>
    <w:basedOn w:val="Normal"/>
    <w:next w:val="Normal"/>
    <w:pPr>
      <w:keepLines/>
      <w:spacing w:line="360" w:lineRule="auto"/>
      <w:ind w:left="3402"/>
      <w:jc w:val="left"/>
    </w:pPr>
  </w:style>
  <w:style w:type="paragraph" w:styleId="Objetexterne" w:customStyle="1">
    <w:name w:val="Objet externe"/>
    <w:basedOn w:val="Normal"/>
    <w:next w:val="Normal"/>
    <w:rPr>
      <w:i/>
      <w:caps/>
    </w:rPr>
  </w:style>
  <w:style w:type="paragraph" w:styleId="Supertitre" w:customStyle="1">
    <w:name w:val="Supertitre"/>
    <w:basedOn w:val="Normal"/>
    <w:next w:val="Normal"/>
    <w:pPr>
      <w:spacing w:before="0" w:after="600"/>
      <w:jc w:val="center"/>
    </w:pPr>
    <w:rPr>
      <w:b/>
    </w:rPr>
  </w:style>
  <w:style w:type="paragraph" w:styleId="Languesfaisantfoi" w:customStyle="1">
    <w:name w:val="Langues faisant foi"/>
    <w:basedOn w:val="Normal"/>
    <w:next w:val="Normal"/>
    <w:pPr>
      <w:spacing w:before="360" w:after="0"/>
      <w:jc w:val="center"/>
    </w:pPr>
  </w:style>
  <w:style w:type="paragraph" w:styleId="Rfrencecroise" w:customStyle="1">
    <w:name w:val="Référence croisée"/>
    <w:basedOn w:val="Normal"/>
    <w:pPr>
      <w:spacing w:before="0" w:after="0"/>
      <w:jc w:val="center"/>
    </w:pPr>
  </w:style>
  <w:style w:type="paragraph" w:styleId="Fichefinanciretitre" w:customStyle="1">
    <w:name w:val="Fiche financière titre"/>
    <w:basedOn w:val="Normal"/>
    <w:next w:val="Normal"/>
    <w:pPr>
      <w:jc w:val="center"/>
    </w:pPr>
    <w:rPr>
      <w:b/>
      <w:u w:val="single"/>
    </w:rPr>
  </w:style>
  <w:style w:type="paragraph" w:styleId="DatedadoptionPagedecouverture" w:customStyle="1">
    <w:name w:val="Date d'adoption (Page de couverture)"/>
    <w:basedOn w:val="Datedadoption"/>
    <w:next w:val="TitreobjetPagedecouverture"/>
  </w:style>
  <w:style w:type="paragraph" w:styleId="RfrenceinterinstitutionnellePagedecouverture" w:customStyle="1">
    <w:name w:val="Référence interinstitutionnelle (Page de couverture)"/>
    <w:basedOn w:val="Rfrenceinterinstitutionnelle"/>
    <w:next w:val="Confidentialit"/>
  </w:style>
  <w:style w:type="paragraph" w:styleId="StatutPagedecouverture" w:customStyle="1">
    <w:name w:val="Statut (Page de couverture)"/>
    <w:basedOn w:val="Statut"/>
    <w:next w:val="TypedudocumentPagedecouverture"/>
  </w:style>
  <w:style w:type="paragraph" w:styleId="TitreobjetPagedecouverture" w:customStyle="1">
    <w:name w:val="Titre objet (Page de couverture)"/>
    <w:basedOn w:val="Titreobjet"/>
    <w:next w:val="IntrtEEEPagedecouverture"/>
  </w:style>
  <w:style w:type="paragraph" w:styleId="TypedudocumentPagedecouverture" w:customStyle="1">
    <w:name w:val="Type du document (Page de couverture)"/>
    <w:basedOn w:val="Typedudocument"/>
    <w:next w:val="TitreobjetPagedecouverture"/>
  </w:style>
  <w:style w:type="paragraph" w:styleId="Volume" w:customStyle="1">
    <w:name w:val="Volume"/>
    <w:basedOn w:val="Normal"/>
    <w:next w:val="Confidentialit"/>
    <w:pPr>
      <w:spacing w:before="0" w:after="240"/>
      <w:ind w:left="5103"/>
      <w:jc w:val="left"/>
    </w:pPr>
  </w:style>
  <w:style w:type="paragraph" w:styleId="IntrtEEE" w:customStyle="1">
    <w:name w:val="Intérêt EEE"/>
    <w:basedOn w:val="Languesfaisantfoi"/>
    <w:next w:val="Normal"/>
    <w:pPr>
      <w:spacing w:after="240"/>
    </w:pPr>
  </w:style>
  <w:style w:type="paragraph" w:styleId="Accompagnant" w:customStyle="1">
    <w:name w:val="Accompagnant"/>
    <w:basedOn w:val="Normal"/>
    <w:next w:val="Typeacteprincipal"/>
    <w:pPr>
      <w:spacing w:before="0" w:after="240"/>
      <w:jc w:val="center"/>
    </w:pPr>
    <w:rPr>
      <w:b/>
      <w:i/>
    </w:rPr>
  </w:style>
  <w:style w:type="paragraph" w:styleId="Typeacteprincipal" w:customStyle="1">
    <w:name w:val="Type acte principal"/>
    <w:basedOn w:val="Normal"/>
    <w:next w:val="Objetacteprincipal"/>
    <w:pPr>
      <w:spacing w:before="0" w:after="240"/>
      <w:jc w:val="center"/>
    </w:pPr>
    <w:rPr>
      <w:b/>
    </w:rPr>
  </w:style>
  <w:style w:type="paragraph" w:styleId="Objetacteprincipal" w:customStyle="1">
    <w:name w:val="Objet acte principal"/>
    <w:basedOn w:val="Normal"/>
    <w:next w:val="Titrearticle"/>
    <w:pPr>
      <w:spacing w:before="0" w:after="360"/>
      <w:jc w:val="center"/>
    </w:pPr>
    <w:rPr>
      <w:b/>
    </w:rPr>
  </w:style>
  <w:style w:type="paragraph" w:styleId="IntrtEEEPagedecouverture" w:customStyle="1">
    <w:name w:val="Intérêt EEE (Page de couverture)"/>
    <w:basedOn w:val="IntrtEEE"/>
    <w:next w:val="Rfrencecroise"/>
  </w:style>
  <w:style w:type="paragraph" w:styleId="AccompagnantPagedecouverture" w:customStyle="1">
    <w:name w:val="Accompagnant (Page de couverture)"/>
    <w:basedOn w:val="Accompagnant"/>
    <w:next w:val="TypeacteprincipalPagedecouverture"/>
  </w:style>
  <w:style w:type="paragraph" w:styleId="TypeacteprincipalPagedecouverture" w:customStyle="1">
    <w:name w:val="Type acte principal (Page de couverture)"/>
    <w:basedOn w:val="Typeacteprincipal"/>
    <w:next w:val="ObjetacteprincipalPagedecouverture"/>
  </w:style>
  <w:style w:type="paragraph" w:styleId="ObjetacteprincipalPagedecouverture" w:customStyle="1">
    <w:name w:val="Objet acte principal (Page de couverture)"/>
    <w:basedOn w:val="Objetacteprincipal"/>
    <w:next w:val="Rfrencecroise"/>
  </w:style>
  <w:style w:type="paragraph" w:styleId="LanguesfaisantfoiPagedecouverture" w:customStyle="1">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9A340D"/>
    <w:pPr>
      <w:tabs>
        <w:tab w:val="center" w:pos="4535"/>
        <w:tab w:val="right" w:pos="9071"/>
      </w:tabs>
      <w:spacing w:before="0"/>
    </w:pPr>
  </w:style>
  <w:style w:type="paragraph" w:styleId="HeaderLandscape" w:customStyle="1">
    <w:name w:val="HeaderLandscape"/>
    <w:basedOn w:val="Normal"/>
    <w:rsid w:val="009A340D"/>
    <w:pPr>
      <w:tabs>
        <w:tab w:val="center" w:pos="7285"/>
        <w:tab w:val="right" w:pos="14003"/>
      </w:tabs>
      <w:spacing w:before="0"/>
    </w:pPr>
  </w:style>
  <w:style w:type="paragraph" w:styleId="Footer">
    <w:name w:val="footer"/>
    <w:basedOn w:val="Normal"/>
    <w:link w:val="FooterChar"/>
    <w:uiPriority w:val="99"/>
    <w:unhideWhenUsed/>
    <w:rsid w:val="009A340D"/>
    <w:pPr>
      <w:tabs>
        <w:tab w:val="center" w:pos="4535"/>
        <w:tab w:val="right" w:pos="9071"/>
        <w:tab w:val="right" w:pos="9921"/>
      </w:tabs>
      <w:spacing w:before="360" w:after="0"/>
      <w:ind w:left="-850" w:right="-850"/>
      <w:jc w:val="left"/>
    </w:pPr>
  </w:style>
  <w:style w:type="paragraph" w:styleId="FooterLandscape" w:customStyle="1">
    <w:name w:val="FooterLandscape"/>
    <w:basedOn w:val="Normal"/>
    <w:rsid w:val="009A340D"/>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Target="/word/settings.xml" Type="http://schemas.openxmlformats.org/officeDocument/2006/relationships/settings" Id="Re6eb820e59db4997"/>
    <Relationship Target="/word/footnotes.xml" Type="http://schemas.openxmlformats.org/officeDocument/2006/relationships/footnotes" Id="R253e195738f94a52"/>
    <Relationship Target="/word/endnotes.xml" Type="http://schemas.openxmlformats.org/officeDocument/2006/relationships/endnotes" Id="R6087fc183e5549be"/>
    <Relationship Target="/word/webSettings.xml" Type="http://schemas.openxmlformats.org/officeDocument/2006/relationships/webSettings" Id="Rc9d46bcadf8f44a9"/>
    <Relationship Target="/word/theme/theme1.xml" Type="http://schemas.openxmlformats.org/officeDocument/2006/relationships/theme" Id="R01890d422e8c4d8a"/>
    <Relationship Target="/word/styles.xml" Type="http://schemas.openxmlformats.org/officeDocument/2006/relationships/styles" Id="Ra71e320b13d34b93"/>
    <Relationship Target="/word/numbering.xml" Type="http://schemas.openxmlformats.org/officeDocument/2006/relationships/numbering" Id="Rd3f6915197df4336"/>
    <Relationship Target="/word/fontTable.xml" Type="http://schemas.openxmlformats.org/officeDocument/2006/relationships/fontTable" Id="Rce89cf0993844d2a"/>
    <Relationship Target="/media/image.bin" Type="http://schemas.openxmlformats.org/officeDocument/2006/relationships/image" Id="R37d533e734484849"/>
    <Relationship Target="/word/header1.xml" Type="http://schemas.openxmlformats.org/officeDocument/2006/relationships/header" Id="R297cc86fc18b44e8"/>
    <Relationship Target="/word/header2.xml" Type="http://schemas.openxmlformats.org/officeDocument/2006/relationships/header" Id="R5a9fdced935c4b0e"/>
    <Relationship Target="/word/header3.xml" Type="http://schemas.openxmlformats.org/officeDocument/2006/relationships/header" Id="Rc3a52557a2b64e56"/>
    <Relationship Target="/word/footer1.xml" Type="http://schemas.openxmlformats.org/officeDocument/2006/relationships/footer" Id="R2079df6314554cfe"/>
    <Relationship Target="/word/footer2.xml" Type="http://schemas.openxmlformats.org/officeDocument/2006/relationships/footer" Id="Rfaa7de07f79d4f93"/>
    <Relationship Target="/word/footer3.xml" Type="http://schemas.openxmlformats.org/officeDocument/2006/relationships/footer" Id="Ra3dceca4a14d46fc"/>
    <Relationship Target="/media/image2.bin" Type="http://schemas.openxmlformats.org/officeDocument/2006/relationships/image" Id="Rac5252ff14264540"/>
    <Relationship Target="/word/header4.xml" Type="http://schemas.openxmlformats.org/officeDocument/2006/relationships/header" Id="Rba95f5a45c8949b5"/>
    <Relationship Target="/word/header5.xml" Type="http://schemas.openxmlformats.org/officeDocument/2006/relationships/header" Id="R07f3ff9ad48746d9"/>
    <Relationship Target="/word/header6.xml" Type="http://schemas.openxmlformats.org/officeDocument/2006/relationships/header" Id="Ra5a674d6daa04d63"/>
    <Relationship Target="/word/footer4.xml" Type="http://schemas.openxmlformats.org/officeDocument/2006/relationships/footer" Id="Rc840b6dd2a8c4c01"/>
    <Relationship Target="/word/footer5.xml" Type="http://schemas.openxmlformats.org/officeDocument/2006/relationships/footer" Id="Rf95a5c0520cf40e8"/>
    <Relationship Target="/word/footer6.xml" Type="http://schemas.openxmlformats.org/officeDocument/2006/relationships/footer" Id="R569d2b6a7ddc4ba6"/>
    <Relationship Target="/word/header7.xml" Type="http://schemas.openxmlformats.org/officeDocument/2006/relationships/header" Id="Rc3f7558903d34f57"/>
    <Relationship Target="/word/header8.xml" Type="http://schemas.openxmlformats.org/officeDocument/2006/relationships/header" Id="R32ca18adb771406c"/>
    <Relationship Target="/word/header9.xml" Type="http://schemas.openxmlformats.org/officeDocument/2006/relationships/header" Id="R02000b3114ec4578"/>
    <Relationship Target="/word/footer7.xml" Type="http://schemas.openxmlformats.org/officeDocument/2006/relationships/footer" Id="Rf99703fd4d1146e3"/>
    <Relationship Target="/word/footer8.xml" Type="http://schemas.openxmlformats.org/officeDocument/2006/relationships/footer" Id="R858548d84ed74c6f"/>
    <Relationship Target="/word/footer9.xml" Type="http://schemas.openxmlformats.org/officeDocument/2006/relationships/footer" Id="Rb618609520944302"/>
    <Relationship Target="/word/header10.xml" Type="http://schemas.openxmlformats.org/officeDocument/2006/relationships/header" Id="R1a3d44152ca6454e"/>
    <Relationship Target="/word/header11.xml" Type="http://schemas.openxmlformats.org/officeDocument/2006/relationships/header" Id="R8260833c9f2c4f93"/>
    <Relationship Target="/word/header12.xml" Type="http://schemas.openxmlformats.org/officeDocument/2006/relationships/header" Id="R5fc432dfa9d84363"/>
    <Relationship Target="/word/footer10.xml" Type="http://schemas.openxmlformats.org/officeDocument/2006/relationships/footer" Id="R49082c16280d419c"/>
    <Relationship Target="/word/footer11.xml" Type="http://schemas.openxmlformats.org/officeDocument/2006/relationships/footer" Id="R8c4535ef23d24090"/>
    <Relationship Target="/word/footer12.xml" Type="http://schemas.openxmlformats.org/officeDocument/2006/relationships/footer" Id="Raa1d30c0f24e4513"/>
    <Relationship Target="/word/header13.xml" Type="http://schemas.openxmlformats.org/officeDocument/2006/relationships/header" Id="R3512354d84994be3"/>
    <Relationship Target="/word/header14.xml" Type="http://schemas.openxmlformats.org/officeDocument/2006/relationships/header" Id="Rf62b1bd56a33416f"/>
    <Relationship Target="/word/header15.xml" Type="http://schemas.openxmlformats.org/officeDocument/2006/relationships/header" Id="R5a2d298fe44c4a89"/>
    <Relationship Target="/word/footer13.xml" Type="http://schemas.openxmlformats.org/officeDocument/2006/relationships/footer" Id="R8ab3e062cf054580"/>
    <Relationship Target="/word/footer14.xml" Type="http://schemas.openxmlformats.org/officeDocument/2006/relationships/footer" Id="R468123f5746b44db"/>
    <Relationship Target="/word/footer15.xml" Type="http://schemas.openxmlformats.org/officeDocument/2006/relationships/footer" Id="R9c1226f26a734e9d"/>
    <Relationship Target="/word/header16.xml" Type="http://schemas.openxmlformats.org/officeDocument/2006/relationships/header" Id="Rab4da0fda7de4495"/>
    <Relationship Target="/word/header17.xml" Type="http://schemas.openxmlformats.org/officeDocument/2006/relationships/header" Id="R87b50a3bbd6d4dfd"/>
    <Relationship Target="/word/header18.xml" Type="http://schemas.openxmlformats.org/officeDocument/2006/relationships/header" Id="R3874d82ab15f416e"/>
    <Relationship Target="/word/footer16.xml" Type="http://schemas.openxmlformats.org/officeDocument/2006/relationships/footer" Id="R8dfa362493c04cc0"/>
    <Relationship Target="/word/footer17.xml" Type="http://schemas.openxmlformats.org/officeDocument/2006/relationships/footer" Id="R09050f5227ca4aaf"/>
    <Relationship Target="/word/footer18.xml" Type="http://schemas.openxmlformats.org/officeDocument/2006/relationships/footer" Id="R09b3977d2adc47b8"/>
    <Relationship Target="/word/header19.xml" Type="http://schemas.openxmlformats.org/officeDocument/2006/relationships/header" Id="R2d09a662f3c34176"/>
    <Relationship Target="/word/header20.xml" Type="http://schemas.openxmlformats.org/officeDocument/2006/relationships/header" Id="R832c71ace0b34fe4"/>
    <Relationship Target="/word/header21.xml" Type="http://schemas.openxmlformats.org/officeDocument/2006/relationships/header" Id="R4e8c9b0efcd2407a"/>
    <Relationship Target="/word/footer19.xml" Type="http://schemas.openxmlformats.org/officeDocument/2006/relationships/footer" Id="R5816bf06491d4b22"/>
    <Relationship Target="/word/footer20.xml" Type="http://schemas.openxmlformats.org/officeDocument/2006/relationships/footer" Id="Rb3cf95d41e9844ba"/>
    <Relationship Target="/word/footer21.xml" Type="http://schemas.openxmlformats.org/officeDocument/2006/relationships/footer" Id="R675997da8fcf4365"/>
    <Relationship Target="/word/header22.xml" Type="http://schemas.openxmlformats.org/officeDocument/2006/relationships/header" Id="Rd6980b614e0a4b05"/>
    <Relationship Target="/word/header23.xml" Type="http://schemas.openxmlformats.org/officeDocument/2006/relationships/header" Id="Rce0677df3fe742c8"/>
    <Relationship Target="/word/header24.xml" Type="http://schemas.openxmlformats.org/officeDocument/2006/relationships/header" Id="R8abd3fc1653d4743"/>
    <Relationship Target="/word/footer22.xml" Type="http://schemas.openxmlformats.org/officeDocument/2006/relationships/footer" Id="Red1ce9f8c65e498a"/>
    <Relationship Target="/word/footer23.xml" Type="http://schemas.openxmlformats.org/officeDocument/2006/relationships/footer" Id="R1695ea171d8c4d0e"/>
    <Relationship Target="/word/footer24.xml" Type="http://schemas.openxmlformats.org/officeDocument/2006/relationships/footer" Id="R5e847962482741ed"/>
    <Relationship Target="/word/glossary/document.xml" Type="http://schemas.openxmlformats.org/officeDocument/2006/relationships/glossaryDocument" Id="R00c41e8bb97c4f4b"/>
</Relationships>

</file>

<file path=word/_rels/footnotes.xml.rels><?xml version="1.0" encoding="UTF-8" standalone="yes"?>
<Relationships xmlns="http://schemas.openxmlformats.org/package/2006/relationships">
    <Relationship TargetMode="External" Target="http://data.europa.eu/eli/reg/2020/2131/oj" Type="http://schemas.openxmlformats.org/officeDocument/2006/relationships/hyperlink" Id="rId1"/>
    <Relationship TargetMode="External" Target="https://policy.trade.ec.europa.eu/news/joint-statement-united-states-european-union-framework-agreement-reciprocal-fair-and-balanced-trade-2025-08-21_en" Type="http://schemas.openxmlformats.org/officeDocument/2006/relationships/hyperlink" Id="rId2"/>
    <Relationship TargetMode="External" Target="https://policy.trade.ec.europa.eu/news/joint-statement-united-states-european-union-framework-agreement-reciprocal-fair-and-balanced-trade-2025-08-21_en" Type="http://schemas.openxmlformats.org/officeDocument/2006/relationships/hyperlink" Id="rId3"/>
    <Relationship TargetMode="External" Target="http://data.europa.eu/eli/reg/2011/182/oj" Type="http://schemas.openxmlformats.org/officeDocument/2006/relationships/hyperlink" Id="rId4"/>
    <Relationship TargetMode="External" Target="http://data.europa.eu/eli/reg/2015/1843/oj" Type="http://schemas.openxmlformats.org/officeDocument/2006/relationships/hyperlink" Id="rId5"/>
</Relationships>

</file>

<file path=word/_rels/settings.xml.rels><?xml version="1.0" encoding="UTF-8" standalone="yes"?>
<Relationships xmlns="http://schemas.openxmlformats.org/package/2006/relationships">
    <Relationship TargetMode="External" Target="C:\Users\Public\Documents\Templates\COM.dotm" Type="http://schemas.openxmlformats.org/officeDocument/2006/relationships/attachedTemplate" Id="rId1"/>
</Relationships>

</file>

<file path=word/glossary/_rels/document.xml.rels><?xml version="1.0" encoding="UTF-8" standalone="yes"?>
<Relationships xmlns="http://schemas.openxmlformats.org/package/2006/relationships">
    <Relationship Target="/word/glossary/styles2.xml" Type="http://schemas.openxmlformats.org/officeDocument/2006/relationships/styles" Id="R3d66607c67f44290"/>
    <Relationship Target="/word/glossary/fontTable2.xml" Type="http://schemas.openxmlformats.org/officeDocument/2006/relationships/fontTable" Id="R1a85dc769e984d47"/>
    <Relationship Target="/word/glossary/settings2.xml" Type="http://schemas.openxmlformats.org/officeDocument/2006/relationships/settings" Id="Rdd0121ac439d4dcf"/>
    <Relationship Target="/word/glossary/webSettings2.xml" Type="http://schemas.openxmlformats.org/officeDocument/2006/relationships/webSettings" Id="R02c38b59ee8c4d99"/>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s>
</w:glossaryDocument>
</file>

<file path=word/glossary/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83"/>
    <w:rsid w:val="00052D7C"/>
    <w:rsid w:val="001C16E9"/>
    <w:rsid w:val="00204F40"/>
    <w:rsid w:val="003C184A"/>
    <w:rsid w:val="00854E58"/>
    <w:rsid w:val="00AE26B2"/>
    <w:rsid w:val="00BE3D84"/>
    <w:rsid w:val="00F06283"/>
    <w:rsid w:val="00F7397D"/>
    <w:rsid w:val="00FB40E5"/>
    <w:rsid w:val="00FD460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w="http://schemas.openxmlformats.org/wordprocessingml/2006/main">
  <w:docDefaults>
    <w:rPrDefault>
      <w:rPr>
        <w:rFonts w:asciiTheme="minorHAnsi" w:eastAsiaTheme="minorEastAsia" w:hAnsiTheme="minorHAnsi" w:cstheme="minorBidi"/>
        <w:kern w:val="2"/>
        <w:sz w:val="24"/>
        <w:szCs w:val="24"/>
        <w:lang w:val="en-DE" w:eastAsia="en-DE" w:bidi="ar-SA"/>
        <ligatures xmlns:p5="http://schemas.microsoft.com/office/word/2010/wordml" xmlns="http://schemas.microsoft.com/office/word/2010/wordml" p5: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F40"/>
  </w:style>
  <w:style w:type="paragraph" w:customStyle="1" w:styleId="31D171189C114B72B562FE2E692AC3DA">
    <w:name w:val="31D171189C114B72B562FE2E692AC3DA"/>
    <w:rsid w:val="00204F40"/>
  </w:style>
  <w:style w:type="paragraph" w:customStyle="1" w:styleId="FAFF4D83BC0D420D80432E832230CD77">
    <w:name w:val="FAFF4D83BC0D420D80432E832230CD77"/>
    <w:rsid w:val="00204F40"/>
  </w:style>
  <w:style w:type="paragraph" w:customStyle="1" w:styleId="AD34A4746DF24748901240EC2DF08255">
    <w:name w:val="AD34A4746DF24748901240EC2DF08255"/>
    <w:rsid w:val="00204F40"/>
  </w:style>
  <w:style w:type="paragraph" w:customStyle="1" w:styleId="E529135A90A84228BBA2B8420EBE77CD">
    <w:name w:val="E529135A90A84228BBA2B8420EBE77CD"/>
    <w:rsid w:val="00204F40"/>
  </w:style>
  <w:style w:type="paragraph" w:customStyle="1" w:styleId="726225DD8F0B4803B0F16376880E9602">
    <w:name w:val="726225DD8F0B4803B0F16376880E9602"/>
    <w:rsid w:val="00204F40"/>
  </w:style>
  <w:style w:type="paragraph" w:customStyle="1" w:styleId="75CDEDA639364A179BD59B6F4A3E160F">
    <w:name w:val="75CDEDA639364A179BD59B6F4A3E160F"/>
    <w:rsid w:val="00204F40"/>
  </w:style>
  <w:style w:type="paragraph" w:customStyle="1" w:styleId="A9B9F296C1744C32A726DC3F343ACBD2">
    <w:name w:val="A9B9F296C1744C32A726DC3F343ACBD2"/>
    <w:rsid w:val="003A5677"/>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COM.dotm</ap:Template>
  <ap:TotalTime>13</ap:TotalTime>
  <ap:Pages>1</ap:Pages>
  <ap:Words>57</ap:Words>
  <ap:Characters>329</ap:Characters>
  <ap:Application>Microsoft Office Word</ap:Application>
  <ap:DocSecurity>0</ap:DocSecurity>
  <ap:Lines>2</ap:Lines>
  <ap:Paragraphs>1</ap:Paragraphs>
  <ap:ScaleCrop>false</ap:ScaleCrop>
  <ap:Company/>
  <ap:LinksUpToDate>false</ap:LinksUpToDate>
  <ap:CharactersWithSpaces>385</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6</revision>
  <dcterms:created xsi:type="dcterms:W3CDTF">2025-01-29T14:25:00.0000000Z</dcterms:created>
  <dcterms:modified xsi:type="dcterms:W3CDTF">2025-01-29T21:13:00.0000000Z</dcterms:modified>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MSIP_Label_af60b174-6478-47f9-866e-33f097bb6603_Enabled">
    <vt:lpwstr>true</vt:lpwstr>
  </prop:property>
  <prop:property fmtid="{D5CDD505-2E9C-101B-9397-08002B2CF9AE}" pid="3" name="MSIP_Label_af60b174-6478-47f9-866e-33f097bb6603_SetDate">
    <vt:lpwstr>2025-08-28T17:01:04Z</vt:lpwstr>
  </prop:property>
  <prop:property fmtid="{D5CDD505-2E9C-101B-9397-08002B2CF9AE}" pid="4" name="MSIP_Label_af60b174-6478-47f9-866e-33f097bb6603_Method">
    <vt:lpwstr>Privileged</vt:lpwstr>
  </prop:property>
  <prop:property fmtid="{D5CDD505-2E9C-101B-9397-08002B2CF9AE}" pid="5" name="MSIP_Label_af60b174-6478-47f9-866e-33f097bb6603_Name">
    <vt:lpwstr>GSCEU - PUBLIC Label</vt:lpwstr>
  </prop:property>
  <prop:property fmtid="{D5CDD505-2E9C-101B-9397-08002B2CF9AE}" pid="6" name="MSIP_Label_af60b174-6478-47f9-866e-33f097bb6603_SiteId">
    <vt:lpwstr>03ad1c97-0a4d-4e82-8f93-27291a6a0767</vt:lpwstr>
  </prop:property>
  <prop:property fmtid="{D5CDD505-2E9C-101B-9397-08002B2CF9AE}" pid="7" name="MSIP_Label_af60b174-6478-47f9-866e-33f097bb6603_ActionId">
    <vt:lpwstr>084F11E1-6C8D-4405-B782-C0714F842605</vt:lpwstr>
  </prop:property>
  <prop:property fmtid="{D5CDD505-2E9C-101B-9397-08002B2CF9AE}" pid="8" name="MSIP_Label_af60b174-6478-47f9-866e-33f097bb6603_ContentBits">
    <vt:lpwstr>0</vt:lpwstr>
  </prop:property>
  <prop:property fmtid="{D5CDD505-2E9C-101B-9397-08002B2CF9AE}" pid="9" name="Last edited using">
    <vt:lpwstr>DocuWrite Toolbox 1.27.0 (CoverpageUpdate)</vt:lpwstr>
  </prop:property>
  <prop:property fmtid="{D5CDD505-2E9C-101B-9397-08002B2CF9AE}" pid="10" name="ContentTypeId">
    <vt:lpwstr>0x010100412F228AFA198A44976C8F36F479FC26</vt:lpwstr>
  </prop:property>
</prop:Properties>
</file>