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80C0" w14:textId="77777777" w:rsidR="006C45D7" w:rsidRPr="00E92818" w:rsidRDefault="006C45D7" w:rsidP="00E92818">
      <w:pPr>
        <w:spacing w:line="288" w:lineRule="auto"/>
        <w:jc w:val="left"/>
        <w:rPr>
          <w:rFonts w:ascii="Arial" w:hAnsi="Arial" w:cs="Arial"/>
          <w:sz w:val="20"/>
        </w:rPr>
      </w:pPr>
      <w:r>
        <w:rPr>
          <w:rFonts w:eastAsia="Calibri"/>
          <w:noProof/>
          <w:lang w:eastAsia="sl-SI"/>
        </w:rPr>
        <w:drawing>
          <wp:anchor distT="0" distB="0" distL="114300" distR="114300" simplePos="0" relativeHeight="251656704" behindDoc="0" locked="0" layoutInCell="1" allowOverlap="1" wp14:anchorId="7791433E" wp14:editId="1ACD8ABA">
            <wp:simplePos x="0" y="0"/>
            <wp:positionH relativeFrom="page">
              <wp:posOffset>9525</wp:posOffset>
            </wp:positionH>
            <wp:positionV relativeFrom="page">
              <wp:posOffset>81915</wp:posOffset>
            </wp:positionV>
            <wp:extent cx="4321810" cy="1193800"/>
            <wp:effectExtent l="0" t="0" r="2540" b="6350"/>
            <wp:wrapSquare wrapText="bothSides"/>
            <wp:docPr id="3" name="Picture 2" descr="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818">
        <w:rPr>
          <w:rFonts w:ascii="Arial" w:hAnsi="Arial" w:cs="Arial"/>
          <w:sz w:val="20"/>
        </w:rPr>
        <w:t xml:space="preserve">     </w:t>
      </w:r>
      <w:r w:rsidRPr="00357592">
        <w:rPr>
          <w:rFonts w:ascii="Arial" w:hAnsi="Arial" w:cs="Arial"/>
          <w:sz w:val="16"/>
        </w:rPr>
        <w:t>Župančičev</w:t>
      </w:r>
      <w:r w:rsidR="00E92818">
        <w:rPr>
          <w:rFonts w:ascii="Arial" w:hAnsi="Arial" w:cs="Arial"/>
          <w:sz w:val="16"/>
        </w:rPr>
        <w:t>a 3, p.p. 644a, 1001 Ljubljana</w:t>
      </w:r>
      <w:r w:rsidR="00E92818">
        <w:rPr>
          <w:rFonts w:ascii="Arial" w:hAnsi="Arial" w:cs="Arial"/>
          <w:sz w:val="16"/>
        </w:rPr>
        <w:tab/>
      </w:r>
      <w:r w:rsidR="00E92818">
        <w:rPr>
          <w:rFonts w:ascii="Arial" w:hAnsi="Arial" w:cs="Arial"/>
          <w:sz w:val="16"/>
        </w:rPr>
        <w:tab/>
        <w:t xml:space="preserve">   </w:t>
      </w:r>
      <w:r w:rsidR="00E92818">
        <w:rPr>
          <w:rFonts w:ascii="Arial" w:hAnsi="Arial" w:cs="Arial"/>
          <w:sz w:val="16"/>
        </w:rPr>
        <w:tab/>
        <w:t xml:space="preserve">   </w:t>
      </w:r>
      <w:r w:rsidRPr="00357592">
        <w:rPr>
          <w:rFonts w:ascii="Arial" w:hAnsi="Arial" w:cs="Arial"/>
          <w:sz w:val="16"/>
        </w:rPr>
        <w:t>T: 01 369 66 00</w:t>
      </w:r>
    </w:p>
    <w:p w14:paraId="71C916AB" w14:textId="77777777" w:rsidR="006C45D7" w:rsidRPr="00357592" w:rsidRDefault="006C45D7" w:rsidP="006C45D7">
      <w:pPr>
        <w:tabs>
          <w:tab w:val="center" w:pos="4536"/>
          <w:tab w:val="left" w:pos="5112"/>
          <w:tab w:val="right" w:pos="9072"/>
        </w:tabs>
        <w:spacing w:line="240" w:lineRule="exact"/>
        <w:rPr>
          <w:rFonts w:ascii="Arial" w:hAnsi="Arial" w:cs="Arial"/>
          <w:sz w:val="16"/>
        </w:rPr>
      </w:pPr>
      <w:r w:rsidRPr="00357592">
        <w:rPr>
          <w:rFonts w:ascii="Arial" w:hAnsi="Arial" w:cs="Arial"/>
          <w:sz w:val="16"/>
        </w:rPr>
        <w:tab/>
      </w:r>
      <w:r w:rsidRPr="00357592">
        <w:rPr>
          <w:rFonts w:ascii="Arial" w:hAnsi="Arial" w:cs="Arial"/>
          <w:sz w:val="16"/>
        </w:rPr>
        <w:tab/>
        <w:t xml:space="preserve">F: 01 369 66 09 </w:t>
      </w:r>
    </w:p>
    <w:p w14:paraId="4A77A4EB" w14:textId="77777777" w:rsidR="006C45D7" w:rsidRDefault="00E92818" w:rsidP="00E92818">
      <w:pPr>
        <w:overflowPunct/>
        <w:autoSpaceDE/>
        <w:autoSpaceDN/>
        <w:adjustRightInd/>
        <w:spacing w:line="260" w:lineRule="exact"/>
        <w:ind w:left="4956"/>
        <w:contextualSpacing/>
        <w:jc w:val="left"/>
        <w:textAlignment w:val="auto"/>
        <w:rPr>
          <w:rFonts w:ascii="Arial" w:eastAsia="Calibri" w:hAnsi="Arial" w:cs="Arial"/>
          <w:b/>
          <w:sz w:val="20"/>
          <w:lang w:eastAsia="sl-SI"/>
        </w:rPr>
      </w:pPr>
      <w:r>
        <w:rPr>
          <w:rFonts w:ascii="Arial" w:eastAsia="Calibri" w:hAnsi="Arial" w:cs="Arial"/>
          <w:b/>
          <w:sz w:val="20"/>
          <w:lang w:eastAsia="sl-SI"/>
        </w:rPr>
        <w:t xml:space="preserve">  </w:t>
      </w:r>
      <w:r w:rsidR="006C45D7">
        <w:rPr>
          <w:rFonts w:ascii="Arial" w:hAnsi="Arial" w:cs="Arial"/>
          <w:sz w:val="16"/>
        </w:rPr>
        <w:t xml:space="preserve"> </w:t>
      </w:r>
      <w:r w:rsidR="006C45D7" w:rsidRPr="00357592">
        <w:rPr>
          <w:rFonts w:ascii="Arial" w:hAnsi="Arial" w:cs="Arial"/>
          <w:sz w:val="16"/>
        </w:rPr>
        <w:t xml:space="preserve">E: </w:t>
      </w:r>
      <w:hyperlink r:id="rId9" w:history="1">
        <w:r w:rsidR="006C45D7" w:rsidRPr="00357592">
          <w:rPr>
            <w:rFonts w:ascii="Arial" w:hAnsi="Arial" w:cs="Arial"/>
            <w:color w:val="0000FF"/>
            <w:sz w:val="16"/>
            <w:u w:val="single"/>
          </w:rPr>
          <w:t>gp.mf@gov.si</w:t>
        </w:r>
      </w:hyperlink>
    </w:p>
    <w:p w14:paraId="6AFE9C84" w14:textId="77777777" w:rsidR="006C45D7" w:rsidRDefault="006C45D7" w:rsidP="00E023C7">
      <w:pPr>
        <w:overflowPunct/>
        <w:autoSpaceDE/>
        <w:autoSpaceDN/>
        <w:adjustRightInd/>
        <w:spacing w:line="260" w:lineRule="exact"/>
        <w:contextualSpacing/>
        <w:jc w:val="left"/>
        <w:textAlignment w:val="auto"/>
        <w:rPr>
          <w:rFonts w:ascii="Arial" w:eastAsia="Calibri" w:hAnsi="Arial" w:cs="Arial"/>
          <w:b/>
          <w:sz w:val="20"/>
          <w:lang w:eastAsia="sl-SI"/>
        </w:rPr>
      </w:pPr>
    </w:p>
    <w:p w14:paraId="44C7694A" w14:textId="77777777" w:rsidR="006C45D7" w:rsidRDefault="006C45D7" w:rsidP="00E023C7">
      <w:pPr>
        <w:overflowPunct/>
        <w:autoSpaceDE/>
        <w:autoSpaceDN/>
        <w:adjustRightInd/>
        <w:spacing w:line="260" w:lineRule="exact"/>
        <w:contextualSpacing/>
        <w:jc w:val="left"/>
        <w:textAlignment w:val="auto"/>
        <w:rPr>
          <w:rFonts w:ascii="Arial" w:eastAsia="Calibri" w:hAnsi="Arial" w:cs="Arial"/>
          <w:b/>
          <w:sz w:val="20"/>
          <w:lang w:eastAsia="sl-SI"/>
        </w:rPr>
      </w:pPr>
    </w:p>
    <w:tbl>
      <w:tblPr>
        <w:tblW w:w="88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067"/>
      </w:tblGrid>
      <w:tr w:rsidR="00357592" w:rsidRPr="00357592" w14:paraId="132C0DE1" w14:textId="77777777" w:rsidTr="00827D04">
        <w:trPr>
          <w:gridAfter w:val="1"/>
          <w:wAfter w:w="3067" w:type="dxa"/>
        </w:trPr>
        <w:tc>
          <w:tcPr>
            <w:tcW w:w="5812" w:type="dxa"/>
            <w:shd w:val="clear" w:color="auto" w:fill="auto"/>
          </w:tcPr>
          <w:p w14:paraId="311F271B" w14:textId="6B0E1CF8" w:rsidR="00357592" w:rsidRPr="00E11D92" w:rsidRDefault="00357592" w:rsidP="00613AA4">
            <w:pPr>
              <w:spacing w:line="260" w:lineRule="exact"/>
              <w:jc w:val="left"/>
              <w:rPr>
                <w:rFonts w:ascii="Arial" w:eastAsia="Calibri" w:hAnsi="Arial" w:cs="Arial"/>
                <w:sz w:val="20"/>
              </w:rPr>
            </w:pPr>
            <w:r w:rsidRPr="00827D04">
              <w:rPr>
                <w:rFonts w:ascii="Arial" w:eastAsia="Calibri" w:hAnsi="Arial" w:cs="Arial"/>
                <w:sz w:val="20"/>
              </w:rPr>
              <w:t>Številka</w:t>
            </w:r>
            <w:r w:rsidRPr="00194EC7">
              <w:rPr>
                <w:rFonts w:ascii="Arial" w:eastAsia="Calibri" w:hAnsi="Arial" w:cs="Arial"/>
                <w:sz w:val="20"/>
              </w:rPr>
              <w:t xml:space="preserve">: </w:t>
            </w:r>
            <w:r w:rsidR="00A4645E">
              <w:rPr>
                <w:rFonts w:ascii="Arial" w:eastAsia="Calibri" w:hAnsi="Arial" w:cs="Arial"/>
                <w:sz w:val="20"/>
              </w:rPr>
              <w:t>547-</w:t>
            </w:r>
            <w:r w:rsidR="00C023B1">
              <w:rPr>
                <w:rFonts w:ascii="Arial" w:eastAsia="Calibri" w:hAnsi="Arial" w:cs="Arial"/>
                <w:sz w:val="20"/>
              </w:rPr>
              <w:t>5</w:t>
            </w:r>
            <w:r w:rsidR="00A4645E">
              <w:rPr>
                <w:rFonts w:ascii="Arial" w:eastAsia="Calibri" w:hAnsi="Arial" w:cs="Arial"/>
                <w:sz w:val="20"/>
              </w:rPr>
              <w:t>/</w:t>
            </w:r>
            <w:r w:rsidR="00C023B1">
              <w:rPr>
                <w:rFonts w:ascii="Arial" w:eastAsia="Calibri" w:hAnsi="Arial" w:cs="Arial"/>
                <w:sz w:val="20"/>
              </w:rPr>
              <w:t>2025</w:t>
            </w:r>
            <w:r w:rsidR="004626E8">
              <w:rPr>
                <w:rFonts w:ascii="Arial" w:eastAsia="Calibri" w:hAnsi="Arial" w:cs="Arial"/>
                <w:sz w:val="20"/>
              </w:rPr>
              <w:t>/15</w:t>
            </w:r>
          </w:p>
        </w:tc>
      </w:tr>
      <w:tr w:rsidR="00357592" w:rsidRPr="00357592" w14:paraId="2564DF42" w14:textId="77777777" w:rsidTr="006C45D7">
        <w:trPr>
          <w:gridAfter w:val="1"/>
          <w:wAfter w:w="3067" w:type="dxa"/>
        </w:trPr>
        <w:tc>
          <w:tcPr>
            <w:tcW w:w="5812" w:type="dxa"/>
          </w:tcPr>
          <w:p w14:paraId="1C1D26C4" w14:textId="5A4AD3C7" w:rsidR="00357592" w:rsidRPr="00E11D92" w:rsidRDefault="00357592" w:rsidP="001D5422">
            <w:pPr>
              <w:spacing w:line="260" w:lineRule="exact"/>
              <w:jc w:val="left"/>
              <w:rPr>
                <w:rFonts w:ascii="Arial" w:eastAsia="Calibri" w:hAnsi="Arial" w:cs="Arial"/>
                <w:sz w:val="20"/>
              </w:rPr>
            </w:pPr>
            <w:r w:rsidRPr="00827D04">
              <w:rPr>
                <w:rFonts w:ascii="Arial" w:eastAsia="Calibri" w:hAnsi="Arial" w:cs="Arial"/>
                <w:sz w:val="20"/>
              </w:rPr>
              <w:t xml:space="preserve">Ljubljana, </w:t>
            </w:r>
            <w:r w:rsidR="004626E8">
              <w:rPr>
                <w:rFonts w:ascii="Arial" w:eastAsia="Calibri" w:hAnsi="Arial" w:cs="Arial"/>
                <w:sz w:val="20"/>
              </w:rPr>
              <w:t>2</w:t>
            </w:r>
            <w:r w:rsidR="00E541D5">
              <w:rPr>
                <w:rFonts w:ascii="Arial" w:eastAsia="Calibri" w:hAnsi="Arial" w:cs="Arial"/>
                <w:sz w:val="20"/>
              </w:rPr>
              <w:t>4</w:t>
            </w:r>
            <w:r w:rsidR="004626E8">
              <w:rPr>
                <w:rFonts w:ascii="Arial" w:eastAsia="Calibri" w:hAnsi="Arial" w:cs="Arial"/>
                <w:sz w:val="20"/>
              </w:rPr>
              <w:t>. 4</w:t>
            </w:r>
            <w:r w:rsidR="00C023B1">
              <w:rPr>
                <w:rFonts w:ascii="Arial" w:eastAsia="Calibri" w:hAnsi="Arial" w:cs="Arial"/>
                <w:sz w:val="20"/>
              </w:rPr>
              <w:t>. 2025</w:t>
            </w:r>
          </w:p>
        </w:tc>
      </w:tr>
      <w:tr w:rsidR="00357592" w:rsidRPr="00357592" w14:paraId="04818F93" w14:textId="77777777" w:rsidTr="006C45D7">
        <w:trPr>
          <w:gridAfter w:val="1"/>
          <w:wAfter w:w="3067" w:type="dxa"/>
        </w:trPr>
        <w:tc>
          <w:tcPr>
            <w:tcW w:w="5812" w:type="dxa"/>
          </w:tcPr>
          <w:p w14:paraId="29D5A757" w14:textId="77777777" w:rsidR="00357592" w:rsidRPr="00357592" w:rsidRDefault="00357592" w:rsidP="00E92818">
            <w:pPr>
              <w:spacing w:line="260" w:lineRule="exact"/>
              <w:jc w:val="left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EVA /</w:t>
            </w:r>
          </w:p>
        </w:tc>
      </w:tr>
      <w:tr w:rsidR="00357592" w:rsidRPr="00357592" w14:paraId="2F655803" w14:textId="77777777" w:rsidTr="006C45D7">
        <w:trPr>
          <w:gridAfter w:val="1"/>
          <w:wAfter w:w="3067" w:type="dxa"/>
        </w:trPr>
        <w:tc>
          <w:tcPr>
            <w:tcW w:w="5812" w:type="dxa"/>
          </w:tcPr>
          <w:p w14:paraId="796D9B25" w14:textId="77777777" w:rsidR="00357592" w:rsidRPr="00357592" w:rsidRDefault="00357592" w:rsidP="00E92818">
            <w:pPr>
              <w:spacing w:line="260" w:lineRule="exact"/>
              <w:rPr>
                <w:rFonts w:ascii="Arial" w:eastAsia="Calibri" w:hAnsi="Arial" w:cs="Arial"/>
                <w:sz w:val="20"/>
              </w:rPr>
            </w:pPr>
          </w:p>
          <w:p w14:paraId="7CE5C2BD" w14:textId="77777777" w:rsidR="00357592" w:rsidRPr="00357592" w:rsidRDefault="00357592" w:rsidP="00E92818">
            <w:pPr>
              <w:spacing w:line="260" w:lineRule="exact"/>
              <w:jc w:val="left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GENERALNI SEKRETARIAT VLADE REPUBLIKE SLOVENIJE</w:t>
            </w:r>
          </w:p>
          <w:p w14:paraId="156CC6DF" w14:textId="77777777" w:rsidR="00357592" w:rsidRPr="00357592" w:rsidRDefault="00000000" w:rsidP="00E92818">
            <w:pPr>
              <w:spacing w:line="260" w:lineRule="exact"/>
              <w:jc w:val="left"/>
              <w:rPr>
                <w:rFonts w:ascii="Arial" w:eastAsia="Calibri" w:hAnsi="Arial" w:cs="Arial"/>
                <w:sz w:val="20"/>
              </w:rPr>
            </w:pPr>
            <w:hyperlink r:id="rId10" w:history="1">
              <w:r w:rsidR="00357592" w:rsidRPr="00357592">
                <w:rPr>
                  <w:rFonts w:eastAsia="Calibri" w:cs="Arial"/>
                  <w:color w:val="0000FF"/>
                  <w:sz w:val="20"/>
                  <w:u w:val="single"/>
                </w:rPr>
                <w:t>Gp.gs@gov.si</w:t>
              </w:r>
            </w:hyperlink>
          </w:p>
          <w:p w14:paraId="09161662" w14:textId="77777777" w:rsidR="00357592" w:rsidRPr="00357592" w:rsidRDefault="00357592" w:rsidP="00E92818">
            <w:pPr>
              <w:spacing w:line="260" w:lineRule="exact"/>
              <w:rPr>
                <w:rFonts w:ascii="Arial" w:eastAsia="Calibri" w:hAnsi="Arial" w:cs="Arial"/>
                <w:sz w:val="20"/>
              </w:rPr>
            </w:pPr>
          </w:p>
        </w:tc>
      </w:tr>
      <w:tr w:rsidR="00357592" w:rsidRPr="00357592" w14:paraId="17BD7CCF" w14:textId="77777777" w:rsidTr="006C45D7">
        <w:tc>
          <w:tcPr>
            <w:tcW w:w="8879" w:type="dxa"/>
            <w:gridSpan w:val="2"/>
          </w:tcPr>
          <w:p w14:paraId="5DEE3D96" w14:textId="3E99A67D" w:rsidR="00357592" w:rsidRPr="00357592" w:rsidRDefault="00357592" w:rsidP="000526F3">
            <w:pPr>
              <w:suppressAutoHyphens/>
              <w:spacing w:line="260" w:lineRule="exact"/>
              <w:rPr>
                <w:rFonts w:ascii="Arial" w:eastAsia="Calibri" w:hAnsi="Arial" w:cs="Arial"/>
                <w:b/>
                <w:sz w:val="20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t>ZADEVA</w:t>
            </w:r>
            <w:r w:rsidRPr="00827D04">
              <w:rPr>
                <w:rFonts w:ascii="Arial" w:eastAsia="Calibri" w:hAnsi="Arial" w:cs="Arial"/>
                <w:b/>
                <w:sz w:val="20"/>
              </w:rPr>
              <w:t xml:space="preserve">: </w:t>
            </w:r>
            <w:r w:rsidR="00C023B1" w:rsidRPr="00C023B1">
              <w:rPr>
                <w:rFonts w:ascii="Arial" w:eastAsia="Calibri" w:hAnsi="Arial" w:cs="Arial"/>
                <w:b/>
                <w:sz w:val="20"/>
              </w:rPr>
              <w:t>Informacija o udeležbi delegacije Republike Slovenije na letnem zasedanju Sveta guvernerjev Evropske banke za obnovo in razvoj (EBRD) 13. - 15. maja 2025 v Londonu, Združeno kraljestvo</w:t>
            </w:r>
            <w:r w:rsidR="00C61CBE" w:rsidRPr="00827D04">
              <w:rPr>
                <w:rFonts w:ascii="Arial" w:eastAsia="Calibri" w:hAnsi="Arial" w:cs="Arial"/>
                <w:b/>
                <w:sz w:val="20"/>
              </w:rPr>
              <w:t>– predlog za obravnavo</w:t>
            </w:r>
          </w:p>
        </w:tc>
      </w:tr>
      <w:tr w:rsidR="00357592" w:rsidRPr="00357592" w14:paraId="06A1D062" w14:textId="77777777" w:rsidTr="006C45D7">
        <w:tc>
          <w:tcPr>
            <w:tcW w:w="8879" w:type="dxa"/>
            <w:gridSpan w:val="2"/>
          </w:tcPr>
          <w:p w14:paraId="5B69D874" w14:textId="77777777" w:rsidR="00357592" w:rsidRPr="00357592" w:rsidRDefault="00357592" w:rsidP="00E92818">
            <w:pPr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/>
                <w:sz w:val="20"/>
                <w:lang w:eastAsia="sl-SI"/>
              </w:rPr>
              <w:t>1. Predlog sklepov vlade:</w:t>
            </w:r>
          </w:p>
        </w:tc>
      </w:tr>
      <w:tr w:rsidR="00357592" w:rsidRPr="00357592" w14:paraId="594D951E" w14:textId="77777777" w:rsidTr="006C45D7">
        <w:tc>
          <w:tcPr>
            <w:tcW w:w="8879" w:type="dxa"/>
            <w:gridSpan w:val="2"/>
          </w:tcPr>
          <w:p w14:paraId="08C3E4D8" w14:textId="77777777" w:rsidR="00357592" w:rsidRPr="00357592" w:rsidRDefault="00357592" w:rsidP="00E92818">
            <w:pPr>
              <w:spacing w:line="260" w:lineRule="atLeast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5E2EF082" w14:textId="7E9FE76D" w:rsidR="00FF7D35" w:rsidRPr="00B050EF" w:rsidRDefault="00FF7D35" w:rsidP="00E92818">
            <w:pPr>
              <w:spacing w:line="260" w:lineRule="atLeast"/>
              <w:rPr>
                <w:rFonts w:ascii="Arial" w:hAnsi="Arial" w:cs="Arial"/>
                <w:color w:val="000000"/>
                <w:sz w:val="20"/>
              </w:rPr>
            </w:pPr>
            <w:r w:rsidRPr="00FF7D35">
              <w:rPr>
                <w:rFonts w:ascii="Arial" w:hAnsi="Arial" w:cs="Arial"/>
                <w:color w:val="000000"/>
                <w:sz w:val="20"/>
              </w:rPr>
              <w:t>Na podlagi</w:t>
            </w:r>
            <w:r w:rsidR="001E3AD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F7D35">
              <w:rPr>
                <w:rFonts w:ascii="Arial" w:hAnsi="Arial" w:cs="Arial"/>
                <w:color w:val="000000"/>
                <w:sz w:val="20"/>
              </w:rPr>
              <w:t>šestega odstavka 21. člena Zakona o Vladi Republike Slovenije (Uradni list RS, št. 24/05 – uradno prečiščeno besedilo, 109/08, 38/10 – ZUKN, 8/12, 21/13, 47/13</w:t>
            </w:r>
            <w:r w:rsidR="007A09E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A09E9" w:rsidRPr="007A09E9">
              <w:rPr>
                <w:rFonts w:ascii="Arial" w:hAnsi="Arial" w:cs="Arial"/>
                <w:color w:val="000000"/>
                <w:sz w:val="20"/>
              </w:rPr>
              <w:t>–</w:t>
            </w:r>
            <w:r w:rsidR="007A09E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F7D35">
              <w:rPr>
                <w:rFonts w:ascii="Arial" w:hAnsi="Arial" w:cs="Arial"/>
                <w:color w:val="000000"/>
                <w:sz w:val="20"/>
              </w:rPr>
              <w:t>ZDU-1G</w:t>
            </w:r>
            <w:r w:rsidR="00A1048A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FF7D35">
              <w:rPr>
                <w:rFonts w:ascii="Arial" w:hAnsi="Arial" w:cs="Arial"/>
                <w:color w:val="000000"/>
                <w:sz w:val="20"/>
              </w:rPr>
              <w:t>65/14</w:t>
            </w:r>
            <w:r w:rsidR="007A09E9">
              <w:rPr>
                <w:rFonts w:ascii="Arial" w:hAnsi="Arial" w:cs="Arial"/>
                <w:color w:val="000000"/>
                <w:sz w:val="20"/>
              </w:rPr>
              <w:t>,</w:t>
            </w:r>
            <w:r w:rsidR="00A1048A">
              <w:rPr>
                <w:rFonts w:ascii="Arial" w:hAnsi="Arial" w:cs="Arial"/>
                <w:color w:val="000000"/>
                <w:sz w:val="20"/>
              </w:rPr>
              <w:t xml:space="preserve"> 55/17</w:t>
            </w:r>
            <w:r w:rsidR="007A09E9">
              <w:rPr>
                <w:rFonts w:ascii="Arial" w:hAnsi="Arial" w:cs="Arial"/>
                <w:color w:val="000000"/>
                <w:sz w:val="20"/>
              </w:rPr>
              <w:t xml:space="preserve"> in 163/22</w:t>
            </w:r>
            <w:r w:rsidRPr="00FF7D35">
              <w:rPr>
                <w:rFonts w:ascii="Arial" w:hAnsi="Arial" w:cs="Arial"/>
                <w:color w:val="000000"/>
                <w:sz w:val="20"/>
              </w:rPr>
              <w:t xml:space="preserve">) je Vlada Republike Slovenije na seji dne ... pod </w:t>
            </w:r>
            <w:r w:rsidRPr="00B050EF">
              <w:rPr>
                <w:rFonts w:ascii="Arial" w:hAnsi="Arial" w:cs="Arial"/>
                <w:color w:val="000000"/>
                <w:sz w:val="20"/>
              </w:rPr>
              <w:t>točko ... sprejela naslednji sklep:</w:t>
            </w:r>
          </w:p>
          <w:p w14:paraId="1BF6A8C5" w14:textId="77777777" w:rsidR="004B61D8" w:rsidRDefault="004B61D8" w:rsidP="00B050EF">
            <w:pPr>
              <w:tabs>
                <w:tab w:val="left" w:pos="180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  <w:p w14:paraId="270E17D5" w14:textId="77777777" w:rsidR="004B61D8" w:rsidRDefault="004B61D8" w:rsidP="00B050EF">
            <w:pPr>
              <w:tabs>
                <w:tab w:val="left" w:pos="180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  <w:p w14:paraId="6AD02842" w14:textId="60B551C0" w:rsidR="00B050EF" w:rsidRPr="00B050EF" w:rsidRDefault="00B050EF" w:rsidP="00B050EF">
            <w:pPr>
              <w:tabs>
                <w:tab w:val="left" w:pos="180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>SKLEP:</w:t>
            </w:r>
          </w:p>
          <w:p w14:paraId="4EA54E82" w14:textId="77777777" w:rsidR="00B050EF" w:rsidRPr="00B050EF" w:rsidRDefault="00B050EF" w:rsidP="00B050EF">
            <w:pPr>
              <w:tabs>
                <w:tab w:val="left" w:pos="180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  <w:p w14:paraId="2DB981C9" w14:textId="1F41D894" w:rsidR="00B050EF" w:rsidRPr="00B050EF" w:rsidRDefault="00B32582" w:rsidP="00B050EF">
            <w:pPr>
              <w:tabs>
                <w:tab w:val="left" w:pos="180"/>
              </w:tabs>
              <w:rPr>
                <w:rFonts w:ascii="Arial" w:hAnsi="Arial" w:cs="Arial"/>
                <w:snapToGrid w:val="0"/>
                <w:sz w:val="20"/>
              </w:rPr>
            </w:pPr>
            <w:r w:rsidRPr="00B32582">
              <w:rPr>
                <w:rFonts w:ascii="Arial" w:hAnsi="Arial" w:cs="Arial"/>
                <w:snapToGrid w:val="0"/>
                <w:sz w:val="20"/>
              </w:rPr>
              <w:t>Vlada Republike Slovenije</w:t>
            </w:r>
            <w:r w:rsidR="0068700F">
              <w:rPr>
                <w:rFonts w:ascii="Arial" w:hAnsi="Arial" w:cs="Arial"/>
                <w:snapToGrid w:val="0"/>
                <w:sz w:val="20"/>
              </w:rPr>
              <w:t xml:space="preserve"> se</w:t>
            </w:r>
            <w:r w:rsidRPr="00B32582">
              <w:rPr>
                <w:rFonts w:ascii="Arial" w:hAnsi="Arial" w:cs="Arial"/>
                <w:snapToGrid w:val="0"/>
                <w:sz w:val="20"/>
              </w:rPr>
              <w:t xml:space="preserve"> je s</w:t>
            </w:r>
            <w:r w:rsidR="0068700F">
              <w:rPr>
                <w:rFonts w:ascii="Arial" w:hAnsi="Arial" w:cs="Arial"/>
                <w:snapToGrid w:val="0"/>
                <w:sz w:val="20"/>
              </w:rPr>
              <w:t>eznanila z</w:t>
            </w:r>
            <w:r w:rsidRPr="00B32582">
              <w:rPr>
                <w:rFonts w:ascii="Arial" w:hAnsi="Arial" w:cs="Arial"/>
                <w:snapToGrid w:val="0"/>
                <w:sz w:val="20"/>
              </w:rPr>
              <w:t xml:space="preserve"> Informacijo o udeležbi delegacije Republike Slovenije na </w:t>
            </w:r>
            <w:r w:rsidR="00C023B1">
              <w:rPr>
                <w:rFonts w:ascii="Arial" w:hAnsi="Arial" w:cs="Arial"/>
                <w:snapToGrid w:val="0"/>
                <w:sz w:val="20"/>
              </w:rPr>
              <w:t>l</w:t>
            </w:r>
            <w:r w:rsidRPr="00B32582">
              <w:rPr>
                <w:rFonts w:ascii="Arial" w:hAnsi="Arial" w:cs="Arial"/>
                <w:snapToGrid w:val="0"/>
                <w:sz w:val="20"/>
              </w:rPr>
              <w:t xml:space="preserve">etnem zasedanju Sveta guvernerjev Evropske banke za obnovo in razvoj (EBRD) </w:t>
            </w:r>
            <w:r w:rsidR="00C023B1">
              <w:rPr>
                <w:rFonts w:ascii="Arial" w:hAnsi="Arial" w:cs="Arial"/>
                <w:snapToGrid w:val="0"/>
                <w:sz w:val="20"/>
              </w:rPr>
              <w:t xml:space="preserve">od </w:t>
            </w:r>
            <w:r w:rsidRPr="00B32582">
              <w:rPr>
                <w:rFonts w:ascii="Arial" w:hAnsi="Arial" w:cs="Arial"/>
                <w:snapToGrid w:val="0"/>
                <w:sz w:val="20"/>
              </w:rPr>
              <w:t>1</w:t>
            </w:r>
            <w:r w:rsidR="00C023B1">
              <w:rPr>
                <w:rFonts w:ascii="Arial" w:hAnsi="Arial" w:cs="Arial"/>
                <w:snapToGrid w:val="0"/>
                <w:sz w:val="20"/>
              </w:rPr>
              <w:t>3</w:t>
            </w:r>
            <w:r w:rsidRPr="00B32582">
              <w:rPr>
                <w:rFonts w:ascii="Arial" w:hAnsi="Arial" w:cs="Arial"/>
                <w:snapToGrid w:val="0"/>
                <w:sz w:val="20"/>
              </w:rPr>
              <w:t>. – 1</w:t>
            </w:r>
            <w:r w:rsidR="00C023B1">
              <w:rPr>
                <w:rFonts w:ascii="Arial" w:hAnsi="Arial" w:cs="Arial"/>
                <w:snapToGrid w:val="0"/>
                <w:sz w:val="20"/>
              </w:rPr>
              <w:t>5</w:t>
            </w:r>
            <w:r w:rsidRPr="00B32582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68700F">
              <w:rPr>
                <w:rFonts w:ascii="Arial" w:hAnsi="Arial" w:cs="Arial"/>
                <w:snapToGrid w:val="0"/>
                <w:sz w:val="20"/>
              </w:rPr>
              <w:t>maja</w:t>
            </w:r>
            <w:r w:rsidRPr="00B3258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C023B1">
              <w:rPr>
                <w:rFonts w:ascii="Arial" w:hAnsi="Arial" w:cs="Arial"/>
                <w:snapToGrid w:val="0"/>
                <w:sz w:val="20"/>
              </w:rPr>
              <w:t>2025 v Londonu, Združeno kraljestvo</w:t>
            </w:r>
            <w:r w:rsidRPr="00B32582">
              <w:rPr>
                <w:rFonts w:ascii="Arial" w:hAnsi="Arial" w:cs="Arial"/>
                <w:snapToGrid w:val="0"/>
                <w:sz w:val="20"/>
              </w:rPr>
              <w:t>.</w:t>
            </w:r>
          </w:p>
          <w:p w14:paraId="40B4D257" w14:textId="77777777" w:rsidR="00B050EF" w:rsidRPr="00B050EF" w:rsidRDefault="00B050EF" w:rsidP="00B050EF">
            <w:pPr>
              <w:tabs>
                <w:tab w:val="left" w:pos="180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73F627AC" w14:textId="77777777" w:rsidR="00B050EF" w:rsidRPr="00B050EF" w:rsidRDefault="00B050EF" w:rsidP="00B050EF">
            <w:pPr>
              <w:tabs>
                <w:tab w:val="left" w:pos="180"/>
              </w:tabs>
              <w:rPr>
                <w:rFonts w:ascii="Arial" w:hAnsi="Arial" w:cs="Arial"/>
                <w:b/>
                <w:snapToGrid w:val="0"/>
                <w:sz w:val="20"/>
              </w:rPr>
            </w:pPr>
          </w:p>
          <w:p w14:paraId="455CEA0B" w14:textId="77777777" w:rsidR="00B050EF" w:rsidRPr="00B050EF" w:rsidRDefault="00B050EF" w:rsidP="00B050EF">
            <w:pPr>
              <w:tabs>
                <w:tab w:val="left" w:pos="5760"/>
              </w:tabs>
              <w:ind w:left="3420"/>
              <w:rPr>
                <w:rFonts w:ascii="Arial" w:hAnsi="Arial" w:cs="Arial"/>
                <w:iCs/>
                <w:snapToGrid w:val="0"/>
                <w:sz w:val="20"/>
              </w:rPr>
            </w:pPr>
            <w:r w:rsidRPr="00B050EF">
              <w:rPr>
                <w:rFonts w:ascii="Arial" w:hAnsi="Arial" w:cs="Arial"/>
                <w:iCs/>
                <w:snapToGrid w:val="0"/>
                <w:sz w:val="20"/>
              </w:rPr>
              <w:t xml:space="preserve">                                  Barbara Kolenko Helbl</w:t>
            </w:r>
          </w:p>
          <w:p w14:paraId="188B8BE1" w14:textId="3B8F5DE8" w:rsidR="00B050EF" w:rsidRPr="00B050EF" w:rsidRDefault="00B050EF" w:rsidP="00B050EF">
            <w:pPr>
              <w:tabs>
                <w:tab w:val="left" w:pos="5760"/>
              </w:tabs>
              <w:ind w:left="3420"/>
              <w:rPr>
                <w:rFonts w:ascii="Arial" w:eastAsia="Calibri" w:hAnsi="Arial" w:cs="Arial"/>
                <w:color w:val="000000"/>
                <w:sz w:val="20"/>
              </w:rPr>
            </w:pPr>
            <w:r w:rsidRPr="00B050EF">
              <w:rPr>
                <w:rFonts w:ascii="Arial" w:hAnsi="Arial" w:cs="Arial"/>
                <w:iCs/>
                <w:snapToGrid w:val="0"/>
                <w:sz w:val="20"/>
              </w:rPr>
              <w:t xml:space="preserve">                               generalna sekretarka</w:t>
            </w:r>
            <w:r>
              <w:rPr>
                <w:rFonts w:ascii="Arial" w:hAnsi="Arial" w:cs="Arial"/>
                <w:iCs/>
                <w:snapToGrid w:val="0"/>
                <w:sz w:val="20"/>
              </w:rPr>
              <w:t xml:space="preserve"> vlade</w:t>
            </w:r>
          </w:p>
          <w:p w14:paraId="5412F608" w14:textId="77777777" w:rsidR="004B61D8" w:rsidRDefault="004B61D8" w:rsidP="00B050EF">
            <w:pPr>
              <w:tabs>
                <w:tab w:val="left" w:pos="5760"/>
              </w:tabs>
              <w:ind w:left="3420"/>
              <w:rPr>
                <w:rFonts w:ascii="Arial" w:hAnsi="Arial" w:cs="Arial"/>
                <w:color w:val="000000"/>
                <w:sz w:val="20"/>
              </w:rPr>
            </w:pPr>
          </w:p>
          <w:p w14:paraId="1E43661C" w14:textId="77777777" w:rsidR="004B61D8" w:rsidRDefault="004B61D8" w:rsidP="00B050EF">
            <w:pPr>
              <w:tabs>
                <w:tab w:val="left" w:pos="5760"/>
              </w:tabs>
              <w:ind w:left="3420"/>
              <w:rPr>
                <w:rFonts w:ascii="Arial" w:hAnsi="Arial" w:cs="Arial"/>
                <w:color w:val="000000"/>
                <w:sz w:val="20"/>
              </w:rPr>
            </w:pPr>
          </w:p>
          <w:p w14:paraId="155CCC7E" w14:textId="77777777" w:rsidR="004B61D8" w:rsidRDefault="004B61D8" w:rsidP="00B050EF">
            <w:pPr>
              <w:tabs>
                <w:tab w:val="left" w:pos="5760"/>
              </w:tabs>
              <w:ind w:left="3420"/>
              <w:rPr>
                <w:rFonts w:ascii="Arial" w:hAnsi="Arial" w:cs="Arial"/>
                <w:color w:val="000000"/>
                <w:sz w:val="20"/>
              </w:rPr>
            </w:pPr>
          </w:p>
          <w:p w14:paraId="3C81EF16" w14:textId="1AB10D6D" w:rsidR="00B050EF" w:rsidRPr="00B050EF" w:rsidRDefault="00B050EF" w:rsidP="00B050EF">
            <w:pPr>
              <w:tabs>
                <w:tab w:val="left" w:pos="5760"/>
              </w:tabs>
              <w:ind w:left="3420"/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color w:val="000000"/>
                <w:sz w:val="20"/>
              </w:rPr>
              <w:t xml:space="preserve">                        </w:t>
            </w:r>
          </w:p>
          <w:p w14:paraId="5FBDE93F" w14:textId="77777777" w:rsidR="00B050EF" w:rsidRPr="00B050EF" w:rsidRDefault="00B050EF" w:rsidP="00B050EF">
            <w:pPr>
              <w:tabs>
                <w:tab w:val="left" w:pos="180"/>
              </w:tabs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 xml:space="preserve">Priloga: </w:t>
            </w:r>
          </w:p>
          <w:p w14:paraId="30F54E40" w14:textId="38F21959" w:rsidR="002F1693" w:rsidRDefault="00B32582" w:rsidP="00B32582">
            <w:pPr>
              <w:pStyle w:val="Odstavekseznama"/>
              <w:numPr>
                <w:ilvl w:val="0"/>
                <w:numId w:val="38"/>
              </w:num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  <w:r w:rsidRPr="00B32582">
              <w:rPr>
                <w:rFonts w:ascii="Arial" w:hAnsi="Arial" w:cs="Arial"/>
                <w:snapToGrid w:val="0"/>
                <w:sz w:val="20"/>
              </w:rPr>
              <w:t>Informacij</w:t>
            </w:r>
            <w:r>
              <w:rPr>
                <w:rFonts w:ascii="Arial" w:hAnsi="Arial" w:cs="Arial"/>
                <w:snapToGrid w:val="0"/>
                <w:sz w:val="20"/>
              </w:rPr>
              <w:t>a</w:t>
            </w:r>
            <w:r w:rsidRPr="00B3258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C023B1" w:rsidRPr="00C023B1">
              <w:rPr>
                <w:rFonts w:ascii="Arial" w:hAnsi="Arial" w:cs="Arial"/>
                <w:snapToGrid w:val="0"/>
                <w:sz w:val="20"/>
              </w:rPr>
              <w:t>o udeležbi delegacije Republike Slovenije na letnem zasedanju Sveta guvernerjev Evropske banke za obnovo in razvoj (EBRD) od 13. – 15. maja 2025 v Londonu, Združeno kraljestvo</w:t>
            </w:r>
            <w:r w:rsidRPr="00B32582">
              <w:rPr>
                <w:rFonts w:ascii="Arial" w:hAnsi="Arial" w:cs="Arial"/>
                <w:snapToGrid w:val="0"/>
                <w:sz w:val="20"/>
              </w:rPr>
              <w:t>.</w:t>
            </w:r>
          </w:p>
          <w:p w14:paraId="7F75BEDD" w14:textId="77777777" w:rsidR="00742FA0" w:rsidRDefault="00742FA0" w:rsidP="00742FA0">
            <w:p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</w:p>
          <w:p w14:paraId="22597399" w14:textId="77777777" w:rsidR="004B61D8" w:rsidRDefault="004B61D8" w:rsidP="00742FA0">
            <w:p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</w:p>
          <w:p w14:paraId="10595581" w14:textId="77777777" w:rsidR="004B61D8" w:rsidRPr="00742FA0" w:rsidRDefault="004B61D8" w:rsidP="00742FA0">
            <w:p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</w:p>
          <w:p w14:paraId="04D75597" w14:textId="77777777" w:rsidR="00B050EF" w:rsidRPr="00B050EF" w:rsidRDefault="00B050EF" w:rsidP="00B050EF">
            <w:pPr>
              <w:tabs>
                <w:tab w:val="left" w:pos="180"/>
              </w:tabs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>SKLEP PREJMEJO:</w:t>
            </w:r>
          </w:p>
          <w:p w14:paraId="53FB2AD7" w14:textId="77777777" w:rsidR="00B050EF" w:rsidRPr="00B050EF" w:rsidRDefault="00B050EF" w:rsidP="00B050EF">
            <w:pPr>
              <w:numPr>
                <w:ilvl w:val="0"/>
                <w:numId w:val="32"/>
              </w:num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>Ministrstvo za finance,</w:t>
            </w:r>
          </w:p>
          <w:p w14:paraId="65A761A8" w14:textId="77777777" w:rsidR="00B050EF" w:rsidRPr="00B050EF" w:rsidRDefault="00B050EF" w:rsidP="00B050EF">
            <w:pPr>
              <w:numPr>
                <w:ilvl w:val="0"/>
                <w:numId w:val="32"/>
              </w:num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>Ministrstvo za zunanje in evropske zadeve,</w:t>
            </w:r>
          </w:p>
          <w:p w14:paraId="615A44EB" w14:textId="77777777" w:rsidR="00B050EF" w:rsidRPr="00B050EF" w:rsidRDefault="00B050EF" w:rsidP="00B050EF">
            <w:pPr>
              <w:numPr>
                <w:ilvl w:val="0"/>
                <w:numId w:val="32"/>
              </w:numPr>
              <w:tabs>
                <w:tab w:val="left" w:pos="18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napToGrid w:val="0"/>
                <w:sz w:val="20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>Služba Vlade Republike Slovenije za zakonodajo,</w:t>
            </w:r>
          </w:p>
          <w:p w14:paraId="6BB4C191" w14:textId="77777777" w:rsidR="004C6D2B" w:rsidRPr="004B61D8" w:rsidRDefault="00B050EF" w:rsidP="00B050EF">
            <w:pPr>
              <w:numPr>
                <w:ilvl w:val="0"/>
                <w:numId w:val="9"/>
              </w:numPr>
              <w:overflowPunct/>
              <w:textAlignment w:val="auto"/>
              <w:rPr>
                <w:rFonts w:ascii="Arial" w:hAnsi="Arial" w:cs="Arial"/>
                <w:sz w:val="20"/>
                <w:lang w:eastAsia="sl-SI"/>
              </w:rPr>
            </w:pPr>
            <w:r w:rsidRPr="00B050EF">
              <w:rPr>
                <w:rFonts w:ascii="Arial" w:hAnsi="Arial" w:cs="Arial"/>
                <w:snapToGrid w:val="0"/>
                <w:sz w:val="20"/>
              </w:rPr>
              <w:t>Urad Vlade Republike Slovenije za komuniciranje.</w:t>
            </w:r>
          </w:p>
          <w:p w14:paraId="22ACE043" w14:textId="77777777" w:rsidR="004B61D8" w:rsidRDefault="004B61D8" w:rsidP="004B61D8">
            <w:pPr>
              <w:overflowPunct/>
              <w:textAlignment w:val="auto"/>
              <w:rPr>
                <w:rFonts w:ascii="Arial" w:hAnsi="Arial" w:cs="Arial"/>
                <w:snapToGrid w:val="0"/>
                <w:sz w:val="20"/>
              </w:rPr>
            </w:pPr>
          </w:p>
          <w:p w14:paraId="7D3E4798" w14:textId="5F12D1DF" w:rsidR="004B61D8" w:rsidRPr="004C6D2B" w:rsidRDefault="004B61D8" w:rsidP="004B61D8">
            <w:pPr>
              <w:overflowPunct/>
              <w:textAlignment w:val="auto"/>
              <w:rPr>
                <w:rFonts w:ascii="Arial" w:hAnsi="Arial" w:cs="Arial"/>
                <w:sz w:val="20"/>
                <w:lang w:eastAsia="sl-SI"/>
              </w:rPr>
            </w:pPr>
          </w:p>
        </w:tc>
      </w:tr>
      <w:tr w:rsidR="0004047F" w:rsidRPr="00357592" w14:paraId="1554039C" w14:textId="77777777" w:rsidTr="006C45D7">
        <w:tc>
          <w:tcPr>
            <w:tcW w:w="8879" w:type="dxa"/>
            <w:gridSpan w:val="2"/>
          </w:tcPr>
          <w:p w14:paraId="105E8654" w14:textId="77777777" w:rsidR="0004047F" w:rsidRPr="00357592" w:rsidRDefault="0004047F" w:rsidP="00E92818">
            <w:pPr>
              <w:spacing w:line="260" w:lineRule="atLeast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531B28E6" w14:textId="77777777" w:rsidR="006C45D7" w:rsidRDefault="006C45D7" w:rsidP="00EC2E51">
      <w:pPr>
        <w:spacing w:line="260" w:lineRule="exact"/>
        <w:rPr>
          <w:rFonts w:ascii="Arial" w:eastAsia="Calibri" w:hAnsi="Arial" w:cs="Arial"/>
          <w:b/>
          <w:sz w:val="20"/>
        </w:rPr>
        <w:sectPr w:rsidR="006C45D7" w:rsidSect="00E92818">
          <w:footerReference w:type="default" r:id="rId11"/>
          <w:pgSz w:w="11906" w:h="16838"/>
          <w:pgMar w:top="2268" w:right="1276" w:bottom="720" w:left="1418" w:header="709" w:footer="709" w:gutter="0"/>
          <w:cols w:space="708"/>
          <w:docGrid w:linePitch="360"/>
        </w:sectPr>
      </w:pPr>
    </w:p>
    <w:tbl>
      <w:tblPr>
        <w:tblW w:w="88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4"/>
        <w:gridCol w:w="5444"/>
        <w:gridCol w:w="2271"/>
      </w:tblGrid>
      <w:tr w:rsidR="00357592" w:rsidRPr="00357592" w14:paraId="281E12FE" w14:textId="77777777" w:rsidTr="006C45D7">
        <w:tc>
          <w:tcPr>
            <w:tcW w:w="8879" w:type="dxa"/>
            <w:gridSpan w:val="3"/>
          </w:tcPr>
          <w:p w14:paraId="53FCE65B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357592" w:rsidRPr="00357592" w14:paraId="28C595A7" w14:textId="77777777" w:rsidTr="006C45D7">
        <w:tc>
          <w:tcPr>
            <w:tcW w:w="8879" w:type="dxa"/>
            <w:gridSpan w:val="3"/>
          </w:tcPr>
          <w:p w14:paraId="24CB5D43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/</w:t>
            </w:r>
          </w:p>
        </w:tc>
      </w:tr>
      <w:tr w:rsidR="00357592" w:rsidRPr="00357592" w14:paraId="22D89A53" w14:textId="77777777" w:rsidTr="006C45D7">
        <w:tc>
          <w:tcPr>
            <w:tcW w:w="8879" w:type="dxa"/>
            <w:gridSpan w:val="3"/>
          </w:tcPr>
          <w:p w14:paraId="3F0AF7FE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t>3.a Osebe, odgovorne za strokovno pripravo in usklajenost gradiva:</w:t>
            </w:r>
          </w:p>
        </w:tc>
      </w:tr>
      <w:tr w:rsidR="00357592" w:rsidRPr="00357592" w14:paraId="5D60FFF7" w14:textId="77777777" w:rsidTr="006C45D7">
        <w:tc>
          <w:tcPr>
            <w:tcW w:w="8879" w:type="dxa"/>
            <w:gridSpan w:val="3"/>
          </w:tcPr>
          <w:p w14:paraId="6AA52DD4" w14:textId="41BF0B4D" w:rsidR="007C3B40" w:rsidRDefault="00BC759F" w:rsidP="002128D9">
            <w:pPr>
              <w:numPr>
                <w:ilvl w:val="0"/>
                <w:numId w:val="5"/>
              </w:numPr>
              <w:overflowPunct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Urška Cvelbar</w:t>
            </w:r>
            <w:r w:rsidR="00C61CBE">
              <w:rPr>
                <w:rFonts w:ascii="Arial" w:hAnsi="Arial" w:cs="Arial"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</w:rPr>
              <w:t>generalna direktorica Direktorata za finančni sistem</w:t>
            </w:r>
            <w:r w:rsidR="00771796">
              <w:rPr>
                <w:rFonts w:ascii="Arial" w:hAnsi="Arial" w:cs="Arial"/>
                <w:bCs/>
                <w:sz w:val="20"/>
              </w:rPr>
              <w:t>,</w:t>
            </w:r>
            <w:r w:rsidR="00B725C2">
              <w:rPr>
                <w:rFonts w:ascii="Arial" w:hAnsi="Arial" w:cs="Arial"/>
                <w:bCs/>
                <w:sz w:val="20"/>
              </w:rPr>
              <w:t xml:space="preserve"> Ministrstvo za finance</w:t>
            </w:r>
          </w:p>
          <w:p w14:paraId="10D1CB58" w14:textId="77777777" w:rsidR="00C300CF" w:rsidRDefault="00C300CF" w:rsidP="005D65D1">
            <w:pPr>
              <w:numPr>
                <w:ilvl w:val="0"/>
                <w:numId w:val="5"/>
              </w:numPr>
              <w:overflowPunct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</w:t>
            </w:r>
            <w:r w:rsidR="00B725C2">
              <w:rPr>
                <w:rFonts w:ascii="Arial" w:hAnsi="Arial" w:cs="Arial"/>
                <w:bCs/>
                <w:sz w:val="20"/>
              </w:rPr>
              <w:t>ag. Robert Petek, vodja Sektorja za bančništvo, Ministrstvo za finance</w:t>
            </w:r>
          </w:p>
          <w:p w14:paraId="5DDC0963" w14:textId="7D9F8296" w:rsidR="005D65D1" w:rsidRPr="005D65D1" w:rsidRDefault="00C300CF" w:rsidP="005D65D1">
            <w:pPr>
              <w:numPr>
                <w:ilvl w:val="0"/>
                <w:numId w:val="5"/>
              </w:numPr>
              <w:overflowPunct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Barbara Knapič Navarrete, Sektor za bančništvo,  Ministrstvo za finance</w:t>
            </w:r>
            <w:r w:rsidR="00B725C2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357592" w:rsidRPr="00357592" w14:paraId="165E7A54" w14:textId="77777777" w:rsidTr="006C45D7">
        <w:tc>
          <w:tcPr>
            <w:tcW w:w="8879" w:type="dxa"/>
            <w:gridSpan w:val="3"/>
          </w:tcPr>
          <w:p w14:paraId="6D48A13C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b/>
                <w:iCs/>
                <w:sz w:val="20"/>
              </w:rPr>
              <w:t xml:space="preserve">3.b Zunanji strokovnjaki, ki so </w:t>
            </w:r>
            <w:r w:rsidRPr="00357592">
              <w:rPr>
                <w:rFonts w:ascii="Arial" w:eastAsia="Calibri" w:hAnsi="Arial" w:cs="Arial"/>
                <w:b/>
                <w:sz w:val="20"/>
              </w:rPr>
              <w:t>sodelovali pri pripravi dela ali celotnega gradiva:</w:t>
            </w:r>
          </w:p>
        </w:tc>
      </w:tr>
      <w:tr w:rsidR="00357592" w:rsidRPr="00357592" w14:paraId="0B5E269A" w14:textId="77777777" w:rsidTr="006C45D7">
        <w:tc>
          <w:tcPr>
            <w:tcW w:w="8879" w:type="dxa"/>
            <w:gridSpan w:val="3"/>
          </w:tcPr>
          <w:p w14:paraId="4187A1FC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iCs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/</w:t>
            </w:r>
          </w:p>
        </w:tc>
      </w:tr>
      <w:tr w:rsidR="00357592" w:rsidRPr="00357592" w14:paraId="11E4C7C9" w14:textId="77777777" w:rsidTr="006C45D7">
        <w:tc>
          <w:tcPr>
            <w:tcW w:w="8879" w:type="dxa"/>
            <w:gridSpan w:val="3"/>
          </w:tcPr>
          <w:p w14:paraId="35FBA48F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t>4. Predstavniki vlade, ki bodo sodelovali pri delu državnega zbora:</w:t>
            </w:r>
          </w:p>
        </w:tc>
      </w:tr>
      <w:tr w:rsidR="00357592" w:rsidRPr="00357592" w14:paraId="430ECFAB" w14:textId="77777777" w:rsidTr="006C45D7">
        <w:tc>
          <w:tcPr>
            <w:tcW w:w="8879" w:type="dxa"/>
            <w:gridSpan w:val="3"/>
          </w:tcPr>
          <w:p w14:paraId="10D12896" w14:textId="77777777" w:rsidR="00357592" w:rsidRPr="00C91A78" w:rsidRDefault="00443380" w:rsidP="00443380">
            <w:pPr>
              <w:overflowPunct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/</w:t>
            </w:r>
          </w:p>
        </w:tc>
      </w:tr>
      <w:tr w:rsidR="00357592" w:rsidRPr="00357592" w14:paraId="35196517" w14:textId="77777777" w:rsidTr="006C45D7">
        <w:tc>
          <w:tcPr>
            <w:tcW w:w="8879" w:type="dxa"/>
            <w:gridSpan w:val="3"/>
          </w:tcPr>
          <w:p w14:paraId="2A41B069" w14:textId="77777777" w:rsidR="00357592" w:rsidRPr="00A039D9" w:rsidRDefault="00357592" w:rsidP="00357592">
            <w:pPr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</w:rPr>
            </w:pPr>
            <w:r w:rsidRPr="00A039D9">
              <w:rPr>
                <w:rFonts w:ascii="Arial" w:eastAsia="Calibri" w:hAnsi="Arial" w:cs="Arial"/>
                <w:b/>
                <w:sz w:val="20"/>
              </w:rPr>
              <w:t>5. Kratek povzetek gradiva:</w:t>
            </w:r>
          </w:p>
        </w:tc>
      </w:tr>
      <w:tr w:rsidR="00357592" w:rsidRPr="00357592" w14:paraId="270E35BC" w14:textId="77777777" w:rsidTr="006C45D7">
        <w:tc>
          <w:tcPr>
            <w:tcW w:w="8879" w:type="dxa"/>
            <w:gridSpan w:val="3"/>
          </w:tcPr>
          <w:p w14:paraId="2A47FEFF" w14:textId="77777777" w:rsidR="00357592" w:rsidRPr="001A4655" w:rsidRDefault="0004047F" w:rsidP="00252969">
            <w:pPr>
              <w:overflowPunct/>
              <w:autoSpaceDE/>
              <w:autoSpaceDN/>
              <w:adjustRightInd/>
              <w:spacing w:line="260" w:lineRule="atLeast"/>
              <w:textAlignment w:val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/</w:t>
            </w:r>
          </w:p>
        </w:tc>
      </w:tr>
      <w:tr w:rsidR="00357592" w:rsidRPr="00357592" w14:paraId="3EC1C272" w14:textId="77777777" w:rsidTr="006C45D7">
        <w:tc>
          <w:tcPr>
            <w:tcW w:w="8879" w:type="dxa"/>
            <w:gridSpan w:val="3"/>
          </w:tcPr>
          <w:p w14:paraId="67303081" w14:textId="77777777" w:rsidR="00357592" w:rsidRPr="00357592" w:rsidRDefault="00357592" w:rsidP="00357592">
            <w:pPr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t>6. Presoja posledic za:</w:t>
            </w:r>
          </w:p>
        </w:tc>
      </w:tr>
      <w:tr w:rsidR="00357592" w:rsidRPr="00357592" w14:paraId="2D7296BD" w14:textId="77777777" w:rsidTr="006C45D7">
        <w:tc>
          <w:tcPr>
            <w:tcW w:w="1164" w:type="dxa"/>
          </w:tcPr>
          <w:p w14:paraId="2A4D5360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a)</w:t>
            </w:r>
          </w:p>
        </w:tc>
        <w:tc>
          <w:tcPr>
            <w:tcW w:w="5444" w:type="dxa"/>
          </w:tcPr>
          <w:p w14:paraId="73845A0C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77F65D6" w14:textId="77777777" w:rsidR="00357592" w:rsidRPr="00357592" w:rsidRDefault="00AC2C03" w:rsidP="00EC2E51">
            <w:pPr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28047890" w14:textId="77777777" w:rsidTr="006C45D7">
        <w:tc>
          <w:tcPr>
            <w:tcW w:w="1164" w:type="dxa"/>
          </w:tcPr>
          <w:p w14:paraId="200D9BE4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b)</w:t>
            </w:r>
          </w:p>
        </w:tc>
        <w:tc>
          <w:tcPr>
            <w:tcW w:w="5444" w:type="dxa"/>
          </w:tcPr>
          <w:p w14:paraId="45223B64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D4D42B2" w14:textId="77777777" w:rsidR="00357592" w:rsidRPr="00357592" w:rsidRDefault="00357592" w:rsidP="00EC2E51">
            <w:pPr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45BBF1E7" w14:textId="77777777" w:rsidTr="006C45D7">
        <w:tc>
          <w:tcPr>
            <w:tcW w:w="1164" w:type="dxa"/>
          </w:tcPr>
          <w:p w14:paraId="4E91F43E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c)</w:t>
            </w:r>
          </w:p>
        </w:tc>
        <w:tc>
          <w:tcPr>
            <w:tcW w:w="5444" w:type="dxa"/>
          </w:tcPr>
          <w:p w14:paraId="5053D6BF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3B6250A1" w14:textId="77777777" w:rsidR="00357592" w:rsidRPr="00357592" w:rsidRDefault="00357592" w:rsidP="00EC2E51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1AAE46FC" w14:textId="77777777" w:rsidTr="006C45D7">
        <w:tc>
          <w:tcPr>
            <w:tcW w:w="1164" w:type="dxa"/>
          </w:tcPr>
          <w:p w14:paraId="563BF459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č)</w:t>
            </w:r>
          </w:p>
        </w:tc>
        <w:tc>
          <w:tcPr>
            <w:tcW w:w="5444" w:type="dxa"/>
          </w:tcPr>
          <w:p w14:paraId="5519D478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gospodarstvo, zlasti</w:t>
            </w:r>
            <w:r w:rsidRPr="00357592">
              <w:rPr>
                <w:rFonts w:ascii="Arial" w:eastAsia="Calibri" w:hAnsi="Arial" w:cs="Arial"/>
                <w:bCs/>
                <w:sz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AF8ED23" w14:textId="77777777" w:rsidR="00357592" w:rsidRPr="00357592" w:rsidRDefault="00357592" w:rsidP="00EC2E51">
            <w:pPr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2EEB8129" w14:textId="77777777" w:rsidTr="006C45D7">
        <w:tc>
          <w:tcPr>
            <w:tcW w:w="1164" w:type="dxa"/>
          </w:tcPr>
          <w:p w14:paraId="2AE60146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d)</w:t>
            </w:r>
          </w:p>
        </w:tc>
        <w:tc>
          <w:tcPr>
            <w:tcW w:w="5444" w:type="dxa"/>
          </w:tcPr>
          <w:p w14:paraId="54CB9818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196BD5E" w14:textId="77777777" w:rsidR="00357592" w:rsidRPr="00357592" w:rsidRDefault="00357592" w:rsidP="00EC2E51">
            <w:pPr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538E78E8" w14:textId="77777777" w:rsidTr="006C45D7">
        <w:tc>
          <w:tcPr>
            <w:tcW w:w="1164" w:type="dxa"/>
          </w:tcPr>
          <w:p w14:paraId="1BC6DCB6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e)</w:t>
            </w:r>
          </w:p>
        </w:tc>
        <w:tc>
          <w:tcPr>
            <w:tcW w:w="5444" w:type="dxa"/>
          </w:tcPr>
          <w:p w14:paraId="370DEB4A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C084010" w14:textId="77777777" w:rsidR="00357592" w:rsidRPr="00357592" w:rsidRDefault="00357592" w:rsidP="00EC2E51">
            <w:pPr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5D026406" w14:textId="77777777" w:rsidTr="006C45D7">
        <w:tc>
          <w:tcPr>
            <w:tcW w:w="1164" w:type="dxa"/>
            <w:tcBorders>
              <w:bottom w:val="single" w:sz="4" w:space="0" w:color="auto"/>
            </w:tcBorders>
          </w:tcPr>
          <w:p w14:paraId="1BC146FB" w14:textId="77777777" w:rsidR="00357592" w:rsidRPr="00357592" w:rsidRDefault="00357592" w:rsidP="00EC2E51">
            <w:pPr>
              <w:spacing w:line="260" w:lineRule="exact"/>
              <w:ind w:left="360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f)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60CCD7D5" w14:textId="77777777" w:rsidR="00357592" w:rsidRPr="00357592" w:rsidRDefault="00357592" w:rsidP="00EC2E51">
            <w:pPr>
              <w:spacing w:line="260" w:lineRule="exact"/>
              <w:rPr>
                <w:rFonts w:ascii="Arial" w:eastAsia="Calibri" w:hAnsi="Arial" w:cs="Arial"/>
                <w:bCs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dokumente razvojnega načrtovanja:</w:t>
            </w:r>
          </w:p>
          <w:p w14:paraId="2D80FF9D" w14:textId="77777777" w:rsidR="00357592" w:rsidRPr="00357592" w:rsidRDefault="00357592" w:rsidP="002128D9">
            <w:pPr>
              <w:numPr>
                <w:ilvl w:val="0"/>
                <w:numId w:val="3"/>
              </w:numPr>
              <w:spacing w:line="260" w:lineRule="exact"/>
              <w:textAlignment w:val="auto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nacionalne dokumente razvojnega načrtovanja</w:t>
            </w:r>
          </w:p>
          <w:p w14:paraId="48DAFFD4" w14:textId="77777777" w:rsidR="00357592" w:rsidRPr="00357592" w:rsidRDefault="00357592" w:rsidP="002128D9">
            <w:pPr>
              <w:numPr>
                <w:ilvl w:val="0"/>
                <w:numId w:val="3"/>
              </w:numPr>
              <w:spacing w:line="260" w:lineRule="exact"/>
              <w:textAlignment w:val="auto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razvojne politike na ravni programov po strukturi razvojne klasifikacije programskega proračuna</w:t>
            </w:r>
          </w:p>
          <w:p w14:paraId="14954109" w14:textId="77777777" w:rsidR="00357592" w:rsidRPr="00357592" w:rsidRDefault="00357592" w:rsidP="002128D9">
            <w:pPr>
              <w:numPr>
                <w:ilvl w:val="0"/>
                <w:numId w:val="3"/>
              </w:numPr>
              <w:spacing w:line="260" w:lineRule="exact"/>
              <w:textAlignment w:val="auto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CECA1A7" w14:textId="77777777" w:rsidR="00357592" w:rsidRPr="00357592" w:rsidRDefault="00357592" w:rsidP="00EC2E51">
            <w:pPr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495BE0C8" w14:textId="77777777" w:rsidTr="006C45D7"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A6" w14:textId="77777777" w:rsidR="00357592" w:rsidRPr="00357592" w:rsidRDefault="00357592" w:rsidP="00357592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t>7.a Predstavitev ocene finančnih posledic nad 40.000 EUR:</w:t>
            </w:r>
          </w:p>
          <w:p w14:paraId="63A4EE6E" w14:textId="77777777" w:rsidR="00357592" w:rsidRPr="00357592" w:rsidRDefault="00AC2C03" w:rsidP="00181068">
            <w:pPr>
              <w:widowControl w:val="0"/>
              <w:suppressAutoHyphens/>
              <w:spacing w:line="260" w:lineRule="exact"/>
              <w:outlineLvl w:val="3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/</w:t>
            </w:r>
          </w:p>
        </w:tc>
      </w:tr>
    </w:tbl>
    <w:p w14:paraId="64CB24EE" w14:textId="77777777" w:rsidR="00357592" w:rsidRPr="00357592" w:rsidRDefault="00357592" w:rsidP="00357592">
      <w:pPr>
        <w:spacing w:line="260" w:lineRule="exact"/>
        <w:rPr>
          <w:rFonts w:ascii="Arial" w:eastAsia="Calibri" w:hAnsi="Arial" w:cs="Arial"/>
          <w:vanish/>
          <w:sz w:val="20"/>
        </w:rPr>
      </w:pPr>
    </w:p>
    <w:tbl>
      <w:tblPr>
        <w:tblW w:w="88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357592" w:rsidRPr="00357592" w14:paraId="2D9F1761" w14:textId="77777777" w:rsidTr="006C45D7">
        <w:trPr>
          <w:cantSplit/>
          <w:trHeight w:val="35"/>
        </w:trPr>
        <w:tc>
          <w:tcPr>
            <w:tcW w:w="8816" w:type="dxa"/>
            <w:gridSpan w:val="9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54BB37" w14:textId="77777777" w:rsidR="00357592" w:rsidRPr="00357592" w:rsidRDefault="00357592" w:rsidP="00357592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I. Ocena finančnih posledic, ki niso načrtovane v sprejetem proračunu</w:t>
            </w:r>
          </w:p>
        </w:tc>
      </w:tr>
      <w:tr w:rsidR="00357592" w:rsidRPr="00357592" w14:paraId="682F9EC7" w14:textId="77777777" w:rsidTr="006C45D7">
        <w:trPr>
          <w:cantSplit/>
          <w:trHeight w:val="276"/>
        </w:trPr>
        <w:tc>
          <w:tcPr>
            <w:tcW w:w="2573" w:type="dxa"/>
            <w:gridSpan w:val="2"/>
            <w:vAlign w:val="center"/>
          </w:tcPr>
          <w:p w14:paraId="4B50BB61" w14:textId="77777777" w:rsidR="00357592" w:rsidRPr="00357592" w:rsidRDefault="00357592" w:rsidP="00357592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3315B97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Tekoče leto (t)</w:t>
            </w:r>
          </w:p>
        </w:tc>
        <w:tc>
          <w:tcPr>
            <w:tcW w:w="913" w:type="dxa"/>
            <w:vAlign w:val="center"/>
          </w:tcPr>
          <w:p w14:paraId="4793AA83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t + 1</w:t>
            </w:r>
          </w:p>
        </w:tc>
        <w:tc>
          <w:tcPr>
            <w:tcW w:w="1371" w:type="dxa"/>
            <w:gridSpan w:val="3"/>
            <w:vAlign w:val="center"/>
          </w:tcPr>
          <w:p w14:paraId="07014AC5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t + 2</w:t>
            </w:r>
          </w:p>
        </w:tc>
        <w:tc>
          <w:tcPr>
            <w:tcW w:w="2128" w:type="dxa"/>
            <w:vAlign w:val="center"/>
          </w:tcPr>
          <w:p w14:paraId="579E1F9D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t + 3</w:t>
            </w:r>
          </w:p>
        </w:tc>
      </w:tr>
      <w:tr w:rsidR="00357592" w:rsidRPr="00357592" w14:paraId="7F7CFE9D" w14:textId="77777777" w:rsidTr="006C45D7">
        <w:trPr>
          <w:cantSplit/>
          <w:trHeight w:val="423"/>
        </w:trPr>
        <w:tc>
          <w:tcPr>
            <w:tcW w:w="2573" w:type="dxa"/>
            <w:gridSpan w:val="2"/>
            <w:vAlign w:val="center"/>
          </w:tcPr>
          <w:p w14:paraId="05EB22D8" w14:textId="77777777" w:rsidR="00357592" w:rsidRPr="00357592" w:rsidRDefault="00357592" w:rsidP="00357592">
            <w:pPr>
              <w:widowControl w:val="0"/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Predvideno povečanje (+) ali zmanjšanje (</w:t>
            </w:r>
            <w:r w:rsidRPr="00357592">
              <w:rPr>
                <w:rFonts w:eastAsia="Calibri"/>
                <w:b/>
                <w:sz w:val="20"/>
              </w:rPr>
              <w:t>–</w:t>
            </w:r>
            <w:r w:rsidRPr="00357592">
              <w:rPr>
                <w:rFonts w:ascii="Arial" w:eastAsia="Calibri" w:hAnsi="Arial" w:cs="Arial"/>
                <w:bCs/>
                <w:sz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vAlign w:val="center"/>
          </w:tcPr>
          <w:p w14:paraId="28A4772F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913" w:type="dxa"/>
            <w:vAlign w:val="center"/>
          </w:tcPr>
          <w:p w14:paraId="487D2130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036F037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54E565BE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bCs/>
                <w:kern w:val="32"/>
                <w:sz w:val="20"/>
                <w:lang w:eastAsia="sl-SI"/>
              </w:rPr>
            </w:pPr>
          </w:p>
        </w:tc>
      </w:tr>
      <w:tr w:rsidR="00357592" w:rsidRPr="00357592" w14:paraId="2B9CBE38" w14:textId="77777777" w:rsidTr="006C45D7">
        <w:trPr>
          <w:cantSplit/>
          <w:trHeight w:val="423"/>
        </w:trPr>
        <w:tc>
          <w:tcPr>
            <w:tcW w:w="2573" w:type="dxa"/>
            <w:gridSpan w:val="2"/>
            <w:vAlign w:val="center"/>
          </w:tcPr>
          <w:p w14:paraId="7940D002" w14:textId="77777777" w:rsidR="00357592" w:rsidRPr="00357592" w:rsidRDefault="00357592" w:rsidP="00357592">
            <w:pPr>
              <w:widowControl w:val="0"/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Predvideno povečanje (+) ali zmanjšanje (</w:t>
            </w:r>
            <w:r w:rsidRPr="00357592">
              <w:rPr>
                <w:rFonts w:eastAsia="Calibri"/>
                <w:b/>
                <w:sz w:val="20"/>
              </w:rPr>
              <w:t>–</w:t>
            </w:r>
            <w:r w:rsidRPr="00357592">
              <w:rPr>
                <w:rFonts w:ascii="Arial" w:eastAsia="Calibri" w:hAnsi="Arial" w:cs="Arial"/>
                <w:bCs/>
                <w:sz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vAlign w:val="center"/>
          </w:tcPr>
          <w:p w14:paraId="4678CA0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913" w:type="dxa"/>
            <w:vAlign w:val="center"/>
          </w:tcPr>
          <w:p w14:paraId="22EC08CD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541A5D2A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1274F30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bCs/>
                <w:kern w:val="32"/>
                <w:sz w:val="20"/>
                <w:lang w:eastAsia="sl-SI"/>
              </w:rPr>
            </w:pPr>
          </w:p>
        </w:tc>
      </w:tr>
      <w:tr w:rsidR="00357592" w:rsidRPr="00357592" w14:paraId="5A8C0161" w14:textId="77777777" w:rsidTr="006C45D7">
        <w:trPr>
          <w:cantSplit/>
          <w:trHeight w:val="423"/>
        </w:trPr>
        <w:tc>
          <w:tcPr>
            <w:tcW w:w="2573" w:type="dxa"/>
            <w:gridSpan w:val="2"/>
            <w:vAlign w:val="center"/>
          </w:tcPr>
          <w:p w14:paraId="373A404A" w14:textId="77777777" w:rsidR="00357592" w:rsidRPr="00357592" w:rsidRDefault="00357592" w:rsidP="00357592">
            <w:pPr>
              <w:widowControl w:val="0"/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Predvideno povečanje (+) ali zmanjšanje (</w:t>
            </w:r>
            <w:r w:rsidRPr="00357592">
              <w:rPr>
                <w:rFonts w:eastAsia="Calibri"/>
                <w:b/>
                <w:sz w:val="20"/>
              </w:rPr>
              <w:t>–</w:t>
            </w:r>
            <w:r w:rsidRPr="00357592">
              <w:rPr>
                <w:rFonts w:ascii="Arial" w:eastAsia="Calibri" w:hAnsi="Arial" w:cs="Arial"/>
                <w:bCs/>
                <w:sz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vAlign w:val="center"/>
          </w:tcPr>
          <w:p w14:paraId="50C11778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AAE4677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2AD1FDFA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50922E1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357592" w:rsidRPr="00357592" w14:paraId="6F5FB6B8" w14:textId="77777777" w:rsidTr="006C45D7">
        <w:trPr>
          <w:cantSplit/>
          <w:trHeight w:val="623"/>
        </w:trPr>
        <w:tc>
          <w:tcPr>
            <w:tcW w:w="2573" w:type="dxa"/>
            <w:gridSpan w:val="2"/>
            <w:vAlign w:val="center"/>
          </w:tcPr>
          <w:p w14:paraId="481DD8CE" w14:textId="77777777" w:rsidR="00357592" w:rsidRPr="00357592" w:rsidRDefault="00357592" w:rsidP="00357592">
            <w:pPr>
              <w:widowControl w:val="0"/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Predvideno povečanje (+) ali zmanjšanje (</w:t>
            </w:r>
            <w:r w:rsidRPr="00357592">
              <w:rPr>
                <w:rFonts w:eastAsia="Calibri"/>
                <w:b/>
                <w:sz w:val="20"/>
              </w:rPr>
              <w:t>–</w:t>
            </w:r>
            <w:r w:rsidRPr="00357592">
              <w:rPr>
                <w:rFonts w:ascii="Arial" w:eastAsia="Calibri" w:hAnsi="Arial" w:cs="Arial"/>
                <w:bCs/>
                <w:sz w:val="20"/>
              </w:rPr>
              <w:t>) odhodkov občinskih proračunov</w:t>
            </w:r>
          </w:p>
        </w:tc>
        <w:tc>
          <w:tcPr>
            <w:tcW w:w="1831" w:type="dxa"/>
            <w:gridSpan w:val="2"/>
            <w:vAlign w:val="center"/>
          </w:tcPr>
          <w:p w14:paraId="3C132643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13" w:type="dxa"/>
            <w:vAlign w:val="center"/>
          </w:tcPr>
          <w:p w14:paraId="45AFA07F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7DACFEE6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70BBCACB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357592" w:rsidRPr="00357592" w14:paraId="4AABDF3D" w14:textId="77777777" w:rsidTr="006C45D7">
        <w:trPr>
          <w:cantSplit/>
          <w:trHeight w:val="423"/>
        </w:trPr>
        <w:tc>
          <w:tcPr>
            <w:tcW w:w="2573" w:type="dxa"/>
            <w:gridSpan w:val="2"/>
            <w:vAlign w:val="center"/>
          </w:tcPr>
          <w:p w14:paraId="45F19D1D" w14:textId="77777777" w:rsidR="00357592" w:rsidRPr="00357592" w:rsidRDefault="00357592" w:rsidP="00357592">
            <w:pPr>
              <w:widowControl w:val="0"/>
              <w:spacing w:line="260" w:lineRule="exact"/>
              <w:rPr>
                <w:rFonts w:ascii="Arial" w:eastAsia="Calibri" w:hAnsi="Arial" w:cs="Arial"/>
                <w:bCs/>
                <w:sz w:val="20"/>
              </w:rPr>
            </w:pPr>
            <w:r w:rsidRPr="00357592">
              <w:rPr>
                <w:rFonts w:ascii="Arial" w:eastAsia="Calibri" w:hAnsi="Arial" w:cs="Arial"/>
                <w:bCs/>
                <w:sz w:val="20"/>
              </w:rPr>
              <w:t>Predvideno povečanje (+) ali zmanjšanje (</w:t>
            </w:r>
            <w:r w:rsidRPr="00357592">
              <w:rPr>
                <w:rFonts w:eastAsia="Calibri"/>
                <w:b/>
                <w:sz w:val="20"/>
              </w:rPr>
              <w:t>–</w:t>
            </w:r>
            <w:r w:rsidRPr="00357592">
              <w:rPr>
                <w:rFonts w:ascii="Arial" w:eastAsia="Calibri" w:hAnsi="Arial" w:cs="Arial"/>
                <w:bCs/>
                <w:sz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vAlign w:val="center"/>
          </w:tcPr>
          <w:p w14:paraId="61254D81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913" w:type="dxa"/>
            <w:vAlign w:val="center"/>
          </w:tcPr>
          <w:p w14:paraId="6F1B443F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041624CB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608E359E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eastAsia="Calibri" w:hAnsi="Arial" w:cs="Arial"/>
                <w:b/>
                <w:bCs/>
                <w:kern w:val="32"/>
                <w:sz w:val="20"/>
                <w:lang w:eastAsia="sl-SI"/>
              </w:rPr>
            </w:pPr>
          </w:p>
        </w:tc>
      </w:tr>
      <w:tr w:rsidR="00357592" w:rsidRPr="00357592" w14:paraId="1E7DCA34" w14:textId="77777777" w:rsidTr="006C45D7">
        <w:trPr>
          <w:cantSplit/>
          <w:trHeight w:val="257"/>
        </w:trPr>
        <w:tc>
          <w:tcPr>
            <w:tcW w:w="8816" w:type="dxa"/>
            <w:gridSpan w:val="9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A01621" w14:textId="77777777" w:rsidR="00357592" w:rsidRPr="00357592" w:rsidRDefault="00357592" w:rsidP="00357592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II. Finančne posledice za državni proračun</w:t>
            </w:r>
          </w:p>
        </w:tc>
      </w:tr>
      <w:tr w:rsidR="00357592" w:rsidRPr="00357592" w14:paraId="052599C9" w14:textId="77777777" w:rsidTr="006C45D7">
        <w:trPr>
          <w:cantSplit/>
          <w:trHeight w:val="257"/>
        </w:trPr>
        <w:tc>
          <w:tcPr>
            <w:tcW w:w="8816" w:type="dxa"/>
            <w:gridSpan w:val="9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C2FB0A" w14:textId="77777777" w:rsidR="00357592" w:rsidRPr="00357592" w:rsidRDefault="00357592" w:rsidP="00357592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II.a Pravice porabe za izvedbo predlaganih rešitev so zagotovljene:</w:t>
            </w:r>
          </w:p>
        </w:tc>
      </w:tr>
      <w:tr w:rsidR="00357592" w:rsidRPr="00357592" w14:paraId="0DF60FBF" w14:textId="77777777" w:rsidTr="006C45D7">
        <w:trPr>
          <w:cantSplit/>
          <w:trHeight w:val="100"/>
        </w:trPr>
        <w:tc>
          <w:tcPr>
            <w:tcW w:w="1681" w:type="dxa"/>
            <w:vAlign w:val="center"/>
          </w:tcPr>
          <w:p w14:paraId="0E895DC2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vAlign w:val="center"/>
          </w:tcPr>
          <w:p w14:paraId="46DE959F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Šifra in naziv ukrepa, projekta</w:t>
            </w:r>
          </w:p>
        </w:tc>
        <w:tc>
          <w:tcPr>
            <w:tcW w:w="1330" w:type="dxa"/>
            <w:gridSpan w:val="2"/>
            <w:vAlign w:val="center"/>
          </w:tcPr>
          <w:p w14:paraId="641ECCCD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vAlign w:val="center"/>
          </w:tcPr>
          <w:p w14:paraId="0CA3BEB9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Znesek za tekoče leto (t)</w:t>
            </w:r>
          </w:p>
        </w:tc>
        <w:tc>
          <w:tcPr>
            <w:tcW w:w="2128" w:type="dxa"/>
            <w:vAlign w:val="center"/>
          </w:tcPr>
          <w:p w14:paraId="00D8886B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Znesek za t + 1</w:t>
            </w:r>
          </w:p>
        </w:tc>
      </w:tr>
      <w:tr w:rsidR="00357592" w:rsidRPr="00357592" w14:paraId="4DEBDE0C" w14:textId="77777777" w:rsidTr="006C45D7">
        <w:trPr>
          <w:cantSplit/>
          <w:trHeight w:val="328"/>
        </w:trPr>
        <w:tc>
          <w:tcPr>
            <w:tcW w:w="1681" w:type="dxa"/>
            <w:vAlign w:val="center"/>
          </w:tcPr>
          <w:p w14:paraId="33C6BF92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AB01752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07B8DBB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1EF8EE24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4ED49F30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32000C71" w14:textId="77777777" w:rsidTr="006C45D7">
        <w:trPr>
          <w:cantSplit/>
          <w:trHeight w:val="95"/>
        </w:trPr>
        <w:tc>
          <w:tcPr>
            <w:tcW w:w="1681" w:type="dxa"/>
            <w:vAlign w:val="center"/>
          </w:tcPr>
          <w:p w14:paraId="6CB26034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12218FA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C9178CD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63D4169B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5A7412BF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172AC170" w14:textId="77777777" w:rsidTr="006C45D7">
        <w:trPr>
          <w:cantSplit/>
          <w:trHeight w:val="95"/>
        </w:trPr>
        <w:tc>
          <w:tcPr>
            <w:tcW w:w="5317" w:type="dxa"/>
            <w:gridSpan w:val="5"/>
            <w:vAlign w:val="center"/>
          </w:tcPr>
          <w:p w14:paraId="46EA29D6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vAlign w:val="center"/>
          </w:tcPr>
          <w:p w14:paraId="2053C7F7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492B24A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357592" w:rsidRPr="00357592" w14:paraId="188CCBE9" w14:textId="77777777" w:rsidTr="006C45D7">
        <w:trPr>
          <w:cantSplit/>
          <w:trHeight w:val="294"/>
        </w:trPr>
        <w:tc>
          <w:tcPr>
            <w:tcW w:w="8816" w:type="dxa"/>
            <w:gridSpan w:val="9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4BAF31" w14:textId="77777777" w:rsidR="00357592" w:rsidRPr="00357592" w:rsidRDefault="00357592" w:rsidP="00357592">
            <w:pPr>
              <w:widowControl w:val="0"/>
              <w:tabs>
                <w:tab w:val="left" w:pos="234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II.b Manjkajoče pravice porabe bodo zagotovljene s prerazporeditvijo:</w:t>
            </w:r>
          </w:p>
        </w:tc>
      </w:tr>
      <w:tr w:rsidR="00357592" w:rsidRPr="00357592" w14:paraId="7400EBA5" w14:textId="77777777" w:rsidTr="006C45D7">
        <w:trPr>
          <w:cantSplit/>
          <w:trHeight w:val="100"/>
        </w:trPr>
        <w:tc>
          <w:tcPr>
            <w:tcW w:w="1681" w:type="dxa"/>
            <w:vAlign w:val="center"/>
          </w:tcPr>
          <w:p w14:paraId="6C776CB4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vAlign w:val="center"/>
          </w:tcPr>
          <w:p w14:paraId="3C922509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Šifra in naziv ukrepa, projekta</w:t>
            </w:r>
          </w:p>
        </w:tc>
        <w:tc>
          <w:tcPr>
            <w:tcW w:w="1330" w:type="dxa"/>
            <w:gridSpan w:val="2"/>
            <w:vAlign w:val="center"/>
          </w:tcPr>
          <w:p w14:paraId="4DA3969F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vAlign w:val="center"/>
          </w:tcPr>
          <w:p w14:paraId="17D62F20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Znesek za tekoče leto (t)</w:t>
            </w:r>
          </w:p>
        </w:tc>
        <w:tc>
          <w:tcPr>
            <w:tcW w:w="2128" w:type="dxa"/>
            <w:vAlign w:val="center"/>
          </w:tcPr>
          <w:p w14:paraId="0EDA9E8B" w14:textId="77777777" w:rsidR="00357592" w:rsidRPr="00357592" w:rsidRDefault="00357592" w:rsidP="00357592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 xml:space="preserve">Znesek za t + 1 </w:t>
            </w:r>
          </w:p>
        </w:tc>
      </w:tr>
      <w:tr w:rsidR="00357592" w:rsidRPr="00357592" w14:paraId="6EBF2824" w14:textId="77777777" w:rsidTr="006C45D7">
        <w:trPr>
          <w:cantSplit/>
          <w:trHeight w:val="95"/>
        </w:trPr>
        <w:tc>
          <w:tcPr>
            <w:tcW w:w="1681" w:type="dxa"/>
            <w:vAlign w:val="center"/>
          </w:tcPr>
          <w:p w14:paraId="625D1F23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298067D8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E1C930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69421B6F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282356A1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41AA35B2" w14:textId="77777777" w:rsidTr="006C45D7">
        <w:trPr>
          <w:cantSplit/>
          <w:trHeight w:val="95"/>
        </w:trPr>
        <w:tc>
          <w:tcPr>
            <w:tcW w:w="1681" w:type="dxa"/>
            <w:vAlign w:val="center"/>
          </w:tcPr>
          <w:p w14:paraId="3673DC1F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15D07299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8C9092E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371" w:type="dxa"/>
            <w:gridSpan w:val="3"/>
            <w:vAlign w:val="center"/>
          </w:tcPr>
          <w:p w14:paraId="5372335A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5F28F775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2F361677" w14:textId="77777777" w:rsidTr="006C45D7">
        <w:trPr>
          <w:cantSplit/>
          <w:trHeight w:val="95"/>
        </w:trPr>
        <w:tc>
          <w:tcPr>
            <w:tcW w:w="5317" w:type="dxa"/>
            <w:gridSpan w:val="5"/>
            <w:vAlign w:val="center"/>
          </w:tcPr>
          <w:p w14:paraId="39DAC09C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vAlign w:val="center"/>
          </w:tcPr>
          <w:p w14:paraId="181BFD70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04D66039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357592" w:rsidRPr="00357592" w14:paraId="6D575809" w14:textId="77777777" w:rsidTr="006C45D7">
        <w:trPr>
          <w:cantSplit/>
          <w:trHeight w:val="207"/>
        </w:trPr>
        <w:tc>
          <w:tcPr>
            <w:tcW w:w="8816" w:type="dxa"/>
            <w:gridSpan w:val="9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08B011" w14:textId="77777777" w:rsidR="00357592" w:rsidRPr="00357592" w:rsidRDefault="00357592" w:rsidP="00357592">
            <w:pPr>
              <w:widowControl w:val="0"/>
              <w:tabs>
                <w:tab w:val="left" w:pos="234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357592" w:rsidRPr="00357592" w14:paraId="4BFA44D1" w14:textId="77777777" w:rsidTr="006C45D7">
        <w:trPr>
          <w:cantSplit/>
          <w:trHeight w:val="100"/>
        </w:trPr>
        <w:tc>
          <w:tcPr>
            <w:tcW w:w="3987" w:type="dxa"/>
            <w:gridSpan w:val="3"/>
            <w:vAlign w:val="center"/>
          </w:tcPr>
          <w:p w14:paraId="4AD945A2" w14:textId="77777777" w:rsidR="00357592" w:rsidRPr="00357592" w:rsidRDefault="00357592" w:rsidP="00357592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Novi prihodki</w:t>
            </w:r>
          </w:p>
        </w:tc>
        <w:tc>
          <w:tcPr>
            <w:tcW w:w="2013" w:type="dxa"/>
            <w:gridSpan w:val="3"/>
            <w:vAlign w:val="center"/>
          </w:tcPr>
          <w:p w14:paraId="0C513524" w14:textId="77777777" w:rsidR="00357592" w:rsidRPr="00357592" w:rsidRDefault="00357592" w:rsidP="00357592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Znesek za tekoče leto (t)</w:t>
            </w:r>
          </w:p>
        </w:tc>
        <w:tc>
          <w:tcPr>
            <w:tcW w:w="2816" w:type="dxa"/>
            <w:gridSpan w:val="3"/>
            <w:vAlign w:val="center"/>
          </w:tcPr>
          <w:p w14:paraId="22705F07" w14:textId="77777777" w:rsidR="00357592" w:rsidRPr="00357592" w:rsidRDefault="00357592" w:rsidP="00357592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Znesek za t + 1</w:t>
            </w:r>
          </w:p>
        </w:tc>
      </w:tr>
      <w:tr w:rsidR="00357592" w:rsidRPr="00357592" w14:paraId="52D039A3" w14:textId="77777777" w:rsidTr="006C45D7">
        <w:trPr>
          <w:cantSplit/>
          <w:trHeight w:val="95"/>
        </w:trPr>
        <w:tc>
          <w:tcPr>
            <w:tcW w:w="3987" w:type="dxa"/>
            <w:gridSpan w:val="3"/>
            <w:vAlign w:val="center"/>
          </w:tcPr>
          <w:p w14:paraId="5B2EE562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3122CA2D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1EB2F791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0F6DADB8" w14:textId="77777777" w:rsidTr="006C45D7">
        <w:trPr>
          <w:cantSplit/>
          <w:trHeight w:val="95"/>
        </w:trPr>
        <w:tc>
          <w:tcPr>
            <w:tcW w:w="3987" w:type="dxa"/>
            <w:gridSpan w:val="3"/>
            <w:vAlign w:val="center"/>
          </w:tcPr>
          <w:p w14:paraId="193FF264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4542A771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291E6DF9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1D14E959" w14:textId="77777777" w:rsidTr="006C45D7">
        <w:trPr>
          <w:cantSplit/>
          <w:trHeight w:val="95"/>
        </w:trPr>
        <w:tc>
          <w:tcPr>
            <w:tcW w:w="3987" w:type="dxa"/>
            <w:gridSpan w:val="3"/>
            <w:vAlign w:val="center"/>
          </w:tcPr>
          <w:p w14:paraId="7DAE3186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1EAEDF09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35AF31C3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357592" w:rsidRPr="00357592" w14:paraId="382A746E" w14:textId="77777777" w:rsidTr="006C45D7">
        <w:trPr>
          <w:cantSplit/>
          <w:trHeight w:val="95"/>
        </w:trPr>
        <w:tc>
          <w:tcPr>
            <w:tcW w:w="3987" w:type="dxa"/>
            <w:gridSpan w:val="3"/>
            <w:vAlign w:val="center"/>
          </w:tcPr>
          <w:p w14:paraId="4648B733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vAlign w:val="center"/>
          </w:tcPr>
          <w:p w14:paraId="6EA8FE62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6433F427" w14:textId="77777777" w:rsidR="00357592" w:rsidRPr="00357592" w:rsidRDefault="00357592" w:rsidP="00357592">
            <w:pPr>
              <w:widowControl w:val="0"/>
              <w:tabs>
                <w:tab w:val="left" w:pos="360"/>
              </w:tabs>
              <w:outlineLvl w:val="0"/>
              <w:rPr>
                <w:rFonts w:ascii="Arial" w:eastAsia="Calibri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7230EF" w:rsidRPr="00357592" w14:paraId="49BB7E0E" w14:textId="77777777" w:rsidTr="00CB62ED"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7E4" w14:textId="77777777" w:rsidR="007230EF" w:rsidRPr="00357592" w:rsidRDefault="007230EF" w:rsidP="00CB62ED">
            <w:pPr>
              <w:widowControl w:val="0"/>
              <w:suppressAutoHyphens/>
              <w:spacing w:line="260" w:lineRule="exact"/>
              <w:outlineLvl w:val="3"/>
              <w:rPr>
                <w:rFonts w:ascii="Arial" w:eastAsia="Calibri" w:hAnsi="Arial" w:cs="Arial"/>
                <w:sz w:val="20"/>
              </w:rPr>
            </w:pPr>
          </w:p>
        </w:tc>
      </w:tr>
      <w:tr w:rsidR="00357592" w:rsidRPr="00357592" w14:paraId="3D4128DF" w14:textId="77777777" w:rsidTr="006C45D7"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BF7" w14:textId="77777777" w:rsidR="00357592" w:rsidRPr="00357592" w:rsidRDefault="00357592" w:rsidP="00357592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  <w:lang w:eastAsia="sl-SI"/>
              </w:rPr>
            </w:pPr>
            <w:r w:rsidRPr="00357592">
              <w:rPr>
                <w:rFonts w:ascii="Arial" w:eastAsia="Calibri" w:hAnsi="Arial" w:cs="Arial"/>
                <w:b/>
                <w:sz w:val="20"/>
              </w:rPr>
              <w:t>7.b Predstavitev ocene finančnih posledic pod 40.000 EUR:</w:t>
            </w:r>
          </w:p>
          <w:p w14:paraId="77D4E424" w14:textId="6DA4EF7D" w:rsidR="006229DA" w:rsidRPr="00357592" w:rsidRDefault="00A52E44" w:rsidP="00984A84">
            <w:pPr>
              <w:tabs>
                <w:tab w:val="left" w:pos="-1276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Stroški </w:t>
            </w:r>
            <w:r w:rsidR="00006806">
              <w:rPr>
                <w:rFonts w:ascii="Arial" w:eastAsia="Calibri" w:hAnsi="Arial" w:cs="Arial"/>
                <w:sz w:val="20"/>
              </w:rPr>
              <w:t>službene poti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9461FC">
              <w:rPr>
                <w:rFonts w:ascii="Arial" w:eastAsia="Calibri" w:hAnsi="Arial" w:cs="Arial"/>
                <w:sz w:val="20"/>
              </w:rPr>
              <w:t xml:space="preserve">so ocenjeni </w:t>
            </w:r>
            <w:r w:rsidR="00C300CF" w:rsidRPr="00EC30F2">
              <w:rPr>
                <w:rFonts w:ascii="Arial" w:eastAsia="Calibri" w:hAnsi="Arial" w:cs="Arial"/>
                <w:sz w:val="20"/>
              </w:rPr>
              <w:t xml:space="preserve">na </w:t>
            </w:r>
            <w:r w:rsidR="004B61AE">
              <w:rPr>
                <w:rFonts w:ascii="Arial" w:eastAsia="Calibri" w:hAnsi="Arial" w:cs="Arial"/>
                <w:sz w:val="20"/>
              </w:rPr>
              <w:t>9</w:t>
            </w:r>
            <w:r w:rsidR="00A1635B" w:rsidRPr="00230459">
              <w:rPr>
                <w:rFonts w:ascii="Arial" w:eastAsia="Calibri" w:hAnsi="Arial" w:cs="Arial"/>
                <w:sz w:val="20"/>
              </w:rPr>
              <w:t>.000 EUR</w:t>
            </w:r>
            <w:r w:rsidR="009461FC" w:rsidRPr="00EC30F2">
              <w:rPr>
                <w:rFonts w:ascii="Arial" w:eastAsia="Calibri" w:hAnsi="Arial" w:cs="Arial"/>
                <w:sz w:val="20"/>
              </w:rPr>
              <w:t xml:space="preserve"> in</w:t>
            </w:r>
            <w:r w:rsidRPr="00A52E44">
              <w:rPr>
                <w:rFonts w:ascii="Arial" w:eastAsia="Calibri" w:hAnsi="Arial" w:cs="Arial"/>
                <w:sz w:val="20"/>
              </w:rPr>
              <w:t xml:space="preserve"> vključujejo stroške </w:t>
            </w:r>
            <w:r w:rsidR="006852B7">
              <w:rPr>
                <w:rFonts w:ascii="Arial" w:eastAsia="Calibri" w:hAnsi="Arial" w:cs="Arial"/>
                <w:sz w:val="20"/>
              </w:rPr>
              <w:t>prevoza</w:t>
            </w:r>
            <w:r w:rsidR="00006806">
              <w:rPr>
                <w:rFonts w:ascii="Arial" w:eastAsia="Calibri" w:hAnsi="Arial" w:cs="Arial"/>
                <w:sz w:val="20"/>
              </w:rPr>
              <w:t>, dnevnic in nočitev</w:t>
            </w:r>
            <w:r w:rsidRPr="00A52E44">
              <w:rPr>
                <w:rFonts w:ascii="Arial" w:eastAsia="Calibri" w:hAnsi="Arial" w:cs="Arial"/>
                <w:sz w:val="20"/>
              </w:rPr>
              <w:t>.</w:t>
            </w:r>
          </w:p>
        </w:tc>
      </w:tr>
      <w:tr w:rsidR="007230EF" w:rsidRPr="00357592" w14:paraId="63D01859" w14:textId="77777777" w:rsidTr="00CB62ED"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D27" w14:textId="77777777" w:rsidR="007230EF" w:rsidRPr="00357592" w:rsidRDefault="007230EF" w:rsidP="00CB62ED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</w:rPr>
            </w:pPr>
            <w:r w:rsidRPr="007230EF">
              <w:rPr>
                <w:rFonts w:ascii="Arial" w:eastAsia="Calibri" w:hAnsi="Arial" w:cs="Arial"/>
                <w:b/>
                <w:sz w:val="20"/>
              </w:rPr>
              <w:t>8. Predstavitev sodelovanja z združenji občin:</w:t>
            </w:r>
          </w:p>
        </w:tc>
      </w:tr>
      <w:tr w:rsidR="007230EF" w:rsidRPr="00357592" w14:paraId="46F3F50E" w14:textId="77777777" w:rsidTr="00CB62ED">
        <w:tc>
          <w:tcPr>
            <w:tcW w:w="6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FD9A" w14:textId="77777777" w:rsidR="007230EF" w:rsidRPr="007230EF" w:rsidRDefault="007230EF" w:rsidP="007230EF">
            <w:pPr>
              <w:widowControl w:val="0"/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7230EF">
              <w:rPr>
                <w:rFonts w:ascii="Arial" w:eastAsia="Calibri" w:hAnsi="Arial" w:cs="Arial"/>
                <w:iCs/>
                <w:sz w:val="20"/>
              </w:rPr>
              <w:t>Vsebina predloženega gradiva (predpisa) vpliva na:</w:t>
            </w:r>
          </w:p>
          <w:p w14:paraId="4207CCAB" w14:textId="77777777" w:rsidR="007230EF" w:rsidRPr="007230EF" w:rsidRDefault="007230EF" w:rsidP="007230EF">
            <w:pPr>
              <w:widowControl w:val="0"/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7230EF">
              <w:rPr>
                <w:rFonts w:ascii="Arial" w:eastAsia="Calibri" w:hAnsi="Arial" w:cs="Arial"/>
                <w:iCs/>
                <w:sz w:val="20"/>
              </w:rPr>
              <w:t>-</w:t>
            </w:r>
            <w:r w:rsidRPr="007230EF">
              <w:rPr>
                <w:rFonts w:ascii="Arial" w:eastAsia="Calibri" w:hAnsi="Arial" w:cs="Arial"/>
                <w:iCs/>
                <w:sz w:val="20"/>
              </w:rPr>
              <w:tab/>
              <w:t>pristojnosti občin,</w:t>
            </w:r>
          </w:p>
          <w:p w14:paraId="4043A027" w14:textId="77777777" w:rsidR="007230EF" w:rsidRPr="007230EF" w:rsidRDefault="007230EF" w:rsidP="007230EF">
            <w:pPr>
              <w:widowControl w:val="0"/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7230EF">
              <w:rPr>
                <w:rFonts w:ascii="Arial" w:eastAsia="Calibri" w:hAnsi="Arial" w:cs="Arial"/>
                <w:iCs/>
                <w:sz w:val="20"/>
              </w:rPr>
              <w:t>-</w:t>
            </w:r>
            <w:r w:rsidRPr="007230EF">
              <w:rPr>
                <w:rFonts w:ascii="Arial" w:eastAsia="Calibri" w:hAnsi="Arial" w:cs="Arial"/>
                <w:iCs/>
                <w:sz w:val="20"/>
              </w:rPr>
              <w:tab/>
              <w:t>delovanje občin,</w:t>
            </w:r>
          </w:p>
          <w:p w14:paraId="7D63BE73" w14:textId="77777777" w:rsidR="007230EF" w:rsidRPr="00357592" w:rsidRDefault="007230EF" w:rsidP="007230EF">
            <w:pPr>
              <w:widowControl w:val="0"/>
              <w:spacing w:line="260" w:lineRule="exact"/>
              <w:rPr>
                <w:rFonts w:ascii="Arial" w:eastAsia="Calibri" w:hAnsi="Arial" w:cs="Arial"/>
                <w:sz w:val="20"/>
              </w:rPr>
            </w:pPr>
            <w:r w:rsidRPr="007230EF">
              <w:rPr>
                <w:rFonts w:ascii="Arial" w:eastAsia="Calibri" w:hAnsi="Arial" w:cs="Arial"/>
                <w:iCs/>
                <w:sz w:val="20"/>
              </w:rPr>
              <w:t>-</w:t>
            </w:r>
            <w:r w:rsidRPr="007230EF">
              <w:rPr>
                <w:rFonts w:ascii="Arial" w:eastAsia="Calibri" w:hAnsi="Arial" w:cs="Arial"/>
                <w:iCs/>
                <w:sz w:val="20"/>
              </w:rPr>
              <w:tab/>
              <w:t>financiranje občin.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2A26" w14:textId="77777777" w:rsidR="007230EF" w:rsidRPr="00357592" w:rsidRDefault="007230EF" w:rsidP="00CB62ED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7230EF" w:rsidRPr="00357592" w14:paraId="0BFAD2EB" w14:textId="77777777" w:rsidTr="00CB62ED">
        <w:trPr>
          <w:trHeight w:val="274"/>
        </w:trPr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00AA" w14:textId="77777777" w:rsidR="007230EF" w:rsidRPr="00171E3B" w:rsidRDefault="007230EF" w:rsidP="007230EF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  <w:r>
              <w:rPr>
                <w:iCs/>
              </w:rPr>
              <w:t>Gradivo (predpis) je bilo poslano v mnenje</w:t>
            </w:r>
            <w:r w:rsidRPr="00171E3B">
              <w:rPr>
                <w:iCs/>
              </w:rPr>
              <w:t xml:space="preserve">: </w:t>
            </w:r>
          </w:p>
          <w:p w14:paraId="45DF46C9" w14:textId="77777777" w:rsidR="007230EF" w:rsidRPr="00171E3B" w:rsidRDefault="007230EF" w:rsidP="007230EF">
            <w:pPr>
              <w:pStyle w:val="Neotevilenodstavek"/>
              <w:widowControl w:val="0"/>
              <w:numPr>
                <w:ilvl w:val="0"/>
                <w:numId w:val="19"/>
              </w:numPr>
              <w:spacing w:before="0" w:after="0" w:line="260" w:lineRule="exact"/>
              <w:rPr>
                <w:iCs/>
              </w:rPr>
            </w:pPr>
            <w:r w:rsidRPr="00171E3B">
              <w:rPr>
                <w:iCs/>
              </w:rPr>
              <w:t>Skupnost</w:t>
            </w:r>
            <w:r>
              <w:rPr>
                <w:iCs/>
              </w:rPr>
              <w:t xml:space="preserve">i občin Slovenije SOS: </w:t>
            </w:r>
            <w:r w:rsidRPr="00171E3B">
              <w:rPr>
                <w:iCs/>
              </w:rPr>
              <w:t>NE</w:t>
            </w:r>
          </w:p>
          <w:p w14:paraId="21AB5C5F" w14:textId="77777777" w:rsidR="007230EF" w:rsidRPr="00171E3B" w:rsidRDefault="007230EF" w:rsidP="007230EF">
            <w:pPr>
              <w:pStyle w:val="Neotevilenodstavek"/>
              <w:widowControl w:val="0"/>
              <w:numPr>
                <w:ilvl w:val="0"/>
                <w:numId w:val="19"/>
              </w:numPr>
              <w:spacing w:before="0" w:after="0" w:line="260" w:lineRule="exact"/>
              <w:rPr>
                <w:iCs/>
              </w:rPr>
            </w:pPr>
            <w:r w:rsidRPr="00171E3B">
              <w:rPr>
                <w:iCs/>
              </w:rPr>
              <w:t>Združenj</w:t>
            </w:r>
            <w:r>
              <w:rPr>
                <w:iCs/>
              </w:rPr>
              <w:t xml:space="preserve">u občin Slovenije ZOS: </w:t>
            </w:r>
            <w:r w:rsidRPr="00171E3B">
              <w:rPr>
                <w:iCs/>
              </w:rPr>
              <w:t>NE</w:t>
            </w:r>
          </w:p>
          <w:p w14:paraId="460369B3" w14:textId="77777777" w:rsidR="007230EF" w:rsidRPr="007230EF" w:rsidRDefault="007230EF" w:rsidP="007230EF">
            <w:pPr>
              <w:pStyle w:val="Neotevilenodstavek"/>
              <w:widowControl w:val="0"/>
              <w:numPr>
                <w:ilvl w:val="0"/>
                <w:numId w:val="19"/>
              </w:numPr>
              <w:spacing w:before="0" w:after="0" w:line="260" w:lineRule="exact"/>
              <w:rPr>
                <w:iCs/>
              </w:rPr>
            </w:pPr>
            <w:r w:rsidRPr="00171E3B">
              <w:rPr>
                <w:iCs/>
              </w:rPr>
              <w:t>Združenj</w:t>
            </w:r>
            <w:r>
              <w:rPr>
                <w:iCs/>
              </w:rPr>
              <w:t>u</w:t>
            </w:r>
            <w:r w:rsidRPr="00171E3B">
              <w:rPr>
                <w:iCs/>
              </w:rPr>
              <w:t xml:space="preserve"> m</w:t>
            </w:r>
            <w:r>
              <w:rPr>
                <w:iCs/>
              </w:rPr>
              <w:t xml:space="preserve">estnih občin Slovenije ZMOS: </w:t>
            </w:r>
            <w:r w:rsidRPr="00171E3B">
              <w:rPr>
                <w:iCs/>
              </w:rPr>
              <w:t>NE</w:t>
            </w:r>
          </w:p>
        </w:tc>
      </w:tr>
      <w:tr w:rsidR="007230EF" w:rsidRPr="00357592" w14:paraId="5D3004A5" w14:textId="77777777" w:rsidTr="00CB62ED">
        <w:trPr>
          <w:trHeight w:val="274"/>
        </w:trPr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4183" w14:textId="77777777" w:rsidR="007230EF" w:rsidRPr="00357592" w:rsidRDefault="007230EF" w:rsidP="00CB62ED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</w:rPr>
            </w:pPr>
          </w:p>
        </w:tc>
      </w:tr>
      <w:tr w:rsidR="00357592" w:rsidRPr="00357592" w14:paraId="2A15BE1C" w14:textId="77777777" w:rsidTr="006C45D7"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27C7" w14:textId="77777777" w:rsidR="00357592" w:rsidRPr="00357592" w:rsidRDefault="007230EF" w:rsidP="00357592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9</w:t>
            </w:r>
            <w:r w:rsidR="00357592" w:rsidRPr="00357592">
              <w:rPr>
                <w:rFonts w:ascii="Arial" w:eastAsia="Calibri" w:hAnsi="Arial" w:cs="Arial"/>
                <w:b/>
                <w:sz w:val="20"/>
              </w:rPr>
              <w:t>. Predstavitev sodelovanja javnosti:</w:t>
            </w:r>
          </w:p>
        </w:tc>
      </w:tr>
      <w:tr w:rsidR="00357592" w:rsidRPr="00357592" w14:paraId="54225B8A" w14:textId="77777777" w:rsidTr="006C45D7">
        <w:tc>
          <w:tcPr>
            <w:tcW w:w="6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038" w14:textId="77777777" w:rsidR="00357592" w:rsidRPr="00357592" w:rsidRDefault="00357592" w:rsidP="00EC2E51">
            <w:pPr>
              <w:widowControl w:val="0"/>
              <w:spacing w:line="260" w:lineRule="exact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iCs/>
                <w:sz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6916" w14:textId="77777777" w:rsidR="00357592" w:rsidRPr="00357592" w:rsidRDefault="00357592" w:rsidP="00F1683A">
            <w:pPr>
              <w:widowControl w:val="0"/>
              <w:spacing w:line="260" w:lineRule="exact"/>
              <w:jc w:val="center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4341CCBB" w14:textId="77777777" w:rsidTr="006C45D7">
        <w:trPr>
          <w:trHeight w:val="274"/>
        </w:trPr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236" w14:textId="77777777" w:rsidR="00357592" w:rsidRPr="00AC2C03" w:rsidRDefault="00C61CBE" w:rsidP="00D67767">
            <w:pPr>
              <w:widowControl w:val="0"/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/</w:t>
            </w:r>
          </w:p>
        </w:tc>
      </w:tr>
      <w:tr w:rsidR="00357592" w:rsidRPr="00357592" w14:paraId="1FAAB4E1" w14:textId="77777777" w:rsidTr="006C45D7">
        <w:trPr>
          <w:trHeight w:val="274"/>
        </w:trPr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6FA" w14:textId="77777777" w:rsidR="00357592" w:rsidRPr="00357592" w:rsidRDefault="00357592" w:rsidP="00AC2C03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</w:rPr>
            </w:pPr>
          </w:p>
        </w:tc>
      </w:tr>
      <w:tr w:rsidR="00357592" w:rsidRPr="00357592" w14:paraId="3FFFADBB" w14:textId="77777777" w:rsidTr="006C45D7">
        <w:tc>
          <w:tcPr>
            <w:tcW w:w="6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F054" w14:textId="77777777" w:rsidR="00357592" w:rsidRPr="00357592" w:rsidRDefault="007230EF" w:rsidP="00F1683A">
            <w:pPr>
              <w:widowControl w:val="0"/>
              <w:spacing w:line="260" w:lineRule="exact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10</w:t>
            </w:r>
            <w:r w:rsidR="00357592" w:rsidRPr="00357592">
              <w:rPr>
                <w:rFonts w:ascii="Arial" w:eastAsia="Calibri" w:hAnsi="Arial" w:cs="Arial"/>
                <w:b/>
                <w:sz w:val="20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C97E" w14:textId="77777777" w:rsidR="00357592" w:rsidRPr="00357592" w:rsidRDefault="00357592" w:rsidP="00AC2C03">
            <w:pPr>
              <w:widowControl w:val="0"/>
              <w:spacing w:line="260" w:lineRule="exact"/>
              <w:rPr>
                <w:rFonts w:ascii="Arial" w:eastAsia="Calibri" w:hAnsi="Arial" w:cs="Arial"/>
                <w:iCs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42EEB392" w14:textId="77777777" w:rsidTr="006C45D7">
        <w:tc>
          <w:tcPr>
            <w:tcW w:w="6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B94C" w14:textId="77777777" w:rsidR="00357592" w:rsidRPr="00357592" w:rsidRDefault="007230EF" w:rsidP="00F1683A">
            <w:pPr>
              <w:widowControl w:val="0"/>
              <w:spacing w:line="260" w:lineRule="exact"/>
              <w:jc w:val="lef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11</w:t>
            </w:r>
            <w:r w:rsidR="00357592" w:rsidRPr="00357592">
              <w:rPr>
                <w:rFonts w:ascii="Arial" w:eastAsia="Calibri" w:hAnsi="Arial" w:cs="Arial"/>
                <w:b/>
                <w:sz w:val="20"/>
              </w:rPr>
              <w:t>. Gradivo je uvrščeno v delovni program vlade: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74B3" w14:textId="77777777" w:rsidR="00357592" w:rsidRPr="00357592" w:rsidRDefault="00357592" w:rsidP="00AC2C03">
            <w:pPr>
              <w:widowControl w:val="0"/>
              <w:spacing w:line="260" w:lineRule="exact"/>
              <w:rPr>
                <w:rFonts w:ascii="Arial" w:eastAsia="Calibri" w:hAnsi="Arial" w:cs="Arial"/>
                <w:sz w:val="20"/>
              </w:rPr>
            </w:pPr>
            <w:r w:rsidRPr="00357592">
              <w:rPr>
                <w:rFonts w:ascii="Arial" w:eastAsia="Calibri" w:hAnsi="Arial" w:cs="Arial"/>
                <w:sz w:val="20"/>
              </w:rPr>
              <w:t>NE</w:t>
            </w:r>
          </w:p>
        </w:tc>
      </w:tr>
      <w:tr w:rsidR="00357592" w:rsidRPr="00357592" w14:paraId="1BC4BB6D" w14:textId="77777777" w:rsidTr="006C45D7">
        <w:tc>
          <w:tcPr>
            <w:tcW w:w="8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8E3" w14:textId="77777777" w:rsidR="006E0920" w:rsidRDefault="006E0920" w:rsidP="006E0920">
            <w:pPr>
              <w:pStyle w:val="Poglavje"/>
              <w:tabs>
                <w:tab w:val="center" w:pos="6129"/>
              </w:tabs>
              <w:spacing w:before="0" w:after="0" w:line="288" w:lineRule="auto"/>
              <w:jc w:val="left"/>
              <w:rPr>
                <w:rFonts w:eastAsia="Calibri"/>
                <w:sz w:val="20"/>
                <w:szCs w:val="20"/>
              </w:rPr>
            </w:pPr>
          </w:p>
          <w:p w14:paraId="71A0B5ED" w14:textId="77777777" w:rsidR="006E0920" w:rsidRDefault="006E0920" w:rsidP="006E0920">
            <w:pPr>
              <w:pStyle w:val="Poglavje"/>
              <w:tabs>
                <w:tab w:val="center" w:pos="6129"/>
              </w:tabs>
              <w:spacing w:before="0" w:after="0" w:line="288" w:lineRule="auto"/>
              <w:jc w:val="left"/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 xml:space="preserve">                                                                                        </w:t>
            </w:r>
          </w:p>
          <w:p w14:paraId="3D7040A8" w14:textId="2FB167E4" w:rsidR="001146AD" w:rsidRPr="001146AD" w:rsidRDefault="001146AD" w:rsidP="001146AD">
            <w:pPr>
              <w:widowControl w:val="0"/>
              <w:suppressAutoHyphens/>
              <w:spacing w:line="264" w:lineRule="auto"/>
              <w:ind w:left="3400"/>
              <w:outlineLvl w:val="3"/>
              <w:rPr>
                <w:rFonts w:ascii="Arial" w:eastAsia="Calibri" w:hAnsi="Arial" w:cs="Arial"/>
                <w:sz w:val="20"/>
                <w:lang w:eastAsia="sl-SI"/>
              </w:rPr>
            </w:pPr>
            <w:r w:rsidRPr="001146AD">
              <w:rPr>
                <w:rFonts w:ascii="Arial" w:eastAsia="Calibri" w:hAnsi="Arial" w:cs="Arial"/>
                <w:sz w:val="20"/>
                <w:lang w:eastAsia="sl-SI"/>
              </w:rPr>
              <w:t xml:space="preserve">                                </w:t>
            </w:r>
            <w:r w:rsidR="0004047F">
              <w:rPr>
                <w:rFonts w:ascii="Arial" w:eastAsia="Calibri" w:hAnsi="Arial" w:cs="Arial"/>
                <w:sz w:val="20"/>
                <w:lang w:eastAsia="sl-SI"/>
              </w:rPr>
              <w:t xml:space="preserve">    </w:t>
            </w:r>
            <w:r w:rsidR="00DE2BAE">
              <w:rPr>
                <w:rFonts w:ascii="Arial" w:eastAsia="Calibri" w:hAnsi="Arial" w:cs="Arial"/>
                <w:sz w:val="20"/>
                <w:lang w:eastAsia="sl-SI"/>
              </w:rPr>
              <w:t xml:space="preserve">           </w:t>
            </w:r>
            <w:r w:rsidR="007413E5">
              <w:rPr>
                <w:rFonts w:ascii="Arial" w:eastAsia="Calibri" w:hAnsi="Arial" w:cs="Arial"/>
                <w:sz w:val="20"/>
                <w:lang w:eastAsia="sl-SI"/>
              </w:rPr>
              <w:t>Gordana Pipan</w:t>
            </w:r>
          </w:p>
          <w:p w14:paraId="166D34BE" w14:textId="114AAE3A" w:rsidR="001146AD" w:rsidRPr="001146AD" w:rsidRDefault="001146AD" w:rsidP="001146AD">
            <w:pPr>
              <w:widowControl w:val="0"/>
              <w:suppressAutoHyphens/>
              <w:spacing w:line="264" w:lineRule="auto"/>
              <w:ind w:left="3400"/>
              <w:outlineLvl w:val="3"/>
              <w:rPr>
                <w:rFonts w:ascii="Arial" w:eastAsia="Calibri" w:hAnsi="Arial" w:cs="Arial"/>
                <w:sz w:val="20"/>
                <w:lang w:eastAsia="sl-SI"/>
              </w:rPr>
            </w:pPr>
            <w:r w:rsidRPr="001146AD">
              <w:rPr>
                <w:rFonts w:ascii="Arial" w:eastAsia="Calibri" w:hAnsi="Arial" w:cs="Arial"/>
                <w:sz w:val="20"/>
                <w:lang w:eastAsia="sl-SI"/>
              </w:rPr>
              <w:t xml:space="preserve">                                        </w:t>
            </w:r>
            <w:r w:rsidR="00901F9F">
              <w:rPr>
                <w:rFonts w:ascii="Arial" w:eastAsia="Calibri" w:hAnsi="Arial" w:cs="Arial"/>
                <w:sz w:val="20"/>
                <w:lang w:eastAsia="sl-SI"/>
              </w:rPr>
              <w:t xml:space="preserve">    </w:t>
            </w:r>
            <w:r w:rsidR="007413E5">
              <w:rPr>
                <w:rFonts w:ascii="Arial" w:eastAsia="Calibri" w:hAnsi="Arial" w:cs="Arial"/>
                <w:sz w:val="20"/>
                <w:lang w:eastAsia="sl-SI"/>
              </w:rPr>
              <w:t>državna sekretarka</w:t>
            </w:r>
          </w:p>
          <w:p w14:paraId="768D09FA" w14:textId="77777777" w:rsidR="00357592" w:rsidRPr="00357592" w:rsidRDefault="00357592" w:rsidP="00357592">
            <w:pPr>
              <w:widowControl w:val="0"/>
              <w:suppressAutoHyphens/>
              <w:spacing w:line="260" w:lineRule="exact"/>
              <w:ind w:left="3400"/>
              <w:outlineLvl w:val="3"/>
              <w:rPr>
                <w:rFonts w:ascii="Arial" w:eastAsia="Calibri" w:hAnsi="Arial" w:cs="Arial"/>
                <w:b/>
                <w:sz w:val="20"/>
                <w:lang w:eastAsia="sl-SI"/>
              </w:rPr>
            </w:pPr>
          </w:p>
        </w:tc>
      </w:tr>
    </w:tbl>
    <w:p w14:paraId="655704F6" w14:textId="77777777" w:rsidR="00357592" w:rsidRPr="00357592" w:rsidRDefault="00357592" w:rsidP="00357592">
      <w:pPr>
        <w:tabs>
          <w:tab w:val="left" w:pos="708"/>
          <w:tab w:val="left" w:pos="3402"/>
        </w:tabs>
        <w:overflowPunct/>
        <w:autoSpaceDE/>
        <w:autoSpaceDN/>
        <w:adjustRightInd/>
        <w:spacing w:line="260" w:lineRule="atLeast"/>
        <w:jc w:val="left"/>
        <w:textAlignment w:val="auto"/>
        <w:rPr>
          <w:rFonts w:ascii="Arial" w:eastAsia="Calibri" w:hAnsi="Arial" w:cs="Arial"/>
          <w:b/>
          <w:sz w:val="20"/>
        </w:rPr>
      </w:pPr>
    </w:p>
    <w:p w14:paraId="56662C54" w14:textId="77777777" w:rsidR="00357592" w:rsidRPr="00357592" w:rsidRDefault="00357592" w:rsidP="00357592">
      <w:pPr>
        <w:rPr>
          <w:rFonts w:ascii="Arial" w:eastAsia="Calibri" w:hAnsi="Arial" w:cs="Arial"/>
          <w:sz w:val="20"/>
        </w:rPr>
      </w:pPr>
    </w:p>
    <w:p w14:paraId="28BF7FFD" w14:textId="77777777" w:rsidR="00357592" w:rsidRPr="00357592" w:rsidRDefault="00357592" w:rsidP="00357592">
      <w:pPr>
        <w:tabs>
          <w:tab w:val="left" w:pos="708"/>
          <w:tab w:val="left" w:pos="3402"/>
        </w:tabs>
        <w:spacing w:line="260" w:lineRule="atLeast"/>
        <w:rPr>
          <w:rFonts w:ascii="Arial" w:eastAsia="Calibri" w:hAnsi="Arial" w:cs="Arial"/>
          <w:color w:val="000000"/>
          <w:sz w:val="20"/>
        </w:rPr>
      </w:pPr>
    </w:p>
    <w:p w14:paraId="00CC8A44" w14:textId="77777777" w:rsidR="006852B7" w:rsidRDefault="006852B7" w:rsidP="001146AD">
      <w:pPr>
        <w:tabs>
          <w:tab w:val="left" w:pos="708"/>
          <w:tab w:val="left" w:pos="3402"/>
        </w:tabs>
        <w:spacing w:line="264" w:lineRule="auto"/>
        <w:rPr>
          <w:rFonts w:ascii="Arial" w:eastAsia="Calibri" w:hAnsi="Arial" w:cs="Arial"/>
          <w:color w:val="000000"/>
          <w:sz w:val="20"/>
        </w:rPr>
      </w:pPr>
    </w:p>
    <w:p w14:paraId="6EDF7997" w14:textId="77777777" w:rsidR="006852B7" w:rsidRDefault="006852B7" w:rsidP="001146AD">
      <w:pPr>
        <w:tabs>
          <w:tab w:val="left" w:pos="708"/>
          <w:tab w:val="left" w:pos="3402"/>
        </w:tabs>
        <w:spacing w:line="264" w:lineRule="auto"/>
        <w:rPr>
          <w:rFonts w:ascii="Arial" w:eastAsia="Calibri" w:hAnsi="Arial" w:cs="Arial"/>
          <w:color w:val="000000"/>
          <w:sz w:val="20"/>
        </w:rPr>
      </w:pPr>
    </w:p>
    <w:p w14:paraId="6D35534E" w14:textId="77777777" w:rsidR="00B725C2" w:rsidRPr="00B725C2" w:rsidRDefault="00B725C2" w:rsidP="00B725C2">
      <w:pPr>
        <w:pStyle w:val="Naslovpredpisa"/>
        <w:spacing w:line="240" w:lineRule="auto"/>
        <w:jc w:val="left"/>
        <w:rPr>
          <w:sz w:val="20"/>
          <w:szCs w:val="20"/>
        </w:rPr>
      </w:pPr>
      <w:r w:rsidRPr="00B725C2">
        <w:rPr>
          <w:sz w:val="20"/>
          <w:szCs w:val="20"/>
        </w:rPr>
        <w:t>PRILOGE:</w:t>
      </w:r>
    </w:p>
    <w:p w14:paraId="31C9BCCA" w14:textId="77777777" w:rsidR="00B725C2" w:rsidRPr="00B725C2" w:rsidRDefault="00B725C2" w:rsidP="00B725C2">
      <w:pPr>
        <w:pStyle w:val="Odstavekseznama"/>
        <w:numPr>
          <w:ilvl w:val="0"/>
          <w:numId w:val="34"/>
        </w:numPr>
        <w:overflowPunct/>
        <w:spacing w:line="260" w:lineRule="atLeast"/>
        <w:contextualSpacing w:val="0"/>
        <w:textAlignment w:val="auto"/>
        <w:rPr>
          <w:rFonts w:ascii="Arial" w:hAnsi="Arial" w:cs="Arial"/>
          <w:b/>
          <w:sz w:val="20"/>
        </w:rPr>
      </w:pPr>
      <w:r w:rsidRPr="00B725C2">
        <w:rPr>
          <w:rFonts w:ascii="Arial" w:hAnsi="Arial" w:cs="Arial"/>
          <w:snapToGrid w:val="0"/>
          <w:sz w:val="20"/>
        </w:rPr>
        <w:t>Priloga 1: Predlog sklepa</w:t>
      </w:r>
    </w:p>
    <w:p w14:paraId="5D8AEA01" w14:textId="4B2126D6" w:rsidR="00FD02F0" w:rsidRPr="00FD02F0" w:rsidRDefault="00B725C2" w:rsidP="00FD02F0">
      <w:pPr>
        <w:pStyle w:val="Odstavekseznama"/>
        <w:numPr>
          <w:ilvl w:val="0"/>
          <w:numId w:val="34"/>
        </w:numPr>
        <w:rPr>
          <w:rFonts w:ascii="Arial" w:hAnsi="Arial" w:cs="Arial"/>
          <w:sz w:val="20"/>
        </w:rPr>
      </w:pPr>
      <w:r w:rsidRPr="00FD02F0">
        <w:rPr>
          <w:rFonts w:ascii="Arial" w:hAnsi="Arial" w:cs="Arial"/>
          <w:snapToGrid w:val="0"/>
          <w:sz w:val="20"/>
        </w:rPr>
        <w:t xml:space="preserve">Priloga 2: </w:t>
      </w:r>
      <w:r w:rsidR="00B32582">
        <w:rPr>
          <w:rFonts w:ascii="Arial" w:hAnsi="Arial" w:cs="Arial"/>
          <w:sz w:val="20"/>
        </w:rPr>
        <w:t>Informacija</w:t>
      </w:r>
      <w:r w:rsidR="00B32582" w:rsidRPr="00B32582">
        <w:rPr>
          <w:rFonts w:ascii="Arial" w:hAnsi="Arial" w:cs="Arial"/>
          <w:sz w:val="20"/>
        </w:rPr>
        <w:t xml:space="preserve"> </w:t>
      </w:r>
      <w:r w:rsidR="00C023B1" w:rsidRPr="00C023B1">
        <w:rPr>
          <w:rFonts w:ascii="Arial" w:hAnsi="Arial" w:cs="Arial"/>
          <w:sz w:val="20"/>
        </w:rPr>
        <w:t>o udeležbi delegacije Republike Slovenije na letnem zasedanju Sveta guvernerjev Evropske banke za obnovo in razvoj (EBRD) od 13. – 15. maja 2025 v Londonu, Združeno kraljestvo</w:t>
      </w:r>
      <w:r w:rsidR="00B32582" w:rsidRPr="00B32582">
        <w:rPr>
          <w:rFonts w:ascii="Arial" w:hAnsi="Arial" w:cs="Arial"/>
          <w:sz w:val="20"/>
        </w:rPr>
        <w:t>.</w:t>
      </w:r>
    </w:p>
    <w:p w14:paraId="235C6920" w14:textId="354009B2" w:rsidR="00B725C2" w:rsidRPr="00B725C2" w:rsidRDefault="00B725C2" w:rsidP="00FD02F0">
      <w:pPr>
        <w:pStyle w:val="Odstavekseznama"/>
        <w:overflowPunct/>
        <w:spacing w:line="260" w:lineRule="atLeast"/>
        <w:contextualSpacing w:val="0"/>
        <w:textAlignment w:val="auto"/>
        <w:rPr>
          <w:rFonts w:ascii="Arial" w:hAnsi="Arial" w:cs="Arial"/>
          <w:b/>
          <w:sz w:val="20"/>
        </w:rPr>
      </w:pPr>
    </w:p>
    <w:p w14:paraId="72B0CCAA" w14:textId="77777777" w:rsidR="006229DA" w:rsidRDefault="006229DA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br w:type="page"/>
      </w:r>
    </w:p>
    <w:p w14:paraId="03A892BE" w14:textId="77777777" w:rsidR="00984A84" w:rsidRDefault="00984A84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color w:val="000000"/>
          <w:sz w:val="20"/>
        </w:rPr>
      </w:pPr>
    </w:p>
    <w:p w14:paraId="75123599" w14:textId="77777777" w:rsidR="00357592" w:rsidRPr="00357592" w:rsidRDefault="00357592" w:rsidP="00357592">
      <w:pPr>
        <w:suppressAutoHyphens/>
        <w:rPr>
          <w:rFonts w:ascii="Arial" w:eastAsia="Calibri" w:hAnsi="Arial" w:cs="Arial"/>
          <w:color w:val="000000"/>
          <w:sz w:val="20"/>
        </w:rPr>
      </w:pPr>
    </w:p>
    <w:p w14:paraId="569F1FB9" w14:textId="77777777" w:rsidR="001146AD" w:rsidRPr="001146AD" w:rsidRDefault="001146AD" w:rsidP="001146AD">
      <w:pPr>
        <w:suppressAutoHyphens/>
        <w:spacing w:line="264" w:lineRule="auto"/>
        <w:rPr>
          <w:rFonts w:ascii="Arial" w:eastAsia="Calibri" w:hAnsi="Arial" w:cs="Arial"/>
          <w:color w:val="000000"/>
          <w:sz w:val="20"/>
        </w:rPr>
      </w:pPr>
    </w:p>
    <w:p w14:paraId="3190E0D6" w14:textId="77777777" w:rsidR="001146AD" w:rsidRPr="001146AD" w:rsidRDefault="001146AD" w:rsidP="001146AD">
      <w:pPr>
        <w:suppressAutoHyphens/>
        <w:spacing w:line="264" w:lineRule="auto"/>
        <w:rPr>
          <w:rFonts w:ascii="Arial" w:eastAsia="Calibri" w:hAnsi="Arial" w:cs="Arial"/>
          <w:color w:val="000000"/>
          <w:sz w:val="20"/>
        </w:rPr>
      </w:pPr>
    </w:p>
    <w:p w14:paraId="1E0E4969" w14:textId="77777777" w:rsidR="00AC2C03" w:rsidRDefault="00AC2C03" w:rsidP="00AC2C03">
      <w:pPr>
        <w:spacing w:line="264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1</w:t>
      </w:r>
    </w:p>
    <w:p w14:paraId="4C0BE708" w14:textId="77777777" w:rsidR="00AC2C03" w:rsidRPr="00D1455B" w:rsidRDefault="00AC2C03" w:rsidP="00AC2C03">
      <w:pPr>
        <w:spacing w:line="264" w:lineRule="auto"/>
        <w:rPr>
          <w:rFonts w:ascii="Arial" w:hAnsi="Arial" w:cs="Arial"/>
          <w:b/>
          <w:sz w:val="20"/>
        </w:rPr>
      </w:pPr>
    </w:p>
    <w:p w14:paraId="7FAB07A0" w14:textId="77777777" w:rsidR="00AC2C03" w:rsidRDefault="00AC2C03" w:rsidP="00EC30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Številka:</w:t>
      </w:r>
    </w:p>
    <w:p w14:paraId="5F5090A4" w14:textId="77777777" w:rsidR="00AC2C03" w:rsidRDefault="00AC2C03" w:rsidP="00EC30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</w:t>
      </w:r>
    </w:p>
    <w:p w14:paraId="30C9C5CF" w14:textId="77777777" w:rsidR="00AC2C03" w:rsidRDefault="00AC2C03" w:rsidP="00AC2C03">
      <w:pPr>
        <w:ind w:left="6372"/>
        <w:rPr>
          <w:rFonts w:ascii="Arial" w:hAnsi="Arial" w:cs="Arial"/>
          <w:sz w:val="20"/>
        </w:rPr>
      </w:pPr>
    </w:p>
    <w:p w14:paraId="47B6750F" w14:textId="77777777" w:rsidR="00AC2C03" w:rsidRDefault="00AC2C03" w:rsidP="00AC2C03">
      <w:pPr>
        <w:ind w:left="6372"/>
        <w:rPr>
          <w:rFonts w:ascii="Arial" w:hAnsi="Arial" w:cs="Arial"/>
          <w:sz w:val="20"/>
        </w:rPr>
      </w:pPr>
    </w:p>
    <w:p w14:paraId="3DB598A4" w14:textId="77777777" w:rsidR="00AC2C03" w:rsidRDefault="00AC2C03" w:rsidP="00AC2C03">
      <w:pPr>
        <w:rPr>
          <w:rFonts w:ascii="Arial" w:hAnsi="Arial" w:cs="Arial"/>
          <w:sz w:val="20"/>
        </w:rPr>
      </w:pPr>
    </w:p>
    <w:p w14:paraId="7AAD9D66" w14:textId="77777777" w:rsidR="00AC2C03" w:rsidRDefault="00AC2C03" w:rsidP="00AC2C03">
      <w:pPr>
        <w:rPr>
          <w:rFonts w:ascii="Arial" w:hAnsi="Arial" w:cs="Arial"/>
          <w:sz w:val="20"/>
        </w:rPr>
      </w:pPr>
    </w:p>
    <w:p w14:paraId="243598E4" w14:textId="625D2828" w:rsidR="00C300CF" w:rsidRPr="00B050EF" w:rsidRDefault="00C300CF" w:rsidP="00C300CF">
      <w:pPr>
        <w:spacing w:line="260" w:lineRule="atLeast"/>
        <w:rPr>
          <w:rFonts w:ascii="Arial" w:hAnsi="Arial" w:cs="Arial"/>
          <w:color w:val="000000"/>
          <w:sz w:val="20"/>
        </w:rPr>
      </w:pPr>
      <w:r w:rsidRPr="00FF7D35">
        <w:rPr>
          <w:rFonts w:ascii="Arial" w:hAnsi="Arial" w:cs="Arial"/>
          <w:color w:val="000000"/>
          <w:sz w:val="20"/>
        </w:rPr>
        <w:t>Na podlagi</w:t>
      </w:r>
      <w:r>
        <w:rPr>
          <w:rFonts w:ascii="Arial" w:hAnsi="Arial" w:cs="Arial"/>
          <w:color w:val="000000"/>
          <w:sz w:val="20"/>
        </w:rPr>
        <w:t xml:space="preserve"> </w:t>
      </w:r>
      <w:r w:rsidRPr="00FF7D35">
        <w:rPr>
          <w:rFonts w:ascii="Arial" w:hAnsi="Arial" w:cs="Arial"/>
          <w:color w:val="000000"/>
          <w:sz w:val="20"/>
        </w:rPr>
        <w:t>šestega odstavka 21. člena Zakona o Vladi Republike Slovenije (Uradni list RS, št. 24/05 – uradno prečiščeno besedilo, 109/08, 38/10 – ZUKN, 8/12, 21/13, 47/13</w:t>
      </w:r>
      <w:r>
        <w:rPr>
          <w:rFonts w:ascii="Arial" w:hAnsi="Arial" w:cs="Arial"/>
          <w:color w:val="000000"/>
          <w:sz w:val="20"/>
        </w:rPr>
        <w:t xml:space="preserve"> </w:t>
      </w:r>
      <w:r w:rsidRPr="007A09E9">
        <w:rPr>
          <w:rFonts w:ascii="Arial" w:hAnsi="Arial" w:cs="Arial"/>
          <w:color w:val="000000"/>
          <w:sz w:val="20"/>
        </w:rPr>
        <w:t>–</w:t>
      </w:r>
      <w:r>
        <w:rPr>
          <w:rFonts w:ascii="Arial" w:hAnsi="Arial" w:cs="Arial"/>
          <w:color w:val="000000"/>
          <w:sz w:val="20"/>
        </w:rPr>
        <w:t xml:space="preserve"> </w:t>
      </w:r>
      <w:r w:rsidRPr="00FF7D35">
        <w:rPr>
          <w:rFonts w:ascii="Arial" w:hAnsi="Arial" w:cs="Arial"/>
          <w:color w:val="000000"/>
          <w:sz w:val="20"/>
        </w:rPr>
        <w:t>ZDU-1G</w:t>
      </w:r>
      <w:r>
        <w:rPr>
          <w:rFonts w:ascii="Arial" w:hAnsi="Arial" w:cs="Arial"/>
          <w:color w:val="000000"/>
          <w:sz w:val="20"/>
        </w:rPr>
        <w:t xml:space="preserve">, </w:t>
      </w:r>
      <w:r w:rsidRPr="00FF7D35">
        <w:rPr>
          <w:rFonts w:ascii="Arial" w:hAnsi="Arial" w:cs="Arial"/>
          <w:color w:val="000000"/>
          <w:sz w:val="20"/>
        </w:rPr>
        <w:t>65/14</w:t>
      </w:r>
      <w:r>
        <w:rPr>
          <w:rFonts w:ascii="Arial" w:hAnsi="Arial" w:cs="Arial"/>
          <w:color w:val="000000"/>
          <w:sz w:val="20"/>
        </w:rPr>
        <w:t>, 55/17 in 163/22</w:t>
      </w:r>
      <w:r w:rsidRPr="00FF7D35">
        <w:rPr>
          <w:rFonts w:ascii="Arial" w:hAnsi="Arial" w:cs="Arial"/>
          <w:color w:val="000000"/>
          <w:sz w:val="20"/>
        </w:rPr>
        <w:t xml:space="preserve">) je Vlada Republike Slovenije na seji dne ... pod </w:t>
      </w:r>
      <w:r w:rsidRPr="00B050EF">
        <w:rPr>
          <w:rFonts w:ascii="Arial" w:hAnsi="Arial" w:cs="Arial"/>
          <w:color w:val="000000"/>
          <w:sz w:val="20"/>
        </w:rPr>
        <w:t>točko ... sprejela naslednji sklep:</w:t>
      </w:r>
    </w:p>
    <w:p w14:paraId="725DC63A" w14:textId="77777777" w:rsidR="006D7485" w:rsidRDefault="006D7485" w:rsidP="00C300CF">
      <w:pPr>
        <w:tabs>
          <w:tab w:val="left" w:pos="180"/>
        </w:tabs>
        <w:jc w:val="center"/>
        <w:rPr>
          <w:rFonts w:ascii="Arial" w:hAnsi="Arial" w:cs="Arial"/>
          <w:snapToGrid w:val="0"/>
          <w:sz w:val="20"/>
        </w:rPr>
      </w:pPr>
    </w:p>
    <w:p w14:paraId="6BA28B73" w14:textId="77777777" w:rsidR="006D7485" w:rsidRDefault="006D7485" w:rsidP="00C300CF">
      <w:pPr>
        <w:tabs>
          <w:tab w:val="left" w:pos="180"/>
        </w:tabs>
        <w:jc w:val="center"/>
        <w:rPr>
          <w:rFonts w:ascii="Arial" w:hAnsi="Arial" w:cs="Arial"/>
          <w:snapToGrid w:val="0"/>
          <w:sz w:val="20"/>
        </w:rPr>
      </w:pPr>
    </w:p>
    <w:p w14:paraId="373721C5" w14:textId="128AA32C" w:rsidR="00C300CF" w:rsidRPr="00B050EF" w:rsidRDefault="00C300CF" w:rsidP="00C300CF">
      <w:pPr>
        <w:tabs>
          <w:tab w:val="left" w:pos="180"/>
        </w:tabs>
        <w:jc w:val="center"/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>SKLEP:</w:t>
      </w:r>
    </w:p>
    <w:p w14:paraId="59174C38" w14:textId="77777777" w:rsidR="00C300CF" w:rsidRDefault="00C300CF" w:rsidP="00C300CF">
      <w:pPr>
        <w:tabs>
          <w:tab w:val="left" w:pos="180"/>
        </w:tabs>
        <w:jc w:val="center"/>
        <w:rPr>
          <w:rFonts w:ascii="Arial" w:hAnsi="Arial" w:cs="Arial"/>
          <w:snapToGrid w:val="0"/>
          <w:sz w:val="20"/>
        </w:rPr>
      </w:pPr>
    </w:p>
    <w:p w14:paraId="27C9BC8E" w14:textId="77777777" w:rsidR="006D7485" w:rsidRPr="00B050EF" w:rsidRDefault="006D7485" w:rsidP="00C300CF">
      <w:pPr>
        <w:tabs>
          <w:tab w:val="left" w:pos="180"/>
        </w:tabs>
        <w:jc w:val="center"/>
        <w:rPr>
          <w:rFonts w:ascii="Arial" w:hAnsi="Arial" w:cs="Arial"/>
          <w:snapToGrid w:val="0"/>
          <w:sz w:val="20"/>
        </w:rPr>
      </w:pPr>
    </w:p>
    <w:p w14:paraId="6DD3EF63" w14:textId="25C2CEF1" w:rsidR="00C300CF" w:rsidRPr="00B050EF" w:rsidRDefault="00C300CF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>Vlada Republike Slovenije</w:t>
      </w:r>
      <w:r w:rsidR="00E62A8E">
        <w:rPr>
          <w:rFonts w:ascii="Arial" w:hAnsi="Arial" w:cs="Arial"/>
          <w:snapToGrid w:val="0"/>
          <w:sz w:val="20"/>
        </w:rPr>
        <w:t xml:space="preserve"> se</w:t>
      </w:r>
      <w:r w:rsidRPr="00B050EF">
        <w:rPr>
          <w:rFonts w:ascii="Arial" w:hAnsi="Arial" w:cs="Arial"/>
          <w:snapToGrid w:val="0"/>
          <w:sz w:val="20"/>
        </w:rPr>
        <w:t xml:space="preserve"> je s</w:t>
      </w:r>
      <w:r w:rsidR="00E62A8E">
        <w:rPr>
          <w:rFonts w:ascii="Arial" w:hAnsi="Arial" w:cs="Arial"/>
          <w:snapToGrid w:val="0"/>
          <w:sz w:val="20"/>
        </w:rPr>
        <w:t>eznanila z</w:t>
      </w:r>
      <w:r w:rsidRPr="00B050EF">
        <w:rPr>
          <w:rFonts w:ascii="Arial" w:hAnsi="Arial" w:cs="Arial"/>
          <w:snapToGrid w:val="0"/>
          <w:sz w:val="20"/>
        </w:rPr>
        <w:t xml:space="preserve"> </w:t>
      </w:r>
      <w:r w:rsidR="00317F85" w:rsidRPr="00317F85">
        <w:rPr>
          <w:rFonts w:ascii="Arial" w:hAnsi="Arial" w:cs="Arial"/>
          <w:snapToGrid w:val="0"/>
          <w:sz w:val="20"/>
        </w:rPr>
        <w:t>Informacij</w:t>
      </w:r>
      <w:r w:rsidR="005C5F89">
        <w:rPr>
          <w:rFonts w:ascii="Arial" w:hAnsi="Arial" w:cs="Arial"/>
          <w:snapToGrid w:val="0"/>
          <w:sz w:val="20"/>
        </w:rPr>
        <w:t>o</w:t>
      </w:r>
      <w:r w:rsidR="00317F85" w:rsidRPr="00317F85">
        <w:rPr>
          <w:rFonts w:ascii="Arial" w:hAnsi="Arial" w:cs="Arial"/>
          <w:snapToGrid w:val="0"/>
          <w:sz w:val="20"/>
        </w:rPr>
        <w:t xml:space="preserve"> </w:t>
      </w:r>
      <w:r w:rsidR="00C023B1" w:rsidRPr="00C023B1">
        <w:rPr>
          <w:rFonts w:ascii="Arial" w:hAnsi="Arial" w:cs="Arial"/>
          <w:snapToGrid w:val="0"/>
          <w:sz w:val="20"/>
        </w:rPr>
        <w:t>o udeležbi delegacije Republike Slovenije na letnem zasedanju Sveta guvernerjev Evropske banke za obnovo in razvoj (EBRD) od 13. – 15. maja 2025 v Londonu, Združeno kraljestvo</w:t>
      </w:r>
      <w:r w:rsidR="00317F85" w:rsidRPr="00317F85">
        <w:rPr>
          <w:rFonts w:ascii="Arial" w:hAnsi="Arial" w:cs="Arial"/>
          <w:snapToGrid w:val="0"/>
          <w:sz w:val="20"/>
        </w:rPr>
        <w:t>.</w:t>
      </w:r>
    </w:p>
    <w:p w14:paraId="76938A25" w14:textId="77777777" w:rsidR="00C300CF" w:rsidRPr="00B050EF" w:rsidRDefault="00C300CF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2480D7C7" w14:textId="77777777" w:rsidR="00C300CF" w:rsidRPr="00B050EF" w:rsidRDefault="00C300CF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7DE2AFE7" w14:textId="77777777" w:rsidR="00C300CF" w:rsidRPr="00B050EF" w:rsidRDefault="00C300CF" w:rsidP="00C300CF">
      <w:pPr>
        <w:tabs>
          <w:tab w:val="left" w:pos="180"/>
        </w:tabs>
        <w:rPr>
          <w:rFonts w:ascii="Arial" w:hAnsi="Arial" w:cs="Arial"/>
          <w:b/>
          <w:snapToGrid w:val="0"/>
          <w:sz w:val="20"/>
        </w:rPr>
      </w:pPr>
    </w:p>
    <w:p w14:paraId="7C831D1C" w14:textId="77777777" w:rsidR="00C300CF" w:rsidRPr="00B050EF" w:rsidRDefault="00C300CF" w:rsidP="00C300CF">
      <w:pPr>
        <w:tabs>
          <w:tab w:val="left" w:pos="5760"/>
        </w:tabs>
        <w:ind w:left="3420"/>
        <w:rPr>
          <w:rFonts w:ascii="Arial" w:hAnsi="Arial" w:cs="Arial"/>
          <w:iCs/>
          <w:snapToGrid w:val="0"/>
          <w:sz w:val="20"/>
        </w:rPr>
      </w:pPr>
      <w:r w:rsidRPr="00B050EF">
        <w:rPr>
          <w:rFonts w:ascii="Arial" w:hAnsi="Arial" w:cs="Arial"/>
          <w:iCs/>
          <w:snapToGrid w:val="0"/>
          <w:sz w:val="20"/>
        </w:rPr>
        <w:t xml:space="preserve">                                  Barbara Kolenko Helbl</w:t>
      </w:r>
    </w:p>
    <w:p w14:paraId="4D00C677" w14:textId="77777777" w:rsidR="00C300CF" w:rsidRPr="00B050EF" w:rsidRDefault="00C300CF" w:rsidP="00C300CF">
      <w:pPr>
        <w:tabs>
          <w:tab w:val="left" w:pos="5760"/>
        </w:tabs>
        <w:ind w:left="3420"/>
        <w:rPr>
          <w:rFonts w:ascii="Arial" w:eastAsia="Calibri" w:hAnsi="Arial" w:cs="Arial"/>
          <w:color w:val="000000"/>
          <w:sz w:val="20"/>
        </w:rPr>
      </w:pPr>
      <w:r w:rsidRPr="00B050EF">
        <w:rPr>
          <w:rFonts w:ascii="Arial" w:hAnsi="Arial" w:cs="Arial"/>
          <w:iCs/>
          <w:snapToGrid w:val="0"/>
          <w:sz w:val="20"/>
        </w:rPr>
        <w:t xml:space="preserve">                               generalna sekretarka</w:t>
      </w:r>
      <w:r>
        <w:rPr>
          <w:rFonts w:ascii="Arial" w:hAnsi="Arial" w:cs="Arial"/>
          <w:iCs/>
          <w:snapToGrid w:val="0"/>
          <w:sz w:val="20"/>
        </w:rPr>
        <w:t xml:space="preserve"> vlade</w:t>
      </w:r>
    </w:p>
    <w:p w14:paraId="31CA907C" w14:textId="77777777" w:rsidR="00C300CF" w:rsidRPr="00B050EF" w:rsidRDefault="00C300CF" w:rsidP="00C300CF">
      <w:pPr>
        <w:tabs>
          <w:tab w:val="left" w:pos="5760"/>
        </w:tabs>
        <w:ind w:left="3420"/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color w:val="000000"/>
          <w:sz w:val="20"/>
        </w:rPr>
        <w:t xml:space="preserve">                        </w:t>
      </w:r>
    </w:p>
    <w:p w14:paraId="74301317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46FB7295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1A6C2BB8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250A3299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2DB76EC2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4315A2F0" w14:textId="1343DE64" w:rsidR="00C300CF" w:rsidRPr="00B050EF" w:rsidRDefault="00C300CF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 xml:space="preserve">Priloga: </w:t>
      </w:r>
    </w:p>
    <w:p w14:paraId="3D99BAE3" w14:textId="60161D57" w:rsidR="00C300CF" w:rsidRPr="00317F85" w:rsidRDefault="00317F85" w:rsidP="00317F85">
      <w:pPr>
        <w:pStyle w:val="Odstavekseznama"/>
        <w:numPr>
          <w:ilvl w:val="0"/>
          <w:numId w:val="9"/>
        </w:numPr>
        <w:tabs>
          <w:tab w:val="left" w:pos="180"/>
        </w:tabs>
        <w:rPr>
          <w:rFonts w:ascii="Arial" w:hAnsi="Arial" w:cs="Arial"/>
          <w:snapToGrid w:val="0"/>
          <w:sz w:val="20"/>
        </w:rPr>
      </w:pPr>
      <w:r w:rsidRPr="00317F85">
        <w:rPr>
          <w:rFonts w:ascii="Arial" w:hAnsi="Arial" w:cs="Arial"/>
          <w:snapToGrid w:val="0"/>
          <w:sz w:val="20"/>
        </w:rPr>
        <w:t xml:space="preserve">Informacija </w:t>
      </w:r>
      <w:r w:rsidR="00C023B1" w:rsidRPr="00C023B1">
        <w:rPr>
          <w:rFonts w:ascii="Arial" w:hAnsi="Arial" w:cs="Arial"/>
          <w:snapToGrid w:val="0"/>
          <w:sz w:val="20"/>
        </w:rPr>
        <w:t>o udeležbi delegacije Republike Slovenije na letnem zasedanju Sveta guvernerjev Evropske banke za obnovo in razvoj (EBRD) od 13. – 15. maja 2025 v Londonu, Združeno kraljestvo</w:t>
      </w:r>
      <w:r w:rsidRPr="00317F85">
        <w:rPr>
          <w:rFonts w:ascii="Arial" w:hAnsi="Arial" w:cs="Arial"/>
          <w:snapToGrid w:val="0"/>
          <w:sz w:val="20"/>
        </w:rPr>
        <w:t>.</w:t>
      </w:r>
    </w:p>
    <w:p w14:paraId="3001A7DD" w14:textId="77777777" w:rsidR="00317F85" w:rsidRDefault="00317F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1169BF36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4685237F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750E5D33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66FEFB8B" w14:textId="77777777" w:rsidR="006D7485" w:rsidRDefault="006D7485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</w:p>
    <w:p w14:paraId="4DA37267" w14:textId="431A6770" w:rsidR="00C300CF" w:rsidRPr="00B050EF" w:rsidRDefault="00C300CF" w:rsidP="00C300CF">
      <w:pPr>
        <w:tabs>
          <w:tab w:val="left" w:pos="180"/>
        </w:tabs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>SKLEP PREJMEJO:</w:t>
      </w:r>
    </w:p>
    <w:p w14:paraId="1268AE64" w14:textId="77777777" w:rsidR="00C300CF" w:rsidRPr="00B050EF" w:rsidRDefault="00C300CF" w:rsidP="00C300CF">
      <w:pPr>
        <w:numPr>
          <w:ilvl w:val="0"/>
          <w:numId w:val="32"/>
        </w:numPr>
        <w:tabs>
          <w:tab w:val="left" w:pos="180"/>
        </w:tabs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>Ministrstvo za finance,</w:t>
      </w:r>
    </w:p>
    <w:p w14:paraId="54F6E50E" w14:textId="77777777" w:rsidR="00C300CF" w:rsidRPr="00B050EF" w:rsidRDefault="00C300CF" w:rsidP="00C300CF">
      <w:pPr>
        <w:numPr>
          <w:ilvl w:val="0"/>
          <w:numId w:val="32"/>
        </w:numPr>
        <w:tabs>
          <w:tab w:val="left" w:pos="180"/>
        </w:tabs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>Ministrstvo za zunanje in evropske zadeve,</w:t>
      </w:r>
    </w:p>
    <w:p w14:paraId="2C245F99" w14:textId="77777777" w:rsidR="00C300CF" w:rsidRDefault="00C300CF" w:rsidP="00C300CF">
      <w:pPr>
        <w:numPr>
          <w:ilvl w:val="0"/>
          <w:numId w:val="32"/>
        </w:numPr>
        <w:tabs>
          <w:tab w:val="left" w:pos="180"/>
        </w:tabs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snapToGrid w:val="0"/>
          <w:sz w:val="20"/>
        </w:rPr>
        <w:t>Služba Vlade Republike Slovenije za zakonodajo,</w:t>
      </w:r>
    </w:p>
    <w:p w14:paraId="29037F79" w14:textId="0A74330C" w:rsidR="00B050EF" w:rsidRDefault="00C300CF" w:rsidP="00C300CF">
      <w:pPr>
        <w:numPr>
          <w:ilvl w:val="0"/>
          <w:numId w:val="32"/>
        </w:numPr>
        <w:tabs>
          <w:tab w:val="left" w:pos="180"/>
        </w:tabs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 w:val="20"/>
        </w:rPr>
      </w:pPr>
      <w:r w:rsidRPr="00C300CF">
        <w:rPr>
          <w:rFonts w:ascii="Arial" w:hAnsi="Arial" w:cs="Arial"/>
          <w:snapToGrid w:val="0"/>
          <w:sz w:val="20"/>
        </w:rPr>
        <w:t>Urad Vlade Republike Slovenije za komuniciranje.</w:t>
      </w:r>
    </w:p>
    <w:p w14:paraId="26D70B42" w14:textId="22D7A9C9" w:rsidR="00C300CF" w:rsidRDefault="00C300CF" w:rsidP="00C300CF">
      <w:pPr>
        <w:tabs>
          <w:tab w:val="left" w:pos="180"/>
        </w:tabs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 w:val="20"/>
        </w:rPr>
      </w:pPr>
    </w:p>
    <w:p w14:paraId="46995072" w14:textId="02B009BF" w:rsidR="00C300CF" w:rsidRDefault="00C300C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br w:type="page"/>
      </w:r>
    </w:p>
    <w:p w14:paraId="6AF03681" w14:textId="6677DC9A" w:rsidR="00AC2C03" w:rsidRPr="00B050EF" w:rsidRDefault="00AC2C03" w:rsidP="00B050EF">
      <w:pPr>
        <w:tabs>
          <w:tab w:val="left" w:pos="180"/>
        </w:tabs>
        <w:overflowPunct/>
        <w:autoSpaceDE/>
        <w:autoSpaceDN/>
        <w:adjustRightInd/>
        <w:jc w:val="right"/>
        <w:textAlignment w:val="auto"/>
        <w:rPr>
          <w:rFonts w:ascii="Arial" w:hAnsi="Arial" w:cs="Arial"/>
          <w:snapToGrid w:val="0"/>
          <w:sz w:val="20"/>
        </w:rPr>
      </w:pPr>
      <w:r w:rsidRPr="00B050EF">
        <w:rPr>
          <w:rFonts w:ascii="Arial" w:hAnsi="Arial" w:cs="Arial"/>
          <w:b/>
          <w:sz w:val="20"/>
        </w:rPr>
        <w:t>PRILOGA 2</w:t>
      </w:r>
    </w:p>
    <w:p w14:paraId="55B3BEF0" w14:textId="77777777" w:rsidR="00FD02F0" w:rsidRDefault="00FD02F0" w:rsidP="00FD02F0">
      <w:pPr>
        <w:jc w:val="center"/>
        <w:rPr>
          <w:rFonts w:ascii="Arial" w:hAnsi="Arial" w:cs="Arial"/>
          <w:b/>
          <w:sz w:val="20"/>
        </w:rPr>
      </w:pPr>
    </w:p>
    <w:p w14:paraId="1C67D76B" w14:textId="6C2932DF" w:rsidR="007A29EC" w:rsidRPr="00401325" w:rsidRDefault="00D61042" w:rsidP="00FD02F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Informacija </w:t>
      </w:r>
      <w:r w:rsidR="00C023B1" w:rsidRPr="00C023B1">
        <w:rPr>
          <w:rFonts w:ascii="Arial" w:hAnsi="Arial" w:cs="Arial"/>
          <w:b/>
          <w:sz w:val="20"/>
        </w:rPr>
        <w:t>o udeležbi delegacije Republike Slovenije na letnem zasedanju Sveta guvernerjev Evropske banke za obnovo in razvoj (EBRD) od 13. – 15. maja 2025 v Londonu, Združeno kraljestvo</w:t>
      </w:r>
      <w:r w:rsidR="00603EFD" w:rsidRPr="00603EFD">
        <w:rPr>
          <w:rFonts w:ascii="Arial" w:hAnsi="Arial"/>
          <w:b/>
          <w:bCs/>
          <w:sz w:val="20"/>
          <w:szCs w:val="24"/>
          <w:lang w:eastAsia="sl-SI"/>
        </w:rPr>
        <w:t>.</w:t>
      </w:r>
    </w:p>
    <w:p w14:paraId="58AA7BE4" w14:textId="77777777" w:rsidR="00AE387A" w:rsidRPr="0031153A" w:rsidRDefault="00AE387A" w:rsidP="0031153A">
      <w:pPr>
        <w:rPr>
          <w:rFonts w:ascii="Arial" w:hAnsi="Arial" w:cs="Arial"/>
          <w:b/>
          <w:color w:val="000000"/>
          <w:sz w:val="20"/>
        </w:rPr>
      </w:pPr>
    </w:p>
    <w:p w14:paraId="3881B601" w14:textId="126E0F79" w:rsidR="00CC6D15" w:rsidRDefault="00CC6D15" w:rsidP="00CC6D15">
      <w:pPr>
        <w:tabs>
          <w:tab w:val="left" w:pos="-1276"/>
        </w:tabs>
        <w:overflowPunct/>
        <w:autoSpaceDE/>
        <w:autoSpaceDN/>
        <w:adjustRightInd/>
        <w:ind w:left="284"/>
        <w:textAlignment w:val="auto"/>
        <w:rPr>
          <w:rFonts w:ascii="Arial" w:hAnsi="Arial" w:cs="Arial"/>
          <w:b/>
          <w:sz w:val="20"/>
        </w:rPr>
      </w:pPr>
    </w:p>
    <w:p w14:paraId="06200201" w14:textId="13D8B038" w:rsidR="003E1316" w:rsidRDefault="003B3097" w:rsidP="00F761F9">
      <w:pPr>
        <w:shd w:val="clear" w:color="auto" w:fill="FFFFFF"/>
        <w:rPr>
          <w:rFonts w:ascii="Arial" w:hAnsi="Arial"/>
          <w:sz w:val="20"/>
          <w:szCs w:val="24"/>
          <w:lang w:eastAsia="sl-SI"/>
        </w:rPr>
      </w:pPr>
      <w:r>
        <w:rPr>
          <w:rFonts w:ascii="Arial" w:hAnsi="Arial"/>
          <w:sz w:val="20"/>
          <w:szCs w:val="24"/>
          <w:lang w:eastAsia="sl-SI"/>
        </w:rPr>
        <w:t>Delegacija Republike Slovenije pod vodstvom ministra za finance in guvernerja za Slovenijo v Evropski banki za obnovo in razvoj (EBRD</w:t>
      </w:r>
      <w:r w:rsidR="006D7485">
        <w:rPr>
          <w:rFonts w:ascii="Arial" w:hAnsi="Arial"/>
          <w:sz w:val="20"/>
          <w:szCs w:val="24"/>
          <w:lang w:eastAsia="sl-SI"/>
        </w:rPr>
        <w:t>, banka</w:t>
      </w:r>
      <w:r>
        <w:rPr>
          <w:rFonts w:ascii="Arial" w:hAnsi="Arial"/>
          <w:sz w:val="20"/>
          <w:szCs w:val="24"/>
          <w:lang w:eastAsia="sl-SI"/>
        </w:rPr>
        <w:t xml:space="preserve">) Klemna Boštjančiča se bo udeležila letnega zasedanja Sveta </w:t>
      </w:r>
      <w:r w:rsidRPr="007E2FB6">
        <w:rPr>
          <w:rFonts w:ascii="Arial" w:hAnsi="Arial"/>
          <w:sz w:val="20"/>
          <w:szCs w:val="24"/>
          <w:lang w:eastAsia="sl-SI"/>
        </w:rPr>
        <w:t xml:space="preserve">guvernerjev EBRD, </w:t>
      </w:r>
      <w:r w:rsidRPr="00E43D81">
        <w:rPr>
          <w:rFonts w:ascii="Arial" w:hAnsi="Arial"/>
          <w:sz w:val="20"/>
          <w:szCs w:val="24"/>
          <w:lang w:eastAsia="sl-SI"/>
        </w:rPr>
        <w:t xml:space="preserve">ki bo </w:t>
      </w:r>
      <w:r w:rsidR="00E43D81" w:rsidRPr="00E43D81">
        <w:rPr>
          <w:rFonts w:ascii="Arial" w:hAnsi="Arial"/>
          <w:sz w:val="20"/>
          <w:szCs w:val="24"/>
          <w:lang w:eastAsia="sl-SI"/>
        </w:rPr>
        <w:t>potekalo od 1</w:t>
      </w:r>
      <w:r w:rsidR="00FF58E1">
        <w:rPr>
          <w:rFonts w:ascii="Arial" w:hAnsi="Arial"/>
          <w:sz w:val="20"/>
          <w:szCs w:val="24"/>
          <w:lang w:eastAsia="sl-SI"/>
        </w:rPr>
        <w:t>3</w:t>
      </w:r>
      <w:r w:rsidR="00E43D81" w:rsidRPr="00E43D81">
        <w:rPr>
          <w:rFonts w:ascii="Arial" w:hAnsi="Arial"/>
          <w:sz w:val="20"/>
          <w:szCs w:val="24"/>
          <w:lang w:eastAsia="sl-SI"/>
        </w:rPr>
        <w:t xml:space="preserve">. </w:t>
      </w:r>
      <w:r w:rsidR="00D66F72">
        <w:rPr>
          <w:rFonts w:ascii="Arial" w:hAnsi="Arial"/>
          <w:sz w:val="20"/>
          <w:szCs w:val="24"/>
          <w:lang w:eastAsia="sl-SI"/>
        </w:rPr>
        <w:t>do</w:t>
      </w:r>
      <w:r w:rsidR="00D66F72" w:rsidRPr="00E43D81">
        <w:rPr>
          <w:rFonts w:ascii="Arial" w:hAnsi="Arial"/>
          <w:sz w:val="20"/>
          <w:szCs w:val="24"/>
          <w:lang w:eastAsia="sl-SI"/>
        </w:rPr>
        <w:t xml:space="preserve"> </w:t>
      </w:r>
      <w:r w:rsidR="00E43D81" w:rsidRPr="00E43D81">
        <w:rPr>
          <w:rFonts w:ascii="Arial" w:hAnsi="Arial"/>
          <w:sz w:val="20"/>
          <w:szCs w:val="24"/>
          <w:lang w:eastAsia="sl-SI"/>
        </w:rPr>
        <w:t>1</w:t>
      </w:r>
      <w:r w:rsidR="00FF58E1">
        <w:rPr>
          <w:rFonts w:ascii="Arial" w:hAnsi="Arial"/>
          <w:sz w:val="20"/>
          <w:szCs w:val="24"/>
          <w:lang w:eastAsia="sl-SI"/>
        </w:rPr>
        <w:t>5</w:t>
      </w:r>
      <w:r w:rsidR="00E43D81" w:rsidRPr="00E43D81">
        <w:rPr>
          <w:rFonts w:ascii="Arial" w:hAnsi="Arial"/>
          <w:sz w:val="20"/>
          <w:szCs w:val="24"/>
          <w:lang w:eastAsia="sl-SI"/>
        </w:rPr>
        <w:t>. 5. 202</w:t>
      </w:r>
      <w:r w:rsidR="00FF58E1">
        <w:rPr>
          <w:rFonts w:ascii="Arial" w:hAnsi="Arial"/>
          <w:sz w:val="20"/>
          <w:szCs w:val="24"/>
          <w:lang w:eastAsia="sl-SI"/>
        </w:rPr>
        <w:t xml:space="preserve">5 v Londonu, Združeno kraljestvo. </w:t>
      </w:r>
    </w:p>
    <w:p w14:paraId="48781072" w14:textId="77777777" w:rsidR="003E1316" w:rsidRDefault="003E1316" w:rsidP="00F761F9">
      <w:pPr>
        <w:shd w:val="clear" w:color="auto" w:fill="FFFFFF"/>
        <w:rPr>
          <w:rFonts w:ascii="Arial" w:hAnsi="Arial"/>
          <w:sz w:val="20"/>
          <w:szCs w:val="24"/>
          <w:lang w:eastAsia="sl-SI"/>
        </w:rPr>
      </w:pPr>
    </w:p>
    <w:p w14:paraId="08A53C96" w14:textId="510C10FC" w:rsidR="006A6A87" w:rsidRDefault="00E43D81" w:rsidP="004522EA">
      <w:pPr>
        <w:shd w:val="clear" w:color="auto" w:fill="FFFFFF"/>
        <w:rPr>
          <w:rFonts w:ascii="Arial" w:hAnsi="Arial"/>
          <w:sz w:val="20"/>
          <w:szCs w:val="24"/>
          <w:lang w:eastAsia="sl-SI"/>
        </w:rPr>
      </w:pPr>
      <w:r w:rsidRPr="004522EA">
        <w:rPr>
          <w:rFonts w:ascii="Arial" w:hAnsi="Arial"/>
          <w:sz w:val="20"/>
          <w:szCs w:val="24"/>
          <w:lang w:eastAsia="sl-SI"/>
        </w:rPr>
        <w:t xml:space="preserve">Osrednja tema letošnjega zasedanja je </w:t>
      </w:r>
      <w:r w:rsidR="004522EA" w:rsidRPr="004522EA">
        <w:rPr>
          <w:rFonts w:ascii="Arial" w:hAnsi="Arial"/>
          <w:b/>
          <w:bCs/>
          <w:sz w:val="20"/>
          <w:szCs w:val="24"/>
          <w:lang w:eastAsia="sl-SI"/>
        </w:rPr>
        <w:t>Expanding Horizons, Enduring Strengths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</w:t>
      </w:r>
      <w:r w:rsidRPr="004522EA">
        <w:rPr>
          <w:rFonts w:ascii="Arial" w:hAnsi="Arial"/>
          <w:sz w:val="20"/>
          <w:szCs w:val="24"/>
          <w:lang w:eastAsia="sl-SI"/>
        </w:rPr>
        <w:t>(</w:t>
      </w:r>
      <w:r w:rsidR="004522EA" w:rsidRPr="004522EA">
        <w:rPr>
          <w:rFonts w:ascii="Arial" w:hAnsi="Arial"/>
          <w:sz w:val="20"/>
          <w:szCs w:val="24"/>
          <w:lang w:eastAsia="sl-SI"/>
        </w:rPr>
        <w:t>razširjanje obzorij, trajne prednosti</w:t>
      </w:r>
      <w:r w:rsidRPr="004522EA">
        <w:rPr>
          <w:rFonts w:ascii="Arial" w:hAnsi="Arial"/>
          <w:sz w:val="20"/>
          <w:szCs w:val="24"/>
          <w:lang w:eastAsia="sl-SI"/>
        </w:rPr>
        <w:t xml:space="preserve">). </w:t>
      </w:r>
      <w:r w:rsidR="004522EA">
        <w:rPr>
          <w:rFonts w:ascii="Arial" w:hAnsi="Arial"/>
          <w:sz w:val="20"/>
          <w:szCs w:val="24"/>
          <w:lang w:eastAsia="sl-SI"/>
        </w:rPr>
        <w:t>EBRD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že vse od njene</w:t>
      </w:r>
      <w:r w:rsidR="004522EA">
        <w:rPr>
          <w:rFonts w:ascii="Arial" w:hAnsi="Arial"/>
          <w:sz w:val="20"/>
          <w:szCs w:val="24"/>
          <w:lang w:eastAsia="sl-SI"/>
        </w:rPr>
        <w:t xml:space="preserve"> ustanovitve leta 1991 razširja obzorja. Vstopa v nove geografske regije, 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se uči iz številnih kriz in uvaja nove produkte. Zaradi tega razvoja in notranjega preoblikovanja </w:t>
      </w:r>
      <w:r w:rsidR="004522EA">
        <w:rPr>
          <w:rFonts w:ascii="Arial" w:hAnsi="Arial"/>
          <w:sz w:val="20"/>
          <w:szCs w:val="24"/>
          <w:lang w:eastAsia="sl-SI"/>
        </w:rPr>
        <w:t>je banka postala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bolj agiln</w:t>
      </w:r>
      <w:r w:rsidR="004522EA">
        <w:rPr>
          <w:rFonts w:ascii="Arial" w:hAnsi="Arial"/>
          <w:sz w:val="20"/>
          <w:szCs w:val="24"/>
          <w:lang w:eastAsia="sl-SI"/>
        </w:rPr>
        <w:t>a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in se bolje odziva na spremembe </w:t>
      </w:r>
      <w:r w:rsidR="004522EA">
        <w:rPr>
          <w:rFonts w:ascii="Arial" w:hAnsi="Arial"/>
          <w:sz w:val="20"/>
          <w:szCs w:val="24"/>
          <w:lang w:eastAsia="sl-SI"/>
        </w:rPr>
        <w:t xml:space="preserve">v globalnem gospodarstvu in državah delovanja. </w:t>
      </w:r>
      <w:r w:rsidR="004522EA" w:rsidRPr="004522EA">
        <w:rPr>
          <w:rFonts w:ascii="Arial" w:hAnsi="Arial"/>
          <w:sz w:val="20"/>
          <w:szCs w:val="24"/>
          <w:lang w:eastAsia="sl-SI"/>
        </w:rPr>
        <w:t>Hkrati ostaja zavezan</w:t>
      </w:r>
      <w:r w:rsidR="004522EA">
        <w:rPr>
          <w:rFonts w:ascii="Arial" w:hAnsi="Arial"/>
          <w:sz w:val="20"/>
          <w:szCs w:val="24"/>
          <w:lang w:eastAsia="sl-SI"/>
        </w:rPr>
        <w:t>a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ciljem, ki </w:t>
      </w:r>
      <w:r w:rsidR="004522EA">
        <w:rPr>
          <w:rFonts w:ascii="Arial" w:hAnsi="Arial"/>
          <w:sz w:val="20"/>
          <w:szCs w:val="24"/>
          <w:lang w:eastAsia="sl-SI"/>
        </w:rPr>
        <w:t>si jih je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zastavil</w:t>
      </w:r>
      <w:r w:rsidR="004522EA">
        <w:rPr>
          <w:rFonts w:ascii="Arial" w:hAnsi="Arial"/>
          <w:sz w:val="20"/>
          <w:szCs w:val="24"/>
          <w:lang w:eastAsia="sl-SI"/>
        </w:rPr>
        <w:t>a</w:t>
      </w:r>
      <w:r w:rsidR="004522EA" w:rsidRPr="004522EA">
        <w:rPr>
          <w:rFonts w:ascii="Arial" w:hAnsi="Arial"/>
          <w:sz w:val="20"/>
          <w:szCs w:val="24"/>
          <w:lang w:eastAsia="sl-SI"/>
        </w:rPr>
        <w:t xml:space="preserve"> pred več kot tremi desetletji, vključno z gospodarsko tranzicijo, osredotočenostjo na zasebni sektor, trajnostjo in mobilizacijo zasebnega kapitala za naložbe v razvoj.</w:t>
      </w:r>
      <w:r w:rsidR="004522EA">
        <w:rPr>
          <w:rFonts w:ascii="Arial" w:hAnsi="Arial"/>
          <w:sz w:val="20"/>
          <w:szCs w:val="24"/>
          <w:lang w:eastAsia="sl-SI"/>
        </w:rPr>
        <w:t xml:space="preserve"> In o tem bo tekla razprava na forumih tokratnega letnega zasedanja.</w:t>
      </w:r>
    </w:p>
    <w:p w14:paraId="397EBE7A" w14:textId="77777777" w:rsidR="006A6A87" w:rsidRDefault="006A6A87" w:rsidP="00F761F9">
      <w:pPr>
        <w:shd w:val="clear" w:color="auto" w:fill="FFFFFF"/>
        <w:rPr>
          <w:rFonts w:ascii="Arial" w:hAnsi="Arial"/>
          <w:sz w:val="20"/>
          <w:szCs w:val="24"/>
          <w:lang w:eastAsia="sl-SI"/>
        </w:rPr>
      </w:pPr>
    </w:p>
    <w:p w14:paraId="3FCFE510" w14:textId="14A16825" w:rsidR="00504B1E" w:rsidRDefault="00504B1E" w:rsidP="008A0EDC">
      <w:pPr>
        <w:widowControl w:val="0"/>
        <w:tabs>
          <w:tab w:val="left" w:pos="567"/>
        </w:tabs>
        <w:spacing w:line="264" w:lineRule="auto"/>
        <w:rPr>
          <w:rFonts w:ascii="Arial" w:hAnsi="Arial"/>
          <w:sz w:val="20"/>
          <w:szCs w:val="24"/>
          <w:lang w:eastAsia="sl-SI"/>
        </w:rPr>
      </w:pPr>
      <w:r>
        <w:rPr>
          <w:rFonts w:ascii="Arial" w:hAnsi="Arial"/>
          <w:sz w:val="20"/>
          <w:szCs w:val="24"/>
          <w:lang w:eastAsia="sl-SI"/>
        </w:rPr>
        <w:t xml:space="preserve">Zasedanje </w:t>
      </w:r>
      <w:r w:rsidR="00AE1619">
        <w:rPr>
          <w:rFonts w:ascii="Arial" w:hAnsi="Arial"/>
          <w:sz w:val="20"/>
          <w:szCs w:val="24"/>
          <w:lang w:eastAsia="sl-SI"/>
        </w:rPr>
        <w:t xml:space="preserve">Sveta </w:t>
      </w:r>
      <w:r>
        <w:rPr>
          <w:rFonts w:ascii="Arial" w:hAnsi="Arial"/>
          <w:sz w:val="20"/>
          <w:szCs w:val="24"/>
          <w:lang w:eastAsia="sl-SI"/>
        </w:rPr>
        <w:t xml:space="preserve">guvernerjev </w:t>
      </w:r>
      <w:r w:rsidR="00AE1619">
        <w:rPr>
          <w:rFonts w:ascii="Arial" w:hAnsi="Arial"/>
          <w:sz w:val="20"/>
          <w:szCs w:val="24"/>
          <w:lang w:eastAsia="sl-SI"/>
        </w:rPr>
        <w:t xml:space="preserve">EBRD </w:t>
      </w:r>
      <w:r>
        <w:rPr>
          <w:rFonts w:ascii="Arial" w:hAnsi="Arial"/>
          <w:sz w:val="20"/>
          <w:szCs w:val="24"/>
          <w:lang w:eastAsia="sl-SI"/>
        </w:rPr>
        <w:t xml:space="preserve">bo </w:t>
      </w:r>
      <w:r w:rsidR="00AE1619">
        <w:rPr>
          <w:rFonts w:ascii="Arial" w:hAnsi="Arial"/>
          <w:sz w:val="20"/>
          <w:szCs w:val="24"/>
          <w:lang w:eastAsia="sl-SI"/>
        </w:rPr>
        <w:t xml:space="preserve">v vlogi predsedujočega svetu guvernerjev </w:t>
      </w:r>
      <w:r>
        <w:rPr>
          <w:rFonts w:ascii="Arial" w:hAnsi="Arial"/>
          <w:sz w:val="20"/>
          <w:szCs w:val="24"/>
          <w:lang w:eastAsia="sl-SI"/>
        </w:rPr>
        <w:t xml:space="preserve">vodil minister za finance Republike Slovenije, Klemen Boštjančič. Na to funkcijo je bil imenovan ob koncu letnega zasedanja 2024 in mu preneha ob koncu letnega zasedanja 2025, z imenovanjem novega predsedujočega za prihodnje enoletno obdobje. </w:t>
      </w:r>
    </w:p>
    <w:p w14:paraId="23897186" w14:textId="77777777" w:rsidR="00504B1E" w:rsidRDefault="00504B1E" w:rsidP="008A0EDC">
      <w:pPr>
        <w:widowControl w:val="0"/>
        <w:tabs>
          <w:tab w:val="left" w:pos="567"/>
        </w:tabs>
        <w:spacing w:line="264" w:lineRule="auto"/>
        <w:rPr>
          <w:rFonts w:ascii="Arial" w:hAnsi="Arial"/>
          <w:sz w:val="20"/>
          <w:szCs w:val="24"/>
          <w:lang w:eastAsia="sl-SI"/>
        </w:rPr>
      </w:pPr>
    </w:p>
    <w:p w14:paraId="5148C474" w14:textId="67A73BDD" w:rsidR="006244B4" w:rsidRDefault="00D2549A" w:rsidP="008A0EDC">
      <w:pPr>
        <w:widowControl w:val="0"/>
        <w:tabs>
          <w:tab w:val="left" w:pos="567"/>
        </w:tabs>
        <w:spacing w:line="264" w:lineRule="auto"/>
        <w:rPr>
          <w:rFonts w:ascii="Arial" w:hAnsi="Arial"/>
          <w:sz w:val="20"/>
          <w:szCs w:val="24"/>
          <w:lang w:eastAsia="sl-SI"/>
        </w:rPr>
      </w:pPr>
      <w:r>
        <w:rPr>
          <w:rFonts w:ascii="Arial" w:hAnsi="Arial"/>
          <w:sz w:val="20"/>
          <w:szCs w:val="24"/>
          <w:lang w:eastAsia="sl-SI"/>
        </w:rPr>
        <w:t xml:space="preserve">Glavna tema zasedanja </w:t>
      </w:r>
      <w:r w:rsidR="00255995">
        <w:rPr>
          <w:rFonts w:ascii="Arial" w:hAnsi="Arial"/>
          <w:sz w:val="20"/>
          <w:szCs w:val="24"/>
          <w:lang w:eastAsia="sl-SI"/>
        </w:rPr>
        <w:t xml:space="preserve">Sveta </w:t>
      </w:r>
      <w:r>
        <w:rPr>
          <w:rFonts w:ascii="Arial" w:hAnsi="Arial"/>
          <w:sz w:val="20"/>
          <w:szCs w:val="24"/>
          <w:lang w:eastAsia="sl-SI"/>
        </w:rPr>
        <w:t>guvernerjev</w:t>
      </w:r>
      <w:r w:rsidR="00255995" w:rsidRPr="00255995">
        <w:rPr>
          <w:rFonts w:ascii="Arial" w:hAnsi="Arial"/>
          <w:sz w:val="20"/>
          <w:szCs w:val="24"/>
          <w:lang w:eastAsia="sl-SI"/>
        </w:rPr>
        <w:t xml:space="preserve"> </w:t>
      </w:r>
      <w:r w:rsidR="00255995">
        <w:rPr>
          <w:rFonts w:ascii="Arial" w:hAnsi="Arial"/>
          <w:sz w:val="20"/>
          <w:szCs w:val="24"/>
          <w:lang w:eastAsia="sl-SI"/>
        </w:rPr>
        <w:t>EBRD</w:t>
      </w:r>
      <w:r>
        <w:rPr>
          <w:rFonts w:ascii="Arial" w:hAnsi="Arial"/>
          <w:sz w:val="20"/>
          <w:szCs w:val="24"/>
          <w:lang w:eastAsia="sl-SI"/>
        </w:rPr>
        <w:t xml:space="preserve"> bo okrogla miza o </w:t>
      </w:r>
      <w:r w:rsidR="006A6A87" w:rsidRPr="00C143D4">
        <w:rPr>
          <w:rFonts w:ascii="Arial" w:hAnsi="Arial"/>
          <w:b/>
          <w:bCs/>
          <w:sz w:val="20"/>
          <w:szCs w:val="24"/>
          <w:lang w:eastAsia="sl-SI"/>
        </w:rPr>
        <w:t>strateške</w:t>
      </w:r>
      <w:r w:rsidR="00F7129B">
        <w:rPr>
          <w:rFonts w:ascii="Arial" w:hAnsi="Arial"/>
          <w:b/>
          <w:bCs/>
          <w:sz w:val="20"/>
          <w:szCs w:val="24"/>
          <w:lang w:eastAsia="sl-SI"/>
        </w:rPr>
        <w:t>m</w:t>
      </w:r>
      <w:r w:rsidR="006A6A87" w:rsidRPr="00C143D4">
        <w:rPr>
          <w:rFonts w:ascii="Arial" w:hAnsi="Arial"/>
          <w:b/>
          <w:bCs/>
          <w:sz w:val="20"/>
          <w:szCs w:val="24"/>
          <w:lang w:eastAsia="sl-SI"/>
        </w:rPr>
        <w:t xml:space="preserve"> in kapitalske</w:t>
      </w:r>
      <w:r w:rsidR="00F7129B">
        <w:rPr>
          <w:rFonts w:ascii="Arial" w:hAnsi="Arial"/>
          <w:b/>
          <w:bCs/>
          <w:sz w:val="20"/>
          <w:szCs w:val="24"/>
          <w:lang w:eastAsia="sl-SI"/>
        </w:rPr>
        <w:t>m</w:t>
      </w:r>
      <w:r w:rsidR="006A6A87" w:rsidRPr="00C143D4">
        <w:rPr>
          <w:rFonts w:ascii="Arial" w:hAnsi="Arial"/>
          <w:b/>
          <w:bCs/>
          <w:sz w:val="20"/>
          <w:szCs w:val="24"/>
          <w:lang w:eastAsia="sl-SI"/>
        </w:rPr>
        <w:t xml:space="preserve"> okvir</w:t>
      </w:r>
      <w:r w:rsidR="00F7129B">
        <w:rPr>
          <w:rFonts w:ascii="Arial" w:hAnsi="Arial"/>
          <w:b/>
          <w:bCs/>
          <w:sz w:val="20"/>
          <w:szCs w:val="24"/>
          <w:lang w:eastAsia="sl-SI"/>
        </w:rPr>
        <w:t>u</w:t>
      </w:r>
      <w:r w:rsidR="006A6A87" w:rsidRPr="00C143D4">
        <w:rPr>
          <w:rFonts w:ascii="Arial" w:hAnsi="Arial"/>
          <w:b/>
          <w:bCs/>
          <w:sz w:val="20"/>
          <w:szCs w:val="24"/>
          <w:lang w:eastAsia="sl-SI"/>
        </w:rPr>
        <w:t xml:space="preserve"> (S</w:t>
      </w:r>
      <w:r w:rsidR="006A6A87" w:rsidRPr="00C143D4">
        <w:rPr>
          <w:rFonts w:ascii="Arial" w:hAnsi="Arial" w:cs="Arial"/>
          <w:b/>
          <w:bCs/>
          <w:sz w:val="20"/>
        </w:rPr>
        <w:t>trategic and Capital Framework, SCF)</w:t>
      </w:r>
      <w:r w:rsidR="006A6A8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za obdobje 2026 – 2030 in njegov sprejem.</w:t>
      </w:r>
      <w:r w:rsidR="00796EFB">
        <w:rPr>
          <w:rFonts w:ascii="Arial" w:hAnsi="Arial"/>
          <w:sz w:val="20"/>
          <w:szCs w:val="24"/>
          <w:lang w:eastAsia="sl-SI"/>
        </w:rPr>
        <w:t xml:space="preserve"> Na letnem zasedanju 2024 je </w:t>
      </w:r>
      <w:r w:rsidR="00255995">
        <w:rPr>
          <w:rFonts w:ascii="Arial" w:hAnsi="Arial"/>
          <w:sz w:val="20"/>
          <w:szCs w:val="24"/>
          <w:lang w:eastAsia="sl-SI"/>
        </w:rPr>
        <w:t xml:space="preserve">Svet </w:t>
      </w:r>
      <w:r w:rsidR="00796EFB">
        <w:rPr>
          <w:rFonts w:ascii="Arial" w:hAnsi="Arial"/>
          <w:sz w:val="20"/>
          <w:szCs w:val="24"/>
          <w:lang w:eastAsia="sl-SI"/>
        </w:rPr>
        <w:t xml:space="preserve">guvernerjev </w:t>
      </w:r>
      <w:r w:rsidR="00255995">
        <w:rPr>
          <w:rFonts w:ascii="Arial" w:hAnsi="Arial"/>
          <w:sz w:val="20"/>
          <w:szCs w:val="24"/>
          <w:lang w:eastAsia="sl-SI"/>
        </w:rPr>
        <w:t xml:space="preserve">EBRD </w:t>
      </w:r>
      <w:r w:rsidR="00796EFB">
        <w:rPr>
          <w:rFonts w:ascii="Arial" w:hAnsi="Arial"/>
          <w:sz w:val="20"/>
          <w:szCs w:val="24"/>
          <w:lang w:eastAsia="sl-SI"/>
        </w:rPr>
        <w:t xml:space="preserve">razpravljal o veljavnem SCF in vodstvu banke dal usmeritve za pripravo novega SCF, ki bo stopil v veljavo z letom 2026. </w:t>
      </w:r>
    </w:p>
    <w:p w14:paraId="4FAED08C" w14:textId="77777777" w:rsidR="002D5DB8" w:rsidRDefault="002D5DB8" w:rsidP="008A0EDC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</w:p>
    <w:p w14:paraId="32B822CB" w14:textId="3839757F" w:rsidR="006244B4" w:rsidRPr="003B1730" w:rsidRDefault="00E46321" w:rsidP="008A0EDC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>
        <w:rPr>
          <w:rFonts w:ascii="Arial" w:hAnsi="Arial"/>
          <w:sz w:val="20"/>
          <w:szCs w:val="24"/>
          <w:lang w:eastAsia="sl-SI"/>
        </w:rPr>
        <w:t>V času priprave informacije končno gradivo za razpravo guvernerjev še ni bilo na voljo</w:t>
      </w:r>
      <w:r w:rsidRPr="003B1730">
        <w:rPr>
          <w:rFonts w:ascii="Arial" w:hAnsi="Arial"/>
          <w:sz w:val="20"/>
          <w:szCs w:val="24"/>
          <w:lang w:eastAsia="sl-SI"/>
        </w:rPr>
        <w:t>, iz</w:t>
      </w:r>
      <w:r w:rsidR="002A2A2E" w:rsidRPr="003B1730">
        <w:rPr>
          <w:rFonts w:ascii="Arial" w:hAnsi="Arial" w:cs="Arial"/>
          <w:sz w:val="20"/>
          <w:lang w:eastAsia="sl-SI"/>
        </w:rPr>
        <w:t xml:space="preserve"> osnutka gradiva </w:t>
      </w:r>
      <w:r w:rsidRPr="003B1730">
        <w:rPr>
          <w:rFonts w:ascii="Arial" w:hAnsi="Arial" w:cs="Arial"/>
          <w:sz w:val="20"/>
          <w:lang w:eastAsia="sl-SI"/>
        </w:rPr>
        <w:t xml:space="preserve">pa </w:t>
      </w:r>
      <w:r w:rsidR="002A2A2E" w:rsidRPr="003B1730">
        <w:rPr>
          <w:rFonts w:ascii="Arial" w:hAnsi="Arial" w:cs="Arial"/>
          <w:sz w:val="20"/>
          <w:lang w:eastAsia="sl-SI"/>
        </w:rPr>
        <w:t>izhaja, da se bo banka v prihodnjem obdobju osredotočila na tri strateške teme</w:t>
      </w:r>
      <w:r w:rsidR="00147560" w:rsidRPr="003B1730">
        <w:rPr>
          <w:rFonts w:ascii="Arial" w:hAnsi="Arial" w:cs="Arial"/>
          <w:sz w:val="20"/>
          <w:lang w:eastAsia="sl-SI"/>
        </w:rPr>
        <w:t xml:space="preserve"> in se pri tem trudila za čim večji učinek njenega delovanja, in sicer</w:t>
      </w:r>
      <w:r w:rsidR="002A2A2E" w:rsidRPr="003B1730">
        <w:rPr>
          <w:rFonts w:ascii="Arial" w:hAnsi="Arial" w:cs="Arial"/>
          <w:sz w:val="20"/>
          <w:lang w:eastAsia="sl-SI"/>
        </w:rPr>
        <w:t xml:space="preserve">: </w:t>
      </w:r>
    </w:p>
    <w:p w14:paraId="06A3BC3B" w14:textId="48B88A88" w:rsidR="006244B4" w:rsidRPr="003B1730" w:rsidRDefault="002A2A2E" w:rsidP="006244B4">
      <w:pPr>
        <w:pStyle w:val="Odstavekseznama"/>
        <w:widowControl w:val="0"/>
        <w:numPr>
          <w:ilvl w:val="0"/>
          <w:numId w:val="42"/>
        </w:numPr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b/>
          <w:bCs/>
          <w:sz w:val="20"/>
          <w:lang w:eastAsia="sl-SI"/>
        </w:rPr>
        <w:t>prehod na zeleno gospodarstvo</w:t>
      </w:r>
      <w:r w:rsidR="00147560" w:rsidRPr="003B1730">
        <w:rPr>
          <w:rFonts w:ascii="Arial" w:hAnsi="Arial" w:cs="Arial"/>
          <w:sz w:val="20"/>
          <w:lang w:eastAsia="sl-SI"/>
        </w:rPr>
        <w:t>, pri čemer se bo odzivala na potrebe in želje strank za podporo</w:t>
      </w:r>
      <w:r w:rsidR="006244B4" w:rsidRPr="003B1730">
        <w:rPr>
          <w:rFonts w:ascii="Arial" w:hAnsi="Arial" w:cs="Arial"/>
          <w:sz w:val="20"/>
          <w:lang w:eastAsia="sl-SI"/>
        </w:rPr>
        <w:t xml:space="preserve"> </w:t>
      </w:r>
      <w:r w:rsidR="00147560" w:rsidRPr="003B1730">
        <w:rPr>
          <w:rFonts w:ascii="Arial" w:hAnsi="Arial" w:cs="Arial"/>
          <w:sz w:val="20"/>
          <w:lang w:eastAsia="sl-SI"/>
        </w:rPr>
        <w:t>povečevanja klimatske odpornosti in zagotavljanja trajnostnega financiranja</w:t>
      </w:r>
      <w:r w:rsidRPr="003B1730">
        <w:rPr>
          <w:rFonts w:ascii="Arial" w:hAnsi="Arial" w:cs="Arial"/>
          <w:sz w:val="20"/>
          <w:lang w:eastAsia="sl-SI"/>
        </w:rPr>
        <w:t xml:space="preserve">; </w:t>
      </w:r>
    </w:p>
    <w:p w14:paraId="2D4A5833" w14:textId="0F5D5B43" w:rsidR="006244B4" w:rsidRPr="003B1730" w:rsidRDefault="002A2A2E" w:rsidP="006244B4">
      <w:pPr>
        <w:pStyle w:val="Odstavekseznama"/>
        <w:widowControl w:val="0"/>
        <w:numPr>
          <w:ilvl w:val="0"/>
          <w:numId w:val="42"/>
        </w:numPr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b/>
          <w:bCs/>
          <w:sz w:val="20"/>
          <w:lang w:eastAsia="sl-SI"/>
        </w:rPr>
        <w:t>boljše gospodarsko upravljanje</w:t>
      </w:r>
      <w:r w:rsidR="00147560" w:rsidRPr="003B1730">
        <w:rPr>
          <w:rFonts w:ascii="Arial" w:hAnsi="Arial" w:cs="Arial"/>
          <w:sz w:val="20"/>
          <w:lang w:eastAsia="sl-SI"/>
        </w:rPr>
        <w:t xml:space="preserve">, pri čemer bo poleg vzvodov, ki jih ima preko naložb, </w:t>
      </w:r>
      <w:r w:rsidR="006244B4" w:rsidRPr="003B1730">
        <w:rPr>
          <w:rFonts w:ascii="Arial" w:hAnsi="Arial" w:cs="Arial"/>
          <w:sz w:val="20"/>
          <w:lang w:eastAsia="sl-SI"/>
        </w:rPr>
        <w:t xml:space="preserve">zlasti v javnem sektorju, </w:t>
      </w:r>
      <w:r w:rsidR="00147560" w:rsidRPr="003B1730">
        <w:rPr>
          <w:rFonts w:ascii="Arial" w:hAnsi="Arial" w:cs="Arial"/>
          <w:sz w:val="20"/>
          <w:lang w:eastAsia="sl-SI"/>
        </w:rPr>
        <w:t xml:space="preserve">krepila tudi dialog z državami na področju </w:t>
      </w:r>
      <w:r w:rsidR="006244B4" w:rsidRPr="003B1730">
        <w:rPr>
          <w:rFonts w:ascii="Arial" w:hAnsi="Arial" w:cs="Arial"/>
          <w:sz w:val="20"/>
          <w:lang w:eastAsia="sl-SI"/>
        </w:rPr>
        <w:t xml:space="preserve">potrebnih </w:t>
      </w:r>
      <w:r w:rsidR="00147560" w:rsidRPr="003B1730">
        <w:rPr>
          <w:rFonts w:ascii="Arial" w:hAnsi="Arial" w:cs="Arial"/>
          <w:sz w:val="20"/>
          <w:lang w:eastAsia="sl-SI"/>
        </w:rPr>
        <w:t>reform in razvijala potrebna nova orodja politik</w:t>
      </w:r>
      <w:r w:rsidRPr="003B1730">
        <w:rPr>
          <w:rFonts w:ascii="Arial" w:hAnsi="Arial" w:cs="Arial"/>
          <w:sz w:val="20"/>
          <w:lang w:eastAsia="sl-SI"/>
        </w:rPr>
        <w:t xml:space="preserve">; </w:t>
      </w:r>
    </w:p>
    <w:p w14:paraId="3FAB71E8" w14:textId="11F2E6E0" w:rsidR="008A0EDC" w:rsidRPr="003B1730" w:rsidRDefault="002A2A2E" w:rsidP="006244B4">
      <w:pPr>
        <w:pStyle w:val="Odstavekseznama"/>
        <w:widowControl w:val="0"/>
        <w:numPr>
          <w:ilvl w:val="0"/>
          <w:numId w:val="42"/>
        </w:numPr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b/>
          <w:bCs/>
          <w:sz w:val="20"/>
          <w:lang w:eastAsia="sl-SI"/>
        </w:rPr>
        <w:t>krepitev človeškega kapitala in enak</w:t>
      </w:r>
      <w:r w:rsidR="003B1730" w:rsidRPr="003B1730">
        <w:rPr>
          <w:rFonts w:ascii="Arial" w:hAnsi="Arial" w:cs="Arial"/>
          <w:b/>
          <w:bCs/>
          <w:sz w:val="20"/>
          <w:lang w:eastAsia="sl-SI"/>
        </w:rPr>
        <w:t>ih</w:t>
      </w:r>
      <w:r w:rsidRPr="003B1730">
        <w:rPr>
          <w:rFonts w:ascii="Arial" w:hAnsi="Arial" w:cs="Arial"/>
          <w:b/>
          <w:bCs/>
          <w:sz w:val="20"/>
          <w:lang w:eastAsia="sl-SI"/>
        </w:rPr>
        <w:t xml:space="preserve"> možnosti za vse</w:t>
      </w:r>
      <w:r w:rsidR="00147560" w:rsidRPr="003B1730">
        <w:rPr>
          <w:rFonts w:ascii="Arial" w:hAnsi="Arial" w:cs="Arial"/>
          <w:sz w:val="20"/>
          <w:lang w:eastAsia="sl-SI"/>
        </w:rPr>
        <w:t>, pri čemer se bo</w:t>
      </w:r>
      <w:r w:rsidR="00147560" w:rsidRPr="003B1730">
        <w:rPr>
          <w:rFonts w:ascii="Arial" w:hAnsi="Arial" w:cs="Arial"/>
          <w:b/>
          <w:bCs/>
          <w:sz w:val="20"/>
          <w:lang w:eastAsia="sl-SI"/>
        </w:rPr>
        <w:t xml:space="preserve"> </w:t>
      </w:r>
      <w:r w:rsidR="00147560" w:rsidRPr="003B1730">
        <w:rPr>
          <w:rFonts w:ascii="Arial" w:hAnsi="Arial" w:cs="Arial"/>
          <w:sz w:val="20"/>
          <w:lang w:eastAsia="sl-SI"/>
        </w:rPr>
        <w:t>ustrezno prilagajala na potrebe svojih strank</w:t>
      </w:r>
      <w:r w:rsidR="00147560" w:rsidRPr="003B1730">
        <w:rPr>
          <w:rFonts w:ascii="Arial" w:hAnsi="Arial" w:cs="Arial"/>
          <w:sz w:val="20"/>
        </w:rPr>
        <w:t xml:space="preserve"> za podporo </w:t>
      </w:r>
      <w:r w:rsidR="00147560" w:rsidRPr="003B1730">
        <w:rPr>
          <w:rFonts w:ascii="Arial" w:hAnsi="Arial" w:cs="Arial"/>
          <w:sz w:val="20"/>
          <w:lang w:eastAsia="sl-SI"/>
        </w:rPr>
        <w:t>dejavnosti za izboljšanje dostopa do financiranja, storitev in zaposlovanja za vse.</w:t>
      </w:r>
    </w:p>
    <w:p w14:paraId="4E083E30" w14:textId="77777777" w:rsidR="002D5DB8" w:rsidRPr="003B1730" w:rsidRDefault="002D5DB8" w:rsidP="006244B4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</w:p>
    <w:p w14:paraId="632A5469" w14:textId="0B82CFD1" w:rsidR="006244B4" w:rsidRPr="003B1730" w:rsidRDefault="006244B4" w:rsidP="006244B4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sz w:val="20"/>
          <w:lang w:eastAsia="sl-SI"/>
        </w:rPr>
        <w:t xml:space="preserve">Prek strateških tem bo EBRD povečala </w:t>
      </w:r>
      <w:r w:rsidR="00CD02C4" w:rsidRPr="003B1730">
        <w:rPr>
          <w:rFonts w:ascii="Arial" w:hAnsi="Arial" w:cs="Arial"/>
          <w:sz w:val="20"/>
          <w:lang w:eastAsia="sl-SI"/>
        </w:rPr>
        <w:t xml:space="preserve">svoj </w:t>
      </w:r>
      <w:r w:rsidRPr="003B1730">
        <w:rPr>
          <w:rFonts w:ascii="Arial" w:hAnsi="Arial" w:cs="Arial"/>
          <w:sz w:val="20"/>
          <w:lang w:eastAsia="sl-SI"/>
        </w:rPr>
        <w:t xml:space="preserve">vpliv z višjimi stopnjami financiranja in razvojem novih priložnosti z nadaljnjim razvojem dveh strateških dejavnikov: </w:t>
      </w:r>
    </w:p>
    <w:p w14:paraId="28E6F663" w14:textId="346B3A6D" w:rsidR="006244B4" w:rsidRPr="003B1730" w:rsidRDefault="006244B4" w:rsidP="006244B4">
      <w:pPr>
        <w:pStyle w:val="Odstavekseznama"/>
        <w:widowControl w:val="0"/>
        <w:numPr>
          <w:ilvl w:val="0"/>
          <w:numId w:val="43"/>
        </w:numPr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b/>
          <w:bCs/>
          <w:sz w:val="20"/>
          <w:lang w:eastAsia="sl-SI"/>
        </w:rPr>
        <w:t>razvoj in uporaba digitalne tehnologije</w:t>
      </w:r>
      <w:r w:rsidRPr="003B1730">
        <w:rPr>
          <w:rFonts w:ascii="Arial" w:hAnsi="Arial" w:cs="Arial"/>
          <w:sz w:val="20"/>
          <w:lang w:eastAsia="sl-SI"/>
        </w:rPr>
        <w:t xml:space="preserve"> s posebnim poudarkom na povečanju kapitalskih naložb, izboljšanju predpisov in krepitvi znanj ter podpori odpornosti z okrepljeno kibernetsko varnostjo</w:t>
      </w:r>
      <w:r w:rsidR="00CD02C4" w:rsidRPr="003B1730">
        <w:rPr>
          <w:rFonts w:ascii="Arial" w:hAnsi="Arial" w:cs="Arial"/>
          <w:sz w:val="20"/>
          <w:lang w:eastAsia="sl-SI"/>
        </w:rPr>
        <w:t>;</w:t>
      </w:r>
    </w:p>
    <w:p w14:paraId="73F814D4" w14:textId="0071F8BD" w:rsidR="006244B4" w:rsidRPr="003B1730" w:rsidRDefault="006244B4" w:rsidP="006244B4">
      <w:pPr>
        <w:pStyle w:val="Odstavekseznama"/>
        <w:widowControl w:val="0"/>
        <w:numPr>
          <w:ilvl w:val="0"/>
          <w:numId w:val="43"/>
        </w:numPr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b/>
          <w:bCs/>
          <w:sz w:val="20"/>
          <w:lang w:eastAsia="sl-SI"/>
        </w:rPr>
        <w:t>spodbujanje mobilizacije kapitala zasebnega sektorja</w:t>
      </w:r>
      <w:r w:rsidRPr="003B1730">
        <w:rPr>
          <w:rFonts w:ascii="Arial" w:hAnsi="Arial" w:cs="Arial"/>
          <w:sz w:val="20"/>
          <w:lang w:eastAsia="sl-SI"/>
        </w:rPr>
        <w:t xml:space="preserve"> neposredno in posredno z inovacijami na področju procesov in proizvodov, okrepljenimi spodbudami in večjimi ambicijami, da se določi spodnja meja za letne mobilizirane naložbe zasebnega sektorja v višini 5 milijard EUR.</w:t>
      </w:r>
    </w:p>
    <w:p w14:paraId="4476CBDC" w14:textId="77777777" w:rsidR="00397CBB" w:rsidRPr="003B1730" w:rsidRDefault="00397CBB" w:rsidP="00397CBB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</w:p>
    <w:p w14:paraId="3C906437" w14:textId="4A474316" w:rsidR="006244B4" w:rsidRPr="003B1730" w:rsidRDefault="00397CBB" w:rsidP="00397CBB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sz w:val="20"/>
          <w:lang w:eastAsia="sl-SI"/>
        </w:rPr>
      </w:pPr>
      <w:r w:rsidRPr="003B1730">
        <w:rPr>
          <w:rFonts w:ascii="Arial" w:hAnsi="Arial" w:cs="Arial"/>
          <w:sz w:val="20"/>
          <w:lang w:eastAsia="sl-SI"/>
        </w:rPr>
        <w:t xml:space="preserve">Banke ocenjuje, da lahko s svojim kapitalom vzdržuje podporo naložbam v višini približno 18 milijard EUR letno. V primeru višje dobičkonosnosti od pričakovane ali bistveno izboljšanega okolja tveganj pa bi se lahko vzdržna naložbena zmogljivost banke </w:t>
      </w:r>
      <w:r w:rsidR="00B764D1" w:rsidRPr="003B1730">
        <w:rPr>
          <w:rFonts w:ascii="Arial" w:hAnsi="Arial" w:cs="Arial"/>
          <w:sz w:val="20"/>
          <w:lang w:eastAsia="sl-SI"/>
        </w:rPr>
        <w:t>v prihodnjem petletnem obdobju</w:t>
      </w:r>
      <w:r w:rsidR="00CD02C4" w:rsidRPr="003B1730">
        <w:rPr>
          <w:rFonts w:ascii="Arial" w:hAnsi="Arial" w:cs="Arial"/>
          <w:sz w:val="20"/>
          <w:lang w:eastAsia="sl-SI"/>
        </w:rPr>
        <w:t xml:space="preserve"> povečala na 20 milijard EUR letno</w:t>
      </w:r>
      <w:r w:rsidRPr="003B1730">
        <w:rPr>
          <w:rFonts w:ascii="Arial" w:hAnsi="Arial" w:cs="Arial"/>
          <w:sz w:val="20"/>
          <w:lang w:eastAsia="sl-SI"/>
        </w:rPr>
        <w:t xml:space="preserve">. </w:t>
      </w:r>
    </w:p>
    <w:p w14:paraId="2F3DB251" w14:textId="77777777" w:rsidR="008A0EDC" w:rsidRPr="003B1730" w:rsidRDefault="008A0EDC" w:rsidP="008A0EDC">
      <w:pPr>
        <w:widowControl w:val="0"/>
        <w:tabs>
          <w:tab w:val="left" w:pos="567"/>
        </w:tabs>
        <w:spacing w:line="264" w:lineRule="auto"/>
        <w:rPr>
          <w:rFonts w:ascii="Arial" w:hAnsi="Arial" w:cs="Arial"/>
          <w:bCs/>
          <w:sz w:val="20"/>
        </w:rPr>
      </w:pPr>
    </w:p>
    <w:p w14:paraId="480DE1EE" w14:textId="60494989" w:rsidR="003E1316" w:rsidRPr="003B1730" w:rsidRDefault="003E1316" w:rsidP="00A14580">
      <w:pPr>
        <w:spacing w:line="276" w:lineRule="auto"/>
        <w:rPr>
          <w:rFonts w:ascii="Arial" w:hAnsi="Arial" w:cs="Arial"/>
          <w:bCs/>
          <w:sz w:val="20"/>
        </w:rPr>
      </w:pPr>
      <w:r w:rsidRPr="003B1730">
        <w:rPr>
          <w:rFonts w:ascii="Arial" w:hAnsi="Arial" w:cs="Arial"/>
          <w:bCs/>
          <w:sz w:val="20"/>
        </w:rPr>
        <w:t xml:space="preserve">V okviru institucionalnega dela se bo </w:t>
      </w:r>
      <w:r w:rsidR="004D1F57" w:rsidRPr="003B1730">
        <w:rPr>
          <w:rFonts w:ascii="Arial" w:hAnsi="Arial" w:cs="Arial"/>
          <w:bCs/>
          <w:sz w:val="20"/>
        </w:rPr>
        <w:t xml:space="preserve">Svet </w:t>
      </w:r>
      <w:r w:rsidRPr="003B1730">
        <w:rPr>
          <w:rFonts w:ascii="Arial" w:hAnsi="Arial" w:cs="Arial"/>
          <w:bCs/>
          <w:sz w:val="20"/>
        </w:rPr>
        <w:t>guvernerj</w:t>
      </w:r>
      <w:r w:rsidR="00A14580" w:rsidRPr="003B1730">
        <w:rPr>
          <w:rFonts w:ascii="Arial" w:hAnsi="Arial" w:cs="Arial"/>
          <w:bCs/>
          <w:sz w:val="20"/>
        </w:rPr>
        <w:t>ev</w:t>
      </w:r>
      <w:r w:rsidRPr="003B1730">
        <w:rPr>
          <w:rFonts w:ascii="Arial" w:hAnsi="Arial" w:cs="Arial"/>
          <w:bCs/>
          <w:sz w:val="20"/>
        </w:rPr>
        <w:t xml:space="preserve"> </w:t>
      </w:r>
      <w:r w:rsidR="004D1F57" w:rsidRPr="003B1730">
        <w:rPr>
          <w:rFonts w:ascii="Arial" w:hAnsi="Arial"/>
          <w:sz w:val="20"/>
          <w:szCs w:val="24"/>
          <w:lang w:eastAsia="sl-SI"/>
        </w:rPr>
        <w:t xml:space="preserve">EBRD </w:t>
      </w:r>
      <w:r w:rsidRPr="003B1730">
        <w:rPr>
          <w:rFonts w:ascii="Arial" w:hAnsi="Arial" w:cs="Arial"/>
          <w:bCs/>
          <w:sz w:val="20"/>
        </w:rPr>
        <w:t xml:space="preserve">seznanil z letnim in finančnim poročilom ter </w:t>
      </w:r>
      <w:r w:rsidR="00A14580" w:rsidRPr="003B1730">
        <w:rPr>
          <w:rFonts w:ascii="Arial" w:hAnsi="Arial" w:cs="Arial"/>
          <w:bCs/>
          <w:sz w:val="20"/>
        </w:rPr>
        <w:t>potrdil</w:t>
      </w:r>
      <w:r w:rsidRPr="003B1730">
        <w:rPr>
          <w:rFonts w:ascii="Arial" w:hAnsi="Arial" w:cs="Arial"/>
          <w:bCs/>
          <w:sz w:val="20"/>
        </w:rPr>
        <w:t xml:space="preserve"> finančne izkaze banke in njenih posebnih skladov za leto 2024. </w:t>
      </w:r>
      <w:r w:rsidR="00A14580" w:rsidRPr="003B1730">
        <w:rPr>
          <w:rFonts w:ascii="Arial" w:hAnsi="Arial" w:cs="Arial"/>
          <w:bCs/>
          <w:sz w:val="20"/>
        </w:rPr>
        <w:t xml:space="preserve">Svet guvernerjev </w:t>
      </w:r>
      <w:r w:rsidR="004D1F57" w:rsidRPr="003B1730">
        <w:rPr>
          <w:rFonts w:ascii="Arial" w:hAnsi="Arial"/>
          <w:sz w:val="20"/>
          <w:szCs w:val="24"/>
          <w:lang w:eastAsia="sl-SI"/>
        </w:rPr>
        <w:t xml:space="preserve">EBRD </w:t>
      </w:r>
      <w:r w:rsidR="00A14580" w:rsidRPr="003B1730">
        <w:rPr>
          <w:rFonts w:ascii="Arial" w:hAnsi="Arial" w:cs="Arial"/>
          <w:bCs/>
          <w:sz w:val="20"/>
        </w:rPr>
        <w:t xml:space="preserve">se bo seznanil </w:t>
      </w:r>
      <w:r w:rsidR="004D1F57" w:rsidRPr="003B1730">
        <w:rPr>
          <w:rFonts w:ascii="Arial" w:hAnsi="Arial" w:cs="Arial"/>
          <w:bCs/>
          <w:sz w:val="20"/>
        </w:rPr>
        <w:t xml:space="preserve">tudi </w:t>
      </w:r>
      <w:r w:rsidR="00A14580" w:rsidRPr="003B1730">
        <w:rPr>
          <w:rFonts w:ascii="Arial" w:hAnsi="Arial" w:cs="Arial"/>
          <w:bCs/>
          <w:sz w:val="20"/>
        </w:rPr>
        <w:t>s poročilom odbora za etiko in sprejel revidirani kodeks ravnanja za odbor direktorjev EBRD in revidirani kodeks ravnanja za osebje EBRD.</w:t>
      </w:r>
    </w:p>
    <w:p w14:paraId="6024FAB6" w14:textId="77777777" w:rsidR="003E1316" w:rsidRPr="003B1730" w:rsidRDefault="003E1316" w:rsidP="003E1316">
      <w:pPr>
        <w:spacing w:line="276" w:lineRule="auto"/>
        <w:rPr>
          <w:rFonts w:ascii="Arial" w:hAnsi="Arial" w:cs="Arial"/>
          <w:bCs/>
          <w:sz w:val="20"/>
        </w:rPr>
      </w:pPr>
    </w:p>
    <w:p w14:paraId="1D80F64A" w14:textId="19B3482F" w:rsidR="003E1316" w:rsidRPr="003B1730" w:rsidRDefault="003E1316" w:rsidP="003E1316">
      <w:pPr>
        <w:spacing w:line="276" w:lineRule="auto"/>
        <w:rPr>
          <w:rFonts w:ascii="Arial" w:hAnsi="Arial" w:cs="Arial"/>
          <w:bCs/>
          <w:sz w:val="20"/>
        </w:rPr>
      </w:pPr>
      <w:r w:rsidRPr="003B1730">
        <w:rPr>
          <w:rFonts w:ascii="Arial" w:hAnsi="Arial" w:cs="Arial"/>
          <w:bCs/>
          <w:sz w:val="20"/>
        </w:rPr>
        <w:t xml:space="preserve">Svet guvernerjev </w:t>
      </w:r>
      <w:r w:rsidR="004D1F57" w:rsidRPr="003B1730">
        <w:rPr>
          <w:rFonts w:ascii="Arial" w:hAnsi="Arial"/>
          <w:sz w:val="20"/>
          <w:szCs w:val="24"/>
          <w:lang w:eastAsia="sl-SI"/>
        </w:rPr>
        <w:t xml:space="preserve">EBRD </w:t>
      </w:r>
      <w:r w:rsidRPr="003B1730">
        <w:rPr>
          <w:rFonts w:ascii="Arial" w:hAnsi="Arial" w:cs="Arial"/>
          <w:bCs/>
          <w:sz w:val="20"/>
        </w:rPr>
        <w:t xml:space="preserve">se bo seznanil </w:t>
      </w:r>
      <w:r w:rsidR="004D1F57" w:rsidRPr="003B1730">
        <w:rPr>
          <w:rFonts w:ascii="Arial" w:hAnsi="Arial" w:cs="Arial"/>
          <w:bCs/>
          <w:sz w:val="20"/>
        </w:rPr>
        <w:t xml:space="preserve">še </w:t>
      </w:r>
      <w:r w:rsidRPr="003B1730">
        <w:rPr>
          <w:rFonts w:ascii="Arial" w:hAnsi="Arial" w:cs="Arial"/>
          <w:bCs/>
          <w:sz w:val="20"/>
        </w:rPr>
        <w:t>s poročili odbora direktorjev o</w:t>
      </w:r>
      <w:r w:rsidR="004D1F57" w:rsidRPr="003B1730">
        <w:rPr>
          <w:rFonts w:ascii="Arial" w:hAnsi="Arial" w:cs="Arial"/>
          <w:bCs/>
          <w:sz w:val="20"/>
        </w:rPr>
        <w:t>:</w:t>
      </w:r>
      <w:r w:rsidRPr="003B1730">
        <w:rPr>
          <w:rFonts w:ascii="Arial" w:hAnsi="Arial" w:cs="Arial"/>
          <w:bCs/>
          <w:sz w:val="20"/>
        </w:rPr>
        <w:t xml:space="preserve"> (i) Izvedbenem načrtu za obdobje 2025-2027 (Strategy Implementation Plan, SIP), ki predstavlja triletni izvedbeni načrt SCF</w:t>
      </w:r>
      <w:r w:rsidR="004D1F57" w:rsidRPr="003B1730">
        <w:rPr>
          <w:rFonts w:ascii="Arial" w:hAnsi="Arial" w:cs="Arial"/>
          <w:bCs/>
          <w:sz w:val="20"/>
        </w:rPr>
        <w:t xml:space="preserve">, </w:t>
      </w:r>
      <w:r w:rsidRPr="003B1730">
        <w:rPr>
          <w:rFonts w:ascii="Arial" w:hAnsi="Arial" w:cs="Arial"/>
          <w:bCs/>
          <w:sz w:val="20"/>
        </w:rPr>
        <w:t>(ii) izpolnjevanju obveznosti glede povečanja kapitala</w:t>
      </w:r>
      <w:r w:rsidR="004D1F57" w:rsidRPr="003B1730">
        <w:rPr>
          <w:rFonts w:ascii="Arial" w:hAnsi="Arial" w:cs="Arial"/>
          <w:bCs/>
          <w:sz w:val="20"/>
        </w:rPr>
        <w:t>,</w:t>
      </w:r>
      <w:r w:rsidRPr="003B1730">
        <w:rPr>
          <w:rFonts w:ascii="Arial" w:hAnsi="Arial" w:cs="Arial"/>
          <w:bCs/>
          <w:sz w:val="20"/>
        </w:rPr>
        <w:t xml:space="preserve"> (iii) spremembah pravil za volitve direktorjev in (iv) raznolikosti in vključevanju v odboru direktorjev EBRD.</w:t>
      </w:r>
    </w:p>
    <w:p w14:paraId="77753D56" w14:textId="77777777" w:rsidR="003E1316" w:rsidRPr="003B1730" w:rsidRDefault="003E1316" w:rsidP="003E1316">
      <w:pPr>
        <w:spacing w:line="276" w:lineRule="auto"/>
        <w:rPr>
          <w:rFonts w:ascii="Arial" w:hAnsi="Arial" w:cs="Arial"/>
          <w:bCs/>
          <w:sz w:val="20"/>
        </w:rPr>
      </w:pPr>
    </w:p>
    <w:p w14:paraId="6BAAF7A1" w14:textId="4DCA9E92" w:rsidR="003E1316" w:rsidRPr="003B1730" w:rsidRDefault="00B91915" w:rsidP="00A14580">
      <w:pPr>
        <w:spacing w:line="276" w:lineRule="auto"/>
        <w:rPr>
          <w:rFonts w:ascii="Arial" w:hAnsi="Arial" w:cs="Arial"/>
          <w:bCs/>
          <w:sz w:val="20"/>
        </w:rPr>
      </w:pPr>
      <w:r w:rsidRPr="003B1730">
        <w:rPr>
          <w:rFonts w:ascii="Arial" w:hAnsi="Arial" w:cs="Arial"/>
          <w:bCs/>
          <w:sz w:val="20"/>
        </w:rPr>
        <w:t xml:space="preserve">Svet guvernerjev </w:t>
      </w:r>
      <w:r w:rsidRPr="003B1730">
        <w:rPr>
          <w:rFonts w:ascii="Arial" w:hAnsi="Arial"/>
          <w:sz w:val="20"/>
          <w:szCs w:val="24"/>
          <w:lang w:eastAsia="sl-SI"/>
        </w:rPr>
        <w:t xml:space="preserve">EBRD bo </w:t>
      </w:r>
      <w:r w:rsidRPr="003B1730">
        <w:rPr>
          <w:rFonts w:ascii="Arial" w:hAnsi="Arial" w:cs="Arial"/>
          <w:bCs/>
          <w:sz w:val="20"/>
        </w:rPr>
        <w:t xml:space="preserve">odločal tudi o </w:t>
      </w:r>
      <w:r w:rsidR="009E779D" w:rsidRPr="003B1730">
        <w:rPr>
          <w:rFonts w:ascii="Arial" w:hAnsi="Arial" w:cs="Arial"/>
          <w:bCs/>
          <w:sz w:val="20"/>
        </w:rPr>
        <w:t>prošnj</w:t>
      </w:r>
      <w:r w:rsidRPr="003B1730">
        <w:rPr>
          <w:rFonts w:ascii="Arial" w:hAnsi="Arial" w:cs="Arial"/>
          <w:bCs/>
          <w:sz w:val="20"/>
        </w:rPr>
        <w:t>ah treh držav</w:t>
      </w:r>
      <w:r w:rsidR="009E779D" w:rsidRPr="003B1730">
        <w:rPr>
          <w:rFonts w:ascii="Arial" w:hAnsi="Arial" w:cs="Arial"/>
          <w:bCs/>
          <w:sz w:val="20"/>
        </w:rPr>
        <w:t xml:space="preserve"> </w:t>
      </w:r>
      <w:r w:rsidRPr="003B1730">
        <w:rPr>
          <w:rFonts w:ascii="Arial" w:hAnsi="Arial" w:cs="Arial"/>
          <w:bCs/>
          <w:sz w:val="20"/>
        </w:rPr>
        <w:t xml:space="preserve">podsaharske Afrike, ki so že članice EBRD (Benin, Slonokoščena obala in Nigerija), </w:t>
      </w:r>
      <w:r w:rsidR="009E779D" w:rsidRPr="003B1730">
        <w:rPr>
          <w:rFonts w:ascii="Arial" w:hAnsi="Arial" w:cs="Arial"/>
          <w:bCs/>
          <w:sz w:val="20"/>
        </w:rPr>
        <w:t xml:space="preserve">za odobritev statusa države delovanja EBRD. </w:t>
      </w:r>
      <w:r w:rsidR="00A14580" w:rsidRPr="003B1730">
        <w:rPr>
          <w:rFonts w:ascii="Arial" w:hAnsi="Arial" w:cs="Arial"/>
          <w:bCs/>
          <w:sz w:val="20"/>
        </w:rPr>
        <w:t xml:space="preserve">Hkrati bo </w:t>
      </w:r>
      <w:r w:rsidR="004D1F57" w:rsidRPr="003B1730">
        <w:rPr>
          <w:rFonts w:ascii="Arial" w:hAnsi="Arial" w:cs="Arial"/>
          <w:bCs/>
          <w:sz w:val="20"/>
        </w:rPr>
        <w:t xml:space="preserve">Svet </w:t>
      </w:r>
      <w:r w:rsidR="00A14580" w:rsidRPr="003B1730">
        <w:rPr>
          <w:rFonts w:ascii="Arial" w:hAnsi="Arial" w:cs="Arial"/>
          <w:bCs/>
          <w:sz w:val="20"/>
        </w:rPr>
        <w:t xml:space="preserve">guvernerjev </w:t>
      </w:r>
      <w:r w:rsidR="004D1F57" w:rsidRPr="003B1730">
        <w:rPr>
          <w:rFonts w:ascii="Arial" w:hAnsi="Arial"/>
          <w:sz w:val="20"/>
          <w:szCs w:val="24"/>
          <w:lang w:eastAsia="sl-SI"/>
        </w:rPr>
        <w:t xml:space="preserve">EBRD </w:t>
      </w:r>
      <w:r w:rsidR="00A14580" w:rsidRPr="003B1730">
        <w:rPr>
          <w:rFonts w:ascii="Arial" w:hAnsi="Arial" w:cs="Arial"/>
          <w:bCs/>
          <w:sz w:val="20"/>
        </w:rPr>
        <w:t xml:space="preserve">sprejel resolucijo, s katero se omogoči uporaba sredstev za </w:t>
      </w:r>
      <w:r w:rsidR="00457B15" w:rsidRPr="003B1730">
        <w:rPr>
          <w:rFonts w:ascii="Arial" w:hAnsi="Arial" w:cs="Arial"/>
          <w:bCs/>
          <w:sz w:val="20"/>
        </w:rPr>
        <w:t xml:space="preserve">delovanje banke v </w:t>
      </w:r>
      <w:r w:rsidR="00A14580" w:rsidRPr="003B1730">
        <w:rPr>
          <w:rFonts w:ascii="Arial" w:hAnsi="Arial" w:cs="Arial"/>
          <w:bCs/>
          <w:sz w:val="20"/>
        </w:rPr>
        <w:t>držav</w:t>
      </w:r>
      <w:r w:rsidR="00457B15" w:rsidRPr="003B1730">
        <w:rPr>
          <w:rFonts w:ascii="Arial" w:hAnsi="Arial" w:cs="Arial"/>
          <w:bCs/>
          <w:sz w:val="20"/>
        </w:rPr>
        <w:t>ah</w:t>
      </w:r>
      <w:r w:rsidR="00A14580" w:rsidRPr="003B1730">
        <w:rPr>
          <w:rFonts w:ascii="Arial" w:hAnsi="Arial" w:cs="Arial"/>
          <w:bCs/>
          <w:sz w:val="20"/>
        </w:rPr>
        <w:t xml:space="preserve"> članic</w:t>
      </w:r>
      <w:r w:rsidR="00457B15" w:rsidRPr="003B1730">
        <w:rPr>
          <w:rFonts w:ascii="Arial" w:hAnsi="Arial" w:cs="Arial"/>
          <w:bCs/>
          <w:sz w:val="20"/>
        </w:rPr>
        <w:t>ah iz</w:t>
      </w:r>
      <w:r w:rsidR="00A14580" w:rsidRPr="003B1730">
        <w:rPr>
          <w:rFonts w:ascii="Arial" w:hAnsi="Arial" w:cs="Arial"/>
          <w:bCs/>
          <w:sz w:val="20"/>
        </w:rPr>
        <w:t xml:space="preserve"> podsaharske Afrike in Irak</w:t>
      </w:r>
      <w:r w:rsidR="004D1F57" w:rsidRPr="003B1730">
        <w:rPr>
          <w:rFonts w:ascii="Arial" w:hAnsi="Arial" w:cs="Arial"/>
          <w:bCs/>
          <w:sz w:val="20"/>
        </w:rPr>
        <w:t>u</w:t>
      </w:r>
      <w:r w:rsidR="00A14580" w:rsidRPr="003B1730">
        <w:rPr>
          <w:rFonts w:ascii="Arial" w:hAnsi="Arial" w:cs="Arial"/>
          <w:bCs/>
          <w:sz w:val="20"/>
        </w:rPr>
        <w:t>, ki še nimajo statusa držav delovanja.</w:t>
      </w:r>
    </w:p>
    <w:p w14:paraId="74CF77EF" w14:textId="77777777" w:rsidR="008A0EDC" w:rsidRPr="003B1730" w:rsidRDefault="008A0EDC" w:rsidP="008A0EDC">
      <w:pPr>
        <w:spacing w:line="276" w:lineRule="auto"/>
        <w:rPr>
          <w:rFonts w:ascii="Arial" w:hAnsi="Arial" w:cs="Arial"/>
          <w:bCs/>
          <w:sz w:val="20"/>
        </w:rPr>
      </w:pPr>
    </w:p>
    <w:p w14:paraId="26DEFD30" w14:textId="77777777" w:rsidR="00485487" w:rsidRPr="003B1730" w:rsidRDefault="00485487" w:rsidP="00485487">
      <w:pPr>
        <w:shd w:val="clear" w:color="auto" w:fill="FFFFFF"/>
        <w:rPr>
          <w:rFonts w:ascii="Arial" w:hAnsi="Arial" w:cs="Arial"/>
          <w:bCs/>
          <w:sz w:val="20"/>
        </w:rPr>
      </w:pPr>
      <w:r w:rsidRPr="003B1730">
        <w:rPr>
          <w:rFonts w:ascii="Arial" w:hAnsi="Arial" w:cs="Arial"/>
          <w:bCs/>
          <w:sz w:val="20"/>
        </w:rPr>
        <w:t>Delegacijo Republike Slovenije bodo sestavljali:</w:t>
      </w:r>
    </w:p>
    <w:p w14:paraId="229B5E99" w14:textId="77777777" w:rsidR="006D7485" w:rsidRPr="003B1730" w:rsidRDefault="006D7485" w:rsidP="00485487">
      <w:pPr>
        <w:shd w:val="clear" w:color="auto" w:fill="FFFFFF"/>
        <w:rPr>
          <w:rFonts w:ascii="Arial" w:hAnsi="Arial" w:cs="Arial"/>
          <w:bCs/>
          <w:sz w:val="20"/>
        </w:rPr>
      </w:pPr>
    </w:p>
    <w:p w14:paraId="2802C2F8" w14:textId="1BB49C4D" w:rsidR="00485487" w:rsidRPr="003B1730" w:rsidRDefault="00485487" w:rsidP="006D7485">
      <w:pPr>
        <w:pStyle w:val="Odstavekseznama"/>
        <w:numPr>
          <w:ilvl w:val="0"/>
          <w:numId w:val="41"/>
        </w:numPr>
        <w:shd w:val="clear" w:color="auto" w:fill="FFFFFF"/>
        <w:rPr>
          <w:rFonts w:ascii="Arial" w:hAnsi="Arial" w:cs="Arial"/>
          <w:bCs/>
          <w:sz w:val="20"/>
        </w:rPr>
      </w:pPr>
      <w:r w:rsidRPr="003B1730">
        <w:rPr>
          <w:rFonts w:ascii="Arial" w:hAnsi="Arial" w:cs="Arial"/>
          <w:bCs/>
          <w:sz w:val="20"/>
        </w:rPr>
        <w:t>Klemen Boštjančič, minister za finance in guverner za Republiko Slovenijo v EBRD, vodja delegacije</w:t>
      </w:r>
      <w:r w:rsidR="004D1F57" w:rsidRPr="003B1730">
        <w:rPr>
          <w:rFonts w:ascii="Arial" w:hAnsi="Arial" w:cs="Arial"/>
          <w:bCs/>
          <w:sz w:val="20"/>
        </w:rPr>
        <w:t>;</w:t>
      </w:r>
    </w:p>
    <w:p w14:paraId="5BC4E52F" w14:textId="49ED7023" w:rsidR="00485487" w:rsidRPr="003B1730" w:rsidRDefault="00485487" w:rsidP="006D7485">
      <w:pPr>
        <w:pStyle w:val="Odstavekseznama"/>
        <w:numPr>
          <w:ilvl w:val="0"/>
          <w:numId w:val="41"/>
        </w:numPr>
        <w:shd w:val="clear" w:color="auto" w:fill="FFFFFF"/>
        <w:rPr>
          <w:rFonts w:ascii="Arial" w:hAnsi="Arial" w:cs="Arial"/>
          <w:bCs/>
          <w:sz w:val="20"/>
        </w:rPr>
      </w:pPr>
      <w:r w:rsidRPr="003B1730">
        <w:rPr>
          <w:rFonts w:ascii="Arial" w:hAnsi="Arial" w:cs="Arial"/>
          <w:bCs/>
          <w:sz w:val="20"/>
        </w:rPr>
        <w:t>Nikolina Prah, državna sekretarka na Ministrstvu za finance in namestnica guvernerja Republike Slovenije v EBRD, članica delegacije;</w:t>
      </w:r>
    </w:p>
    <w:p w14:paraId="00FC6073" w14:textId="77777777" w:rsidR="00C023B1" w:rsidRPr="003B1730" w:rsidRDefault="00485487" w:rsidP="006D7485">
      <w:pPr>
        <w:pStyle w:val="Odstavekseznama"/>
        <w:numPr>
          <w:ilvl w:val="0"/>
          <w:numId w:val="41"/>
        </w:numPr>
        <w:shd w:val="clear" w:color="auto" w:fill="FFFFFF"/>
        <w:rPr>
          <w:rFonts w:ascii="Arial" w:hAnsi="Arial"/>
          <w:i/>
          <w:iCs/>
          <w:sz w:val="20"/>
          <w:szCs w:val="24"/>
          <w:lang w:eastAsia="sl-SI"/>
        </w:rPr>
      </w:pPr>
      <w:r w:rsidRPr="003B1730">
        <w:rPr>
          <w:rFonts w:ascii="Arial" w:hAnsi="Arial" w:cs="Arial"/>
          <w:bCs/>
          <w:sz w:val="20"/>
        </w:rPr>
        <w:t xml:space="preserve">Tina Hojnik, </w:t>
      </w:r>
      <w:r w:rsidR="00241891" w:rsidRPr="003B1730">
        <w:rPr>
          <w:rFonts w:ascii="Arial" w:hAnsi="Arial" w:cs="Arial"/>
          <w:bCs/>
          <w:sz w:val="20"/>
        </w:rPr>
        <w:t xml:space="preserve">višja </w:t>
      </w:r>
      <w:r w:rsidRPr="003B1730">
        <w:rPr>
          <w:rFonts w:ascii="Arial" w:hAnsi="Arial" w:cs="Arial"/>
          <w:bCs/>
          <w:sz w:val="20"/>
        </w:rPr>
        <w:t>svetovalka v kabinetu ministra za finance, članica delegacije</w:t>
      </w:r>
      <w:r w:rsidR="00C023B1" w:rsidRPr="003B1730">
        <w:rPr>
          <w:rFonts w:ascii="Arial" w:hAnsi="Arial" w:cs="Arial"/>
          <w:bCs/>
          <w:sz w:val="20"/>
        </w:rPr>
        <w:t>;</w:t>
      </w:r>
    </w:p>
    <w:p w14:paraId="08CAC571" w14:textId="1FA3C999" w:rsidR="00485487" w:rsidRPr="006D7485" w:rsidRDefault="00C023B1" w:rsidP="006D7485">
      <w:pPr>
        <w:pStyle w:val="Odstavekseznama"/>
        <w:numPr>
          <w:ilvl w:val="0"/>
          <w:numId w:val="41"/>
        </w:numPr>
        <w:shd w:val="clear" w:color="auto" w:fill="FFFFFF"/>
        <w:rPr>
          <w:rFonts w:ascii="Arial" w:hAnsi="Arial"/>
          <w:i/>
          <w:iCs/>
          <w:sz w:val="20"/>
          <w:szCs w:val="24"/>
          <w:lang w:eastAsia="sl-SI"/>
        </w:rPr>
      </w:pPr>
      <w:r>
        <w:rPr>
          <w:rFonts w:ascii="Arial" w:hAnsi="Arial" w:cs="Arial"/>
          <w:bCs/>
          <w:sz w:val="20"/>
        </w:rPr>
        <w:t xml:space="preserve">Doroteja Dobovišek, višja </w:t>
      </w:r>
      <w:r w:rsidRPr="006D7485">
        <w:rPr>
          <w:rFonts w:ascii="Arial" w:hAnsi="Arial" w:cs="Arial"/>
          <w:bCs/>
          <w:sz w:val="20"/>
        </w:rPr>
        <w:t xml:space="preserve">svetovalka v </w:t>
      </w:r>
      <w:r w:rsidR="003D5148">
        <w:rPr>
          <w:rFonts w:ascii="Arial" w:hAnsi="Arial" w:cs="Arial"/>
          <w:bCs/>
          <w:sz w:val="20"/>
        </w:rPr>
        <w:t>Službi za odnose z javnostmi in protokol</w:t>
      </w:r>
      <w:r w:rsidRPr="006D7485">
        <w:rPr>
          <w:rFonts w:ascii="Arial" w:hAnsi="Arial" w:cs="Arial"/>
          <w:bCs/>
          <w:sz w:val="20"/>
        </w:rPr>
        <w:t>, članica delegacije</w:t>
      </w:r>
      <w:r w:rsidR="00485487" w:rsidRPr="006D7485">
        <w:rPr>
          <w:rFonts w:ascii="Arial" w:hAnsi="Arial" w:cs="Arial"/>
          <w:bCs/>
          <w:sz w:val="20"/>
        </w:rPr>
        <w:t>.</w:t>
      </w:r>
    </w:p>
    <w:sectPr w:rsidR="00485487" w:rsidRPr="006D7485" w:rsidSect="00AC2C03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ACA9" w14:textId="77777777" w:rsidR="000364C7" w:rsidRDefault="000364C7">
      <w:r>
        <w:separator/>
      </w:r>
    </w:p>
  </w:endnote>
  <w:endnote w:type="continuationSeparator" w:id="0">
    <w:p w14:paraId="170895E5" w14:textId="77777777" w:rsidR="000364C7" w:rsidRDefault="0003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920D" w14:textId="77777777" w:rsidR="007D2F52" w:rsidRPr="004D4380" w:rsidRDefault="007D2F52">
    <w:pPr>
      <w:pStyle w:val="Noga"/>
      <w:jc w:val="center"/>
      <w:rPr>
        <w:rFonts w:ascii="Arial" w:hAnsi="Arial" w:cs="Arial"/>
        <w:noProof/>
        <w:sz w:val="20"/>
        <w:szCs w:val="20"/>
      </w:rPr>
    </w:pPr>
    <w:r w:rsidRPr="004D4380">
      <w:rPr>
        <w:rFonts w:ascii="Arial" w:hAnsi="Arial" w:cs="Arial"/>
        <w:sz w:val="20"/>
        <w:szCs w:val="20"/>
      </w:rPr>
      <w:fldChar w:fldCharType="begin"/>
    </w:r>
    <w:r w:rsidRPr="004D4380">
      <w:rPr>
        <w:rFonts w:ascii="Arial" w:hAnsi="Arial" w:cs="Arial"/>
        <w:sz w:val="20"/>
        <w:szCs w:val="20"/>
      </w:rPr>
      <w:instrText xml:space="preserve"> PAGE   \* MERGEFORMAT </w:instrText>
    </w:r>
    <w:r w:rsidRPr="004D4380">
      <w:rPr>
        <w:rFonts w:ascii="Arial" w:hAnsi="Arial" w:cs="Arial"/>
        <w:sz w:val="20"/>
        <w:szCs w:val="20"/>
      </w:rPr>
      <w:fldChar w:fldCharType="separate"/>
    </w:r>
    <w:r w:rsidR="001002BE">
      <w:rPr>
        <w:rFonts w:ascii="Arial" w:hAnsi="Arial" w:cs="Arial"/>
        <w:noProof/>
        <w:sz w:val="20"/>
        <w:szCs w:val="20"/>
      </w:rPr>
      <w:t>7</w:t>
    </w:r>
    <w:r w:rsidRPr="004D438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01BE" w14:textId="77777777" w:rsidR="000364C7" w:rsidRDefault="000364C7">
      <w:r>
        <w:separator/>
      </w:r>
    </w:p>
  </w:footnote>
  <w:footnote w:type="continuationSeparator" w:id="0">
    <w:p w14:paraId="1224E484" w14:textId="77777777" w:rsidR="000364C7" w:rsidRDefault="0003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0AFD" w14:textId="77777777" w:rsidR="007D2F52" w:rsidRDefault="007D2F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8"/>
        <w:szCs w:val="1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03B904AB"/>
    <w:multiLevelType w:val="hybridMultilevel"/>
    <w:tmpl w:val="CEC01254"/>
    <w:lvl w:ilvl="0" w:tplc="9916631E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27A02"/>
    <w:multiLevelType w:val="hybridMultilevel"/>
    <w:tmpl w:val="06F081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666F"/>
    <w:multiLevelType w:val="multilevel"/>
    <w:tmpl w:val="09E852B0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4ECE"/>
    <w:multiLevelType w:val="hybridMultilevel"/>
    <w:tmpl w:val="DD3853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36D16"/>
    <w:multiLevelType w:val="multilevel"/>
    <w:tmpl w:val="48E4CE56"/>
    <w:lvl w:ilvl="0">
      <w:start w:val="1"/>
      <w:numFmt w:val="decimal"/>
      <w:pStyle w:val="Alineazatok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B5D799B"/>
    <w:multiLevelType w:val="hybridMultilevel"/>
    <w:tmpl w:val="C56EB36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40F1"/>
    <w:multiLevelType w:val="hybridMultilevel"/>
    <w:tmpl w:val="C91CD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9C5"/>
    <w:multiLevelType w:val="hybridMultilevel"/>
    <w:tmpl w:val="08A4C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C68D4"/>
    <w:multiLevelType w:val="multilevel"/>
    <w:tmpl w:val="B4D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D7B28"/>
    <w:multiLevelType w:val="hybridMultilevel"/>
    <w:tmpl w:val="22764B72"/>
    <w:lvl w:ilvl="0" w:tplc="3BD6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5143"/>
    <w:multiLevelType w:val="hybridMultilevel"/>
    <w:tmpl w:val="BAF842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A4884"/>
    <w:multiLevelType w:val="hybridMultilevel"/>
    <w:tmpl w:val="CDFCBB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F5764C"/>
    <w:multiLevelType w:val="hybridMultilevel"/>
    <w:tmpl w:val="59B29D74"/>
    <w:lvl w:ilvl="0" w:tplc="32066A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10D8"/>
    <w:multiLevelType w:val="hybridMultilevel"/>
    <w:tmpl w:val="CE6CAF1A"/>
    <w:lvl w:ilvl="0" w:tplc="EB526D6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B62D8C"/>
    <w:multiLevelType w:val="hybridMultilevel"/>
    <w:tmpl w:val="89226C6E"/>
    <w:lvl w:ilvl="0" w:tplc="5CA236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781FF2"/>
    <w:multiLevelType w:val="hybridMultilevel"/>
    <w:tmpl w:val="090EAB98"/>
    <w:lvl w:ilvl="0" w:tplc="D61C89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B4CA16"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0117CE6"/>
    <w:multiLevelType w:val="hybridMultilevel"/>
    <w:tmpl w:val="D3644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108F1"/>
    <w:multiLevelType w:val="hybridMultilevel"/>
    <w:tmpl w:val="8EE68C46"/>
    <w:lvl w:ilvl="0" w:tplc="63345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5183C"/>
    <w:multiLevelType w:val="hybridMultilevel"/>
    <w:tmpl w:val="FA22710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F025C"/>
    <w:multiLevelType w:val="hybridMultilevel"/>
    <w:tmpl w:val="4BE64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225CA"/>
    <w:multiLevelType w:val="hybridMultilevel"/>
    <w:tmpl w:val="22764B72"/>
    <w:lvl w:ilvl="0" w:tplc="3BD6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47B66"/>
    <w:multiLevelType w:val="hybridMultilevel"/>
    <w:tmpl w:val="C79C6A3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A130A"/>
    <w:multiLevelType w:val="hybridMultilevel"/>
    <w:tmpl w:val="76BEEC1E"/>
    <w:lvl w:ilvl="0" w:tplc="EB526D6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636EC4"/>
    <w:multiLevelType w:val="hybridMultilevel"/>
    <w:tmpl w:val="4BE64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47A05"/>
    <w:multiLevelType w:val="hybridMultilevel"/>
    <w:tmpl w:val="51A6B5C6"/>
    <w:lvl w:ilvl="0" w:tplc="FF48F37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D451B"/>
    <w:multiLevelType w:val="hybridMultilevel"/>
    <w:tmpl w:val="B8948272"/>
    <w:lvl w:ilvl="0" w:tplc="227C6B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B47E0"/>
    <w:multiLevelType w:val="hybridMultilevel"/>
    <w:tmpl w:val="5382193E"/>
    <w:lvl w:ilvl="0" w:tplc="48E865F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81B0F"/>
    <w:multiLevelType w:val="hybridMultilevel"/>
    <w:tmpl w:val="6B68D3E8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5967"/>
    <w:multiLevelType w:val="hybridMultilevel"/>
    <w:tmpl w:val="3D5A34D8"/>
    <w:lvl w:ilvl="0" w:tplc="D0E8F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4F19"/>
    <w:multiLevelType w:val="hybridMultilevel"/>
    <w:tmpl w:val="4C804B06"/>
    <w:lvl w:ilvl="0" w:tplc="EB526D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0317"/>
    <w:multiLevelType w:val="hybridMultilevel"/>
    <w:tmpl w:val="C3AC2A10"/>
    <w:lvl w:ilvl="0" w:tplc="EB526D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AD83C46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05CD7"/>
    <w:multiLevelType w:val="hybridMultilevel"/>
    <w:tmpl w:val="30D8355E"/>
    <w:lvl w:ilvl="0" w:tplc="8F240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12BF7"/>
    <w:multiLevelType w:val="hybridMultilevel"/>
    <w:tmpl w:val="89B8DD3C"/>
    <w:lvl w:ilvl="0" w:tplc="6CFC9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9B1ECA"/>
    <w:multiLevelType w:val="hybridMultilevel"/>
    <w:tmpl w:val="BA7A58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F30C0"/>
    <w:multiLevelType w:val="hybridMultilevel"/>
    <w:tmpl w:val="CA3C1F20"/>
    <w:lvl w:ilvl="0" w:tplc="56684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A32BE7"/>
    <w:multiLevelType w:val="hybridMultilevel"/>
    <w:tmpl w:val="0FF6B9D6"/>
    <w:lvl w:ilvl="0" w:tplc="63345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66BAD"/>
    <w:multiLevelType w:val="hybridMultilevel"/>
    <w:tmpl w:val="318E8A06"/>
    <w:lvl w:ilvl="0" w:tplc="4F12D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2544">
    <w:abstractNumId w:val="17"/>
  </w:num>
  <w:num w:numId="2" w16cid:durableId="350421331">
    <w:abstractNumId w:val="5"/>
  </w:num>
  <w:num w:numId="3" w16cid:durableId="1600485425">
    <w:abstractNumId w:val="32"/>
  </w:num>
  <w:num w:numId="4" w16cid:durableId="383022673">
    <w:abstractNumId w:val="13"/>
  </w:num>
  <w:num w:numId="5" w16cid:durableId="989361306">
    <w:abstractNumId w:val="3"/>
  </w:num>
  <w:num w:numId="6" w16cid:durableId="653873173">
    <w:abstractNumId w:val="30"/>
  </w:num>
  <w:num w:numId="7" w16cid:durableId="1798913152">
    <w:abstractNumId w:val="26"/>
  </w:num>
  <w:num w:numId="8" w16cid:durableId="719474111">
    <w:abstractNumId w:val="35"/>
  </w:num>
  <w:num w:numId="9" w16cid:durableId="649138922">
    <w:abstractNumId w:val="20"/>
  </w:num>
  <w:num w:numId="10" w16cid:durableId="1380858136">
    <w:abstractNumId w:val="19"/>
  </w:num>
  <w:num w:numId="11" w16cid:durableId="36056096">
    <w:abstractNumId w:val="15"/>
  </w:num>
  <w:num w:numId="12" w16cid:durableId="927346590">
    <w:abstractNumId w:val="18"/>
  </w:num>
  <w:num w:numId="13" w16cid:durableId="154225756">
    <w:abstractNumId w:val="42"/>
  </w:num>
  <w:num w:numId="14" w16cid:durableId="686370644">
    <w:abstractNumId w:val="33"/>
  </w:num>
  <w:num w:numId="15" w16cid:durableId="1321616975">
    <w:abstractNumId w:val="2"/>
  </w:num>
  <w:num w:numId="16" w16cid:durableId="266546799">
    <w:abstractNumId w:val="27"/>
  </w:num>
  <w:num w:numId="17" w16cid:durableId="398094633">
    <w:abstractNumId w:val="4"/>
  </w:num>
  <w:num w:numId="18" w16cid:durableId="2061855814">
    <w:abstractNumId w:val="36"/>
  </w:num>
  <w:num w:numId="19" w16cid:durableId="196936114">
    <w:abstractNumId w:val="21"/>
  </w:num>
  <w:num w:numId="20" w16cid:durableId="1633099665">
    <w:abstractNumId w:val="12"/>
  </w:num>
  <w:num w:numId="21" w16cid:durableId="549804281">
    <w:abstractNumId w:val="16"/>
  </w:num>
  <w:num w:numId="22" w16cid:durableId="1821311959">
    <w:abstractNumId w:val="23"/>
  </w:num>
  <w:num w:numId="23" w16cid:durableId="391081643">
    <w:abstractNumId w:val="22"/>
  </w:num>
  <w:num w:numId="24" w16cid:durableId="1368483132">
    <w:abstractNumId w:val="31"/>
  </w:num>
  <w:num w:numId="25" w16cid:durableId="1335647096">
    <w:abstractNumId w:val="10"/>
  </w:num>
  <w:num w:numId="26" w16cid:durableId="47339144">
    <w:abstractNumId w:val="25"/>
  </w:num>
  <w:num w:numId="27" w16cid:durableId="1806317757">
    <w:abstractNumId w:val="24"/>
  </w:num>
  <w:num w:numId="28" w16cid:durableId="2136672492">
    <w:abstractNumId w:val="9"/>
  </w:num>
  <w:num w:numId="29" w16cid:durableId="916983360">
    <w:abstractNumId w:val="39"/>
  </w:num>
  <w:num w:numId="30" w16cid:durableId="1779136942">
    <w:abstractNumId w:val="8"/>
  </w:num>
  <w:num w:numId="31" w16cid:durableId="1889100830">
    <w:abstractNumId w:val="0"/>
  </w:num>
  <w:num w:numId="32" w16cid:durableId="916600272">
    <w:abstractNumId w:val="40"/>
  </w:num>
  <w:num w:numId="33" w16cid:durableId="2007980362">
    <w:abstractNumId w:val="29"/>
  </w:num>
  <w:num w:numId="34" w16cid:durableId="934284107">
    <w:abstractNumId w:val="28"/>
  </w:num>
  <w:num w:numId="35" w16cid:durableId="1172136320">
    <w:abstractNumId w:val="7"/>
  </w:num>
  <w:num w:numId="36" w16cid:durableId="709375524">
    <w:abstractNumId w:val="37"/>
  </w:num>
  <w:num w:numId="37" w16cid:durableId="815339927">
    <w:abstractNumId w:val="6"/>
  </w:num>
  <w:num w:numId="38" w16cid:durableId="1798910235">
    <w:abstractNumId w:val="14"/>
  </w:num>
  <w:num w:numId="39" w16cid:durableId="1330911252">
    <w:abstractNumId w:val="34"/>
  </w:num>
  <w:num w:numId="40" w16cid:durableId="709112091">
    <w:abstractNumId w:val="11"/>
  </w:num>
  <w:num w:numId="41" w16cid:durableId="92748576">
    <w:abstractNumId w:val="41"/>
  </w:num>
  <w:num w:numId="42" w16cid:durableId="1208641971">
    <w:abstractNumId w:val="38"/>
  </w:num>
  <w:num w:numId="43" w16cid:durableId="159127986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51"/>
    <w:rsid w:val="0000286C"/>
    <w:rsid w:val="00006806"/>
    <w:rsid w:val="00012269"/>
    <w:rsid w:val="00013E94"/>
    <w:rsid w:val="000171E3"/>
    <w:rsid w:val="0001743D"/>
    <w:rsid w:val="00020CE9"/>
    <w:rsid w:val="00030284"/>
    <w:rsid w:val="00032D71"/>
    <w:rsid w:val="00034054"/>
    <w:rsid w:val="00035DD8"/>
    <w:rsid w:val="000364C7"/>
    <w:rsid w:val="0004047F"/>
    <w:rsid w:val="000438AF"/>
    <w:rsid w:val="00047456"/>
    <w:rsid w:val="00050C7E"/>
    <w:rsid w:val="000526F3"/>
    <w:rsid w:val="00057160"/>
    <w:rsid w:val="00060664"/>
    <w:rsid w:val="00061074"/>
    <w:rsid w:val="00063567"/>
    <w:rsid w:val="00064864"/>
    <w:rsid w:val="00067C7A"/>
    <w:rsid w:val="00072D21"/>
    <w:rsid w:val="00075197"/>
    <w:rsid w:val="0007624B"/>
    <w:rsid w:val="00077CA9"/>
    <w:rsid w:val="00080B00"/>
    <w:rsid w:val="00087926"/>
    <w:rsid w:val="00095593"/>
    <w:rsid w:val="000A1BA8"/>
    <w:rsid w:val="000A4E0C"/>
    <w:rsid w:val="000A669C"/>
    <w:rsid w:val="000A6FFA"/>
    <w:rsid w:val="000B01EA"/>
    <w:rsid w:val="000B2AA4"/>
    <w:rsid w:val="000B2D13"/>
    <w:rsid w:val="000B6F13"/>
    <w:rsid w:val="000B7FA4"/>
    <w:rsid w:val="000C1E22"/>
    <w:rsid w:val="000C2C00"/>
    <w:rsid w:val="000C3976"/>
    <w:rsid w:val="000C4CD4"/>
    <w:rsid w:val="000C6079"/>
    <w:rsid w:val="000D5D28"/>
    <w:rsid w:val="000D5DC5"/>
    <w:rsid w:val="000E14E4"/>
    <w:rsid w:val="000E4F9D"/>
    <w:rsid w:val="000F15CE"/>
    <w:rsid w:val="000F2FC9"/>
    <w:rsid w:val="000F44F6"/>
    <w:rsid w:val="000F6058"/>
    <w:rsid w:val="000F6C4F"/>
    <w:rsid w:val="001002BE"/>
    <w:rsid w:val="00100951"/>
    <w:rsid w:val="00104ADD"/>
    <w:rsid w:val="00105673"/>
    <w:rsid w:val="00107275"/>
    <w:rsid w:val="0011058D"/>
    <w:rsid w:val="001116C7"/>
    <w:rsid w:val="00111768"/>
    <w:rsid w:val="00111907"/>
    <w:rsid w:val="00113E5E"/>
    <w:rsid w:val="001146AD"/>
    <w:rsid w:val="00114B03"/>
    <w:rsid w:val="00116E42"/>
    <w:rsid w:val="001170EB"/>
    <w:rsid w:val="001205BD"/>
    <w:rsid w:val="001205D2"/>
    <w:rsid w:val="001217EB"/>
    <w:rsid w:val="00121E9D"/>
    <w:rsid w:val="001223FB"/>
    <w:rsid w:val="0012295F"/>
    <w:rsid w:val="00124036"/>
    <w:rsid w:val="00126263"/>
    <w:rsid w:val="00132767"/>
    <w:rsid w:val="001349E2"/>
    <w:rsid w:val="00136AD4"/>
    <w:rsid w:val="00137E42"/>
    <w:rsid w:val="00142B0A"/>
    <w:rsid w:val="00142E7F"/>
    <w:rsid w:val="00144EB1"/>
    <w:rsid w:val="00144F20"/>
    <w:rsid w:val="00146DC3"/>
    <w:rsid w:val="00147560"/>
    <w:rsid w:val="0015121A"/>
    <w:rsid w:val="00157FF8"/>
    <w:rsid w:val="001613A0"/>
    <w:rsid w:val="001617B5"/>
    <w:rsid w:val="001636BC"/>
    <w:rsid w:val="001702D4"/>
    <w:rsid w:val="00174770"/>
    <w:rsid w:val="00174AD0"/>
    <w:rsid w:val="00175557"/>
    <w:rsid w:val="00181068"/>
    <w:rsid w:val="001836D1"/>
    <w:rsid w:val="00184CD3"/>
    <w:rsid w:val="001928D5"/>
    <w:rsid w:val="0019466F"/>
    <w:rsid w:val="00194EC7"/>
    <w:rsid w:val="00196D5D"/>
    <w:rsid w:val="001976F7"/>
    <w:rsid w:val="001979E6"/>
    <w:rsid w:val="00197B9E"/>
    <w:rsid w:val="001A264B"/>
    <w:rsid w:val="001A4655"/>
    <w:rsid w:val="001A7E5A"/>
    <w:rsid w:val="001B1061"/>
    <w:rsid w:val="001B10E2"/>
    <w:rsid w:val="001B2F5A"/>
    <w:rsid w:val="001B6070"/>
    <w:rsid w:val="001B7969"/>
    <w:rsid w:val="001C0225"/>
    <w:rsid w:val="001C5D59"/>
    <w:rsid w:val="001C75C5"/>
    <w:rsid w:val="001D014C"/>
    <w:rsid w:val="001D27E9"/>
    <w:rsid w:val="001D3A31"/>
    <w:rsid w:val="001D5422"/>
    <w:rsid w:val="001D63FB"/>
    <w:rsid w:val="001D64FD"/>
    <w:rsid w:val="001D7CE7"/>
    <w:rsid w:val="001E0E41"/>
    <w:rsid w:val="001E12B2"/>
    <w:rsid w:val="001E256C"/>
    <w:rsid w:val="001E2EC1"/>
    <w:rsid w:val="001E3AD4"/>
    <w:rsid w:val="00205C77"/>
    <w:rsid w:val="00207910"/>
    <w:rsid w:val="0021142F"/>
    <w:rsid w:val="00212077"/>
    <w:rsid w:val="0021231A"/>
    <w:rsid w:val="002128D9"/>
    <w:rsid w:val="0021682B"/>
    <w:rsid w:val="00217465"/>
    <w:rsid w:val="00221FEA"/>
    <w:rsid w:val="00223742"/>
    <w:rsid w:val="00224DA5"/>
    <w:rsid w:val="0022664E"/>
    <w:rsid w:val="002270C6"/>
    <w:rsid w:val="00230459"/>
    <w:rsid w:val="0023089B"/>
    <w:rsid w:val="0023235A"/>
    <w:rsid w:val="00233821"/>
    <w:rsid w:val="0023397C"/>
    <w:rsid w:val="0023484F"/>
    <w:rsid w:val="0023612C"/>
    <w:rsid w:val="00240226"/>
    <w:rsid w:val="002405A3"/>
    <w:rsid w:val="00241891"/>
    <w:rsid w:val="00246E66"/>
    <w:rsid w:val="002515F3"/>
    <w:rsid w:val="002520AF"/>
    <w:rsid w:val="0025260B"/>
    <w:rsid w:val="00252969"/>
    <w:rsid w:val="00252E8D"/>
    <w:rsid w:val="00255995"/>
    <w:rsid w:val="0026083B"/>
    <w:rsid w:val="00264D17"/>
    <w:rsid w:val="002656E2"/>
    <w:rsid w:val="00271B41"/>
    <w:rsid w:val="00274685"/>
    <w:rsid w:val="00274F21"/>
    <w:rsid w:val="002768AB"/>
    <w:rsid w:val="00276A43"/>
    <w:rsid w:val="00281906"/>
    <w:rsid w:val="00282AFA"/>
    <w:rsid w:val="002902F0"/>
    <w:rsid w:val="00291E3E"/>
    <w:rsid w:val="00295CBA"/>
    <w:rsid w:val="002967EA"/>
    <w:rsid w:val="002A25E2"/>
    <w:rsid w:val="002A2A2E"/>
    <w:rsid w:val="002A49E7"/>
    <w:rsid w:val="002A7686"/>
    <w:rsid w:val="002B5519"/>
    <w:rsid w:val="002C4800"/>
    <w:rsid w:val="002C4AEF"/>
    <w:rsid w:val="002D3C86"/>
    <w:rsid w:val="002D5DB8"/>
    <w:rsid w:val="002D7294"/>
    <w:rsid w:val="002E05BF"/>
    <w:rsid w:val="002E08B7"/>
    <w:rsid w:val="002E1AD8"/>
    <w:rsid w:val="002E305A"/>
    <w:rsid w:val="002F0ECF"/>
    <w:rsid w:val="002F1693"/>
    <w:rsid w:val="002F30E9"/>
    <w:rsid w:val="002F56AF"/>
    <w:rsid w:val="003020B0"/>
    <w:rsid w:val="003059CC"/>
    <w:rsid w:val="003072F9"/>
    <w:rsid w:val="00307A8B"/>
    <w:rsid w:val="00310BA5"/>
    <w:rsid w:val="0031153A"/>
    <w:rsid w:val="00311BC2"/>
    <w:rsid w:val="00312BC2"/>
    <w:rsid w:val="0031482B"/>
    <w:rsid w:val="00317F85"/>
    <w:rsid w:val="0032262F"/>
    <w:rsid w:val="00322BC7"/>
    <w:rsid w:val="00324E80"/>
    <w:rsid w:val="00326DA4"/>
    <w:rsid w:val="00332A12"/>
    <w:rsid w:val="003365F0"/>
    <w:rsid w:val="00336990"/>
    <w:rsid w:val="00343DFC"/>
    <w:rsid w:val="003466F2"/>
    <w:rsid w:val="00352A76"/>
    <w:rsid w:val="00352FDC"/>
    <w:rsid w:val="00353650"/>
    <w:rsid w:val="00354A74"/>
    <w:rsid w:val="00357375"/>
    <w:rsid w:val="00357592"/>
    <w:rsid w:val="003602F4"/>
    <w:rsid w:val="0036252C"/>
    <w:rsid w:val="003657D4"/>
    <w:rsid w:val="0036627C"/>
    <w:rsid w:val="00366AC7"/>
    <w:rsid w:val="00367568"/>
    <w:rsid w:val="003722C2"/>
    <w:rsid w:val="003748FF"/>
    <w:rsid w:val="00375E59"/>
    <w:rsid w:val="003770AD"/>
    <w:rsid w:val="00380BCC"/>
    <w:rsid w:val="00382B1B"/>
    <w:rsid w:val="003928EF"/>
    <w:rsid w:val="00392E54"/>
    <w:rsid w:val="00395B8E"/>
    <w:rsid w:val="00397CBB"/>
    <w:rsid w:val="003A0B8A"/>
    <w:rsid w:val="003A1E85"/>
    <w:rsid w:val="003A2B1A"/>
    <w:rsid w:val="003A5A09"/>
    <w:rsid w:val="003B1730"/>
    <w:rsid w:val="003B3097"/>
    <w:rsid w:val="003B7296"/>
    <w:rsid w:val="003C022F"/>
    <w:rsid w:val="003C3099"/>
    <w:rsid w:val="003C39DB"/>
    <w:rsid w:val="003C46CF"/>
    <w:rsid w:val="003C50EB"/>
    <w:rsid w:val="003D2EC3"/>
    <w:rsid w:val="003D34B8"/>
    <w:rsid w:val="003D38B1"/>
    <w:rsid w:val="003D5148"/>
    <w:rsid w:val="003D6BFA"/>
    <w:rsid w:val="003E0C97"/>
    <w:rsid w:val="003E1146"/>
    <w:rsid w:val="003E1316"/>
    <w:rsid w:val="003E2370"/>
    <w:rsid w:val="003E6C0C"/>
    <w:rsid w:val="003F26D4"/>
    <w:rsid w:val="003F69DB"/>
    <w:rsid w:val="003F6A8F"/>
    <w:rsid w:val="004015AC"/>
    <w:rsid w:val="0040316B"/>
    <w:rsid w:val="0041740B"/>
    <w:rsid w:val="0041793E"/>
    <w:rsid w:val="00422D7F"/>
    <w:rsid w:val="00427FD8"/>
    <w:rsid w:val="00431213"/>
    <w:rsid w:val="00431551"/>
    <w:rsid w:val="00434B04"/>
    <w:rsid w:val="0043675F"/>
    <w:rsid w:val="00437113"/>
    <w:rsid w:val="00440642"/>
    <w:rsid w:val="00440C32"/>
    <w:rsid w:val="004429F0"/>
    <w:rsid w:val="00443380"/>
    <w:rsid w:val="004459CA"/>
    <w:rsid w:val="0044675F"/>
    <w:rsid w:val="0045115A"/>
    <w:rsid w:val="004522EA"/>
    <w:rsid w:val="0045298D"/>
    <w:rsid w:val="004533CF"/>
    <w:rsid w:val="00453C16"/>
    <w:rsid w:val="00457B15"/>
    <w:rsid w:val="004607FA"/>
    <w:rsid w:val="00461C7E"/>
    <w:rsid w:val="004626E8"/>
    <w:rsid w:val="0046610E"/>
    <w:rsid w:val="0046680E"/>
    <w:rsid w:val="004671EB"/>
    <w:rsid w:val="004730BC"/>
    <w:rsid w:val="0047665B"/>
    <w:rsid w:val="00482AC4"/>
    <w:rsid w:val="00485487"/>
    <w:rsid w:val="00485959"/>
    <w:rsid w:val="00487521"/>
    <w:rsid w:val="00490CE6"/>
    <w:rsid w:val="00493436"/>
    <w:rsid w:val="004960FB"/>
    <w:rsid w:val="004975D5"/>
    <w:rsid w:val="004A0676"/>
    <w:rsid w:val="004A52FA"/>
    <w:rsid w:val="004A5E3F"/>
    <w:rsid w:val="004B0DEF"/>
    <w:rsid w:val="004B1536"/>
    <w:rsid w:val="004B591E"/>
    <w:rsid w:val="004B61AE"/>
    <w:rsid w:val="004B61D8"/>
    <w:rsid w:val="004B7567"/>
    <w:rsid w:val="004C216A"/>
    <w:rsid w:val="004C6D2B"/>
    <w:rsid w:val="004D0BDD"/>
    <w:rsid w:val="004D1F57"/>
    <w:rsid w:val="004D2CCF"/>
    <w:rsid w:val="004D4380"/>
    <w:rsid w:val="004D76F1"/>
    <w:rsid w:val="004E0F62"/>
    <w:rsid w:val="004E3A8E"/>
    <w:rsid w:val="004E7278"/>
    <w:rsid w:val="004F416C"/>
    <w:rsid w:val="0050359A"/>
    <w:rsid w:val="00504B1E"/>
    <w:rsid w:val="00505D9A"/>
    <w:rsid w:val="00506B02"/>
    <w:rsid w:val="005071E9"/>
    <w:rsid w:val="005108F8"/>
    <w:rsid w:val="00510D60"/>
    <w:rsid w:val="00521C3C"/>
    <w:rsid w:val="00533507"/>
    <w:rsid w:val="00534456"/>
    <w:rsid w:val="00535D69"/>
    <w:rsid w:val="00535E33"/>
    <w:rsid w:val="0054407C"/>
    <w:rsid w:val="005450B1"/>
    <w:rsid w:val="0054545A"/>
    <w:rsid w:val="00546DCF"/>
    <w:rsid w:val="00552497"/>
    <w:rsid w:val="0055615C"/>
    <w:rsid w:val="005563FA"/>
    <w:rsid w:val="00557575"/>
    <w:rsid w:val="005575D1"/>
    <w:rsid w:val="005605AD"/>
    <w:rsid w:val="00564571"/>
    <w:rsid w:val="00566FF6"/>
    <w:rsid w:val="0057020D"/>
    <w:rsid w:val="00571F81"/>
    <w:rsid w:val="005726BD"/>
    <w:rsid w:val="00574E95"/>
    <w:rsid w:val="0057544C"/>
    <w:rsid w:val="00576E56"/>
    <w:rsid w:val="00584A15"/>
    <w:rsid w:val="0058540B"/>
    <w:rsid w:val="00587937"/>
    <w:rsid w:val="00587D05"/>
    <w:rsid w:val="00592735"/>
    <w:rsid w:val="005A2B65"/>
    <w:rsid w:val="005A5028"/>
    <w:rsid w:val="005A5571"/>
    <w:rsid w:val="005A6D03"/>
    <w:rsid w:val="005B01FF"/>
    <w:rsid w:val="005B1F27"/>
    <w:rsid w:val="005B56BE"/>
    <w:rsid w:val="005C0547"/>
    <w:rsid w:val="005C4D49"/>
    <w:rsid w:val="005C509A"/>
    <w:rsid w:val="005C56B3"/>
    <w:rsid w:val="005C5F89"/>
    <w:rsid w:val="005D1B58"/>
    <w:rsid w:val="005D2F2D"/>
    <w:rsid w:val="005D480A"/>
    <w:rsid w:val="005D4C21"/>
    <w:rsid w:val="005D65D1"/>
    <w:rsid w:val="005E25F2"/>
    <w:rsid w:val="005E2DA4"/>
    <w:rsid w:val="005F35DA"/>
    <w:rsid w:val="005F43FE"/>
    <w:rsid w:val="005F6A96"/>
    <w:rsid w:val="00602C16"/>
    <w:rsid w:val="00603EFD"/>
    <w:rsid w:val="00606565"/>
    <w:rsid w:val="0060716D"/>
    <w:rsid w:val="00613776"/>
    <w:rsid w:val="00613AA4"/>
    <w:rsid w:val="0061423F"/>
    <w:rsid w:val="006168D6"/>
    <w:rsid w:val="00617FF4"/>
    <w:rsid w:val="006229DA"/>
    <w:rsid w:val="006244B4"/>
    <w:rsid w:val="00624E56"/>
    <w:rsid w:val="0062612B"/>
    <w:rsid w:val="00631E54"/>
    <w:rsid w:val="006352D2"/>
    <w:rsid w:val="00642605"/>
    <w:rsid w:val="00642DB7"/>
    <w:rsid w:val="00642E69"/>
    <w:rsid w:val="00642F28"/>
    <w:rsid w:val="006514F2"/>
    <w:rsid w:val="00652CE6"/>
    <w:rsid w:val="0065367E"/>
    <w:rsid w:val="00655036"/>
    <w:rsid w:val="006563FD"/>
    <w:rsid w:val="00667FB7"/>
    <w:rsid w:val="006734D0"/>
    <w:rsid w:val="00673F57"/>
    <w:rsid w:val="00674825"/>
    <w:rsid w:val="00680AAE"/>
    <w:rsid w:val="006852B7"/>
    <w:rsid w:val="006857AD"/>
    <w:rsid w:val="0068700F"/>
    <w:rsid w:val="00694D92"/>
    <w:rsid w:val="00697EF2"/>
    <w:rsid w:val="006A1681"/>
    <w:rsid w:val="006A2B81"/>
    <w:rsid w:val="006A48EE"/>
    <w:rsid w:val="006A6A87"/>
    <w:rsid w:val="006B0A8C"/>
    <w:rsid w:val="006B1610"/>
    <w:rsid w:val="006B42D5"/>
    <w:rsid w:val="006C2791"/>
    <w:rsid w:val="006C45D7"/>
    <w:rsid w:val="006C6B82"/>
    <w:rsid w:val="006D4C2D"/>
    <w:rsid w:val="006D64EE"/>
    <w:rsid w:val="006D7485"/>
    <w:rsid w:val="006E0920"/>
    <w:rsid w:val="006E235D"/>
    <w:rsid w:val="006E33D2"/>
    <w:rsid w:val="006E5C2A"/>
    <w:rsid w:val="006F30DD"/>
    <w:rsid w:val="006F527E"/>
    <w:rsid w:val="006F7D75"/>
    <w:rsid w:val="00700456"/>
    <w:rsid w:val="00713BEB"/>
    <w:rsid w:val="007230EF"/>
    <w:rsid w:val="007301E1"/>
    <w:rsid w:val="0073023C"/>
    <w:rsid w:val="0073329F"/>
    <w:rsid w:val="007337BE"/>
    <w:rsid w:val="00733FFD"/>
    <w:rsid w:val="00736D2F"/>
    <w:rsid w:val="007413E5"/>
    <w:rsid w:val="00742FA0"/>
    <w:rsid w:val="00744ECA"/>
    <w:rsid w:val="00745E82"/>
    <w:rsid w:val="0074689A"/>
    <w:rsid w:val="00746FD8"/>
    <w:rsid w:val="00747CBB"/>
    <w:rsid w:val="00755A0A"/>
    <w:rsid w:val="0076557F"/>
    <w:rsid w:val="00767478"/>
    <w:rsid w:val="00771796"/>
    <w:rsid w:val="00775793"/>
    <w:rsid w:val="00776558"/>
    <w:rsid w:val="007800BF"/>
    <w:rsid w:val="00781C72"/>
    <w:rsid w:val="00786C96"/>
    <w:rsid w:val="00794E55"/>
    <w:rsid w:val="00796EFB"/>
    <w:rsid w:val="007A018F"/>
    <w:rsid w:val="007A0297"/>
    <w:rsid w:val="007A0949"/>
    <w:rsid w:val="007A09E9"/>
    <w:rsid w:val="007A223F"/>
    <w:rsid w:val="007A2563"/>
    <w:rsid w:val="007A29EC"/>
    <w:rsid w:val="007A589B"/>
    <w:rsid w:val="007A618B"/>
    <w:rsid w:val="007B261F"/>
    <w:rsid w:val="007B43ED"/>
    <w:rsid w:val="007C034E"/>
    <w:rsid w:val="007C069D"/>
    <w:rsid w:val="007C1784"/>
    <w:rsid w:val="007C3B40"/>
    <w:rsid w:val="007D2B49"/>
    <w:rsid w:val="007D2F52"/>
    <w:rsid w:val="007D4A9E"/>
    <w:rsid w:val="007D527E"/>
    <w:rsid w:val="007D5662"/>
    <w:rsid w:val="007D59C3"/>
    <w:rsid w:val="007E0F57"/>
    <w:rsid w:val="007E2FB6"/>
    <w:rsid w:val="007E3ED1"/>
    <w:rsid w:val="007E4038"/>
    <w:rsid w:val="007E54C3"/>
    <w:rsid w:val="007F0F40"/>
    <w:rsid w:val="007F2839"/>
    <w:rsid w:val="007F5AD9"/>
    <w:rsid w:val="007F6C4F"/>
    <w:rsid w:val="00804616"/>
    <w:rsid w:val="0081310D"/>
    <w:rsid w:val="0081313E"/>
    <w:rsid w:val="00813CBF"/>
    <w:rsid w:val="00822285"/>
    <w:rsid w:val="00827D04"/>
    <w:rsid w:val="00831686"/>
    <w:rsid w:val="00834F67"/>
    <w:rsid w:val="00835983"/>
    <w:rsid w:val="00843792"/>
    <w:rsid w:val="00843A74"/>
    <w:rsid w:val="00844B17"/>
    <w:rsid w:val="00845195"/>
    <w:rsid w:val="00845436"/>
    <w:rsid w:val="00845B55"/>
    <w:rsid w:val="00846100"/>
    <w:rsid w:val="00850EF7"/>
    <w:rsid w:val="00851A92"/>
    <w:rsid w:val="00854517"/>
    <w:rsid w:val="0085508A"/>
    <w:rsid w:val="008557E3"/>
    <w:rsid w:val="00856573"/>
    <w:rsid w:val="008631A6"/>
    <w:rsid w:val="008668E5"/>
    <w:rsid w:val="0086777C"/>
    <w:rsid w:val="00872FF6"/>
    <w:rsid w:val="00875185"/>
    <w:rsid w:val="00882966"/>
    <w:rsid w:val="00886605"/>
    <w:rsid w:val="00887099"/>
    <w:rsid w:val="00890D26"/>
    <w:rsid w:val="0089729C"/>
    <w:rsid w:val="008A002E"/>
    <w:rsid w:val="008A0EDC"/>
    <w:rsid w:val="008A1DBD"/>
    <w:rsid w:val="008A21FF"/>
    <w:rsid w:val="008A6181"/>
    <w:rsid w:val="008B482D"/>
    <w:rsid w:val="008B527C"/>
    <w:rsid w:val="008B65F6"/>
    <w:rsid w:val="008C0839"/>
    <w:rsid w:val="008C1689"/>
    <w:rsid w:val="008C20C7"/>
    <w:rsid w:val="008C465B"/>
    <w:rsid w:val="008C5021"/>
    <w:rsid w:val="008C779A"/>
    <w:rsid w:val="008D1044"/>
    <w:rsid w:val="008E4427"/>
    <w:rsid w:val="008E7DDC"/>
    <w:rsid w:val="008F2E66"/>
    <w:rsid w:val="008F5AD6"/>
    <w:rsid w:val="008F70F5"/>
    <w:rsid w:val="008F7334"/>
    <w:rsid w:val="00900D08"/>
    <w:rsid w:val="00901F9F"/>
    <w:rsid w:val="00902F32"/>
    <w:rsid w:val="00905C7C"/>
    <w:rsid w:val="009065A8"/>
    <w:rsid w:val="00910D50"/>
    <w:rsid w:val="00924020"/>
    <w:rsid w:val="009270A8"/>
    <w:rsid w:val="009274D0"/>
    <w:rsid w:val="009328BF"/>
    <w:rsid w:val="00932DE5"/>
    <w:rsid w:val="00934196"/>
    <w:rsid w:val="0094200B"/>
    <w:rsid w:val="00943A39"/>
    <w:rsid w:val="00943AFF"/>
    <w:rsid w:val="0094414D"/>
    <w:rsid w:val="009461FC"/>
    <w:rsid w:val="00947086"/>
    <w:rsid w:val="00950CCA"/>
    <w:rsid w:val="00953504"/>
    <w:rsid w:val="00962B23"/>
    <w:rsid w:val="009676DC"/>
    <w:rsid w:val="0097440A"/>
    <w:rsid w:val="00974CCC"/>
    <w:rsid w:val="00980C0A"/>
    <w:rsid w:val="0098294D"/>
    <w:rsid w:val="00984194"/>
    <w:rsid w:val="00984A84"/>
    <w:rsid w:val="009948DD"/>
    <w:rsid w:val="00996B80"/>
    <w:rsid w:val="00997ED9"/>
    <w:rsid w:val="009A374E"/>
    <w:rsid w:val="009A71DC"/>
    <w:rsid w:val="009A7F10"/>
    <w:rsid w:val="009B103C"/>
    <w:rsid w:val="009B5E82"/>
    <w:rsid w:val="009B62A0"/>
    <w:rsid w:val="009C06DD"/>
    <w:rsid w:val="009C4F17"/>
    <w:rsid w:val="009C5E99"/>
    <w:rsid w:val="009C7872"/>
    <w:rsid w:val="009D37E7"/>
    <w:rsid w:val="009E240B"/>
    <w:rsid w:val="009E779D"/>
    <w:rsid w:val="009F0915"/>
    <w:rsid w:val="009F0B51"/>
    <w:rsid w:val="009F4D48"/>
    <w:rsid w:val="009F58A5"/>
    <w:rsid w:val="009F7B86"/>
    <w:rsid w:val="00A00EC1"/>
    <w:rsid w:val="00A024DE"/>
    <w:rsid w:val="00A039D9"/>
    <w:rsid w:val="00A03C4E"/>
    <w:rsid w:val="00A1048A"/>
    <w:rsid w:val="00A105B2"/>
    <w:rsid w:val="00A14580"/>
    <w:rsid w:val="00A1464C"/>
    <w:rsid w:val="00A1635B"/>
    <w:rsid w:val="00A17020"/>
    <w:rsid w:val="00A21407"/>
    <w:rsid w:val="00A23B7E"/>
    <w:rsid w:val="00A24F46"/>
    <w:rsid w:val="00A256D1"/>
    <w:rsid w:val="00A265F3"/>
    <w:rsid w:val="00A26702"/>
    <w:rsid w:val="00A33378"/>
    <w:rsid w:val="00A34998"/>
    <w:rsid w:val="00A36CCC"/>
    <w:rsid w:val="00A401CA"/>
    <w:rsid w:val="00A40ADB"/>
    <w:rsid w:val="00A41A0E"/>
    <w:rsid w:val="00A43A97"/>
    <w:rsid w:val="00A43DF4"/>
    <w:rsid w:val="00A45B02"/>
    <w:rsid w:val="00A4645E"/>
    <w:rsid w:val="00A46F71"/>
    <w:rsid w:val="00A50CF4"/>
    <w:rsid w:val="00A515B9"/>
    <w:rsid w:val="00A52767"/>
    <w:rsid w:val="00A52C41"/>
    <w:rsid w:val="00A52E44"/>
    <w:rsid w:val="00A53D82"/>
    <w:rsid w:val="00A53F66"/>
    <w:rsid w:val="00A60FE7"/>
    <w:rsid w:val="00A619A6"/>
    <w:rsid w:val="00A639DF"/>
    <w:rsid w:val="00A64B45"/>
    <w:rsid w:val="00A67886"/>
    <w:rsid w:val="00A728F8"/>
    <w:rsid w:val="00A732CB"/>
    <w:rsid w:val="00A866D2"/>
    <w:rsid w:val="00A92B60"/>
    <w:rsid w:val="00A97171"/>
    <w:rsid w:val="00A97749"/>
    <w:rsid w:val="00AA083A"/>
    <w:rsid w:val="00AB45B8"/>
    <w:rsid w:val="00AC08D8"/>
    <w:rsid w:val="00AC1CFA"/>
    <w:rsid w:val="00AC2C03"/>
    <w:rsid w:val="00AC49A1"/>
    <w:rsid w:val="00AC5035"/>
    <w:rsid w:val="00AC7AD8"/>
    <w:rsid w:val="00AC7D0C"/>
    <w:rsid w:val="00AD0FA9"/>
    <w:rsid w:val="00AD6E2F"/>
    <w:rsid w:val="00AD7D2B"/>
    <w:rsid w:val="00AE1619"/>
    <w:rsid w:val="00AE2790"/>
    <w:rsid w:val="00AE2DF3"/>
    <w:rsid w:val="00AE2FDE"/>
    <w:rsid w:val="00AE387A"/>
    <w:rsid w:val="00AE7DB3"/>
    <w:rsid w:val="00AF38EF"/>
    <w:rsid w:val="00AF613E"/>
    <w:rsid w:val="00AF73B7"/>
    <w:rsid w:val="00AF76A7"/>
    <w:rsid w:val="00AF7C9D"/>
    <w:rsid w:val="00AF7E79"/>
    <w:rsid w:val="00B050EF"/>
    <w:rsid w:val="00B12D71"/>
    <w:rsid w:val="00B141A0"/>
    <w:rsid w:val="00B17008"/>
    <w:rsid w:val="00B17035"/>
    <w:rsid w:val="00B209E1"/>
    <w:rsid w:val="00B20EB4"/>
    <w:rsid w:val="00B20EF8"/>
    <w:rsid w:val="00B21EC1"/>
    <w:rsid w:val="00B26669"/>
    <w:rsid w:val="00B26CB7"/>
    <w:rsid w:val="00B32582"/>
    <w:rsid w:val="00B36DA4"/>
    <w:rsid w:val="00B42F19"/>
    <w:rsid w:val="00B43BD9"/>
    <w:rsid w:val="00B46E32"/>
    <w:rsid w:val="00B4786D"/>
    <w:rsid w:val="00B510B2"/>
    <w:rsid w:val="00B510EE"/>
    <w:rsid w:val="00B5283F"/>
    <w:rsid w:val="00B56168"/>
    <w:rsid w:val="00B6365C"/>
    <w:rsid w:val="00B63EAA"/>
    <w:rsid w:val="00B65B6E"/>
    <w:rsid w:val="00B667C1"/>
    <w:rsid w:val="00B67254"/>
    <w:rsid w:val="00B725C2"/>
    <w:rsid w:val="00B7412C"/>
    <w:rsid w:val="00B7437B"/>
    <w:rsid w:val="00B764D1"/>
    <w:rsid w:val="00B77332"/>
    <w:rsid w:val="00B8046F"/>
    <w:rsid w:val="00B821C7"/>
    <w:rsid w:val="00B86874"/>
    <w:rsid w:val="00B86A86"/>
    <w:rsid w:val="00B87393"/>
    <w:rsid w:val="00B91915"/>
    <w:rsid w:val="00B93D1E"/>
    <w:rsid w:val="00BA46FB"/>
    <w:rsid w:val="00BA52B5"/>
    <w:rsid w:val="00BA6408"/>
    <w:rsid w:val="00BA7365"/>
    <w:rsid w:val="00BB1003"/>
    <w:rsid w:val="00BB40B8"/>
    <w:rsid w:val="00BC495D"/>
    <w:rsid w:val="00BC4AD6"/>
    <w:rsid w:val="00BC5154"/>
    <w:rsid w:val="00BC7299"/>
    <w:rsid w:val="00BC759F"/>
    <w:rsid w:val="00BD3B9C"/>
    <w:rsid w:val="00BD4723"/>
    <w:rsid w:val="00BE5335"/>
    <w:rsid w:val="00BF0D1C"/>
    <w:rsid w:val="00BF3140"/>
    <w:rsid w:val="00BF41F0"/>
    <w:rsid w:val="00BF4DB2"/>
    <w:rsid w:val="00BF63B1"/>
    <w:rsid w:val="00C023B1"/>
    <w:rsid w:val="00C0435E"/>
    <w:rsid w:val="00C05789"/>
    <w:rsid w:val="00C10CA7"/>
    <w:rsid w:val="00C143D4"/>
    <w:rsid w:val="00C1460D"/>
    <w:rsid w:val="00C14EB3"/>
    <w:rsid w:val="00C16FC6"/>
    <w:rsid w:val="00C241E6"/>
    <w:rsid w:val="00C300CF"/>
    <w:rsid w:val="00C324DB"/>
    <w:rsid w:val="00C35D18"/>
    <w:rsid w:val="00C404F0"/>
    <w:rsid w:val="00C5250E"/>
    <w:rsid w:val="00C5258F"/>
    <w:rsid w:val="00C535E7"/>
    <w:rsid w:val="00C55289"/>
    <w:rsid w:val="00C55A21"/>
    <w:rsid w:val="00C61CBE"/>
    <w:rsid w:val="00C711AD"/>
    <w:rsid w:val="00C71459"/>
    <w:rsid w:val="00C73551"/>
    <w:rsid w:val="00C74921"/>
    <w:rsid w:val="00C80E44"/>
    <w:rsid w:val="00C823E5"/>
    <w:rsid w:val="00C826FA"/>
    <w:rsid w:val="00C82A97"/>
    <w:rsid w:val="00C82F23"/>
    <w:rsid w:val="00C91A78"/>
    <w:rsid w:val="00C94D59"/>
    <w:rsid w:val="00C97BF1"/>
    <w:rsid w:val="00CA0161"/>
    <w:rsid w:val="00CA1D08"/>
    <w:rsid w:val="00CA24F8"/>
    <w:rsid w:val="00CA2E28"/>
    <w:rsid w:val="00CA59D4"/>
    <w:rsid w:val="00CB509C"/>
    <w:rsid w:val="00CB632E"/>
    <w:rsid w:val="00CB6EEC"/>
    <w:rsid w:val="00CC0E45"/>
    <w:rsid w:val="00CC1C8A"/>
    <w:rsid w:val="00CC3102"/>
    <w:rsid w:val="00CC4704"/>
    <w:rsid w:val="00CC6D15"/>
    <w:rsid w:val="00CD02C4"/>
    <w:rsid w:val="00CD1A01"/>
    <w:rsid w:val="00CD1A5F"/>
    <w:rsid w:val="00CD222E"/>
    <w:rsid w:val="00CD35F3"/>
    <w:rsid w:val="00CD4C02"/>
    <w:rsid w:val="00CD4FC0"/>
    <w:rsid w:val="00CD590C"/>
    <w:rsid w:val="00CE348E"/>
    <w:rsid w:val="00CE58EC"/>
    <w:rsid w:val="00CE6535"/>
    <w:rsid w:val="00CE7F50"/>
    <w:rsid w:val="00CF2B5E"/>
    <w:rsid w:val="00D005E3"/>
    <w:rsid w:val="00D01482"/>
    <w:rsid w:val="00D03182"/>
    <w:rsid w:val="00D052B3"/>
    <w:rsid w:val="00D05D53"/>
    <w:rsid w:val="00D061EF"/>
    <w:rsid w:val="00D0664E"/>
    <w:rsid w:val="00D106F6"/>
    <w:rsid w:val="00D10BFE"/>
    <w:rsid w:val="00D11EFE"/>
    <w:rsid w:val="00D12569"/>
    <w:rsid w:val="00D14DAA"/>
    <w:rsid w:val="00D23F27"/>
    <w:rsid w:val="00D2549A"/>
    <w:rsid w:val="00D273BF"/>
    <w:rsid w:val="00D3030D"/>
    <w:rsid w:val="00D30693"/>
    <w:rsid w:val="00D30EF0"/>
    <w:rsid w:val="00D44BBB"/>
    <w:rsid w:val="00D5041E"/>
    <w:rsid w:val="00D507A7"/>
    <w:rsid w:val="00D51F48"/>
    <w:rsid w:val="00D53B89"/>
    <w:rsid w:val="00D54349"/>
    <w:rsid w:val="00D54E56"/>
    <w:rsid w:val="00D55ED3"/>
    <w:rsid w:val="00D61042"/>
    <w:rsid w:val="00D62088"/>
    <w:rsid w:val="00D6629F"/>
    <w:rsid w:val="00D66F72"/>
    <w:rsid w:val="00D673CD"/>
    <w:rsid w:val="00D67767"/>
    <w:rsid w:val="00D67DF5"/>
    <w:rsid w:val="00D737D5"/>
    <w:rsid w:val="00D73E64"/>
    <w:rsid w:val="00D744E5"/>
    <w:rsid w:val="00D75CEB"/>
    <w:rsid w:val="00D81E09"/>
    <w:rsid w:val="00D81F3E"/>
    <w:rsid w:val="00D90265"/>
    <w:rsid w:val="00D90CFB"/>
    <w:rsid w:val="00D935DE"/>
    <w:rsid w:val="00D93909"/>
    <w:rsid w:val="00D9593A"/>
    <w:rsid w:val="00D9600E"/>
    <w:rsid w:val="00DA2E9B"/>
    <w:rsid w:val="00DA59DF"/>
    <w:rsid w:val="00DB0719"/>
    <w:rsid w:val="00DB248A"/>
    <w:rsid w:val="00DB3496"/>
    <w:rsid w:val="00DB4BEE"/>
    <w:rsid w:val="00DB7937"/>
    <w:rsid w:val="00DC371F"/>
    <w:rsid w:val="00DC63CA"/>
    <w:rsid w:val="00DD29EC"/>
    <w:rsid w:val="00DD5EB3"/>
    <w:rsid w:val="00DD785B"/>
    <w:rsid w:val="00DD7F96"/>
    <w:rsid w:val="00DE0B5C"/>
    <w:rsid w:val="00DE1627"/>
    <w:rsid w:val="00DE2907"/>
    <w:rsid w:val="00DE2BAE"/>
    <w:rsid w:val="00DF1781"/>
    <w:rsid w:val="00DF2BBF"/>
    <w:rsid w:val="00DF4899"/>
    <w:rsid w:val="00DF670C"/>
    <w:rsid w:val="00DF7AE1"/>
    <w:rsid w:val="00E023C7"/>
    <w:rsid w:val="00E07A42"/>
    <w:rsid w:val="00E11D92"/>
    <w:rsid w:val="00E12457"/>
    <w:rsid w:val="00E13294"/>
    <w:rsid w:val="00E21D90"/>
    <w:rsid w:val="00E22738"/>
    <w:rsid w:val="00E25844"/>
    <w:rsid w:val="00E2755C"/>
    <w:rsid w:val="00E279E0"/>
    <w:rsid w:val="00E30818"/>
    <w:rsid w:val="00E322A9"/>
    <w:rsid w:val="00E343BE"/>
    <w:rsid w:val="00E43186"/>
    <w:rsid w:val="00E4390A"/>
    <w:rsid w:val="00E43D81"/>
    <w:rsid w:val="00E46321"/>
    <w:rsid w:val="00E52AE5"/>
    <w:rsid w:val="00E541D5"/>
    <w:rsid w:val="00E55613"/>
    <w:rsid w:val="00E577CE"/>
    <w:rsid w:val="00E60C3E"/>
    <w:rsid w:val="00E62A8E"/>
    <w:rsid w:val="00E672C9"/>
    <w:rsid w:val="00E77205"/>
    <w:rsid w:val="00E77FE7"/>
    <w:rsid w:val="00E806BB"/>
    <w:rsid w:val="00E85D5C"/>
    <w:rsid w:val="00E86FB5"/>
    <w:rsid w:val="00E91EBD"/>
    <w:rsid w:val="00E920B3"/>
    <w:rsid w:val="00E92818"/>
    <w:rsid w:val="00E935FC"/>
    <w:rsid w:val="00E944D7"/>
    <w:rsid w:val="00E95B07"/>
    <w:rsid w:val="00EA2A27"/>
    <w:rsid w:val="00EA3512"/>
    <w:rsid w:val="00EA362F"/>
    <w:rsid w:val="00EA4BEB"/>
    <w:rsid w:val="00EA5991"/>
    <w:rsid w:val="00EA7356"/>
    <w:rsid w:val="00EA75D8"/>
    <w:rsid w:val="00EC111B"/>
    <w:rsid w:val="00EC2E51"/>
    <w:rsid w:val="00EC30F2"/>
    <w:rsid w:val="00EC73A6"/>
    <w:rsid w:val="00ED51A3"/>
    <w:rsid w:val="00EE1881"/>
    <w:rsid w:val="00EE4237"/>
    <w:rsid w:val="00EE6D0D"/>
    <w:rsid w:val="00EE7360"/>
    <w:rsid w:val="00EE780D"/>
    <w:rsid w:val="00EF0634"/>
    <w:rsid w:val="00EF51C1"/>
    <w:rsid w:val="00EF73A8"/>
    <w:rsid w:val="00F0032D"/>
    <w:rsid w:val="00F02AFD"/>
    <w:rsid w:val="00F0421C"/>
    <w:rsid w:val="00F042E5"/>
    <w:rsid w:val="00F04600"/>
    <w:rsid w:val="00F04B3D"/>
    <w:rsid w:val="00F0539F"/>
    <w:rsid w:val="00F10291"/>
    <w:rsid w:val="00F13D91"/>
    <w:rsid w:val="00F1683A"/>
    <w:rsid w:val="00F23EBC"/>
    <w:rsid w:val="00F256F2"/>
    <w:rsid w:val="00F27EF7"/>
    <w:rsid w:val="00F33BAC"/>
    <w:rsid w:val="00F340FA"/>
    <w:rsid w:val="00F35A3F"/>
    <w:rsid w:val="00F35AD7"/>
    <w:rsid w:val="00F42624"/>
    <w:rsid w:val="00F47F2D"/>
    <w:rsid w:val="00F503D8"/>
    <w:rsid w:val="00F5331A"/>
    <w:rsid w:val="00F53CC6"/>
    <w:rsid w:val="00F559C5"/>
    <w:rsid w:val="00F60601"/>
    <w:rsid w:val="00F6073C"/>
    <w:rsid w:val="00F62D53"/>
    <w:rsid w:val="00F62E13"/>
    <w:rsid w:val="00F6311C"/>
    <w:rsid w:val="00F634BA"/>
    <w:rsid w:val="00F63EA8"/>
    <w:rsid w:val="00F641F7"/>
    <w:rsid w:val="00F6674F"/>
    <w:rsid w:val="00F7129B"/>
    <w:rsid w:val="00F72DBA"/>
    <w:rsid w:val="00F761F9"/>
    <w:rsid w:val="00F8324D"/>
    <w:rsid w:val="00F876AA"/>
    <w:rsid w:val="00F90C81"/>
    <w:rsid w:val="00F939C1"/>
    <w:rsid w:val="00F9627D"/>
    <w:rsid w:val="00F96B07"/>
    <w:rsid w:val="00F96CE6"/>
    <w:rsid w:val="00FA12F7"/>
    <w:rsid w:val="00FA1CD1"/>
    <w:rsid w:val="00FA246F"/>
    <w:rsid w:val="00FA4440"/>
    <w:rsid w:val="00FA4E66"/>
    <w:rsid w:val="00FA67BE"/>
    <w:rsid w:val="00FB03E5"/>
    <w:rsid w:val="00FB394E"/>
    <w:rsid w:val="00FB4463"/>
    <w:rsid w:val="00FC7E66"/>
    <w:rsid w:val="00FD02F0"/>
    <w:rsid w:val="00FD3748"/>
    <w:rsid w:val="00FE240A"/>
    <w:rsid w:val="00FE30D3"/>
    <w:rsid w:val="00FE6592"/>
    <w:rsid w:val="00FE7811"/>
    <w:rsid w:val="00FE79DC"/>
    <w:rsid w:val="00FF01C0"/>
    <w:rsid w:val="00FF053E"/>
    <w:rsid w:val="00FF1451"/>
    <w:rsid w:val="00FF1FC4"/>
    <w:rsid w:val="00FF58E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0BCA1"/>
  <w15:docId w15:val="{E007081C-ED04-4774-B449-DAB7174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61CB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31551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Naslov3">
    <w:name w:val="heading 3"/>
    <w:basedOn w:val="Navaden"/>
    <w:next w:val="Navaden"/>
    <w:link w:val="Naslov3Znak"/>
    <w:qFormat/>
    <w:rsid w:val="00431551"/>
    <w:pPr>
      <w:keepNext/>
      <w:overflowPunct/>
      <w:autoSpaceDE/>
      <w:autoSpaceDN/>
      <w:adjustRightInd/>
      <w:spacing w:before="240" w:after="60" w:line="260" w:lineRule="atLeast"/>
      <w:jc w:val="left"/>
      <w:textAlignment w:val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431551"/>
    <w:rPr>
      <w:rFonts w:ascii="Arial" w:eastAsia="Calibri" w:hAnsi="Arial"/>
      <w:b/>
      <w:kern w:val="32"/>
      <w:sz w:val="32"/>
      <w:lang w:val="sl-SI" w:eastAsia="en-US" w:bidi="ar-SA"/>
    </w:rPr>
  </w:style>
  <w:style w:type="character" w:styleId="Hiperpovezava">
    <w:name w:val="Hyperlink"/>
    <w:rsid w:val="00431551"/>
    <w:rPr>
      <w:rFonts w:cs="Times New Roman"/>
      <w:color w:val="0000FF"/>
      <w:u w:val="single"/>
    </w:rPr>
  </w:style>
  <w:style w:type="paragraph" w:customStyle="1" w:styleId="Vrstapredpisa">
    <w:name w:val="Vrsta predpisa"/>
    <w:basedOn w:val="Navaden"/>
    <w:link w:val="VrstapredpisaZnak"/>
    <w:rsid w:val="00431551"/>
    <w:pPr>
      <w:suppressAutoHyphens/>
      <w:spacing w:before="360" w:line="220" w:lineRule="exact"/>
      <w:jc w:val="center"/>
    </w:pPr>
    <w:rPr>
      <w:rFonts w:ascii="Arial" w:eastAsia="Calibri" w:hAnsi="Arial"/>
      <w:b/>
      <w:color w:val="000000"/>
      <w:spacing w:val="40"/>
      <w:sz w:val="20"/>
      <w:lang w:eastAsia="sl-SI"/>
    </w:rPr>
  </w:style>
  <w:style w:type="character" w:customStyle="1" w:styleId="VrstapredpisaZnak">
    <w:name w:val="Vrsta predpisa Znak"/>
    <w:link w:val="Vrstapredpisa"/>
    <w:locked/>
    <w:rsid w:val="00431551"/>
    <w:rPr>
      <w:rFonts w:ascii="Arial" w:eastAsia="Calibri" w:hAnsi="Arial"/>
      <w:b/>
      <w:color w:val="000000"/>
      <w:spacing w:val="40"/>
      <w:lang w:val="sl-SI" w:eastAsia="sl-SI" w:bidi="ar-SA"/>
    </w:rPr>
  </w:style>
  <w:style w:type="paragraph" w:customStyle="1" w:styleId="Poglavje">
    <w:name w:val="Poglavje"/>
    <w:basedOn w:val="Navaden"/>
    <w:qFormat/>
    <w:rsid w:val="00431551"/>
    <w:pPr>
      <w:suppressAutoHyphens/>
      <w:spacing w:before="360" w:after="60" w:line="200" w:lineRule="exact"/>
      <w:jc w:val="center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31551"/>
    <w:pPr>
      <w:spacing w:before="60" w:after="60" w:line="200" w:lineRule="exact"/>
    </w:pPr>
    <w:rPr>
      <w:rFonts w:ascii="Arial" w:eastAsia="Calibri" w:hAnsi="Arial"/>
      <w:sz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431551"/>
    <w:rPr>
      <w:rFonts w:ascii="Arial" w:eastAsia="Calibri" w:hAnsi="Arial"/>
      <w:lang w:val="sl-SI" w:eastAsia="sl-SI" w:bidi="ar-SA"/>
    </w:rPr>
  </w:style>
  <w:style w:type="paragraph" w:customStyle="1" w:styleId="Oddelek">
    <w:name w:val="Oddelek"/>
    <w:basedOn w:val="Navaden"/>
    <w:link w:val="OddelekZnak1"/>
    <w:rsid w:val="00431551"/>
    <w:pPr>
      <w:numPr>
        <w:numId w:val="1"/>
      </w:numPr>
      <w:suppressAutoHyphens/>
      <w:spacing w:before="280" w:after="60" w:line="200" w:lineRule="exact"/>
      <w:ind w:left="0" w:firstLine="0"/>
      <w:jc w:val="center"/>
      <w:outlineLvl w:val="3"/>
    </w:pPr>
    <w:rPr>
      <w:rFonts w:ascii="Arial" w:eastAsia="Calibri" w:hAnsi="Arial"/>
      <w:b/>
      <w:sz w:val="20"/>
      <w:lang w:eastAsia="sl-SI"/>
    </w:rPr>
  </w:style>
  <w:style w:type="character" w:customStyle="1" w:styleId="OddelekZnak1">
    <w:name w:val="Oddelek Znak1"/>
    <w:link w:val="Oddelek"/>
    <w:locked/>
    <w:rsid w:val="00431551"/>
    <w:rPr>
      <w:rFonts w:ascii="Arial" w:eastAsia="Calibri" w:hAnsi="Arial"/>
      <w:b/>
    </w:rPr>
  </w:style>
  <w:style w:type="paragraph" w:customStyle="1" w:styleId="Alineazatoko">
    <w:name w:val="Alinea za točko"/>
    <w:basedOn w:val="Navaden"/>
    <w:rsid w:val="00431551"/>
    <w:pPr>
      <w:numPr>
        <w:numId w:val="2"/>
      </w:numPr>
      <w:spacing w:line="200" w:lineRule="exact"/>
    </w:pPr>
    <w:rPr>
      <w:rFonts w:ascii="Arial" w:eastAsia="Calibri" w:hAnsi="Arial"/>
      <w:sz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rsid w:val="00431551"/>
    <w:pPr>
      <w:ind w:left="709" w:hanging="284"/>
    </w:pPr>
  </w:style>
  <w:style w:type="character" w:customStyle="1" w:styleId="AlineazaodstavkomZnak">
    <w:name w:val="Alinea za odstavkom Znak"/>
    <w:link w:val="Alineazaodstavkom"/>
    <w:locked/>
    <w:rsid w:val="00431551"/>
    <w:rPr>
      <w:rFonts w:ascii="Arial" w:eastAsia="Calibri" w:hAnsi="Arial"/>
    </w:rPr>
  </w:style>
  <w:style w:type="paragraph" w:styleId="Glava">
    <w:name w:val="header"/>
    <w:basedOn w:val="Navaden"/>
    <w:link w:val="GlavaZnak"/>
    <w:rsid w:val="00431551"/>
    <w:pPr>
      <w:tabs>
        <w:tab w:val="center" w:pos="4536"/>
        <w:tab w:val="right" w:pos="9072"/>
      </w:tabs>
      <w:textAlignment w:val="auto"/>
    </w:pPr>
    <w:rPr>
      <w:rFonts w:eastAsia="Calibri"/>
    </w:rPr>
  </w:style>
  <w:style w:type="character" w:customStyle="1" w:styleId="GlavaZnak">
    <w:name w:val="Glava Znak"/>
    <w:link w:val="Glava"/>
    <w:locked/>
    <w:rsid w:val="00431551"/>
    <w:rPr>
      <w:rFonts w:eastAsia="Calibri"/>
      <w:sz w:val="24"/>
      <w:lang w:val="sl-SI" w:eastAsia="en-US" w:bidi="ar-SA"/>
    </w:rPr>
  </w:style>
  <w:style w:type="paragraph" w:customStyle="1" w:styleId="podpisi">
    <w:name w:val="podpisi"/>
    <w:basedOn w:val="Navaden"/>
    <w:qFormat/>
    <w:rsid w:val="00431551"/>
    <w:pPr>
      <w:tabs>
        <w:tab w:val="left" w:pos="3402"/>
      </w:tabs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sz w:val="20"/>
      <w:szCs w:val="24"/>
      <w:lang w:val="it-IT"/>
    </w:rPr>
  </w:style>
  <w:style w:type="paragraph" w:styleId="Golobesedilo">
    <w:name w:val="Plain Text"/>
    <w:basedOn w:val="Navaden"/>
    <w:link w:val="GolobesediloZnak"/>
    <w:rsid w:val="00431551"/>
    <w:pPr>
      <w:overflowPunct/>
      <w:autoSpaceDE/>
      <w:autoSpaceDN/>
      <w:adjustRightInd/>
      <w:textAlignment w:val="auto"/>
    </w:pPr>
    <w:rPr>
      <w:rFonts w:ascii="Courier New" w:eastAsia="Batang" w:hAnsi="Courier New"/>
      <w:sz w:val="20"/>
      <w:lang w:eastAsia="ko-KR"/>
    </w:rPr>
  </w:style>
  <w:style w:type="character" w:customStyle="1" w:styleId="GolobesediloZnak">
    <w:name w:val="Golo besedilo Znak"/>
    <w:link w:val="Golobesedilo"/>
    <w:locked/>
    <w:rsid w:val="00431551"/>
    <w:rPr>
      <w:rFonts w:ascii="Courier New" w:eastAsia="Batang" w:hAnsi="Courier New"/>
      <w:lang w:val="sl-SI" w:eastAsia="ko-KR" w:bidi="ar-SA"/>
    </w:rPr>
  </w:style>
  <w:style w:type="paragraph" w:styleId="Odstavekseznama">
    <w:name w:val="List Paragraph"/>
    <w:aliases w:val="List Paragraph (numbered (a)),Dot pt,F5 List Paragraph,List Paragraph1,Colorful List - Accent 11,No Spacing1,List Paragraph Char Char Char,Indicator Text,Numbered Para 1,Bullet 1,Bullet Points,List Paragraph2,Numbered Paragraph,List par"/>
    <w:basedOn w:val="Navaden"/>
    <w:link w:val="OdstavekseznamaZnak"/>
    <w:uiPriority w:val="34"/>
    <w:qFormat/>
    <w:rsid w:val="00431551"/>
    <w:pPr>
      <w:ind w:left="720"/>
      <w:contextualSpacing/>
    </w:pPr>
  </w:style>
  <w:style w:type="paragraph" w:styleId="Noga">
    <w:name w:val="footer"/>
    <w:basedOn w:val="Navaden"/>
    <w:link w:val="NogaZnak"/>
    <w:rsid w:val="00431551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mbria" w:hAnsi="Cambria"/>
      <w:sz w:val="22"/>
      <w:szCs w:val="22"/>
      <w:lang w:val="en-US" w:bidi="en-US"/>
    </w:rPr>
  </w:style>
  <w:style w:type="character" w:customStyle="1" w:styleId="Naslov3Znak">
    <w:name w:val="Naslov 3 Znak"/>
    <w:link w:val="Naslov3"/>
    <w:semiHidden/>
    <w:locked/>
    <w:rsid w:val="00431551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NogaZnak">
    <w:name w:val="Noga Znak"/>
    <w:link w:val="Noga"/>
    <w:rsid w:val="00431551"/>
    <w:rPr>
      <w:rFonts w:ascii="Cambria" w:hAnsi="Cambria"/>
      <w:sz w:val="22"/>
      <w:szCs w:val="22"/>
      <w:lang w:val="en-US" w:eastAsia="en-US" w:bidi="en-US"/>
    </w:rPr>
  </w:style>
  <w:style w:type="paragraph" w:styleId="Brezrazmikov">
    <w:name w:val="No Spacing"/>
    <w:qFormat/>
    <w:rsid w:val="00431551"/>
    <w:rPr>
      <w:rFonts w:ascii="Calibri" w:eastAsia="Calibri" w:hAnsi="Calibri"/>
      <w:sz w:val="22"/>
      <w:szCs w:val="22"/>
      <w:lang w:eastAsia="en-US"/>
    </w:rPr>
  </w:style>
  <w:style w:type="paragraph" w:customStyle="1" w:styleId="Naslovpredpisa">
    <w:name w:val="Naslov_predpisa"/>
    <w:basedOn w:val="Navaden"/>
    <w:link w:val="NaslovpredpisaZnak"/>
    <w:uiPriority w:val="99"/>
    <w:qFormat/>
    <w:rsid w:val="001D014C"/>
    <w:pPr>
      <w:suppressAutoHyphens/>
      <w:spacing w:before="120" w:after="160" w:line="200" w:lineRule="exact"/>
      <w:jc w:val="center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uiPriority w:val="99"/>
    <w:rsid w:val="001D014C"/>
    <w:rPr>
      <w:rFonts w:ascii="Arial" w:hAnsi="Arial" w:cs="Arial"/>
      <w:b/>
      <w:sz w:val="22"/>
      <w:szCs w:val="22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1349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349E2"/>
    <w:rPr>
      <w:rFonts w:ascii="Tahoma" w:hAnsi="Tahoma" w:cs="Tahoma"/>
      <w:sz w:val="16"/>
      <w:szCs w:val="16"/>
      <w:lang w:eastAsia="en-US"/>
    </w:rPr>
  </w:style>
  <w:style w:type="table" w:styleId="Tabelaseznam1">
    <w:name w:val="Table List 1"/>
    <w:basedOn w:val="Navadnatabela"/>
    <w:rsid w:val="00D23F27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odobna">
    <w:name w:val="Table Contemporary"/>
    <w:basedOn w:val="Navadnatabela"/>
    <w:rsid w:val="00D23F27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eznam3">
    <w:name w:val="Table List 3"/>
    <w:basedOn w:val="Navadnatabela"/>
    <w:rsid w:val="00D23F27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basedOn w:val="Privzetapisavaodstavka"/>
    <w:uiPriority w:val="22"/>
    <w:qFormat/>
    <w:rsid w:val="008D1044"/>
    <w:rPr>
      <w:b/>
      <w:bCs/>
    </w:rPr>
  </w:style>
  <w:style w:type="paragraph" w:styleId="Navadensplet">
    <w:name w:val="Normal (Web)"/>
    <w:basedOn w:val="Navaden"/>
    <w:uiPriority w:val="99"/>
    <w:unhideWhenUsed/>
    <w:rsid w:val="00A728F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sl-SI"/>
    </w:rPr>
  </w:style>
  <w:style w:type="character" w:styleId="Pripombasklic">
    <w:name w:val="annotation reference"/>
    <w:basedOn w:val="Privzetapisavaodstavka"/>
    <w:rsid w:val="001D63F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63FB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63F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D63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D63FB"/>
    <w:rPr>
      <w:b/>
      <w:bCs/>
      <w:lang w:eastAsia="en-US"/>
    </w:rPr>
  </w:style>
  <w:style w:type="character" w:customStyle="1" w:styleId="Znakisprotnihopomb">
    <w:name w:val="Znaki sprotnih opomb"/>
    <w:rsid w:val="00F8324D"/>
    <w:rPr>
      <w:vertAlign w:val="superscript"/>
    </w:rPr>
  </w:style>
  <w:style w:type="character" w:customStyle="1" w:styleId="WW-FootnoteReference123">
    <w:name w:val="WW-Footnote Reference123"/>
    <w:rsid w:val="00F8324D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F8324D"/>
    <w:pPr>
      <w:suppressAutoHyphens/>
      <w:overflowPunct/>
      <w:autoSpaceDE/>
      <w:autoSpaceDN/>
      <w:adjustRightInd/>
      <w:spacing w:before="120" w:after="120" w:line="260" w:lineRule="atLeast"/>
      <w:textAlignment w:val="auto"/>
    </w:pPr>
    <w:rPr>
      <w:rFonts w:ascii="Arial" w:hAnsi="Arial" w:cs="Arial"/>
      <w:kern w:val="1"/>
      <w:sz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8324D"/>
    <w:rPr>
      <w:rFonts w:ascii="Arial" w:hAnsi="Arial" w:cs="Arial"/>
      <w:kern w:val="1"/>
      <w:lang w:eastAsia="ar-SA"/>
    </w:rPr>
  </w:style>
  <w:style w:type="paragraph" w:customStyle="1" w:styleId="Standard">
    <w:name w:val="Standard"/>
    <w:rsid w:val="00F8324D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OdstavekseznamaZnak">
    <w:name w:val="Odstavek seznama Znak"/>
    <w:aliases w:val="List Paragraph (numbered (a)) Znak,Dot pt Znak,F5 List Paragraph Znak,List Paragraph1 Znak,Colorful List - Accent 11 Znak,No Spacing1 Znak,List Paragraph Char Char Char Znak,Indicator Text Znak,Numbered Para 1 Znak,Bullet 1 Znak"/>
    <w:link w:val="Odstavekseznama"/>
    <w:uiPriority w:val="34"/>
    <w:qFormat/>
    <w:locked/>
    <w:rsid w:val="00B725C2"/>
    <w:rPr>
      <w:sz w:val="24"/>
      <w:lang w:eastAsia="en-US"/>
    </w:rPr>
  </w:style>
  <w:style w:type="paragraph" w:styleId="Revizija">
    <w:name w:val="Revision"/>
    <w:hidden/>
    <w:uiPriority w:val="99"/>
    <w:semiHidden/>
    <w:rsid w:val="007A09E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781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3066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9649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p.g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f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8E4D-7ACE-4D04-97EC-D5B0B586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11655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3080278</vt:i4>
      </vt:variant>
      <vt:variant>
        <vt:i4>0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Markošek</dc:creator>
  <cp:lastModifiedBy>Slovenia</cp:lastModifiedBy>
  <cp:revision>6</cp:revision>
  <cp:lastPrinted>2021-05-14T11:11:00Z</cp:lastPrinted>
  <dcterms:created xsi:type="dcterms:W3CDTF">2025-04-24T05:40:00Z</dcterms:created>
  <dcterms:modified xsi:type="dcterms:W3CDTF">2025-04-24T10:12:00Z</dcterms:modified>
</cp:coreProperties>
</file>