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9E10A8" w:rsidRPr="00131B28" w:rsidP="00CB7264" w14:paraId="2578C1BA" w14:textId="77777777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4668"/>
        <w:gridCol w:w="905"/>
        <w:gridCol w:w="2167"/>
      </w:tblGrid>
      <w:tr w14:paraId="2578C1BC" w14:textId="77777777" w:rsidTr="003E5992">
        <w:tblPrEx>
          <w:tblW w:w="9168" w:type="dxa"/>
          <w:tblInd w:w="10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131B28" w:rsidP="00AB65D9" w14:paraId="2578C1BB" w14:textId="77777777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131-20/2023-6</w:t>
            </w:r>
            <w:bookmarkEnd w:id="0"/>
          </w:p>
        </w:tc>
      </w:tr>
      <w:tr w14:paraId="2578C1BE" w14:textId="77777777" w:rsidTr="003E5992">
        <w:tblPrEx>
          <w:tblW w:w="9168" w:type="dxa"/>
          <w:tblInd w:w="103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131B28" w:rsidP="00AB65D9" w14:paraId="2578C1BD" w14:textId="77777777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10. 05. 2023</w:t>
            </w:r>
            <w:bookmarkEnd w:id="1"/>
          </w:p>
        </w:tc>
      </w:tr>
      <w:tr w14:paraId="2578C1C0" w14:textId="77777777" w:rsidTr="003E5992">
        <w:tblPrEx>
          <w:tblW w:w="9168" w:type="dxa"/>
          <w:tblInd w:w="103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3C81" w:rsidRPr="00131B28" w:rsidP="002C278B" w14:paraId="2578C1BF" w14:textId="77777777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14:paraId="2578C1C5" w14:textId="77777777" w:rsidTr="003E5992">
        <w:tblPrEx>
          <w:tblW w:w="9168" w:type="dxa"/>
          <w:tblInd w:w="103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3C81" w:rsidRPr="00131B28" w:rsidP="002C278B" w14:paraId="2578C1C1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B3C81" w:rsidRPr="00131B28" w:rsidP="002C278B" w14:paraId="2578C1C2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:rsidR="00FB3C81" w:rsidRPr="00131B28" w:rsidP="002C278B" w14:paraId="2578C1C3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Pr="00131B28" w:rsidR="009301C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:rsidR="00FB3C81" w:rsidRPr="00131B28" w:rsidP="002C278B" w14:paraId="2578C1C4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578C1C7" w14:textId="77777777" w:rsidTr="003E5992">
        <w:tblPrEx>
          <w:tblW w:w="9168" w:type="dxa"/>
          <w:tblInd w:w="103" w:type="dxa"/>
          <w:tblLook w:val="04A0"/>
        </w:tblPrEx>
        <w:tc>
          <w:tcPr>
            <w:tcW w:w="9163" w:type="dxa"/>
            <w:gridSpan w:val="4"/>
          </w:tcPr>
          <w:p w:rsidR="00FB3C81" w:rsidRPr="00131B28" w:rsidP="00223DB7" w14:paraId="2578C1C6" w14:textId="48DB1000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ZADEVA: </w:t>
            </w:r>
            <w:r w:rsidR="00223DB7">
              <w:rPr>
                <w:sz w:val="20"/>
                <w:szCs w:val="20"/>
              </w:rPr>
              <w:t xml:space="preserve">Program </w:t>
            </w:r>
            <w:r w:rsidRPr="005F6562" w:rsidR="00223DB7">
              <w:rPr>
                <w:sz w:val="20"/>
                <w:szCs w:val="20"/>
              </w:rPr>
              <w:t xml:space="preserve">dela Komisije Vlade Republike Slovenije za reševanje vprašanj prikritih </w:t>
            </w:r>
            <w:r w:rsidR="00223DB7">
              <w:rPr>
                <w:sz w:val="20"/>
                <w:szCs w:val="20"/>
              </w:rPr>
              <w:t>grobišč za leto 2023 in f</w:t>
            </w:r>
            <w:r w:rsidRPr="00013EE0" w:rsidR="00013EE0">
              <w:rPr>
                <w:sz w:val="20"/>
                <w:szCs w:val="20"/>
              </w:rPr>
              <w:t>inančni načrt za leto 2023 – predlog za obravnavo</w:t>
            </w:r>
          </w:p>
        </w:tc>
      </w:tr>
      <w:tr w14:paraId="2578C1C9" w14:textId="77777777" w:rsidTr="003E5992">
        <w:tblPrEx>
          <w:tblW w:w="9168" w:type="dxa"/>
          <w:tblInd w:w="103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2578C1C8" w14:textId="77777777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14:paraId="59686266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992" w:rsidP="007A5C65" w14:paraId="05E89B1B" w14:textId="204EF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Na podlagi šestega odstavka 21. člena Zakona o Vladi Republike Slovenije (Uradni list RS, št. 24/05 – uradno prečiščeno besedilo, 109/08, 38/10 – ZUKN, 8/12, 21/13, 47/13 – ZDU-1G, 65/14, 55/17 in 163/22) in </w:t>
            </w:r>
            <w:r w:rsidR="007A5C65">
              <w:rPr>
                <w:rFonts w:ascii="Arial" w:hAnsi="Arial" w:cs="Arial"/>
                <w:sz w:val="20"/>
                <w:szCs w:val="20"/>
              </w:rPr>
              <w:t xml:space="preserve">prve ter </w:t>
            </w:r>
            <w:r w:rsidR="00223DB7">
              <w:rPr>
                <w:rFonts w:ascii="Arial" w:hAnsi="Arial" w:cs="Arial"/>
                <w:sz w:val="20"/>
                <w:szCs w:val="20"/>
              </w:rPr>
              <w:t xml:space="preserve">druge alineje </w:t>
            </w:r>
            <w:r w:rsidRPr="005F6562">
              <w:rPr>
                <w:rFonts w:ascii="Arial" w:hAnsi="Arial" w:cs="Arial"/>
                <w:sz w:val="20"/>
                <w:szCs w:val="20"/>
              </w:rPr>
              <w:t xml:space="preserve">tretjega odstavka 4. člena Zakona o prikritih vojnih grobiščih in pokopu </w:t>
            </w:r>
            <w:r w:rsidR="00927E2C">
              <w:rPr>
                <w:rFonts w:ascii="Arial" w:hAnsi="Arial" w:cs="Arial"/>
                <w:sz w:val="20"/>
                <w:szCs w:val="20"/>
              </w:rPr>
              <w:t xml:space="preserve">žrtev </w:t>
            </w:r>
            <w:r w:rsidRPr="005F6562">
              <w:rPr>
                <w:rFonts w:ascii="Arial" w:hAnsi="Arial" w:cs="Arial"/>
                <w:sz w:val="20"/>
                <w:szCs w:val="20"/>
              </w:rPr>
              <w:t xml:space="preserve">(Uradni list RS, št. 55/15 in 92/21) je Vlada Republike Slovenije dne ......... sprejela naslednji </w:t>
            </w:r>
          </w:p>
          <w:p w:rsidR="00CA7D81" w:rsidRPr="00CA7D81" w:rsidP="007A5C65" w14:paraId="1702F2F2" w14:textId="3FFB0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SKLEP</w:t>
            </w:r>
          </w:p>
          <w:p w:rsidR="00223DB7" w:rsidP="007A5C65" w14:paraId="57AE2EDF" w14:textId="4BCD16F5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223DB7">
              <w:rPr>
                <w:rFonts w:ascii="Arial" w:hAnsi="Arial" w:cs="Arial"/>
                <w:sz w:val="20"/>
                <w:szCs w:val="20"/>
              </w:rPr>
              <w:t xml:space="preserve">Vlada Republike Slovenije je potrdila Program dela Komisije Vlade Republike Slovenije za reševanje vprašanj prikritih </w:t>
            </w:r>
            <w:r>
              <w:rPr>
                <w:rFonts w:ascii="Arial" w:hAnsi="Arial" w:cs="Arial"/>
                <w:sz w:val="20"/>
                <w:szCs w:val="20"/>
              </w:rPr>
              <w:t>grobišč za leto 2023.</w:t>
            </w:r>
          </w:p>
          <w:p w:rsidR="00223DB7" w:rsidP="007A5C65" w14:paraId="15F68927" w14:textId="77777777">
            <w:pPr>
              <w:pStyle w:val="ListParagraph"/>
              <w:spacing w:line="276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</w:p>
          <w:p w:rsidR="003E5992" w:rsidRPr="00223DB7" w:rsidP="007A5C65" w14:paraId="347C3BDE" w14:textId="44109DB3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Vlada Republike Slovenije </w:t>
            </w:r>
            <w:r w:rsidRPr="00223DB7">
              <w:rPr>
                <w:rFonts w:ascii="Arial" w:hAnsi="Arial" w:cs="Arial"/>
                <w:sz w:val="20"/>
                <w:szCs w:val="20"/>
              </w:rPr>
              <w:t>sprejela Finančni načrt dela Komisije Vlade Republike Slovenije za reševanje vprašanj prikritih grobišč za leto 2023.</w:t>
            </w:r>
          </w:p>
          <w:p w:rsidR="003E5992" w:rsidRPr="005F6562" w:rsidP="007A5C65" w14:paraId="42B62561" w14:textId="3B6E24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E5992" w:rsidRPr="005F6562" w:rsidP="007A5C65" w14:paraId="60C4D37A" w14:textId="5046515B">
            <w:pPr>
              <w:spacing w:after="0"/>
              <w:ind w:left="4712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23DB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F6562">
              <w:rPr>
                <w:rFonts w:ascii="Arial" w:hAnsi="Arial" w:cs="Arial"/>
                <w:sz w:val="20"/>
                <w:szCs w:val="20"/>
              </w:rPr>
              <w:t xml:space="preserve">Barbara Kolenko </w:t>
            </w:r>
            <w:r w:rsidRPr="005F6562">
              <w:rPr>
                <w:rFonts w:ascii="Arial" w:hAnsi="Arial" w:cs="Arial"/>
                <w:sz w:val="20"/>
                <w:szCs w:val="20"/>
              </w:rPr>
              <w:t>Helbl</w:t>
            </w:r>
          </w:p>
          <w:p w:rsidR="003E5992" w:rsidRPr="005F6562" w:rsidP="007A5C65" w14:paraId="79F1D5F8" w14:textId="280C063B">
            <w:pPr>
              <w:spacing w:after="0"/>
              <w:ind w:left="4712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23DB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F6562">
              <w:rPr>
                <w:rFonts w:ascii="Arial" w:hAnsi="Arial" w:cs="Arial"/>
                <w:sz w:val="20"/>
                <w:szCs w:val="20"/>
              </w:rPr>
              <w:t>generalna sekretarka</w:t>
            </w:r>
          </w:p>
          <w:p w:rsidR="003E5992" w:rsidRPr="005F6562" w:rsidP="007A5C65" w14:paraId="4DAA8573" w14:textId="77777777">
            <w:pPr>
              <w:spacing w:after="0"/>
              <w:ind w:left="4712"/>
              <w:rPr>
                <w:rFonts w:ascii="Arial" w:hAnsi="Arial" w:cs="Arial"/>
                <w:sz w:val="20"/>
                <w:szCs w:val="20"/>
              </w:rPr>
            </w:pPr>
          </w:p>
          <w:p w:rsidR="003E5992" w:rsidRPr="005F6562" w:rsidP="007A5C65" w14:paraId="09D5A3F3" w14:textId="797025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E5992" w:rsidRPr="005F6562" w:rsidP="007A5C65" w14:paraId="63FF4E28" w14:textId="7777777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Prilog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656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E5992" w:rsidRPr="005F6562" w:rsidP="007A5C65" w14:paraId="73AB2F07" w14:textId="77777777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49" w:hanging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Program dela Komisije Vlade Republike Slovenije za reševanje vprašanj prikritih </w:t>
            </w:r>
            <w:r w:rsidRPr="005F6562">
              <w:rPr>
                <w:rFonts w:ascii="Arial" w:hAnsi="Arial" w:cs="Arial"/>
                <w:sz w:val="20"/>
                <w:szCs w:val="20"/>
              </w:rPr>
              <w:br/>
              <w:t>grobišč za leto 2023,</w:t>
            </w:r>
          </w:p>
          <w:p w:rsidR="003E5992" w:rsidRPr="005F6562" w:rsidP="007A5C65" w14:paraId="09381988" w14:textId="77777777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49" w:hanging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Finančni načrt dela Komisije Vlade Republike Slovenije za reševanje vprašanj prikritih grobišč za leto 2023.</w:t>
            </w:r>
          </w:p>
          <w:p w:rsidR="003E5992" w:rsidRPr="005F6562" w:rsidP="007A5C65" w14:paraId="2C0227EA" w14:textId="3A602780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:rsidR="003E5992" w:rsidRPr="005F6562" w:rsidP="007A5C65" w14:paraId="69C21180" w14:textId="77777777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Prejmejo:</w:t>
            </w:r>
          </w:p>
          <w:p w:rsidR="003E5992" w:rsidRPr="005F6562" w:rsidP="007A5C65" w14:paraId="55263F01" w14:textId="77777777">
            <w:pPr>
              <w:pStyle w:val="Neotevilenodstavek"/>
              <w:numPr>
                <w:ilvl w:val="0"/>
                <w:numId w:val="31"/>
              </w:numPr>
              <w:spacing w:before="0" w:after="0" w:line="276" w:lineRule="auto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Komisija Vlade Republike Slovenije za reševanje vprašanj prikritih grobišč</w:t>
            </w:r>
          </w:p>
          <w:p w:rsidR="003E5992" w:rsidRPr="00223DB7" w:rsidP="007A5C65" w14:paraId="769A0513" w14:textId="0D889A2B">
            <w:pPr>
              <w:pStyle w:val="Neotevilenodstavek"/>
              <w:numPr>
                <w:ilvl w:val="0"/>
                <w:numId w:val="31"/>
              </w:numPr>
              <w:spacing w:before="0" w:after="0" w:line="276" w:lineRule="auto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Ministrstvo za obrambo, Uprava RS za vojaško dediščino</w:t>
            </w:r>
          </w:p>
          <w:p w:rsidR="003E5992" w:rsidRPr="005F6562" w:rsidP="00523FBF" w14:paraId="0DC1A876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14:paraId="05D32B90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1493D15A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F6562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14:paraId="19C35B6E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113AD9D4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/</w:t>
            </w:r>
          </w:p>
        </w:tc>
      </w:tr>
      <w:tr w14:paraId="268D5A78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76975463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F6562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14:paraId="4C939F12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17D474DA" w14:textId="77777777">
            <w:pPr>
              <w:pStyle w:val="Neotevilenodstavek"/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Mag. Matjaž Ravbar, v. d. direktorja, Uprava Republike Slovenije za vojaško dediščino.</w:t>
            </w:r>
          </w:p>
        </w:tc>
      </w:tr>
      <w:tr w14:paraId="79B1E67B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564A4124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F6562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6562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14:paraId="19F40A0C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38E3E5CF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/</w:t>
            </w:r>
          </w:p>
        </w:tc>
      </w:tr>
      <w:tr w14:paraId="19C16F7A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42322BA7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F6562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14:paraId="67061F57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2CDE4B93" w14:textId="77777777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/</w:t>
            </w:r>
          </w:p>
        </w:tc>
      </w:tr>
      <w:tr w14:paraId="5866ACDD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70ED3DBF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5. Kratek povzetek gradiva:</w:t>
            </w:r>
          </w:p>
        </w:tc>
      </w:tr>
      <w:tr w14:paraId="5A865AC2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76028A73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/</w:t>
            </w:r>
          </w:p>
        </w:tc>
      </w:tr>
      <w:tr w14:paraId="1C27DCA7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6F549D6A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6. Presoja posledic za:</w:t>
            </w:r>
          </w:p>
        </w:tc>
      </w:tr>
      <w:tr w14:paraId="60D17F85" w14:textId="77777777" w:rsidTr="003E5992">
        <w:tblPrEx>
          <w:tblW w:w="9168" w:type="dxa"/>
          <w:tblInd w:w="103" w:type="dxa"/>
          <w:tblLook w:val="04A0"/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4048B0EF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3FB8987E" w14:textId="77777777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27BEE12F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DA</w:t>
            </w:r>
          </w:p>
        </w:tc>
      </w:tr>
      <w:tr w14:paraId="437C7E5E" w14:textId="77777777" w:rsidTr="003E5992">
        <w:tblPrEx>
          <w:tblW w:w="9168" w:type="dxa"/>
          <w:tblInd w:w="103" w:type="dxa"/>
          <w:tblLook w:val="04A0"/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6015FB0A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464C93C9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02CE681B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62B9FFD1" w14:textId="77777777" w:rsidTr="003E5992">
        <w:tblPrEx>
          <w:tblW w:w="9168" w:type="dxa"/>
          <w:tblInd w:w="103" w:type="dxa"/>
          <w:tblLook w:val="04A0"/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1A08BC96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5C378834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59711831" w14:textId="77777777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17960ED0" w14:textId="77777777" w:rsidTr="003E5992">
        <w:tblPrEx>
          <w:tblW w:w="9168" w:type="dxa"/>
          <w:tblInd w:w="103" w:type="dxa"/>
          <w:tblLook w:val="04A0"/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1497E3F9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22118247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gospodarstvo, zlasti</w:t>
            </w:r>
            <w:r w:rsidRPr="005F6562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14BFA7D3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2389A898" w14:textId="77777777" w:rsidTr="003E5992">
        <w:tblPrEx>
          <w:tblW w:w="9168" w:type="dxa"/>
          <w:tblInd w:w="103" w:type="dxa"/>
          <w:tblLook w:val="04A0"/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72C30E23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400246FB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F6562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3269E52C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0E7BA91E" w14:textId="77777777" w:rsidTr="003E5992">
        <w:tblPrEx>
          <w:tblW w:w="9168" w:type="dxa"/>
          <w:tblInd w:w="103" w:type="dxa"/>
          <w:tblLook w:val="04A0"/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7315A05D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1FB60520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F6562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24EF617C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275F35BF" w14:textId="77777777" w:rsidTr="003E5992">
        <w:tblPrEx>
          <w:tblW w:w="9168" w:type="dxa"/>
          <w:tblInd w:w="103" w:type="dxa"/>
          <w:tblLook w:val="04A0"/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992" w:rsidRPr="005F6562" w:rsidP="00523FBF" w14:paraId="391399EC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992" w:rsidRPr="005F6562" w:rsidP="00523FBF" w14:paraId="4004CB26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F6562">
              <w:rPr>
                <w:bCs/>
                <w:sz w:val="20"/>
                <w:szCs w:val="20"/>
              </w:rPr>
              <w:t>dokumente razvojnega načrtovanja:</w:t>
            </w:r>
          </w:p>
          <w:p w:rsidR="003E5992" w:rsidRPr="005F6562" w:rsidP="003E5992" w14:paraId="12F25789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textAlignment w:val="auto"/>
              <w:rPr>
                <w:bCs/>
                <w:sz w:val="20"/>
                <w:szCs w:val="20"/>
              </w:rPr>
            </w:pPr>
            <w:r w:rsidRPr="005F6562">
              <w:rPr>
                <w:bCs/>
                <w:sz w:val="20"/>
                <w:szCs w:val="20"/>
              </w:rPr>
              <w:t>nacionalne dokumente razvojnega načrtovanja</w:t>
            </w:r>
          </w:p>
          <w:p w:rsidR="003E5992" w:rsidRPr="005F6562" w:rsidP="003E5992" w14:paraId="7614D75E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textAlignment w:val="auto"/>
              <w:rPr>
                <w:bCs/>
                <w:sz w:val="20"/>
                <w:szCs w:val="20"/>
              </w:rPr>
            </w:pPr>
            <w:r w:rsidRPr="005F6562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3E5992" w:rsidRPr="005F6562" w:rsidP="003E5992" w14:paraId="18971E9F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textAlignment w:val="auto"/>
              <w:rPr>
                <w:bCs/>
                <w:sz w:val="20"/>
                <w:szCs w:val="20"/>
              </w:rPr>
            </w:pPr>
            <w:r w:rsidRPr="005F6562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787E7BC5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61823E15" w14:textId="77777777" w:rsidTr="003E5992">
        <w:tblPrEx>
          <w:tblW w:w="9168" w:type="dxa"/>
          <w:tblInd w:w="103" w:type="dxa"/>
          <w:tblLook w:val="04A0"/>
        </w:tblPrEx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2" w:rsidRPr="005F6562" w:rsidP="00523FBF" w14:paraId="0A9D9990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7.a Predstavitev ocene finančnih posledic nad 40.000 EUR:</w:t>
            </w:r>
          </w:p>
          <w:p w:rsidR="003E5992" w:rsidRPr="005F6562" w:rsidP="00523FBF" w14:paraId="5B18CD20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5F6562">
              <w:rPr>
                <w:b w:val="0"/>
                <w:sz w:val="20"/>
                <w:szCs w:val="20"/>
              </w:rPr>
              <w:t>Sredstva so zagotovljena v proračunu proračunskega uporabnika 1916 Uprava RS za vojaško dediščino.</w:t>
            </w:r>
          </w:p>
        </w:tc>
      </w:tr>
    </w:tbl>
    <w:p w:rsidR="003E5992" w:rsidRPr="005F6562" w:rsidP="003E5992" w14:paraId="5C949653" w14:textId="77777777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14:paraId="0566017F" w14:textId="77777777" w:rsidTr="00523FBF">
        <w:tblPrEx>
          <w:tblW w:w="9200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E5992" w:rsidRPr="005F6562" w:rsidP="00523FBF" w14:paraId="4B57E12B" w14:textId="77777777">
            <w:pPr>
              <w:pStyle w:val="Heading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I. Ocena finančnih posledic, ki niso načrtovane v sprejetem proračunu</w:t>
            </w:r>
          </w:p>
        </w:tc>
      </w:tr>
      <w:tr w14:paraId="3EB7372B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35541491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75A5D7B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7650730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075A73C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341903E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14:paraId="28C624A2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15CC3155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F6562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F65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F6562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558D530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9B6585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536872B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690610F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40CE50F0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54781E36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F6562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F65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F6562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F2BE2C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1A781A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42258E3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35CE278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72E438D3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4603CF32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F6562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F65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F6562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B3079FF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DC4F46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7E0887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BE09C97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EAA2F48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3864ED1D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F6562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F65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F6562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2E9521F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C0027E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4D07D568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4092E6B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C0067D7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41E4C276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F6562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F65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F6562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0004F28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58D8C75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0F64F59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F2F133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6B303011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E5992" w:rsidRPr="005F6562" w:rsidP="00523FBF" w14:paraId="769C748D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II. Finančne posledice za državni proračun</w:t>
            </w:r>
          </w:p>
        </w:tc>
      </w:tr>
      <w:tr w14:paraId="4AF1656F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E5992" w:rsidRPr="005F6562" w:rsidP="00523FBF" w14:paraId="32B0FD47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b w:val="0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II.a</w:t>
            </w:r>
            <w:r w:rsidRPr="005F6562">
              <w:rPr>
                <w:rFonts w:cs="Arial"/>
                <w:b w:val="0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14:paraId="59A7AB98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29CD2898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3E9B1DD2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5FD3C98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5AE6D10D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63EEC27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74123811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06EC7E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 w:rsidRPr="005F6562">
              <w:rPr>
                <w:rFonts w:cs="Arial"/>
                <w:b w:val="0"/>
                <w:bCs/>
                <w:sz w:val="20"/>
                <w:szCs w:val="20"/>
              </w:rPr>
              <w:t>1916- Uprava RS za vojaško dediščino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04F8A38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 w:rsidRPr="005F6562">
              <w:rPr>
                <w:rFonts w:cs="Arial"/>
                <w:b w:val="0"/>
                <w:bCs/>
                <w:sz w:val="20"/>
                <w:szCs w:val="20"/>
              </w:rPr>
              <w:t>1916-21-0003 Odkrivanje in označevanje prikritih vojnih grobišč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51A6DA2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 w:rsidRPr="005F6562">
              <w:rPr>
                <w:rFonts w:cs="Arial"/>
                <w:b w:val="0"/>
                <w:bCs/>
                <w:sz w:val="20"/>
                <w:szCs w:val="20"/>
              </w:rPr>
              <w:t>221048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090C9930" w14:textId="2F14A829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854.440</w:t>
            </w:r>
            <w:r w:rsidRPr="005F6562">
              <w:rPr>
                <w:rFonts w:cs="Arial"/>
                <w:b w:val="0"/>
                <w:bCs/>
                <w:sz w:val="20"/>
                <w:szCs w:val="20"/>
              </w:rPr>
              <w:t>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435D79B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14:paraId="57995BC5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9FDC9E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8387CB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4A15367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AD6959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0534D9E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14:paraId="3A4FF4BD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31628C6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CB029B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D3D78C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710915DC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E5992" w:rsidRPr="005F6562" w:rsidP="00523FBF" w14:paraId="286CCD34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b w:val="0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II.b</w:t>
            </w:r>
            <w:r w:rsidRPr="005F6562">
              <w:rPr>
                <w:rFonts w:cs="Arial"/>
                <w:b w:val="0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14:paraId="1F23E6A9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04988E3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6B93854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156BE2D6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66E9E583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3616AE27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14:paraId="5C6ACDA9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3F54A8B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DD9BE6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56AAFF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38EE61B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C26828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14:paraId="22DC61A9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0860AAF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F8B355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A896D1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52B178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013329E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14:paraId="47EB3FF2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7B9B4DD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005EDF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4E87B9A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6E07EC74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E5992" w:rsidRPr="005F6562" w:rsidP="00523FBF" w14:paraId="27010ACC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b w:val="0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II.c</w:t>
            </w:r>
            <w:r w:rsidRPr="005F6562">
              <w:rPr>
                <w:rFonts w:cs="Arial"/>
                <w:b w:val="0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14:paraId="0DD2D30A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41070EC2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46CE029D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68472E94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62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243DF2B9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6BF6CFF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696274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96EA1B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14:paraId="2993AF4E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7955A9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37C0C28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78F351B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14:paraId="740490FA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21B90FB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539BB04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16C739E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14:paraId="30E428B4" w14:textId="77777777" w:rsidTr="00523FBF">
        <w:tblPrEx>
          <w:tblW w:w="9200" w:type="dxa"/>
          <w:tblInd w:w="8" w:type="dxa"/>
          <w:tblLook w:val="04A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92" w:rsidRPr="005F6562" w:rsidP="00523FBF" w14:paraId="6E3ACD0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F6562">
              <w:rPr>
                <w:rFonts w:cs="Arial"/>
                <w:b w:val="0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60D7F89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2" w:rsidRPr="005F6562" w:rsidP="00523FBF" w14:paraId="586835C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398E67CF" w14:textId="77777777" w:rsidTr="00523FBF">
        <w:tblPrEx>
          <w:tblW w:w="9200" w:type="dxa"/>
          <w:tblInd w:w="8" w:type="dxa"/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3BFA3C36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7.b Predstavitev ocene finančnih posledic pod 40.000 EUR:</w:t>
            </w:r>
          </w:p>
          <w:p w:rsidR="003E5992" w:rsidRPr="005F6562" w:rsidP="00523FBF" w14:paraId="09E4ADA6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5F6562">
              <w:rPr>
                <w:b w:val="0"/>
                <w:sz w:val="20"/>
                <w:szCs w:val="20"/>
              </w:rPr>
              <w:t>(Samo če izberete NE pod točko 6.a.)</w:t>
            </w:r>
          </w:p>
          <w:p w:rsidR="003E5992" w:rsidRPr="005F6562" w:rsidP="00523FBF" w14:paraId="24E67E77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5F6562">
              <w:rPr>
                <w:b w:val="0"/>
                <w:sz w:val="20"/>
                <w:szCs w:val="20"/>
              </w:rPr>
              <w:t>Kratka obrazložitev</w:t>
            </w:r>
          </w:p>
        </w:tc>
      </w:tr>
      <w:tr w14:paraId="26DB8B5C" w14:textId="77777777" w:rsidTr="00523FBF">
        <w:tblPrEx>
          <w:tblW w:w="9200" w:type="dxa"/>
          <w:tblInd w:w="8" w:type="dxa"/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27313C1A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F65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14:paraId="6A7DCE51" w14:textId="77777777" w:rsidTr="00523FBF">
        <w:tblPrEx>
          <w:tblW w:w="9200" w:type="dxa"/>
          <w:tblInd w:w="8" w:type="dxa"/>
          <w:tblLook w:val="04A0"/>
        </w:tblPrEx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92" w:rsidRPr="005F6562" w:rsidP="00523FBF" w14:paraId="4F7E2110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Vsebina predloženega gradiva (predpisa) vpliva na:</w:t>
            </w:r>
          </w:p>
          <w:p w:rsidR="003E5992" w:rsidRPr="005F6562" w:rsidP="003E5992" w14:paraId="34C73815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pristojnosti občin,</w:t>
            </w:r>
          </w:p>
          <w:p w:rsidR="003E5992" w:rsidRPr="005F6562" w:rsidP="003E5992" w14:paraId="59BF4C3A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delovanje občin,</w:t>
            </w:r>
          </w:p>
          <w:p w:rsidR="003E5992" w:rsidRPr="005F6562" w:rsidP="003E5992" w14:paraId="1ADC3BAB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financiranje občin.</w:t>
            </w:r>
          </w:p>
          <w:p w:rsidR="003E5992" w:rsidRPr="005F6562" w:rsidP="00523FBF" w14:paraId="0DE9C67F" w14:textId="77777777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5C70B287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29C5B739" w14:textId="77777777" w:rsidTr="00523FBF">
        <w:tblPrEx>
          <w:tblW w:w="9200" w:type="dxa"/>
          <w:tblInd w:w="8" w:type="dxa"/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92" w:rsidRPr="005F6562" w:rsidP="00523FBF" w14:paraId="7760DB21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:rsidR="003E5992" w:rsidRPr="005F6562" w:rsidP="003E5992" w14:paraId="59C37BCB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Skupnosti občin Slovenije SOS: NE</w:t>
            </w:r>
          </w:p>
          <w:p w:rsidR="003E5992" w:rsidRPr="005F6562" w:rsidP="003E5992" w14:paraId="3B710FDC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Združenju občin Slovenije ZOS: NE</w:t>
            </w:r>
          </w:p>
          <w:p w:rsidR="003E5992" w:rsidRPr="005F6562" w:rsidP="003E5992" w14:paraId="7B7A4116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Združenju mestnih občin Slovenije ZMOS: NE</w:t>
            </w:r>
          </w:p>
          <w:p w:rsidR="003E5992" w:rsidRPr="005F6562" w:rsidP="00523FBF" w14:paraId="1C1FE4DA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3E5992" w:rsidRPr="005F6562" w:rsidP="00523FBF" w14:paraId="0E9B3C6A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Predlogi in pripombe združenj so bili upoštevani:</w:t>
            </w:r>
          </w:p>
          <w:p w:rsidR="003E5992" w:rsidRPr="005F6562" w:rsidP="003E5992" w14:paraId="74697157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v celoti,</w:t>
            </w:r>
          </w:p>
          <w:p w:rsidR="003E5992" w:rsidRPr="005F6562" w:rsidP="003E5992" w14:paraId="0C2E17B6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večinoma,</w:t>
            </w:r>
          </w:p>
          <w:p w:rsidR="003E5992" w:rsidRPr="005F6562" w:rsidP="003E5992" w14:paraId="5F505364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delno,</w:t>
            </w:r>
          </w:p>
          <w:p w:rsidR="003E5992" w:rsidRPr="005F6562" w:rsidP="003E5992" w14:paraId="279C1EF6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textAlignment w:val="auto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niso bili upoštevani.</w:t>
            </w:r>
          </w:p>
          <w:p w:rsidR="003E5992" w:rsidRPr="005F6562" w:rsidP="00523FBF" w14:paraId="2B5C91F8" w14:textId="77777777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:rsidR="003E5992" w:rsidRPr="005F6562" w:rsidP="00523FBF" w14:paraId="19589F54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Bistveni predlogi in pripombe, ki niso bili upoštevani.</w:t>
            </w:r>
          </w:p>
          <w:p w:rsidR="003E5992" w:rsidRPr="005F6562" w:rsidP="00523FBF" w14:paraId="77E510E2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14:paraId="68ACF6D8" w14:textId="77777777" w:rsidTr="00523FBF">
        <w:tblPrEx>
          <w:tblW w:w="9200" w:type="dxa"/>
          <w:tblInd w:w="8" w:type="dxa"/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2112C8C5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9. Predstavitev sodelovanja javnosti:</w:t>
            </w:r>
          </w:p>
        </w:tc>
      </w:tr>
      <w:tr w14:paraId="312E63D2" w14:textId="77777777" w:rsidTr="00523FBF">
        <w:tblPrEx>
          <w:tblW w:w="9200" w:type="dxa"/>
          <w:tblInd w:w="8" w:type="dxa"/>
          <w:tblLook w:val="04A0"/>
        </w:tblPrEx>
        <w:tc>
          <w:tcPr>
            <w:tcW w:w="6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4E86AF09" w14:textId="77777777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1FF5BBB2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47646DF6" w14:textId="77777777" w:rsidTr="00523FBF">
        <w:tblPrEx>
          <w:tblW w:w="9200" w:type="dxa"/>
          <w:tblInd w:w="8" w:type="dxa"/>
          <w:tblLook w:val="04A0"/>
        </w:tblPrEx>
        <w:trPr>
          <w:trHeight w:val="274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992" w:rsidRPr="005F6562" w:rsidP="00523FBF" w14:paraId="5BB8460E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F6562">
              <w:rPr>
                <w:iCs/>
                <w:sz w:val="20"/>
                <w:szCs w:val="20"/>
              </w:rPr>
              <w:t xml:space="preserve">Ne gre za pripravo predpisa iz 9. člena Poslovnika Vlade Republike Slovenije (Uradni list RS, št. 43/01, 23/02 – </w:t>
            </w:r>
            <w:r w:rsidRPr="005F6562">
              <w:rPr>
                <w:iCs/>
                <w:sz w:val="20"/>
                <w:szCs w:val="20"/>
              </w:rPr>
              <w:t>popr</w:t>
            </w:r>
            <w:r w:rsidRPr="005F6562">
              <w:rPr>
                <w:iCs/>
                <w:sz w:val="20"/>
                <w:szCs w:val="20"/>
              </w:rPr>
              <w:t xml:space="preserve">., 54/03, 103/03, 114/04, 26/06, 21/07, 32/10, 73/10, 95/11, 64/12, 10/14, 164/20, 35/21, 51/21, 114/21 in </w:t>
            </w:r>
            <w:r w:rsidRPr="005F6562">
              <w:rPr>
                <w:sz w:val="20"/>
                <w:szCs w:val="20"/>
              </w:rPr>
              <w:t>163/22</w:t>
            </w:r>
            <w:r w:rsidRPr="005F6562">
              <w:rPr>
                <w:iCs/>
                <w:sz w:val="20"/>
                <w:szCs w:val="20"/>
              </w:rPr>
              <w:t>), zato javnost ni bila povabljena k sodelovanju.</w:t>
            </w:r>
          </w:p>
        </w:tc>
      </w:tr>
      <w:tr w14:paraId="6411CB95" w14:textId="77777777" w:rsidTr="00523FBF">
        <w:tblPrEx>
          <w:tblW w:w="9200" w:type="dxa"/>
          <w:tblInd w:w="8" w:type="dxa"/>
          <w:tblLook w:val="04A0"/>
        </w:tblPrEx>
        <w:tc>
          <w:tcPr>
            <w:tcW w:w="6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72DB5F44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F6562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64E298EE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15E8FA79" w14:textId="77777777" w:rsidTr="00523FBF">
        <w:tblPrEx>
          <w:tblW w:w="9200" w:type="dxa"/>
          <w:tblInd w:w="8" w:type="dxa"/>
          <w:tblLook w:val="04A0"/>
        </w:tblPrEx>
        <w:tc>
          <w:tcPr>
            <w:tcW w:w="6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19BC0D44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F6562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992" w:rsidRPr="005F6562" w:rsidP="00523FBF" w14:paraId="5E55A006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>NE</w:t>
            </w:r>
          </w:p>
        </w:tc>
      </w:tr>
      <w:tr w14:paraId="07DF479C" w14:textId="77777777" w:rsidTr="00523FBF">
        <w:tblPrEx>
          <w:tblW w:w="9200" w:type="dxa"/>
          <w:tblInd w:w="8" w:type="dxa"/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92" w:rsidRPr="005F6562" w:rsidP="00523FBF" w14:paraId="25DDA3D7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:rsidR="003E5992" w:rsidRPr="005F6562" w:rsidP="00523FBF" w14:paraId="42E32534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 xml:space="preserve">                                   Marjan Šarec</w:t>
            </w:r>
          </w:p>
          <w:p w:rsidR="003E5992" w:rsidRPr="005F6562" w:rsidP="00523FBF" w14:paraId="1F171B47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5F6562">
              <w:rPr>
                <w:sz w:val="20"/>
                <w:szCs w:val="20"/>
              </w:rPr>
              <w:t xml:space="preserve">                                        minister</w:t>
            </w:r>
          </w:p>
          <w:p w:rsidR="003E5992" w:rsidRPr="005F6562" w:rsidP="00523FBF" w14:paraId="547E2F09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:rsidR="003E5992" w:rsidRPr="005F6562" w:rsidP="003E5992" w14:paraId="1BCAEF42" w14:textId="77777777">
      <w:pPr>
        <w:pStyle w:val="podpisi"/>
        <w:tabs>
          <w:tab w:val="left" w:pos="708"/>
        </w:tabs>
        <w:rPr>
          <w:rFonts w:cs="Arial"/>
          <w:b/>
          <w:szCs w:val="20"/>
          <w:lang w:val="sl-SI"/>
        </w:rPr>
      </w:pPr>
    </w:p>
    <w:p w:rsidR="003E5992" w:rsidRPr="005F6562" w:rsidP="003E5992" w14:paraId="53498AAC" w14:textId="77777777">
      <w:pPr>
        <w:pStyle w:val="podpisi"/>
        <w:tabs>
          <w:tab w:val="left" w:pos="708"/>
        </w:tabs>
        <w:rPr>
          <w:rFonts w:cs="Arial"/>
          <w:szCs w:val="20"/>
          <w:lang w:val="sl-SI"/>
        </w:rPr>
      </w:pPr>
      <w:r w:rsidRPr="005F6562">
        <w:rPr>
          <w:rFonts w:cs="Arial"/>
          <w:szCs w:val="20"/>
          <w:lang w:val="sl-SI"/>
        </w:rPr>
        <w:t>Poslano:</w:t>
      </w:r>
    </w:p>
    <w:p w:rsidR="003E5992" w:rsidRPr="005F6562" w:rsidP="003E5992" w14:paraId="4759BE34" w14:textId="77777777">
      <w:pPr>
        <w:pStyle w:val="podpisi"/>
        <w:numPr>
          <w:ilvl w:val="0"/>
          <w:numId w:val="32"/>
        </w:numPr>
        <w:tabs>
          <w:tab w:val="left" w:pos="426"/>
        </w:tabs>
        <w:rPr>
          <w:rFonts w:cs="Arial"/>
          <w:szCs w:val="20"/>
          <w:lang w:val="sl-SI"/>
        </w:rPr>
      </w:pPr>
      <w:r w:rsidRPr="005F6562">
        <w:rPr>
          <w:rFonts w:cs="Arial"/>
          <w:szCs w:val="20"/>
          <w:lang w:val="sl-SI"/>
        </w:rPr>
        <w:t>naslovniku</w:t>
      </w:r>
    </w:p>
    <w:p w:rsidR="003E5992" w:rsidRPr="005F6562" w:rsidP="003E5992" w14:paraId="58E2A2F0" w14:textId="77777777">
      <w:pPr>
        <w:pStyle w:val="podpisi"/>
        <w:numPr>
          <w:ilvl w:val="0"/>
          <w:numId w:val="32"/>
        </w:numPr>
        <w:tabs>
          <w:tab w:val="left" w:pos="426"/>
        </w:tabs>
        <w:rPr>
          <w:rFonts w:cs="Arial"/>
          <w:szCs w:val="20"/>
          <w:lang w:val="sl-SI"/>
        </w:rPr>
      </w:pPr>
      <w:r w:rsidRPr="005F6562">
        <w:rPr>
          <w:rFonts w:cs="Arial"/>
          <w:szCs w:val="20"/>
          <w:lang w:val="sl-SI"/>
        </w:rPr>
        <w:t>URSVD</w:t>
      </w:r>
    </w:p>
    <w:p w:rsidR="003E5992" w:rsidRPr="005F6562" w:rsidP="003E5992" w14:paraId="0991A70F" w14:textId="77777777">
      <w:pPr>
        <w:pStyle w:val="podpisi"/>
        <w:tabs>
          <w:tab w:val="left" w:pos="708"/>
        </w:tabs>
        <w:ind w:left="360"/>
        <w:rPr>
          <w:rFonts w:cs="Arial"/>
          <w:szCs w:val="20"/>
          <w:lang w:val="sl-SI"/>
        </w:rPr>
      </w:pPr>
    </w:p>
    <w:p w:rsidR="003E5992" w:rsidRPr="005F6562" w:rsidP="003E5992" w14:paraId="33C2A412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6562">
        <w:rPr>
          <w:rFonts w:ascii="Arial" w:hAnsi="Arial" w:cs="Arial"/>
          <w:sz w:val="20"/>
          <w:szCs w:val="20"/>
        </w:rPr>
        <w:t>Prilog</w:t>
      </w:r>
      <w:r>
        <w:rPr>
          <w:rFonts w:ascii="Arial" w:hAnsi="Arial" w:cs="Arial"/>
          <w:sz w:val="20"/>
          <w:szCs w:val="20"/>
        </w:rPr>
        <w:t>e</w:t>
      </w:r>
      <w:r w:rsidRPr="005F6562">
        <w:rPr>
          <w:rFonts w:ascii="Arial" w:hAnsi="Arial" w:cs="Arial"/>
          <w:sz w:val="20"/>
          <w:szCs w:val="20"/>
        </w:rPr>
        <w:t xml:space="preserve">: </w:t>
      </w:r>
    </w:p>
    <w:p w:rsidR="003E5992" w:rsidRPr="005F6562" w:rsidP="003E5992" w14:paraId="6F9B6FFD" w14:textId="77777777">
      <w:pPr>
        <w:pStyle w:val="ListParagraph"/>
        <w:numPr>
          <w:ilvl w:val="0"/>
          <w:numId w:val="31"/>
        </w:num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 w:rsidRPr="005F6562">
        <w:rPr>
          <w:rFonts w:ascii="Arial" w:hAnsi="Arial" w:cs="Arial"/>
          <w:sz w:val="20"/>
          <w:szCs w:val="20"/>
        </w:rPr>
        <w:t xml:space="preserve">Program dela Komisije Vlade Republike Slovenije za reševanje vprašanj prikritih </w:t>
      </w:r>
      <w:r w:rsidRPr="005F6562">
        <w:rPr>
          <w:rFonts w:ascii="Arial" w:hAnsi="Arial" w:cs="Arial"/>
          <w:sz w:val="20"/>
          <w:szCs w:val="20"/>
        </w:rPr>
        <w:br/>
        <w:t>grobišč za leto 2023,</w:t>
      </w:r>
    </w:p>
    <w:p w:rsidR="003E5992" w:rsidRPr="005F6562" w:rsidP="003E5992" w14:paraId="392429DB" w14:textId="77777777">
      <w:pPr>
        <w:pStyle w:val="ListParagraph"/>
        <w:numPr>
          <w:ilvl w:val="0"/>
          <w:numId w:val="31"/>
        </w:num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 w:rsidRPr="005F6562">
        <w:rPr>
          <w:rFonts w:ascii="Arial" w:hAnsi="Arial" w:cs="Arial"/>
          <w:sz w:val="20"/>
          <w:szCs w:val="20"/>
        </w:rPr>
        <w:t>Finančni načrt dela Komisije Vlade Republike Slovenije za reševanje vprašanj prikritih grobišč za leto 2023.</w:t>
      </w:r>
    </w:p>
    <w:p w:rsidR="003E5992" w:rsidRPr="005F6562" w:rsidP="003E5992" w14:paraId="3B669498" w14:textId="77777777">
      <w:pPr>
        <w:pStyle w:val="podpisi"/>
        <w:tabs>
          <w:tab w:val="left" w:pos="708"/>
        </w:tabs>
        <w:rPr>
          <w:rFonts w:cs="Arial"/>
          <w:szCs w:val="20"/>
          <w:lang w:val="sl-SI"/>
        </w:rPr>
      </w:pPr>
    </w:p>
    <w:p w:rsidR="003E5992" w:rsidRPr="005F6562" w:rsidP="003E5992" w14:paraId="695F637B" w14:textId="77777777">
      <w:pPr>
        <w:pStyle w:val="podpisi"/>
        <w:tabs>
          <w:tab w:val="left" w:pos="708"/>
        </w:tabs>
        <w:ind w:left="360"/>
        <w:rPr>
          <w:rFonts w:cs="Arial"/>
          <w:szCs w:val="20"/>
          <w:lang w:val="sl-SI"/>
        </w:rPr>
      </w:pPr>
    </w:p>
    <w:p w:rsidR="003E5992" w:rsidRPr="005F6562" w:rsidP="003E5992" w14:paraId="0B7864D7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24C148F3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261858A3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0F0D2E33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07B20ADC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54575377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3529E941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23E6211B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4E90CF04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2462ADDD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78B4AFDA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46CB43B8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5F6562" w:rsidP="003E5992" w14:paraId="7EF1B7B1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E5992" w:rsidRPr="009C5141" w:rsidP="003E5992" w14:paraId="1A20F6F1" w14:textId="77777777">
      <w:pPr>
        <w:pStyle w:val="Naslovpredpisa"/>
        <w:spacing w:before="0" w:after="0" w:line="260" w:lineRule="exact"/>
        <w:jc w:val="both"/>
        <w:rPr>
          <w:b w:val="0"/>
          <w:bCs/>
          <w:sz w:val="20"/>
          <w:szCs w:val="20"/>
        </w:rPr>
      </w:pPr>
    </w:p>
    <w:p w:rsidR="003E5992" w:rsidRPr="005F6562" w:rsidP="003E5992" w14:paraId="7F320B91" w14:textId="77777777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5F6562">
        <w:rPr>
          <w:rFonts w:ascii="Arial" w:hAnsi="Arial" w:cs="Arial"/>
          <w:sz w:val="20"/>
          <w:szCs w:val="20"/>
        </w:rPr>
        <w:br w:type="page"/>
      </w:r>
      <w:r w:rsidRPr="005F6562">
        <w:rPr>
          <w:rFonts w:ascii="Arial" w:hAnsi="Arial" w:cs="Arial"/>
          <w:sz w:val="20"/>
          <w:szCs w:val="20"/>
        </w:rPr>
        <w:t>OBRAZLOŽITEV</w:t>
      </w:r>
    </w:p>
    <w:p w:rsidR="003E5992" w:rsidRPr="005F6562" w:rsidP="003E5992" w14:paraId="3DF2C5F1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5992" w:rsidRPr="00033FEB" w:rsidP="003E5992" w14:paraId="25A08997" w14:textId="44E90E4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33FEB">
        <w:rPr>
          <w:rFonts w:ascii="Arial" w:hAnsi="Arial" w:cs="Arial"/>
          <w:iCs/>
          <w:sz w:val="20"/>
          <w:szCs w:val="20"/>
        </w:rPr>
        <w:t>Varstvo vojnih grobišč in varstvo prikritih vojnih grobišč je v Republiki Sloveniji urejeno z Zakonom o vojnih grobiščih (Uradni list RS, št. 65/03, 72/09 in 32/17; v nadaljnjem besedilu: ZVG) in z Zakonom o prikritih vojnih grobiščih in pokopu žrtev (Uradni list RS, št. 55/15 in 92/21; v nadaljnjem besedilu: ZPVGPŽ). Varstvo vojnih grobišč in varstvo prikritih vojnih grobišč je v pristojnosti Republike Slovenije.</w:t>
      </w:r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 ZPVGPŽ v 3. členu določa, da je za varstvo prikritih vojnih grobišč pristojno ministrstvo, ki je pristojno za vojna grobišča, torej </w:t>
      </w:r>
      <w:r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inistrstvo za obrambo. Zakon o državni upravi (Uradni list RS, št. </w:t>
      </w:r>
      <w:hyperlink r:id="rId6" w:tgtFrame="_blank" w:tooltip="Zakon o državni upravi (uradno prečiščeno besedilo)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113/05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 – uradno prečiščeno besedilo, </w:t>
      </w:r>
      <w:hyperlink r:id="rId7" w:tgtFrame="_blank" w:tooltip="Odločba o razveljavitvi 2. člena Zakona o spremembah in dopolnitvah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89/07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 – </w:t>
      </w:r>
      <w:r w:rsidRPr="00033FEB">
        <w:rPr>
          <w:rFonts w:ascii="Arial" w:eastAsia="Times New Roman" w:hAnsi="Arial" w:cs="Arial"/>
          <w:sz w:val="20"/>
          <w:szCs w:val="20"/>
          <w:lang w:eastAsia="sl-SI"/>
        </w:rPr>
        <w:t>odl</w:t>
      </w:r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. US, </w:t>
      </w:r>
      <w:hyperlink r:id="rId8" w:tgtFrame="_blank" w:tooltip="Zakon o spremembah in dopolnitvah Zakona o splošnem upravnem postopku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126/07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 – ZUP-E, </w:t>
      </w:r>
      <w:hyperlink r:id="rId9" w:tgtFrame="_blank" w:tooltip="Zakon o spremembah in dopolnitvah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48/09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" w:tgtFrame="_blank" w:tooltip="Zakon o spremembah in dopolnitvah Zakona o splošnem upravnem postopku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8/10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 – ZUP-G, </w:t>
      </w:r>
      <w:hyperlink r:id="rId11" w:tgtFrame="_blank" w:tooltip="Zakon o spremembah in dopolnitvah Zakona o Vladi Republike Slovenije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8/12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 – ZVRS-F, </w:t>
      </w:r>
      <w:hyperlink r:id="rId12" w:tgtFrame="_blank" w:tooltip="Zakon o spremembah in dopolnitvah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21/12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" w:tgtFrame="_blank" w:tooltip="Zakon o spremembah in dopolnitvah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47/13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i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12/14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90/14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6" w:tgtFrame="_blank" w:tooltip="Zakon o spremembah in dopolnitvah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51/16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7" w:tgtFrame="_blank" w:tooltip="Zakon o spremembah in dopolnitvi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36/21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8" w:tgtFrame="_blank" w:tooltip="Zakon o spremembi in dopolnitvi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82/21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hyperlink r:id="rId19" w:tgtFrame="_blank" w:tooltip="Zakon o spremembah Zakona o državni upravi" w:history="1">
        <w:r w:rsidRPr="00033FEB">
          <w:rPr>
            <w:rFonts w:ascii="Arial" w:eastAsia="Times New Roman" w:hAnsi="Arial" w:cs="Arial"/>
            <w:sz w:val="20"/>
            <w:szCs w:val="20"/>
            <w:lang w:eastAsia="sl-SI"/>
          </w:rPr>
          <w:t>189/21</w:t>
        </w:r>
      </w:hyperlink>
      <w:r w:rsidRPr="00033FEB">
        <w:rPr>
          <w:rFonts w:ascii="Arial" w:eastAsia="Times New Roman" w:hAnsi="Arial" w:cs="Arial"/>
          <w:sz w:val="20"/>
          <w:szCs w:val="20"/>
          <w:lang w:eastAsia="sl-SI"/>
        </w:rPr>
        <w:t>) v 35. členu določa, da Ministrstvo za obrambo opravlja naloge na področjih obrambnega sistema, sistema varstva pred naravnimi in drugimi nesrečami, vojnih invalidov, vojnih veteranov in žrtev vojnega nasilja ter vojnih grobišč).</w:t>
      </w:r>
    </w:p>
    <w:p w:rsidR="003E5992" w:rsidRPr="00033FEB" w:rsidP="003E5992" w14:paraId="1ACB33EF" w14:textId="7777777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5992" w:rsidRPr="00033FEB" w:rsidP="003E5992" w14:paraId="009415A5" w14:textId="77777777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bookmarkStart w:id="2" w:name="_Hlk93578381"/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 vodenje aktivnosti pri postopku odkrivanja prikritih vojnih grobišč, v skladu z ZPVGPŽ in ZVG je Vlada Republike Slovenije na </w:t>
      </w:r>
      <w:r w:rsidRPr="00033FEB">
        <w:rPr>
          <w:rFonts w:ascii="Arial" w:eastAsia="Times New Roman" w:hAnsi="Arial" w:cs="Arial"/>
          <w:color w:val="000000"/>
          <w:sz w:val="20"/>
          <w:szCs w:val="20"/>
        </w:rPr>
        <w:t>96. redni seji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33FEB">
        <w:rPr>
          <w:rFonts w:ascii="Arial" w:eastAsia="Times New Roman" w:hAnsi="Arial" w:cs="Arial"/>
          <w:color w:val="000000"/>
          <w:sz w:val="20"/>
          <w:szCs w:val="20"/>
        </w:rPr>
        <w:t xml:space="preserve"> dne 12. 7. 2016 </w:t>
      </w:r>
      <w:r w:rsidRPr="00033FEB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imenovala Komisijo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Vlade Republike Slovenije za reševanje vprašanj prikritih grobišč</w:t>
      </w:r>
      <w:bookmarkEnd w:id="2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033FEB">
        <w:rPr>
          <w:rFonts w:ascii="Arial" w:hAnsi="Arial" w:cs="Arial"/>
          <w:sz w:val="20"/>
          <w:szCs w:val="20"/>
        </w:rPr>
        <w:t>(v nadaljnjem besedilu: komisija)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bookmarkStart w:id="3" w:name="_Hlk127430997"/>
      <w:bookmarkStart w:id="4" w:name="_Hlk127431056"/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Dne 10. 5. 2022 </w:t>
      </w:r>
      <w:bookmarkEnd w:id="3"/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</w:t>
      </w:r>
      <w:bookmarkStart w:id="5" w:name="_Hlk127431111"/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Vlada Republike Slovenije</w:t>
      </w:r>
      <w:bookmarkStart w:id="6" w:name="_Hlk127431199"/>
      <w:bookmarkEnd w:id="4"/>
      <w:bookmarkEnd w:id="5"/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bookmarkEnd w:id="6"/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(sklep Vlade RS št. 01201-3/2022/6) imenovala nove člane</w:t>
      </w:r>
      <w:r w:rsidRPr="00033FE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033FEB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Komisije. 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Mandat komisije se je začel 15. 5. 2022 in traja pet let. Člane komisije je predlagalo Ministrstvo za obrambo.  Komisijo sestavljajo dr. Jože Dežman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predsednik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dr. Mitja Ferenc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član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dr. Anton Velušček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član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dr. Maksimiljan Sagadin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član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dr. Jožef Možina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član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dr. Renato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Podbersič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član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Breda Gačnik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članica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dr. Tomaž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Ivešić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član in Peter Sušnik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član. Z dnem imenovanja novih članov Komisije je prenehal mandat članom imenovanim s sklepom Vlade Republike Slovenije, št. 01201-4/2016/4 z dne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Pr="00033FE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12. 7. 2016. </w:t>
      </w:r>
    </w:p>
    <w:p w:rsidR="003E5992" w:rsidP="003E5992" w14:paraId="4C0F08CC" w14:textId="77777777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E5992" w:rsidRPr="00033FEB" w:rsidP="003E5992" w14:paraId="77D15A3E" w14:textId="3BD531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33FEB">
        <w:rPr>
          <w:rFonts w:ascii="Arial" w:hAnsi="Arial" w:cs="Arial"/>
          <w:sz w:val="20"/>
          <w:szCs w:val="20"/>
        </w:rPr>
        <w:t xml:space="preserve">Zakon o prikritih vojnih grobiščih in pokopu žrtev (Uradni list RS, št. 55/15 in 92/21) v tretjem odstavku 4. člena določa, da </w:t>
      </w:r>
      <w:r>
        <w:rPr>
          <w:rFonts w:ascii="Arial" w:hAnsi="Arial" w:cs="Arial"/>
          <w:sz w:val="20"/>
          <w:szCs w:val="20"/>
        </w:rPr>
        <w:t>k</w:t>
      </w:r>
      <w:r w:rsidRPr="00033FEB">
        <w:rPr>
          <w:rFonts w:ascii="Arial" w:hAnsi="Arial" w:cs="Arial"/>
          <w:sz w:val="20"/>
          <w:szCs w:val="20"/>
        </w:rPr>
        <w:t xml:space="preserve">omisija </w:t>
      </w:r>
      <w:r>
        <w:rPr>
          <w:rFonts w:ascii="Arial" w:hAnsi="Arial" w:cs="Arial"/>
          <w:sz w:val="20"/>
          <w:szCs w:val="20"/>
        </w:rPr>
        <w:t>sprejme letni program dela in</w:t>
      </w:r>
      <w:r w:rsidR="00223DB7">
        <w:rPr>
          <w:rFonts w:ascii="Arial" w:hAnsi="Arial" w:cs="Arial"/>
          <w:sz w:val="20"/>
          <w:szCs w:val="20"/>
        </w:rPr>
        <w:t xml:space="preserve"> ga predloži vladi v potrditev, ter </w:t>
      </w:r>
      <w:r>
        <w:rPr>
          <w:rFonts w:ascii="Arial" w:hAnsi="Arial" w:cs="Arial"/>
          <w:sz w:val="20"/>
          <w:szCs w:val="20"/>
        </w:rPr>
        <w:t>pripravi predlog letnega finančnega načrta dela in ga predloži vladi v potrditev</w:t>
      </w:r>
      <w:r w:rsidR="003B7BCE">
        <w:rPr>
          <w:rFonts w:ascii="Arial" w:hAnsi="Arial" w:cs="Arial"/>
          <w:sz w:val="20"/>
          <w:szCs w:val="20"/>
        </w:rPr>
        <w:t xml:space="preserve">. </w:t>
      </w:r>
    </w:p>
    <w:p w:rsidR="003E5992" w:rsidRPr="00033FEB" w:rsidP="003E5992" w14:paraId="357FE38D" w14:textId="77777777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3B7BCE" w:rsidRPr="005F6562" w:rsidP="003B7BCE" w14:paraId="2D3F464D" w14:textId="7B9CF246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6562">
        <w:rPr>
          <w:rFonts w:ascii="Arial" w:hAnsi="Arial" w:cs="Arial"/>
          <w:iCs/>
          <w:sz w:val="20"/>
          <w:szCs w:val="20"/>
        </w:rPr>
        <w:t>Skladno s programom dela komisi</w:t>
      </w:r>
      <w:r>
        <w:rPr>
          <w:rFonts w:ascii="Arial" w:hAnsi="Arial" w:cs="Arial"/>
          <w:iCs/>
          <w:sz w:val="20"/>
          <w:szCs w:val="20"/>
        </w:rPr>
        <w:t xml:space="preserve">je za leto 2023 so proračunska </w:t>
      </w:r>
      <w:r w:rsidRPr="005F6562">
        <w:rPr>
          <w:rFonts w:ascii="Arial" w:hAnsi="Arial" w:cs="Arial"/>
          <w:iCs/>
          <w:sz w:val="20"/>
          <w:szCs w:val="20"/>
        </w:rPr>
        <w:t xml:space="preserve">sredstva predvidena za vse stopnje postopka odkrivanja prikritih vojnih grobišč. Večina sredstev je namenjena dokončanju prekopa posmrtnih ostankov iz prikritega vojnega grobišča Macesnova Gorica. </w:t>
      </w:r>
    </w:p>
    <w:p w:rsidR="003E5992" w:rsidRPr="00033FEB" w:rsidP="003E5992" w14:paraId="49453185" w14:textId="308461E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3E5992" w:rsidP="003E5992" w14:paraId="7E89A0FE" w14:textId="11B301E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F6562">
        <w:rPr>
          <w:rFonts w:ascii="Arial" w:hAnsi="Arial" w:cs="Arial"/>
          <w:sz w:val="20"/>
          <w:szCs w:val="20"/>
        </w:rPr>
        <w:t>Sredstva za delo Komisije Vlade RS za reševanje vprašanj prikritih grobišč so zagotovljena v Proračunu Republike Slovenije za leto 2023, Uprava za vojaško dediščino, Ministrstvo za obrambo (</w:t>
      </w:r>
      <w:r w:rsidRPr="005F6562">
        <w:rPr>
          <w:rFonts w:ascii="Arial" w:eastAsia="Times New Roman" w:hAnsi="Arial" w:cs="Arial"/>
          <w:bCs/>
          <w:sz w:val="20"/>
          <w:szCs w:val="20"/>
          <w:lang w:eastAsia="sl-SI"/>
        </w:rPr>
        <w:t>Proračunska postavka</w:t>
      </w:r>
      <w:r w:rsidRPr="005F6562">
        <w:rPr>
          <w:rFonts w:ascii="Arial" w:eastAsia="Times New Roman" w:hAnsi="Arial" w:cs="Arial"/>
          <w:sz w:val="20"/>
          <w:szCs w:val="20"/>
          <w:lang w:eastAsia="sl-SI"/>
        </w:rPr>
        <w:t>: 221048– Odkrivanje in označevanje prikritih vojnih grobišč, ukrep/NRP: 1916-21-0003 Odkrivanje in označevanje prikritih grobišč</w:t>
      </w:r>
      <w:r w:rsidRPr="00927E2C">
        <w:rPr>
          <w:rFonts w:ascii="Arial" w:hAnsi="Arial" w:cs="Arial"/>
          <w:sz w:val="20"/>
          <w:szCs w:val="20"/>
        </w:rPr>
        <w:t xml:space="preserve">), v </w:t>
      </w:r>
      <w:r w:rsidRPr="005F6562">
        <w:rPr>
          <w:rFonts w:ascii="Arial" w:hAnsi="Arial" w:cs="Arial"/>
          <w:sz w:val="20"/>
          <w:szCs w:val="20"/>
        </w:rPr>
        <w:t>višini</w:t>
      </w:r>
      <w:r w:rsidR="00927E2C">
        <w:rPr>
          <w:rFonts w:ascii="Arial" w:hAnsi="Arial" w:cs="Arial"/>
          <w:sz w:val="20"/>
          <w:szCs w:val="20"/>
        </w:rPr>
        <w:t xml:space="preserve"> </w:t>
      </w:r>
      <w:r w:rsidRPr="00927E2C" w:rsidR="00927E2C">
        <w:rPr>
          <w:rFonts w:ascii="Arial" w:hAnsi="Arial" w:cs="Arial"/>
          <w:sz w:val="20"/>
          <w:szCs w:val="20"/>
        </w:rPr>
        <w:t>854.440,00</w:t>
      </w:r>
      <w:r w:rsidRPr="005F6562">
        <w:rPr>
          <w:rFonts w:ascii="Arial" w:hAnsi="Arial" w:cs="Arial"/>
          <w:sz w:val="20"/>
          <w:szCs w:val="20"/>
        </w:rPr>
        <w:t xml:space="preserve"> EUR.</w:t>
      </w:r>
      <w:r w:rsidRPr="005F656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3E5992" w:rsidRPr="005F6562" w:rsidP="003E5992" w14:paraId="59EF241E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5992" w:rsidRPr="005F6562" w:rsidP="003E5992" w14:paraId="46498277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5992" w:rsidRPr="005F6562" w:rsidP="003E5992" w14:paraId="0D1EFAD5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656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MINISTRSTVO ZA OBRAMBO</w:t>
      </w:r>
    </w:p>
    <w:p w:rsidR="00723116" w:rsidRPr="00131B28" w14:paraId="2578C415" w14:textId="77777777">
      <w:pPr>
        <w:rPr>
          <w:rFonts w:ascii="Arial" w:hAnsi="Arial" w:cs="Arial"/>
          <w:sz w:val="20"/>
          <w:szCs w:val="20"/>
        </w:rPr>
      </w:pPr>
    </w:p>
    <w:sectPr w:rsidSect="009E10A8"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0548" w:rsidP="00580548" w14:paraId="2578C416" w14:textId="1EDA9FF7">
    <w:pPr>
      <w:pStyle w:val="Footer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A5C65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7A5C65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243" w:rsidP="008B4243" w14:paraId="2578C41F" w14:textId="7681FC0D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A5C65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7A5C65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0A8" w:rsidRPr="00821419" w:rsidP="009E10A8" w14:paraId="2578C417" w14:textId="77777777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:rsidR="009E10A8" w:rsidRPr="00821419" w:rsidP="009E10A8" w14:paraId="2578C418" w14:textId="77777777">
    <w:pPr>
      <w:pStyle w:val="Header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:rsidR="009E10A8" w:rsidRPr="00821419" w:rsidP="009E10A8" w14:paraId="2578C419" w14:textId="77777777">
    <w:pPr>
      <w:pStyle w:val="Header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:rsidR="009E10A8" w:rsidP="009E10A8" w14:paraId="2578C41A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:rsidR="009E10A8" w:rsidRPr="00821419" w:rsidP="009E10A8" w14:paraId="2578C41B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:rsidR="009E10A8" w:rsidRPr="00821419" w:rsidP="009E10A8" w14:paraId="2578C41C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:rsidR="009E10A8" w:rsidRPr="00821419" w:rsidP="009E10A8" w14:paraId="2578C41D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:rsidR="003A3B1D" w14:paraId="2578C4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B4DA6"/>
    <w:multiLevelType w:val="hybridMultilevel"/>
    <w:tmpl w:val="087CD7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0CC9"/>
    <w:multiLevelType w:val="hybridMultilevel"/>
    <w:tmpl w:val="278CB28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7F8"/>
    <w:multiLevelType w:val="hybridMultilevel"/>
    <w:tmpl w:val="EE526FE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A3532"/>
    <w:multiLevelType w:val="hybridMultilevel"/>
    <w:tmpl w:val="33EE9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AEB"/>
    <w:multiLevelType w:val="hybridMultilevel"/>
    <w:tmpl w:val="C544543E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A357C"/>
    <w:multiLevelType w:val="hybridMultilevel"/>
    <w:tmpl w:val="413A9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B4F19"/>
    <w:multiLevelType w:val="hybridMultilevel"/>
    <w:tmpl w:val="E648E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717C4"/>
    <w:multiLevelType w:val="hybridMultilevel"/>
    <w:tmpl w:val="0708F82E"/>
    <w:lvl w:ilvl="0">
      <w:start w:val="0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8D2245"/>
    <w:multiLevelType w:val="hybridMultilevel"/>
    <w:tmpl w:val="F88CD9B2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E39DC"/>
    <w:multiLevelType w:val="hybridMultilevel"/>
    <w:tmpl w:val="9654850E"/>
    <w:lvl w:ilvl="0">
      <w:start w:val="1"/>
      <w:numFmt w:val="decimal"/>
      <w:pStyle w:val="Alineazaodstavko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C5682"/>
    <w:multiLevelType w:val="hybridMultilevel"/>
    <w:tmpl w:val="760C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02066"/>
    <w:multiLevelType w:val="hybridMultilevel"/>
    <w:tmpl w:val="682CE3AE"/>
    <w:lvl w:ilvl="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2426102C"/>
    <w:multiLevelType w:val="hybridMultilevel"/>
    <w:tmpl w:val="46DAA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07788"/>
    <w:multiLevelType w:val="hybridMultilevel"/>
    <w:tmpl w:val="BA1C3A3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20D50"/>
    <w:multiLevelType w:val="hybridMultilevel"/>
    <w:tmpl w:val="DE10B902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E71572"/>
    <w:multiLevelType w:val="hybridMultilevel"/>
    <w:tmpl w:val="287C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35FD6"/>
    <w:multiLevelType w:val="hybridMultilevel"/>
    <w:tmpl w:val="7A4AF212"/>
    <w:lvl w:ilvl="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745F03"/>
    <w:multiLevelType w:val="hybridMultilevel"/>
    <w:tmpl w:val="4D1A77E2"/>
    <w:lvl w:ilvl="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C30079"/>
    <w:multiLevelType w:val="hybridMultilevel"/>
    <w:tmpl w:val="77C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004EF"/>
    <w:multiLevelType w:val="hybridMultilevel"/>
    <w:tmpl w:val="02D4F1B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B1D06"/>
    <w:multiLevelType w:val="hybridMultilevel"/>
    <w:tmpl w:val="60087A2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E128C3"/>
    <w:multiLevelType w:val="hybridMultilevel"/>
    <w:tmpl w:val="167CDBD4"/>
    <w:lvl w:ilvl="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E00714"/>
    <w:multiLevelType w:val="hybridMultilevel"/>
    <w:tmpl w:val="5DF4BDC0"/>
    <w:lvl w:ilvl="0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3C743F3"/>
    <w:multiLevelType w:val="hybridMultilevel"/>
    <w:tmpl w:val="9242500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84AE8"/>
    <w:multiLevelType w:val="hybridMultilevel"/>
    <w:tmpl w:val="09F2FECA"/>
    <w:lvl w:ilvl="0">
      <w:start w:val="1"/>
      <w:numFmt w:val="upperRoman"/>
      <w:lvlText w:val="%1."/>
      <w:lvlJc w:val="left"/>
      <w:pPr>
        <w:ind w:left="2848" w:hanging="720"/>
      </w:pPr>
    </w:lvl>
    <w:lvl w:ilvl="1">
      <w:start w:val="1"/>
      <w:numFmt w:val="lowerLetter"/>
      <w:lvlText w:val="%2."/>
      <w:lvlJc w:val="left"/>
      <w:pPr>
        <w:ind w:left="3208" w:hanging="360"/>
      </w:pPr>
    </w:lvl>
    <w:lvl w:ilvl="2">
      <w:start w:val="1"/>
      <w:numFmt w:val="lowerRoman"/>
      <w:lvlText w:val="%3."/>
      <w:lvlJc w:val="right"/>
      <w:pPr>
        <w:ind w:left="3928" w:hanging="180"/>
      </w:pPr>
    </w:lvl>
    <w:lvl w:ilvl="3">
      <w:start w:val="1"/>
      <w:numFmt w:val="decimal"/>
      <w:lvlText w:val="%4."/>
      <w:lvlJc w:val="left"/>
      <w:pPr>
        <w:ind w:left="4648" w:hanging="360"/>
      </w:pPr>
    </w:lvl>
    <w:lvl w:ilvl="4">
      <w:start w:val="1"/>
      <w:numFmt w:val="lowerLetter"/>
      <w:lvlText w:val="%5."/>
      <w:lvlJc w:val="left"/>
      <w:pPr>
        <w:ind w:left="5368" w:hanging="360"/>
      </w:pPr>
    </w:lvl>
    <w:lvl w:ilvl="5">
      <w:start w:val="1"/>
      <w:numFmt w:val="lowerRoman"/>
      <w:lvlText w:val="%6."/>
      <w:lvlJc w:val="right"/>
      <w:pPr>
        <w:ind w:left="6088" w:hanging="180"/>
      </w:pPr>
    </w:lvl>
    <w:lvl w:ilvl="6">
      <w:start w:val="1"/>
      <w:numFmt w:val="decimal"/>
      <w:lvlText w:val="%7."/>
      <w:lvlJc w:val="left"/>
      <w:pPr>
        <w:ind w:left="6808" w:hanging="360"/>
      </w:pPr>
    </w:lvl>
    <w:lvl w:ilvl="7">
      <w:start w:val="1"/>
      <w:numFmt w:val="lowerLetter"/>
      <w:lvlText w:val="%8."/>
      <w:lvlJc w:val="left"/>
      <w:pPr>
        <w:ind w:left="7528" w:hanging="360"/>
      </w:pPr>
    </w:lvl>
    <w:lvl w:ilvl="8">
      <w:start w:val="1"/>
      <w:numFmt w:val="lowerRoman"/>
      <w:lvlText w:val="%9."/>
      <w:lvlJc w:val="right"/>
      <w:pPr>
        <w:ind w:left="8248" w:hanging="180"/>
      </w:pPr>
    </w:lvl>
  </w:abstractNum>
  <w:abstractNum w:abstractNumId="27">
    <w:nsid w:val="56247A05"/>
    <w:multiLevelType w:val="hybridMultilevel"/>
    <w:tmpl w:val="6602C3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50C0A"/>
    <w:multiLevelType w:val="hybridMultilevel"/>
    <w:tmpl w:val="26D072E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41FEA"/>
    <w:multiLevelType w:val="hybridMultilevel"/>
    <w:tmpl w:val="375AE986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F0840"/>
    <w:multiLevelType w:val="hybridMultilevel"/>
    <w:tmpl w:val="3A0A2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94904"/>
    <w:multiLevelType w:val="hybridMultilevel"/>
    <w:tmpl w:val="AE8EEAB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300D9"/>
    <w:multiLevelType w:val="hybridMultilevel"/>
    <w:tmpl w:val="26D404D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90DA8"/>
    <w:multiLevelType w:val="hybridMultilevel"/>
    <w:tmpl w:val="13A622E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27"/>
  </w:num>
  <w:num w:numId="5">
    <w:abstractNumId w:val="1"/>
  </w:num>
  <w:num w:numId="6">
    <w:abstractNumId w:val="11"/>
  </w:num>
  <w:num w:numId="7">
    <w:abstractNumId w:val="0"/>
  </w:num>
  <w:num w:numId="8">
    <w:abstractNumId w:val="24"/>
  </w:num>
  <w:num w:numId="9">
    <w:abstractNumId w:val="29"/>
  </w:num>
  <w:num w:numId="10">
    <w:abstractNumId w:val="18"/>
    <w:lvlOverride w:ilvl="0">
      <w:startOverride w:val="1"/>
    </w:lvlOverride>
  </w:num>
  <w:num w:numId="11">
    <w:abstractNumId w:val="19"/>
  </w:num>
  <w:num w:numId="12">
    <w:abstractNumId w:val="12"/>
  </w:num>
  <w:num w:numId="13">
    <w:abstractNumId w:val="25"/>
  </w:num>
  <w:num w:numId="14">
    <w:abstractNumId w:val="5"/>
  </w:num>
  <w:num w:numId="15">
    <w:abstractNumId w:val="21"/>
  </w:num>
  <w:num w:numId="16">
    <w:abstractNumId w:val="31"/>
  </w:num>
  <w:num w:numId="17">
    <w:abstractNumId w:val="28"/>
  </w:num>
  <w:num w:numId="18">
    <w:abstractNumId w:val="32"/>
  </w:num>
  <w:num w:numId="19">
    <w:abstractNumId w:val="33"/>
  </w:num>
  <w:num w:numId="20">
    <w:abstractNumId w:val="20"/>
  </w:num>
  <w:num w:numId="21">
    <w:abstractNumId w:val="15"/>
  </w:num>
  <w:num w:numId="22">
    <w:abstractNumId w:val="23"/>
  </w:num>
  <w:num w:numId="23">
    <w:abstractNumId w:val="8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9"/>
  </w:num>
  <w:num w:numId="33">
    <w:abstractNumId w:val="6"/>
  </w:num>
  <w:num w:numId="34">
    <w:abstractNumId w:val="1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13EE0"/>
    <w:rsid w:val="00033FEB"/>
    <w:rsid w:val="000A4BA7"/>
    <w:rsid w:val="000C0B87"/>
    <w:rsid w:val="000F18DE"/>
    <w:rsid w:val="00131B28"/>
    <w:rsid w:val="00170B8F"/>
    <w:rsid w:val="001D4854"/>
    <w:rsid w:val="00220B63"/>
    <w:rsid w:val="00223DB7"/>
    <w:rsid w:val="002C278B"/>
    <w:rsid w:val="002E081E"/>
    <w:rsid w:val="002F78E3"/>
    <w:rsid w:val="003A3B1D"/>
    <w:rsid w:val="003B7BCE"/>
    <w:rsid w:val="003D556F"/>
    <w:rsid w:val="003E035F"/>
    <w:rsid w:val="003E5992"/>
    <w:rsid w:val="00464982"/>
    <w:rsid w:val="004B08C2"/>
    <w:rsid w:val="004B19BA"/>
    <w:rsid w:val="004E293C"/>
    <w:rsid w:val="004E60E8"/>
    <w:rsid w:val="004F6962"/>
    <w:rsid w:val="00523FBF"/>
    <w:rsid w:val="00580548"/>
    <w:rsid w:val="00597C12"/>
    <w:rsid w:val="005D090F"/>
    <w:rsid w:val="005F6562"/>
    <w:rsid w:val="00623F16"/>
    <w:rsid w:val="00695AEF"/>
    <w:rsid w:val="006E30C0"/>
    <w:rsid w:val="007123B4"/>
    <w:rsid w:val="00715D72"/>
    <w:rsid w:val="00723116"/>
    <w:rsid w:val="007578AE"/>
    <w:rsid w:val="007851AF"/>
    <w:rsid w:val="007A5C65"/>
    <w:rsid w:val="007B1642"/>
    <w:rsid w:val="007B4C47"/>
    <w:rsid w:val="00821419"/>
    <w:rsid w:val="008941CD"/>
    <w:rsid w:val="008B4243"/>
    <w:rsid w:val="008B734D"/>
    <w:rsid w:val="00913E94"/>
    <w:rsid w:val="00927E2C"/>
    <w:rsid w:val="009301C4"/>
    <w:rsid w:val="00950971"/>
    <w:rsid w:val="009C5141"/>
    <w:rsid w:val="009E10A8"/>
    <w:rsid w:val="009F1E59"/>
    <w:rsid w:val="009F77C7"/>
    <w:rsid w:val="00A452FF"/>
    <w:rsid w:val="00A701F9"/>
    <w:rsid w:val="00AB65D9"/>
    <w:rsid w:val="00AE3A35"/>
    <w:rsid w:val="00B27A2C"/>
    <w:rsid w:val="00B35734"/>
    <w:rsid w:val="00C10360"/>
    <w:rsid w:val="00C14725"/>
    <w:rsid w:val="00C57CFB"/>
    <w:rsid w:val="00CA7D81"/>
    <w:rsid w:val="00CB7264"/>
    <w:rsid w:val="00D61DC2"/>
    <w:rsid w:val="00D72616"/>
    <w:rsid w:val="00D86976"/>
    <w:rsid w:val="00DF18E9"/>
    <w:rsid w:val="00E50831"/>
    <w:rsid w:val="00EA539F"/>
    <w:rsid w:val="00EC1D65"/>
    <w:rsid w:val="00FA6654"/>
    <w:rsid w:val="00FB3C81"/>
    <w:rsid w:val="00FB3D8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78C1BA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Heading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Header">
    <w:name w:val="header"/>
    <w:basedOn w:val="Normal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Header"/>
    <w:rsid w:val="007578AE"/>
    <w:rPr>
      <w:rFonts w:ascii="Arial" w:hAnsi="Arial"/>
      <w:szCs w:val="24"/>
      <w:lang w:val="sl-SI" w:eastAsia="en-US" w:bidi="ar-SA"/>
    </w:rPr>
  </w:style>
  <w:style w:type="character" w:styleId="Hyperlink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ormal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ormal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BodyText"/>
    <w:rsid w:val="009F1E59"/>
    <w:rPr>
      <w:b/>
      <w:sz w:val="28"/>
      <w:szCs w:val="36"/>
    </w:rPr>
  </w:style>
  <w:style w:type="paragraph" w:customStyle="1" w:styleId="datumtevilka">
    <w:name w:val="datum številka"/>
    <w:basedOn w:val="Normal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ormal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Footer">
    <w:name w:val="footer"/>
    <w:basedOn w:val="Normal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Footer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ormal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uradni-list.si/1/objava.jsp?sop=2010-01-0251" TargetMode="External" /><Relationship Id="rId11" Type="http://schemas.openxmlformats.org/officeDocument/2006/relationships/hyperlink" Target="http://www.uradni-list.si/1/objava.jsp?sop=2012-01-0268" TargetMode="External" /><Relationship Id="rId12" Type="http://schemas.openxmlformats.org/officeDocument/2006/relationships/hyperlink" Target="http://www.uradni-list.si/1/objava.jsp?sop=2012-01-0815" TargetMode="External" /><Relationship Id="rId13" Type="http://schemas.openxmlformats.org/officeDocument/2006/relationships/hyperlink" Target="http://www.uradni-list.si/1/objava.jsp?sop=2013-01-1783" TargetMode="External" /><Relationship Id="rId14" Type="http://schemas.openxmlformats.org/officeDocument/2006/relationships/hyperlink" Target="http://www.uradni-list.si/1/objava.jsp?sop=2014-01-0304" TargetMode="External" /><Relationship Id="rId15" Type="http://schemas.openxmlformats.org/officeDocument/2006/relationships/hyperlink" Target="http://www.uradni-list.si/1/objava.jsp?sop=2014-01-3646" TargetMode="External" /><Relationship Id="rId16" Type="http://schemas.openxmlformats.org/officeDocument/2006/relationships/hyperlink" Target="http://www.uradni-list.si/1/objava.jsp?sop=2016-01-2246" TargetMode="External" /><Relationship Id="rId17" Type="http://schemas.openxmlformats.org/officeDocument/2006/relationships/hyperlink" Target="http://www.uradni-list.si/1/objava.jsp?sop=2021-01-0716" TargetMode="External" /><Relationship Id="rId18" Type="http://schemas.openxmlformats.org/officeDocument/2006/relationships/hyperlink" Target="http://www.uradni-list.si/1/objava.jsp?sop=2021-01-1758" TargetMode="External" /><Relationship Id="rId19" Type="http://schemas.openxmlformats.org/officeDocument/2006/relationships/hyperlink" Target="http://www.uradni-list.si/1/objava.jsp?sop=2021-01-3724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header" Target="head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p.gs@gov.si" TargetMode="External" /><Relationship Id="rId6" Type="http://schemas.openxmlformats.org/officeDocument/2006/relationships/hyperlink" Target="http://www.uradni-list.si/1/objava.jsp?sop=2005-01-5007" TargetMode="External" /><Relationship Id="rId7" Type="http://schemas.openxmlformats.org/officeDocument/2006/relationships/hyperlink" Target="http://www.uradni-list.si/1/objava.jsp?sop=2007-01-4388" TargetMode="External" /><Relationship Id="rId8" Type="http://schemas.openxmlformats.org/officeDocument/2006/relationships/hyperlink" Target="http://www.uradni-list.si/1/objava.jsp?sop=2007-01-6415" TargetMode="External" /><Relationship Id="rId9" Type="http://schemas.openxmlformats.org/officeDocument/2006/relationships/hyperlink" Target="http://www.uradni-list.si/1/objava.jsp?sop=2009-01-2380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9A08-CCF5-4CC5-8492-F1CBD287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1213</Words>
  <Characters>9550</Characters>
  <Application>Microsoft Office Word</Application>
  <DocSecurity>0</DocSecurity>
  <Lines>79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VALANTIČ Manja</cp:lastModifiedBy>
  <cp:revision>12</cp:revision>
  <dcterms:created xsi:type="dcterms:W3CDTF">2023-03-23T07:22:00Z</dcterms:created>
  <dcterms:modified xsi:type="dcterms:W3CDTF">2023-05-03T13:02:00Z</dcterms:modified>
</cp:coreProperties>
</file>