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94C0" w14:textId="77777777" w:rsidR="006F2881" w:rsidRDefault="006F2881">
      <w:pPr>
        <w:spacing w:after="0" w:line="260" w:lineRule="auto"/>
        <w:rPr>
          <w:rFonts w:cs="Arial"/>
        </w:rPr>
      </w:pPr>
    </w:p>
    <w:p w14:paraId="2EBB5F8B" w14:textId="77777777" w:rsidR="006F2881" w:rsidRDefault="006F2881">
      <w:pPr>
        <w:spacing w:after="0" w:line="260" w:lineRule="auto"/>
        <w:rPr>
          <w:rFonts w:cs="Arial"/>
        </w:rPr>
      </w:pPr>
    </w:p>
    <w:p w14:paraId="654D3082" w14:textId="77777777" w:rsidR="006F2881" w:rsidRDefault="006F2881">
      <w:pPr>
        <w:spacing w:after="0" w:line="260" w:lineRule="auto"/>
        <w:rPr>
          <w:rFonts w:cs="Arial"/>
        </w:rPr>
      </w:pPr>
    </w:p>
    <w:p w14:paraId="5D4AE356" w14:textId="77777777" w:rsidR="006F2881" w:rsidRDefault="006F2881">
      <w:pPr>
        <w:spacing w:after="0" w:line="260" w:lineRule="auto"/>
        <w:rPr>
          <w:rFonts w:cs="Arial"/>
        </w:rPr>
      </w:pPr>
    </w:p>
    <w:p w14:paraId="1D003A9A" w14:textId="77777777" w:rsidR="006F2881" w:rsidRDefault="00000000">
      <w:pPr>
        <w:pStyle w:val="Odebeljeno"/>
        <w:spacing w:line="260" w:lineRule="auto"/>
      </w:pPr>
      <w:r>
        <w:t>GENERALNI SEKRETARIAT VLADE</w:t>
      </w:r>
    </w:p>
    <w:p w14:paraId="2CD4F00D" w14:textId="77777777" w:rsidR="006F2881" w:rsidRDefault="00000000">
      <w:pPr>
        <w:pStyle w:val="Odebeljeno"/>
        <w:spacing w:line="260" w:lineRule="auto"/>
      </w:pPr>
      <w:r>
        <w:t>REPUBLIKE SLOVENIJE</w:t>
      </w:r>
    </w:p>
    <w:p w14:paraId="0009EEDB" w14:textId="77777777" w:rsidR="006F2881" w:rsidRDefault="00000000">
      <w:pPr>
        <w:pStyle w:val="Odebeljeno"/>
        <w:spacing w:line="260" w:lineRule="auto"/>
      </w:pPr>
      <w:r>
        <w:t>gp.gs@gov.si</w:t>
      </w:r>
    </w:p>
    <w:p w14:paraId="181CE9A7" w14:textId="77777777" w:rsidR="006F2881" w:rsidRDefault="006F2881">
      <w:pPr>
        <w:spacing w:after="0" w:line="260" w:lineRule="auto"/>
        <w:rPr>
          <w:rFonts w:cs="Arial"/>
        </w:rPr>
      </w:pPr>
    </w:p>
    <w:p w14:paraId="283C77F3" w14:textId="77777777" w:rsidR="006F2881" w:rsidRDefault="006F2881">
      <w:pPr>
        <w:spacing w:after="0" w:line="260" w:lineRule="auto"/>
        <w:rPr>
          <w:rFonts w:cs="Arial"/>
        </w:rPr>
      </w:pPr>
    </w:p>
    <w:p w14:paraId="32D262F7" w14:textId="77777777" w:rsidR="006F2881" w:rsidRDefault="006F2881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F2881" w14:paraId="227ED487" w14:textId="77777777">
        <w:tc>
          <w:tcPr>
            <w:tcW w:w="1500" w:type="dxa"/>
          </w:tcPr>
          <w:p w14:paraId="4C2B5C25" w14:textId="77777777" w:rsidR="006F2881" w:rsidRDefault="0000000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367ADD0C" w14:textId="22E22DEC" w:rsidR="006F2881" w:rsidRDefault="00ED571F">
            <w:pPr>
              <w:spacing w:after="0" w:line="260" w:lineRule="auto"/>
            </w:pPr>
            <w:r>
              <w:t>007-526/2025/16</w:t>
            </w:r>
          </w:p>
        </w:tc>
      </w:tr>
      <w:tr w:rsidR="006F2881" w14:paraId="2271377D" w14:textId="77777777">
        <w:tc>
          <w:tcPr>
            <w:tcW w:w="1500" w:type="dxa"/>
          </w:tcPr>
          <w:p w14:paraId="76ABF73C" w14:textId="77777777" w:rsidR="006F2881" w:rsidRDefault="0000000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3E38C1D7" w14:textId="77777777" w:rsidR="006F2881" w:rsidRDefault="00000000">
            <w:pPr>
              <w:spacing w:after="0" w:line="260" w:lineRule="auto"/>
            </w:pPr>
            <w:r>
              <w:t>06. 02. 2026</w:t>
            </w:r>
          </w:p>
        </w:tc>
      </w:tr>
      <w:tr w:rsidR="006F2881" w14:paraId="7081ED84" w14:textId="77777777">
        <w:tc>
          <w:tcPr>
            <w:tcW w:w="1500" w:type="dxa"/>
          </w:tcPr>
          <w:p w14:paraId="6C6A7CD7" w14:textId="77777777" w:rsidR="006F2881" w:rsidRDefault="0000000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4C443A6B" w14:textId="77777777" w:rsidR="006F2881" w:rsidRDefault="00000000">
            <w:pPr>
              <w:spacing w:after="0" w:line="260" w:lineRule="auto"/>
            </w:pPr>
            <w:r>
              <w:t>2025-2330-0135</w:t>
            </w:r>
          </w:p>
        </w:tc>
      </w:tr>
    </w:tbl>
    <w:p w14:paraId="4381C834" w14:textId="77777777" w:rsidR="006F2881" w:rsidRDefault="006F2881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F2881" w14:paraId="25DE61A5" w14:textId="77777777">
        <w:tc>
          <w:tcPr>
            <w:tcW w:w="1500" w:type="dxa"/>
          </w:tcPr>
          <w:p w14:paraId="64EA586B" w14:textId="77777777" w:rsidR="006F2881" w:rsidRDefault="0000000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0D4EDF6F" w14:textId="77777777" w:rsidR="006F2881" w:rsidRDefault="00000000">
            <w:pPr>
              <w:pStyle w:val="Odebeljeno"/>
              <w:spacing w:line="260" w:lineRule="auto"/>
            </w:pPr>
            <w:r>
              <w:t>Uredba o intervenciji dobrobit živali iz strateškega načrta skupne kmetijske politike 2023–2027 za leto 2026 – predlog za obravnavo</w:t>
            </w:r>
          </w:p>
        </w:tc>
      </w:tr>
    </w:tbl>
    <w:p w14:paraId="5F54B2E2" w14:textId="77777777" w:rsidR="006F2881" w:rsidRDefault="006F2881">
      <w:pPr>
        <w:spacing w:after="0" w:line="260" w:lineRule="auto"/>
        <w:rPr>
          <w:rFonts w:cs="Arial"/>
        </w:rPr>
      </w:pPr>
    </w:p>
    <w:p w14:paraId="4F5F6DEE" w14:textId="77777777" w:rsidR="006F2881" w:rsidRDefault="006F2881">
      <w:pPr>
        <w:spacing w:after="0" w:line="260" w:lineRule="auto"/>
        <w:rPr>
          <w:rFonts w:cs="Arial"/>
        </w:rPr>
      </w:pPr>
    </w:p>
    <w:p w14:paraId="1B091788" w14:textId="77777777" w:rsidR="006F2881" w:rsidRDefault="0000000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46D88E9A" w14:textId="77777777" w:rsidR="006F2881" w:rsidRDefault="006F2881">
      <w:pPr>
        <w:spacing w:after="0" w:line="260" w:lineRule="auto"/>
        <w:rPr>
          <w:rFonts w:cs="Arial"/>
        </w:rPr>
      </w:pPr>
    </w:p>
    <w:tbl>
      <w:tblPr>
        <w:tblW w:w="500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0"/>
      </w:tblGrid>
      <w:tr w:rsidR="006F2881" w14:paraId="706E46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CE38DBF" w14:textId="77777777" w:rsidR="006F2881" w:rsidRDefault="00000000">
            <w:pPr>
              <w:spacing w:after="2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 podlagi šestega odstavka 21. člena Zakona o Vladi Republike Slovenije (Uradni list RS, št. 24/05 – uradno prečiščeno besedilo, 109/08, 38/10 – ZUKN, 8/12, 21/13, 47/13 – ZDU-1G, 65/14, 55/17, 163/22 in 57/25 – ZF) je Vlada Republike Slovenije na … seji dne … sprejela naslednji</w:t>
            </w:r>
          </w:p>
          <w:p w14:paraId="40C1D67E" w14:textId="77777777" w:rsidR="006F2881" w:rsidRDefault="00000000">
            <w:pPr>
              <w:spacing w:before="240" w:after="2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SKLEP:</w:t>
            </w:r>
          </w:p>
          <w:p w14:paraId="674E6E39" w14:textId="77777777" w:rsidR="006F2881" w:rsidRDefault="00000000">
            <w:pPr>
              <w:spacing w:before="240" w:after="2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Vlada Republike Slovenije je izdala Uredbo o intervenciji dobrobit živali iz strateškega načrta skupne kmetijske politike 2023–2027 za leto 2026, ki se objavi v Uradnem listu Republike Slovenije.</w:t>
            </w:r>
          </w:p>
          <w:p w14:paraId="46E7615D" w14:textId="77777777" w:rsidR="006F2881" w:rsidRDefault="00000000">
            <w:pPr>
              <w:spacing w:before="240" w:after="240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Barbara Kolenko </w:t>
            </w:r>
            <w:proofErr w:type="spellStart"/>
            <w:r>
              <w:rPr>
                <w:rFonts w:cs="Arial"/>
                <w:color w:val="000000"/>
              </w:rPr>
              <w:t>Helbl</w:t>
            </w:r>
            <w:proofErr w:type="spellEnd"/>
          </w:p>
          <w:p w14:paraId="358F12C3" w14:textId="77777777" w:rsidR="006F2881" w:rsidRDefault="00000000">
            <w:pPr>
              <w:spacing w:before="240" w:after="240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generalna sekretarka</w:t>
            </w:r>
          </w:p>
          <w:p w14:paraId="4CCFA4D8" w14:textId="77777777" w:rsidR="006F2881" w:rsidRDefault="00000000">
            <w:pPr>
              <w:spacing w:before="240" w:after="2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Priloga:</w:t>
            </w:r>
          </w:p>
          <w:p w14:paraId="54F3E2C9" w14:textId="77777777" w:rsidR="006F2881" w:rsidRDefault="00000000">
            <w:pPr>
              <w:spacing w:before="240" w:after="240"/>
              <w:ind w:left="7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predlog Uredbe o intervenciji dobrobit živali iz strateškega načrta skupne kmetijske politike 2023–2027 za leto 2026</w:t>
            </w:r>
          </w:p>
          <w:p w14:paraId="2B501D93" w14:textId="77777777" w:rsidR="006F2881" w:rsidRDefault="00000000">
            <w:pPr>
              <w:spacing w:before="240" w:after="2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Sklep prejmeta:</w:t>
            </w:r>
          </w:p>
          <w:p w14:paraId="3B8B611A" w14:textId="77777777" w:rsidR="006F2881" w:rsidRDefault="00000000">
            <w:pPr>
              <w:spacing w:before="240" w:after="240"/>
              <w:ind w:left="7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Ministrstvo za kmetijstvo, gozdarstvo in prehrano,</w:t>
            </w:r>
          </w:p>
          <w:p w14:paraId="6D18EDF8" w14:textId="77777777" w:rsidR="006F2881" w:rsidRDefault="00000000">
            <w:pPr>
              <w:spacing w:before="240"/>
              <w:ind w:left="7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Služba Vlade Republike Slovenije za zakonodajo.</w:t>
            </w:r>
          </w:p>
        </w:tc>
      </w:tr>
    </w:tbl>
    <w:p w14:paraId="51A28626" w14:textId="77777777" w:rsidR="006F2881" w:rsidRDefault="006F2881"/>
    <w:p w14:paraId="63013A3E" w14:textId="77777777" w:rsidR="006F2881" w:rsidRDefault="006F2881">
      <w:pPr>
        <w:spacing w:after="0" w:line="260" w:lineRule="auto"/>
        <w:rPr>
          <w:rFonts w:cs="Arial"/>
        </w:rPr>
      </w:pPr>
    </w:p>
    <w:p w14:paraId="41243F94" w14:textId="77777777" w:rsidR="006F2881" w:rsidRDefault="0000000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26A7EF8D" w14:textId="77777777" w:rsidR="006F2881" w:rsidRDefault="006F2881">
      <w:pPr>
        <w:spacing w:after="0" w:line="260" w:lineRule="auto"/>
        <w:rPr>
          <w:rFonts w:cs="Arial"/>
        </w:rPr>
      </w:pPr>
    </w:p>
    <w:p w14:paraId="139DC573" w14:textId="77777777" w:rsidR="006F2881" w:rsidRDefault="00000000">
      <w:pPr>
        <w:spacing w:after="0" w:line="260" w:lineRule="auto"/>
      </w:pPr>
      <w:r>
        <w:t>/</w:t>
      </w:r>
    </w:p>
    <w:p w14:paraId="26AC7C5C" w14:textId="77777777" w:rsidR="006F2881" w:rsidRDefault="006F2881">
      <w:pPr>
        <w:spacing w:after="0" w:line="260" w:lineRule="auto"/>
        <w:rPr>
          <w:rFonts w:cs="Arial"/>
        </w:rPr>
      </w:pPr>
    </w:p>
    <w:p w14:paraId="422B9603" w14:textId="77777777" w:rsidR="006F2881" w:rsidRDefault="00000000">
      <w:pPr>
        <w:pStyle w:val="Odebeljeno"/>
        <w:spacing w:line="260" w:lineRule="auto"/>
      </w:pPr>
      <w:r>
        <w:lastRenderedPageBreak/>
        <w:t>3.</w:t>
      </w:r>
      <w:r>
        <w:tab/>
        <w:t>Osebe, odgovorne za strokovno pripravo in usklajenost gradiva</w:t>
      </w:r>
    </w:p>
    <w:p w14:paraId="1D26BA99" w14:textId="77777777" w:rsidR="006F2881" w:rsidRDefault="006F2881">
      <w:pPr>
        <w:spacing w:after="0" w:line="260" w:lineRule="auto"/>
        <w:rPr>
          <w:rFonts w:cs="Arial"/>
        </w:rPr>
      </w:pPr>
    </w:p>
    <w:p w14:paraId="71D13A53" w14:textId="77777777" w:rsidR="006F2881" w:rsidRDefault="00000000">
      <w:pPr>
        <w:spacing w:after="0" w:line="240" w:lineRule="auto"/>
      </w:pPr>
      <w:r>
        <w:t xml:space="preserve">Boštjan Ključevšek, </w:t>
      </w:r>
      <w:proofErr w:type="spellStart"/>
      <w:r>
        <w:t>v.d</w:t>
      </w:r>
      <w:proofErr w:type="spellEnd"/>
      <w:r>
        <w:t>. generalnega direktorja Direktorata za kmetijstvo</w:t>
      </w:r>
    </w:p>
    <w:p w14:paraId="02B76B95" w14:textId="77777777" w:rsidR="006F2881" w:rsidRDefault="00000000">
      <w:pPr>
        <w:spacing w:after="0" w:line="240" w:lineRule="auto"/>
      </w:pPr>
      <w:r>
        <w:t>dr. Gašper Kosec, vodja Sektorja za trajnostno kmetijstvo</w:t>
      </w:r>
    </w:p>
    <w:p w14:paraId="51A6D61F" w14:textId="77777777" w:rsidR="006F2881" w:rsidRDefault="006F2881">
      <w:pPr>
        <w:spacing w:after="0" w:line="260" w:lineRule="auto"/>
        <w:rPr>
          <w:rFonts w:cs="Arial"/>
        </w:rPr>
      </w:pPr>
    </w:p>
    <w:p w14:paraId="08713670" w14:textId="77777777" w:rsidR="006F2881" w:rsidRDefault="00000000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7A4222A0" w14:textId="77777777" w:rsidR="006F2881" w:rsidRDefault="006F2881">
      <w:pPr>
        <w:spacing w:after="0" w:line="260" w:lineRule="auto"/>
        <w:rPr>
          <w:rFonts w:cs="Arial"/>
        </w:rPr>
      </w:pPr>
    </w:p>
    <w:p w14:paraId="56376051" w14:textId="77777777" w:rsidR="006F2881" w:rsidRDefault="00000000">
      <w:pPr>
        <w:spacing w:after="0" w:line="240" w:lineRule="auto"/>
      </w:pPr>
      <w:r>
        <w:t>Pri pripravi predpisa ni sodeloval zunanji strokovnjak oziroma pravna oseba.</w:t>
      </w:r>
    </w:p>
    <w:p w14:paraId="2576D792" w14:textId="77777777" w:rsidR="006F2881" w:rsidRDefault="006F2881">
      <w:pPr>
        <w:spacing w:after="0" w:line="260" w:lineRule="auto"/>
        <w:rPr>
          <w:rFonts w:cs="Arial"/>
        </w:rPr>
      </w:pPr>
    </w:p>
    <w:p w14:paraId="5B38D534" w14:textId="77777777" w:rsidR="006F2881" w:rsidRDefault="0000000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2E580B93" w14:textId="77777777" w:rsidR="006F2881" w:rsidRDefault="006F2881">
      <w:pPr>
        <w:spacing w:after="0" w:line="260" w:lineRule="auto"/>
        <w:rPr>
          <w:rFonts w:cs="Arial"/>
        </w:rPr>
      </w:pPr>
    </w:p>
    <w:p w14:paraId="02C0DE86" w14:textId="77777777" w:rsidR="006F2881" w:rsidRDefault="00000000">
      <w:pPr>
        <w:spacing w:after="0" w:line="260" w:lineRule="auto"/>
      </w:pPr>
      <w:r>
        <w:t>/</w:t>
      </w:r>
    </w:p>
    <w:p w14:paraId="3C255F2C" w14:textId="77777777" w:rsidR="006F2881" w:rsidRDefault="006F2881">
      <w:pPr>
        <w:spacing w:after="0" w:line="260" w:lineRule="auto"/>
        <w:rPr>
          <w:rFonts w:cs="Arial"/>
        </w:rPr>
      </w:pPr>
    </w:p>
    <w:p w14:paraId="00C0E013" w14:textId="77777777" w:rsidR="006F2881" w:rsidRDefault="0000000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0260EF28" w14:textId="77777777" w:rsidR="006F2881" w:rsidRDefault="006F2881">
      <w:pPr>
        <w:spacing w:after="0" w:line="260" w:lineRule="auto"/>
        <w:rPr>
          <w:rFonts w:cs="Arial"/>
        </w:rPr>
      </w:pPr>
    </w:p>
    <w:p w14:paraId="5BC37220" w14:textId="77777777" w:rsidR="006F2881" w:rsidRDefault="00000000">
      <w:pPr>
        <w:spacing w:after="0" w:line="240" w:lineRule="auto"/>
      </w:pPr>
      <w:r>
        <w:t xml:space="preserve">Uredba bo nadomestila veljavno Uredbo o intervenciji dobrobit živali iz strateškega načrta skupne kmetijske politike 2023–2027 za leto 2026 (Uradni list RS, št. 88/25), ki je bila sprejeta na podlagi 10. in 11.a člena Zakona o kmetijstvu (Uradni list RS, št. 45/08, 57/12, 90/12 – </w:t>
      </w:r>
      <w:proofErr w:type="spellStart"/>
      <w:r>
        <w:t>ZdZPVHVVR</w:t>
      </w:r>
      <w:proofErr w:type="spellEnd"/>
      <w:r>
        <w:t xml:space="preserve">, 26/14, 32/15, 27/17, 22/18, 86/21 – </w:t>
      </w:r>
      <w:proofErr w:type="spellStart"/>
      <w:r>
        <w:t>odl</w:t>
      </w:r>
      <w:proofErr w:type="spellEnd"/>
      <w:r>
        <w:t>. US, 123/21, 44/22, 130/22 – ZPOmK-2, 18/23 in 78/23). Sprejetje uredbe je nujno zaradi uskladitve z ZKme-2, ki je začel veljati 1. januarja 2026. V uredbi so poleg spremembe pravne podlage dopolnjene le še določbe, povezane z novo opredelitvijo kmetijskega gospodarstva iz ZKme-2, in sicer se nanašajo na člana družinske kmetije (obveznost usposabljanja iz 7. člena uredbe). Z vsebinskega vidika pa ni nobenih sprememb glede na zdaj veljavno uredbo</w:t>
      </w:r>
    </w:p>
    <w:p w14:paraId="73FE1B7C" w14:textId="77777777" w:rsidR="006F2881" w:rsidRDefault="00000000">
      <w:pPr>
        <w:spacing w:after="0" w:line="240" w:lineRule="auto"/>
      </w:pPr>
      <w:r>
        <w:t xml:space="preserve"> </w:t>
      </w:r>
    </w:p>
    <w:p w14:paraId="76715E2D" w14:textId="77777777" w:rsidR="006F2881" w:rsidRDefault="00000000">
      <w:pPr>
        <w:spacing w:after="0" w:line="240" w:lineRule="auto"/>
      </w:pPr>
      <w:r>
        <w:t xml:space="preserve">Uredba je podlaga za izvajanje intervencije DŽ v letu 2026. Opredeljuje vsebino in izvedbo intervencije DŽ z določitvijo vstopnih pogojev, upravičencev, trajanja obveznosti, </w:t>
      </w:r>
      <w:proofErr w:type="spellStart"/>
      <w:r>
        <w:t>podintervencij</w:t>
      </w:r>
      <w:proofErr w:type="spellEnd"/>
      <w:r>
        <w:t xml:space="preserve"> ter mogočih zahtev in pogojev za njihovo izpolnjevanje v posamezni </w:t>
      </w:r>
      <w:proofErr w:type="spellStart"/>
      <w:r>
        <w:t>podintervenciji</w:t>
      </w:r>
      <w:proofErr w:type="spellEnd"/>
      <w:r>
        <w:t>, z načinom izračunavanja plačil in višino plačil ter podrobnejših izvedbenih pravil v zvezi s kontrolami, sistemom zmanjšanja plačil ter izključitev in tako naprej.</w:t>
      </w:r>
    </w:p>
    <w:p w14:paraId="7636E78B" w14:textId="77777777" w:rsidR="006F2881" w:rsidRDefault="00000000">
      <w:pPr>
        <w:spacing w:after="0" w:line="240" w:lineRule="auto"/>
      </w:pPr>
      <w:r>
        <w:t xml:space="preserve"> </w:t>
      </w:r>
    </w:p>
    <w:p w14:paraId="335DC1CC" w14:textId="77777777" w:rsidR="006F2881" w:rsidRDefault="00000000">
      <w:pPr>
        <w:spacing w:after="0" w:line="240" w:lineRule="auto"/>
      </w:pPr>
      <w:r>
        <w:t>Namen intervencije DŽ je spodbujanje kmetijskih gospodarstev k izpolnjevanju zahtev za dobrobit živali, ki presegajo predpisane zahteve ravnanja, določene v predpisu, ki ureja pogojenost, in običajno rejsko prakso, opredeljeno v strateškem načrtu SKP 2023–2027.</w:t>
      </w:r>
    </w:p>
    <w:p w14:paraId="2EE08428" w14:textId="77777777" w:rsidR="006F2881" w:rsidRDefault="00000000">
      <w:pPr>
        <w:spacing w:after="0" w:line="240" w:lineRule="auto"/>
      </w:pPr>
      <w:r>
        <w:t xml:space="preserve"> </w:t>
      </w:r>
    </w:p>
    <w:p w14:paraId="763AAC39" w14:textId="77777777" w:rsidR="006F2881" w:rsidRDefault="00000000">
      <w:pPr>
        <w:spacing w:after="0" w:line="240" w:lineRule="auto"/>
      </w:pPr>
      <w:r>
        <w:t xml:space="preserve">V letu 2026 se intervencija DŽ izvaja v petih </w:t>
      </w:r>
      <w:proofErr w:type="spellStart"/>
      <w:r>
        <w:t>podintervencijah</w:t>
      </w:r>
      <w:proofErr w:type="spellEnd"/>
      <w:r>
        <w:t>, in sicer za prašiče, govedo, drobnico, konje in perutnino.</w:t>
      </w:r>
    </w:p>
    <w:p w14:paraId="43EE01AA" w14:textId="77777777" w:rsidR="006F2881" w:rsidRDefault="006F2881">
      <w:pPr>
        <w:spacing w:after="0" w:line="260" w:lineRule="auto"/>
        <w:rPr>
          <w:rFonts w:cs="Arial"/>
        </w:rPr>
      </w:pPr>
    </w:p>
    <w:p w14:paraId="1CC2B372" w14:textId="77777777" w:rsidR="006F2881" w:rsidRDefault="00000000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746AEA56" w14:textId="77777777" w:rsidR="006F2881" w:rsidRDefault="006F2881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6F2881" w14:paraId="05BC26FD" w14:textId="77777777">
        <w:tc>
          <w:tcPr>
            <w:tcW w:w="1276" w:type="dxa"/>
          </w:tcPr>
          <w:p w14:paraId="44ACE1D9" w14:textId="77777777" w:rsidR="006F2881" w:rsidRDefault="0000000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37611E5F" w14:textId="77777777" w:rsidR="006F2881" w:rsidRDefault="0000000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23D6E281" w14:textId="77777777" w:rsidR="006F2881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6F2881" w14:paraId="3A11819B" w14:textId="77777777">
        <w:tc>
          <w:tcPr>
            <w:tcW w:w="1276" w:type="dxa"/>
          </w:tcPr>
          <w:p w14:paraId="1E306D43" w14:textId="77777777" w:rsidR="006F2881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42DC6367" w14:textId="77777777" w:rsidR="006F2881" w:rsidRDefault="0000000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1BDE4BE0" w14:textId="77777777" w:rsidR="006F2881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F2881" w14:paraId="26146C9B" w14:textId="77777777">
        <w:tc>
          <w:tcPr>
            <w:tcW w:w="1276" w:type="dxa"/>
          </w:tcPr>
          <w:p w14:paraId="4CA5D7BF" w14:textId="77777777" w:rsidR="006F2881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11529C52" w14:textId="77777777" w:rsidR="006F2881" w:rsidRDefault="0000000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2943B8C7" w14:textId="77777777" w:rsidR="006F2881" w:rsidRDefault="0000000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6F2881" w14:paraId="1C389277" w14:textId="77777777">
        <w:tc>
          <w:tcPr>
            <w:tcW w:w="1276" w:type="dxa"/>
          </w:tcPr>
          <w:p w14:paraId="789746A1" w14:textId="77777777" w:rsidR="006F2881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5E7D83E6" w14:textId="77777777" w:rsidR="006F2881" w:rsidRDefault="0000000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103A00AC" w14:textId="77777777" w:rsidR="006F2881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F2881" w14:paraId="24B4F433" w14:textId="77777777">
        <w:tc>
          <w:tcPr>
            <w:tcW w:w="1276" w:type="dxa"/>
          </w:tcPr>
          <w:p w14:paraId="415799C0" w14:textId="77777777" w:rsidR="006F2881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58B22F45" w14:textId="77777777" w:rsidR="006F2881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46CC3FB6" w14:textId="77777777" w:rsidR="006F2881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F2881" w14:paraId="23A6901A" w14:textId="77777777">
        <w:tc>
          <w:tcPr>
            <w:tcW w:w="1276" w:type="dxa"/>
          </w:tcPr>
          <w:p w14:paraId="4D08FC27" w14:textId="77777777" w:rsidR="006F2881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6CBE43C6" w14:textId="77777777" w:rsidR="006F2881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5A3AFA70" w14:textId="77777777" w:rsidR="006F2881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6F2881" w14:paraId="37B159B4" w14:textId="77777777">
        <w:tc>
          <w:tcPr>
            <w:tcW w:w="1276" w:type="dxa"/>
          </w:tcPr>
          <w:p w14:paraId="47F3011F" w14:textId="77777777" w:rsidR="006F2881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507EEDA2" w14:textId="77777777" w:rsidR="006F2881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306F44DB" w14:textId="77777777" w:rsidR="006F2881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29CB278F" w14:textId="77777777" w:rsidR="006F2881" w:rsidRDefault="006F2881">
      <w:pPr>
        <w:spacing w:after="0" w:line="260" w:lineRule="auto"/>
        <w:rPr>
          <w:rFonts w:cs="Arial"/>
        </w:rPr>
      </w:pPr>
    </w:p>
    <w:p w14:paraId="71B95244" w14:textId="77777777" w:rsidR="006F2881" w:rsidRDefault="0000000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6D95F92E" w14:textId="77777777" w:rsidR="006F2881" w:rsidRDefault="006F2881">
      <w:pPr>
        <w:spacing w:after="0" w:line="260" w:lineRule="auto"/>
        <w:rPr>
          <w:rFonts w:cs="Arial"/>
        </w:rPr>
      </w:pPr>
    </w:p>
    <w:p w14:paraId="2D854AEE" w14:textId="77777777" w:rsidR="006F2881" w:rsidRDefault="006F2881">
      <w:pPr>
        <w:spacing w:after="0" w:line="260" w:lineRule="auto"/>
        <w:rPr>
          <w:rFonts w:cs="Arial"/>
        </w:rPr>
      </w:pPr>
    </w:p>
    <w:p w14:paraId="6D98519E" w14:textId="77777777" w:rsidR="006F2881" w:rsidRDefault="00000000">
      <w:pPr>
        <w:pStyle w:val="Odebeljeno"/>
        <w:spacing w:line="260" w:lineRule="auto"/>
      </w:pPr>
      <w:r>
        <w:t>I.</w:t>
      </w:r>
      <w:r>
        <w:tab/>
        <w:t>Ocena finančnih posledic, ki niso načrtovane v sprejetem proračunu</w:t>
      </w:r>
    </w:p>
    <w:p w14:paraId="07800D58" w14:textId="77777777" w:rsidR="006F2881" w:rsidRDefault="006F2881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247"/>
        <w:gridCol w:w="1247"/>
        <w:gridCol w:w="1247"/>
        <w:gridCol w:w="1247"/>
        <w:gridCol w:w="1247"/>
      </w:tblGrid>
      <w:tr w:rsidR="006F2881" w14:paraId="06FAD2F6" w14:textId="77777777">
        <w:tc>
          <w:tcPr>
            <w:tcW w:w="2270" w:type="dxa"/>
            <w:vAlign w:val="center"/>
          </w:tcPr>
          <w:p w14:paraId="568C8EA8" w14:textId="77777777" w:rsidR="006F2881" w:rsidRDefault="00000000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lastRenderedPageBreak/>
              <w:t>Predvideno povečanje (+) ali zmanjšanje (-)</w:t>
            </w:r>
          </w:p>
        </w:tc>
        <w:tc>
          <w:tcPr>
            <w:tcW w:w="1247" w:type="dxa"/>
            <w:vAlign w:val="center"/>
          </w:tcPr>
          <w:p w14:paraId="6949AAE1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vAlign w:val="center"/>
          </w:tcPr>
          <w:p w14:paraId="4A2D7080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vAlign w:val="center"/>
          </w:tcPr>
          <w:p w14:paraId="4C41B484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vAlign w:val="center"/>
          </w:tcPr>
          <w:p w14:paraId="0FB719E0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vAlign w:val="center"/>
          </w:tcPr>
          <w:p w14:paraId="7E686BC1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6F2881" w14:paraId="5614805C" w14:textId="77777777">
        <w:tc>
          <w:tcPr>
            <w:tcW w:w="0" w:type="dxa"/>
            <w:vAlign w:val="center"/>
          </w:tcPr>
          <w:p w14:paraId="5F7BE6FB" w14:textId="77777777" w:rsidR="006F2881" w:rsidRDefault="00000000">
            <w:pPr>
              <w:spacing w:after="0" w:line="260" w:lineRule="exact"/>
              <w:jc w:val="center"/>
            </w:pPr>
            <w:r>
              <w:t>prihodkov državnega proračuna</w:t>
            </w:r>
          </w:p>
        </w:tc>
        <w:tc>
          <w:tcPr>
            <w:tcW w:w="0" w:type="dxa"/>
            <w:vAlign w:val="center"/>
          </w:tcPr>
          <w:p w14:paraId="2F590D31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65BDAC2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CE402AC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2472AD2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F4285D2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F2881" w14:paraId="1BB0292A" w14:textId="77777777">
        <w:tc>
          <w:tcPr>
            <w:tcW w:w="0" w:type="dxa"/>
            <w:vAlign w:val="center"/>
          </w:tcPr>
          <w:p w14:paraId="6B8D36AA" w14:textId="77777777" w:rsidR="006F2881" w:rsidRDefault="00000000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23771185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9E7D53D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DEC484C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C9E5BDC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236CF01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F2881" w14:paraId="114352DF" w14:textId="77777777">
        <w:tc>
          <w:tcPr>
            <w:tcW w:w="0" w:type="dxa"/>
            <w:vAlign w:val="center"/>
          </w:tcPr>
          <w:p w14:paraId="5027F4E4" w14:textId="77777777" w:rsidR="006F2881" w:rsidRDefault="00000000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27EAB75B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288E071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8174CB6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0E686C3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6CC9380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F2881" w14:paraId="019A66EC" w14:textId="77777777">
        <w:tc>
          <w:tcPr>
            <w:tcW w:w="0" w:type="dxa"/>
            <w:vAlign w:val="center"/>
          </w:tcPr>
          <w:p w14:paraId="5ECEEAEC" w14:textId="77777777" w:rsidR="006F2881" w:rsidRDefault="00000000">
            <w:pPr>
              <w:spacing w:after="0" w:line="260" w:lineRule="exact"/>
              <w:jc w:val="center"/>
            </w:pPr>
            <w:r>
              <w:t>odhodkov občinskih proračunov</w:t>
            </w:r>
          </w:p>
        </w:tc>
        <w:tc>
          <w:tcPr>
            <w:tcW w:w="0" w:type="dxa"/>
            <w:vAlign w:val="center"/>
          </w:tcPr>
          <w:p w14:paraId="431740E1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E20D180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C120C90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B78F443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A3F833C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F2881" w14:paraId="1B549625" w14:textId="77777777">
        <w:tc>
          <w:tcPr>
            <w:tcW w:w="0" w:type="dxa"/>
            <w:vAlign w:val="center"/>
          </w:tcPr>
          <w:p w14:paraId="1B6B2236" w14:textId="77777777" w:rsidR="006F2881" w:rsidRDefault="00000000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780C271D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5458367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6CECC06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675F891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6CDAC38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1710CCF4" w14:textId="77777777" w:rsidR="006F2881" w:rsidRDefault="006F2881">
      <w:pPr>
        <w:spacing w:after="0" w:line="260" w:lineRule="auto"/>
        <w:rPr>
          <w:rFonts w:cs="Arial"/>
        </w:rPr>
      </w:pPr>
    </w:p>
    <w:p w14:paraId="7A93795D" w14:textId="77777777" w:rsidR="006F2881" w:rsidRDefault="00000000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06A3E4FE" w14:textId="77777777" w:rsidR="006F2881" w:rsidRDefault="006F2881">
      <w:pPr>
        <w:spacing w:after="0" w:line="260" w:lineRule="auto"/>
        <w:rPr>
          <w:rFonts w:cs="Arial"/>
        </w:rPr>
      </w:pPr>
    </w:p>
    <w:p w14:paraId="58948FA8" w14:textId="77777777" w:rsidR="006F2881" w:rsidRDefault="00000000">
      <w:pPr>
        <w:pStyle w:val="Odebeljeno"/>
        <w:spacing w:line="260" w:lineRule="auto"/>
      </w:pPr>
      <w:r>
        <w:t>a)</w:t>
      </w:r>
      <w:r>
        <w:tab/>
        <w:t>Pravice porabe za izvedbo predlaganih rešitev so zagotovljene:</w:t>
      </w:r>
    </w:p>
    <w:p w14:paraId="56580063" w14:textId="77777777" w:rsidR="006F2881" w:rsidRDefault="006F2881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565"/>
        <w:gridCol w:w="1666"/>
        <w:gridCol w:w="1611"/>
        <w:gridCol w:w="1653"/>
      </w:tblGrid>
      <w:tr w:rsidR="006F2881" w14:paraId="6E57EC75" w14:textId="77777777">
        <w:tc>
          <w:tcPr>
            <w:tcW w:w="1701" w:type="dxa"/>
            <w:vAlign w:val="center"/>
          </w:tcPr>
          <w:p w14:paraId="0913C670" w14:textId="77777777" w:rsidR="006F2881" w:rsidRDefault="00000000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56B05C73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46D79699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57B937DC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77A0C950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6F2881" w14:paraId="6FA0EB4E" w14:textId="77777777">
        <w:tc>
          <w:tcPr>
            <w:tcW w:w="0" w:type="dxa"/>
            <w:vAlign w:val="center"/>
          </w:tcPr>
          <w:p w14:paraId="3E174202" w14:textId="77777777" w:rsidR="006F2881" w:rsidRDefault="00000000">
            <w:pPr>
              <w:spacing w:after="0" w:line="260" w:lineRule="exact"/>
              <w:jc w:val="center"/>
            </w:pPr>
            <w:r>
              <w:t>Ministrstvo za kmetijstvo, gozdarstvo in prehrano</w:t>
            </w:r>
          </w:p>
        </w:tc>
        <w:tc>
          <w:tcPr>
            <w:tcW w:w="0" w:type="dxa"/>
            <w:vAlign w:val="center"/>
          </w:tcPr>
          <w:p w14:paraId="1D4C2A29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DFA1BCC" w14:textId="77777777" w:rsidR="006F2881" w:rsidRDefault="00000000">
            <w:pPr>
              <w:spacing w:after="0" w:line="260" w:lineRule="exact"/>
              <w:jc w:val="center"/>
            </w:pPr>
            <w:r>
              <w:t>7.087.747,21</w:t>
            </w:r>
          </w:p>
        </w:tc>
        <w:tc>
          <w:tcPr>
            <w:tcW w:w="0" w:type="dxa"/>
            <w:vAlign w:val="center"/>
          </w:tcPr>
          <w:p w14:paraId="4F091DBA" w14:textId="77777777" w:rsidR="006F2881" w:rsidRDefault="00000000">
            <w:pPr>
              <w:spacing w:after="0" w:line="260" w:lineRule="exact"/>
              <w:jc w:val="center"/>
            </w:pPr>
            <w:r>
              <w:t xml:space="preserve">2330-24-0023 </w:t>
            </w:r>
            <w:proofErr w:type="spellStart"/>
            <w:r>
              <w:t>Okoljske</w:t>
            </w:r>
            <w:proofErr w:type="spellEnd"/>
            <w:r>
              <w:t xml:space="preserve"> in podnebne obveznosti SN 23–27</w:t>
            </w:r>
          </w:p>
        </w:tc>
        <w:tc>
          <w:tcPr>
            <w:tcW w:w="0" w:type="dxa"/>
            <w:vAlign w:val="center"/>
          </w:tcPr>
          <w:p w14:paraId="2BC64063" w14:textId="77777777" w:rsidR="006F2881" w:rsidRDefault="00000000">
            <w:pPr>
              <w:spacing w:after="0" w:line="260" w:lineRule="exact"/>
              <w:jc w:val="center"/>
            </w:pPr>
            <w:r>
              <w:t>221064 Skupni strateški načrt 2023–2027 – EKSRP – EU</w:t>
            </w:r>
          </w:p>
        </w:tc>
      </w:tr>
      <w:tr w:rsidR="006F2881" w14:paraId="47CC78D6" w14:textId="77777777">
        <w:tc>
          <w:tcPr>
            <w:tcW w:w="0" w:type="dxa"/>
            <w:vAlign w:val="center"/>
          </w:tcPr>
          <w:p w14:paraId="0B700B45" w14:textId="77777777" w:rsidR="006F2881" w:rsidRDefault="00000000">
            <w:pPr>
              <w:spacing w:after="0" w:line="260" w:lineRule="exact"/>
              <w:jc w:val="center"/>
            </w:pPr>
            <w:r>
              <w:t>Ministrstvo za kmetijstvo, gozdarstvo in prehrano</w:t>
            </w:r>
          </w:p>
        </w:tc>
        <w:tc>
          <w:tcPr>
            <w:tcW w:w="0" w:type="dxa"/>
            <w:vAlign w:val="center"/>
          </w:tcPr>
          <w:p w14:paraId="646D1A53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897CE33" w14:textId="77777777" w:rsidR="006F2881" w:rsidRDefault="00000000">
            <w:pPr>
              <w:spacing w:after="0" w:line="260" w:lineRule="exact"/>
              <w:jc w:val="center"/>
            </w:pPr>
            <w:r>
              <w:t>3.008.758,79</w:t>
            </w:r>
          </w:p>
        </w:tc>
        <w:tc>
          <w:tcPr>
            <w:tcW w:w="0" w:type="dxa"/>
            <w:vAlign w:val="center"/>
          </w:tcPr>
          <w:p w14:paraId="02CE5186" w14:textId="77777777" w:rsidR="006F2881" w:rsidRDefault="00000000">
            <w:pPr>
              <w:spacing w:after="0" w:line="260" w:lineRule="exact"/>
              <w:jc w:val="center"/>
            </w:pPr>
            <w:r>
              <w:t xml:space="preserve">2330-24-0023 </w:t>
            </w:r>
            <w:proofErr w:type="spellStart"/>
            <w:r>
              <w:t>Okoljske</w:t>
            </w:r>
            <w:proofErr w:type="spellEnd"/>
            <w:r>
              <w:t xml:space="preserve"> in podnebne obveznosti SN 23–27</w:t>
            </w:r>
          </w:p>
        </w:tc>
        <w:tc>
          <w:tcPr>
            <w:tcW w:w="0" w:type="dxa"/>
            <w:vAlign w:val="center"/>
          </w:tcPr>
          <w:p w14:paraId="401A30BC" w14:textId="77777777" w:rsidR="006F2881" w:rsidRDefault="00000000">
            <w:pPr>
              <w:spacing w:after="0" w:line="260" w:lineRule="exact"/>
              <w:jc w:val="center"/>
            </w:pPr>
            <w:r>
              <w:t>221065 Skupni strateški načrt 2023–2027 – EKSRP – slovenska udeležba</w:t>
            </w:r>
          </w:p>
        </w:tc>
      </w:tr>
      <w:tr w:rsidR="006F2881" w14:paraId="363C7FA7" w14:textId="77777777">
        <w:tc>
          <w:tcPr>
            <w:tcW w:w="0" w:type="dxa"/>
            <w:vAlign w:val="center"/>
          </w:tcPr>
          <w:p w14:paraId="0A4480BD" w14:textId="77777777" w:rsidR="006F2881" w:rsidRDefault="00000000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010B81B8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17C2605" w14:textId="77777777" w:rsidR="006F2881" w:rsidRDefault="00000000">
            <w:pPr>
              <w:spacing w:after="0" w:line="260" w:lineRule="exact"/>
              <w:jc w:val="center"/>
            </w:pPr>
            <w:r>
              <w:t>10.096.506,00</w:t>
            </w:r>
          </w:p>
        </w:tc>
        <w:tc>
          <w:tcPr>
            <w:tcW w:w="0" w:type="dxa"/>
            <w:vAlign w:val="center"/>
          </w:tcPr>
          <w:p w14:paraId="02CB4DCF" w14:textId="77777777" w:rsidR="006F2881" w:rsidRDefault="006F2881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4C74C1D2" w14:textId="77777777" w:rsidR="006F2881" w:rsidRDefault="006F2881">
            <w:pPr>
              <w:spacing w:after="0" w:line="260" w:lineRule="exact"/>
              <w:jc w:val="center"/>
            </w:pPr>
          </w:p>
        </w:tc>
      </w:tr>
    </w:tbl>
    <w:p w14:paraId="49FA011C" w14:textId="77777777" w:rsidR="006F2881" w:rsidRDefault="006F2881">
      <w:pPr>
        <w:spacing w:after="0" w:line="260" w:lineRule="auto"/>
        <w:rPr>
          <w:rFonts w:cs="Arial"/>
        </w:rPr>
      </w:pPr>
    </w:p>
    <w:p w14:paraId="1709680A" w14:textId="77777777" w:rsidR="006F2881" w:rsidRDefault="00000000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5EE90B71" w14:textId="77777777" w:rsidR="006F2881" w:rsidRDefault="006F2881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6F2881" w14:paraId="51D1EFA7" w14:textId="77777777">
        <w:tc>
          <w:tcPr>
            <w:tcW w:w="1701" w:type="dxa"/>
            <w:vAlign w:val="center"/>
          </w:tcPr>
          <w:p w14:paraId="2D68D6A7" w14:textId="77777777" w:rsidR="006F2881" w:rsidRDefault="00000000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29FF8E06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4BF84F5A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1008FB00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4391F788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6F2881" w14:paraId="184C8716" w14:textId="77777777">
        <w:tc>
          <w:tcPr>
            <w:tcW w:w="0" w:type="dxa"/>
            <w:vAlign w:val="center"/>
          </w:tcPr>
          <w:p w14:paraId="7DE3ABF0" w14:textId="77777777" w:rsidR="006F2881" w:rsidRDefault="00000000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224800F6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F59B110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EEA8887" w14:textId="77777777" w:rsidR="006F2881" w:rsidRDefault="006F2881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36849B74" w14:textId="77777777" w:rsidR="006F2881" w:rsidRDefault="006F2881">
            <w:pPr>
              <w:spacing w:after="0" w:line="260" w:lineRule="exact"/>
              <w:jc w:val="center"/>
            </w:pPr>
          </w:p>
        </w:tc>
      </w:tr>
    </w:tbl>
    <w:p w14:paraId="4AE71794" w14:textId="77777777" w:rsidR="006F2881" w:rsidRDefault="006F2881">
      <w:pPr>
        <w:spacing w:after="0" w:line="260" w:lineRule="auto"/>
        <w:rPr>
          <w:rFonts w:cs="Arial"/>
        </w:rPr>
      </w:pPr>
    </w:p>
    <w:p w14:paraId="1E8078A3" w14:textId="77777777" w:rsidR="006F2881" w:rsidRDefault="00000000">
      <w:pPr>
        <w:pStyle w:val="Odebeljeno"/>
        <w:spacing w:line="260" w:lineRule="auto"/>
      </w:pPr>
      <w:r>
        <w:t>III.</w:t>
      </w:r>
      <w:r>
        <w:tab/>
        <w:t>Načrtovana nadomestitev zmanjšanih prihodkov oziroma povečanih odhodkov proračuna</w:t>
      </w:r>
    </w:p>
    <w:p w14:paraId="41A0BFF5" w14:textId="77777777" w:rsidR="006F2881" w:rsidRDefault="006F2881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F2881" w14:paraId="686BE8FE" w14:textId="77777777">
        <w:tc>
          <w:tcPr>
            <w:tcW w:w="2835" w:type="dxa"/>
            <w:vAlign w:val="center"/>
          </w:tcPr>
          <w:p w14:paraId="4EF1036D" w14:textId="77777777" w:rsidR="006F2881" w:rsidRDefault="00000000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0F1D5C3E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746882B9" w14:textId="77777777" w:rsidR="006F2881" w:rsidRDefault="00000000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6F2881" w14:paraId="2FB05622" w14:textId="77777777">
        <w:tc>
          <w:tcPr>
            <w:tcW w:w="0" w:type="dxa"/>
            <w:vAlign w:val="center"/>
          </w:tcPr>
          <w:p w14:paraId="0ED646CC" w14:textId="77777777" w:rsidR="006F2881" w:rsidRDefault="00000000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4D66B083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78E7877" w14:textId="77777777" w:rsidR="006F2881" w:rsidRDefault="00000000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1AE51538" w14:textId="77777777" w:rsidR="006F2881" w:rsidRDefault="006F2881">
      <w:pPr>
        <w:spacing w:after="0" w:line="260" w:lineRule="auto"/>
        <w:rPr>
          <w:rFonts w:cs="Arial"/>
        </w:rPr>
      </w:pPr>
    </w:p>
    <w:p w14:paraId="616BC807" w14:textId="77777777" w:rsidR="006F2881" w:rsidRDefault="00000000">
      <w:pPr>
        <w:pStyle w:val="Odebeljeno"/>
        <w:spacing w:line="260" w:lineRule="auto"/>
      </w:pPr>
      <w:r>
        <w:t>Obrazložitev finančnih posledic</w:t>
      </w:r>
    </w:p>
    <w:p w14:paraId="7EE5A7B4" w14:textId="77777777" w:rsidR="006F2881" w:rsidRDefault="006F2881">
      <w:pPr>
        <w:spacing w:after="0" w:line="260" w:lineRule="auto"/>
        <w:rPr>
          <w:rFonts w:cs="Arial"/>
        </w:rPr>
      </w:pPr>
    </w:p>
    <w:p w14:paraId="4B5FAB90" w14:textId="77777777" w:rsidR="006F2881" w:rsidRDefault="006F2881">
      <w:pPr>
        <w:spacing w:after="0" w:line="260" w:lineRule="auto"/>
      </w:pPr>
    </w:p>
    <w:p w14:paraId="304580DD" w14:textId="77777777" w:rsidR="006F2881" w:rsidRDefault="00000000">
      <w:pPr>
        <w:pStyle w:val="Odebeljeno"/>
        <w:spacing w:line="260" w:lineRule="auto"/>
      </w:pPr>
      <w:r>
        <w:t>Navedba o zagotovitvi sredstev</w:t>
      </w:r>
    </w:p>
    <w:p w14:paraId="756D780C" w14:textId="77777777" w:rsidR="006F2881" w:rsidRDefault="006F2881">
      <w:pPr>
        <w:spacing w:after="0" w:line="260" w:lineRule="auto"/>
        <w:rPr>
          <w:rFonts w:cs="Arial"/>
        </w:rPr>
      </w:pPr>
    </w:p>
    <w:tbl>
      <w:tblPr>
        <w:tblW w:w="500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0"/>
      </w:tblGrid>
      <w:tr w:rsidR="006F2881" w14:paraId="264023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3A3556E" w14:textId="77777777" w:rsidR="006F2881" w:rsidRDefault="00000000">
            <w:pPr>
              <w:spacing w:after="240" w:line="2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Slovenija bo za izvedbo intervencije DŽ za leto 2026 namenila do 10.096.506,00 evra. Plačila </w:t>
            </w:r>
            <w:r>
              <w:rPr>
                <w:rFonts w:cs="Arial"/>
                <w:color w:val="000000"/>
              </w:rPr>
              <w:lastRenderedPageBreak/>
              <w:t>za intervencijo DŽ na podlagi te uredbe se bodo v celoti izvedla po 1. aprilu 2027. Sredstva za izplačila v letu 2027 bo Ministrstvo za kmetijstvo, gozdarstvo in prehrano zagotovilo v svojem finančnem načrtu. Finančna sredstva EU za intervencijo DŽ so zagotovljena s SN SKP 2023–2027, potrjenim z Izvedbenim sklepom Komisije C(2022) 7574 z dne 28. 10. 2022 o odobritvi strateškega načrta SKP za obdobje 2023–2027 za Slovenijo za podporo Unije, ki se financira iz Evropskega kmetijskega jamstvenega sklada in Evropskega kmetijskega sklada za razvoj podeželja, št. CCI: 2023SI06AFSP001. Evropska komisija je odobrila tretjo spremembo SN 2023–2027 z Izvedbenim sklepom Komisije z dne 17. 12. 2024 o odobritvi spremembe strateškega načrta SKP za obdobje 2023–2027 za Slovenijo za podporo Unije, ki se financira iz Evropskega kmetijskega jamstvenega sklada in Evropskega kmetijskega sklada za razvoj podeželja (CCI: 2023SI06AFSP001).</w:t>
            </w:r>
          </w:p>
          <w:p w14:paraId="2C11142F" w14:textId="77777777" w:rsidR="006F2881" w:rsidRDefault="00000000">
            <w:pPr>
              <w:spacing w:before="2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Sredstva za izplačila v letu 2027 za intervencijo DŽ za leto 2026 bodo zagotovljena v proračunu RS za projekt 2330-24-0023 </w:t>
            </w:r>
            <w:proofErr w:type="spellStart"/>
            <w:r>
              <w:rPr>
                <w:rFonts w:cs="Arial"/>
                <w:color w:val="000000"/>
              </w:rPr>
              <w:t>Okoljske</w:t>
            </w:r>
            <w:proofErr w:type="spellEnd"/>
            <w:r>
              <w:rPr>
                <w:rFonts w:cs="Arial"/>
                <w:color w:val="000000"/>
              </w:rPr>
              <w:t xml:space="preserve"> in podnebne obveznosti SN 23–27 na proračunskih postavkah 221064 Skupni strateški načrt 2023-2027 – EKSRP – EU v višini 7.087.747,21 evra in 221065 Skupni strateški načrt 2023-2027 – EKSRP – slovenska udeležba v višini 3.008.758,79 evra. Dejanska izplačila bodo odvisna od števila vključenih upravičencev v intervencijo DŽ ter števila </w:t>
            </w:r>
            <w:proofErr w:type="spellStart"/>
            <w:r>
              <w:rPr>
                <w:rFonts w:cs="Arial"/>
                <w:color w:val="000000"/>
              </w:rPr>
              <w:t>podintervencij</w:t>
            </w:r>
            <w:proofErr w:type="spellEnd"/>
            <w:r>
              <w:rPr>
                <w:rFonts w:cs="Arial"/>
                <w:color w:val="000000"/>
              </w:rPr>
              <w:t xml:space="preserve"> in zahtev, ki jih bodo ti upravičenci izpolnjevali.</w:t>
            </w:r>
          </w:p>
        </w:tc>
      </w:tr>
    </w:tbl>
    <w:p w14:paraId="05ADD359" w14:textId="77777777" w:rsidR="006F2881" w:rsidRDefault="006F2881"/>
    <w:p w14:paraId="7891B7EC" w14:textId="77777777" w:rsidR="006F2881" w:rsidRDefault="006F2881">
      <w:pPr>
        <w:spacing w:after="0" w:line="260" w:lineRule="auto"/>
      </w:pPr>
    </w:p>
    <w:p w14:paraId="0949DA97" w14:textId="77777777" w:rsidR="006F2881" w:rsidRDefault="006F2881">
      <w:pPr>
        <w:spacing w:after="0" w:line="260" w:lineRule="auto"/>
        <w:rPr>
          <w:rFonts w:cs="Arial"/>
        </w:rPr>
      </w:pPr>
    </w:p>
    <w:p w14:paraId="71537E16" w14:textId="77777777" w:rsidR="006F2881" w:rsidRDefault="006F2881">
      <w:pPr>
        <w:spacing w:after="0" w:line="260" w:lineRule="auto"/>
        <w:rPr>
          <w:rFonts w:cs="Arial"/>
        </w:rPr>
      </w:pPr>
    </w:p>
    <w:p w14:paraId="2B190AC7" w14:textId="77777777" w:rsidR="006F2881" w:rsidRDefault="0000000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7ABF46A3" w14:textId="77777777" w:rsidR="006F2881" w:rsidRDefault="006F2881">
      <w:pPr>
        <w:spacing w:after="0" w:line="260" w:lineRule="auto"/>
        <w:rPr>
          <w:rFonts w:cs="Arial"/>
        </w:rPr>
      </w:pPr>
    </w:p>
    <w:p w14:paraId="1705CCF5" w14:textId="77777777" w:rsidR="006F2881" w:rsidRDefault="00000000">
      <w:pPr>
        <w:spacing w:after="0" w:line="260" w:lineRule="auto"/>
      </w:pPr>
      <w:r>
        <w:t>Vsebina gradiva ne vpliva pristojnosti, delovanje oziroma financiranje občin.</w:t>
      </w:r>
    </w:p>
    <w:p w14:paraId="5494A2A7" w14:textId="77777777" w:rsidR="006F2881" w:rsidRDefault="006F2881">
      <w:pPr>
        <w:spacing w:after="0" w:line="260" w:lineRule="auto"/>
        <w:rPr>
          <w:rFonts w:cs="Arial"/>
        </w:rPr>
      </w:pPr>
    </w:p>
    <w:p w14:paraId="6530BDBA" w14:textId="77777777" w:rsidR="006F2881" w:rsidRDefault="00000000">
      <w:pPr>
        <w:spacing w:after="0" w:line="260" w:lineRule="auto"/>
      </w:pPr>
      <w:r>
        <w:t>Gradivo ni bilo poslano v mnenje Skupnosti občin Slovenije (SOS).</w:t>
      </w:r>
    </w:p>
    <w:p w14:paraId="19EB7957" w14:textId="77777777" w:rsidR="006F2881" w:rsidRDefault="006F2881">
      <w:pPr>
        <w:spacing w:after="0" w:line="260" w:lineRule="auto"/>
        <w:rPr>
          <w:rFonts w:cs="Arial"/>
        </w:rPr>
      </w:pPr>
    </w:p>
    <w:p w14:paraId="799AC03D" w14:textId="77777777" w:rsidR="006F2881" w:rsidRDefault="00000000">
      <w:pPr>
        <w:spacing w:after="0" w:line="260" w:lineRule="auto"/>
      </w:pPr>
      <w:r>
        <w:t>Gradivo ni bilo poslano v mnenje Združenju občin Slovenije (ZOS).</w:t>
      </w:r>
    </w:p>
    <w:p w14:paraId="40CDE8DC" w14:textId="77777777" w:rsidR="006F2881" w:rsidRDefault="006F2881">
      <w:pPr>
        <w:spacing w:after="0" w:line="260" w:lineRule="auto"/>
        <w:rPr>
          <w:rFonts w:cs="Arial"/>
        </w:rPr>
      </w:pPr>
    </w:p>
    <w:p w14:paraId="366B0DC6" w14:textId="77777777" w:rsidR="006F2881" w:rsidRDefault="00000000">
      <w:pPr>
        <w:spacing w:after="0" w:line="260" w:lineRule="auto"/>
      </w:pPr>
      <w:r>
        <w:t>Gradivo je bilo poslano v mnenje Združenju mestnih občin Slovenije (ZMOS).</w:t>
      </w:r>
    </w:p>
    <w:p w14:paraId="43FC3434" w14:textId="77777777" w:rsidR="006F2881" w:rsidRDefault="006F2881">
      <w:pPr>
        <w:spacing w:after="0" w:line="260" w:lineRule="auto"/>
        <w:rPr>
          <w:rFonts w:cs="Arial"/>
        </w:rPr>
      </w:pPr>
    </w:p>
    <w:p w14:paraId="3D6B8F79" w14:textId="77777777" w:rsidR="006F2881" w:rsidRDefault="0000000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626BF3F7" w14:textId="77777777" w:rsidR="006F2881" w:rsidRDefault="006F2881">
      <w:pPr>
        <w:spacing w:after="0" w:line="260" w:lineRule="auto"/>
        <w:rPr>
          <w:rFonts w:cs="Arial"/>
        </w:rPr>
      </w:pPr>
    </w:p>
    <w:p w14:paraId="627B30DB" w14:textId="77777777" w:rsidR="006F2881" w:rsidRDefault="00000000">
      <w:pPr>
        <w:spacing w:after="0" w:line="260" w:lineRule="auto"/>
      </w:pPr>
      <w:r>
        <w:t>Gradivo je bilo predmet sodelovanja z javnostjo.</w:t>
      </w:r>
    </w:p>
    <w:p w14:paraId="2B0E3181" w14:textId="77777777" w:rsidR="006F2881" w:rsidRDefault="006F2881">
      <w:pPr>
        <w:spacing w:after="0" w:line="260" w:lineRule="auto"/>
        <w:rPr>
          <w:rFonts w:cs="Arial"/>
        </w:rPr>
      </w:pPr>
    </w:p>
    <w:p w14:paraId="5A8DE393" w14:textId="77777777" w:rsidR="006F2881" w:rsidRDefault="00000000">
      <w:pPr>
        <w:spacing w:after="0" w:line="260" w:lineRule="auto"/>
      </w:pPr>
      <w:r>
        <w:t>Datum objave na spletni strani:</w:t>
      </w:r>
    </w:p>
    <w:p w14:paraId="106063B5" w14:textId="77777777" w:rsidR="006F2881" w:rsidRDefault="00000000">
      <w:pPr>
        <w:spacing w:after="0" w:line="260" w:lineRule="auto"/>
      </w:pPr>
      <w:r>
        <w:t>24. 12. 2025</w:t>
      </w:r>
    </w:p>
    <w:p w14:paraId="5CDDE068" w14:textId="77777777" w:rsidR="006F2881" w:rsidRDefault="006F2881">
      <w:pPr>
        <w:spacing w:after="0" w:line="260" w:lineRule="auto"/>
        <w:rPr>
          <w:rFonts w:cs="Arial"/>
        </w:rPr>
      </w:pPr>
    </w:p>
    <w:p w14:paraId="46F6E4D3" w14:textId="77777777" w:rsidR="006F2881" w:rsidRDefault="00000000">
      <w:pPr>
        <w:spacing w:after="0" w:line="260" w:lineRule="auto"/>
      </w:pPr>
      <w:r>
        <w:t>Na gradivo niso bila podana mnenja, predlogi in pripombe.</w:t>
      </w:r>
    </w:p>
    <w:p w14:paraId="08B553D7" w14:textId="77777777" w:rsidR="006F2881" w:rsidRDefault="006F2881">
      <w:pPr>
        <w:spacing w:after="0" w:line="260" w:lineRule="auto"/>
        <w:rPr>
          <w:rFonts w:cs="Arial"/>
        </w:rPr>
      </w:pPr>
    </w:p>
    <w:p w14:paraId="2F5E02C6" w14:textId="77777777" w:rsidR="006F2881" w:rsidRDefault="0000000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449D2B17" w14:textId="77777777" w:rsidR="006F2881" w:rsidRDefault="006F2881">
      <w:pPr>
        <w:spacing w:after="0" w:line="260" w:lineRule="auto"/>
        <w:rPr>
          <w:rFonts w:cs="Arial"/>
        </w:rPr>
      </w:pPr>
    </w:p>
    <w:p w14:paraId="5C8ADDEE" w14:textId="77777777" w:rsidR="006F2881" w:rsidRDefault="00000000">
      <w:pPr>
        <w:spacing w:after="0" w:line="260" w:lineRule="auto"/>
      </w:pPr>
      <w:r>
        <w:t>Pri pripravi gradiva so bile upoštevane zahteve iz Resolucije o normativni dejavnosti.</w:t>
      </w:r>
    </w:p>
    <w:p w14:paraId="5670E5BA" w14:textId="77777777" w:rsidR="006F2881" w:rsidRDefault="006F2881">
      <w:pPr>
        <w:spacing w:after="0" w:line="260" w:lineRule="auto"/>
        <w:rPr>
          <w:rFonts w:cs="Arial"/>
        </w:rPr>
      </w:pPr>
    </w:p>
    <w:p w14:paraId="4429EA7C" w14:textId="77777777" w:rsidR="006F2881" w:rsidRDefault="0000000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17156FB1" w14:textId="77777777" w:rsidR="006F2881" w:rsidRDefault="006F2881">
      <w:pPr>
        <w:spacing w:after="0" w:line="260" w:lineRule="auto"/>
        <w:rPr>
          <w:rFonts w:cs="Arial"/>
        </w:rPr>
      </w:pPr>
    </w:p>
    <w:p w14:paraId="2C6A8835" w14:textId="77777777" w:rsidR="006F2881" w:rsidRDefault="00000000">
      <w:pPr>
        <w:spacing w:after="0" w:line="260" w:lineRule="auto"/>
      </w:pPr>
      <w:r>
        <w:t>Predlog predpisa, ki je predmet gradiva, ni vključen v okvirni načrt normativne dejavnosti.</w:t>
      </w:r>
    </w:p>
    <w:p w14:paraId="0DF827DB" w14:textId="77777777" w:rsidR="006F2881" w:rsidRDefault="006F2881">
      <w:pPr>
        <w:spacing w:after="0" w:line="260" w:lineRule="auto"/>
        <w:rPr>
          <w:rFonts w:cs="Arial"/>
        </w:rPr>
      </w:pPr>
    </w:p>
    <w:p w14:paraId="041DC4CB" w14:textId="77777777" w:rsidR="006F2881" w:rsidRDefault="00000000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5201FCA7" w14:textId="7F14F6D5" w:rsidR="006F2881" w:rsidRDefault="00ED571F">
      <w:pPr>
        <w:spacing w:after="0" w:line="260" w:lineRule="exact"/>
        <w:ind w:left="3969"/>
        <w:jc w:val="center"/>
      </w:pPr>
      <w:r>
        <w:t xml:space="preserve">Mateja </w:t>
      </w:r>
      <w:proofErr w:type="spellStart"/>
      <w:r>
        <w:t>Čalušić</w:t>
      </w:r>
      <w:proofErr w:type="spellEnd"/>
    </w:p>
    <w:p w14:paraId="525ED648" w14:textId="2691836E" w:rsidR="00ED571F" w:rsidRDefault="00ED571F">
      <w:pPr>
        <w:spacing w:after="0" w:line="260" w:lineRule="exact"/>
        <w:ind w:left="3969"/>
        <w:jc w:val="center"/>
      </w:pPr>
      <w:r>
        <w:t>ministrica</w:t>
      </w:r>
    </w:p>
    <w:sectPr w:rsidR="00ED571F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6243" w14:textId="77777777" w:rsidR="008B3E5A" w:rsidRDefault="008B3E5A">
      <w:pPr>
        <w:spacing w:after="0" w:line="240" w:lineRule="auto"/>
      </w:pPr>
      <w:r>
        <w:separator/>
      </w:r>
    </w:p>
  </w:endnote>
  <w:endnote w:type="continuationSeparator" w:id="0">
    <w:p w14:paraId="24FFA0C9" w14:textId="77777777" w:rsidR="008B3E5A" w:rsidRDefault="008B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78FA" w14:textId="77777777" w:rsidR="006F2881" w:rsidRDefault="00000000">
    <w:r>
      <w:rPr>
        <w:i/>
        <w:sz w:val="16"/>
      </w:rPr>
      <w:t>Ustvarjeno v MOPED-DOCS, 06. 02. 2026 15:24:16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E2AD" w14:textId="77777777" w:rsidR="008B3E5A" w:rsidRDefault="008B3E5A">
      <w:pPr>
        <w:spacing w:after="0" w:line="240" w:lineRule="auto"/>
      </w:pPr>
      <w:r>
        <w:separator/>
      </w:r>
    </w:p>
  </w:footnote>
  <w:footnote w:type="continuationSeparator" w:id="0">
    <w:p w14:paraId="623D79C1" w14:textId="77777777" w:rsidR="008B3E5A" w:rsidRDefault="008B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5DC0" w14:textId="77777777" w:rsidR="00000000" w:rsidRPr="000E33E4" w:rsidRDefault="00000000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6463FD3" wp14:editId="500B44A3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5CD08C2E" w14:textId="77777777" w:rsidR="00000000" w:rsidRPr="000E33E4" w:rsidRDefault="00000000">
    <w:pPr>
      <w:pStyle w:val="Glava"/>
      <w:jc w:val="left"/>
      <w:rPr>
        <w:b/>
      </w:rPr>
    </w:pPr>
    <w:r w:rsidRPr="000E33E4">
      <w:rPr>
        <w:b/>
      </w:rPr>
      <w:t>MINISTRSTVO ZA KMETIJSTVO,</w:t>
    </w:r>
    <w:r w:rsidRPr="000E33E4">
      <w:rPr>
        <w:b/>
      </w:rPr>
      <w:br/>
      <w:t>GOZDARSTVO IN PREHRANO</w:t>
    </w:r>
  </w:p>
  <w:p w14:paraId="479E9D3F" w14:textId="77777777" w:rsidR="00000000" w:rsidRPr="000E33E4" w:rsidRDefault="00000000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0E33E4" w14:paraId="2BE7FE2C" w14:textId="77777777" w:rsidTr="000E33E4">
      <w:tc>
        <w:tcPr>
          <w:tcW w:w="5102" w:type="dxa"/>
        </w:tcPr>
        <w:p w14:paraId="2B03603E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Dunajska cesta 22 1000 Ljubljana</w:t>
          </w:r>
        </w:p>
      </w:tc>
      <w:tc>
        <w:tcPr>
          <w:tcW w:w="3826" w:type="dxa"/>
        </w:tcPr>
        <w:p w14:paraId="3B8FE2A5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90 00</w:t>
          </w:r>
        </w:p>
        <w:p w14:paraId="19F6AFA8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gp.mkgp@gov.si</w:t>
            </w:r>
          </w:hyperlink>
        </w:p>
        <w:p w14:paraId="27BD8019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http://www.mkgp.gov.si/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881"/>
    <w:rsid w:val="006F2881"/>
    <w:rsid w:val="008B3E5A"/>
    <w:rsid w:val="009822AF"/>
    <w:rsid w:val="00E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026"/>
  <w15:docId w15:val="{0C2CD686-F29E-4CF8-964F-75BE99A3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Peter Nagode</cp:lastModifiedBy>
  <cp:revision>4</cp:revision>
  <dcterms:created xsi:type="dcterms:W3CDTF">2019-02-01T07:54:00Z</dcterms:created>
  <dcterms:modified xsi:type="dcterms:W3CDTF">2026-02-06T14:41:00Z</dcterms:modified>
</cp:coreProperties>
</file>