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4A21" w14:textId="77777777" w:rsidR="00AE1F83" w:rsidRPr="00DF0ACC" w:rsidRDefault="00AE1F83" w:rsidP="00FA6305">
      <w:pPr>
        <w:spacing w:after="0" w:line="260" w:lineRule="exact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DF0ACC">
        <w:rPr>
          <w:rFonts w:ascii="Arial" w:eastAsia="Times New Roman" w:hAnsi="Arial" w:cs="Arial"/>
          <w:b/>
          <w:sz w:val="20"/>
          <w:szCs w:val="20"/>
          <w:lang w:eastAsia="sl-SI"/>
        </w:rPr>
        <w:t>PRILOGA 1 (spremni dopis – 1. del):</w:t>
      </w:r>
    </w:p>
    <w:p w14:paraId="0DCCA810" w14:textId="77777777" w:rsidR="00AE1F83" w:rsidRPr="00DF0ACC" w:rsidRDefault="00AE1F83" w:rsidP="00FA6305">
      <w:pPr>
        <w:spacing w:after="0" w:line="260" w:lineRule="exact"/>
        <w:ind w:firstLine="708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AE1F83" w:rsidRPr="00DF0ACC" w14:paraId="71DCB2BE" w14:textId="77777777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CF19E40" w14:textId="77777777" w:rsidR="00AE1F83" w:rsidRPr="00DF0ACC" w:rsidRDefault="00AE1F83" w:rsidP="00FA630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2E00722" w14:textId="77777777" w:rsidR="00566144" w:rsidRPr="00DF0ACC" w:rsidRDefault="00566144" w:rsidP="00DF0ACC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A630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27961501" wp14:editId="06D23E79">
                  <wp:extent cx="2974793" cy="111442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763" cy="1131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59331D" w14:textId="50D78077" w:rsidR="00D10410" w:rsidRPr="00DF0ACC" w:rsidRDefault="00566144" w:rsidP="00FA630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Calibri" w:hAnsi="Arial" w:cs="Arial"/>
                <w:color w:val="0070C0"/>
                <w:sz w:val="20"/>
                <w:szCs w:val="20"/>
              </w:rPr>
            </w:pPr>
            <w:r w:rsidRPr="00FA6305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         </w:t>
            </w:r>
            <w:hyperlink r:id="rId9" w:history="1">
              <w:r w:rsidRPr="00DF0ACC">
                <w:rPr>
                  <w:rStyle w:val="Hiperpovezava"/>
                  <w:rFonts w:ascii="Arial" w:eastAsia="Calibri" w:hAnsi="Arial" w:cs="Arial"/>
                  <w:color w:val="0070C0"/>
                  <w:sz w:val="20"/>
                  <w:szCs w:val="20"/>
                  <w:u w:val="none"/>
                </w:rPr>
                <w:t>gp.mvzi@gov.si</w:t>
              </w:r>
            </w:hyperlink>
          </w:p>
          <w:p w14:paraId="7F5819A4" w14:textId="6A00EFEB" w:rsidR="00D10410" w:rsidRPr="00DF0ACC" w:rsidRDefault="00D10410" w:rsidP="00FA630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E1F83" w:rsidRPr="00DF0ACC" w14:paraId="447DBD70" w14:textId="77777777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AC22121" w14:textId="178E6826" w:rsidR="00AE1F83" w:rsidRPr="00DF0ACC" w:rsidRDefault="00AE1F83" w:rsidP="00FA630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6A16CF" w:rsidRPr="00DF0AC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014-47/2023-3360-</w:t>
            </w:r>
            <w:r w:rsidR="007820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</w:tr>
      <w:tr w:rsidR="00AE1F83" w:rsidRPr="00DF0ACC" w14:paraId="7A38DFF1" w14:textId="77777777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6D95259" w14:textId="6978057E" w:rsidR="00AE1F83" w:rsidRPr="00DF0ACC" w:rsidRDefault="00AE1F83" w:rsidP="00FA630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Ljubljana, </w:t>
            </w:r>
            <w:r w:rsidR="007820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7820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="006A16CF" w:rsidRPr="0023396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6A16CF" w:rsidRPr="00DF0AC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7820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  <w:r w:rsidR="006A16CF" w:rsidRPr="00DF0AC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2024</w:t>
            </w:r>
          </w:p>
        </w:tc>
      </w:tr>
      <w:tr w:rsidR="00AE1F83" w:rsidRPr="00DF0ACC" w14:paraId="1BD2AFB1" w14:textId="77777777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2F428EB" w14:textId="0BBF395A" w:rsidR="00AE1F83" w:rsidRPr="00DF0ACC" w:rsidRDefault="00AE1F83" w:rsidP="00FA630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EV</w:t>
            </w:r>
            <w:r w:rsidR="00A76A3E"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</w:t>
            </w:r>
            <w:r w:rsidR="00612FBA" w:rsidRPr="00D73C8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/</w:t>
            </w:r>
          </w:p>
        </w:tc>
      </w:tr>
      <w:tr w:rsidR="00AE1F83" w:rsidRPr="00DF0ACC" w14:paraId="5B8F8714" w14:textId="77777777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CAAD790" w14:textId="77777777" w:rsidR="00AE1F83" w:rsidRPr="00DF0ACC" w:rsidRDefault="00AE1F83" w:rsidP="005258C1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1CAD58" w14:textId="77777777" w:rsidR="00AE1F83" w:rsidRPr="00DF0ACC" w:rsidRDefault="00AE1F83" w:rsidP="005258C1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0432D087" w14:textId="77777777" w:rsidR="00AE1F83" w:rsidRPr="00DF0ACC" w:rsidRDefault="007820A7" w:rsidP="005258C1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="00AE1F83" w:rsidRPr="00DF0AC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Gp.gs@gov.si</w:t>
              </w:r>
            </w:hyperlink>
          </w:p>
          <w:p w14:paraId="2C76906E" w14:textId="77777777" w:rsidR="00AE1F83" w:rsidRPr="00DF0ACC" w:rsidRDefault="00AE1F83" w:rsidP="005258C1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1F83" w:rsidRPr="00DF0ACC" w14:paraId="5F337CA8" w14:textId="77777777" w:rsidTr="00DA6942">
        <w:tc>
          <w:tcPr>
            <w:tcW w:w="9163" w:type="dxa"/>
            <w:gridSpan w:val="4"/>
          </w:tcPr>
          <w:p w14:paraId="2C3DF02B" w14:textId="0B6B6689" w:rsidR="00AE1F83" w:rsidRPr="00DF0ACC" w:rsidRDefault="00AE1F83" w:rsidP="009C604E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ZADEVA:</w:t>
            </w:r>
            <w:r w:rsidR="0046599E" w:rsidRPr="00FA6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99E"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Predlog za izdajo soglasja </w:t>
            </w:r>
            <w:r w:rsidR="00B627D2"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Univerzi v Ljubljani </w:t>
            </w:r>
            <w:r w:rsidR="00C92EFB"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k </w:t>
            </w:r>
            <w:proofErr w:type="spellStart"/>
            <w:r w:rsidR="00C92EFB"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</w:t>
            </w:r>
            <w:r w:rsidR="0046599E"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ustanovitv</w:t>
            </w:r>
            <w:r w:rsidR="00C92EFB"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</w:t>
            </w:r>
            <w:proofErr w:type="spellEnd"/>
            <w:r w:rsidR="0046599E"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9C604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združenja</w:t>
            </w:r>
            <w:r w:rsidR="0046599E"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Evropsk</w:t>
            </w:r>
            <w:r w:rsidR="001340D9"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</w:t>
            </w:r>
            <w:r w:rsidR="0046599E"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univerz</w:t>
            </w:r>
            <w:r w:rsidR="001340D9"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</w:t>
            </w:r>
            <w:r w:rsidR="0046599E"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B627D2"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»</w:t>
            </w:r>
            <w:r w:rsidR="0046599E"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EUTOPIA</w:t>
            </w:r>
            <w:r w:rsidR="00B627D2"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«</w:t>
            </w:r>
            <w:r w:rsidR="0046599E"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– predlog za obravnavo </w:t>
            </w:r>
          </w:p>
        </w:tc>
      </w:tr>
      <w:tr w:rsidR="00AE1F83" w:rsidRPr="00DF0ACC" w14:paraId="66D738C5" w14:textId="77777777" w:rsidTr="00DA6942">
        <w:tc>
          <w:tcPr>
            <w:tcW w:w="9163" w:type="dxa"/>
            <w:gridSpan w:val="4"/>
          </w:tcPr>
          <w:p w14:paraId="55422D78" w14:textId="77777777" w:rsidR="00AE1F83" w:rsidRPr="00DF0ACC" w:rsidRDefault="00AE1F83" w:rsidP="00FA6305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AE1F83" w:rsidRPr="00DF0ACC" w14:paraId="796B5666" w14:textId="77777777" w:rsidTr="00DA6942">
        <w:tc>
          <w:tcPr>
            <w:tcW w:w="9163" w:type="dxa"/>
            <w:gridSpan w:val="4"/>
          </w:tcPr>
          <w:p w14:paraId="11DD4B91" w14:textId="155E679D" w:rsidR="00612ADB" w:rsidRPr="00DF0ACC" w:rsidRDefault="00612ADB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 podlagi šestega odstavka 21. člena Zakona o Vladi Republike Slovenije (Uradni list RS, št. 24/05 – uradno prečiščeno besedilo, 109/08, 38/10 – ZUKN, 8/12, 21/13, 47/13 – ZDU-1G, 65/14, 55/17 in 163/22)</w:t>
            </w:r>
            <w:r w:rsidR="00422C8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drugega odstavka 20. člena Zakona o zavodih (Uradni list RS, št. 12/91, 8/96, 36/00 – ZPDZC in 127/06 – ZJZP)</w:t>
            </w:r>
            <w:r w:rsidRPr="00FA6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A55" w:rsidRPr="00FA6305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695B9F" w:rsidRPr="00FA6305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516316" w:rsidRPr="00FA6305">
              <w:rPr>
                <w:rFonts w:ascii="Arial" w:hAnsi="Arial" w:cs="Arial"/>
                <w:sz w:val="20"/>
                <w:szCs w:val="20"/>
              </w:rPr>
              <w:t>člen</w:t>
            </w:r>
            <w:r w:rsidR="00655D1B" w:rsidRPr="009C604E">
              <w:rPr>
                <w:rFonts w:ascii="Arial" w:hAnsi="Arial" w:cs="Arial"/>
                <w:sz w:val="20"/>
                <w:szCs w:val="20"/>
              </w:rPr>
              <w:t>a</w:t>
            </w:r>
            <w:r w:rsidR="00516316" w:rsidRPr="009C604E">
              <w:rPr>
                <w:rFonts w:ascii="Arial" w:hAnsi="Arial" w:cs="Arial"/>
                <w:sz w:val="20"/>
                <w:szCs w:val="20"/>
              </w:rPr>
              <w:t xml:space="preserve"> Odloka o preoblikovanju Univerze v Ljubljani (</w:t>
            </w:r>
            <w:bookmarkStart w:id="0" w:name="_Hlk177047059"/>
            <w:r w:rsidR="007C3A4A" w:rsidRPr="007C3A4A">
              <w:rPr>
                <w:rFonts w:ascii="Arial" w:hAnsi="Arial" w:cs="Arial"/>
                <w:sz w:val="20"/>
                <w:szCs w:val="20"/>
              </w:rPr>
              <w:t xml:space="preserve">Uradni list RS, št. </w:t>
            </w:r>
            <w:r w:rsidR="00655D1B" w:rsidRPr="009C604E">
              <w:rPr>
                <w:rFonts w:ascii="Arial" w:hAnsi="Arial" w:cs="Arial"/>
                <w:sz w:val="20"/>
                <w:szCs w:val="20"/>
              </w:rPr>
              <w:t>28/00, 33/03, 79/04, 36/06, 18/09, 83/10, 8/19, 36/21 in 107/23</w:t>
            </w:r>
            <w:bookmarkEnd w:id="0"/>
            <w:r w:rsidR="00655D1B" w:rsidRPr="009C604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je Vlada Republike Slovenije na seji ….. dne …</w:t>
            </w:r>
            <w:r w:rsidR="00ED029E"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..</w:t>
            </w: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sprejela naslednji </w:t>
            </w:r>
          </w:p>
          <w:p w14:paraId="71A8A3EF" w14:textId="77777777" w:rsidR="00612ADB" w:rsidRPr="00DF0ACC" w:rsidRDefault="00612ADB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51E6A895" w14:textId="77777777" w:rsidR="00AE1F83" w:rsidRPr="00DF0ACC" w:rsidRDefault="00612ADB" w:rsidP="002D097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 K L E P</w:t>
            </w:r>
          </w:p>
          <w:p w14:paraId="1E6BFC72" w14:textId="77777777" w:rsidR="005134DC" w:rsidRPr="00DF0ACC" w:rsidRDefault="005134DC" w:rsidP="009C604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003AC3DE" w14:textId="77777777" w:rsidR="005134DC" w:rsidRPr="00DF0ACC" w:rsidRDefault="005134DC" w:rsidP="009C604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46935734" w14:textId="667891F6" w:rsidR="005134DC" w:rsidRPr="00DF0ACC" w:rsidRDefault="005134DC" w:rsidP="009C604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Vlada Republike Slovenije daje soglasje </w:t>
            </w:r>
            <w:r w:rsidR="001340D9"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Univerzi v Ljubljani </w:t>
            </w:r>
            <w:r w:rsidR="006D2D32"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k </w:t>
            </w:r>
            <w:proofErr w:type="spellStart"/>
            <w:r w:rsidR="00A849AE"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so</w:t>
            </w: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ustanovit</w:t>
            </w:r>
            <w:r w:rsidR="006D2D32"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vi</w:t>
            </w:r>
            <w:proofErr w:type="spellEnd"/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C217FE" w:rsidRPr="009C604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združenja</w:t>
            </w: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Evropska univerza </w:t>
            </w:r>
            <w:r w:rsidR="001340D9"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»</w:t>
            </w: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EUTOPIA</w:t>
            </w:r>
            <w:r w:rsidR="001340D9"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«</w:t>
            </w:r>
            <w:r w:rsidR="00451942"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</w:p>
          <w:p w14:paraId="3F1498BE" w14:textId="77777777" w:rsidR="00451942" w:rsidRPr="00DF0ACC" w:rsidRDefault="00451942" w:rsidP="009C604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C4F5615" w14:textId="77777777" w:rsidR="00D437DD" w:rsidRPr="00DF0ACC" w:rsidRDefault="00D437DD" w:rsidP="009C604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41A234D7" w14:textId="5349F4DF" w:rsidR="00D437DD" w:rsidRPr="00DF0ACC" w:rsidRDefault="0087650A" w:rsidP="009C604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       </w:t>
            </w:r>
            <w:r w:rsidR="002D097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                                                    </w:t>
            </w:r>
            <w:r w:rsidR="00D437DD"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Barbara Kolenko </w:t>
            </w:r>
            <w:proofErr w:type="spellStart"/>
            <w:r w:rsidR="00D437DD"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Helbl</w:t>
            </w:r>
            <w:proofErr w:type="spellEnd"/>
          </w:p>
          <w:p w14:paraId="06D1F25A" w14:textId="2E99474E" w:rsidR="00D437DD" w:rsidRPr="00DF0ACC" w:rsidRDefault="0087650A" w:rsidP="009C604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       </w:t>
            </w:r>
            <w:r w:rsidR="002D097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                                                </w:t>
            </w:r>
            <w:r w:rsidR="00C217F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  </w:t>
            </w:r>
            <w:r w:rsidR="00D437DD"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generalna sekretarka</w:t>
            </w:r>
          </w:p>
          <w:p w14:paraId="3F9C7721" w14:textId="77777777" w:rsidR="00D437DD" w:rsidRPr="00DF0ACC" w:rsidRDefault="00D437DD" w:rsidP="009C604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70930F97" w14:textId="77777777" w:rsidR="00D437DD" w:rsidRPr="00DF0ACC" w:rsidRDefault="00D437DD" w:rsidP="009C604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67A9D29B" w14:textId="77777777" w:rsidR="00D437DD" w:rsidRPr="00DF0ACC" w:rsidRDefault="00D437DD" w:rsidP="009C604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22350FF2" w14:textId="77777777" w:rsidR="007C60C5" w:rsidRPr="00DF0ACC" w:rsidRDefault="007C60C5" w:rsidP="009C604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79018555" w14:textId="34B516B6" w:rsidR="00D437DD" w:rsidRPr="00DF0ACC" w:rsidRDefault="00D437DD" w:rsidP="009C604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Sklep prejmejo: </w:t>
            </w:r>
          </w:p>
          <w:p w14:paraId="4A6505D7" w14:textId="77777777" w:rsidR="00D437DD" w:rsidRPr="00DF0ACC" w:rsidRDefault="00D437DD" w:rsidP="009C604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1. Univerza v Ljubljani, Kongresni trg 12, 1000 Ljubljana </w:t>
            </w:r>
          </w:p>
          <w:p w14:paraId="209DDB9B" w14:textId="77777777" w:rsidR="00D437DD" w:rsidRPr="00DF0ACC" w:rsidRDefault="00D437DD" w:rsidP="009C604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2. Ministrstvo za visoko šolstvo, znanost in inovacije, Masarykova cesta 16, 1000 Ljubljana</w:t>
            </w:r>
          </w:p>
          <w:p w14:paraId="1B7B0EFF" w14:textId="129168EF" w:rsidR="00F651DC" w:rsidRPr="00DF0ACC" w:rsidRDefault="00F651DC" w:rsidP="009C604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3. </w:t>
            </w:r>
            <w:r w:rsidRPr="00FA764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finance</w:t>
            </w:r>
            <w:r w:rsidR="00F901C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  <w:r w:rsidR="00F901C2">
              <w:t xml:space="preserve"> </w:t>
            </w:r>
            <w:r w:rsidR="00F901C2" w:rsidRPr="00F901C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Župančičeva ulica 3, 1000 Ljubljana</w:t>
            </w:r>
          </w:p>
          <w:p w14:paraId="5E3D86DB" w14:textId="205C22A5" w:rsidR="00D437DD" w:rsidRPr="00DF0ACC" w:rsidRDefault="00F651DC" w:rsidP="009C604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4</w:t>
            </w:r>
            <w:r w:rsidR="00D437DD"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. </w:t>
            </w:r>
            <w:r w:rsidR="006F42D9" w:rsidRPr="00FA764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Služba Vlade RS za zakonodajo, Mestni trg 4, 1000 Ljubljana</w:t>
            </w:r>
          </w:p>
        </w:tc>
      </w:tr>
      <w:tr w:rsidR="00AE1F83" w:rsidRPr="00DF0ACC" w14:paraId="6237807B" w14:textId="77777777" w:rsidTr="00DA6942">
        <w:tc>
          <w:tcPr>
            <w:tcW w:w="9163" w:type="dxa"/>
            <w:gridSpan w:val="4"/>
          </w:tcPr>
          <w:p w14:paraId="25DE74E7" w14:textId="77777777" w:rsidR="00AE1F83" w:rsidRPr="00DF0ACC" w:rsidRDefault="00AE1F83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AE1F83" w:rsidRPr="00DF0ACC" w14:paraId="351B81FE" w14:textId="77777777" w:rsidTr="00DA6942">
        <w:tc>
          <w:tcPr>
            <w:tcW w:w="9163" w:type="dxa"/>
            <w:gridSpan w:val="4"/>
          </w:tcPr>
          <w:p w14:paraId="0648E23A" w14:textId="541A59C8" w:rsidR="00AE1F83" w:rsidRPr="00DF0ACC" w:rsidRDefault="00BA56E6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AE1F83" w:rsidRPr="00DF0ACC" w14:paraId="4BF34BC4" w14:textId="77777777" w:rsidTr="00DA6942">
        <w:tc>
          <w:tcPr>
            <w:tcW w:w="9163" w:type="dxa"/>
            <w:gridSpan w:val="4"/>
          </w:tcPr>
          <w:p w14:paraId="7B56CC94" w14:textId="77777777" w:rsidR="00AE1F83" w:rsidRPr="00DF0ACC" w:rsidRDefault="00AE1F83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AE1F83" w:rsidRPr="00DF0ACC" w14:paraId="741A85D6" w14:textId="77777777" w:rsidTr="00DA6942">
        <w:tc>
          <w:tcPr>
            <w:tcW w:w="9163" w:type="dxa"/>
            <w:gridSpan w:val="4"/>
          </w:tcPr>
          <w:p w14:paraId="2C5DC039" w14:textId="77777777" w:rsidR="00BA56E6" w:rsidRPr="00DF0ACC" w:rsidRDefault="00BA56E6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- dr. Igor Papič, minister</w:t>
            </w:r>
          </w:p>
          <w:p w14:paraId="23A427EB" w14:textId="73DA4021" w:rsidR="00BA56E6" w:rsidRPr="00DF0ACC" w:rsidRDefault="00BA56E6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- dr. Jure Gašparič, državni sekretar </w:t>
            </w:r>
          </w:p>
          <w:p w14:paraId="4FAE7DBC" w14:textId="6B9C3AB6" w:rsidR="00AE1F83" w:rsidRPr="00DF0ACC" w:rsidRDefault="00BA56E6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- Urban Kodrič, v. d. generalnega direktorja Direktorata za visoko šolstvo</w:t>
            </w:r>
          </w:p>
        </w:tc>
      </w:tr>
      <w:tr w:rsidR="00AE1F83" w:rsidRPr="00DF0ACC" w14:paraId="2216FB4D" w14:textId="77777777" w:rsidTr="00DA6942">
        <w:tc>
          <w:tcPr>
            <w:tcW w:w="9163" w:type="dxa"/>
            <w:gridSpan w:val="4"/>
          </w:tcPr>
          <w:p w14:paraId="388D5C34" w14:textId="77777777" w:rsidR="00AE1F83" w:rsidRPr="00DF0ACC" w:rsidRDefault="00AE1F83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lastRenderedPageBreak/>
              <w:t xml:space="preserve">3.b Zunanji strokovnjaki, ki so </w:t>
            </w:r>
            <w:r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AE1F83" w:rsidRPr="00DF0ACC" w14:paraId="64920D42" w14:textId="77777777" w:rsidTr="00DA6942">
        <w:tc>
          <w:tcPr>
            <w:tcW w:w="9163" w:type="dxa"/>
            <w:gridSpan w:val="4"/>
          </w:tcPr>
          <w:p w14:paraId="112571F9" w14:textId="50182C94" w:rsidR="00AE1F83" w:rsidRPr="00DF0ACC" w:rsidRDefault="00BA56E6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AE1F83" w:rsidRPr="00DF0ACC" w14:paraId="54DB06E2" w14:textId="77777777" w:rsidTr="00DA6942">
        <w:tc>
          <w:tcPr>
            <w:tcW w:w="9163" w:type="dxa"/>
            <w:gridSpan w:val="4"/>
          </w:tcPr>
          <w:p w14:paraId="521398D5" w14:textId="77777777" w:rsidR="00AE1F83" w:rsidRPr="00DF0ACC" w:rsidRDefault="00AE1F83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AE1F83" w:rsidRPr="00DF0ACC" w14:paraId="38FB11BD" w14:textId="77777777" w:rsidTr="00DA6942">
        <w:tc>
          <w:tcPr>
            <w:tcW w:w="9163" w:type="dxa"/>
            <w:gridSpan w:val="4"/>
          </w:tcPr>
          <w:p w14:paraId="71A3EE54" w14:textId="3E122E45" w:rsidR="00AE1F83" w:rsidRPr="00DF0ACC" w:rsidRDefault="00EA4C8F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AE1F83" w:rsidRPr="00DF0ACC" w14:paraId="5D10D7C2" w14:textId="77777777" w:rsidTr="00DA6942">
        <w:tc>
          <w:tcPr>
            <w:tcW w:w="9163" w:type="dxa"/>
            <w:gridSpan w:val="4"/>
          </w:tcPr>
          <w:p w14:paraId="12E45801" w14:textId="77777777" w:rsidR="00AE1F83" w:rsidRPr="00DF0ACC" w:rsidRDefault="00AE1F83" w:rsidP="00FA6305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AE1F83" w:rsidRPr="00DF0ACC" w14:paraId="1D18B70C" w14:textId="77777777" w:rsidTr="00DA6942">
        <w:tc>
          <w:tcPr>
            <w:tcW w:w="9163" w:type="dxa"/>
            <w:gridSpan w:val="4"/>
          </w:tcPr>
          <w:p w14:paraId="6A320C8F" w14:textId="00385CB9" w:rsidR="00AE1F83" w:rsidRPr="00DF0ACC" w:rsidRDefault="008E4C80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Predmetno gradivo vsebuje predlog Vladi Republike Slovenije k njenemu soglasju </w:t>
            </w:r>
            <w:r w:rsidR="003C2E1A"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Univerzi v Ljubljani k </w:t>
            </w:r>
            <w:proofErr w:type="spellStart"/>
            <w:r w:rsidR="003C2E1A"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so</w:t>
            </w: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ustanovitv</w:t>
            </w:r>
            <w:r w:rsidR="003C2E1A"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</w:t>
            </w:r>
            <w:proofErr w:type="spellEnd"/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pravne osebe Evropska univerza EUTOPIA</w:t>
            </w:r>
          </w:p>
        </w:tc>
      </w:tr>
      <w:tr w:rsidR="00AE1F83" w:rsidRPr="00DF0ACC" w14:paraId="397F9660" w14:textId="77777777" w:rsidTr="00DA6942">
        <w:tc>
          <w:tcPr>
            <w:tcW w:w="9163" w:type="dxa"/>
            <w:gridSpan w:val="4"/>
          </w:tcPr>
          <w:p w14:paraId="58330CD1" w14:textId="77777777" w:rsidR="00AE1F83" w:rsidRPr="00DF0ACC" w:rsidRDefault="00AE1F83" w:rsidP="00FA6305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AE1F83" w:rsidRPr="00DF0ACC" w14:paraId="28160EAB" w14:textId="77777777" w:rsidTr="00DA6942">
        <w:tc>
          <w:tcPr>
            <w:tcW w:w="1448" w:type="dxa"/>
          </w:tcPr>
          <w:p w14:paraId="6EB8C2A7" w14:textId="77777777" w:rsidR="00AE1F83" w:rsidRPr="00DF0ACC" w:rsidRDefault="00AE1F83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41108272" w14:textId="77777777" w:rsidR="00AE1F83" w:rsidRPr="00DF0ACC" w:rsidRDefault="00AE1F83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316919F8" w14:textId="77777777" w:rsidR="00AE1F83" w:rsidRPr="00DF0ACC" w:rsidRDefault="00AE1F83" w:rsidP="00FA630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FA630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</w:t>
            </w:r>
            <w:r w:rsidRPr="00DF0AC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  <w:r w:rsidRPr="00FA63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DF0ACC" w14:paraId="2FB39145" w14:textId="77777777" w:rsidTr="00DA6942">
        <w:tc>
          <w:tcPr>
            <w:tcW w:w="1448" w:type="dxa"/>
          </w:tcPr>
          <w:p w14:paraId="713D8C36" w14:textId="77777777" w:rsidR="00AE1F83" w:rsidRPr="00DF0ACC" w:rsidRDefault="00AE1F83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6138E881" w14:textId="77777777" w:rsidR="00AE1F83" w:rsidRPr="00DF0ACC" w:rsidRDefault="00AE1F83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5F3C847D" w14:textId="77777777" w:rsidR="00AE1F83" w:rsidRPr="00DF0ACC" w:rsidRDefault="00AE1F83" w:rsidP="00FA630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DF0A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DF0ACC" w14:paraId="5B5A206E" w14:textId="77777777" w:rsidTr="00DA6942">
        <w:tc>
          <w:tcPr>
            <w:tcW w:w="1448" w:type="dxa"/>
          </w:tcPr>
          <w:p w14:paraId="16D8C016" w14:textId="77777777" w:rsidR="00AE1F83" w:rsidRPr="00DF0ACC" w:rsidRDefault="00AE1F83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144DD26E" w14:textId="77777777" w:rsidR="00AE1F83" w:rsidRPr="00DF0ACC" w:rsidRDefault="00AE1F83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088E6F8D" w14:textId="77777777" w:rsidR="00AE1F83" w:rsidRPr="00DF0ACC" w:rsidRDefault="00AE1F83" w:rsidP="00FA630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FA63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DF0ACC" w14:paraId="0FD6221F" w14:textId="77777777" w:rsidTr="00DA6942">
        <w:tc>
          <w:tcPr>
            <w:tcW w:w="1448" w:type="dxa"/>
          </w:tcPr>
          <w:p w14:paraId="2B9AFC3F" w14:textId="77777777" w:rsidR="00AE1F83" w:rsidRPr="00DF0ACC" w:rsidRDefault="00AE1F83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73CBC005" w14:textId="77777777" w:rsidR="00AE1F83" w:rsidRPr="00DF0ACC" w:rsidRDefault="00AE1F83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DF0ACC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6A92766D" w14:textId="77777777" w:rsidR="00AE1F83" w:rsidRPr="00DF0ACC" w:rsidRDefault="00AE1F83" w:rsidP="00FA630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DF0A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DF0ACC" w14:paraId="38E588FB" w14:textId="77777777" w:rsidTr="00DA6942">
        <w:tc>
          <w:tcPr>
            <w:tcW w:w="1448" w:type="dxa"/>
          </w:tcPr>
          <w:p w14:paraId="24E7AFAB" w14:textId="77777777" w:rsidR="00AE1F83" w:rsidRPr="00DF0ACC" w:rsidRDefault="00AE1F83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674AF3A2" w14:textId="77777777" w:rsidR="00AE1F83" w:rsidRPr="00DF0ACC" w:rsidRDefault="00AE1F83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417176C0" w14:textId="77777777" w:rsidR="00AE1F83" w:rsidRPr="00DF0ACC" w:rsidRDefault="00AE1F83" w:rsidP="00FA630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DF0A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DF0ACC" w14:paraId="7F17780F" w14:textId="77777777" w:rsidTr="00DA6942">
        <w:tc>
          <w:tcPr>
            <w:tcW w:w="1448" w:type="dxa"/>
          </w:tcPr>
          <w:p w14:paraId="58C4C7DE" w14:textId="77777777" w:rsidR="00AE1F83" w:rsidRPr="00DF0ACC" w:rsidRDefault="00AE1F83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103482D1" w14:textId="77777777" w:rsidR="00AE1F83" w:rsidRPr="00DF0ACC" w:rsidRDefault="00AE1F83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498B465F" w14:textId="77777777" w:rsidR="00AE1F83" w:rsidRPr="00DF0ACC" w:rsidRDefault="00AE1F83" w:rsidP="00FA630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DF0A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DF0ACC" w14:paraId="1A778D37" w14:textId="77777777" w:rsidTr="00DA6942">
        <w:tc>
          <w:tcPr>
            <w:tcW w:w="1448" w:type="dxa"/>
            <w:tcBorders>
              <w:bottom w:val="single" w:sz="4" w:space="0" w:color="auto"/>
            </w:tcBorders>
          </w:tcPr>
          <w:p w14:paraId="4265D794" w14:textId="77777777" w:rsidR="00AE1F83" w:rsidRPr="00DF0ACC" w:rsidRDefault="00AE1F83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580C139E" w14:textId="77777777" w:rsidR="00AE1F83" w:rsidRPr="00DF0ACC" w:rsidRDefault="00AE1F83" w:rsidP="00DF0AC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62597FD8" w14:textId="77777777" w:rsidR="00AE1F83" w:rsidRPr="00DF0ACC" w:rsidRDefault="00AE1F83" w:rsidP="00DF0AC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1E8A6D71" w14:textId="77777777" w:rsidR="00AE1F83" w:rsidRPr="00DF0ACC" w:rsidRDefault="00AE1F83" w:rsidP="00DF0AC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3F955813" w14:textId="77777777" w:rsidR="00AE1F83" w:rsidRPr="00DF0ACC" w:rsidRDefault="00AE1F83" w:rsidP="00DF0AC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5F60AA71" w14:textId="77777777" w:rsidR="00AE1F83" w:rsidRPr="00DF0ACC" w:rsidRDefault="00AE1F83" w:rsidP="00FA630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DF0A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DF0ACC" w14:paraId="4F2EC857" w14:textId="77777777" w:rsidTr="00DA6942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3A7D" w14:textId="77777777" w:rsidR="00AE1F83" w:rsidRPr="00DF0ACC" w:rsidRDefault="00AE1F83" w:rsidP="00FA6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4DDDC080" w14:textId="77777777" w:rsidR="00AE1F83" w:rsidRPr="00DF0ACC" w:rsidRDefault="00AE1F83" w:rsidP="00FA6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(Samo če izberete DA pod točko 6.a.)</w:t>
            </w:r>
          </w:p>
        </w:tc>
      </w:tr>
    </w:tbl>
    <w:p w14:paraId="50C88347" w14:textId="77777777" w:rsidR="00AE1F83" w:rsidRPr="00DF0ACC" w:rsidRDefault="00AE1F83" w:rsidP="00CE75B6">
      <w:pPr>
        <w:spacing w:after="0" w:line="260" w:lineRule="exact"/>
        <w:jc w:val="both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AE1F83" w:rsidRPr="00DF0ACC" w14:paraId="22501D4D" w14:textId="77777777" w:rsidTr="00DA6942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61142F" w14:textId="77777777" w:rsidR="00AE1F83" w:rsidRPr="00DF0ACC" w:rsidRDefault="00AE1F83" w:rsidP="00CE75B6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AE1F83" w:rsidRPr="00DF0ACC" w14:paraId="617F6F8F" w14:textId="77777777" w:rsidTr="00DA6942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DEB9" w14:textId="77777777" w:rsidR="00AE1F83" w:rsidRPr="00DF0ACC" w:rsidRDefault="00AE1F83" w:rsidP="00CE75B6">
            <w:pPr>
              <w:widowControl w:val="0"/>
              <w:spacing w:after="0" w:line="260" w:lineRule="exact"/>
              <w:ind w:left="-122" w:right="-11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518C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48E4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3548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FEEC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AE1F83" w:rsidRPr="00DF0ACC" w14:paraId="471CFF33" w14:textId="77777777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BA41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DF0ACC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DF0AC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52BE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F1B4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6672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1E5F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DF0ACC" w14:paraId="1F1426D6" w14:textId="77777777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1574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DF0ACC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DF0AC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D961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6111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8258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5A83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DF0ACC" w14:paraId="0CB8CA66" w14:textId="77777777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B203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DF0ACC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DF0AC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07DD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7CE8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9F09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CC12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1F83" w:rsidRPr="00DF0ACC" w14:paraId="7FDC0FD7" w14:textId="77777777" w:rsidTr="00DA6942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6833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DF0ACC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DF0ACC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2865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898E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BE69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BA55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1F83" w:rsidRPr="00DF0ACC" w14:paraId="3F58FDAC" w14:textId="77777777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9774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DF0ACC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DF0ACC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09CB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839E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1A32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A2D0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DF0ACC" w14:paraId="6785FB71" w14:textId="77777777" w:rsidTr="00DA6942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088FEB" w14:textId="77777777" w:rsidR="00AE1F83" w:rsidRPr="00DF0ACC" w:rsidRDefault="00AE1F83" w:rsidP="00CE75B6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AE1F83" w:rsidRPr="00DF0ACC" w14:paraId="5B455410" w14:textId="77777777" w:rsidTr="00DA6942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0C0C6C" w14:textId="77777777" w:rsidR="00AE1F83" w:rsidRPr="00DF0ACC" w:rsidRDefault="00AE1F83" w:rsidP="00CE75B6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DF0AC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DF0AC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AE1F83" w:rsidRPr="00DF0ACC" w14:paraId="7B31F409" w14:textId="77777777" w:rsidTr="00DA6942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D8EF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0A9D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EEF2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7F73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27D6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AE1F83" w:rsidRPr="00DF0ACC" w14:paraId="3FBC1D1C" w14:textId="77777777" w:rsidTr="00DA6942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FF6B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9958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86E9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4620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1D49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DF0ACC" w14:paraId="710E7C66" w14:textId="77777777" w:rsidTr="00DA6942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9FBA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7346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E998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49A7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78E9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DF0ACC" w14:paraId="1AFCD138" w14:textId="77777777" w:rsidTr="00DA6942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5BB3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CB9A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AA2A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DF0ACC" w14:paraId="5D59AC6D" w14:textId="77777777" w:rsidTr="00DA6942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F32184" w14:textId="77777777" w:rsidR="00AE1F83" w:rsidRPr="00DF0ACC" w:rsidRDefault="00AE1F83" w:rsidP="00CE75B6">
            <w:pPr>
              <w:widowControl w:val="0"/>
              <w:tabs>
                <w:tab w:val="left" w:pos="234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DF0AC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DF0AC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AE1F83" w:rsidRPr="00DF0ACC" w14:paraId="27365917" w14:textId="77777777" w:rsidTr="00DA6942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CBF4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413C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5C5C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0CC9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7348" w14:textId="77777777" w:rsidR="00AE1F83" w:rsidRPr="00DF0ACC" w:rsidRDefault="00AE1F83" w:rsidP="00CE75B6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AE1F83" w:rsidRPr="00DF0ACC" w14:paraId="1FC6E6A4" w14:textId="77777777" w:rsidTr="00DA6942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8937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F639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AA45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F06F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A438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DF0ACC" w14:paraId="388FA901" w14:textId="77777777" w:rsidTr="00DA6942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E371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32ED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95E0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7BCD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67F9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DF0ACC" w14:paraId="515C07CA" w14:textId="77777777" w:rsidTr="00DA6942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5444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AACA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EB6A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DF0ACC" w14:paraId="6DF3C54A" w14:textId="77777777" w:rsidTr="00DA6942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A3B8C2" w14:textId="77777777" w:rsidR="00AE1F83" w:rsidRPr="00DF0ACC" w:rsidRDefault="00AE1F83" w:rsidP="00CE75B6">
            <w:pPr>
              <w:widowControl w:val="0"/>
              <w:tabs>
                <w:tab w:val="left" w:pos="234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DF0AC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DF0AC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AE1F83" w:rsidRPr="00DF0ACC" w14:paraId="07658585" w14:textId="77777777" w:rsidTr="00DA6942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876B" w14:textId="77777777" w:rsidR="00AE1F83" w:rsidRPr="00DF0ACC" w:rsidRDefault="00AE1F83" w:rsidP="00CE75B6">
            <w:pPr>
              <w:widowControl w:val="0"/>
              <w:spacing w:after="0" w:line="260" w:lineRule="exact"/>
              <w:ind w:left="-122" w:right="-11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DE20" w14:textId="77777777" w:rsidR="00AE1F83" w:rsidRPr="00DF0ACC" w:rsidRDefault="00AE1F83" w:rsidP="00CE75B6">
            <w:pPr>
              <w:widowControl w:val="0"/>
              <w:spacing w:after="0" w:line="260" w:lineRule="exact"/>
              <w:ind w:left="-122" w:right="-11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4BB1" w14:textId="77777777" w:rsidR="00AE1F83" w:rsidRPr="00DF0ACC" w:rsidRDefault="00AE1F83" w:rsidP="00CE75B6">
            <w:pPr>
              <w:widowControl w:val="0"/>
              <w:spacing w:after="0" w:line="260" w:lineRule="exact"/>
              <w:ind w:left="-122" w:right="-11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AE1F83" w:rsidRPr="00DF0ACC" w14:paraId="08F2FEE5" w14:textId="77777777" w:rsidTr="00DA694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E5FA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9D88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51F5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DF0ACC" w14:paraId="76A61B13" w14:textId="77777777" w:rsidTr="00DA694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5754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1DEF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53BB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DF0ACC" w14:paraId="08E3E73D" w14:textId="77777777" w:rsidTr="00DA694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A88E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24C8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D44A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DF0ACC" w14:paraId="3C6E1A50" w14:textId="77777777" w:rsidTr="00DA694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C629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D2CF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26B8" w14:textId="77777777" w:rsidR="00AE1F83" w:rsidRPr="00DF0ACC" w:rsidRDefault="00AE1F83" w:rsidP="00CE75B6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DF0ACC" w14:paraId="5A722700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7AB059CE" w14:textId="77777777" w:rsidR="00AE1F83" w:rsidRPr="00DF0ACC" w:rsidRDefault="00AE1F83" w:rsidP="00CE75B6">
            <w:pPr>
              <w:widowControl w:val="0"/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</w:p>
        </w:tc>
      </w:tr>
      <w:tr w:rsidR="00AE1F83" w:rsidRPr="00DF0ACC" w14:paraId="3138D7E9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0BE1" w14:textId="77777777" w:rsidR="00AE1F83" w:rsidRPr="00DF0ACC" w:rsidRDefault="00AE1F83" w:rsidP="00CE75B6">
            <w:pPr>
              <w:spacing w:after="0" w:line="260" w:lineRule="exac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7.b Predstavitev ocene finančnih posledic pod 40.000 EUR:</w:t>
            </w:r>
          </w:p>
          <w:p w14:paraId="3B87B19F" w14:textId="77777777" w:rsidR="00AE1F83" w:rsidRPr="00DF0ACC" w:rsidRDefault="00AE1F83" w:rsidP="00CE75B6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</w:rPr>
              <w:t>(Samo če izberete NE pod točko 6.a.)</w:t>
            </w:r>
          </w:p>
          <w:p w14:paraId="5FB5F667" w14:textId="77777777" w:rsidR="00AE1F83" w:rsidRPr="00DF0ACC" w:rsidRDefault="00AE1F83" w:rsidP="00CE75B6">
            <w:pPr>
              <w:spacing w:after="0" w:line="260" w:lineRule="exac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b/>
                <w:sz w:val="20"/>
                <w:szCs w:val="20"/>
              </w:rPr>
              <w:t>Kratka obrazložitev</w:t>
            </w:r>
          </w:p>
          <w:p w14:paraId="62BABEDC" w14:textId="77777777" w:rsidR="00AE1F83" w:rsidRPr="00DF0ACC" w:rsidRDefault="00AE1F83" w:rsidP="00CE75B6">
            <w:pPr>
              <w:spacing w:after="0" w:line="260" w:lineRule="exac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1F83" w:rsidRPr="00DF0ACC" w14:paraId="18CABFC3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E540" w14:textId="77777777" w:rsidR="00AE1F83" w:rsidRPr="00DF0ACC" w:rsidRDefault="00AE1F83" w:rsidP="00CE75B6">
            <w:pPr>
              <w:spacing w:after="0" w:line="260" w:lineRule="exac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0ACC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AE1F83" w:rsidRPr="00DF0ACC" w14:paraId="3C68CFFF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352B6AE4" w14:textId="77777777" w:rsidR="00AE1F83" w:rsidRPr="00DF0ACC" w:rsidRDefault="00AE1F83" w:rsidP="00DF0A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5DB07881" w14:textId="77777777" w:rsidR="00AE1F83" w:rsidRPr="00DF0ACC" w:rsidRDefault="00AE1F83" w:rsidP="00DF0ACC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560BD83C" w14:textId="77777777" w:rsidR="00AE1F83" w:rsidRPr="00DF0ACC" w:rsidRDefault="00AE1F83" w:rsidP="00DF0ACC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1F735ACD" w14:textId="77777777" w:rsidR="00AE1F83" w:rsidRPr="00DF0ACC" w:rsidRDefault="00AE1F83" w:rsidP="00DF0ACC">
            <w:pPr>
              <w:widowControl w:val="0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  <w:p w14:paraId="276F3E9E" w14:textId="77777777" w:rsidR="00AE1F83" w:rsidRPr="00DF0ACC" w:rsidRDefault="00AE1F83" w:rsidP="00DF0A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</w:tcPr>
          <w:p w14:paraId="71C20C8F" w14:textId="77777777" w:rsidR="00AE1F83" w:rsidRPr="00DF0ACC" w:rsidRDefault="00AE1F83" w:rsidP="00CE75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DF0A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DF0ACC" w14:paraId="1CC65A80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1C0041D4" w14:textId="77777777" w:rsidR="00AE1F83" w:rsidRPr="00DF0ACC" w:rsidRDefault="00AE1F83" w:rsidP="00DF0A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50EA33D6" w14:textId="77777777" w:rsidR="00AE1F83" w:rsidRPr="00DF0ACC" w:rsidRDefault="00AE1F83" w:rsidP="00DF0ACC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Skupnosti občin Slovenije SOS: DA/</w:t>
            </w:r>
            <w:r w:rsidRPr="00DF0A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  <w:t>NE</w:t>
            </w:r>
          </w:p>
          <w:p w14:paraId="43D38012" w14:textId="77777777" w:rsidR="00AE1F83" w:rsidRPr="00DF0ACC" w:rsidRDefault="00AE1F83" w:rsidP="00DF0ACC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občin Slovenije ZOS: DA/</w:t>
            </w:r>
            <w:r w:rsidRPr="00DF0A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  <w:t>NE</w:t>
            </w:r>
          </w:p>
          <w:p w14:paraId="18188502" w14:textId="1A79FC15" w:rsidR="00AE1F83" w:rsidRPr="00DF0ACC" w:rsidRDefault="00AE1F83" w:rsidP="00DF0ACC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mestnih občin Slovenije ZMOS: DA/</w:t>
            </w:r>
            <w:r w:rsidRPr="00DF0AC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  <w:t>NE</w:t>
            </w:r>
          </w:p>
          <w:p w14:paraId="7FB34E0E" w14:textId="77777777" w:rsidR="00AE1F83" w:rsidRPr="00DF0ACC" w:rsidRDefault="00AE1F83" w:rsidP="00DF0A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AE1F83" w:rsidRPr="00DF0ACC" w14:paraId="5EAF3740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008A8F7C" w14:textId="77777777" w:rsidR="00AE1F83" w:rsidRPr="00DF0ACC" w:rsidRDefault="00AE1F83" w:rsidP="00CE75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AE1F83" w:rsidRPr="00DF0ACC" w14:paraId="334605E0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02E77CBA" w14:textId="77777777" w:rsidR="00AE1F83" w:rsidRPr="00DF0ACC" w:rsidRDefault="00AE1F83" w:rsidP="00DF0A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05A8AEC9" w14:textId="77777777" w:rsidR="00AE1F83" w:rsidRPr="00DF0ACC" w:rsidRDefault="00AE1F83" w:rsidP="00CE75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DF0A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DF0ACC" w14:paraId="0DA99DBE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05C3D55" w14:textId="4DB024B3" w:rsidR="00AE1F83" w:rsidRPr="00DF0ACC" w:rsidRDefault="00825AC8" w:rsidP="00DF0A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Skladno s sedmim odstavkom 9. člena Poslovnika Vlade Republike Slovenije (Uradni list RS, št. 43/01, 23/02 – </w:t>
            </w:r>
            <w:proofErr w:type="spellStart"/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popr</w:t>
            </w:r>
            <w:proofErr w:type="spellEnd"/>
            <w:r w:rsidRPr="00DF0AC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., 54/03, 103/03, 114/04, 26/06, 21/07, 32/10, 73/10, 95/11, 64/12, 10/14, 164/20, 35/21, 51/21 in 114/21) javnost pri pripravi predloga sklepa ni bila povabljena k sodelovanju.</w:t>
            </w:r>
          </w:p>
        </w:tc>
      </w:tr>
      <w:tr w:rsidR="00AE1F83" w:rsidRPr="00DF0ACC" w14:paraId="79C6D4B0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18150754" w14:textId="3949FF0E" w:rsidR="00AE1F83" w:rsidRPr="00DF0ACC" w:rsidRDefault="00AE1F83" w:rsidP="00DF0A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AE1F83" w:rsidRPr="00DF0ACC" w14:paraId="75A4537D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5BDA6676" w14:textId="77777777" w:rsidR="00AE1F83" w:rsidRPr="00DF0ACC" w:rsidRDefault="00AE1F83" w:rsidP="00CE75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6499A6E4" w14:textId="77777777" w:rsidR="00AE1F83" w:rsidRPr="00DF0ACC" w:rsidRDefault="00AE1F83" w:rsidP="00CE75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DF0A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DF0ACC" w14:paraId="4E33C30A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3C23DA5F" w14:textId="77777777" w:rsidR="00AE1F83" w:rsidRPr="00DF0ACC" w:rsidRDefault="00AE1F83" w:rsidP="00CE75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467D4102" w14:textId="77777777" w:rsidR="00AE1F83" w:rsidRPr="00DF0ACC" w:rsidRDefault="00AE1F83" w:rsidP="00CE75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DF0A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DF0ACC" w14:paraId="70806B7E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4441" w14:textId="77777777" w:rsidR="00AE1F83" w:rsidRPr="00DF0ACC" w:rsidRDefault="00AE1F83" w:rsidP="00CE75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520D3286" w14:textId="5C7961FA" w:rsidR="00C5543E" w:rsidRPr="00DF0ACC" w:rsidRDefault="00C5543E" w:rsidP="00CE75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                                                   </w:t>
            </w:r>
            <w:r w:rsidRPr="00DF0ACC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dr. Igor Papič</w:t>
            </w:r>
          </w:p>
          <w:p w14:paraId="0F33D029" w14:textId="77777777" w:rsidR="00AE1F83" w:rsidRPr="00DF0ACC" w:rsidRDefault="00C5543E" w:rsidP="00CE75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                                                           minister</w:t>
            </w:r>
          </w:p>
          <w:p w14:paraId="33662404" w14:textId="5F5817B1" w:rsidR="00C5543E" w:rsidRPr="00DF0ACC" w:rsidRDefault="00C5543E" w:rsidP="00CE75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C5543E" w:rsidRPr="00DF0ACC" w14:paraId="53652BF7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8D5F" w14:textId="77777777" w:rsidR="00C5543E" w:rsidRPr="00DF0ACC" w:rsidRDefault="008A47D4" w:rsidP="00CE75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F0AC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Priloge:</w:t>
            </w:r>
          </w:p>
          <w:p w14:paraId="6766AE40" w14:textId="77777777" w:rsidR="008A47D4" w:rsidRPr="00CE75B6" w:rsidRDefault="008A47D4" w:rsidP="00CE75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14:paraId="252466E7" w14:textId="77777777" w:rsidR="00CE75B6" w:rsidRPr="00CE75B6" w:rsidRDefault="00CE75B6" w:rsidP="00CE75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E75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1. Predlog Sklepa Vlade RS;</w:t>
            </w:r>
          </w:p>
          <w:p w14:paraId="008C7354" w14:textId="77777777" w:rsidR="00CE75B6" w:rsidRPr="00CE75B6" w:rsidRDefault="00CE75B6" w:rsidP="00CE75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E75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2. Vloga za izdajo soglasja za ustanovitev pravne osebe Evropska univerza EUTOPIA, št. 001-4/2023-1 z dne 15. 11. 2023;</w:t>
            </w:r>
          </w:p>
          <w:p w14:paraId="273114F7" w14:textId="77777777" w:rsidR="00CE75B6" w:rsidRPr="00CE75B6" w:rsidRDefault="00CE75B6" w:rsidP="00CE75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E75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3. Odpravek sklepa 17. seje Upravnega odbora Univerze v Ljubljani, z dne 26. oktobra 2023, št. 032-10/2023 z dne 2. 11. 2023;</w:t>
            </w:r>
          </w:p>
          <w:p w14:paraId="20FE0B18" w14:textId="77777777" w:rsidR="00CE75B6" w:rsidRPr="00CE75B6" w:rsidRDefault="00CE75B6" w:rsidP="00CE75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E75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4. Pojasnilo k vlogi za izdajo soglasja za ustanovitev pravne osebe Evropska univerza EUTOPIA, št. 803-2/2023-64 z dne 17. 5. 2024;</w:t>
            </w:r>
          </w:p>
          <w:p w14:paraId="4CFC6202" w14:textId="77777777" w:rsidR="00CE75B6" w:rsidRPr="00CE75B6" w:rsidRDefault="00CE75B6" w:rsidP="00CE75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E75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5. </w:t>
            </w:r>
            <w:proofErr w:type="spellStart"/>
            <w:r w:rsidRPr="00CE75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Statutes</w:t>
            </w:r>
            <w:proofErr w:type="spellEnd"/>
            <w:r w:rsidRPr="00CE75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CE75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of</w:t>
            </w:r>
            <w:proofErr w:type="spellEnd"/>
            <w:r w:rsidRPr="00CE75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EUTOPIA IVZW;</w:t>
            </w:r>
          </w:p>
          <w:p w14:paraId="634E7180" w14:textId="0948D776" w:rsidR="008A47D4" w:rsidRPr="00DF0ACC" w:rsidRDefault="00CE75B6" w:rsidP="00CE75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E75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6. EUTOPIA </w:t>
            </w:r>
            <w:proofErr w:type="spellStart"/>
            <w:r w:rsidRPr="00CE75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Governance</w:t>
            </w:r>
            <w:proofErr w:type="spellEnd"/>
            <w:r w:rsidRPr="00CE75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CE75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and</w:t>
            </w:r>
            <w:proofErr w:type="spellEnd"/>
            <w:r w:rsidRPr="00CE75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Management </w:t>
            </w:r>
            <w:proofErr w:type="spellStart"/>
            <w:r w:rsidRPr="00CE75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Handbook</w:t>
            </w:r>
            <w:proofErr w:type="spellEnd"/>
            <w:r w:rsidRPr="00CE75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CE75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July</w:t>
            </w:r>
            <w:proofErr w:type="spellEnd"/>
            <w:r w:rsidRPr="00CE75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2023;</w:t>
            </w:r>
          </w:p>
        </w:tc>
      </w:tr>
    </w:tbl>
    <w:p w14:paraId="09A8A9E7" w14:textId="77777777" w:rsidR="00FB397B" w:rsidRPr="00CE75B6" w:rsidRDefault="00FB397B" w:rsidP="00CE75B6">
      <w:pPr>
        <w:jc w:val="both"/>
        <w:rPr>
          <w:rFonts w:ascii="Arial" w:hAnsi="Arial" w:cs="Arial"/>
          <w:sz w:val="20"/>
          <w:szCs w:val="20"/>
        </w:rPr>
      </w:pPr>
    </w:p>
    <w:p w14:paraId="251541C8" w14:textId="54A16A9A" w:rsidR="005A4CDC" w:rsidRPr="00CE75B6" w:rsidRDefault="005A4CDC" w:rsidP="00CE75B6">
      <w:pPr>
        <w:jc w:val="both"/>
        <w:rPr>
          <w:rFonts w:ascii="Arial" w:hAnsi="Arial" w:cs="Arial"/>
          <w:sz w:val="20"/>
          <w:szCs w:val="20"/>
        </w:rPr>
      </w:pPr>
      <w:r w:rsidRPr="00CE75B6">
        <w:rPr>
          <w:rFonts w:ascii="Arial" w:hAnsi="Arial" w:cs="Arial"/>
          <w:sz w:val="20"/>
          <w:szCs w:val="20"/>
        </w:rPr>
        <w:br w:type="page"/>
      </w:r>
    </w:p>
    <w:p w14:paraId="02BCBEDF" w14:textId="395B72D6" w:rsidR="005A4CDC" w:rsidRPr="00CE75B6" w:rsidRDefault="005A4CDC" w:rsidP="00CE75B6">
      <w:pPr>
        <w:jc w:val="both"/>
        <w:rPr>
          <w:rFonts w:ascii="Arial" w:hAnsi="Arial" w:cs="Arial"/>
          <w:sz w:val="20"/>
          <w:szCs w:val="20"/>
        </w:rPr>
      </w:pPr>
      <w:r w:rsidRPr="00CE75B6">
        <w:rPr>
          <w:rFonts w:ascii="Arial" w:hAnsi="Arial" w:cs="Arial"/>
          <w:sz w:val="20"/>
          <w:szCs w:val="20"/>
        </w:rPr>
        <w:lastRenderedPageBreak/>
        <w:tab/>
      </w:r>
      <w:r w:rsidRPr="00CE75B6">
        <w:rPr>
          <w:rFonts w:ascii="Arial" w:hAnsi="Arial" w:cs="Arial"/>
          <w:sz w:val="20"/>
          <w:szCs w:val="20"/>
        </w:rPr>
        <w:tab/>
      </w:r>
      <w:r w:rsidRPr="00CE75B6">
        <w:rPr>
          <w:rFonts w:ascii="Arial" w:hAnsi="Arial" w:cs="Arial"/>
          <w:sz w:val="20"/>
          <w:szCs w:val="20"/>
        </w:rPr>
        <w:tab/>
      </w:r>
      <w:r w:rsidRPr="00CE75B6">
        <w:rPr>
          <w:rFonts w:ascii="Arial" w:hAnsi="Arial" w:cs="Arial"/>
          <w:sz w:val="20"/>
          <w:szCs w:val="20"/>
        </w:rPr>
        <w:tab/>
      </w:r>
      <w:r w:rsidRPr="00CE75B6">
        <w:rPr>
          <w:rFonts w:ascii="Arial" w:hAnsi="Arial" w:cs="Arial"/>
          <w:sz w:val="20"/>
          <w:szCs w:val="20"/>
        </w:rPr>
        <w:tab/>
      </w:r>
      <w:r w:rsidR="001E68A8" w:rsidRPr="00CE75B6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CE75B6">
        <w:rPr>
          <w:rFonts w:ascii="Arial" w:hAnsi="Arial" w:cs="Arial"/>
          <w:b/>
          <w:bCs/>
          <w:sz w:val="20"/>
          <w:szCs w:val="20"/>
        </w:rPr>
        <w:t>PRILOGA 1</w:t>
      </w:r>
    </w:p>
    <w:p w14:paraId="15722E14" w14:textId="5A41AC74" w:rsidR="005A4CDC" w:rsidRPr="00CE75B6" w:rsidRDefault="005A4CDC" w:rsidP="00CE75B6">
      <w:pPr>
        <w:jc w:val="both"/>
        <w:rPr>
          <w:rFonts w:ascii="Arial" w:hAnsi="Arial" w:cs="Arial"/>
          <w:sz w:val="20"/>
          <w:szCs w:val="20"/>
        </w:rPr>
      </w:pPr>
      <w:r w:rsidRPr="00CE75B6">
        <w:rPr>
          <w:rFonts w:ascii="Arial" w:hAnsi="Arial" w:cs="Arial"/>
          <w:sz w:val="20"/>
          <w:szCs w:val="20"/>
        </w:rPr>
        <w:tab/>
      </w:r>
    </w:p>
    <w:p w14:paraId="074746A3" w14:textId="666DD497" w:rsidR="005A4CDC" w:rsidRPr="00CE75B6" w:rsidRDefault="005A4CDC" w:rsidP="00CE75B6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CE75B6">
        <w:rPr>
          <w:rFonts w:ascii="Arial" w:hAnsi="Arial" w:cs="Arial"/>
          <w:sz w:val="20"/>
          <w:szCs w:val="20"/>
        </w:rPr>
        <w:tab/>
      </w:r>
      <w:r w:rsidRPr="00CE75B6">
        <w:rPr>
          <w:rFonts w:ascii="Arial" w:hAnsi="Arial" w:cs="Arial"/>
          <w:sz w:val="20"/>
          <w:szCs w:val="20"/>
        </w:rPr>
        <w:tab/>
      </w:r>
      <w:r w:rsidRPr="00CE75B6">
        <w:rPr>
          <w:rFonts w:ascii="Arial" w:hAnsi="Arial" w:cs="Arial"/>
          <w:sz w:val="20"/>
          <w:szCs w:val="20"/>
        </w:rPr>
        <w:tab/>
      </w:r>
      <w:r w:rsidRPr="00CE75B6">
        <w:rPr>
          <w:rFonts w:ascii="Arial" w:hAnsi="Arial" w:cs="Arial"/>
          <w:sz w:val="20"/>
          <w:szCs w:val="20"/>
        </w:rPr>
        <w:tab/>
      </w:r>
    </w:p>
    <w:p w14:paraId="546D92BC" w14:textId="77777777" w:rsidR="005A4CDC" w:rsidRPr="00CE75B6" w:rsidRDefault="005A4CDC" w:rsidP="00CE75B6">
      <w:pPr>
        <w:jc w:val="both"/>
        <w:rPr>
          <w:rFonts w:ascii="Arial" w:hAnsi="Arial" w:cs="Arial"/>
          <w:sz w:val="20"/>
          <w:szCs w:val="20"/>
        </w:rPr>
      </w:pPr>
      <w:r w:rsidRPr="00CE75B6">
        <w:rPr>
          <w:rFonts w:ascii="Arial" w:hAnsi="Arial" w:cs="Arial"/>
          <w:sz w:val="20"/>
          <w:szCs w:val="20"/>
        </w:rPr>
        <w:t>Številka: ___________</w:t>
      </w:r>
    </w:p>
    <w:p w14:paraId="0AA326FE" w14:textId="3864704E" w:rsidR="005A4CDC" w:rsidRPr="00CE75B6" w:rsidRDefault="005A4CDC" w:rsidP="00CE75B6">
      <w:pPr>
        <w:jc w:val="both"/>
        <w:rPr>
          <w:rFonts w:ascii="Arial" w:hAnsi="Arial" w:cs="Arial"/>
          <w:sz w:val="20"/>
          <w:szCs w:val="20"/>
        </w:rPr>
      </w:pPr>
      <w:r w:rsidRPr="00CE75B6">
        <w:rPr>
          <w:rFonts w:ascii="Arial" w:hAnsi="Arial" w:cs="Arial"/>
          <w:sz w:val="20"/>
          <w:szCs w:val="20"/>
        </w:rPr>
        <w:t>Datum: ___________</w:t>
      </w:r>
    </w:p>
    <w:p w14:paraId="301B98F2" w14:textId="77777777" w:rsidR="005A4CDC" w:rsidRPr="00CE75B6" w:rsidRDefault="005A4CDC" w:rsidP="00CE75B6">
      <w:pPr>
        <w:jc w:val="both"/>
        <w:rPr>
          <w:rFonts w:ascii="Arial" w:hAnsi="Arial" w:cs="Arial"/>
          <w:sz w:val="20"/>
          <w:szCs w:val="20"/>
        </w:rPr>
      </w:pPr>
    </w:p>
    <w:p w14:paraId="2DC73802" w14:textId="0D28A39E" w:rsidR="005A4CDC" w:rsidRPr="007C3A4A" w:rsidRDefault="005B6DC2" w:rsidP="00CE75B6">
      <w:pPr>
        <w:jc w:val="both"/>
        <w:rPr>
          <w:rFonts w:ascii="Arial" w:hAnsi="Arial" w:cs="Arial"/>
          <w:sz w:val="20"/>
          <w:szCs w:val="20"/>
        </w:rPr>
      </w:pPr>
      <w:r w:rsidRPr="00CE75B6">
        <w:rPr>
          <w:rFonts w:ascii="Arial" w:hAnsi="Arial" w:cs="Arial"/>
          <w:sz w:val="20"/>
          <w:szCs w:val="20"/>
        </w:rPr>
        <w:t>Na podlagi šestega odstavka 21. člena Zakona o Vladi Republike Slovenije (Uradni list RS, št. 24/05 – uradno prečiščeno besedilo, 109/08, 38/10 – ZUKN, 8/12, 21/13, 47/13 – ZDU-1G, 65/14, 55/17 in 163/22)</w:t>
      </w:r>
      <w:r w:rsidR="00422C8E">
        <w:rPr>
          <w:rFonts w:ascii="Arial" w:hAnsi="Arial" w:cs="Arial"/>
          <w:sz w:val="20"/>
          <w:szCs w:val="20"/>
        </w:rPr>
        <w:t>,</w:t>
      </w:r>
      <w:r w:rsidRPr="00CE75B6">
        <w:rPr>
          <w:rFonts w:ascii="Arial" w:hAnsi="Arial" w:cs="Arial"/>
          <w:sz w:val="20"/>
          <w:szCs w:val="20"/>
        </w:rPr>
        <w:t xml:space="preserve"> drugega odstavka 20. člena Zakona o zavodih (Uradni list RS, št. 12/91, 8/96, 36/00 – ZPDZC in 127/06 – ZJZP) </w:t>
      </w:r>
      <w:r w:rsidR="001E68A8" w:rsidRPr="00CE75B6">
        <w:rPr>
          <w:rFonts w:ascii="Arial" w:hAnsi="Arial" w:cs="Arial"/>
          <w:sz w:val="20"/>
          <w:szCs w:val="20"/>
        </w:rPr>
        <w:t>in 4. člena Odloka o preoblikovanju Univerze v Ljubljani</w:t>
      </w:r>
      <w:r w:rsidR="007C3A4A" w:rsidRPr="007C3A4A">
        <w:t xml:space="preserve"> </w:t>
      </w:r>
      <w:r w:rsidR="007C3A4A">
        <w:t>(</w:t>
      </w:r>
      <w:r w:rsidR="007C3A4A" w:rsidRPr="007C3A4A">
        <w:rPr>
          <w:rFonts w:ascii="Arial" w:hAnsi="Arial" w:cs="Arial"/>
          <w:sz w:val="20"/>
          <w:szCs w:val="20"/>
        </w:rPr>
        <w:t>Uradni list RS, št. 28/00, 33/03, 79/04, 36/06, 18/09, 83/10, 8/19, 36/21 in 107/23</w:t>
      </w:r>
      <w:r w:rsidR="00433273" w:rsidRPr="00CE75B6">
        <w:rPr>
          <w:rFonts w:ascii="Arial" w:hAnsi="Arial" w:cs="Arial"/>
          <w:sz w:val="20"/>
          <w:szCs w:val="20"/>
        </w:rPr>
        <w:t xml:space="preserve">) </w:t>
      </w:r>
      <w:r w:rsidR="005A4CDC" w:rsidRPr="00CE75B6">
        <w:rPr>
          <w:rFonts w:ascii="Arial" w:hAnsi="Arial" w:cs="Arial"/>
          <w:sz w:val="20"/>
          <w:szCs w:val="20"/>
        </w:rPr>
        <w:t>je Vlada Republike Slovenije na seji ….. dne …</w:t>
      </w:r>
      <w:r w:rsidR="00433273" w:rsidRPr="00DF0ACC">
        <w:rPr>
          <w:rFonts w:ascii="Arial" w:hAnsi="Arial" w:cs="Arial"/>
          <w:sz w:val="20"/>
          <w:szCs w:val="20"/>
        </w:rPr>
        <w:t>..</w:t>
      </w:r>
      <w:r w:rsidR="005A4CDC" w:rsidRPr="007C3A4A">
        <w:rPr>
          <w:rFonts w:ascii="Arial" w:hAnsi="Arial" w:cs="Arial"/>
          <w:sz w:val="20"/>
          <w:szCs w:val="20"/>
        </w:rPr>
        <w:t xml:space="preserve"> sprejela naslednji </w:t>
      </w:r>
    </w:p>
    <w:p w14:paraId="4EBC7220" w14:textId="77777777" w:rsidR="005A4CDC" w:rsidRPr="007C3A4A" w:rsidRDefault="005A4CDC" w:rsidP="00CE75B6">
      <w:pPr>
        <w:jc w:val="both"/>
        <w:rPr>
          <w:rFonts w:ascii="Arial" w:hAnsi="Arial" w:cs="Arial"/>
          <w:sz w:val="20"/>
          <w:szCs w:val="20"/>
        </w:rPr>
      </w:pPr>
    </w:p>
    <w:p w14:paraId="2E7327D1" w14:textId="77777777" w:rsidR="005A4CDC" w:rsidRPr="007C3A4A" w:rsidRDefault="005A4CDC" w:rsidP="00CE75B6">
      <w:pPr>
        <w:jc w:val="both"/>
        <w:rPr>
          <w:rFonts w:ascii="Arial" w:hAnsi="Arial" w:cs="Arial"/>
          <w:sz w:val="20"/>
          <w:szCs w:val="20"/>
        </w:rPr>
      </w:pPr>
    </w:p>
    <w:p w14:paraId="12CB4FE0" w14:textId="77777777" w:rsidR="005A4CDC" w:rsidRPr="007C3A4A" w:rsidRDefault="005A4CDC" w:rsidP="000B0CA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C3A4A">
        <w:rPr>
          <w:rFonts w:ascii="Arial" w:hAnsi="Arial" w:cs="Arial"/>
          <w:b/>
          <w:bCs/>
          <w:sz w:val="20"/>
          <w:szCs w:val="20"/>
        </w:rPr>
        <w:t>SKLEP</w:t>
      </w:r>
    </w:p>
    <w:p w14:paraId="1CC3FAC7" w14:textId="77777777" w:rsidR="005A4CDC" w:rsidRPr="007C3A4A" w:rsidRDefault="005A4CDC" w:rsidP="007C3A4A">
      <w:pPr>
        <w:jc w:val="both"/>
        <w:rPr>
          <w:rFonts w:ascii="Arial" w:hAnsi="Arial" w:cs="Arial"/>
          <w:sz w:val="20"/>
          <w:szCs w:val="20"/>
        </w:rPr>
      </w:pPr>
    </w:p>
    <w:p w14:paraId="0405F281" w14:textId="2DA51E21" w:rsidR="000736E1" w:rsidRPr="00D23FD3" w:rsidRDefault="00D23FD3" w:rsidP="007C3A4A">
      <w:pPr>
        <w:jc w:val="both"/>
        <w:rPr>
          <w:rFonts w:ascii="Arial" w:hAnsi="Arial" w:cs="Arial"/>
          <w:sz w:val="20"/>
          <w:szCs w:val="20"/>
        </w:rPr>
      </w:pPr>
      <w:r w:rsidRPr="00D23FD3">
        <w:rPr>
          <w:rFonts w:ascii="Arial" w:hAnsi="Arial" w:cs="Arial"/>
          <w:sz w:val="20"/>
          <w:szCs w:val="20"/>
        </w:rPr>
        <w:t xml:space="preserve">Vlada Republike Slovenije daje soglasje Univerzi v Ljubljani k </w:t>
      </w:r>
      <w:proofErr w:type="spellStart"/>
      <w:r w:rsidRPr="00D23FD3">
        <w:rPr>
          <w:rFonts w:ascii="Arial" w:hAnsi="Arial" w:cs="Arial"/>
          <w:sz w:val="20"/>
          <w:szCs w:val="20"/>
        </w:rPr>
        <w:t>soustanovitvi</w:t>
      </w:r>
      <w:proofErr w:type="spellEnd"/>
      <w:r w:rsidRPr="00D23FD3">
        <w:rPr>
          <w:rFonts w:ascii="Arial" w:hAnsi="Arial" w:cs="Arial"/>
          <w:sz w:val="20"/>
          <w:szCs w:val="20"/>
        </w:rPr>
        <w:t xml:space="preserve"> združenja Evropska univerza »EUTOPIA«.</w:t>
      </w:r>
    </w:p>
    <w:p w14:paraId="214A1A0E" w14:textId="77777777" w:rsidR="00BB75A0" w:rsidRPr="00D23FD3" w:rsidRDefault="00BB75A0" w:rsidP="007C3A4A">
      <w:pPr>
        <w:jc w:val="both"/>
        <w:rPr>
          <w:rFonts w:ascii="Arial" w:hAnsi="Arial" w:cs="Arial"/>
          <w:sz w:val="20"/>
          <w:szCs w:val="20"/>
        </w:rPr>
      </w:pPr>
    </w:p>
    <w:p w14:paraId="05C7A27E" w14:textId="00DC622F" w:rsidR="005A4CDC" w:rsidRPr="00D23FD3" w:rsidRDefault="005A4CDC" w:rsidP="007C3A4A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D23FD3">
        <w:rPr>
          <w:rFonts w:ascii="Arial" w:hAnsi="Arial" w:cs="Arial"/>
          <w:sz w:val="20"/>
          <w:szCs w:val="20"/>
        </w:rPr>
        <w:t xml:space="preserve">  </w:t>
      </w:r>
      <w:r w:rsidR="000736E1" w:rsidRPr="00D23FD3">
        <w:rPr>
          <w:rFonts w:ascii="Arial" w:hAnsi="Arial" w:cs="Arial"/>
          <w:sz w:val="20"/>
          <w:szCs w:val="20"/>
        </w:rPr>
        <w:tab/>
      </w:r>
      <w:r w:rsidR="000736E1" w:rsidRPr="00D23FD3">
        <w:rPr>
          <w:rFonts w:ascii="Arial" w:hAnsi="Arial" w:cs="Arial"/>
          <w:sz w:val="20"/>
          <w:szCs w:val="20"/>
        </w:rPr>
        <w:tab/>
      </w:r>
      <w:r w:rsidR="000736E1" w:rsidRPr="00D23FD3">
        <w:rPr>
          <w:rFonts w:ascii="Arial" w:hAnsi="Arial" w:cs="Arial"/>
          <w:sz w:val="20"/>
          <w:szCs w:val="20"/>
        </w:rPr>
        <w:tab/>
      </w:r>
      <w:r w:rsidR="000736E1" w:rsidRPr="00D23FD3">
        <w:rPr>
          <w:rFonts w:ascii="Arial" w:hAnsi="Arial" w:cs="Arial"/>
          <w:sz w:val="20"/>
          <w:szCs w:val="20"/>
        </w:rPr>
        <w:tab/>
      </w:r>
      <w:r w:rsidR="000736E1" w:rsidRPr="00D23FD3">
        <w:rPr>
          <w:rFonts w:ascii="Arial" w:hAnsi="Arial" w:cs="Arial"/>
          <w:sz w:val="20"/>
          <w:szCs w:val="20"/>
        </w:rPr>
        <w:tab/>
      </w:r>
      <w:r w:rsidR="000736E1" w:rsidRPr="00D23FD3">
        <w:rPr>
          <w:rFonts w:ascii="Arial" w:hAnsi="Arial" w:cs="Arial"/>
          <w:sz w:val="20"/>
          <w:szCs w:val="20"/>
        </w:rPr>
        <w:tab/>
      </w:r>
      <w:r w:rsidRPr="00D23FD3">
        <w:rPr>
          <w:rFonts w:ascii="Arial" w:hAnsi="Arial" w:cs="Arial"/>
          <w:sz w:val="20"/>
          <w:szCs w:val="20"/>
        </w:rPr>
        <w:t xml:space="preserve">Barbara Kolenko </w:t>
      </w:r>
      <w:proofErr w:type="spellStart"/>
      <w:r w:rsidRPr="00D23FD3">
        <w:rPr>
          <w:rFonts w:ascii="Arial" w:hAnsi="Arial" w:cs="Arial"/>
          <w:sz w:val="20"/>
          <w:szCs w:val="20"/>
        </w:rPr>
        <w:t>Helbl</w:t>
      </w:r>
      <w:proofErr w:type="spellEnd"/>
    </w:p>
    <w:p w14:paraId="5D413DC7" w14:textId="465CFEE9" w:rsidR="000736E1" w:rsidRPr="00D23FD3" w:rsidRDefault="00433273" w:rsidP="007C3A4A">
      <w:pPr>
        <w:pStyle w:val="Brezrazmikov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DF0ACC">
        <w:rPr>
          <w:rFonts w:ascii="Arial" w:hAnsi="Arial" w:cs="Arial"/>
          <w:sz w:val="20"/>
          <w:szCs w:val="20"/>
        </w:rPr>
        <w:t xml:space="preserve"> </w:t>
      </w:r>
      <w:r w:rsidR="005A4CDC" w:rsidRPr="00D23FD3">
        <w:rPr>
          <w:rFonts w:ascii="Arial" w:hAnsi="Arial" w:cs="Arial"/>
          <w:sz w:val="20"/>
          <w:szCs w:val="20"/>
        </w:rPr>
        <w:t xml:space="preserve">generalna sekretarka    </w:t>
      </w:r>
      <w:r w:rsidR="000736E1" w:rsidRPr="00D23FD3">
        <w:rPr>
          <w:rFonts w:ascii="Arial" w:hAnsi="Arial" w:cs="Arial"/>
          <w:sz w:val="20"/>
          <w:szCs w:val="20"/>
        </w:rPr>
        <w:tab/>
      </w:r>
      <w:r w:rsidR="000736E1" w:rsidRPr="00D23FD3">
        <w:rPr>
          <w:rFonts w:ascii="Arial" w:hAnsi="Arial" w:cs="Arial"/>
          <w:sz w:val="20"/>
          <w:szCs w:val="20"/>
        </w:rPr>
        <w:tab/>
      </w:r>
      <w:r w:rsidR="000736E1" w:rsidRPr="00D23FD3">
        <w:rPr>
          <w:rFonts w:ascii="Arial" w:hAnsi="Arial" w:cs="Arial"/>
          <w:sz w:val="20"/>
          <w:szCs w:val="20"/>
        </w:rPr>
        <w:tab/>
      </w:r>
    </w:p>
    <w:p w14:paraId="32D6DF19" w14:textId="77777777" w:rsidR="00BB75A0" w:rsidRPr="00D23FD3" w:rsidRDefault="00BB75A0" w:rsidP="007C3A4A">
      <w:pPr>
        <w:ind w:left="2832" w:firstLine="708"/>
        <w:jc w:val="both"/>
        <w:rPr>
          <w:rFonts w:ascii="Arial" w:hAnsi="Arial" w:cs="Arial"/>
          <w:sz w:val="20"/>
          <w:szCs w:val="20"/>
        </w:rPr>
      </w:pPr>
    </w:p>
    <w:p w14:paraId="547BA5C7" w14:textId="77777777" w:rsidR="00BB75A0" w:rsidRPr="00D23FD3" w:rsidRDefault="00BB75A0" w:rsidP="007C3A4A">
      <w:pPr>
        <w:ind w:left="2832" w:firstLine="708"/>
        <w:jc w:val="both"/>
        <w:rPr>
          <w:rFonts w:ascii="Arial" w:hAnsi="Arial" w:cs="Arial"/>
          <w:sz w:val="20"/>
          <w:szCs w:val="20"/>
        </w:rPr>
      </w:pPr>
    </w:p>
    <w:p w14:paraId="08A6AB87" w14:textId="77777777" w:rsidR="00BB75A0" w:rsidRPr="00D23FD3" w:rsidRDefault="00BB75A0" w:rsidP="007C3A4A">
      <w:pPr>
        <w:ind w:left="2832" w:firstLine="708"/>
        <w:jc w:val="both"/>
        <w:rPr>
          <w:rFonts w:ascii="Arial" w:hAnsi="Arial" w:cs="Arial"/>
          <w:sz w:val="20"/>
          <w:szCs w:val="20"/>
        </w:rPr>
      </w:pPr>
    </w:p>
    <w:p w14:paraId="391E138E" w14:textId="77777777" w:rsidR="005A4CDC" w:rsidRPr="00D23FD3" w:rsidRDefault="005A4CDC" w:rsidP="007C3A4A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D23FD3">
        <w:rPr>
          <w:rFonts w:ascii="Arial" w:hAnsi="Arial" w:cs="Arial"/>
          <w:sz w:val="20"/>
          <w:szCs w:val="20"/>
        </w:rPr>
        <w:t xml:space="preserve">Sklep prejmejo: </w:t>
      </w:r>
    </w:p>
    <w:p w14:paraId="48FD14A0" w14:textId="77777777" w:rsidR="0056694B" w:rsidRPr="00D23FD3" w:rsidRDefault="0056694B" w:rsidP="007C3A4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51E1002F" w14:textId="77777777" w:rsidR="005A4CDC" w:rsidRPr="00D23FD3" w:rsidRDefault="005A4CDC" w:rsidP="007C3A4A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D23FD3">
        <w:rPr>
          <w:rFonts w:ascii="Arial" w:hAnsi="Arial" w:cs="Arial"/>
          <w:sz w:val="20"/>
          <w:szCs w:val="20"/>
        </w:rPr>
        <w:t xml:space="preserve">1. Univerza v Ljubljani, Kongresni trg 12, 1000 Ljubljana </w:t>
      </w:r>
    </w:p>
    <w:p w14:paraId="3FD0DD7F" w14:textId="77777777" w:rsidR="005A4CDC" w:rsidRPr="00D23FD3" w:rsidRDefault="005A4CDC" w:rsidP="007C3A4A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D23FD3">
        <w:rPr>
          <w:rFonts w:ascii="Arial" w:hAnsi="Arial" w:cs="Arial"/>
          <w:sz w:val="20"/>
          <w:szCs w:val="20"/>
        </w:rPr>
        <w:t>2. Ministrstvo za visoko šolstvo, znanost in inovacije, Masarykova cesta 16, 1000 Ljubljana</w:t>
      </w:r>
    </w:p>
    <w:p w14:paraId="1C86F43E" w14:textId="094CA8C9" w:rsidR="00F651DC" w:rsidRPr="00D23FD3" w:rsidRDefault="00B66993" w:rsidP="007C3A4A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D23FD3">
        <w:rPr>
          <w:rFonts w:ascii="Arial" w:hAnsi="Arial" w:cs="Arial"/>
          <w:sz w:val="20"/>
          <w:szCs w:val="20"/>
        </w:rPr>
        <w:t xml:space="preserve">3. </w:t>
      </w:r>
      <w:r w:rsidR="00D23FD3" w:rsidRPr="00D23FD3">
        <w:rPr>
          <w:rFonts w:ascii="Arial" w:hAnsi="Arial" w:cs="Arial"/>
          <w:sz w:val="20"/>
          <w:szCs w:val="20"/>
        </w:rPr>
        <w:t>Ministrstvo za finance, Župančičeva ulica 3, 1000 Ljubljana</w:t>
      </w:r>
    </w:p>
    <w:p w14:paraId="4ACE237C" w14:textId="6058771F" w:rsidR="00BB75A0" w:rsidRPr="00D23FD3" w:rsidRDefault="00F651DC" w:rsidP="007C3A4A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D23FD3">
        <w:rPr>
          <w:rFonts w:ascii="Arial" w:hAnsi="Arial" w:cs="Arial"/>
          <w:sz w:val="20"/>
          <w:szCs w:val="20"/>
        </w:rPr>
        <w:t xml:space="preserve">4. </w:t>
      </w:r>
      <w:r w:rsidR="00D23FD3" w:rsidRPr="00D23FD3">
        <w:rPr>
          <w:rFonts w:ascii="Arial" w:hAnsi="Arial" w:cs="Arial"/>
          <w:sz w:val="20"/>
          <w:szCs w:val="20"/>
        </w:rPr>
        <w:t>Služba Vlade RS za zakonodajo, Mestni trg 4, 1000 Ljubljana</w:t>
      </w:r>
    </w:p>
    <w:p w14:paraId="50CE046B" w14:textId="5491A046" w:rsidR="00BB75A0" w:rsidRPr="00D23FD3" w:rsidRDefault="00BB75A0" w:rsidP="007C3A4A">
      <w:pPr>
        <w:jc w:val="both"/>
        <w:rPr>
          <w:rFonts w:ascii="Arial" w:hAnsi="Arial" w:cs="Arial"/>
          <w:sz w:val="20"/>
          <w:szCs w:val="20"/>
        </w:rPr>
      </w:pPr>
      <w:r w:rsidRPr="00D23FD3">
        <w:rPr>
          <w:rFonts w:ascii="Arial" w:hAnsi="Arial" w:cs="Arial"/>
          <w:sz w:val="20"/>
          <w:szCs w:val="20"/>
        </w:rPr>
        <w:br w:type="page"/>
      </w:r>
    </w:p>
    <w:p w14:paraId="23D51866" w14:textId="77777777" w:rsidR="004B697D" w:rsidRDefault="004B697D" w:rsidP="00DF0AC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4220906" w14:textId="2874CC79" w:rsidR="00BB75A0" w:rsidRPr="00D23FD3" w:rsidRDefault="00BB75A0" w:rsidP="00DF0AC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23FD3">
        <w:rPr>
          <w:rFonts w:ascii="Arial" w:hAnsi="Arial" w:cs="Arial"/>
          <w:b/>
          <w:bCs/>
          <w:sz w:val="20"/>
          <w:szCs w:val="20"/>
        </w:rPr>
        <w:t>OBRAZLOŽITEV</w:t>
      </w:r>
    </w:p>
    <w:p w14:paraId="0A4FEAE2" w14:textId="77777777" w:rsidR="00790AD3" w:rsidRPr="00D23FD3" w:rsidRDefault="00790AD3" w:rsidP="00DF0ACC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F836FEF" w14:textId="45548C84" w:rsidR="005A4CDC" w:rsidRPr="00B50DDB" w:rsidRDefault="00005A3F" w:rsidP="00DF0ACC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D23FD3">
        <w:rPr>
          <w:rFonts w:ascii="Arial" w:hAnsi="Arial" w:cs="Arial"/>
          <w:sz w:val="20"/>
          <w:szCs w:val="20"/>
        </w:rPr>
        <w:t xml:space="preserve">Univerza v Ljubljani (v nadaljnjem besedilu: </w:t>
      </w:r>
      <w:r w:rsidR="005544EC">
        <w:rPr>
          <w:rFonts w:ascii="Arial" w:hAnsi="Arial" w:cs="Arial"/>
          <w:sz w:val="20"/>
          <w:szCs w:val="20"/>
        </w:rPr>
        <w:t>univerza</w:t>
      </w:r>
      <w:r w:rsidRPr="00B50DDB">
        <w:rPr>
          <w:rFonts w:ascii="Arial" w:hAnsi="Arial" w:cs="Arial"/>
          <w:sz w:val="20"/>
          <w:szCs w:val="20"/>
        </w:rPr>
        <w:t xml:space="preserve">) je </w:t>
      </w:r>
      <w:r w:rsidR="00F02B9D" w:rsidRPr="00F02B9D">
        <w:rPr>
          <w:rFonts w:ascii="Arial" w:hAnsi="Arial" w:cs="Arial"/>
          <w:sz w:val="20"/>
          <w:szCs w:val="20"/>
        </w:rPr>
        <w:t xml:space="preserve">v skladu s 4. členom Odloka o preoblikovanju Univerze v Ljubljani </w:t>
      </w:r>
      <w:r w:rsidR="00F02B9D">
        <w:rPr>
          <w:rFonts w:ascii="Arial" w:hAnsi="Arial" w:cs="Arial"/>
          <w:sz w:val="20"/>
          <w:szCs w:val="20"/>
        </w:rPr>
        <w:t>(</w:t>
      </w:r>
      <w:r w:rsidR="00B50DDB" w:rsidRPr="00B50DDB">
        <w:rPr>
          <w:rFonts w:ascii="Arial" w:hAnsi="Arial" w:cs="Arial"/>
          <w:sz w:val="20"/>
          <w:szCs w:val="20"/>
        </w:rPr>
        <w:t>Uradni list RS, št. 28/00, 33/03, 79/04, 36/06, 18/09, 83/10, 8/19, 36/21 in 107/23</w:t>
      </w:r>
      <w:r w:rsidR="00416E39" w:rsidRPr="00B50DDB">
        <w:rPr>
          <w:rFonts w:ascii="Arial" w:hAnsi="Arial" w:cs="Arial"/>
          <w:sz w:val="20"/>
          <w:szCs w:val="20"/>
        </w:rPr>
        <w:t>; v nadaljnjem besedilu: odlok</w:t>
      </w:r>
      <w:r w:rsidR="00416E39">
        <w:rPr>
          <w:rFonts w:ascii="Arial" w:hAnsi="Arial" w:cs="Arial"/>
          <w:sz w:val="20"/>
          <w:szCs w:val="20"/>
        </w:rPr>
        <w:t xml:space="preserve">) </w:t>
      </w:r>
      <w:r w:rsidR="005544EC">
        <w:rPr>
          <w:rFonts w:ascii="Arial" w:hAnsi="Arial" w:cs="Arial"/>
          <w:sz w:val="20"/>
          <w:szCs w:val="20"/>
        </w:rPr>
        <w:t xml:space="preserve">na Ministrstvo za </w:t>
      </w:r>
      <w:r w:rsidR="00B50DDB">
        <w:rPr>
          <w:rFonts w:ascii="Arial" w:hAnsi="Arial" w:cs="Arial"/>
          <w:sz w:val="20"/>
          <w:szCs w:val="20"/>
        </w:rPr>
        <w:t xml:space="preserve">visoko šolstvo, znanost in inovacije (v nadaljnjem besedilu: MVZI) </w:t>
      </w:r>
      <w:r w:rsidRPr="00B50DDB">
        <w:rPr>
          <w:rFonts w:ascii="Arial" w:hAnsi="Arial" w:cs="Arial"/>
          <w:sz w:val="20"/>
          <w:szCs w:val="20"/>
        </w:rPr>
        <w:t>dne 1</w:t>
      </w:r>
      <w:r w:rsidR="00C4396E">
        <w:rPr>
          <w:rFonts w:ascii="Arial" w:hAnsi="Arial" w:cs="Arial"/>
          <w:sz w:val="20"/>
          <w:szCs w:val="20"/>
        </w:rPr>
        <w:t>6</w:t>
      </w:r>
      <w:r w:rsidRPr="00B50DDB">
        <w:rPr>
          <w:rFonts w:ascii="Arial" w:hAnsi="Arial" w:cs="Arial"/>
          <w:sz w:val="20"/>
          <w:szCs w:val="20"/>
        </w:rPr>
        <w:t xml:space="preserve">. 11. 2023 vložila vlogo in dne 17. 5. 2024 njeno dopolnitev za pridobitev soglasja </w:t>
      </w:r>
      <w:r w:rsidR="0047231E">
        <w:rPr>
          <w:rFonts w:ascii="Arial" w:hAnsi="Arial" w:cs="Arial"/>
          <w:sz w:val="20"/>
          <w:szCs w:val="20"/>
        </w:rPr>
        <w:t>k</w:t>
      </w:r>
      <w:r w:rsidR="0047231E" w:rsidRPr="00B50DD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231E">
        <w:rPr>
          <w:rFonts w:ascii="Arial" w:hAnsi="Arial" w:cs="Arial"/>
          <w:sz w:val="20"/>
          <w:szCs w:val="20"/>
        </w:rPr>
        <w:t>so</w:t>
      </w:r>
      <w:r w:rsidRPr="00B50DDB">
        <w:rPr>
          <w:rFonts w:ascii="Arial" w:hAnsi="Arial" w:cs="Arial"/>
          <w:sz w:val="20"/>
          <w:szCs w:val="20"/>
        </w:rPr>
        <w:t>ustanovitv</w:t>
      </w:r>
      <w:r w:rsidR="0047231E">
        <w:rPr>
          <w:rFonts w:ascii="Arial" w:hAnsi="Arial" w:cs="Arial"/>
          <w:sz w:val="20"/>
          <w:szCs w:val="20"/>
        </w:rPr>
        <w:t>i</w:t>
      </w:r>
      <w:proofErr w:type="spellEnd"/>
      <w:r w:rsidRPr="00B50DDB">
        <w:rPr>
          <w:rFonts w:ascii="Arial" w:hAnsi="Arial" w:cs="Arial"/>
          <w:sz w:val="20"/>
          <w:szCs w:val="20"/>
        </w:rPr>
        <w:t xml:space="preserve"> pravne osebe Evropska univerza EUTOPIA.</w:t>
      </w:r>
    </w:p>
    <w:p w14:paraId="3002BDCC" w14:textId="77777777" w:rsidR="00005A3F" w:rsidRPr="00B50DDB" w:rsidRDefault="00005A3F" w:rsidP="00DF0ACC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25C228E0" w14:textId="790F52F0" w:rsidR="00005A3F" w:rsidRPr="00A51CA9" w:rsidRDefault="005544EC" w:rsidP="00DF0ACC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Univerza je v</w:t>
      </w:r>
      <w:r w:rsidR="00AF283B" w:rsidRPr="00A51CA9">
        <w:rPr>
          <w:rFonts w:ascii="Arial" w:hAnsi="Arial" w:cs="Arial"/>
          <w:sz w:val="20"/>
          <w:szCs w:val="20"/>
        </w:rPr>
        <w:t xml:space="preserve"> vlogi navedla</w:t>
      </w:r>
      <w:r>
        <w:rPr>
          <w:rFonts w:ascii="Arial" w:hAnsi="Arial" w:cs="Arial"/>
          <w:sz w:val="20"/>
          <w:szCs w:val="20"/>
        </w:rPr>
        <w:t>,</w:t>
      </w:r>
      <w:r w:rsidR="00AF283B" w:rsidRPr="00A51CA9">
        <w:rPr>
          <w:rFonts w:ascii="Arial" w:hAnsi="Arial" w:cs="Arial"/>
          <w:sz w:val="20"/>
          <w:szCs w:val="20"/>
        </w:rPr>
        <w:t xml:space="preserve"> da bodo </w:t>
      </w:r>
      <w:r>
        <w:rPr>
          <w:rFonts w:ascii="Arial" w:hAnsi="Arial" w:cs="Arial"/>
          <w:sz w:val="20"/>
          <w:szCs w:val="20"/>
        </w:rPr>
        <w:t>p</w:t>
      </w:r>
      <w:r w:rsidR="00AF283B" w:rsidRPr="00A51CA9">
        <w:rPr>
          <w:rFonts w:ascii="Arial" w:hAnsi="Arial" w:cs="Arial"/>
          <w:sz w:val="20"/>
          <w:szCs w:val="20"/>
        </w:rPr>
        <w:t xml:space="preserve">ravno osebo Evropska univerza EUTOPIA </w:t>
      </w:r>
      <w:r w:rsidR="00F9321D">
        <w:rPr>
          <w:rFonts w:ascii="Arial" w:hAnsi="Arial" w:cs="Arial"/>
          <w:sz w:val="20"/>
          <w:szCs w:val="20"/>
        </w:rPr>
        <w:t>so</w:t>
      </w:r>
      <w:r w:rsidR="00AF283B" w:rsidRPr="00A51CA9">
        <w:rPr>
          <w:rFonts w:ascii="Arial" w:hAnsi="Arial" w:cs="Arial"/>
          <w:sz w:val="20"/>
          <w:szCs w:val="20"/>
        </w:rPr>
        <w:t>ustanovile naslednje članice: Univerza v Ljubljan</w:t>
      </w:r>
      <w:r w:rsidR="00F9321D">
        <w:rPr>
          <w:rFonts w:ascii="Arial" w:hAnsi="Arial" w:cs="Arial"/>
          <w:sz w:val="20"/>
          <w:szCs w:val="20"/>
        </w:rPr>
        <w:t>i</w:t>
      </w:r>
      <w:r w:rsidR="00AF283B" w:rsidRPr="00A51CA9">
        <w:rPr>
          <w:rFonts w:ascii="Arial" w:hAnsi="Arial" w:cs="Arial"/>
          <w:sz w:val="20"/>
          <w:szCs w:val="20"/>
        </w:rPr>
        <w:t xml:space="preserve">, Univerza Vrije v Bruslju (Belgija), Univerza CY </w:t>
      </w:r>
      <w:proofErr w:type="spellStart"/>
      <w:r w:rsidR="00AF283B" w:rsidRPr="00A51CA9">
        <w:rPr>
          <w:rFonts w:ascii="Arial" w:hAnsi="Arial" w:cs="Arial"/>
          <w:sz w:val="20"/>
          <w:szCs w:val="20"/>
        </w:rPr>
        <w:t>Cergy</w:t>
      </w:r>
      <w:proofErr w:type="spellEnd"/>
      <w:r w:rsidR="00AF283B" w:rsidRPr="00A51CA9">
        <w:rPr>
          <w:rFonts w:ascii="Arial" w:hAnsi="Arial" w:cs="Arial"/>
          <w:sz w:val="20"/>
          <w:szCs w:val="20"/>
        </w:rPr>
        <w:t xml:space="preserve"> Pariz (Francija), Univerza v Göteborgu (Švedska), Univerza </w:t>
      </w:r>
      <w:proofErr w:type="spellStart"/>
      <w:r w:rsidR="00AF283B" w:rsidRPr="00A51CA9">
        <w:rPr>
          <w:rFonts w:ascii="Arial" w:hAnsi="Arial" w:cs="Arial"/>
          <w:sz w:val="20"/>
          <w:szCs w:val="20"/>
        </w:rPr>
        <w:t>Pompeu</w:t>
      </w:r>
      <w:proofErr w:type="spellEnd"/>
      <w:r w:rsidR="00AF283B" w:rsidRPr="00A51C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283B" w:rsidRPr="00A51CA9">
        <w:rPr>
          <w:rFonts w:ascii="Arial" w:hAnsi="Arial" w:cs="Arial"/>
          <w:sz w:val="20"/>
          <w:szCs w:val="20"/>
        </w:rPr>
        <w:t>Fabra</w:t>
      </w:r>
      <w:proofErr w:type="spellEnd"/>
      <w:r w:rsidR="00AF283B" w:rsidRPr="00A51CA9">
        <w:rPr>
          <w:rFonts w:ascii="Arial" w:hAnsi="Arial" w:cs="Arial"/>
          <w:sz w:val="20"/>
          <w:szCs w:val="20"/>
        </w:rPr>
        <w:t xml:space="preserve"> v Barceloni (Španija), Univerza v </w:t>
      </w:r>
      <w:proofErr w:type="spellStart"/>
      <w:r w:rsidR="00AF283B" w:rsidRPr="00A51CA9">
        <w:rPr>
          <w:rFonts w:ascii="Arial" w:hAnsi="Arial" w:cs="Arial"/>
          <w:sz w:val="20"/>
          <w:szCs w:val="20"/>
        </w:rPr>
        <w:t>Warwicku</w:t>
      </w:r>
      <w:proofErr w:type="spellEnd"/>
      <w:r w:rsidR="00AF283B" w:rsidRPr="00A51CA9">
        <w:rPr>
          <w:rFonts w:ascii="Arial" w:hAnsi="Arial" w:cs="Arial"/>
          <w:sz w:val="20"/>
          <w:szCs w:val="20"/>
        </w:rPr>
        <w:t xml:space="preserve"> (Velika Britanija), Univerza NOVA Lizbona (Portugalska), Univerza Ca’ </w:t>
      </w:r>
      <w:proofErr w:type="spellStart"/>
      <w:r w:rsidR="00AF283B" w:rsidRPr="00A51CA9">
        <w:rPr>
          <w:rFonts w:ascii="Arial" w:hAnsi="Arial" w:cs="Arial"/>
          <w:sz w:val="20"/>
          <w:szCs w:val="20"/>
        </w:rPr>
        <w:t>Foscari</w:t>
      </w:r>
      <w:proofErr w:type="spellEnd"/>
      <w:r w:rsidR="00AF283B" w:rsidRPr="00A51CA9">
        <w:rPr>
          <w:rFonts w:ascii="Arial" w:hAnsi="Arial" w:cs="Arial"/>
          <w:sz w:val="20"/>
          <w:szCs w:val="20"/>
        </w:rPr>
        <w:t xml:space="preserve"> (Italija), Tehniška univerza Dresden (Nemčija) in Univerza </w:t>
      </w:r>
      <w:proofErr w:type="spellStart"/>
      <w:r w:rsidR="00AF283B" w:rsidRPr="00A51CA9">
        <w:rPr>
          <w:rFonts w:ascii="Arial" w:hAnsi="Arial" w:cs="Arial"/>
          <w:sz w:val="20"/>
          <w:szCs w:val="20"/>
        </w:rPr>
        <w:t>Babeş-Bolyai</w:t>
      </w:r>
      <w:proofErr w:type="spellEnd"/>
      <w:r w:rsidR="00AF283B" w:rsidRPr="00A51CA9">
        <w:rPr>
          <w:rFonts w:ascii="Arial" w:hAnsi="Arial" w:cs="Arial"/>
          <w:sz w:val="20"/>
          <w:szCs w:val="20"/>
        </w:rPr>
        <w:t xml:space="preserve"> (Romunija). Gre za mednarodno neprofitno združenje </w:t>
      </w:r>
      <w:r w:rsidR="00AF5658">
        <w:rPr>
          <w:rFonts w:ascii="Arial" w:hAnsi="Arial" w:cs="Arial"/>
          <w:sz w:val="20"/>
          <w:szCs w:val="20"/>
        </w:rPr>
        <w:t xml:space="preserve">ustanovljeno </w:t>
      </w:r>
      <w:r w:rsidR="00A51CA9">
        <w:rPr>
          <w:rFonts w:ascii="Arial" w:hAnsi="Arial" w:cs="Arial"/>
          <w:sz w:val="20"/>
          <w:szCs w:val="20"/>
        </w:rPr>
        <w:t xml:space="preserve">po belgijskem pravu </w:t>
      </w:r>
      <w:r w:rsidR="00AF283B" w:rsidRPr="00A51CA9">
        <w:rPr>
          <w:rFonts w:ascii="Arial" w:hAnsi="Arial" w:cs="Arial"/>
          <w:sz w:val="20"/>
          <w:szCs w:val="20"/>
        </w:rPr>
        <w:t>za nedoločen čas, s sedežem v belgijski prestolnici Bruselj.</w:t>
      </w:r>
    </w:p>
    <w:p w14:paraId="237BDE05" w14:textId="77777777" w:rsidR="00AF283B" w:rsidRPr="00A51CA9" w:rsidRDefault="00AF283B" w:rsidP="00DF0ACC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61C6664D" w14:textId="00FE9F0F" w:rsidR="00AF283B" w:rsidRPr="00A51CA9" w:rsidRDefault="00703F87" w:rsidP="00DF0ACC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Univerza nadalje v svoji</w:t>
      </w:r>
      <w:r w:rsidR="00AF283B" w:rsidRPr="00A51CA9">
        <w:rPr>
          <w:rFonts w:ascii="Arial" w:hAnsi="Arial" w:cs="Arial"/>
          <w:sz w:val="20"/>
          <w:szCs w:val="20"/>
        </w:rPr>
        <w:t xml:space="preserve"> vlogi </w:t>
      </w:r>
      <w:r>
        <w:rPr>
          <w:rFonts w:ascii="Arial" w:hAnsi="Arial" w:cs="Arial"/>
          <w:sz w:val="20"/>
          <w:szCs w:val="20"/>
        </w:rPr>
        <w:t>navaja</w:t>
      </w:r>
      <w:r w:rsidR="00AF283B" w:rsidRPr="00A51CA9">
        <w:rPr>
          <w:rFonts w:ascii="Arial" w:hAnsi="Arial" w:cs="Arial"/>
          <w:sz w:val="20"/>
          <w:szCs w:val="20"/>
        </w:rPr>
        <w:t xml:space="preserve"> cilj</w:t>
      </w:r>
      <w:r>
        <w:rPr>
          <w:rFonts w:ascii="Arial" w:hAnsi="Arial" w:cs="Arial"/>
          <w:sz w:val="20"/>
          <w:szCs w:val="20"/>
        </w:rPr>
        <w:t>e</w:t>
      </w:r>
      <w:r w:rsidR="00AF283B" w:rsidRPr="00A51CA9">
        <w:rPr>
          <w:rFonts w:ascii="Arial" w:hAnsi="Arial" w:cs="Arial"/>
          <w:sz w:val="20"/>
          <w:szCs w:val="20"/>
        </w:rPr>
        <w:t xml:space="preserve"> Evropske univerze EUTOPIA, in sicer</w:t>
      </w:r>
      <w:r w:rsidR="00360D44" w:rsidRPr="00A51CA9">
        <w:rPr>
          <w:rFonts w:ascii="Arial" w:hAnsi="Arial" w:cs="Arial"/>
          <w:sz w:val="20"/>
          <w:szCs w:val="20"/>
        </w:rPr>
        <w:t xml:space="preserve"> </w:t>
      </w:r>
      <w:r w:rsidR="00AF283B" w:rsidRPr="00A51CA9">
        <w:rPr>
          <w:rFonts w:ascii="Arial" w:hAnsi="Arial" w:cs="Arial"/>
          <w:sz w:val="20"/>
          <w:szCs w:val="20"/>
        </w:rPr>
        <w:t>prispevati k akademskemu sodelovanju svojih članic za izgradnjo zveze univerz EUTOPIA</w:t>
      </w:r>
      <w:r w:rsidR="00360D44" w:rsidRPr="00A51CA9">
        <w:rPr>
          <w:rFonts w:ascii="Arial" w:hAnsi="Arial" w:cs="Arial"/>
          <w:sz w:val="20"/>
          <w:szCs w:val="20"/>
        </w:rPr>
        <w:t xml:space="preserve">, </w:t>
      </w:r>
      <w:r w:rsidR="00AF283B" w:rsidRPr="00A51CA9">
        <w:rPr>
          <w:rFonts w:ascii="Arial" w:hAnsi="Arial" w:cs="Arial"/>
          <w:sz w:val="20"/>
          <w:szCs w:val="20"/>
        </w:rPr>
        <w:t>zagotoviti vodilno vlogo pri spodbujanju izobraževanja, temeljnih in uporabnih raziskav na vseh</w:t>
      </w:r>
      <w:r w:rsidR="00360D44" w:rsidRPr="00A51CA9">
        <w:rPr>
          <w:rFonts w:ascii="Arial" w:hAnsi="Arial" w:cs="Arial"/>
          <w:sz w:val="20"/>
          <w:szCs w:val="20"/>
        </w:rPr>
        <w:t xml:space="preserve"> </w:t>
      </w:r>
      <w:r w:rsidR="00AF283B" w:rsidRPr="00A51CA9">
        <w:rPr>
          <w:rFonts w:ascii="Arial" w:hAnsi="Arial" w:cs="Arial"/>
          <w:sz w:val="20"/>
          <w:szCs w:val="20"/>
        </w:rPr>
        <w:t>področjih, ki se članom EUTOPIA zdijo primerna</w:t>
      </w:r>
      <w:r w:rsidR="00360D44" w:rsidRPr="00A51CA9">
        <w:rPr>
          <w:rFonts w:ascii="Arial" w:hAnsi="Arial" w:cs="Arial"/>
          <w:sz w:val="20"/>
          <w:szCs w:val="20"/>
        </w:rPr>
        <w:t xml:space="preserve">, </w:t>
      </w:r>
      <w:r w:rsidR="00AF283B" w:rsidRPr="00A51CA9">
        <w:rPr>
          <w:rFonts w:ascii="Arial" w:hAnsi="Arial" w:cs="Arial"/>
          <w:sz w:val="20"/>
          <w:szCs w:val="20"/>
        </w:rPr>
        <w:t>zagotavljati, da so pedagoške in raziskovalno intenzivne inovacije v središču oblikovanja evropske,</w:t>
      </w:r>
      <w:r w:rsidR="00E34876">
        <w:rPr>
          <w:rFonts w:ascii="Arial" w:hAnsi="Arial" w:cs="Arial"/>
          <w:sz w:val="20"/>
          <w:szCs w:val="20"/>
        </w:rPr>
        <w:t xml:space="preserve"> </w:t>
      </w:r>
      <w:r w:rsidR="00AF283B" w:rsidRPr="00A51CA9">
        <w:rPr>
          <w:rFonts w:ascii="Arial" w:hAnsi="Arial" w:cs="Arial"/>
          <w:sz w:val="20"/>
          <w:szCs w:val="20"/>
        </w:rPr>
        <w:t>nacionalne in regionalne politike</w:t>
      </w:r>
      <w:r w:rsidR="00360D44" w:rsidRPr="00A51CA9">
        <w:rPr>
          <w:rFonts w:ascii="Arial" w:hAnsi="Arial" w:cs="Arial"/>
          <w:sz w:val="20"/>
          <w:szCs w:val="20"/>
        </w:rPr>
        <w:t xml:space="preserve">, </w:t>
      </w:r>
      <w:r w:rsidR="00AF283B" w:rsidRPr="00A51CA9">
        <w:rPr>
          <w:rFonts w:ascii="Arial" w:hAnsi="Arial" w:cs="Arial"/>
          <w:sz w:val="20"/>
          <w:szCs w:val="20"/>
        </w:rPr>
        <w:t>zastopati interese svojih članov pri institucijah EU, vladah držav, v katerih imajo člani registrirani</w:t>
      </w:r>
      <w:r w:rsidR="00360D44" w:rsidRPr="00A51CA9">
        <w:rPr>
          <w:rFonts w:ascii="Arial" w:hAnsi="Arial" w:cs="Arial"/>
          <w:sz w:val="20"/>
          <w:szCs w:val="20"/>
        </w:rPr>
        <w:t xml:space="preserve"> </w:t>
      </w:r>
      <w:r w:rsidR="00AF283B" w:rsidRPr="00A51CA9">
        <w:rPr>
          <w:rFonts w:ascii="Arial" w:hAnsi="Arial" w:cs="Arial"/>
          <w:sz w:val="20"/>
          <w:szCs w:val="20"/>
        </w:rPr>
        <w:t>sedež, in mednarodnih organizacij</w:t>
      </w:r>
      <w:r w:rsidR="00424226">
        <w:rPr>
          <w:rFonts w:ascii="Arial" w:hAnsi="Arial" w:cs="Arial"/>
          <w:sz w:val="20"/>
          <w:szCs w:val="20"/>
        </w:rPr>
        <w:t>,</w:t>
      </w:r>
      <w:r w:rsidR="00360D44" w:rsidRPr="00A51CA9">
        <w:rPr>
          <w:rFonts w:ascii="Arial" w:hAnsi="Arial" w:cs="Arial"/>
          <w:sz w:val="20"/>
          <w:szCs w:val="20"/>
        </w:rPr>
        <w:t xml:space="preserve"> </w:t>
      </w:r>
      <w:r w:rsidR="00AF283B" w:rsidRPr="00A51CA9">
        <w:rPr>
          <w:rFonts w:ascii="Arial" w:hAnsi="Arial" w:cs="Arial"/>
          <w:sz w:val="20"/>
          <w:szCs w:val="20"/>
        </w:rPr>
        <w:t>sodelovanje pri oblikovanju evropskih, nacionalnih in regionalnih politik z zagovarjanjem javne</w:t>
      </w:r>
      <w:r w:rsidR="00360D44" w:rsidRPr="00A51CA9">
        <w:rPr>
          <w:rFonts w:ascii="Arial" w:hAnsi="Arial" w:cs="Arial"/>
          <w:sz w:val="20"/>
          <w:szCs w:val="20"/>
        </w:rPr>
        <w:t xml:space="preserve"> </w:t>
      </w:r>
      <w:r w:rsidR="00AF283B" w:rsidRPr="00A51CA9">
        <w:rPr>
          <w:rFonts w:ascii="Arial" w:hAnsi="Arial" w:cs="Arial"/>
          <w:sz w:val="20"/>
          <w:szCs w:val="20"/>
        </w:rPr>
        <w:t>vrednosti akademskih raziskav in izobraževanja, inovacij, storitev za družbo in spodbujanjem</w:t>
      </w:r>
      <w:r w:rsidR="00360D44" w:rsidRPr="00A51CA9">
        <w:rPr>
          <w:rFonts w:ascii="Arial" w:hAnsi="Arial" w:cs="Arial"/>
          <w:sz w:val="20"/>
          <w:szCs w:val="20"/>
        </w:rPr>
        <w:t xml:space="preserve"> </w:t>
      </w:r>
      <w:r w:rsidR="00AF283B" w:rsidRPr="00A51CA9">
        <w:rPr>
          <w:rFonts w:ascii="Arial" w:hAnsi="Arial" w:cs="Arial"/>
          <w:sz w:val="20"/>
          <w:szCs w:val="20"/>
        </w:rPr>
        <w:t>akademskih mrež</w:t>
      </w:r>
      <w:r w:rsidR="00360D44" w:rsidRPr="00A51CA9">
        <w:rPr>
          <w:rFonts w:ascii="Arial" w:hAnsi="Arial" w:cs="Arial"/>
          <w:sz w:val="20"/>
          <w:szCs w:val="20"/>
        </w:rPr>
        <w:t xml:space="preserve">, </w:t>
      </w:r>
      <w:r w:rsidR="00AF283B" w:rsidRPr="00A51CA9">
        <w:rPr>
          <w:rFonts w:ascii="Arial" w:hAnsi="Arial" w:cs="Arial"/>
          <w:sz w:val="20"/>
          <w:szCs w:val="20"/>
        </w:rPr>
        <w:t>ustvarjati priložnosti za sodelovanje akademikov z industrijo, javnimi in zasebnimi organizacijami</w:t>
      </w:r>
      <w:r w:rsidR="00360D44" w:rsidRPr="00A51CA9">
        <w:rPr>
          <w:rFonts w:ascii="Arial" w:hAnsi="Arial" w:cs="Arial"/>
          <w:sz w:val="20"/>
          <w:szCs w:val="20"/>
        </w:rPr>
        <w:t xml:space="preserve"> </w:t>
      </w:r>
      <w:r w:rsidR="00AF283B" w:rsidRPr="00A51CA9">
        <w:rPr>
          <w:rFonts w:ascii="Arial" w:hAnsi="Arial" w:cs="Arial"/>
          <w:sz w:val="20"/>
          <w:szCs w:val="20"/>
        </w:rPr>
        <w:t>ter neprofitnimi združenji s ciljem raziskovanja novih idej in skupnega delovanja na področjih, ki so v</w:t>
      </w:r>
      <w:r w:rsidR="00360D44" w:rsidRPr="00A51CA9">
        <w:rPr>
          <w:rFonts w:ascii="Arial" w:hAnsi="Arial" w:cs="Arial"/>
          <w:sz w:val="20"/>
          <w:szCs w:val="20"/>
        </w:rPr>
        <w:t xml:space="preserve"> </w:t>
      </w:r>
      <w:r w:rsidR="00AF283B" w:rsidRPr="00A51CA9">
        <w:rPr>
          <w:rFonts w:ascii="Arial" w:hAnsi="Arial" w:cs="Arial"/>
          <w:sz w:val="20"/>
          <w:szCs w:val="20"/>
        </w:rPr>
        <w:t>vzponu in prinašajo koristi za vse</w:t>
      </w:r>
      <w:r w:rsidR="00360D44" w:rsidRPr="00A51CA9">
        <w:rPr>
          <w:rFonts w:ascii="Arial" w:hAnsi="Arial" w:cs="Arial"/>
          <w:sz w:val="20"/>
          <w:szCs w:val="20"/>
        </w:rPr>
        <w:t xml:space="preserve">, </w:t>
      </w:r>
      <w:r w:rsidR="00AF283B" w:rsidRPr="00A51CA9">
        <w:rPr>
          <w:rFonts w:ascii="Arial" w:hAnsi="Arial" w:cs="Arial"/>
          <w:sz w:val="20"/>
          <w:szCs w:val="20"/>
        </w:rPr>
        <w:t>spodbujanje in promocija najboljših praks v izobraževanju, ki temelji na raziskavah, vključno z</w:t>
      </w:r>
      <w:r w:rsidR="00E34876">
        <w:rPr>
          <w:rFonts w:ascii="Arial" w:hAnsi="Arial" w:cs="Arial"/>
          <w:sz w:val="20"/>
          <w:szCs w:val="20"/>
        </w:rPr>
        <w:t xml:space="preserve"> </w:t>
      </w:r>
      <w:r w:rsidR="00AF283B" w:rsidRPr="00A51CA9">
        <w:rPr>
          <w:rFonts w:ascii="Arial" w:hAnsi="Arial" w:cs="Arial"/>
          <w:sz w:val="20"/>
          <w:szCs w:val="20"/>
        </w:rPr>
        <w:t>mobilnostjo in tesno povezovanje institucij s partnerji zunaj akademskega okolja</w:t>
      </w:r>
      <w:r w:rsidR="00360D44" w:rsidRPr="00A51CA9">
        <w:rPr>
          <w:rFonts w:ascii="Arial" w:hAnsi="Arial" w:cs="Arial"/>
          <w:sz w:val="20"/>
          <w:szCs w:val="20"/>
        </w:rPr>
        <w:t xml:space="preserve"> in</w:t>
      </w:r>
      <w:r w:rsidR="00CD55B2" w:rsidRPr="00A51CA9">
        <w:rPr>
          <w:rFonts w:ascii="Arial" w:hAnsi="Arial" w:cs="Arial"/>
          <w:sz w:val="20"/>
          <w:szCs w:val="20"/>
        </w:rPr>
        <w:t xml:space="preserve"> </w:t>
      </w:r>
      <w:r w:rsidR="00AF283B" w:rsidRPr="00A51CA9">
        <w:rPr>
          <w:rFonts w:ascii="Arial" w:hAnsi="Arial" w:cs="Arial"/>
          <w:sz w:val="20"/>
          <w:szCs w:val="20"/>
        </w:rPr>
        <w:t>spoštovanje, varovanje in prizadevanje za naslednji sklop vrednot - načel: kultura vključevanja</w:t>
      </w:r>
      <w:r w:rsidR="00CD55B2" w:rsidRPr="00A51CA9">
        <w:rPr>
          <w:rFonts w:ascii="Arial" w:hAnsi="Arial" w:cs="Arial"/>
          <w:sz w:val="20"/>
          <w:szCs w:val="20"/>
        </w:rPr>
        <w:t xml:space="preserve">, </w:t>
      </w:r>
      <w:r w:rsidR="00AF283B" w:rsidRPr="00A51CA9">
        <w:rPr>
          <w:rFonts w:ascii="Arial" w:hAnsi="Arial" w:cs="Arial"/>
          <w:sz w:val="20"/>
          <w:szCs w:val="20"/>
        </w:rPr>
        <w:t>akademska svoboda</w:t>
      </w:r>
      <w:r w:rsidR="00CD55B2" w:rsidRPr="00A51CA9">
        <w:rPr>
          <w:rFonts w:ascii="Arial" w:hAnsi="Arial" w:cs="Arial"/>
          <w:sz w:val="20"/>
          <w:szCs w:val="20"/>
        </w:rPr>
        <w:t>,</w:t>
      </w:r>
      <w:r w:rsidR="00AF283B" w:rsidRPr="00A51CA9">
        <w:rPr>
          <w:rFonts w:ascii="Arial" w:hAnsi="Arial" w:cs="Arial"/>
          <w:sz w:val="20"/>
          <w:szCs w:val="20"/>
        </w:rPr>
        <w:t xml:space="preserve"> trajnosten, odgovoren in etičen odnos do planeta in vesolja</w:t>
      </w:r>
      <w:r w:rsidR="00CD55B2" w:rsidRPr="00A51CA9">
        <w:rPr>
          <w:rFonts w:ascii="Arial" w:hAnsi="Arial" w:cs="Arial"/>
          <w:sz w:val="20"/>
          <w:szCs w:val="20"/>
        </w:rPr>
        <w:t>,</w:t>
      </w:r>
      <w:r w:rsidR="00AF283B" w:rsidRPr="00A51CA9">
        <w:rPr>
          <w:rFonts w:ascii="Arial" w:hAnsi="Arial" w:cs="Arial"/>
          <w:sz w:val="20"/>
          <w:szCs w:val="20"/>
        </w:rPr>
        <w:t xml:space="preserve"> pregledni in na</w:t>
      </w:r>
      <w:r w:rsidR="00CD55B2" w:rsidRPr="00A51CA9">
        <w:rPr>
          <w:rFonts w:ascii="Arial" w:hAnsi="Arial" w:cs="Arial"/>
          <w:sz w:val="20"/>
          <w:szCs w:val="20"/>
        </w:rPr>
        <w:t xml:space="preserve"> </w:t>
      </w:r>
      <w:r w:rsidR="00AF283B" w:rsidRPr="00A51CA9">
        <w:rPr>
          <w:rFonts w:ascii="Arial" w:hAnsi="Arial" w:cs="Arial"/>
          <w:sz w:val="20"/>
          <w:szCs w:val="20"/>
        </w:rPr>
        <w:t>enakosti temelječi procesi soustvarjanja v odnosu s člani in drugimi organizacijami.</w:t>
      </w:r>
    </w:p>
    <w:p w14:paraId="0D090A98" w14:textId="77777777" w:rsidR="00AF283B" w:rsidRPr="00A51CA9" w:rsidRDefault="00AF283B" w:rsidP="00DF0ACC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EC24E0A" w14:textId="2FD15FA7" w:rsidR="00A5474D" w:rsidRPr="00EA7C98" w:rsidRDefault="00AF283B" w:rsidP="00DF0ACC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A51CA9">
        <w:rPr>
          <w:rFonts w:ascii="Arial" w:hAnsi="Arial" w:cs="Arial"/>
          <w:sz w:val="20"/>
          <w:szCs w:val="20"/>
        </w:rPr>
        <w:t xml:space="preserve">S pristopnim podpisom bo imela </w:t>
      </w:r>
      <w:r w:rsidR="00BF1B51">
        <w:rPr>
          <w:rFonts w:ascii="Arial" w:hAnsi="Arial" w:cs="Arial"/>
          <w:sz w:val="20"/>
          <w:szCs w:val="20"/>
        </w:rPr>
        <w:t>u</w:t>
      </w:r>
      <w:r w:rsidRPr="00A51CA9">
        <w:rPr>
          <w:rFonts w:ascii="Arial" w:hAnsi="Arial" w:cs="Arial"/>
          <w:sz w:val="20"/>
          <w:szCs w:val="20"/>
        </w:rPr>
        <w:t>niverza kot polnopravna članica pravic</w:t>
      </w:r>
      <w:r w:rsidR="00A5474D" w:rsidRPr="00A51CA9">
        <w:rPr>
          <w:rFonts w:ascii="Arial" w:hAnsi="Arial" w:cs="Arial"/>
          <w:sz w:val="20"/>
          <w:szCs w:val="20"/>
        </w:rPr>
        <w:t>o</w:t>
      </w:r>
      <w:r w:rsidRPr="00A51CA9">
        <w:rPr>
          <w:rFonts w:ascii="Arial" w:hAnsi="Arial" w:cs="Arial"/>
          <w:sz w:val="20"/>
          <w:szCs w:val="20"/>
        </w:rPr>
        <w:t xml:space="preserve"> sodelovati v dejavnostih združenja, udeleževati se sestankov organov upravljanja</w:t>
      </w:r>
      <w:r w:rsidR="00EA7C98">
        <w:rPr>
          <w:rFonts w:ascii="Arial" w:hAnsi="Arial" w:cs="Arial"/>
          <w:sz w:val="20"/>
          <w:szCs w:val="20"/>
        </w:rPr>
        <w:t>,</w:t>
      </w:r>
      <w:r w:rsidRPr="00A51CA9">
        <w:rPr>
          <w:rFonts w:ascii="Arial" w:hAnsi="Arial" w:cs="Arial"/>
          <w:sz w:val="20"/>
          <w:szCs w:val="20"/>
        </w:rPr>
        <w:t xml:space="preserve"> sodelovati na Generalni skupščini z glasovalno pravico in imeti dostop do zapisnikov in odločitev Generalne skupščine, Upravnega odbora, drugih upravnih organov in pooblaščencev, ki delujejo v okviru združenja ali v njegovem imenu, ter do vseh računovodskih dokumentov združenja.</w:t>
      </w:r>
      <w:r w:rsidR="00A5474D" w:rsidRPr="00A51CA9">
        <w:rPr>
          <w:rFonts w:ascii="Arial" w:hAnsi="Arial" w:cs="Arial"/>
          <w:sz w:val="20"/>
          <w:szCs w:val="20"/>
        </w:rPr>
        <w:t xml:space="preserve"> Obveznosti, ki jih bo vlagateljica s pristopom prevzela pa so plačevati letno članarino</w:t>
      </w:r>
      <w:r w:rsidR="00EA7C98">
        <w:rPr>
          <w:rFonts w:ascii="Arial" w:hAnsi="Arial" w:cs="Arial"/>
          <w:sz w:val="20"/>
          <w:szCs w:val="20"/>
        </w:rPr>
        <w:t xml:space="preserve">, ki jo vsako leto določi skupščina in ne sme presegati 100.000 evrov na leto in </w:t>
      </w:r>
      <w:r w:rsidR="003363CE" w:rsidRPr="00A5758A">
        <w:rPr>
          <w:rFonts w:ascii="Arial" w:hAnsi="Arial" w:cs="Arial"/>
          <w:sz w:val="20"/>
          <w:szCs w:val="20"/>
        </w:rPr>
        <w:t xml:space="preserve">ki </w:t>
      </w:r>
      <w:r w:rsidR="002E10D3" w:rsidRPr="00A5758A">
        <w:rPr>
          <w:rFonts w:ascii="Arial" w:hAnsi="Arial" w:cs="Arial"/>
          <w:sz w:val="20"/>
          <w:szCs w:val="20"/>
        </w:rPr>
        <w:t>jo bo univerza pokrivala izključno iz lastnih sredstev</w:t>
      </w:r>
      <w:r w:rsidR="00844DA9" w:rsidRPr="00A5758A">
        <w:rPr>
          <w:rFonts w:ascii="Arial" w:hAnsi="Arial" w:cs="Arial"/>
          <w:sz w:val="20"/>
          <w:szCs w:val="20"/>
        </w:rPr>
        <w:t>, ne iz proračunskih sredstev</w:t>
      </w:r>
      <w:r w:rsidR="00844DA9">
        <w:rPr>
          <w:rFonts w:ascii="Arial" w:hAnsi="Arial" w:cs="Arial"/>
          <w:sz w:val="20"/>
          <w:szCs w:val="20"/>
        </w:rPr>
        <w:t>,</w:t>
      </w:r>
      <w:r w:rsidR="00A5474D" w:rsidRPr="00EA7C98">
        <w:rPr>
          <w:rFonts w:ascii="Arial" w:hAnsi="Arial" w:cs="Arial"/>
          <w:sz w:val="20"/>
          <w:szCs w:val="20"/>
        </w:rPr>
        <w:t xml:space="preserve"> zavzemati se za uresničevanje neprofitnih ciljev EUTOPIA, navedenih v 3. členu statuta, spoštovati in upoštevati določbe statuta EUTOPIA in spodbujati interese združenja na nacionalni, evropski in mednarodni ravni.</w:t>
      </w:r>
    </w:p>
    <w:p w14:paraId="29A251F4" w14:textId="77777777" w:rsidR="00BB6EF8" w:rsidRPr="00EA7C98" w:rsidRDefault="00BB6EF8" w:rsidP="00DF0ACC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37E245A" w14:textId="14E49A95" w:rsidR="00BB6EF8" w:rsidRPr="00A51CA9" w:rsidRDefault="00BB6EF8" w:rsidP="00ED39BA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EA7C98">
        <w:rPr>
          <w:rFonts w:ascii="Arial" w:hAnsi="Arial" w:cs="Arial"/>
          <w:sz w:val="20"/>
          <w:szCs w:val="20"/>
        </w:rPr>
        <w:t xml:space="preserve">Ko bodo vse </w:t>
      </w:r>
      <w:r w:rsidR="007D14C3">
        <w:rPr>
          <w:rFonts w:ascii="Arial" w:hAnsi="Arial" w:cs="Arial"/>
          <w:sz w:val="20"/>
          <w:szCs w:val="20"/>
        </w:rPr>
        <w:t xml:space="preserve">prej navedene </w:t>
      </w:r>
      <w:r w:rsidRPr="00A51CA9">
        <w:rPr>
          <w:rFonts w:ascii="Arial" w:hAnsi="Arial" w:cs="Arial"/>
          <w:sz w:val="20"/>
          <w:szCs w:val="20"/>
        </w:rPr>
        <w:t xml:space="preserve">univerze </w:t>
      </w:r>
      <w:r w:rsidR="009B3B24">
        <w:rPr>
          <w:rFonts w:ascii="Arial" w:hAnsi="Arial" w:cs="Arial"/>
          <w:sz w:val="20"/>
          <w:szCs w:val="20"/>
        </w:rPr>
        <w:t>so</w:t>
      </w:r>
      <w:r w:rsidRPr="00A51CA9">
        <w:rPr>
          <w:rFonts w:ascii="Arial" w:hAnsi="Arial" w:cs="Arial"/>
          <w:sz w:val="20"/>
          <w:szCs w:val="20"/>
        </w:rPr>
        <w:t xml:space="preserve">ustanoviteljice uredile pravne zaveze znotraj </w:t>
      </w:r>
      <w:r w:rsidR="009B3B24">
        <w:rPr>
          <w:rFonts w:ascii="Arial" w:hAnsi="Arial" w:cs="Arial"/>
          <w:sz w:val="20"/>
          <w:szCs w:val="20"/>
        </w:rPr>
        <w:t xml:space="preserve">svojih </w:t>
      </w:r>
      <w:r w:rsidRPr="00A51CA9">
        <w:rPr>
          <w:rFonts w:ascii="Arial" w:hAnsi="Arial" w:cs="Arial"/>
          <w:sz w:val="20"/>
          <w:szCs w:val="20"/>
        </w:rPr>
        <w:t>držav, se bo Evropska univerza</w:t>
      </w:r>
      <w:r w:rsidR="004B697D">
        <w:rPr>
          <w:rFonts w:ascii="Arial" w:hAnsi="Arial" w:cs="Arial"/>
          <w:sz w:val="20"/>
          <w:szCs w:val="20"/>
        </w:rPr>
        <w:t xml:space="preserve"> </w:t>
      </w:r>
      <w:r w:rsidRPr="00A51CA9">
        <w:rPr>
          <w:rFonts w:ascii="Arial" w:hAnsi="Arial" w:cs="Arial"/>
          <w:sz w:val="20"/>
          <w:szCs w:val="20"/>
        </w:rPr>
        <w:t>EUTOPIA vpisala v sodni register s čimer bo pridobila status pravne osebe. Rektor Univerze v</w:t>
      </w:r>
      <w:r w:rsidR="004B697D">
        <w:rPr>
          <w:rFonts w:ascii="Arial" w:hAnsi="Arial" w:cs="Arial"/>
          <w:sz w:val="20"/>
          <w:szCs w:val="20"/>
        </w:rPr>
        <w:t xml:space="preserve"> </w:t>
      </w:r>
      <w:r w:rsidRPr="00A51CA9">
        <w:rPr>
          <w:rFonts w:ascii="Arial" w:hAnsi="Arial" w:cs="Arial"/>
          <w:sz w:val="20"/>
          <w:szCs w:val="20"/>
        </w:rPr>
        <w:t>Ljubljani, prof. dr. Gregor Majdič, je 29. septembra 2023 podpisal sporazum s pripisom, da je</w:t>
      </w:r>
      <w:r w:rsidR="004B697D">
        <w:rPr>
          <w:rFonts w:ascii="Arial" w:hAnsi="Arial" w:cs="Arial"/>
          <w:sz w:val="20"/>
          <w:szCs w:val="20"/>
        </w:rPr>
        <w:t xml:space="preserve"> </w:t>
      </w:r>
      <w:r w:rsidRPr="00A51CA9">
        <w:rPr>
          <w:rFonts w:ascii="Arial" w:hAnsi="Arial" w:cs="Arial"/>
          <w:sz w:val="20"/>
          <w:szCs w:val="20"/>
        </w:rPr>
        <w:t>potrebno v skladu s 4. členom Odloka o preoblikovanju Univerze v Ljubljani, pridobiti tudi soglasje</w:t>
      </w:r>
      <w:r w:rsidR="004B697D">
        <w:rPr>
          <w:rFonts w:ascii="Arial" w:hAnsi="Arial" w:cs="Arial"/>
          <w:sz w:val="20"/>
          <w:szCs w:val="20"/>
        </w:rPr>
        <w:t xml:space="preserve"> </w:t>
      </w:r>
      <w:r w:rsidRPr="00A51CA9">
        <w:rPr>
          <w:rFonts w:ascii="Arial" w:hAnsi="Arial" w:cs="Arial"/>
          <w:sz w:val="20"/>
          <w:szCs w:val="20"/>
        </w:rPr>
        <w:t>Upravnega odbora Univerze v Ljubljani.</w:t>
      </w:r>
    </w:p>
    <w:sectPr w:rsidR="00BB6EF8" w:rsidRPr="00A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7091D"/>
    <w:multiLevelType w:val="hybridMultilevel"/>
    <w:tmpl w:val="14CAFD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740427">
    <w:abstractNumId w:val="0"/>
  </w:num>
  <w:num w:numId="2" w16cid:durableId="1504474484">
    <w:abstractNumId w:val="6"/>
  </w:num>
  <w:num w:numId="3" w16cid:durableId="1612930382">
    <w:abstractNumId w:val="5"/>
  </w:num>
  <w:num w:numId="4" w16cid:durableId="1236163725">
    <w:abstractNumId w:val="7"/>
  </w:num>
  <w:num w:numId="5" w16cid:durableId="88623941">
    <w:abstractNumId w:val="8"/>
  </w:num>
  <w:num w:numId="6" w16cid:durableId="1492603346">
    <w:abstractNumId w:val="3"/>
  </w:num>
  <w:num w:numId="7" w16cid:durableId="112483890">
    <w:abstractNumId w:val="2"/>
  </w:num>
  <w:num w:numId="8" w16cid:durableId="1309746885">
    <w:abstractNumId w:val="4"/>
  </w:num>
  <w:num w:numId="9" w16cid:durableId="1221595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83"/>
    <w:rsid w:val="00005A3F"/>
    <w:rsid w:val="00051E6F"/>
    <w:rsid w:val="000736E1"/>
    <w:rsid w:val="000A0961"/>
    <w:rsid w:val="000B0CA9"/>
    <w:rsid w:val="000F298A"/>
    <w:rsid w:val="001340D9"/>
    <w:rsid w:val="0013636C"/>
    <w:rsid w:val="001805C9"/>
    <w:rsid w:val="001973E4"/>
    <w:rsid w:val="001A634E"/>
    <w:rsid w:val="001C60CE"/>
    <w:rsid w:val="001E68A8"/>
    <w:rsid w:val="00224629"/>
    <w:rsid w:val="0023396A"/>
    <w:rsid w:val="002D097F"/>
    <w:rsid w:val="002E10D3"/>
    <w:rsid w:val="00321A64"/>
    <w:rsid w:val="003363CE"/>
    <w:rsid w:val="003434FB"/>
    <w:rsid w:val="00360D44"/>
    <w:rsid w:val="003A28CC"/>
    <w:rsid w:val="003B2231"/>
    <w:rsid w:val="003C2E1A"/>
    <w:rsid w:val="00416E39"/>
    <w:rsid w:val="00422C8E"/>
    <w:rsid w:val="00424226"/>
    <w:rsid w:val="00433273"/>
    <w:rsid w:val="00451942"/>
    <w:rsid w:val="0046599E"/>
    <w:rsid w:val="0047231E"/>
    <w:rsid w:val="004A6722"/>
    <w:rsid w:val="004B697D"/>
    <w:rsid w:val="00502084"/>
    <w:rsid w:val="005134DC"/>
    <w:rsid w:val="00516316"/>
    <w:rsid w:val="005209E4"/>
    <w:rsid w:val="005258C1"/>
    <w:rsid w:val="005544EC"/>
    <w:rsid w:val="00566144"/>
    <w:rsid w:val="0056694B"/>
    <w:rsid w:val="0057022A"/>
    <w:rsid w:val="00597BDE"/>
    <w:rsid w:val="005A4CDC"/>
    <w:rsid w:val="005B6DC2"/>
    <w:rsid w:val="00612ADB"/>
    <w:rsid w:val="00612FBA"/>
    <w:rsid w:val="00620F16"/>
    <w:rsid w:val="00646ADA"/>
    <w:rsid w:val="00655D1B"/>
    <w:rsid w:val="00695B9F"/>
    <w:rsid w:val="00695EC3"/>
    <w:rsid w:val="006A16CF"/>
    <w:rsid w:val="006D2D32"/>
    <w:rsid w:val="006E4A55"/>
    <w:rsid w:val="006F42D9"/>
    <w:rsid w:val="00703F87"/>
    <w:rsid w:val="007820A7"/>
    <w:rsid w:val="00790AD3"/>
    <w:rsid w:val="007C3A4A"/>
    <w:rsid w:val="007C60C5"/>
    <w:rsid w:val="007D14C3"/>
    <w:rsid w:val="00825AC8"/>
    <w:rsid w:val="00844DA9"/>
    <w:rsid w:val="0087650A"/>
    <w:rsid w:val="008A47D4"/>
    <w:rsid w:val="008E4C80"/>
    <w:rsid w:val="008F210F"/>
    <w:rsid w:val="00901F9E"/>
    <w:rsid w:val="009470C7"/>
    <w:rsid w:val="00960FB9"/>
    <w:rsid w:val="00990888"/>
    <w:rsid w:val="009B3B24"/>
    <w:rsid w:val="009C604E"/>
    <w:rsid w:val="00A1104B"/>
    <w:rsid w:val="00A51CA9"/>
    <w:rsid w:val="00A5474D"/>
    <w:rsid w:val="00A5758A"/>
    <w:rsid w:val="00A76A3E"/>
    <w:rsid w:val="00A849AE"/>
    <w:rsid w:val="00AA7DD3"/>
    <w:rsid w:val="00AE1F83"/>
    <w:rsid w:val="00AE7922"/>
    <w:rsid w:val="00AF283B"/>
    <w:rsid w:val="00AF5658"/>
    <w:rsid w:val="00B20690"/>
    <w:rsid w:val="00B32223"/>
    <w:rsid w:val="00B379A0"/>
    <w:rsid w:val="00B50DDB"/>
    <w:rsid w:val="00B627D2"/>
    <w:rsid w:val="00B66993"/>
    <w:rsid w:val="00BA56E6"/>
    <w:rsid w:val="00BB6EF8"/>
    <w:rsid w:val="00BB75A0"/>
    <w:rsid w:val="00BC1349"/>
    <w:rsid w:val="00BC1355"/>
    <w:rsid w:val="00BD0071"/>
    <w:rsid w:val="00BF1B51"/>
    <w:rsid w:val="00BF7072"/>
    <w:rsid w:val="00C13FB5"/>
    <w:rsid w:val="00C217FE"/>
    <w:rsid w:val="00C24B2C"/>
    <w:rsid w:val="00C4396E"/>
    <w:rsid w:val="00C44C5F"/>
    <w:rsid w:val="00C5543E"/>
    <w:rsid w:val="00C92EFB"/>
    <w:rsid w:val="00CD55B2"/>
    <w:rsid w:val="00CE75B6"/>
    <w:rsid w:val="00D10410"/>
    <w:rsid w:val="00D23FD3"/>
    <w:rsid w:val="00D3040A"/>
    <w:rsid w:val="00D437DD"/>
    <w:rsid w:val="00DA63DF"/>
    <w:rsid w:val="00DE25BC"/>
    <w:rsid w:val="00DF0ACC"/>
    <w:rsid w:val="00E04342"/>
    <w:rsid w:val="00E34876"/>
    <w:rsid w:val="00E5082B"/>
    <w:rsid w:val="00EA4C8F"/>
    <w:rsid w:val="00EA7C98"/>
    <w:rsid w:val="00EC7A7C"/>
    <w:rsid w:val="00ED029E"/>
    <w:rsid w:val="00ED39BA"/>
    <w:rsid w:val="00F02B9D"/>
    <w:rsid w:val="00F07727"/>
    <w:rsid w:val="00F651DC"/>
    <w:rsid w:val="00F901C2"/>
    <w:rsid w:val="00F9321D"/>
    <w:rsid w:val="00FA6305"/>
    <w:rsid w:val="00FA7642"/>
    <w:rsid w:val="00FB397B"/>
    <w:rsid w:val="00FC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1CB6"/>
  <w15:docId w15:val="{15E26531-9317-4318-8E69-49F830CB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6614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C60CE"/>
    <w:pPr>
      <w:ind w:left="720"/>
      <w:contextualSpacing/>
    </w:pPr>
  </w:style>
  <w:style w:type="paragraph" w:styleId="Brezrazmikov">
    <w:name w:val="No Spacing"/>
    <w:uiPriority w:val="1"/>
    <w:qFormat/>
    <w:rsid w:val="00BB75A0"/>
    <w:pPr>
      <w:spacing w:after="0" w:line="240" w:lineRule="auto"/>
    </w:pPr>
  </w:style>
  <w:style w:type="paragraph" w:styleId="Revizija">
    <w:name w:val="Revision"/>
    <w:hidden/>
    <w:uiPriority w:val="99"/>
    <w:semiHidden/>
    <w:rsid w:val="00C92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p.gs@gov.si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p.mvzi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hiv xmlns="6bada95d-2432-4acd-86e1-202541b00692">false</Arhiv>
    <Vrsta_x0020_dokumenta xmlns="6a0b1edf-5bea-4a8c-8c81-cb920090761d">Vladna gradiva</Vrsta_x0020_dokumenta>
    <STATUS xmlns="6a0b1edf-5bea-4a8c-8c81-cb920090761d">VELJAVEN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9F0226A017248A3BC6B07D0688059" ma:contentTypeVersion="8" ma:contentTypeDescription="Ustvari nov dokument." ma:contentTypeScope="" ma:versionID="ece7455981197db0312c3b3bf9176865">
  <xsd:schema xmlns:xsd="http://www.w3.org/2001/XMLSchema" xmlns:xs="http://www.w3.org/2001/XMLSchema" xmlns:p="http://schemas.microsoft.com/office/2006/metadata/properties" xmlns:ns2="6bada95d-2432-4acd-86e1-202541b00692" xmlns:ns3="6a0b1edf-5bea-4a8c-8c81-cb920090761d" targetNamespace="http://schemas.microsoft.com/office/2006/metadata/properties" ma:root="true" ma:fieldsID="e4ed8f817c714e3cf1727eac82a34abe" ns2:_="" ns3:_="">
    <xsd:import namespace="6bada95d-2432-4acd-86e1-202541b00692"/>
    <xsd:import namespace="6a0b1edf-5bea-4a8c-8c81-cb92009076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Arhiv" minOccurs="0"/>
                <xsd:element ref="ns3:STATUS" minOccurs="0"/>
                <xsd:element ref="ns3:Vrsta_x0020_dokumen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da95d-2432-4acd-86e1-202541b006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" ma:index="9" nillable="true" ma:displayName="Arhiv" ma:default="0" ma:internalName="Arh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b1edf-5bea-4a8c-8c81-cb920090761d" elementFormDefault="qualified">
    <xsd:import namespace="http://schemas.microsoft.com/office/2006/documentManagement/types"/>
    <xsd:import namespace="http://schemas.microsoft.com/office/infopath/2007/PartnerControls"/>
    <xsd:element name="STATUS" ma:index="10" nillable="true" ma:displayName="STATUS" ma:format="Dropdown" ma:internalName="STATUS">
      <xsd:simpleType>
        <xsd:restriction base="dms:Choice">
          <xsd:enumeration value="VELJAVEN"/>
          <xsd:enumeration value="ARHIVSKI"/>
          <xsd:enumeration value="V PRIPRAVI"/>
        </xsd:restriction>
      </xsd:simpleType>
    </xsd:element>
    <xsd:element name="Vrsta_x0020_dokumenta" ma:index="11" nillable="true" ma:displayName="Vrsta dokumenta" ma:format="Dropdown" ma:internalName="Vrsta_x0020_dokumenta">
      <xsd:simpleType>
        <xsd:restriction base="dms:Choice">
          <xsd:enumeration value="Predloga"/>
          <xsd:enumeration value="Logotip"/>
          <xsd:enumeration value="Vladna gradiva"/>
          <xsd:enumeration value="Ostal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7DDBC-392F-4C1F-BEE7-1C58AD2927B8}">
  <ds:schemaRefs>
    <ds:schemaRef ds:uri="http://schemas.microsoft.com/office/2006/metadata/properties"/>
    <ds:schemaRef ds:uri="http://schemas.microsoft.com/office/infopath/2007/PartnerControls"/>
    <ds:schemaRef ds:uri="6bada95d-2432-4acd-86e1-202541b00692"/>
    <ds:schemaRef ds:uri="6a0b1edf-5bea-4a8c-8c81-cb920090761d"/>
  </ds:schemaRefs>
</ds:datastoreItem>
</file>

<file path=customXml/itemProps2.xml><?xml version="1.0" encoding="utf-8"?>
<ds:datastoreItem xmlns:ds="http://schemas.openxmlformats.org/officeDocument/2006/customXml" ds:itemID="{99EB02BE-C481-45FD-8D1C-A3C6C7725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C79AD-5392-4976-A1C4-45F570DF9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da95d-2432-4acd-86e1-202541b00692"/>
    <ds:schemaRef ds:uri="6a0b1edf-5bea-4a8c-8c81-cb9200907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št. 1 (ki je vezana na navodila št. 10) – z glavo MVZI</vt:lpstr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št. 1 (ki je vezana na navodila št. 10) – z glavo MVZI</dc:title>
  <dc:subject/>
  <dc:creator>Sara Pernuš</dc:creator>
  <cp:keywords/>
  <dc:description/>
  <cp:lastModifiedBy>Duša Marjetič</cp:lastModifiedBy>
  <cp:revision>69</cp:revision>
  <dcterms:created xsi:type="dcterms:W3CDTF">2024-09-12T09:05:00Z</dcterms:created>
  <dcterms:modified xsi:type="dcterms:W3CDTF">2024-11-13T07:16:00Z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0x0101006399F0226A017248A3BC6B07D0688059</vt:lpwstr>
  </property>
</Properties>
</file>