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E012" w14:textId="77777777" w:rsidR="006A3E2B" w:rsidRPr="005A3CD7" w:rsidRDefault="006A3E2B" w:rsidP="006A3E2B">
      <w:pPr>
        <w:spacing w:before="40"/>
        <w:ind w:right="-3"/>
        <w:rPr>
          <w:rFonts w:ascii="Arial" w:hAnsi="Arial" w:cs="Arial"/>
          <w:sz w:val="20"/>
          <w:szCs w:val="20"/>
        </w:rPr>
      </w:pPr>
      <w:r w:rsidRPr="005A3CD7">
        <w:rPr>
          <w:rFonts w:ascii="Arial" w:hAnsi="Arial" w:cs="Arial"/>
          <w:color w:val="000000"/>
          <w:sz w:val="20"/>
          <w:szCs w:val="20"/>
          <w:lang w:eastAsia="sl-SI"/>
        </w:rPr>
        <w:drawing>
          <wp:anchor distT="0" distB="0" distL="114300" distR="114300" simplePos="0" relativeHeight="251660288" behindDoc="0" locked="0" layoutInCell="1" allowOverlap="1" wp14:anchorId="13785E1A" wp14:editId="0BBEC299">
            <wp:simplePos x="0" y="0"/>
            <wp:positionH relativeFrom="column">
              <wp:posOffset>-205740</wp:posOffset>
            </wp:positionH>
            <wp:positionV relativeFrom="paragraph">
              <wp:posOffset>-169545</wp:posOffset>
            </wp:positionV>
            <wp:extent cx="3121660" cy="376555"/>
            <wp:effectExtent l="0" t="0" r="2540" b="444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37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3F0D91" w14:textId="77777777" w:rsidR="006A3E2B" w:rsidRPr="005A3CD7" w:rsidRDefault="006A3E2B" w:rsidP="006A3E2B">
      <w:pPr>
        <w:spacing w:before="60"/>
        <w:ind w:right="-3"/>
        <w:rPr>
          <w:rFonts w:ascii="Arial" w:hAnsi="Arial" w:cs="Arial"/>
          <w:sz w:val="20"/>
          <w:szCs w:val="20"/>
        </w:rPr>
      </w:pPr>
    </w:p>
    <w:p w14:paraId="25F87DC5" w14:textId="77777777" w:rsidR="006A3E2B" w:rsidRPr="005A3CD7" w:rsidRDefault="006A3E2B" w:rsidP="006A3E2B">
      <w:pPr>
        <w:spacing w:before="60"/>
        <w:ind w:right="-3"/>
        <w:rPr>
          <w:rFonts w:ascii="Arial" w:hAnsi="Arial" w:cs="Arial"/>
          <w:sz w:val="20"/>
          <w:szCs w:val="20"/>
        </w:rPr>
      </w:pPr>
      <w:r w:rsidRPr="005A3CD7">
        <w:rPr>
          <w:rFonts w:ascii="Arial" w:hAnsi="Arial" w:cs="Arial"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3C0F12" wp14:editId="0B1AF4D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222A08" w14:textId="77777777" w:rsidR="00CF360B" w:rsidRPr="00D61ACE" w:rsidRDefault="00CF360B" w:rsidP="006A3E2B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C0F12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" stroked="f">
                <v:textbox inset="0,0,0,0">
                  <w:txbxContent>
                    <w:p w14:paraId="27222A08" w14:textId="77777777" w:rsidR="00CF360B" w:rsidRPr="00D61ACE" w:rsidRDefault="00CF360B" w:rsidP="006A3E2B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FDBF6A" w14:textId="77777777" w:rsidR="006A3E2B" w:rsidRPr="005A3CD7" w:rsidRDefault="006A3E2B" w:rsidP="006A3E2B">
      <w:pPr>
        <w:pStyle w:val="Glava"/>
        <w:tabs>
          <w:tab w:val="clear" w:pos="4320"/>
          <w:tab w:val="clear" w:pos="8640"/>
          <w:tab w:val="left" w:pos="5112"/>
        </w:tabs>
        <w:spacing w:before="120" w:line="240" w:lineRule="exact"/>
        <w:rPr>
          <w:rFonts w:cs="Arial"/>
          <w:szCs w:val="20"/>
          <w:lang w:val="sl-SI"/>
        </w:rPr>
      </w:pPr>
      <w:r w:rsidRPr="005A3CD7">
        <w:rPr>
          <w:rFonts w:cs="Arial"/>
          <w:color w:val="000000"/>
          <w:szCs w:val="20"/>
          <w:lang w:val="sl-SI" w:eastAsia="ar-SA"/>
        </w:rPr>
        <w:t xml:space="preserve">     </w:t>
      </w:r>
      <w:r w:rsidRPr="005A3CD7">
        <w:rPr>
          <w:rFonts w:cs="Arial"/>
          <w:szCs w:val="20"/>
          <w:lang w:val="sl-SI"/>
        </w:rPr>
        <w:t>Langusova ulica 4, 1535 Ljubljana</w:t>
      </w:r>
      <w:r w:rsidRPr="005A3CD7">
        <w:rPr>
          <w:rFonts w:cs="Arial"/>
          <w:szCs w:val="20"/>
          <w:lang w:val="sl-SI"/>
        </w:rPr>
        <w:tab/>
        <w:t>T: 01 478 80 00</w:t>
      </w:r>
    </w:p>
    <w:p w14:paraId="49A51EF9" w14:textId="77777777" w:rsidR="006A3E2B" w:rsidRPr="005A3CD7" w:rsidRDefault="006A3E2B" w:rsidP="006A3E2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5A3CD7">
        <w:rPr>
          <w:rFonts w:cs="Arial"/>
          <w:szCs w:val="20"/>
          <w:lang w:val="sl-SI"/>
        </w:rPr>
        <w:tab/>
        <w:t xml:space="preserve">F: 01 478 81 39 </w:t>
      </w:r>
    </w:p>
    <w:p w14:paraId="5EA20BA6" w14:textId="77777777" w:rsidR="006A3E2B" w:rsidRPr="005A3CD7" w:rsidRDefault="006A3E2B" w:rsidP="006A3E2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5A3CD7">
        <w:rPr>
          <w:rFonts w:cs="Arial"/>
          <w:szCs w:val="20"/>
          <w:lang w:val="sl-SI"/>
        </w:rPr>
        <w:tab/>
        <w:t>E: gp.mzi@gov.si</w:t>
      </w:r>
    </w:p>
    <w:p w14:paraId="09A5CD4E" w14:textId="77777777" w:rsidR="006A3E2B" w:rsidRPr="005A3CD7" w:rsidRDefault="006A3E2B" w:rsidP="006A3E2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  <w:r w:rsidRPr="005A3CD7">
        <w:rPr>
          <w:rFonts w:cs="Arial"/>
          <w:szCs w:val="20"/>
          <w:lang w:val="sl-SI"/>
        </w:rPr>
        <w:tab/>
      </w:r>
      <w:hyperlink r:id="rId8" w:history="1">
        <w:r w:rsidRPr="005A3CD7">
          <w:rPr>
            <w:rStyle w:val="Hiperpovezava"/>
            <w:szCs w:val="20"/>
            <w:lang w:val="sl-SI"/>
          </w:rPr>
          <w:t>www.mzi.gov.si</w:t>
        </w:r>
      </w:hyperlink>
    </w:p>
    <w:p w14:paraId="38C1CF53" w14:textId="77777777" w:rsidR="006A3E2B" w:rsidRDefault="006A3E2B" w:rsidP="006A3E2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</w:p>
    <w:p w14:paraId="7E3B8082" w14:textId="77777777" w:rsidR="006A3E2B" w:rsidRPr="005A3CD7" w:rsidRDefault="006A3E2B" w:rsidP="006A3E2B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cs="Arial"/>
          <w:szCs w:val="20"/>
          <w:lang w:val="sl-SI"/>
        </w:rPr>
      </w:pPr>
    </w:p>
    <w:tbl>
      <w:tblPr>
        <w:tblW w:w="91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4648"/>
        <w:gridCol w:w="796"/>
        <w:gridCol w:w="2271"/>
      </w:tblGrid>
      <w:tr w:rsidR="006A3E2B" w:rsidRPr="005A3CD7" w14:paraId="5440A73D" w14:textId="77777777" w:rsidTr="00CF360B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BBE07DE" w14:textId="2A2DE225" w:rsidR="006A3E2B" w:rsidRPr="005A3CD7" w:rsidRDefault="006A3E2B" w:rsidP="005D4F67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 xml:space="preserve">Številka: </w:t>
            </w:r>
            <w:r w:rsidR="00B201D2">
              <w:rPr>
                <w:sz w:val="20"/>
                <w:szCs w:val="20"/>
              </w:rPr>
              <w:t>410-8/2025</w:t>
            </w:r>
            <w:r w:rsidR="00D40C9B">
              <w:rPr>
                <w:sz w:val="20"/>
                <w:szCs w:val="20"/>
              </w:rPr>
              <w:t>/24</w:t>
            </w:r>
          </w:p>
        </w:tc>
      </w:tr>
      <w:tr w:rsidR="006A3E2B" w:rsidRPr="005A3CD7" w14:paraId="32BD804D" w14:textId="77777777" w:rsidTr="00CF360B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4F5CB5F6" w14:textId="61A31378" w:rsidR="006A3E2B" w:rsidRPr="005A3CD7" w:rsidRDefault="006A3E2B" w:rsidP="005D4F67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Ljubljana,</w:t>
            </w:r>
            <w:r w:rsidR="00707167">
              <w:rPr>
                <w:sz w:val="20"/>
                <w:szCs w:val="20"/>
              </w:rPr>
              <w:t xml:space="preserve"> </w:t>
            </w:r>
            <w:r w:rsidR="00D40C9B">
              <w:rPr>
                <w:sz w:val="20"/>
                <w:szCs w:val="20"/>
              </w:rPr>
              <w:t>26</w:t>
            </w:r>
            <w:r w:rsidR="00F44884">
              <w:rPr>
                <w:sz w:val="20"/>
                <w:szCs w:val="20"/>
              </w:rPr>
              <w:t>.05.2025</w:t>
            </w:r>
          </w:p>
        </w:tc>
      </w:tr>
      <w:tr w:rsidR="006A3E2B" w:rsidRPr="005A3CD7" w14:paraId="2F3563F8" w14:textId="77777777" w:rsidTr="00CF360B">
        <w:trPr>
          <w:gridAfter w:val="2"/>
          <w:wAfter w:w="3067" w:type="dxa"/>
        </w:trPr>
        <w:tc>
          <w:tcPr>
            <w:tcW w:w="6096" w:type="dxa"/>
            <w:gridSpan w:val="2"/>
          </w:tcPr>
          <w:p w14:paraId="2AEFCCF6" w14:textId="77777777" w:rsidR="006A3E2B" w:rsidRPr="005A3CD7" w:rsidRDefault="006A3E2B" w:rsidP="00CF360B">
            <w:pPr>
              <w:spacing w:line="260" w:lineRule="exact"/>
              <w:rPr>
                <w:rFonts w:ascii="Arial" w:hAnsi="Arial" w:cs="Arial"/>
                <w:color w:val="002060"/>
                <w:sz w:val="20"/>
                <w:szCs w:val="20"/>
              </w:rPr>
            </w:pPr>
          </w:p>
          <w:p w14:paraId="4C96BBAE" w14:textId="77777777" w:rsidR="006A3E2B" w:rsidRPr="005A3CD7" w:rsidRDefault="006A3E2B" w:rsidP="00CF360B">
            <w:pPr>
              <w:spacing w:line="260" w:lineRule="exact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5A3CD7">
              <w:rPr>
                <w:rFonts w:ascii="Arial" w:hAnsi="Arial" w:cs="Arial"/>
                <w:b/>
                <w:color w:val="002060"/>
                <w:sz w:val="20"/>
                <w:szCs w:val="20"/>
              </w:rPr>
              <w:t>GENERALNI SEKRETARIAT VLADE REPUBLIKE SLOVENIJE</w:t>
            </w:r>
          </w:p>
          <w:p w14:paraId="4DAAD289" w14:textId="77777777" w:rsidR="006A3E2B" w:rsidRPr="005A3CD7" w:rsidRDefault="00000000" w:rsidP="00CF360B">
            <w:pPr>
              <w:spacing w:line="260" w:lineRule="exact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hyperlink r:id="rId9" w:history="1">
              <w:r w:rsidR="006A3E2B" w:rsidRPr="005A3CD7">
                <w:rPr>
                  <w:rStyle w:val="Hiperpovezava"/>
                  <w:b/>
                  <w:color w:val="002060"/>
                  <w:sz w:val="20"/>
                  <w:szCs w:val="20"/>
                </w:rPr>
                <w:t>Gp.gs@gov.si</w:t>
              </w:r>
            </w:hyperlink>
          </w:p>
          <w:p w14:paraId="2D5BA0D2" w14:textId="77777777" w:rsidR="006A3E2B" w:rsidRPr="005A3CD7" w:rsidRDefault="006A3E2B" w:rsidP="00CF360B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E2B" w:rsidRPr="005A3CD7" w14:paraId="33C2C1E6" w14:textId="77777777" w:rsidTr="00CF360B">
        <w:tc>
          <w:tcPr>
            <w:tcW w:w="9163" w:type="dxa"/>
            <w:gridSpan w:val="4"/>
          </w:tcPr>
          <w:p w14:paraId="2E48E61B" w14:textId="77777777" w:rsidR="006A3E2B" w:rsidRDefault="006A3E2B" w:rsidP="00CF360B">
            <w:pPr>
              <w:pStyle w:val="Naslovpredpisa"/>
              <w:spacing w:before="0" w:after="0" w:line="260" w:lineRule="exact"/>
              <w:jc w:val="both"/>
              <w:rPr>
                <w:sz w:val="20"/>
                <w:szCs w:val="20"/>
              </w:rPr>
            </w:pPr>
          </w:p>
          <w:p w14:paraId="3DB05873" w14:textId="34ABCBA0" w:rsidR="001863C5" w:rsidRPr="001863C5" w:rsidRDefault="006A3E2B" w:rsidP="00EE1B56">
            <w:pPr>
              <w:pStyle w:val="podpisi"/>
              <w:jc w:val="both"/>
              <w:rPr>
                <w:rFonts w:cs="Arial"/>
                <w:b/>
                <w:szCs w:val="20"/>
                <w:lang w:val="sl-SI"/>
              </w:rPr>
            </w:pPr>
            <w:r w:rsidRPr="001863C5">
              <w:rPr>
                <w:rFonts w:cs="Arial"/>
                <w:b/>
                <w:szCs w:val="20"/>
                <w:lang w:val="sl-SI"/>
              </w:rPr>
              <w:t xml:space="preserve">ZADEVA: </w:t>
            </w:r>
            <w:r w:rsidR="00800A84" w:rsidRPr="00800A84">
              <w:rPr>
                <w:rFonts w:cs="Arial"/>
                <w:b/>
                <w:szCs w:val="20"/>
                <w:lang w:val="sl-SI"/>
              </w:rPr>
              <w:t xml:space="preserve">Uvrstitev projekta </w:t>
            </w:r>
            <w:r w:rsidR="00800A84">
              <w:rPr>
                <w:rFonts w:cs="Arial"/>
                <w:b/>
                <w:szCs w:val="20"/>
                <w:lang w:val="sl-SI"/>
              </w:rPr>
              <w:t>»</w:t>
            </w:r>
            <w:r w:rsidR="005D4F67">
              <w:rPr>
                <w:rFonts w:cs="Arial"/>
                <w:b/>
                <w:szCs w:val="20"/>
                <w:lang w:val="sl-SI"/>
              </w:rPr>
              <w:t>2430-25</w:t>
            </w:r>
            <w:r w:rsidR="00FB68E4">
              <w:rPr>
                <w:rFonts w:cs="Arial"/>
                <w:b/>
                <w:szCs w:val="20"/>
                <w:lang w:val="sl-SI"/>
              </w:rPr>
              <w:t>-00</w:t>
            </w:r>
            <w:r w:rsidR="005D4F67">
              <w:rPr>
                <w:rFonts w:cs="Arial"/>
                <w:b/>
                <w:szCs w:val="20"/>
                <w:lang w:val="sl-SI"/>
              </w:rPr>
              <w:t>03</w:t>
            </w:r>
            <w:r w:rsidR="00FB68E4">
              <w:rPr>
                <w:rFonts w:cs="Arial"/>
                <w:b/>
                <w:szCs w:val="20"/>
                <w:lang w:val="sl-SI"/>
              </w:rPr>
              <w:t xml:space="preserve"> Tehnična pomoč za i</w:t>
            </w:r>
            <w:r w:rsidR="005D4F67">
              <w:rPr>
                <w:rFonts w:cs="Arial"/>
                <w:b/>
                <w:szCs w:val="20"/>
                <w:lang w:val="sl-SI"/>
              </w:rPr>
              <w:t>mplementacijo projektov IPE 2025-2027</w:t>
            </w:r>
            <w:r w:rsidR="00800A84">
              <w:rPr>
                <w:rFonts w:cs="Arial"/>
                <w:b/>
                <w:szCs w:val="20"/>
                <w:lang w:val="sl-SI"/>
              </w:rPr>
              <w:t>«</w:t>
            </w:r>
            <w:r w:rsidR="00800A84" w:rsidRPr="00800A84">
              <w:rPr>
                <w:rFonts w:cs="Arial"/>
                <w:b/>
                <w:szCs w:val="20"/>
                <w:lang w:val="sl-SI"/>
              </w:rPr>
              <w:t xml:space="preserve"> v veljavn</w:t>
            </w:r>
            <w:r w:rsidR="00FB68E4">
              <w:rPr>
                <w:rFonts w:cs="Arial"/>
                <w:b/>
                <w:szCs w:val="20"/>
                <w:lang w:val="sl-SI"/>
              </w:rPr>
              <w:t>i Načrt razvojnih programov</w:t>
            </w:r>
            <w:r w:rsidR="00474BD3">
              <w:rPr>
                <w:rFonts w:cs="Arial"/>
                <w:b/>
                <w:szCs w:val="20"/>
                <w:lang w:val="sl-SI"/>
              </w:rPr>
              <w:t xml:space="preserve"> 2025 - 2028</w:t>
            </w:r>
            <w:r w:rsidR="00FB68E4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="00810FEA">
              <w:rPr>
                <w:rFonts w:cs="Arial"/>
                <w:b/>
                <w:szCs w:val="20"/>
                <w:lang w:val="sl-SI"/>
              </w:rPr>
              <w:t>– predlog za obravnavo</w:t>
            </w:r>
          </w:p>
          <w:p w14:paraId="313E07EC" w14:textId="77777777" w:rsidR="006A3E2B" w:rsidRPr="005A3CD7" w:rsidRDefault="006A3E2B" w:rsidP="00EE1B56">
            <w:pPr>
              <w:pStyle w:val="podpisi"/>
              <w:jc w:val="both"/>
              <w:rPr>
                <w:szCs w:val="20"/>
              </w:rPr>
            </w:pPr>
          </w:p>
        </w:tc>
      </w:tr>
      <w:tr w:rsidR="006A3E2B" w:rsidRPr="005A3CD7" w14:paraId="6D992046" w14:textId="77777777" w:rsidTr="00CF360B">
        <w:tc>
          <w:tcPr>
            <w:tcW w:w="9163" w:type="dxa"/>
            <w:gridSpan w:val="4"/>
          </w:tcPr>
          <w:p w14:paraId="5195743D" w14:textId="77777777" w:rsidR="006A3E2B" w:rsidRPr="005A3CD7" w:rsidRDefault="006A3E2B" w:rsidP="00CF360B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1. Predlog sklepov vlade:</w:t>
            </w:r>
          </w:p>
        </w:tc>
      </w:tr>
      <w:tr w:rsidR="006A3E2B" w:rsidRPr="005A3CD7" w14:paraId="3121F94D" w14:textId="77777777" w:rsidTr="00CF360B">
        <w:tc>
          <w:tcPr>
            <w:tcW w:w="9163" w:type="dxa"/>
            <w:gridSpan w:val="4"/>
          </w:tcPr>
          <w:p w14:paraId="26780EA6" w14:textId="77777777" w:rsidR="006A3E2B" w:rsidRPr="005A3CD7" w:rsidRDefault="006A3E2B" w:rsidP="00CF360B">
            <w:pPr>
              <w:widowControl w:val="0"/>
              <w:spacing w:line="240" w:lineRule="atLeas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D6BB76" w14:textId="77777777" w:rsidR="006A3E2B" w:rsidRPr="00430F28" w:rsidRDefault="00800A84" w:rsidP="00430F2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iCs/>
                <w:sz w:val="20"/>
                <w:szCs w:val="20"/>
                <w:lang w:eastAsia="x-none"/>
              </w:rPr>
            </w:pPr>
            <w:r w:rsidRPr="007825F5">
              <w:rPr>
                <w:rFonts w:ascii="Arial" w:hAnsi="Arial" w:cs="Arial"/>
                <w:iCs/>
                <w:sz w:val="20"/>
                <w:szCs w:val="20"/>
                <w:lang w:eastAsia="x-none"/>
              </w:rPr>
              <w:t>Na podlagi petega odstavka 31. člena Zakona o izvrševanju proračunov Republike Slovenije za leti 20</w:t>
            </w:r>
            <w:r w:rsidR="005D4F67">
              <w:rPr>
                <w:rFonts w:ascii="Arial" w:hAnsi="Arial" w:cs="Arial"/>
                <w:iCs/>
                <w:sz w:val="20"/>
                <w:szCs w:val="20"/>
                <w:lang w:eastAsia="x-none"/>
              </w:rPr>
              <w:t>25</w:t>
            </w:r>
            <w:r w:rsidRPr="007825F5">
              <w:rPr>
                <w:rFonts w:ascii="Arial" w:hAnsi="Arial" w:cs="Arial"/>
                <w:iCs/>
                <w:sz w:val="20"/>
                <w:szCs w:val="20"/>
                <w:lang w:eastAsia="x-none"/>
              </w:rPr>
              <w:t xml:space="preserve"> in 20</w:t>
            </w:r>
            <w:r w:rsidR="005D4F67">
              <w:rPr>
                <w:rFonts w:ascii="Arial" w:hAnsi="Arial" w:cs="Arial"/>
                <w:iCs/>
                <w:sz w:val="20"/>
                <w:szCs w:val="20"/>
                <w:lang w:eastAsia="x-none"/>
              </w:rPr>
              <w:t>26</w:t>
            </w:r>
            <w:r w:rsidRPr="007825F5">
              <w:rPr>
                <w:rFonts w:ascii="Arial" w:hAnsi="Arial" w:cs="Arial"/>
                <w:iCs/>
                <w:sz w:val="20"/>
                <w:szCs w:val="20"/>
                <w:lang w:eastAsia="x-none"/>
              </w:rPr>
              <w:t xml:space="preserve"> (Uradni list RS, št. </w:t>
            </w:r>
            <w:r w:rsidR="005D4F67">
              <w:rPr>
                <w:rFonts w:ascii="Arial" w:hAnsi="Arial" w:cs="Arial"/>
                <w:iCs/>
                <w:sz w:val="20"/>
                <w:szCs w:val="20"/>
                <w:lang w:eastAsia="x-none"/>
              </w:rPr>
              <w:t>104/24</w:t>
            </w:r>
            <w:r w:rsidRPr="007825F5">
              <w:rPr>
                <w:rFonts w:ascii="Arial" w:hAnsi="Arial" w:cs="Arial"/>
                <w:iCs/>
                <w:sz w:val="20"/>
                <w:szCs w:val="20"/>
                <w:lang w:eastAsia="x-none"/>
              </w:rPr>
              <w:t xml:space="preserve">) </w:t>
            </w:r>
            <w:r w:rsidR="005D4F6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je Vlada R</w:t>
            </w:r>
            <w:r w:rsidR="006A3E2B" w:rsidRPr="00A7104B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epublike Slovenije na … dne … pod točko … sprejela naslednji</w:t>
            </w:r>
          </w:p>
          <w:p w14:paraId="56E290CE" w14:textId="77777777" w:rsidR="001863C5" w:rsidRDefault="001863C5" w:rsidP="00CF360B">
            <w:pPr>
              <w:spacing w:line="240" w:lineRule="atLeast"/>
              <w:ind w:right="311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4CDA211A" w14:textId="77777777" w:rsidR="00800A84" w:rsidRDefault="00800A84" w:rsidP="00CF360B">
            <w:pPr>
              <w:spacing w:line="240" w:lineRule="atLeast"/>
              <w:ind w:right="311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6734BC5B" w14:textId="77777777" w:rsidR="006A3E2B" w:rsidRPr="005A3CD7" w:rsidRDefault="006A3E2B" w:rsidP="00CF360B">
            <w:pPr>
              <w:spacing w:line="240" w:lineRule="atLeast"/>
              <w:ind w:right="311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5A3CD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SKLEP:</w:t>
            </w:r>
          </w:p>
          <w:p w14:paraId="6D2AEE0F" w14:textId="77777777" w:rsidR="001863C5" w:rsidRDefault="001863C5" w:rsidP="001863C5">
            <w:pPr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  <w:p w14:paraId="22FBB115" w14:textId="77777777" w:rsidR="00800A84" w:rsidRPr="00FB68E4" w:rsidRDefault="001863C5" w:rsidP="00800A84">
            <w:pPr>
              <w:pStyle w:val="podpisi"/>
              <w:spacing w:line="276" w:lineRule="auto"/>
              <w:ind w:right="311"/>
              <w:jc w:val="both"/>
              <w:rPr>
                <w:rFonts w:cs="Arial"/>
                <w:iCs/>
                <w:szCs w:val="20"/>
                <w:lang w:val="sl-SI" w:eastAsia="x-none"/>
              </w:rPr>
            </w:pPr>
            <w:r w:rsidRPr="00800A84">
              <w:rPr>
                <w:rFonts w:cs="Arial"/>
                <w:snapToGrid w:val="0"/>
                <w:color w:val="000000"/>
                <w:szCs w:val="20"/>
                <w:lang w:val="sl-SI"/>
              </w:rPr>
              <w:t>Vlada Republike Slovenije je sprejela</w:t>
            </w:r>
            <w:r w:rsidR="00800A84" w:rsidRPr="00800A84">
              <w:rPr>
                <w:rFonts w:cs="Arial"/>
                <w:snapToGrid w:val="0"/>
                <w:color w:val="000000"/>
                <w:szCs w:val="20"/>
                <w:lang w:val="sl-SI"/>
              </w:rPr>
              <w:t xml:space="preserve">, da se </w:t>
            </w:r>
            <w:r w:rsidR="00800A84" w:rsidRPr="00800A84">
              <w:rPr>
                <w:rFonts w:cs="Arial"/>
                <w:iCs/>
                <w:szCs w:val="20"/>
                <w:lang w:val="sl-SI" w:eastAsia="x-none"/>
              </w:rPr>
              <w:t xml:space="preserve">projekt št. </w:t>
            </w:r>
            <w:r w:rsidR="005D4F67">
              <w:rPr>
                <w:rFonts w:cs="Arial"/>
                <w:iCs/>
                <w:szCs w:val="20"/>
                <w:lang w:val="sl-SI" w:eastAsia="x-none"/>
              </w:rPr>
              <w:t>2430-25</w:t>
            </w:r>
            <w:r w:rsidR="00FB68E4">
              <w:rPr>
                <w:rFonts w:cs="Arial"/>
                <w:iCs/>
                <w:szCs w:val="20"/>
                <w:lang w:val="sl-SI" w:eastAsia="x-none"/>
              </w:rPr>
              <w:t>-00</w:t>
            </w:r>
            <w:r w:rsidR="005D4F67">
              <w:rPr>
                <w:rFonts w:cs="Arial"/>
                <w:iCs/>
                <w:szCs w:val="20"/>
                <w:lang w:val="sl-SI" w:eastAsia="x-none"/>
              </w:rPr>
              <w:t>03</w:t>
            </w:r>
            <w:r w:rsidR="002C3CD8">
              <w:rPr>
                <w:rFonts w:cs="Arial"/>
                <w:iCs/>
                <w:szCs w:val="20"/>
                <w:lang w:val="sl-SI" w:eastAsia="x-none"/>
              </w:rPr>
              <w:t xml:space="preserve"> </w:t>
            </w:r>
            <w:r w:rsidR="00800A84" w:rsidRPr="00FB68E4">
              <w:rPr>
                <w:rFonts w:cs="Arial"/>
                <w:iCs/>
                <w:szCs w:val="20"/>
                <w:lang w:val="sl-SI" w:eastAsia="x-none"/>
              </w:rPr>
              <w:t>»</w:t>
            </w:r>
            <w:r w:rsidR="00FB68E4" w:rsidRPr="00FB68E4">
              <w:rPr>
                <w:rFonts w:cs="Arial"/>
                <w:szCs w:val="20"/>
                <w:lang w:val="sl-SI"/>
              </w:rPr>
              <w:t>Tehnična pomoč za i</w:t>
            </w:r>
            <w:r w:rsidR="005D4F67">
              <w:rPr>
                <w:rFonts w:cs="Arial"/>
                <w:szCs w:val="20"/>
                <w:lang w:val="sl-SI"/>
              </w:rPr>
              <w:t>mplementacijo projektov IPE 2025-2027</w:t>
            </w:r>
            <w:r w:rsidR="00FB68E4" w:rsidRPr="00FB68E4">
              <w:rPr>
                <w:rFonts w:cs="Arial"/>
                <w:szCs w:val="20"/>
                <w:lang w:val="sl-SI"/>
              </w:rPr>
              <w:t>« uvrsti v veljavni Nač</w:t>
            </w:r>
            <w:r w:rsidR="005D4F67">
              <w:rPr>
                <w:rFonts w:cs="Arial"/>
                <w:szCs w:val="20"/>
                <w:lang w:val="sl-SI"/>
              </w:rPr>
              <w:t>rt razvojnih programov</w:t>
            </w:r>
          </w:p>
          <w:p w14:paraId="2CC54161" w14:textId="77777777" w:rsidR="006A3E2B" w:rsidRDefault="006A3E2B" w:rsidP="00CF360B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14:paraId="2669FC68" w14:textId="77777777" w:rsidR="006A3E2B" w:rsidRDefault="006A3E2B" w:rsidP="00CF360B">
            <w:pPr>
              <w:autoSpaceDE w:val="0"/>
              <w:autoSpaceDN w:val="0"/>
              <w:adjustRightInd w:val="0"/>
              <w:ind w:left="4248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14:paraId="4B04F746" w14:textId="77777777" w:rsidR="006A3E2B" w:rsidRPr="00FF5CB1" w:rsidRDefault="00DD2756" w:rsidP="00DD275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                                          </w:t>
            </w:r>
            <w:r w:rsidR="00FB68E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                      </w:t>
            </w:r>
            <w:r w:rsidR="00FB68E4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Barbara Kolenko </w:t>
            </w:r>
            <w:proofErr w:type="spellStart"/>
            <w:r w:rsidR="00FB68E4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>Helbl</w:t>
            </w:r>
            <w:proofErr w:type="spellEnd"/>
            <w:r w:rsidR="006A3E2B" w:rsidRPr="00FF5CB1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</w:p>
          <w:p w14:paraId="188F1BF0" w14:textId="77777777" w:rsidR="006A3E2B" w:rsidRPr="00FF5CB1" w:rsidRDefault="00FB68E4" w:rsidP="00CF360B">
            <w:pPr>
              <w:autoSpaceDE w:val="0"/>
              <w:autoSpaceDN w:val="0"/>
              <w:adjustRightInd w:val="0"/>
              <w:ind w:left="4956"/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>generalna</w:t>
            </w:r>
            <w:r w:rsidR="006A3E2B" w:rsidRPr="00FF5CB1"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 xml:space="preserve"> sekretar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sl-SI"/>
              </w:rPr>
              <w:t>ka vlade</w:t>
            </w:r>
          </w:p>
          <w:p w14:paraId="452F820E" w14:textId="77777777" w:rsidR="006A3E2B" w:rsidRDefault="006A3E2B" w:rsidP="00CF360B">
            <w:pPr>
              <w:autoSpaceDE w:val="0"/>
              <w:autoSpaceDN w:val="0"/>
              <w:adjustRightInd w:val="0"/>
              <w:ind w:left="4956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14:paraId="4A9D31F2" w14:textId="77777777" w:rsidR="006955BC" w:rsidRDefault="006955BC" w:rsidP="00CF360B">
            <w:pPr>
              <w:autoSpaceDE w:val="0"/>
              <w:autoSpaceDN w:val="0"/>
              <w:adjustRightInd w:val="0"/>
              <w:ind w:left="4956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14:paraId="0B91E91C" w14:textId="77777777" w:rsidR="006A3E2B" w:rsidRDefault="006A3E2B" w:rsidP="00CF360B">
            <w:pPr>
              <w:autoSpaceDE w:val="0"/>
              <w:autoSpaceDN w:val="0"/>
              <w:adjustRightInd w:val="0"/>
              <w:ind w:left="4248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14:paraId="77A882A1" w14:textId="77777777" w:rsidR="006A3E2B" w:rsidRDefault="006A3E2B" w:rsidP="00CF360B">
            <w:pPr>
              <w:autoSpaceDE w:val="0"/>
              <w:autoSpaceDN w:val="0"/>
              <w:adjustRightInd w:val="0"/>
              <w:ind w:left="4956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14:paraId="16A841D1" w14:textId="77777777" w:rsidR="006A3E2B" w:rsidRPr="005A3CD7" w:rsidRDefault="006A3E2B" w:rsidP="00CF36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3CD7">
              <w:rPr>
                <w:rFonts w:ascii="Arial" w:hAnsi="Arial" w:cs="Arial"/>
                <w:color w:val="000000"/>
                <w:sz w:val="20"/>
                <w:szCs w:val="20"/>
              </w:rPr>
              <w:t>Sklep prejmejo:</w:t>
            </w:r>
          </w:p>
          <w:p w14:paraId="4FF1B4FC" w14:textId="77777777" w:rsidR="006A3E2B" w:rsidRPr="005A3CD7" w:rsidRDefault="006A3E2B" w:rsidP="00CF360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B8FB05" w14:textId="77777777" w:rsidR="006A3E2B" w:rsidRDefault="006A3E2B" w:rsidP="00CF360B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310441">
              <w:rPr>
                <w:rFonts w:ascii="Arial" w:hAnsi="Arial" w:cs="Arial"/>
                <w:sz w:val="20"/>
                <w:szCs w:val="20"/>
              </w:rPr>
              <w:t>Ministrstvo za infrastrukturo</w:t>
            </w:r>
          </w:p>
          <w:p w14:paraId="0182AFA2" w14:textId="77777777" w:rsidR="006A3E2B" w:rsidRPr="000233C7" w:rsidRDefault="00800A84" w:rsidP="00CF360B">
            <w:pPr>
              <w:numPr>
                <w:ilvl w:val="0"/>
                <w:numId w:val="8"/>
              </w:numPr>
              <w:rPr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Ministrstvo za finance</w:t>
            </w:r>
          </w:p>
          <w:p w14:paraId="0D9891E7" w14:textId="77777777" w:rsidR="000233C7" w:rsidRPr="005A3CD7" w:rsidRDefault="000233C7" w:rsidP="000233C7">
            <w:pPr>
              <w:ind w:left="840"/>
              <w:rPr>
                <w:iCs/>
                <w:sz w:val="20"/>
                <w:szCs w:val="20"/>
              </w:rPr>
            </w:pPr>
          </w:p>
        </w:tc>
      </w:tr>
      <w:tr w:rsidR="006A3E2B" w:rsidRPr="005A3CD7" w14:paraId="02C84C1E" w14:textId="77777777" w:rsidTr="00CF360B">
        <w:tc>
          <w:tcPr>
            <w:tcW w:w="9163" w:type="dxa"/>
            <w:gridSpan w:val="4"/>
          </w:tcPr>
          <w:p w14:paraId="7F65CEA8" w14:textId="77777777" w:rsidR="006A3E2B" w:rsidRDefault="006A3E2B" w:rsidP="00CF360B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 w:rsidRPr="005A3CD7">
              <w:rPr>
                <w:b/>
                <w:sz w:val="20"/>
                <w:szCs w:val="20"/>
              </w:rPr>
              <w:t>2. Predlog za obravnavo predloga zakona po nujnem ali skrajšanem postopku v državnem zboru z obrazložitvijo razlogov: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7FB5F6C1" w14:textId="77777777" w:rsidR="006A3E2B" w:rsidRPr="00D173ED" w:rsidRDefault="006A3E2B" w:rsidP="00CF360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  <w:u w:val="single"/>
              </w:rPr>
            </w:pPr>
          </w:p>
        </w:tc>
      </w:tr>
      <w:tr w:rsidR="006A3E2B" w:rsidRPr="005A3CD7" w14:paraId="420080B8" w14:textId="77777777" w:rsidTr="00CF360B">
        <w:tc>
          <w:tcPr>
            <w:tcW w:w="9163" w:type="dxa"/>
            <w:gridSpan w:val="4"/>
          </w:tcPr>
          <w:p w14:paraId="591CD411" w14:textId="77777777" w:rsidR="006A3E2B" w:rsidRPr="005A3CD7" w:rsidRDefault="006A3E2B" w:rsidP="00CF360B">
            <w:pPr>
              <w:pStyle w:val="Neotevilenodstavek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5A3CD7">
              <w:rPr>
                <w:iCs/>
                <w:color w:val="000000"/>
                <w:sz w:val="20"/>
                <w:szCs w:val="20"/>
              </w:rPr>
              <w:t>/</w:t>
            </w:r>
          </w:p>
        </w:tc>
      </w:tr>
      <w:tr w:rsidR="006A3E2B" w:rsidRPr="005A3CD7" w14:paraId="2C328B2F" w14:textId="77777777" w:rsidTr="00CF360B">
        <w:tc>
          <w:tcPr>
            <w:tcW w:w="9163" w:type="dxa"/>
            <w:gridSpan w:val="4"/>
          </w:tcPr>
          <w:p w14:paraId="2856FCF2" w14:textId="77777777" w:rsidR="006A3E2B" w:rsidRPr="005A3CD7" w:rsidRDefault="006A3E2B" w:rsidP="00CF360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5A3CD7">
              <w:rPr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:rsidR="006A3E2B" w:rsidRPr="005A3CD7" w14:paraId="7C2036ED" w14:textId="77777777" w:rsidTr="00CF360B">
        <w:trPr>
          <w:trHeight w:val="58"/>
        </w:trPr>
        <w:tc>
          <w:tcPr>
            <w:tcW w:w="9163" w:type="dxa"/>
            <w:gridSpan w:val="4"/>
          </w:tcPr>
          <w:p w14:paraId="1CB58F05" w14:textId="6EE06DAF" w:rsidR="00800A84" w:rsidRDefault="006A3E2B" w:rsidP="00800A84">
            <w:pPr>
              <w:pStyle w:val="Neotevilenodstavek"/>
              <w:spacing w:before="0" w:after="0" w:line="260" w:lineRule="exact"/>
              <w:rPr>
                <w:i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iCs/>
                <w:color w:val="000000" w:themeColor="text1"/>
                <w:sz w:val="20"/>
                <w:szCs w:val="20"/>
                <w:lang w:eastAsia="ar-SA"/>
              </w:rPr>
              <w:t xml:space="preserve">- </w:t>
            </w:r>
            <w:r w:rsidR="00FB68E4">
              <w:rPr>
                <w:iCs/>
                <w:color w:val="000000" w:themeColor="text1"/>
                <w:sz w:val="20"/>
                <w:szCs w:val="20"/>
                <w:lang w:eastAsia="ar-SA"/>
              </w:rPr>
              <w:t>mag.</w:t>
            </w:r>
            <w:r w:rsidR="005D4F67">
              <w:rPr>
                <w:iCs/>
                <w:color w:val="000000" w:themeColor="text1"/>
                <w:sz w:val="20"/>
                <w:szCs w:val="20"/>
                <w:lang w:eastAsia="ar-SA"/>
              </w:rPr>
              <w:t xml:space="preserve"> Alenka Bratušek, ministrica</w:t>
            </w:r>
            <w:r w:rsidR="00FB68E4">
              <w:rPr>
                <w:iCs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  <w:p w14:paraId="32DCBAE0" w14:textId="287DB2E7" w:rsidR="00F44884" w:rsidRDefault="00F44884" w:rsidP="00800A84">
            <w:pPr>
              <w:pStyle w:val="Neotevilenodstavek"/>
              <w:spacing w:before="0" w:after="0" w:line="260" w:lineRule="exact"/>
              <w:rPr>
                <w:i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iCs/>
                <w:color w:val="000000" w:themeColor="text1"/>
                <w:sz w:val="20"/>
                <w:szCs w:val="20"/>
                <w:lang w:eastAsia="ar-SA"/>
              </w:rPr>
              <w:t xml:space="preserve">- Tanja </w:t>
            </w:r>
            <w:proofErr w:type="spellStart"/>
            <w:r>
              <w:rPr>
                <w:iCs/>
                <w:color w:val="000000" w:themeColor="text1"/>
                <w:sz w:val="20"/>
                <w:szCs w:val="20"/>
                <w:lang w:eastAsia="ar-SA"/>
              </w:rPr>
              <w:t>šarabon</w:t>
            </w:r>
            <w:proofErr w:type="spellEnd"/>
            <w:r>
              <w:rPr>
                <w:iCs/>
                <w:color w:val="000000" w:themeColor="text1"/>
                <w:sz w:val="20"/>
                <w:szCs w:val="20"/>
                <w:lang w:eastAsia="ar-SA"/>
              </w:rPr>
              <w:t>, generalna sekretarka</w:t>
            </w:r>
          </w:p>
          <w:p w14:paraId="7C3C81A3" w14:textId="77777777" w:rsidR="00FB68E4" w:rsidRDefault="005D4F67" w:rsidP="00800A84">
            <w:pPr>
              <w:pStyle w:val="Neotevilenodstavek"/>
              <w:spacing w:before="0" w:after="0" w:line="260" w:lineRule="exact"/>
              <w:rPr>
                <w:iCs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iCs/>
                <w:color w:val="000000" w:themeColor="text1"/>
                <w:sz w:val="20"/>
                <w:szCs w:val="20"/>
                <w:lang w:eastAsia="ar-SA"/>
              </w:rPr>
              <w:t xml:space="preserve">- </w:t>
            </w:r>
            <w:r w:rsidR="006955BC">
              <w:rPr>
                <w:iCs/>
                <w:color w:val="000000" w:themeColor="text1"/>
                <w:sz w:val="20"/>
                <w:szCs w:val="20"/>
                <w:lang w:eastAsia="ar-SA"/>
              </w:rPr>
              <w:t>mag. Emilija Pl</w:t>
            </w:r>
            <w:r w:rsidR="00FB68E4">
              <w:rPr>
                <w:iCs/>
                <w:color w:val="000000" w:themeColor="text1"/>
                <w:sz w:val="20"/>
                <w:szCs w:val="20"/>
                <w:lang w:eastAsia="ar-SA"/>
              </w:rPr>
              <w:t>acer Tušar, vodja Finančnega sektorja</w:t>
            </w:r>
          </w:p>
          <w:p w14:paraId="38464DB7" w14:textId="77777777" w:rsidR="006A3E2B" w:rsidRPr="005A3CD7" w:rsidRDefault="005D4F67" w:rsidP="00FB68E4">
            <w:pPr>
              <w:pStyle w:val="Neotevilenodstavek"/>
              <w:spacing w:before="0" w:after="0" w:line="260" w:lineRule="exact"/>
              <w:rPr>
                <w:iCs/>
                <w:color w:val="FF0000"/>
                <w:sz w:val="20"/>
                <w:szCs w:val="20"/>
              </w:rPr>
            </w:pPr>
            <w:r>
              <w:rPr>
                <w:iCs/>
                <w:color w:val="000000" w:themeColor="text1"/>
                <w:sz w:val="20"/>
                <w:szCs w:val="20"/>
                <w:lang w:eastAsia="ar-SA"/>
              </w:rPr>
              <w:t xml:space="preserve">- </w:t>
            </w:r>
            <w:r w:rsidR="00FB68E4">
              <w:rPr>
                <w:iCs/>
                <w:color w:val="000000" w:themeColor="text1"/>
                <w:sz w:val="20"/>
                <w:szCs w:val="20"/>
                <w:lang w:eastAsia="ar-SA"/>
              </w:rPr>
              <w:t xml:space="preserve">mag. Nataša Štor Zagoričnik, vodja OES </w:t>
            </w:r>
          </w:p>
        </w:tc>
      </w:tr>
      <w:tr w:rsidR="006A3E2B" w:rsidRPr="005A3CD7" w14:paraId="33457AA7" w14:textId="77777777" w:rsidTr="00CF360B">
        <w:tc>
          <w:tcPr>
            <w:tcW w:w="9163" w:type="dxa"/>
            <w:gridSpan w:val="4"/>
          </w:tcPr>
          <w:p w14:paraId="7AE80CF1" w14:textId="77777777" w:rsidR="006A3E2B" w:rsidRPr="005A3CD7" w:rsidRDefault="006A3E2B" w:rsidP="00CF360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5A3CD7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5A3CD7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6A3E2B" w:rsidRPr="005A3CD7" w14:paraId="299378F8" w14:textId="77777777" w:rsidTr="00CF360B">
        <w:tc>
          <w:tcPr>
            <w:tcW w:w="9163" w:type="dxa"/>
            <w:gridSpan w:val="4"/>
          </w:tcPr>
          <w:p w14:paraId="0B7F3150" w14:textId="77777777" w:rsidR="006A3E2B" w:rsidRPr="005A3CD7" w:rsidRDefault="006A3E2B" w:rsidP="00CF360B">
            <w:pPr>
              <w:pStyle w:val="Neotevilenodstavek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  <w:r w:rsidRPr="005A3CD7">
              <w:rPr>
                <w:iCs/>
                <w:color w:val="000000"/>
                <w:sz w:val="20"/>
                <w:szCs w:val="20"/>
              </w:rPr>
              <w:t>/</w:t>
            </w:r>
          </w:p>
        </w:tc>
      </w:tr>
      <w:tr w:rsidR="006A3E2B" w:rsidRPr="005A3CD7" w14:paraId="737FC4E4" w14:textId="77777777" w:rsidTr="00CF360B">
        <w:tc>
          <w:tcPr>
            <w:tcW w:w="9163" w:type="dxa"/>
            <w:gridSpan w:val="4"/>
          </w:tcPr>
          <w:p w14:paraId="199490B2" w14:textId="77777777" w:rsidR="006A3E2B" w:rsidRPr="005A3CD7" w:rsidRDefault="006A3E2B" w:rsidP="00CF360B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5A3CD7">
              <w:rPr>
                <w:b/>
                <w:sz w:val="20"/>
                <w:szCs w:val="20"/>
              </w:rPr>
              <w:t>4. Predstavniki vlade, ki bodo sodelovali pri delu državnega zbora:</w:t>
            </w:r>
          </w:p>
        </w:tc>
      </w:tr>
      <w:tr w:rsidR="006A3E2B" w:rsidRPr="005A3CD7" w14:paraId="3B2D00EE" w14:textId="77777777" w:rsidTr="00CF360B">
        <w:tc>
          <w:tcPr>
            <w:tcW w:w="9163" w:type="dxa"/>
            <w:gridSpan w:val="4"/>
          </w:tcPr>
          <w:p w14:paraId="07B162EE" w14:textId="77777777" w:rsidR="006A3E2B" w:rsidRPr="005A3CD7" w:rsidRDefault="006A3E2B" w:rsidP="00CF360B">
            <w:pPr>
              <w:pStyle w:val="Neotevilenodstavek"/>
              <w:spacing w:before="0" w:after="0" w:line="260" w:lineRule="exact"/>
              <w:rPr>
                <w:b/>
                <w:color w:val="000000"/>
                <w:sz w:val="20"/>
                <w:szCs w:val="20"/>
              </w:rPr>
            </w:pPr>
            <w:r w:rsidRPr="005A3CD7">
              <w:rPr>
                <w:iCs/>
                <w:color w:val="000000"/>
                <w:sz w:val="20"/>
                <w:szCs w:val="20"/>
              </w:rPr>
              <w:t>/</w:t>
            </w:r>
          </w:p>
        </w:tc>
      </w:tr>
      <w:tr w:rsidR="006A3E2B" w:rsidRPr="005A3CD7" w14:paraId="40416841" w14:textId="77777777" w:rsidTr="00CF360B">
        <w:tc>
          <w:tcPr>
            <w:tcW w:w="9163" w:type="dxa"/>
            <w:gridSpan w:val="4"/>
          </w:tcPr>
          <w:p w14:paraId="48897457" w14:textId="5B6A64A1" w:rsidR="006955BC" w:rsidRPr="009E45C0" w:rsidRDefault="006955BC" w:rsidP="00D85ABC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b w:val="0"/>
                <w:sz w:val="20"/>
                <w:szCs w:val="20"/>
              </w:rPr>
            </w:pPr>
            <w:r w:rsidRPr="009E45C0">
              <w:rPr>
                <w:sz w:val="20"/>
                <w:szCs w:val="20"/>
              </w:rPr>
              <w:t>5. Kratek povzetek gradiva</w:t>
            </w:r>
          </w:p>
          <w:p w14:paraId="46572B9F" w14:textId="1519F210" w:rsidR="005878DF" w:rsidRPr="009E45C0" w:rsidRDefault="00D85ABC" w:rsidP="00D85ABC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b w:val="0"/>
                <w:color w:val="FF0000"/>
                <w:sz w:val="20"/>
                <w:szCs w:val="20"/>
              </w:rPr>
            </w:pPr>
            <w:r w:rsidRPr="009E45C0">
              <w:rPr>
                <w:b w:val="0"/>
                <w:sz w:val="20"/>
                <w:szCs w:val="20"/>
              </w:rPr>
              <w:lastRenderedPageBreak/>
              <w:t>Vladno gradivo obsega vsebinski in finančni pregled projekta</w:t>
            </w:r>
            <w:r w:rsidR="007951DB" w:rsidRPr="009E45C0">
              <w:rPr>
                <w:b w:val="0"/>
                <w:color w:val="FF0000"/>
                <w:sz w:val="20"/>
                <w:szCs w:val="20"/>
              </w:rPr>
              <w:t xml:space="preserve"> </w:t>
            </w:r>
            <w:r w:rsidR="003B6F99" w:rsidRPr="009E45C0">
              <w:rPr>
                <w:b w:val="0"/>
                <w:sz w:val="20"/>
                <w:szCs w:val="20"/>
              </w:rPr>
              <w:t xml:space="preserve">Tehnična pomoč državam članicam (CEF </w:t>
            </w:r>
            <w:r w:rsidR="003B6F99" w:rsidRPr="009E45C0">
              <w:rPr>
                <w:b w:val="0"/>
                <w:sz w:val="20"/>
                <w:szCs w:val="20"/>
                <w:lang w:val="en-GB"/>
              </w:rPr>
              <w:t>Technical Assistance for Slovenia</w:t>
            </w:r>
            <w:r w:rsidR="00F44884">
              <w:rPr>
                <w:b w:val="0"/>
                <w:sz w:val="20"/>
                <w:szCs w:val="20"/>
              </w:rPr>
              <w:t xml:space="preserve"> 2025-2027</w:t>
            </w:r>
            <w:r w:rsidR="003B6F99" w:rsidRPr="009E45C0">
              <w:rPr>
                <w:b w:val="0"/>
                <w:sz w:val="20"/>
                <w:szCs w:val="20"/>
              </w:rPr>
              <w:t xml:space="preserve"> – </w:t>
            </w:r>
            <w:r w:rsidR="003B6F99" w:rsidRPr="009E45C0">
              <w:rPr>
                <w:b w:val="0"/>
                <w:sz w:val="20"/>
                <w:szCs w:val="20"/>
                <w:lang w:val="en-GB"/>
              </w:rPr>
              <w:t>Cohesion</w:t>
            </w:r>
            <w:r w:rsidR="003B6F99" w:rsidRPr="009E45C0">
              <w:rPr>
                <w:b w:val="0"/>
                <w:sz w:val="20"/>
                <w:szCs w:val="20"/>
              </w:rPr>
              <w:t xml:space="preserve">), št. projekta </w:t>
            </w:r>
            <w:r w:rsidR="00656A18" w:rsidRPr="009E45C0">
              <w:rPr>
                <w:b w:val="0"/>
                <w:sz w:val="20"/>
                <w:szCs w:val="20"/>
              </w:rPr>
              <w:t>101</w:t>
            </w:r>
            <w:r w:rsidR="003A5BAF" w:rsidRPr="009E45C0">
              <w:rPr>
                <w:b w:val="0"/>
                <w:sz w:val="20"/>
                <w:szCs w:val="20"/>
              </w:rPr>
              <w:t>225341</w:t>
            </w:r>
            <w:r w:rsidR="00656A18" w:rsidRPr="009E45C0">
              <w:rPr>
                <w:b w:val="0"/>
                <w:sz w:val="20"/>
                <w:szCs w:val="20"/>
              </w:rPr>
              <w:t xml:space="preserve"> - </w:t>
            </w:r>
            <w:r w:rsidR="003B6F99" w:rsidRPr="009E45C0">
              <w:rPr>
                <w:b w:val="0"/>
                <w:sz w:val="20"/>
                <w:szCs w:val="20"/>
              </w:rPr>
              <w:t>2</w:t>
            </w:r>
            <w:r w:rsidR="003A5BAF" w:rsidRPr="009E45C0">
              <w:rPr>
                <w:b w:val="0"/>
                <w:sz w:val="20"/>
                <w:szCs w:val="20"/>
              </w:rPr>
              <w:t>4</w:t>
            </w:r>
            <w:r w:rsidR="003B6F99" w:rsidRPr="009E45C0">
              <w:rPr>
                <w:b w:val="0"/>
                <w:sz w:val="20"/>
                <w:szCs w:val="20"/>
              </w:rPr>
              <w:t xml:space="preserve">-SI-TC-CEF TA </w:t>
            </w:r>
            <w:r w:rsidR="003A5BAF" w:rsidRPr="009E45C0">
              <w:rPr>
                <w:b w:val="0"/>
                <w:sz w:val="20"/>
                <w:szCs w:val="20"/>
              </w:rPr>
              <w:t>SI 25-27</w:t>
            </w:r>
            <w:r w:rsidR="003B6F99" w:rsidRPr="009E45C0">
              <w:rPr>
                <w:b w:val="0"/>
                <w:sz w:val="20"/>
                <w:szCs w:val="20"/>
              </w:rPr>
              <w:t>. Upravičeno obdobje za izvedbo aktivnosti je od 1.1.202</w:t>
            </w:r>
            <w:r w:rsidR="003A5BAF" w:rsidRPr="009E45C0">
              <w:rPr>
                <w:b w:val="0"/>
                <w:sz w:val="20"/>
                <w:szCs w:val="20"/>
              </w:rPr>
              <w:t>5</w:t>
            </w:r>
            <w:r w:rsidR="003B6F99" w:rsidRPr="009E45C0">
              <w:rPr>
                <w:b w:val="0"/>
                <w:sz w:val="20"/>
                <w:szCs w:val="20"/>
              </w:rPr>
              <w:t xml:space="preserve"> do 31.12.202</w:t>
            </w:r>
            <w:r w:rsidR="003A5BAF" w:rsidRPr="009E45C0">
              <w:rPr>
                <w:b w:val="0"/>
                <w:sz w:val="20"/>
                <w:szCs w:val="20"/>
              </w:rPr>
              <w:t>7</w:t>
            </w:r>
            <w:r w:rsidR="003B6F99" w:rsidRPr="009E45C0">
              <w:rPr>
                <w:b w:val="0"/>
                <w:sz w:val="20"/>
                <w:szCs w:val="20"/>
              </w:rPr>
              <w:t xml:space="preserve">. </w:t>
            </w:r>
            <w:r w:rsidR="00656A18" w:rsidRPr="009E45C0">
              <w:rPr>
                <w:b w:val="0"/>
                <w:sz w:val="20"/>
                <w:szCs w:val="20"/>
              </w:rPr>
              <w:t xml:space="preserve">Tehnična pomoč se nanaša na </w:t>
            </w:r>
            <w:r w:rsidR="003A5BAF" w:rsidRPr="009E45C0">
              <w:rPr>
                <w:b w:val="0"/>
                <w:sz w:val="20"/>
                <w:szCs w:val="20"/>
              </w:rPr>
              <w:t xml:space="preserve">nadaljnjo triletno </w:t>
            </w:r>
            <w:r w:rsidR="00656A18" w:rsidRPr="009E45C0">
              <w:rPr>
                <w:b w:val="0"/>
                <w:sz w:val="20"/>
                <w:szCs w:val="20"/>
              </w:rPr>
              <w:t xml:space="preserve">podporo Unije </w:t>
            </w:r>
            <w:r w:rsidR="003A5BAF" w:rsidRPr="009E45C0">
              <w:rPr>
                <w:b w:val="0"/>
                <w:sz w:val="20"/>
                <w:szCs w:val="20"/>
              </w:rPr>
              <w:t>Republiki Sloveniji (Ministrstvu za infrastrukturo in Ministrstvu za okolje, podnebje in energijo)</w:t>
            </w:r>
            <w:r w:rsidR="00656A18" w:rsidRPr="009E45C0">
              <w:rPr>
                <w:b w:val="0"/>
                <w:sz w:val="20"/>
                <w:szCs w:val="20"/>
              </w:rPr>
              <w:t xml:space="preserve"> za uspešno implementacijo in učinkovito upravljanje infrastrukturnih investicijskih projektov obdobja 2014-2020 in 2021-2027, ki se izvajajo na vseevropskem prometnem omrežju (TEN-T), ki poteka </w:t>
            </w:r>
            <w:r w:rsidR="00F44884">
              <w:rPr>
                <w:b w:val="0"/>
                <w:sz w:val="20"/>
                <w:szCs w:val="20"/>
              </w:rPr>
              <w:t>preko ozemlja</w:t>
            </w:r>
            <w:r w:rsidR="00656A18" w:rsidRPr="009E45C0">
              <w:rPr>
                <w:b w:val="0"/>
                <w:sz w:val="20"/>
                <w:szCs w:val="20"/>
              </w:rPr>
              <w:t xml:space="preserve"> Republike Slovenije. </w:t>
            </w:r>
            <w:r w:rsidR="007951DB" w:rsidRPr="009E45C0">
              <w:rPr>
                <w:b w:val="0"/>
                <w:sz w:val="20"/>
                <w:szCs w:val="20"/>
              </w:rPr>
              <w:t xml:space="preserve">Sredstva so namenjena za izvedbo petih delovnih paketov (WP), ki se nanašajo </w:t>
            </w:r>
            <w:r w:rsidR="00836D81" w:rsidRPr="009E45C0">
              <w:rPr>
                <w:b w:val="0"/>
                <w:sz w:val="20"/>
                <w:szCs w:val="20"/>
              </w:rPr>
              <w:t xml:space="preserve">na aktivnosti ministrstev glede vključevanja pri usklajevanju delovnih načrtov ter poročanje o implementaciji evropskih prometnih koridorjev TEN-T (skozi Slovenijo potekajo: koridor Baltsko morje – Jadransko morje, Sredozemski koridor in Zahodno Balkanski – Vzhodno sredozemski koridor), ter ERTMS in Evropski pomorski prostor (WP1), na </w:t>
            </w:r>
            <w:r w:rsidR="00836D81" w:rsidRPr="009E45C0">
              <w:rPr>
                <w:b w:val="0"/>
                <w:color w:val="000000"/>
                <w:sz w:val="20"/>
                <w:szCs w:val="20"/>
              </w:rPr>
              <w:t xml:space="preserve">krepitev podpore urbanim vozliščem na TEN-T omrežju pri pripravi in pravočasnem sprejetju celostnih prometnih strategij v skladu z zahtevami Uredbe TEN-T  in zbiranju in posredovanju podatkov glede mobilnosti v urbanih vozliščih v Republiki Sloveniji službam Evropske komisije (WP2), </w:t>
            </w:r>
            <w:r w:rsidR="00836D81" w:rsidRPr="009E45C0">
              <w:rPr>
                <w:b w:val="0"/>
                <w:sz w:val="20"/>
                <w:szCs w:val="20"/>
              </w:rPr>
              <w:t xml:space="preserve">na aktivno sodelovanje v Izvršilnih odborih za 4 železniške tovorne koridorje: Mediteranski, Baltsko-Jadranski, Alpsko-Zahodno Balkanski, Jantarni (WP3), na </w:t>
            </w:r>
            <w:r w:rsidR="007951DB" w:rsidRPr="009E45C0">
              <w:rPr>
                <w:b w:val="0"/>
                <w:sz w:val="20"/>
                <w:szCs w:val="20"/>
              </w:rPr>
              <w:t>promocijo programa IPE 2</w:t>
            </w:r>
            <w:r w:rsidR="00836D81" w:rsidRPr="009E45C0">
              <w:rPr>
                <w:b w:val="0"/>
                <w:sz w:val="20"/>
                <w:szCs w:val="20"/>
              </w:rPr>
              <w:t xml:space="preserve"> in </w:t>
            </w:r>
            <w:r w:rsidR="007951DB" w:rsidRPr="009E45C0">
              <w:rPr>
                <w:b w:val="0"/>
                <w:sz w:val="20"/>
                <w:szCs w:val="20"/>
              </w:rPr>
              <w:t>razširjanj</w:t>
            </w:r>
            <w:r w:rsidR="00836D81" w:rsidRPr="009E45C0">
              <w:rPr>
                <w:b w:val="0"/>
                <w:sz w:val="20"/>
                <w:szCs w:val="20"/>
              </w:rPr>
              <w:t>u</w:t>
            </w:r>
            <w:r w:rsidR="007951DB" w:rsidRPr="009E45C0">
              <w:rPr>
                <w:b w:val="0"/>
                <w:sz w:val="20"/>
                <w:szCs w:val="20"/>
              </w:rPr>
              <w:t xml:space="preserve"> informacij za</w:t>
            </w:r>
            <w:r w:rsidR="00836D81" w:rsidRPr="009E45C0">
              <w:rPr>
                <w:b w:val="0"/>
                <w:sz w:val="20"/>
                <w:szCs w:val="20"/>
              </w:rPr>
              <w:t>interesirani strokovni javnosti v zvezi z IPE programom ter</w:t>
            </w:r>
            <w:r w:rsidR="007951DB" w:rsidRPr="009E45C0">
              <w:rPr>
                <w:b w:val="0"/>
                <w:sz w:val="20"/>
                <w:szCs w:val="20"/>
              </w:rPr>
              <w:t xml:space="preserve"> pregled ter spremljanje projektov na razpisih 2</w:t>
            </w:r>
            <w:r w:rsidR="003A5BAF" w:rsidRPr="009E45C0">
              <w:rPr>
                <w:b w:val="0"/>
                <w:sz w:val="20"/>
                <w:szCs w:val="20"/>
              </w:rPr>
              <w:t>5</w:t>
            </w:r>
            <w:r w:rsidR="007951DB" w:rsidRPr="009E45C0">
              <w:rPr>
                <w:b w:val="0"/>
                <w:sz w:val="20"/>
                <w:szCs w:val="20"/>
              </w:rPr>
              <w:t>-2</w:t>
            </w:r>
            <w:r w:rsidR="003A5BAF" w:rsidRPr="009E45C0">
              <w:rPr>
                <w:b w:val="0"/>
                <w:sz w:val="20"/>
                <w:szCs w:val="20"/>
              </w:rPr>
              <w:t>7</w:t>
            </w:r>
            <w:r w:rsidR="007951DB" w:rsidRPr="009E45C0">
              <w:rPr>
                <w:b w:val="0"/>
                <w:sz w:val="20"/>
                <w:szCs w:val="20"/>
              </w:rPr>
              <w:t xml:space="preserve"> (WP</w:t>
            </w:r>
            <w:r w:rsidR="003A5BAF" w:rsidRPr="009E45C0">
              <w:rPr>
                <w:b w:val="0"/>
                <w:sz w:val="20"/>
                <w:szCs w:val="20"/>
              </w:rPr>
              <w:t>4</w:t>
            </w:r>
            <w:r w:rsidR="00836D81" w:rsidRPr="009E45C0">
              <w:rPr>
                <w:b w:val="0"/>
                <w:sz w:val="20"/>
                <w:szCs w:val="20"/>
              </w:rPr>
              <w:t xml:space="preserve">) in </w:t>
            </w:r>
            <w:r w:rsidR="007951DB" w:rsidRPr="009E45C0">
              <w:rPr>
                <w:b w:val="0"/>
                <w:sz w:val="20"/>
                <w:szCs w:val="20"/>
              </w:rPr>
              <w:t>na tehnično spremljanje in finančni nadzor nad projekti iz obdobja 14-20 (WP</w:t>
            </w:r>
            <w:r w:rsidR="003A5BAF" w:rsidRPr="009E45C0">
              <w:rPr>
                <w:b w:val="0"/>
                <w:sz w:val="20"/>
                <w:szCs w:val="20"/>
              </w:rPr>
              <w:t>5</w:t>
            </w:r>
            <w:r w:rsidR="007951DB" w:rsidRPr="009E45C0">
              <w:rPr>
                <w:b w:val="0"/>
                <w:sz w:val="20"/>
                <w:szCs w:val="20"/>
              </w:rPr>
              <w:t>).</w:t>
            </w:r>
            <w:r w:rsidR="007951DB" w:rsidRPr="009E45C0">
              <w:rPr>
                <w:b w:val="0"/>
                <w:color w:val="FF0000"/>
                <w:sz w:val="20"/>
                <w:szCs w:val="20"/>
              </w:rPr>
              <w:t xml:space="preserve"> </w:t>
            </w:r>
          </w:p>
          <w:p w14:paraId="19313DEB" w14:textId="72B53403" w:rsidR="00004820" w:rsidRPr="00A06E8C" w:rsidRDefault="00004820" w:rsidP="0000482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9E45C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Zaradi prenosa področja alternativnih goriv na novo ustanovljeno Ministrstvo za okolje, podnebje in energijo (MOPE) ob reorganizaciji Vlade RS na podlagi spremembe Zakona o Vladi v letu 2022 in zaradi nalog, predvidenih v GA za tehnično pomoč IPE 25-27 v zvezi z urbanimi vozlišči na TEN-T omrežju, MOPE v tem projektu nastopa</w:t>
            </w:r>
            <w:r w:rsidR="00F44884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,</w:t>
            </w:r>
            <w:r w:rsidRPr="009E45C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 kot partner in upravičenec. </w:t>
            </w:r>
            <w:r w:rsidR="00212A6E" w:rsidRPr="009E45C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Poleg WP2 je </w:t>
            </w:r>
            <w:r w:rsidRPr="009E45C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MOPE vključeno </w:t>
            </w:r>
            <w:r w:rsidR="00212A6E" w:rsidRPr="009E45C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tudi </w:t>
            </w:r>
            <w:r w:rsidRPr="009E45C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 xml:space="preserve">v sodelovanje pri pripravi delovnih načrtov v okviru WP1, v delu, ki se nanaša na TEN-T urbana </w:t>
            </w:r>
            <w:r w:rsidRPr="00A06E8C">
              <w:rPr>
                <w:rFonts w:ascii="Arial" w:hAnsi="Arial" w:cs="Arial"/>
                <w:sz w:val="20"/>
                <w:szCs w:val="20"/>
                <w:lang w:eastAsia="sl-SI"/>
              </w:rPr>
              <w:t>vozlišča</w:t>
            </w:r>
            <w:r w:rsidR="00212A6E" w:rsidRPr="00A06E8C">
              <w:rPr>
                <w:rFonts w:ascii="Arial" w:hAnsi="Arial" w:cs="Arial"/>
                <w:sz w:val="20"/>
                <w:szCs w:val="20"/>
                <w:lang w:eastAsia="sl-SI"/>
              </w:rPr>
              <w:t xml:space="preserve"> </w:t>
            </w:r>
            <w:r w:rsidR="00A06E8C" w:rsidRPr="00A06E8C">
              <w:rPr>
                <w:rFonts w:ascii="Arial" w:hAnsi="Arial" w:cs="Arial"/>
                <w:sz w:val="20"/>
                <w:szCs w:val="20"/>
                <w:lang w:eastAsia="sl-SI"/>
              </w:rPr>
              <w:t>ter v pregled in spremljane izvajanja projektov IPE 21-27 in IPE 14-20 v okviru WP4 in WP5</w:t>
            </w:r>
            <w:r w:rsidRPr="00A06E8C"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  <w:p w14:paraId="11211AF8" w14:textId="77777777" w:rsidR="00004820" w:rsidRPr="009E45C0" w:rsidRDefault="00004820" w:rsidP="0000482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3E145138" w14:textId="77777777" w:rsidR="00004820" w:rsidRPr="009E45C0" w:rsidRDefault="00004820" w:rsidP="0000482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9E45C0"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  <w:t>Delitev EU sredstev po upravičencih: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1046"/>
              <w:gridCol w:w="6237"/>
              <w:gridCol w:w="1654"/>
            </w:tblGrid>
            <w:tr w:rsidR="00004820" w:rsidRPr="009E45C0" w14:paraId="77FF8502" w14:textId="77777777" w:rsidTr="00004820">
              <w:tc>
                <w:tcPr>
                  <w:tcW w:w="1046" w:type="dxa"/>
                </w:tcPr>
                <w:p w14:paraId="2C7CA2DE" w14:textId="77777777" w:rsidR="00004820" w:rsidRPr="009E45C0" w:rsidRDefault="00004820" w:rsidP="00EE5F34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9E45C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sl-SI"/>
                    </w:rPr>
                    <w:t>1</w:t>
                  </w:r>
                </w:p>
              </w:tc>
              <w:tc>
                <w:tcPr>
                  <w:tcW w:w="6237" w:type="dxa"/>
                </w:tcPr>
                <w:p w14:paraId="4480EA1A" w14:textId="77777777" w:rsidR="00004820" w:rsidRPr="009E45C0" w:rsidRDefault="00004820" w:rsidP="0000482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9E45C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sl-SI"/>
                    </w:rPr>
                    <w:t>Ministrstvo za infrastrukturo (koordinator projekta in upravičenec)</w:t>
                  </w:r>
                </w:p>
              </w:tc>
              <w:tc>
                <w:tcPr>
                  <w:tcW w:w="1654" w:type="dxa"/>
                </w:tcPr>
                <w:p w14:paraId="20A1BDEA" w14:textId="77777777" w:rsidR="00004820" w:rsidRPr="009E45C0" w:rsidRDefault="00004820" w:rsidP="00004820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9E45C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sl-SI"/>
                    </w:rPr>
                    <w:t>939.684,00</w:t>
                  </w:r>
                </w:p>
              </w:tc>
            </w:tr>
            <w:tr w:rsidR="00004820" w:rsidRPr="009E45C0" w14:paraId="0BB1BEF3" w14:textId="77777777" w:rsidTr="00004820">
              <w:tc>
                <w:tcPr>
                  <w:tcW w:w="1046" w:type="dxa"/>
                </w:tcPr>
                <w:p w14:paraId="209E971D" w14:textId="77777777" w:rsidR="00004820" w:rsidRPr="009E45C0" w:rsidRDefault="00004820" w:rsidP="00EE5F34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9E45C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sl-SI"/>
                    </w:rPr>
                    <w:t>2</w:t>
                  </w:r>
                </w:p>
              </w:tc>
              <w:tc>
                <w:tcPr>
                  <w:tcW w:w="6237" w:type="dxa"/>
                </w:tcPr>
                <w:p w14:paraId="7F17F0E6" w14:textId="77777777" w:rsidR="00004820" w:rsidRPr="009E45C0" w:rsidRDefault="00004820" w:rsidP="0000482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9E45C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sl-SI"/>
                    </w:rPr>
                    <w:t>Ministrstvo za okolje, podnebje in energijo (upravičenec)</w:t>
                  </w:r>
                </w:p>
              </w:tc>
              <w:tc>
                <w:tcPr>
                  <w:tcW w:w="1654" w:type="dxa"/>
                </w:tcPr>
                <w:p w14:paraId="54819EB1" w14:textId="77777777" w:rsidR="00004820" w:rsidRPr="009E45C0" w:rsidRDefault="00004820" w:rsidP="00004820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9E45C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sl-SI"/>
                    </w:rPr>
                    <w:t>310.600,00</w:t>
                  </w:r>
                </w:p>
              </w:tc>
            </w:tr>
            <w:tr w:rsidR="00004820" w:rsidRPr="009E45C0" w14:paraId="6D5ECAAA" w14:textId="77777777" w:rsidTr="00004820">
              <w:tc>
                <w:tcPr>
                  <w:tcW w:w="1046" w:type="dxa"/>
                </w:tcPr>
                <w:p w14:paraId="3CF7312A" w14:textId="77777777" w:rsidR="00004820" w:rsidRPr="009E45C0" w:rsidRDefault="00004820" w:rsidP="00EE5F34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9E45C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sl-SI"/>
                    </w:rPr>
                    <w:t>SKUPAJ</w:t>
                  </w:r>
                </w:p>
              </w:tc>
              <w:tc>
                <w:tcPr>
                  <w:tcW w:w="6237" w:type="dxa"/>
                </w:tcPr>
                <w:p w14:paraId="7225FDA2" w14:textId="77777777" w:rsidR="00004820" w:rsidRPr="009E45C0" w:rsidRDefault="00004820" w:rsidP="0000482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</w:p>
              </w:tc>
              <w:tc>
                <w:tcPr>
                  <w:tcW w:w="1654" w:type="dxa"/>
                </w:tcPr>
                <w:p w14:paraId="368026D7" w14:textId="77777777" w:rsidR="00004820" w:rsidRPr="009E45C0" w:rsidRDefault="00004820" w:rsidP="00004820">
                  <w:pPr>
                    <w:suppressAutoHyphens w:val="0"/>
                    <w:autoSpaceDE w:val="0"/>
                    <w:autoSpaceDN w:val="0"/>
                    <w:adjustRightInd w:val="0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sl-SI"/>
                    </w:rPr>
                  </w:pPr>
                  <w:r w:rsidRPr="009E45C0">
                    <w:rPr>
                      <w:rFonts w:ascii="Arial" w:hAnsi="Arial" w:cs="Arial"/>
                      <w:color w:val="000000"/>
                      <w:sz w:val="20"/>
                      <w:szCs w:val="20"/>
                      <w:lang w:eastAsia="sl-SI"/>
                    </w:rPr>
                    <w:t>1.250.284,00</w:t>
                  </w:r>
                </w:p>
              </w:tc>
            </w:tr>
          </w:tbl>
          <w:p w14:paraId="6891BD50" w14:textId="77777777" w:rsidR="00004820" w:rsidRPr="009E45C0" w:rsidRDefault="00004820" w:rsidP="00004820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</w:p>
          <w:p w14:paraId="3A189315" w14:textId="3E174BA5" w:rsidR="00851B95" w:rsidRPr="009E45C0" w:rsidRDefault="00FB68E4" w:rsidP="00836D81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b w:val="0"/>
                <w:sz w:val="20"/>
                <w:szCs w:val="20"/>
              </w:rPr>
            </w:pPr>
            <w:r w:rsidRPr="009E45C0">
              <w:rPr>
                <w:b w:val="0"/>
                <w:sz w:val="20"/>
                <w:szCs w:val="20"/>
              </w:rPr>
              <w:t>Slovenij</w:t>
            </w:r>
            <w:r w:rsidR="0044559C" w:rsidRPr="009E45C0">
              <w:rPr>
                <w:b w:val="0"/>
                <w:sz w:val="20"/>
                <w:szCs w:val="20"/>
              </w:rPr>
              <w:t>i pripada upravičen del</w:t>
            </w:r>
            <w:r w:rsidRPr="009E45C0">
              <w:rPr>
                <w:b w:val="0"/>
                <w:sz w:val="20"/>
                <w:szCs w:val="20"/>
              </w:rPr>
              <w:t xml:space="preserve"> v višini 1.</w:t>
            </w:r>
            <w:r w:rsidR="00836D81" w:rsidRPr="009E45C0">
              <w:rPr>
                <w:b w:val="0"/>
                <w:sz w:val="20"/>
                <w:szCs w:val="20"/>
              </w:rPr>
              <w:t>250</w:t>
            </w:r>
            <w:r w:rsidRPr="009E45C0">
              <w:rPr>
                <w:b w:val="0"/>
                <w:sz w:val="20"/>
                <w:szCs w:val="20"/>
              </w:rPr>
              <w:t>.</w:t>
            </w:r>
            <w:r w:rsidR="00836D81" w:rsidRPr="009E45C0">
              <w:rPr>
                <w:b w:val="0"/>
                <w:sz w:val="20"/>
                <w:szCs w:val="20"/>
              </w:rPr>
              <w:t>284</w:t>
            </w:r>
            <w:r w:rsidRPr="009E45C0">
              <w:rPr>
                <w:b w:val="0"/>
                <w:sz w:val="20"/>
                <w:szCs w:val="20"/>
              </w:rPr>
              <w:t xml:space="preserve"> EUR EU sredstev, </w:t>
            </w:r>
            <w:r w:rsidR="00221532" w:rsidRPr="009E45C0">
              <w:rPr>
                <w:b w:val="0"/>
                <w:sz w:val="20"/>
                <w:szCs w:val="20"/>
              </w:rPr>
              <w:t>prav tako</w:t>
            </w:r>
            <w:r w:rsidRPr="009E45C0">
              <w:rPr>
                <w:b w:val="0"/>
                <w:sz w:val="20"/>
                <w:szCs w:val="20"/>
              </w:rPr>
              <w:t xml:space="preserve"> pa mora</w:t>
            </w:r>
            <w:r w:rsidR="00836D81" w:rsidRPr="009E45C0">
              <w:rPr>
                <w:b w:val="0"/>
                <w:sz w:val="20"/>
                <w:szCs w:val="20"/>
              </w:rPr>
              <w:t>ta</w:t>
            </w:r>
            <w:r w:rsidRPr="009E45C0">
              <w:rPr>
                <w:b w:val="0"/>
                <w:sz w:val="20"/>
                <w:szCs w:val="20"/>
              </w:rPr>
              <w:t xml:space="preserve"> Ministrstvo za infrastrukturo </w:t>
            </w:r>
            <w:r w:rsidR="00836D81" w:rsidRPr="009E45C0">
              <w:rPr>
                <w:b w:val="0"/>
                <w:sz w:val="20"/>
                <w:szCs w:val="20"/>
              </w:rPr>
              <w:t xml:space="preserve">in Ministrstvo za okolje, podnebje in energijo </w:t>
            </w:r>
            <w:r w:rsidRPr="009E45C0">
              <w:rPr>
                <w:b w:val="0"/>
                <w:sz w:val="20"/>
                <w:szCs w:val="20"/>
              </w:rPr>
              <w:t>zagotoviti</w:t>
            </w:r>
            <w:r w:rsidR="00221532" w:rsidRPr="009E45C0">
              <w:rPr>
                <w:b w:val="0"/>
                <w:sz w:val="20"/>
                <w:szCs w:val="20"/>
              </w:rPr>
              <w:t xml:space="preserve"> določen del lastne udeležbe (kot neupravičen del sredstev DDV)</w:t>
            </w:r>
            <w:r w:rsidR="009E45C0" w:rsidRPr="009E45C0">
              <w:rPr>
                <w:b w:val="0"/>
                <w:sz w:val="20"/>
                <w:szCs w:val="20"/>
              </w:rPr>
              <w:t>, ta znaša za celotno obdobje 25.273,60 EUR</w:t>
            </w:r>
            <w:r w:rsidR="00221532" w:rsidRPr="009E45C0">
              <w:rPr>
                <w:b w:val="0"/>
                <w:sz w:val="20"/>
                <w:szCs w:val="20"/>
              </w:rPr>
              <w:t xml:space="preserve">. Skupna vrednost projekta tako znaša </w:t>
            </w:r>
            <w:r w:rsidR="00212A6E" w:rsidRPr="009E45C0">
              <w:rPr>
                <w:b w:val="0"/>
                <w:sz w:val="20"/>
                <w:szCs w:val="20"/>
              </w:rPr>
              <w:t>1</w:t>
            </w:r>
            <w:r w:rsidR="00836D81" w:rsidRPr="009E45C0">
              <w:rPr>
                <w:b w:val="0"/>
                <w:sz w:val="20"/>
                <w:szCs w:val="20"/>
              </w:rPr>
              <w:t>.</w:t>
            </w:r>
            <w:r w:rsidR="009E45C0" w:rsidRPr="009E45C0">
              <w:rPr>
                <w:b w:val="0"/>
                <w:sz w:val="20"/>
                <w:szCs w:val="20"/>
              </w:rPr>
              <w:t>275.557,60</w:t>
            </w:r>
            <w:r w:rsidR="00221532" w:rsidRPr="009E45C0">
              <w:rPr>
                <w:b w:val="0"/>
                <w:sz w:val="20"/>
                <w:szCs w:val="20"/>
              </w:rPr>
              <w:t xml:space="preserve"> E</w:t>
            </w:r>
            <w:r w:rsidR="003B6F99" w:rsidRPr="009E45C0">
              <w:rPr>
                <w:b w:val="0"/>
                <w:sz w:val="20"/>
                <w:szCs w:val="20"/>
              </w:rPr>
              <w:t>UR. Projekt bo veljaven 36 mesecev</w:t>
            </w:r>
            <w:r w:rsidR="009B21DA" w:rsidRPr="009E45C0">
              <w:rPr>
                <w:b w:val="0"/>
                <w:sz w:val="20"/>
                <w:szCs w:val="20"/>
              </w:rPr>
              <w:t>.</w:t>
            </w:r>
          </w:p>
          <w:p w14:paraId="5BCF717B" w14:textId="77777777" w:rsidR="00004820" w:rsidRPr="009E45C0" w:rsidRDefault="00004820" w:rsidP="00836D81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6A3E2B" w:rsidRPr="005A3CD7" w14:paraId="230209C1" w14:textId="77777777" w:rsidTr="00CF360B">
        <w:tc>
          <w:tcPr>
            <w:tcW w:w="9163" w:type="dxa"/>
            <w:gridSpan w:val="4"/>
          </w:tcPr>
          <w:p w14:paraId="28496706" w14:textId="77777777" w:rsidR="006A3E2B" w:rsidRPr="005A3CD7" w:rsidRDefault="006A3E2B" w:rsidP="00CF360B">
            <w:pPr>
              <w:pStyle w:val="Neotevilenodstavek"/>
              <w:spacing w:before="0" w:after="0" w:line="260" w:lineRule="exact"/>
              <w:rPr>
                <w:iCs/>
                <w:color w:val="000000"/>
                <w:sz w:val="20"/>
                <w:szCs w:val="20"/>
              </w:rPr>
            </w:pPr>
          </w:p>
        </w:tc>
      </w:tr>
      <w:tr w:rsidR="006A3E2B" w:rsidRPr="005A3CD7" w14:paraId="5BE65D58" w14:textId="77777777" w:rsidTr="00CF360B">
        <w:tc>
          <w:tcPr>
            <w:tcW w:w="9163" w:type="dxa"/>
            <w:gridSpan w:val="4"/>
          </w:tcPr>
          <w:p w14:paraId="203CE9E9" w14:textId="77777777" w:rsidR="006A3E2B" w:rsidRPr="005A3CD7" w:rsidRDefault="006A3E2B" w:rsidP="00CF360B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6. Presoja posledic za:</w:t>
            </w:r>
          </w:p>
        </w:tc>
      </w:tr>
      <w:tr w:rsidR="006A3E2B" w:rsidRPr="005A3CD7" w14:paraId="3799074E" w14:textId="77777777" w:rsidTr="00CF360B">
        <w:tc>
          <w:tcPr>
            <w:tcW w:w="1448" w:type="dxa"/>
          </w:tcPr>
          <w:p w14:paraId="2F97E0AC" w14:textId="77777777" w:rsidR="006A3E2B" w:rsidRPr="005A3CD7" w:rsidRDefault="006A3E2B" w:rsidP="00CF360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2"/>
          </w:tcPr>
          <w:p w14:paraId="7092E8F1" w14:textId="77777777" w:rsidR="006A3E2B" w:rsidRPr="005A3CD7" w:rsidRDefault="006A3E2B" w:rsidP="00CF360B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271" w:type="dxa"/>
            <w:vAlign w:val="center"/>
          </w:tcPr>
          <w:p w14:paraId="4EFF6A2C" w14:textId="77777777" w:rsidR="006A3E2B" w:rsidRPr="005A3CD7" w:rsidRDefault="006A3E2B" w:rsidP="00CF360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800A84">
              <w:rPr>
                <w:b/>
                <w:sz w:val="20"/>
                <w:szCs w:val="20"/>
              </w:rPr>
              <w:t>DA</w:t>
            </w:r>
            <w:r w:rsidRPr="005A3CD7">
              <w:rPr>
                <w:sz w:val="20"/>
                <w:szCs w:val="20"/>
              </w:rPr>
              <w:t>/</w:t>
            </w:r>
            <w:r w:rsidRPr="00800A84">
              <w:rPr>
                <w:sz w:val="20"/>
                <w:szCs w:val="20"/>
              </w:rPr>
              <w:t>NE</w:t>
            </w:r>
          </w:p>
        </w:tc>
      </w:tr>
      <w:tr w:rsidR="006A3E2B" w:rsidRPr="005A3CD7" w14:paraId="7587FEE5" w14:textId="77777777" w:rsidTr="00CF360B">
        <w:tc>
          <w:tcPr>
            <w:tcW w:w="1448" w:type="dxa"/>
          </w:tcPr>
          <w:p w14:paraId="04BA15B4" w14:textId="77777777" w:rsidR="006A3E2B" w:rsidRPr="005A3CD7" w:rsidRDefault="006A3E2B" w:rsidP="00CF360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2"/>
          </w:tcPr>
          <w:p w14:paraId="71DF501D" w14:textId="77777777" w:rsidR="006A3E2B" w:rsidRPr="005A3CD7" w:rsidRDefault="006A3E2B" w:rsidP="00CF360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71" w:type="dxa"/>
            <w:vAlign w:val="center"/>
          </w:tcPr>
          <w:p w14:paraId="1F114B71" w14:textId="77777777" w:rsidR="006A3E2B" w:rsidRPr="005A3CD7" w:rsidRDefault="006A3E2B" w:rsidP="00CF360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DA/</w:t>
            </w:r>
            <w:r w:rsidRPr="005A3CD7">
              <w:rPr>
                <w:b/>
                <w:sz w:val="20"/>
                <w:szCs w:val="20"/>
              </w:rPr>
              <w:t>NE</w:t>
            </w:r>
          </w:p>
        </w:tc>
      </w:tr>
      <w:tr w:rsidR="006A3E2B" w:rsidRPr="005A3CD7" w14:paraId="5F3A3B36" w14:textId="77777777" w:rsidTr="00CF360B">
        <w:tc>
          <w:tcPr>
            <w:tcW w:w="1448" w:type="dxa"/>
          </w:tcPr>
          <w:p w14:paraId="7D4A9704" w14:textId="77777777" w:rsidR="006A3E2B" w:rsidRPr="005A3CD7" w:rsidRDefault="006A3E2B" w:rsidP="00CF360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2"/>
          </w:tcPr>
          <w:p w14:paraId="31907029" w14:textId="77777777" w:rsidR="006A3E2B" w:rsidRPr="005A3CD7" w:rsidRDefault="006A3E2B" w:rsidP="00CF360B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71" w:type="dxa"/>
            <w:vAlign w:val="center"/>
          </w:tcPr>
          <w:p w14:paraId="0D2BAA8A" w14:textId="77777777" w:rsidR="006A3E2B" w:rsidRPr="005A3CD7" w:rsidRDefault="006A3E2B" w:rsidP="00CF360B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DA/</w:t>
            </w:r>
            <w:r w:rsidRPr="005A3CD7">
              <w:rPr>
                <w:b/>
                <w:sz w:val="20"/>
                <w:szCs w:val="20"/>
              </w:rPr>
              <w:t>NE</w:t>
            </w:r>
          </w:p>
        </w:tc>
      </w:tr>
      <w:tr w:rsidR="006A3E2B" w:rsidRPr="005A3CD7" w14:paraId="4C88264A" w14:textId="77777777" w:rsidTr="00CF360B">
        <w:tc>
          <w:tcPr>
            <w:tcW w:w="1448" w:type="dxa"/>
          </w:tcPr>
          <w:p w14:paraId="57FE609B" w14:textId="77777777" w:rsidR="006A3E2B" w:rsidRPr="005A3CD7" w:rsidRDefault="006A3E2B" w:rsidP="00CF360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2"/>
          </w:tcPr>
          <w:p w14:paraId="54CCF9EB" w14:textId="77777777" w:rsidR="006A3E2B" w:rsidRPr="005A3CD7" w:rsidRDefault="006A3E2B" w:rsidP="00CF360B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gospodarstvo, zlasti</w:t>
            </w:r>
            <w:r w:rsidRPr="005A3CD7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71" w:type="dxa"/>
            <w:vAlign w:val="center"/>
          </w:tcPr>
          <w:p w14:paraId="569C7D84" w14:textId="77777777" w:rsidR="006A3E2B" w:rsidRPr="005A3CD7" w:rsidRDefault="006A3E2B" w:rsidP="00CF360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DA/</w:t>
            </w:r>
            <w:r w:rsidRPr="005A3CD7">
              <w:rPr>
                <w:b/>
                <w:sz w:val="20"/>
                <w:szCs w:val="20"/>
              </w:rPr>
              <w:t>NE</w:t>
            </w:r>
          </w:p>
        </w:tc>
      </w:tr>
      <w:tr w:rsidR="006A3E2B" w:rsidRPr="005A3CD7" w14:paraId="1F318BED" w14:textId="77777777" w:rsidTr="00CF360B">
        <w:tc>
          <w:tcPr>
            <w:tcW w:w="1448" w:type="dxa"/>
          </w:tcPr>
          <w:p w14:paraId="1E31CFF5" w14:textId="77777777" w:rsidR="006A3E2B" w:rsidRPr="005A3CD7" w:rsidRDefault="006A3E2B" w:rsidP="00CF360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2"/>
          </w:tcPr>
          <w:p w14:paraId="7803B321" w14:textId="77777777" w:rsidR="006A3E2B" w:rsidRPr="005A3CD7" w:rsidRDefault="006A3E2B" w:rsidP="00CF360B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5A3CD7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271" w:type="dxa"/>
            <w:vAlign w:val="center"/>
          </w:tcPr>
          <w:p w14:paraId="40FC03FB" w14:textId="77777777" w:rsidR="006A3E2B" w:rsidRPr="005A3CD7" w:rsidRDefault="006A3E2B" w:rsidP="00CF360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DA/</w:t>
            </w:r>
            <w:r w:rsidRPr="005A3CD7">
              <w:rPr>
                <w:b/>
                <w:sz w:val="20"/>
                <w:szCs w:val="20"/>
              </w:rPr>
              <w:t>NE</w:t>
            </w:r>
          </w:p>
        </w:tc>
      </w:tr>
      <w:tr w:rsidR="006A3E2B" w:rsidRPr="005A3CD7" w14:paraId="22161D44" w14:textId="77777777" w:rsidTr="00CF360B">
        <w:tc>
          <w:tcPr>
            <w:tcW w:w="1448" w:type="dxa"/>
          </w:tcPr>
          <w:p w14:paraId="4AD1D179" w14:textId="77777777" w:rsidR="006A3E2B" w:rsidRPr="005A3CD7" w:rsidRDefault="006A3E2B" w:rsidP="00CF360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2"/>
          </w:tcPr>
          <w:p w14:paraId="6E5DE8A5" w14:textId="77777777" w:rsidR="006A3E2B" w:rsidRPr="005A3CD7" w:rsidRDefault="006A3E2B" w:rsidP="00CF360B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5A3CD7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71" w:type="dxa"/>
            <w:vAlign w:val="center"/>
          </w:tcPr>
          <w:p w14:paraId="23B2EC0B" w14:textId="77777777" w:rsidR="006A3E2B" w:rsidRPr="005A3CD7" w:rsidRDefault="006A3E2B" w:rsidP="00CF360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DA/</w:t>
            </w:r>
            <w:r w:rsidRPr="005A3CD7">
              <w:rPr>
                <w:b/>
                <w:sz w:val="20"/>
                <w:szCs w:val="20"/>
              </w:rPr>
              <w:t>NE</w:t>
            </w:r>
          </w:p>
        </w:tc>
      </w:tr>
      <w:tr w:rsidR="006A3E2B" w:rsidRPr="005A3CD7" w14:paraId="0084F13B" w14:textId="77777777" w:rsidTr="00CF360B">
        <w:tc>
          <w:tcPr>
            <w:tcW w:w="1448" w:type="dxa"/>
            <w:tcBorders>
              <w:bottom w:val="single" w:sz="4" w:space="0" w:color="auto"/>
            </w:tcBorders>
          </w:tcPr>
          <w:p w14:paraId="456D872E" w14:textId="77777777" w:rsidR="006A3E2B" w:rsidRPr="005A3CD7" w:rsidRDefault="006A3E2B" w:rsidP="00CF360B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2"/>
            <w:tcBorders>
              <w:bottom w:val="single" w:sz="4" w:space="0" w:color="auto"/>
            </w:tcBorders>
          </w:tcPr>
          <w:p w14:paraId="15E7C282" w14:textId="77777777" w:rsidR="006A3E2B" w:rsidRPr="005A3CD7" w:rsidRDefault="006A3E2B" w:rsidP="00CF360B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5A3CD7">
              <w:rPr>
                <w:bCs/>
                <w:sz w:val="20"/>
                <w:szCs w:val="20"/>
              </w:rPr>
              <w:t>dokumente razvojnega načrtovanja:</w:t>
            </w:r>
          </w:p>
          <w:p w14:paraId="771DC40C" w14:textId="77777777" w:rsidR="006A3E2B" w:rsidRPr="005A3CD7" w:rsidRDefault="006A3E2B" w:rsidP="00CF360B">
            <w:pPr>
              <w:pStyle w:val="Neotevilenodstavek"/>
              <w:numPr>
                <w:ilvl w:val="0"/>
                <w:numId w:val="3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5A3CD7">
              <w:rPr>
                <w:bCs/>
                <w:sz w:val="20"/>
                <w:szCs w:val="20"/>
              </w:rPr>
              <w:t>nacionalne dokumente razvojnega načrtovanja</w:t>
            </w:r>
          </w:p>
          <w:p w14:paraId="4BF703DC" w14:textId="77777777" w:rsidR="006A3E2B" w:rsidRPr="005A3CD7" w:rsidRDefault="006A3E2B" w:rsidP="00CF360B">
            <w:pPr>
              <w:pStyle w:val="Neotevilenodstavek"/>
              <w:numPr>
                <w:ilvl w:val="0"/>
                <w:numId w:val="3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5A3CD7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5E5BE05E" w14:textId="77777777" w:rsidR="006A3E2B" w:rsidRPr="005A3CD7" w:rsidRDefault="006A3E2B" w:rsidP="00CF360B">
            <w:pPr>
              <w:pStyle w:val="Neotevilenodstavek"/>
              <w:numPr>
                <w:ilvl w:val="0"/>
                <w:numId w:val="3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5A3CD7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14:paraId="05BB6100" w14:textId="77777777" w:rsidR="006A3E2B" w:rsidRPr="005A3CD7" w:rsidRDefault="006A3E2B" w:rsidP="00CF360B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DA/</w:t>
            </w:r>
            <w:r w:rsidRPr="005A3CD7">
              <w:rPr>
                <w:b/>
                <w:sz w:val="20"/>
                <w:szCs w:val="20"/>
              </w:rPr>
              <w:t>NE</w:t>
            </w:r>
          </w:p>
        </w:tc>
      </w:tr>
      <w:tr w:rsidR="006A3E2B" w:rsidRPr="005A3CD7" w14:paraId="422E6B83" w14:textId="77777777" w:rsidTr="00CF360B">
        <w:tc>
          <w:tcPr>
            <w:tcW w:w="9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8B4" w14:textId="77777777" w:rsidR="006A3E2B" w:rsidRPr="005A3CD7" w:rsidRDefault="006A3E2B" w:rsidP="00CF360B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7.a Predstavitev ocene finančnih posledic nad 40.000 EUR:</w:t>
            </w:r>
          </w:p>
          <w:p w14:paraId="7F859191" w14:textId="77777777" w:rsidR="006A3E2B" w:rsidRPr="005A3CD7" w:rsidRDefault="006A3E2B" w:rsidP="00CF360B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14:paraId="09DF5E2E" w14:textId="77777777" w:rsidR="006A3E2B" w:rsidRPr="005A3CD7" w:rsidRDefault="006A3E2B" w:rsidP="006A3E2B">
      <w:pPr>
        <w:spacing w:line="260" w:lineRule="exact"/>
        <w:rPr>
          <w:rFonts w:ascii="Arial" w:hAnsi="Arial" w:cs="Arial"/>
          <w:vanish/>
          <w:sz w:val="20"/>
          <w:szCs w:val="20"/>
        </w:rPr>
      </w:pPr>
    </w:p>
    <w:tbl>
      <w:tblPr>
        <w:tblW w:w="9201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9"/>
        <w:gridCol w:w="875"/>
        <w:gridCol w:w="739"/>
        <w:gridCol w:w="1102"/>
        <w:gridCol w:w="1449"/>
        <w:gridCol w:w="566"/>
        <w:gridCol w:w="852"/>
        <w:gridCol w:w="1559"/>
      </w:tblGrid>
      <w:tr w:rsidR="006A3E2B" w:rsidRPr="005A3CD7" w14:paraId="23C871C7" w14:textId="77777777" w:rsidTr="00773128">
        <w:trPr>
          <w:cantSplit/>
          <w:trHeight w:val="35"/>
        </w:trPr>
        <w:tc>
          <w:tcPr>
            <w:tcW w:w="9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2CB92A" w14:textId="77777777" w:rsidR="006A3E2B" w:rsidRPr="005A3CD7" w:rsidRDefault="006A3E2B" w:rsidP="00CF360B">
            <w:pPr>
              <w:pStyle w:val="Naslov1"/>
              <w:keepNext w:val="0"/>
              <w:pageBreakBefore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lastRenderedPageBreak/>
              <w:t>I. Ocena finančnih posledic, ki niso načrtovane v sprejetem proračunu</w:t>
            </w:r>
          </w:p>
        </w:tc>
      </w:tr>
      <w:tr w:rsidR="006A3E2B" w:rsidRPr="005A3CD7" w14:paraId="1C32557F" w14:textId="77777777" w:rsidTr="002400FD">
        <w:trPr>
          <w:cantSplit/>
          <w:trHeight w:val="276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99E3" w14:textId="77777777" w:rsidR="006A3E2B" w:rsidRPr="005A3CD7" w:rsidRDefault="006A3E2B" w:rsidP="00CF360B">
            <w:pPr>
              <w:widowControl w:val="0"/>
              <w:spacing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974F4" w14:textId="77777777" w:rsidR="006A3E2B" w:rsidRPr="005A3CD7" w:rsidRDefault="006A3E2B" w:rsidP="00CF360B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>Tekoče leto (t)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862A" w14:textId="77777777" w:rsidR="006A3E2B" w:rsidRPr="005A3CD7" w:rsidRDefault="006A3E2B" w:rsidP="00CF360B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C4B6" w14:textId="77777777" w:rsidR="006A3E2B" w:rsidRPr="005A3CD7" w:rsidRDefault="006A3E2B" w:rsidP="00CF360B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>t + 2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5096" w14:textId="77777777" w:rsidR="006A3E2B" w:rsidRPr="005A3CD7" w:rsidRDefault="006A3E2B" w:rsidP="00CF360B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>t + 3</w:t>
            </w:r>
          </w:p>
        </w:tc>
      </w:tr>
      <w:tr w:rsidR="006A3E2B" w:rsidRPr="005A3CD7" w14:paraId="086045F8" w14:textId="77777777" w:rsidTr="002400FD">
        <w:trPr>
          <w:cantSplit/>
          <w:trHeight w:val="423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BC28" w14:textId="77777777" w:rsidR="006A3E2B" w:rsidRPr="005A3CD7" w:rsidRDefault="006A3E2B" w:rsidP="00CF360B">
            <w:pPr>
              <w:widowControl w:val="0"/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5A3CD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5A3CD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A3CD7">
              <w:rPr>
                <w:rFonts w:ascii="Arial" w:hAnsi="Arial" w:cs="Arial"/>
                <w:bCs/>
                <w:sz w:val="20"/>
                <w:szCs w:val="20"/>
              </w:rPr>
              <w:t xml:space="preserve">) prihodkov državnega proračuna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2E42" w14:textId="77777777" w:rsidR="006A3E2B" w:rsidRPr="005A3CD7" w:rsidRDefault="006A3E2B" w:rsidP="00CF36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911C" w14:textId="77777777" w:rsidR="006A3E2B" w:rsidRPr="005A3CD7" w:rsidRDefault="006A3E2B" w:rsidP="00CF36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D807" w14:textId="77777777" w:rsidR="006A3E2B" w:rsidRPr="005A3CD7" w:rsidRDefault="006A3E2B" w:rsidP="00CF36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8439" w14:textId="77777777" w:rsidR="006A3E2B" w:rsidRPr="005A3CD7" w:rsidRDefault="006A3E2B" w:rsidP="00CF36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A3E2B" w:rsidRPr="005A3CD7" w14:paraId="208E101D" w14:textId="77777777" w:rsidTr="002400FD">
        <w:trPr>
          <w:cantSplit/>
          <w:trHeight w:val="423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E49A" w14:textId="77777777" w:rsidR="006A3E2B" w:rsidRPr="005A3CD7" w:rsidRDefault="006A3E2B" w:rsidP="00CF360B">
            <w:pPr>
              <w:widowControl w:val="0"/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5A3CD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5A3CD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A3CD7">
              <w:rPr>
                <w:rFonts w:ascii="Arial" w:hAnsi="Arial" w:cs="Arial"/>
                <w:bCs/>
                <w:sz w:val="20"/>
                <w:szCs w:val="20"/>
              </w:rPr>
              <w:t xml:space="preserve">) prihodkov občinskih proračunov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D9EA" w14:textId="77777777" w:rsidR="006A3E2B" w:rsidRPr="005A3CD7" w:rsidRDefault="006A3E2B" w:rsidP="00CF36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A420" w14:textId="77777777" w:rsidR="006A3E2B" w:rsidRPr="005A3CD7" w:rsidRDefault="006A3E2B" w:rsidP="00CF36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295B" w14:textId="77777777" w:rsidR="006A3E2B" w:rsidRPr="005A3CD7" w:rsidRDefault="006A3E2B" w:rsidP="00CF36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26EB5" w14:textId="77777777" w:rsidR="006A3E2B" w:rsidRPr="005A3CD7" w:rsidRDefault="006A3E2B" w:rsidP="00CF36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A3E2B" w:rsidRPr="005A3CD7" w14:paraId="6F80B11F" w14:textId="77777777" w:rsidTr="002400FD">
        <w:trPr>
          <w:cantSplit/>
          <w:trHeight w:val="423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F3C4" w14:textId="77777777" w:rsidR="006A3E2B" w:rsidRPr="005A3CD7" w:rsidRDefault="006A3E2B" w:rsidP="00CF360B">
            <w:pPr>
              <w:widowControl w:val="0"/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5A3CD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5A3CD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A3CD7">
              <w:rPr>
                <w:rFonts w:ascii="Arial" w:hAnsi="Arial" w:cs="Arial"/>
                <w:bCs/>
                <w:sz w:val="20"/>
                <w:szCs w:val="20"/>
              </w:rPr>
              <w:t xml:space="preserve">) odhodkov državnega proračuna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067C4" w14:textId="77777777" w:rsidR="006A3E2B" w:rsidRPr="005A3CD7" w:rsidRDefault="006A3E2B" w:rsidP="00CF360B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A193" w14:textId="77777777" w:rsidR="006A3E2B" w:rsidRPr="005A3CD7" w:rsidRDefault="006A3E2B" w:rsidP="00CF360B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2FF0" w14:textId="77777777" w:rsidR="006A3E2B" w:rsidRPr="005A3CD7" w:rsidRDefault="006A3E2B" w:rsidP="00CF360B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D21E" w14:textId="77777777" w:rsidR="006A3E2B" w:rsidRPr="005A3CD7" w:rsidRDefault="006A3E2B" w:rsidP="00CF360B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E2B" w:rsidRPr="005A3CD7" w14:paraId="5A64B4A2" w14:textId="77777777" w:rsidTr="002400FD">
        <w:trPr>
          <w:cantSplit/>
          <w:trHeight w:val="623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E594" w14:textId="77777777" w:rsidR="006A3E2B" w:rsidRPr="005A3CD7" w:rsidRDefault="006A3E2B" w:rsidP="00CF360B">
            <w:pPr>
              <w:widowControl w:val="0"/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5A3CD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5A3CD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A3CD7">
              <w:rPr>
                <w:rFonts w:ascii="Arial" w:hAnsi="Arial" w:cs="Arial"/>
                <w:bCs/>
                <w:sz w:val="20"/>
                <w:szCs w:val="20"/>
              </w:rPr>
              <w:t>) odhodkov občinskih proračunov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2739" w14:textId="77777777" w:rsidR="006A3E2B" w:rsidRPr="005A3CD7" w:rsidRDefault="006A3E2B" w:rsidP="00CF360B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81FB" w14:textId="77777777" w:rsidR="006A3E2B" w:rsidRPr="005A3CD7" w:rsidRDefault="006A3E2B" w:rsidP="00CF360B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76F0" w14:textId="77777777" w:rsidR="006A3E2B" w:rsidRPr="005A3CD7" w:rsidRDefault="006A3E2B" w:rsidP="00CF360B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BF95" w14:textId="77777777" w:rsidR="006A3E2B" w:rsidRPr="005A3CD7" w:rsidRDefault="006A3E2B" w:rsidP="00CF360B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E2B" w:rsidRPr="005A3CD7" w14:paraId="49423CE4" w14:textId="77777777" w:rsidTr="002400FD">
        <w:trPr>
          <w:cantSplit/>
          <w:trHeight w:val="423"/>
        </w:trPr>
        <w:tc>
          <w:tcPr>
            <w:tcW w:w="2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8E48" w14:textId="77777777" w:rsidR="006A3E2B" w:rsidRPr="005A3CD7" w:rsidRDefault="006A3E2B" w:rsidP="00CF360B">
            <w:pPr>
              <w:widowControl w:val="0"/>
              <w:spacing w:line="260" w:lineRule="exact"/>
              <w:rPr>
                <w:rFonts w:ascii="Arial" w:hAnsi="Arial" w:cs="Arial"/>
                <w:bCs/>
                <w:sz w:val="20"/>
                <w:szCs w:val="20"/>
              </w:rPr>
            </w:pPr>
            <w:r w:rsidRPr="005A3CD7">
              <w:rPr>
                <w:rFonts w:ascii="Arial" w:hAnsi="Arial" w:cs="Arial"/>
                <w:bCs/>
                <w:sz w:val="20"/>
                <w:szCs w:val="20"/>
              </w:rPr>
              <w:t>Predvideno povečanje (+) ali zmanjšanje (</w:t>
            </w:r>
            <w:r w:rsidRPr="005A3CD7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5A3CD7">
              <w:rPr>
                <w:rFonts w:ascii="Arial" w:hAnsi="Arial" w:cs="Arial"/>
                <w:bCs/>
                <w:sz w:val="20"/>
                <w:szCs w:val="20"/>
              </w:rPr>
              <w:t>) obveznosti za druga javnofinančna sredstva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3B6C" w14:textId="77777777" w:rsidR="006A3E2B" w:rsidRPr="005A3CD7" w:rsidRDefault="006A3E2B" w:rsidP="00CF36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5ADA" w14:textId="77777777" w:rsidR="006A3E2B" w:rsidRPr="005A3CD7" w:rsidRDefault="006A3E2B" w:rsidP="00CF36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3504" w14:textId="77777777" w:rsidR="006A3E2B" w:rsidRPr="005A3CD7" w:rsidRDefault="006A3E2B" w:rsidP="00CF36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8970" w14:textId="77777777" w:rsidR="006A3E2B" w:rsidRPr="005A3CD7" w:rsidRDefault="006A3E2B" w:rsidP="00CF360B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A3E2B" w:rsidRPr="005A3CD7" w14:paraId="279E2516" w14:textId="77777777" w:rsidTr="00773128">
        <w:trPr>
          <w:cantSplit/>
          <w:trHeight w:val="257"/>
        </w:trPr>
        <w:tc>
          <w:tcPr>
            <w:tcW w:w="9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26E14E" w14:textId="77777777" w:rsidR="006A3E2B" w:rsidRPr="005A3CD7" w:rsidRDefault="006A3E2B" w:rsidP="00CF360B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II. Finančne posledice za državni proračun</w:t>
            </w:r>
          </w:p>
        </w:tc>
      </w:tr>
      <w:tr w:rsidR="006A3E2B" w:rsidRPr="005A3CD7" w14:paraId="481373F4" w14:textId="77777777" w:rsidTr="00773128">
        <w:trPr>
          <w:cantSplit/>
          <w:trHeight w:val="257"/>
        </w:trPr>
        <w:tc>
          <w:tcPr>
            <w:tcW w:w="9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90175DC" w14:textId="77777777" w:rsidR="006A3E2B" w:rsidRPr="005A3CD7" w:rsidRDefault="006A3E2B" w:rsidP="00CF360B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sz w:val="20"/>
                <w:szCs w:val="20"/>
              </w:rPr>
            </w:pPr>
            <w:proofErr w:type="spellStart"/>
            <w:r w:rsidRPr="005A3CD7">
              <w:rPr>
                <w:sz w:val="20"/>
                <w:szCs w:val="20"/>
              </w:rPr>
              <w:t>II.a</w:t>
            </w:r>
            <w:proofErr w:type="spellEnd"/>
            <w:r w:rsidRPr="005A3CD7">
              <w:rPr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6A3E2B" w:rsidRPr="005A3CD7" w14:paraId="59F89786" w14:textId="77777777" w:rsidTr="002400FD">
        <w:trPr>
          <w:cantSplit/>
          <w:trHeight w:val="1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3B5F" w14:textId="77777777" w:rsidR="006A3E2B" w:rsidRPr="005A3CD7" w:rsidRDefault="006A3E2B" w:rsidP="00CF360B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7C4A" w14:textId="77777777" w:rsidR="006A3E2B" w:rsidRPr="005A3CD7" w:rsidRDefault="006A3E2B" w:rsidP="00CF360B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CF04" w14:textId="77777777" w:rsidR="006A3E2B" w:rsidRPr="005A3CD7" w:rsidRDefault="006A3E2B" w:rsidP="00CF360B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>Šifra in naziv proračunske postavke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A5C5" w14:textId="77777777" w:rsidR="006A3E2B" w:rsidRPr="005A3CD7" w:rsidRDefault="006A3E2B" w:rsidP="00CF360B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8D50" w14:textId="77777777" w:rsidR="002400FD" w:rsidRDefault="006A3E2B" w:rsidP="00CF360B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 xml:space="preserve">Znesek za </w:t>
            </w:r>
          </w:p>
          <w:p w14:paraId="61C83DD2" w14:textId="08D89B46" w:rsidR="006A3E2B" w:rsidRPr="005A3CD7" w:rsidRDefault="006A3E2B" w:rsidP="00CF360B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>t + 1</w:t>
            </w:r>
          </w:p>
        </w:tc>
      </w:tr>
      <w:tr w:rsidR="002400FD" w:rsidRPr="005A3CD7" w14:paraId="54FF5902" w14:textId="77777777" w:rsidTr="002400FD">
        <w:trPr>
          <w:cantSplit/>
          <w:trHeight w:val="373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E1A6" w14:textId="1D0AF695" w:rsidR="002400FD" w:rsidRPr="005A3CD7" w:rsidRDefault="002400FD" w:rsidP="002400FD">
            <w:pPr>
              <w:widowControl w:val="0"/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Ministrstvo za infrastrukturo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5B59" w14:textId="60B96C65" w:rsidR="002400FD" w:rsidRPr="005A3CD7" w:rsidRDefault="002400FD" w:rsidP="002400FD">
            <w:pPr>
              <w:widowControl w:val="0"/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2430-25-0003 </w:t>
            </w:r>
            <w:r w:rsidRPr="002400FD">
              <w:rPr>
                <w:rFonts w:ascii="Arial" w:hAnsi="Arial" w:cs="Arial"/>
                <w:sz w:val="20"/>
                <w:szCs w:val="20"/>
              </w:rPr>
              <w:t>Teh. pomoč za implementacijo projektov IPE 25-27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26D76" w14:textId="3153FC74" w:rsidR="002400FD" w:rsidRDefault="002400FD" w:rsidP="002400FD">
            <w:pPr>
              <w:widowControl w:val="0"/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221076 - </w:t>
            </w:r>
            <w:r w:rsidRPr="002400FD">
              <w:rPr>
                <w:rFonts w:ascii="Arial" w:hAnsi="Arial" w:cs="Arial"/>
                <w:sz w:val="20"/>
                <w:szCs w:val="20"/>
              </w:rPr>
              <w:t>Vseevropsko omrežje - IPE 21-27 - EU</w:t>
            </w:r>
          </w:p>
          <w:p w14:paraId="22672818" w14:textId="47CB7774" w:rsidR="002400FD" w:rsidRPr="005A3CD7" w:rsidRDefault="002400FD" w:rsidP="002400FD">
            <w:pPr>
              <w:widowControl w:val="0"/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F47C" w14:textId="526A07B6" w:rsidR="002400FD" w:rsidRPr="005A3CD7" w:rsidRDefault="002400FD" w:rsidP="002B5AEF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3C18" w14:textId="786F9F40" w:rsidR="002400FD" w:rsidRPr="005A3CD7" w:rsidRDefault="002400FD" w:rsidP="002B5AEF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FD">
              <w:rPr>
                <w:rFonts w:ascii="Arial" w:hAnsi="Arial" w:cs="Arial"/>
                <w:sz w:val="20"/>
                <w:szCs w:val="20"/>
              </w:rPr>
              <w:t>0,00</w:t>
            </w:r>
            <w:r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400FD" w:rsidRPr="005A3CD7" w14:paraId="17A0DA79" w14:textId="77777777" w:rsidTr="002400FD">
        <w:trPr>
          <w:cantSplit/>
          <w:trHeight w:val="373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306D" w14:textId="176FDF26" w:rsidR="002400FD" w:rsidRPr="005A3CD7" w:rsidRDefault="002400FD" w:rsidP="002400FD">
            <w:pPr>
              <w:widowControl w:val="0"/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Ministrstvo za infrastrukturo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8CC9" w14:textId="67F98F03" w:rsidR="002400FD" w:rsidRPr="005A3CD7" w:rsidRDefault="002400FD" w:rsidP="002400FD">
            <w:pPr>
              <w:widowControl w:val="0"/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2430-25-0003 </w:t>
            </w:r>
            <w:r w:rsidRPr="002400FD">
              <w:rPr>
                <w:rFonts w:ascii="Arial" w:hAnsi="Arial" w:cs="Arial"/>
                <w:sz w:val="20"/>
                <w:szCs w:val="20"/>
              </w:rPr>
              <w:t>Teh. pomoč za implementacijo projektov IPE 25-27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9D90" w14:textId="7D3D1AA9" w:rsidR="002400FD" w:rsidRPr="005A3CD7" w:rsidRDefault="002400FD" w:rsidP="002400FD">
            <w:pPr>
              <w:widowControl w:val="0"/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221077 - </w:t>
            </w:r>
            <w:r w:rsidRPr="002400FD">
              <w:rPr>
                <w:rFonts w:ascii="Arial" w:hAnsi="Arial" w:cs="Arial"/>
                <w:sz w:val="20"/>
                <w:szCs w:val="20"/>
              </w:rPr>
              <w:t>Vseevropsko omrežje - IPE 21-27 - slovenska udeležba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6D09" w14:textId="4C9889B5" w:rsidR="002400FD" w:rsidRPr="005A3CD7" w:rsidRDefault="002400FD" w:rsidP="002B5AEF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FD">
              <w:rPr>
                <w:rFonts w:ascii="Arial" w:hAnsi="Arial" w:cs="Arial"/>
                <w:sz w:val="20"/>
                <w:szCs w:val="20"/>
              </w:rPr>
              <w:t>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E1C3" w14:textId="577120E7" w:rsidR="002400FD" w:rsidRPr="005A3CD7" w:rsidRDefault="002400FD" w:rsidP="002B5AEF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FD">
              <w:rPr>
                <w:rFonts w:ascii="Arial" w:hAnsi="Arial" w:cs="Arial"/>
                <w:sz w:val="20"/>
                <w:szCs w:val="20"/>
              </w:rPr>
              <w:t>0,00</w:t>
            </w:r>
            <w:r>
              <w:rPr>
                <w:rFonts w:ascii="Arial" w:hAnsi="Arial" w:cs="Arial"/>
                <w:sz w:val="20"/>
                <w:szCs w:val="20"/>
              </w:rPr>
              <w:t xml:space="preserve"> EUR</w:t>
            </w:r>
          </w:p>
        </w:tc>
      </w:tr>
      <w:tr w:rsidR="002400FD" w:rsidRPr="005A3CD7" w14:paraId="077C4ABD" w14:textId="77777777" w:rsidTr="002400FD">
        <w:trPr>
          <w:cantSplit/>
          <w:trHeight w:val="328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0677F8" w14:textId="75720E8A" w:rsidR="002400FD" w:rsidRPr="00770CBF" w:rsidRDefault="002400FD" w:rsidP="002400FD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Ministrstvo za okolje, podnebje in energijo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5418F" w14:textId="05A91DAB" w:rsidR="002400FD" w:rsidRPr="00AF608D" w:rsidRDefault="002400FD" w:rsidP="002400FD">
            <w:pPr>
              <w:widowControl w:val="0"/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2430-25-0003 </w:t>
            </w:r>
            <w:r w:rsidRPr="002400FD">
              <w:rPr>
                <w:rFonts w:ascii="Arial" w:hAnsi="Arial" w:cs="Arial"/>
                <w:sz w:val="20"/>
                <w:szCs w:val="20"/>
              </w:rPr>
              <w:t>Teh. pomoč za implementacijo projektov IPE 25-27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20C3F8" w14:textId="3B563DEA" w:rsidR="002400FD" w:rsidRPr="002400FD" w:rsidRDefault="002400FD" w:rsidP="002400FD">
            <w:pPr>
              <w:widowControl w:val="0"/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400FD">
              <w:rPr>
                <w:rFonts w:ascii="Arial" w:hAnsi="Arial" w:cs="Arial"/>
                <w:sz w:val="20"/>
                <w:szCs w:val="20"/>
              </w:rPr>
              <w:t>241091 - EU 21-27 Centralizirani in drugi programi EU - prometna politika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AE3B3" w14:textId="1F489A92" w:rsidR="002400FD" w:rsidRPr="002400FD" w:rsidRDefault="002400FD" w:rsidP="002B5AE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kern w:val="0"/>
                <w:sz w:val="20"/>
                <w:szCs w:val="20"/>
                <w:lang w:eastAsia="ar-SA"/>
              </w:rPr>
            </w:pPr>
            <w:r w:rsidRPr="002400FD">
              <w:rPr>
                <w:b w:val="0"/>
                <w:bCs w:val="0"/>
                <w:kern w:val="0"/>
                <w:sz w:val="20"/>
                <w:szCs w:val="20"/>
                <w:lang w:eastAsia="ar-SA"/>
              </w:rPr>
              <w:t>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E255E" w14:textId="162CC52B" w:rsidR="002400FD" w:rsidRPr="002400FD" w:rsidRDefault="002400FD" w:rsidP="002B5AE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kern w:val="0"/>
                <w:sz w:val="20"/>
                <w:szCs w:val="20"/>
                <w:lang w:eastAsia="ar-SA"/>
              </w:rPr>
            </w:pPr>
            <w:r w:rsidRPr="002400FD">
              <w:rPr>
                <w:b w:val="0"/>
                <w:bCs w:val="0"/>
                <w:kern w:val="0"/>
                <w:sz w:val="20"/>
                <w:szCs w:val="20"/>
                <w:lang w:eastAsia="ar-SA"/>
              </w:rPr>
              <w:t>0,00</w:t>
            </w:r>
            <w:r>
              <w:rPr>
                <w:b w:val="0"/>
                <w:bCs w:val="0"/>
                <w:kern w:val="0"/>
                <w:sz w:val="20"/>
                <w:szCs w:val="20"/>
                <w:lang w:eastAsia="ar-SA"/>
              </w:rPr>
              <w:t xml:space="preserve"> EUR</w:t>
            </w:r>
          </w:p>
        </w:tc>
      </w:tr>
      <w:tr w:rsidR="002400FD" w:rsidRPr="005A3CD7" w14:paraId="2A242328" w14:textId="77777777" w:rsidTr="002400FD">
        <w:trPr>
          <w:cantSplit/>
          <w:trHeight w:val="95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E1FE" w14:textId="5D9F6D36" w:rsidR="002400FD" w:rsidRPr="00770CBF" w:rsidRDefault="002400FD" w:rsidP="002400FD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Ministrstvo za okolje, podnebje in energijo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A2FD" w14:textId="746196A2" w:rsidR="002400FD" w:rsidRPr="00AF608D" w:rsidRDefault="002400FD" w:rsidP="002400FD">
            <w:pPr>
              <w:widowControl w:val="0"/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2430-25-0003 </w:t>
            </w:r>
            <w:r w:rsidRPr="002400FD">
              <w:rPr>
                <w:rFonts w:ascii="Arial" w:hAnsi="Arial" w:cs="Arial"/>
                <w:sz w:val="20"/>
                <w:szCs w:val="20"/>
              </w:rPr>
              <w:t>Teh. pomoč za implementacijo projektov IPE 25-27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BC52" w14:textId="4FF59E03" w:rsidR="002400FD" w:rsidRPr="002400FD" w:rsidRDefault="002400FD" w:rsidP="002400FD">
            <w:pPr>
              <w:widowControl w:val="0"/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400FD">
              <w:rPr>
                <w:rFonts w:ascii="Arial" w:hAnsi="Arial" w:cs="Arial"/>
                <w:sz w:val="20"/>
                <w:szCs w:val="20"/>
              </w:rPr>
              <w:t>241092 - EU 21-27 Centralizirani in drugi programi EU - prometna politika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6BA8" w14:textId="05D62358" w:rsidR="002400FD" w:rsidRPr="002400FD" w:rsidRDefault="002400FD" w:rsidP="002B5AE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kern w:val="0"/>
                <w:sz w:val="20"/>
                <w:szCs w:val="20"/>
                <w:lang w:eastAsia="ar-SA"/>
              </w:rPr>
            </w:pPr>
            <w:r w:rsidRPr="002400FD">
              <w:rPr>
                <w:b w:val="0"/>
                <w:bCs w:val="0"/>
                <w:kern w:val="0"/>
                <w:sz w:val="20"/>
                <w:szCs w:val="20"/>
                <w:lang w:eastAsia="ar-SA"/>
              </w:rPr>
              <w:t>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EC04" w14:textId="7BDBD826" w:rsidR="002400FD" w:rsidRPr="002400FD" w:rsidRDefault="002400FD" w:rsidP="002B5AE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b w:val="0"/>
                <w:bCs w:val="0"/>
                <w:kern w:val="0"/>
                <w:sz w:val="20"/>
                <w:szCs w:val="20"/>
                <w:lang w:eastAsia="ar-SA"/>
              </w:rPr>
            </w:pPr>
            <w:r w:rsidRPr="002400FD">
              <w:rPr>
                <w:b w:val="0"/>
                <w:bCs w:val="0"/>
                <w:kern w:val="0"/>
                <w:sz w:val="20"/>
                <w:szCs w:val="20"/>
                <w:lang w:eastAsia="ar-SA"/>
              </w:rPr>
              <w:t>0,00</w:t>
            </w:r>
            <w:r>
              <w:rPr>
                <w:b w:val="0"/>
                <w:bCs w:val="0"/>
                <w:kern w:val="0"/>
                <w:sz w:val="20"/>
                <w:szCs w:val="20"/>
                <w:lang w:eastAsia="ar-SA"/>
              </w:rPr>
              <w:t xml:space="preserve"> EUR</w:t>
            </w:r>
          </w:p>
        </w:tc>
      </w:tr>
      <w:tr w:rsidR="002400FD" w:rsidRPr="005A3CD7" w14:paraId="7BFDCE26" w14:textId="77777777" w:rsidTr="002400FD">
        <w:trPr>
          <w:cantSplit/>
          <w:trHeight w:val="95"/>
        </w:trPr>
        <w:tc>
          <w:tcPr>
            <w:tcW w:w="6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76DE" w14:textId="77777777" w:rsidR="002400FD" w:rsidRPr="002400FD" w:rsidRDefault="002400FD" w:rsidP="002400FD">
            <w:pPr>
              <w:widowControl w:val="0"/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2400FD">
              <w:rPr>
                <w:rFonts w:ascii="Arial" w:hAnsi="Arial" w:cs="Arial"/>
                <w:sz w:val="20"/>
                <w:szCs w:val="20"/>
              </w:rPr>
              <w:t>SKUPAJ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0B7A" w14:textId="2109812E" w:rsidR="002400FD" w:rsidRPr="002B5AEF" w:rsidRDefault="002B5AEF" w:rsidP="002B5AEF">
            <w:pPr>
              <w:widowControl w:val="0"/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AEF">
              <w:rPr>
                <w:rFonts w:ascii="Arial" w:hAnsi="Arial" w:cs="Arial"/>
                <w:b/>
                <w:sz w:val="20"/>
                <w:szCs w:val="20"/>
              </w:rPr>
              <w:t>0,00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FF37" w14:textId="51FBC12D" w:rsidR="002400FD" w:rsidRPr="002B5AEF" w:rsidRDefault="002B5AEF" w:rsidP="002B5AEF">
            <w:pPr>
              <w:widowControl w:val="0"/>
              <w:spacing w:line="26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5AEF">
              <w:rPr>
                <w:rFonts w:ascii="Arial" w:hAnsi="Arial" w:cs="Arial"/>
                <w:b/>
                <w:sz w:val="20"/>
                <w:szCs w:val="20"/>
              </w:rPr>
              <w:t>0,00 EUR</w:t>
            </w:r>
          </w:p>
        </w:tc>
      </w:tr>
      <w:tr w:rsidR="002400FD" w:rsidRPr="005A3CD7" w14:paraId="229DFD8D" w14:textId="77777777" w:rsidTr="00773128">
        <w:trPr>
          <w:cantSplit/>
          <w:trHeight w:val="294"/>
        </w:trPr>
        <w:tc>
          <w:tcPr>
            <w:tcW w:w="9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2DA7A98" w14:textId="77777777" w:rsidR="002400FD" w:rsidRPr="005A3CD7" w:rsidRDefault="002400FD" w:rsidP="002400FD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sz w:val="20"/>
                <w:szCs w:val="20"/>
              </w:rPr>
            </w:pPr>
            <w:proofErr w:type="spellStart"/>
            <w:r w:rsidRPr="005A3CD7">
              <w:rPr>
                <w:sz w:val="20"/>
                <w:szCs w:val="20"/>
              </w:rPr>
              <w:t>II.b</w:t>
            </w:r>
            <w:proofErr w:type="spellEnd"/>
            <w:r w:rsidRPr="005A3CD7">
              <w:rPr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2400FD" w:rsidRPr="005A3CD7" w14:paraId="6CE00A55" w14:textId="77777777" w:rsidTr="002400FD">
        <w:trPr>
          <w:cantSplit/>
          <w:trHeight w:val="1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605" w14:textId="77777777" w:rsidR="002400FD" w:rsidRPr="005A3CD7" w:rsidRDefault="002400FD" w:rsidP="002400FD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 xml:space="preserve">Ime proračunskega uporabnika 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5F59" w14:textId="77777777" w:rsidR="002400FD" w:rsidRPr="005A3CD7" w:rsidRDefault="002400FD" w:rsidP="002400FD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>Šifra in naziv ukrepa, projekta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8F48" w14:textId="77777777" w:rsidR="002400FD" w:rsidRPr="005A3CD7" w:rsidRDefault="002400FD" w:rsidP="002400FD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 xml:space="preserve">Šifra in naziv proračunske postavke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8E9A" w14:textId="77777777" w:rsidR="002400FD" w:rsidRPr="005A3CD7" w:rsidRDefault="002400FD" w:rsidP="002400FD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94CC" w14:textId="77777777" w:rsidR="002400FD" w:rsidRPr="005A3CD7" w:rsidRDefault="002400FD" w:rsidP="002400FD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 xml:space="preserve">Znesek za t + 1 </w:t>
            </w:r>
          </w:p>
        </w:tc>
      </w:tr>
      <w:tr w:rsidR="002400FD" w:rsidRPr="005A3CD7" w14:paraId="18182228" w14:textId="77777777" w:rsidTr="002400FD">
        <w:trPr>
          <w:cantSplit/>
          <w:trHeight w:val="1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EE53" w14:textId="76520DBB" w:rsidR="002400FD" w:rsidRPr="005A3CD7" w:rsidRDefault="002400FD" w:rsidP="002400FD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Ministrstvo za infrastrukturo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B714" w14:textId="400951E1" w:rsidR="002400FD" w:rsidRPr="005A3CD7" w:rsidRDefault="002400FD" w:rsidP="002400FD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FD">
              <w:rPr>
                <w:rFonts w:ascii="Arial" w:hAnsi="Arial" w:cs="Arial"/>
                <w:sz w:val="20"/>
                <w:szCs w:val="20"/>
              </w:rPr>
              <w:t>2430-17-0003 Upravljanje prometne politike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06CB5" w14:textId="77777777" w:rsidR="002400FD" w:rsidRDefault="002400FD" w:rsidP="002400FD">
            <w:pPr>
              <w:widowControl w:val="0"/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221076 - </w:t>
            </w:r>
            <w:r w:rsidRPr="002400FD">
              <w:rPr>
                <w:rFonts w:ascii="Arial" w:hAnsi="Arial" w:cs="Arial"/>
                <w:sz w:val="20"/>
                <w:szCs w:val="20"/>
              </w:rPr>
              <w:t>Vseevropsko omrežje - IPE 21-27 - EU</w:t>
            </w:r>
          </w:p>
          <w:p w14:paraId="06783457" w14:textId="77777777" w:rsidR="002400FD" w:rsidRPr="005A3CD7" w:rsidRDefault="002400FD" w:rsidP="002400FD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9850" w14:textId="38E12E8B" w:rsidR="002400FD" w:rsidRPr="005A3CD7" w:rsidRDefault="002400FD" w:rsidP="002B5AEF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274.321,40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236E" w14:textId="54989B3C" w:rsidR="002400FD" w:rsidRPr="005A3CD7" w:rsidRDefault="002400FD" w:rsidP="002B5AEF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325.181,30 EUR</w:t>
            </w:r>
          </w:p>
        </w:tc>
      </w:tr>
      <w:tr w:rsidR="002400FD" w:rsidRPr="005A3CD7" w14:paraId="72301252" w14:textId="77777777" w:rsidTr="002400FD">
        <w:trPr>
          <w:cantSplit/>
          <w:trHeight w:val="1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C5BB" w14:textId="44E5BA91" w:rsidR="002400FD" w:rsidRPr="002400FD" w:rsidRDefault="002400FD" w:rsidP="002400FD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left"/>
              <w:rPr>
                <w:b w:val="0"/>
                <w:bCs w:val="0"/>
                <w:sz w:val="20"/>
                <w:szCs w:val="20"/>
              </w:rPr>
            </w:pPr>
            <w:r w:rsidRPr="002400FD">
              <w:rPr>
                <w:b w:val="0"/>
                <w:bCs w:val="0"/>
                <w:sz w:val="20"/>
                <w:szCs w:val="20"/>
              </w:rPr>
              <w:lastRenderedPageBreak/>
              <w:t>Ministrstvo za infrastrukturo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6DED" w14:textId="71D1F689" w:rsidR="002400FD" w:rsidRPr="002400FD" w:rsidRDefault="002400FD" w:rsidP="002400FD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FD">
              <w:rPr>
                <w:rFonts w:ascii="Arial" w:hAnsi="Arial" w:cs="Arial"/>
                <w:sz w:val="20"/>
                <w:szCs w:val="20"/>
              </w:rPr>
              <w:t>2430-17-0003 Upravljanje prometne politike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F284" w14:textId="77A72C13" w:rsidR="002400FD" w:rsidRPr="002400FD" w:rsidRDefault="002400FD" w:rsidP="002400FD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221077 - </w:t>
            </w:r>
            <w:r w:rsidRPr="002400FD">
              <w:rPr>
                <w:rFonts w:ascii="Arial" w:hAnsi="Arial" w:cs="Arial"/>
                <w:sz w:val="20"/>
                <w:szCs w:val="20"/>
              </w:rPr>
              <w:t>Vseevropsko omrežje - IPE 21-27 - slovenska udeležba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8E7D" w14:textId="2D587287" w:rsidR="002400FD" w:rsidRPr="002400FD" w:rsidRDefault="002400FD" w:rsidP="002B5AEF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2.803,28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37C4" w14:textId="547B146F" w:rsidR="002400FD" w:rsidRPr="002400FD" w:rsidRDefault="002400FD" w:rsidP="002B5AEF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1.000,00 </w:t>
            </w:r>
            <w:r w:rsidR="002B5AE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2400FD" w:rsidRPr="005A3CD7" w14:paraId="37AEB86B" w14:textId="77777777" w:rsidTr="002400FD">
        <w:trPr>
          <w:cantSplit/>
          <w:trHeight w:val="10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C5E8" w14:textId="3C331B6D" w:rsidR="002400FD" w:rsidRPr="002400FD" w:rsidRDefault="002400FD" w:rsidP="002400FD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Ministrstvo za okolje, podnebje in energijo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1293" w14:textId="3C6110C6" w:rsidR="002400FD" w:rsidRPr="002400FD" w:rsidRDefault="002400FD" w:rsidP="002400FD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FD">
              <w:rPr>
                <w:rFonts w:ascii="Arial" w:hAnsi="Arial" w:cs="Arial"/>
                <w:sz w:val="20"/>
                <w:szCs w:val="20"/>
              </w:rPr>
              <w:t>2570-23-0011 EU centralizirani programi in teritorialno sodel.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5B35" w14:textId="6352CA50" w:rsidR="002400FD" w:rsidRPr="002400FD" w:rsidRDefault="002400FD" w:rsidP="002400FD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FD">
              <w:rPr>
                <w:rFonts w:ascii="Arial" w:hAnsi="Arial" w:cs="Arial"/>
                <w:sz w:val="20"/>
                <w:szCs w:val="20"/>
              </w:rPr>
              <w:t>241091 - EU 21-27 Centralizirani in drugi programi EU - prometna politika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D6DF" w14:textId="3153D7B8" w:rsidR="002400FD" w:rsidRPr="002400FD" w:rsidRDefault="002B5AEF" w:rsidP="002B5AEF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71.137</w:t>
            </w:r>
            <w:r w:rsidR="006B7E78">
              <w:rPr>
                <w:rFonts w:ascii="Arial" w:hAnsi="Arial" w:cs="Arial"/>
                <w:sz w:val="20"/>
                <w:szCs w:val="20"/>
              </w:rPr>
              <w:t>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01F4" w14:textId="5F93E552" w:rsidR="002400FD" w:rsidRPr="002400FD" w:rsidRDefault="002B5AEF" w:rsidP="002B5AEF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151.339,00 EUR</w:t>
            </w:r>
          </w:p>
        </w:tc>
      </w:tr>
      <w:tr w:rsidR="002400FD" w:rsidRPr="005A3CD7" w14:paraId="20BE7717" w14:textId="77777777" w:rsidTr="002400FD">
        <w:trPr>
          <w:cantSplit/>
          <w:trHeight w:val="95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4FDF" w14:textId="0FAFFAC5" w:rsidR="002400FD" w:rsidRPr="005A3CD7" w:rsidRDefault="002400FD" w:rsidP="002400FD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Ministrstvo za okolje, podnebje in energijo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0BA2" w14:textId="3F9C58F6" w:rsidR="002400FD" w:rsidRPr="002400FD" w:rsidRDefault="002400FD" w:rsidP="002400FD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FD">
              <w:rPr>
                <w:rFonts w:ascii="Arial" w:hAnsi="Arial" w:cs="Arial"/>
                <w:sz w:val="20"/>
                <w:szCs w:val="20"/>
              </w:rPr>
              <w:t>2570-23-0011 EU centralizirani programi in teritorialno sodel.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15BA" w14:textId="7A28512D" w:rsidR="002400FD" w:rsidRPr="002400FD" w:rsidRDefault="002400FD" w:rsidP="002400FD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00FD">
              <w:rPr>
                <w:rFonts w:ascii="Arial" w:hAnsi="Arial" w:cs="Arial"/>
                <w:sz w:val="20"/>
                <w:szCs w:val="20"/>
              </w:rPr>
              <w:t>241092 - EU 21-27 Centralizirani in drugi programi EU - prometna politika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4C2D" w14:textId="42796629" w:rsidR="006B7E78" w:rsidRPr="002400FD" w:rsidRDefault="006B7E78" w:rsidP="002B5AEF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5.695,00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1864" w14:textId="258480F6" w:rsidR="002400FD" w:rsidRPr="002400FD" w:rsidRDefault="006B7E78" w:rsidP="002B5AEF">
            <w:pPr>
              <w:widowControl w:val="0"/>
              <w:spacing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5.711,00 </w:t>
            </w:r>
            <w:r w:rsidR="002B5AEF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EUR</w:t>
            </w:r>
          </w:p>
        </w:tc>
      </w:tr>
      <w:tr w:rsidR="002400FD" w:rsidRPr="005A3CD7" w14:paraId="70768F26" w14:textId="77777777" w:rsidTr="002400FD">
        <w:trPr>
          <w:cantSplit/>
          <w:trHeight w:val="95"/>
        </w:trPr>
        <w:tc>
          <w:tcPr>
            <w:tcW w:w="6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B8120" w14:textId="77777777" w:rsidR="002400FD" w:rsidRPr="005A3CD7" w:rsidRDefault="002400FD" w:rsidP="002400FD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SKUPAJ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854F" w14:textId="22F55899" w:rsidR="002400FD" w:rsidRPr="005A3CD7" w:rsidRDefault="002B5AEF" w:rsidP="002B5AE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353.956,68 EUR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1BFE" w14:textId="1944AB92" w:rsidR="002400FD" w:rsidRPr="005A3CD7" w:rsidRDefault="002B5AEF" w:rsidP="002B5AEF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483.231,30 EUR</w:t>
            </w:r>
          </w:p>
        </w:tc>
      </w:tr>
      <w:tr w:rsidR="002400FD" w:rsidRPr="005A3CD7" w14:paraId="3D51AB06" w14:textId="77777777" w:rsidTr="00773128">
        <w:trPr>
          <w:cantSplit/>
          <w:trHeight w:val="207"/>
        </w:trPr>
        <w:tc>
          <w:tcPr>
            <w:tcW w:w="92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F5EA7A2" w14:textId="77777777" w:rsidR="002400FD" w:rsidRPr="005A3CD7" w:rsidRDefault="002400FD" w:rsidP="002400FD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sz w:val="20"/>
                <w:szCs w:val="20"/>
              </w:rPr>
            </w:pPr>
            <w:proofErr w:type="spellStart"/>
            <w:r w:rsidRPr="005A3CD7">
              <w:rPr>
                <w:sz w:val="20"/>
                <w:szCs w:val="20"/>
              </w:rPr>
              <w:t>II.c</w:t>
            </w:r>
            <w:proofErr w:type="spellEnd"/>
            <w:r w:rsidRPr="005A3CD7">
              <w:rPr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2400FD" w:rsidRPr="005A3CD7" w14:paraId="35C10FDC" w14:textId="77777777" w:rsidTr="002400FD">
        <w:trPr>
          <w:cantSplit/>
          <w:trHeight w:val="100"/>
        </w:trPr>
        <w:tc>
          <w:tcPr>
            <w:tcW w:w="3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CF5D" w14:textId="77777777" w:rsidR="002400FD" w:rsidRPr="005A3CD7" w:rsidRDefault="002400FD" w:rsidP="002400FD">
            <w:pPr>
              <w:widowControl w:val="0"/>
              <w:spacing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>Novi prihodki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CF84" w14:textId="77777777" w:rsidR="002400FD" w:rsidRPr="005A3CD7" w:rsidRDefault="002400FD" w:rsidP="002400FD">
            <w:pPr>
              <w:widowControl w:val="0"/>
              <w:spacing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>Znesek za tekoče leto (t)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E5A8" w14:textId="77777777" w:rsidR="002400FD" w:rsidRPr="005A3CD7" w:rsidRDefault="002400FD" w:rsidP="002400FD">
            <w:pPr>
              <w:widowControl w:val="0"/>
              <w:spacing w:line="260" w:lineRule="exact"/>
              <w:ind w:left="-122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CD7">
              <w:rPr>
                <w:rFonts w:ascii="Arial" w:hAnsi="Arial" w:cs="Arial"/>
                <w:sz w:val="20"/>
                <w:szCs w:val="20"/>
              </w:rPr>
              <w:t>Znesek za t + 1</w:t>
            </w:r>
          </w:p>
        </w:tc>
      </w:tr>
      <w:tr w:rsidR="002400FD" w:rsidRPr="005A3CD7" w14:paraId="2881AEFC" w14:textId="77777777" w:rsidTr="002400FD">
        <w:trPr>
          <w:cantSplit/>
          <w:trHeight w:val="95"/>
        </w:trPr>
        <w:tc>
          <w:tcPr>
            <w:tcW w:w="3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3CBF" w14:textId="77777777" w:rsidR="002400FD" w:rsidRPr="005A3CD7" w:rsidRDefault="002400FD" w:rsidP="002400FD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37D1" w14:textId="77777777" w:rsidR="002400FD" w:rsidRPr="005A3CD7" w:rsidRDefault="002400FD" w:rsidP="002400FD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0AE3" w14:textId="77777777" w:rsidR="002400FD" w:rsidRPr="005A3CD7" w:rsidRDefault="002400FD" w:rsidP="002400FD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400FD" w:rsidRPr="005A3CD7" w14:paraId="75722FAA" w14:textId="77777777" w:rsidTr="002400FD">
        <w:trPr>
          <w:cantSplit/>
          <w:trHeight w:val="95"/>
        </w:trPr>
        <w:tc>
          <w:tcPr>
            <w:tcW w:w="3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D197" w14:textId="77777777" w:rsidR="002400FD" w:rsidRPr="005A3CD7" w:rsidRDefault="002400FD" w:rsidP="002400FD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51BD" w14:textId="77777777" w:rsidR="002400FD" w:rsidRPr="005A3CD7" w:rsidRDefault="002400FD" w:rsidP="002400FD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AF3B" w14:textId="77777777" w:rsidR="002400FD" w:rsidRPr="005A3CD7" w:rsidRDefault="002400FD" w:rsidP="002400FD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400FD" w:rsidRPr="005A3CD7" w14:paraId="07554544" w14:textId="77777777" w:rsidTr="002400FD">
        <w:trPr>
          <w:cantSplit/>
          <w:trHeight w:val="95"/>
        </w:trPr>
        <w:tc>
          <w:tcPr>
            <w:tcW w:w="3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86AB" w14:textId="77777777" w:rsidR="002400FD" w:rsidRPr="005A3CD7" w:rsidRDefault="002400FD" w:rsidP="002400FD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15FA" w14:textId="77777777" w:rsidR="002400FD" w:rsidRPr="005A3CD7" w:rsidRDefault="002400FD" w:rsidP="002400FD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F913" w14:textId="77777777" w:rsidR="002400FD" w:rsidRPr="005A3CD7" w:rsidRDefault="002400FD" w:rsidP="002400FD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2400FD" w:rsidRPr="005A3CD7" w14:paraId="3A258A12" w14:textId="77777777" w:rsidTr="002400FD">
        <w:trPr>
          <w:cantSplit/>
          <w:trHeight w:val="95"/>
        </w:trPr>
        <w:tc>
          <w:tcPr>
            <w:tcW w:w="3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02BD" w14:textId="77777777" w:rsidR="002400FD" w:rsidRPr="005A3CD7" w:rsidRDefault="002400FD" w:rsidP="002400FD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SKUPAJ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FFFA" w14:textId="77777777" w:rsidR="002400FD" w:rsidRPr="005A3CD7" w:rsidRDefault="002400FD" w:rsidP="002400FD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E247" w14:textId="77777777" w:rsidR="002400FD" w:rsidRPr="005A3CD7" w:rsidRDefault="002400FD" w:rsidP="002400FD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sz w:val="20"/>
                <w:szCs w:val="20"/>
              </w:rPr>
            </w:pPr>
          </w:p>
        </w:tc>
      </w:tr>
      <w:tr w:rsidR="002400FD" w:rsidRPr="005A3CD7" w14:paraId="7E8F022A" w14:textId="77777777" w:rsidTr="007731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9201" w:type="dxa"/>
            <w:gridSpan w:val="8"/>
          </w:tcPr>
          <w:p w14:paraId="4D2EAAEE" w14:textId="77777777" w:rsidR="002400FD" w:rsidRPr="00F336A2" w:rsidRDefault="002400FD" w:rsidP="002400FD">
            <w:pPr>
              <w:widowControl w:val="0"/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126056DD" w14:textId="4F099565" w:rsidR="002400FD" w:rsidRPr="00F336A2" w:rsidRDefault="002400FD" w:rsidP="002400FD">
            <w:pPr>
              <w:widowControl w:val="0"/>
              <w:spacing w:line="260" w:lineRule="exact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F336A2">
              <w:rPr>
                <w:rFonts w:ascii="Arial" w:hAnsi="Arial" w:cs="Arial"/>
                <w:sz w:val="20"/>
                <w:szCs w:val="20"/>
                <w:lang w:eastAsia="sl-SI"/>
              </w:rPr>
              <w:t>OBRAZLOŽITEV:</w:t>
            </w:r>
            <w:r w:rsidR="002B5AEF">
              <w:rPr>
                <w:rFonts w:ascii="Arial" w:hAnsi="Arial" w:cs="Arial"/>
                <w:sz w:val="20"/>
                <w:szCs w:val="20"/>
                <w:lang w:eastAsia="sl-SI"/>
              </w:rPr>
              <w:t xml:space="preserve"> Sredstva za navedeni projekt bo Ministrstvo za infrastrukturo zagotovilo s prerazporeditvijo iz evidenčnega projekta </w:t>
            </w:r>
            <w:r w:rsidR="002B5AEF" w:rsidRPr="002400FD">
              <w:rPr>
                <w:rFonts w:ascii="Arial" w:hAnsi="Arial" w:cs="Arial"/>
                <w:sz w:val="20"/>
                <w:szCs w:val="20"/>
              </w:rPr>
              <w:t>2430-17-0003 Upravljanje prometne politike</w:t>
            </w:r>
            <w:r w:rsidR="002B5AEF">
              <w:rPr>
                <w:rFonts w:ascii="Arial" w:hAnsi="Arial" w:cs="Arial"/>
                <w:sz w:val="20"/>
                <w:szCs w:val="20"/>
              </w:rPr>
              <w:t xml:space="preserve">, Ministrstvo za okolje, podnebje in energijo pa iz evidenčnega projekta </w:t>
            </w:r>
            <w:r w:rsidR="002B5AEF" w:rsidRPr="002400FD">
              <w:rPr>
                <w:rFonts w:ascii="Arial" w:hAnsi="Arial" w:cs="Arial"/>
                <w:sz w:val="20"/>
                <w:szCs w:val="20"/>
              </w:rPr>
              <w:t>2570-23-0011 EU centralizirani</w:t>
            </w:r>
            <w:r w:rsidR="00F44884">
              <w:rPr>
                <w:rFonts w:ascii="Arial" w:hAnsi="Arial" w:cs="Arial"/>
                <w:sz w:val="20"/>
                <w:szCs w:val="20"/>
              </w:rPr>
              <w:t xml:space="preserve"> programi in teritorialno sodelovanje.</w:t>
            </w:r>
          </w:p>
          <w:p w14:paraId="14F10D11" w14:textId="77777777" w:rsidR="002400FD" w:rsidRPr="00F336A2" w:rsidRDefault="002400FD" w:rsidP="002400FD">
            <w:pPr>
              <w:widowControl w:val="0"/>
              <w:spacing w:line="260" w:lineRule="exact"/>
              <w:ind w:left="284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2400FD" w:rsidRPr="005A3CD7" w14:paraId="69BE387B" w14:textId="77777777" w:rsidTr="007731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1" w:type="dxa"/>
            <w:gridSpan w:val="8"/>
          </w:tcPr>
          <w:p w14:paraId="4F52FFEA" w14:textId="77777777" w:rsidR="002400FD" w:rsidRPr="005A3CD7" w:rsidRDefault="002400FD" w:rsidP="002400FD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7.b Predstavitev ocene finančnih posledic pod 40.000 EUR:</w:t>
            </w:r>
          </w:p>
          <w:p w14:paraId="3E309B2F" w14:textId="77777777" w:rsidR="002400FD" w:rsidRPr="005A3CD7" w:rsidRDefault="002400FD" w:rsidP="002400FD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2400FD" w:rsidRPr="005A3CD7" w14:paraId="5CDC4CEE" w14:textId="77777777" w:rsidTr="007731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9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C1CA" w14:textId="77777777" w:rsidR="002400FD" w:rsidRPr="005A3CD7" w:rsidRDefault="002400FD" w:rsidP="002400FD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5A3CD7">
              <w:rPr>
                <w:b/>
                <w:sz w:val="20"/>
                <w:szCs w:val="20"/>
              </w:rPr>
              <w:t>8. Predstavitev sodelovanja z združenji občin:</w:t>
            </w:r>
          </w:p>
        </w:tc>
      </w:tr>
      <w:tr w:rsidR="002400FD" w:rsidRPr="005A3CD7" w14:paraId="120AA724" w14:textId="77777777" w:rsidTr="002400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90" w:type="dxa"/>
            <w:gridSpan w:val="6"/>
          </w:tcPr>
          <w:p w14:paraId="0A802B8B" w14:textId="77777777" w:rsidR="002400FD" w:rsidRPr="005A3CD7" w:rsidRDefault="002400FD" w:rsidP="002400FD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7213283E" w14:textId="77777777" w:rsidR="002400FD" w:rsidRPr="005A3CD7" w:rsidRDefault="002400FD" w:rsidP="002400FD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pristojnosti občin,</w:t>
            </w:r>
          </w:p>
          <w:p w14:paraId="63FBCDEE" w14:textId="77777777" w:rsidR="002400FD" w:rsidRPr="005A3CD7" w:rsidRDefault="002400FD" w:rsidP="002400FD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delovanje občin,</w:t>
            </w:r>
          </w:p>
          <w:p w14:paraId="4E180398" w14:textId="77777777" w:rsidR="002400FD" w:rsidRPr="005A3CD7" w:rsidRDefault="002400FD" w:rsidP="002400FD">
            <w:pPr>
              <w:pStyle w:val="Neotevilenodstavek"/>
              <w:widowControl w:val="0"/>
              <w:numPr>
                <w:ilvl w:val="1"/>
                <w:numId w:val="4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financiranje občin.</w:t>
            </w:r>
          </w:p>
          <w:p w14:paraId="0A4EB9C9" w14:textId="77777777" w:rsidR="002400FD" w:rsidRPr="005A3CD7" w:rsidRDefault="002400FD" w:rsidP="002400FD">
            <w:pPr>
              <w:pStyle w:val="Neotevilenodstavek"/>
              <w:widowControl w:val="0"/>
              <w:spacing w:before="0" w:after="0" w:line="260" w:lineRule="exact"/>
              <w:ind w:left="1440"/>
              <w:rPr>
                <w:iCs/>
                <w:sz w:val="20"/>
                <w:szCs w:val="20"/>
              </w:rPr>
            </w:pPr>
          </w:p>
        </w:tc>
        <w:tc>
          <w:tcPr>
            <w:tcW w:w="2411" w:type="dxa"/>
            <w:gridSpan w:val="2"/>
          </w:tcPr>
          <w:p w14:paraId="093A0626" w14:textId="77777777" w:rsidR="002400FD" w:rsidRPr="005A3CD7" w:rsidRDefault="002400FD" w:rsidP="002400FD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DA/</w:t>
            </w:r>
            <w:r w:rsidRPr="005A3CD7">
              <w:rPr>
                <w:b/>
                <w:sz w:val="20"/>
                <w:szCs w:val="20"/>
              </w:rPr>
              <w:t>NE</w:t>
            </w:r>
          </w:p>
        </w:tc>
      </w:tr>
      <w:tr w:rsidR="002400FD" w:rsidRPr="005A3CD7" w14:paraId="4BAE2DFF" w14:textId="77777777" w:rsidTr="007731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1" w:type="dxa"/>
            <w:gridSpan w:val="8"/>
          </w:tcPr>
          <w:p w14:paraId="3DBAC08F" w14:textId="77777777" w:rsidR="002400FD" w:rsidRPr="005A3CD7" w:rsidRDefault="002400FD" w:rsidP="002400FD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4079F56E" w14:textId="77777777" w:rsidR="002400FD" w:rsidRPr="005A3CD7" w:rsidRDefault="002400FD" w:rsidP="002400FD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Skupnosti občin Slovenije SOS: DA/</w:t>
            </w:r>
            <w:r w:rsidRPr="005A3CD7">
              <w:rPr>
                <w:b/>
                <w:iCs/>
                <w:sz w:val="20"/>
                <w:szCs w:val="20"/>
              </w:rPr>
              <w:t>NE</w:t>
            </w:r>
          </w:p>
          <w:p w14:paraId="21C961BE" w14:textId="77777777" w:rsidR="002400FD" w:rsidRPr="005A3CD7" w:rsidRDefault="002400FD" w:rsidP="002400FD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Združenju občin Slovenije ZOS: DA/</w:t>
            </w:r>
            <w:r w:rsidRPr="005A3CD7">
              <w:rPr>
                <w:b/>
                <w:iCs/>
                <w:sz w:val="20"/>
                <w:szCs w:val="20"/>
              </w:rPr>
              <w:t>NE</w:t>
            </w:r>
          </w:p>
          <w:p w14:paraId="45B77543" w14:textId="77777777" w:rsidR="002400FD" w:rsidRPr="005A3CD7" w:rsidRDefault="002400FD" w:rsidP="002400FD">
            <w:pPr>
              <w:pStyle w:val="Neotevilenodstavek"/>
              <w:widowControl w:val="0"/>
              <w:numPr>
                <w:ilvl w:val="0"/>
                <w:numId w:val="6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Združenju mestnih občin Slovenije ZMOS: DA/</w:t>
            </w:r>
            <w:r w:rsidRPr="005A3CD7">
              <w:rPr>
                <w:b/>
                <w:iCs/>
                <w:sz w:val="20"/>
                <w:szCs w:val="20"/>
              </w:rPr>
              <w:t>NE</w:t>
            </w:r>
          </w:p>
          <w:p w14:paraId="2A1A70DF" w14:textId="77777777" w:rsidR="002400FD" w:rsidRPr="005A3CD7" w:rsidRDefault="002400FD" w:rsidP="002400FD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5368D335" w14:textId="77777777" w:rsidR="002400FD" w:rsidRDefault="002400FD" w:rsidP="002400FD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Predlogi in pripombe združenj so bili upoštevani:</w:t>
            </w:r>
          </w:p>
          <w:p w14:paraId="777B7AEE" w14:textId="77777777" w:rsidR="002400FD" w:rsidRPr="005A3CD7" w:rsidRDefault="002400FD" w:rsidP="002400FD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  <w:p w14:paraId="57280521" w14:textId="77777777" w:rsidR="002400FD" w:rsidRPr="007825F5" w:rsidRDefault="002400FD" w:rsidP="002400FD">
            <w:pPr>
              <w:pStyle w:val="Neotevilenodstavek"/>
              <w:widowControl w:val="0"/>
              <w:spacing w:before="0" w:after="0" w:line="240" w:lineRule="auto"/>
              <w:rPr>
                <w:iCs/>
                <w:sz w:val="20"/>
                <w:szCs w:val="20"/>
              </w:rPr>
            </w:pPr>
            <w:r w:rsidRPr="007825F5">
              <w:rPr>
                <w:iCs/>
                <w:sz w:val="20"/>
                <w:szCs w:val="20"/>
              </w:rPr>
              <w:t>Vsebina gradiva se v ničemer ne nanaša na naloge in pristojnosti občin ter njihovih združenj.</w:t>
            </w:r>
          </w:p>
          <w:p w14:paraId="3559A8D1" w14:textId="77777777" w:rsidR="002400FD" w:rsidRPr="005A3CD7" w:rsidRDefault="002400FD" w:rsidP="002400FD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2400FD" w:rsidRPr="005A3CD7" w14:paraId="25E10C2F" w14:textId="77777777" w:rsidTr="007731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1" w:type="dxa"/>
            <w:gridSpan w:val="8"/>
          </w:tcPr>
          <w:p w14:paraId="742761D5" w14:textId="77777777" w:rsidR="002400FD" w:rsidRPr="005A3CD7" w:rsidRDefault="002400FD" w:rsidP="002400FD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5A3CD7">
              <w:rPr>
                <w:b/>
                <w:sz w:val="20"/>
                <w:szCs w:val="20"/>
              </w:rPr>
              <w:t>9. Predstavitev sodelovanja javnosti:</w:t>
            </w:r>
          </w:p>
        </w:tc>
      </w:tr>
      <w:tr w:rsidR="002400FD" w:rsidRPr="005A3CD7" w14:paraId="081BB1AA" w14:textId="77777777" w:rsidTr="002400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90" w:type="dxa"/>
            <w:gridSpan w:val="6"/>
          </w:tcPr>
          <w:p w14:paraId="459D3ED1" w14:textId="77777777" w:rsidR="002400FD" w:rsidRPr="005A3CD7" w:rsidRDefault="002400FD" w:rsidP="002400FD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5A3CD7">
              <w:rPr>
                <w:iCs/>
                <w:sz w:val="20"/>
                <w:szCs w:val="20"/>
              </w:rPr>
              <w:t>Gradivo je bilo predhodno objavljeno na spletni strani predlagatelja:</w:t>
            </w:r>
          </w:p>
        </w:tc>
        <w:tc>
          <w:tcPr>
            <w:tcW w:w="2411" w:type="dxa"/>
            <w:gridSpan w:val="2"/>
          </w:tcPr>
          <w:p w14:paraId="3C7FA64D" w14:textId="77777777" w:rsidR="002400FD" w:rsidRPr="005A3CD7" w:rsidRDefault="002400FD" w:rsidP="002400FD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DA/</w:t>
            </w:r>
            <w:r w:rsidRPr="005A3CD7">
              <w:rPr>
                <w:b/>
                <w:sz w:val="20"/>
                <w:szCs w:val="20"/>
              </w:rPr>
              <w:t>NE</w:t>
            </w:r>
          </w:p>
        </w:tc>
      </w:tr>
      <w:tr w:rsidR="002400FD" w:rsidRPr="005A3CD7" w14:paraId="037CE569" w14:textId="77777777" w:rsidTr="007731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9201" w:type="dxa"/>
            <w:gridSpan w:val="8"/>
          </w:tcPr>
          <w:p w14:paraId="297B8A7F" w14:textId="77777777" w:rsidR="002400FD" w:rsidRPr="005A3CD7" w:rsidRDefault="002400FD" w:rsidP="002400FD">
            <w:pPr>
              <w:pStyle w:val="Neotevilenodstavek"/>
              <w:widowControl w:val="0"/>
              <w:spacing w:before="0" w:after="0" w:line="260" w:lineRule="exact"/>
              <w:rPr>
                <w:iCs/>
                <w:color w:val="FF0000"/>
                <w:sz w:val="20"/>
                <w:szCs w:val="20"/>
              </w:rPr>
            </w:pPr>
            <w:r w:rsidRPr="007825F5">
              <w:rPr>
                <w:iCs/>
                <w:sz w:val="20"/>
                <w:szCs w:val="20"/>
              </w:rPr>
              <w:t>Gradiva za uvrščanje projektov v veljavni Načrt razvojnih programov se ne objavljajo na spletnih straneh ministrstva.</w:t>
            </w:r>
          </w:p>
        </w:tc>
      </w:tr>
      <w:tr w:rsidR="002400FD" w:rsidRPr="005A3CD7" w14:paraId="5027CCC1" w14:textId="77777777" w:rsidTr="002400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90" w:type="dxa"/>
            <w:gridSpan w:val="6"/>
            <w:vAlign w:val="center"/>
          </w:tcPr>
          <w:p w14:paraId="69799441" w14:textId="77777777" w:rsidR="002400FD" w:rsidRPr="005A3CD7" w:rsidRDefault="002400FD" w:rsidP="002400FD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5A3CD7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11" w:type="dxa"/>
            <w:gridSpan w:val="2"/>
            <w:vAlign w:val="center"/>
          </w:tcPr>
          <w:p w14:paraId="78397AC5" w14:textId="77777777" w:rsidR="002400FD" w:rsidRPr="005A3CD7" w:rsidRDefault="002400FD" w:rsidP="002400FD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DA/</w:t>
            </w:r>
            <w:r w:rsidRPr="005A3CD7">
              <w:rPr>
                <w:b/>
                <w:sz w:val="20"/>
                <w:szCs w:val="20"/>
              </w:rPr>
              <w:t>NE</w:t>
            </w:r>
          </w:p>
        </w:tc>
      </w:tr>
      <w:tr w:rsidR="002400FD" w:rsidRPr="005A3CD7" w14:paraId="36134CA4" w14:textId="77777777" w:rsidTr="002400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6790" w:type="dxa"/>
            <w:gridSpan w:val="6"/>
            <w:vAlign w:val="center"/>
          </w:tcPr>
          <w:p w14:paraId="21E6E540" w14:textId="77777777" w:rsidR="002400FD" w:rsidRPr="005A3CD7" w:rsidRDefault="002400FD" w:rsidP="002400FD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5A3CD7">
              <w:rPr>
                <w:b/>
                <w:sz w:val="20"/>
                <w:szCs w:val="20"/>
              </w:rPr>
              <w:lastRenderedPageBreak/>
              <w:t>11. Gradivo je uvrščeno v delovni program vlade:</w:t>
            </w:r>
          </w:p>
        </w:tc>
        <w:tc>
          <w:tcPr>
            <w:tcW w:w="2411" w:type="dxa"/>
            <w:gridSpan w:val="2"/>
            <w:vAlign w:val="center"/>
          </w:tcPr>
          <w:p w14:paraId="31F599A0" w14:textId="77777777" w:rsidR="002400FD" w:rsidRPr="005A3CD7" w:rsidRDefault="002400FD" w:rsidP="002400FD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5A3CD7">
              <w:rPr>
                <w:sz w:val="20"/>
                <w:szCs w:val="20"/>
              </w:rPr>
              <w:t>DA/</w:t>
            </w:r>
            <w:r w:rsidRPr="005A3CD7">
              <w:rPr>
                <w:b/>
                <w:sz w:val="20"/>
                <w:szCs w:val="20"/>
              </w:rPr>
              <w:t>NE</w:t>
            </w:r>
          </w:p>
        </w:tc>
      </w:tr>
      <w:tr w:rsidR="002400FD" w:rsidRPr="005A3CD7" w14:paraId="4BC58EEC" w14:textId="77777777" w:rsidTr="007731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2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0E4A" w14:textId="77777777" w:rsidR="002400FD" w:rsidRPr="005A3CD7" w:rsidRDefault="002400FD" w:rsidP="002400FD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sz w:val="20"/>
                <w:szCs w:val="20"/>
              </w:rPr>
            </w:pPr>
          </w:p>
          <w:p w14:paraId="6EE0F722" w14:textId="77777777" w:rsidR="002400FD" w:rsidRDefault="002400FD" w:rsidP="002400FD">
            <w:pPr>
              <w:pStyle w:val="Poglavje"/>
              <w:widowControl w:val="0"/>
              <w:spacing w:before="0" w:after="0" w:line="260" w:lineRule="exact"/>
              <w:ind w:left="4956" w:firstLine="284"/>
              <w:jc w:val="left"/>
              <w:rPr>
                <w:b w:val="0"/>
                <w:sz w:val="20"/>
                <w:szCs w:val="20"/>
              </w:rPr>
            </w:pPr>
          </w:p>
          <w:p w14:paraId="4775D3C7" w14:textId="77777777" w:rsidR="002400FD" w:rsidRDefault="002400FD" w:rsidP="002400FD">
            <w:pPr>
              <w:pStyle w:val="Poglavje"/>
              <w:widowControl w:val="0"/>
              <w:spacing w:before="0" w:after="0" w:line="260" w:lineRule="exact"/>
              <w:ind w:left="4956" w:firstLine="28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</w:t>
            </w:r>
          </w:p>
          <w:p w14:paraId="0E4A6006" w14:textId="77777777" w:rsidR="002400FD" w:rsidRDefault="002400FD" w:rsidP="002400FD">
            <w:pPr>
              <w:pStyle w:val="Poglavje"/>
              <w:widowControl w:val="0"/>
              <w:spacing w:before="0" w:after="0" w:line="260" w:lineRule="exact"/>
              <w:ind w:left="4956" w:firstLine="28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   mag. Alenka BRATUŠEK</w:t>
            </w:r>
          </w:p>
          <w:p w14:paraId="56527AC7" w14:textId="77777777" w:rsidR="002400FD" w:rsidRDefault="002400FD" w:rsidP="002400FD">
            <w:pPr>
              <w:pStyle w:val="Poglavje"/>
              <w:widowControl w:val="0"/>
              <w:spacing w:before="0" w:after="0" w:line="260" w:lineRule="exact"/>
              <w:ind w:left="5664" w:firstLine="284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   MINISTRICA</w:t>
            </w:r>
          </w:p>
          <w:p w14:paraId="353D11C4" w14:textId="77777777" w:rsidR="002400FD" w:rsidRDefault="002400FD" w:rsidP="002400FD">
            <w:pPr>
              <w:pStyle w:val="Poglavje"/>
              <w:widowControl w:val="0"/>
              <w:spacing w:before="0" w:after="0" w:line="260" w:lineRule="exact"/>
              <w:ind w:left="5662" w:firstLine="284"/>
              <w:jc w:val="left"/>
              <w:rPr>
                <w:b w:val="0"/>
                <w:sz w:val="20"/>
                <w:szCs w:val="20"/>
              </w:rPr>
            </w:pPr>
          </w:p>
          <w:p w14:paraId="02DF4E25" w14:textId="77777777" w:rsidR="002400FD" w:rsidRPr="005A3CD7" w:rsidRDefault="002400FD" w:rsidP="002400FD">
            <w:pPr>
              <w:pStyle w:val="Poglavje"/>
              <w:widowControl w:val="0"/>
              <w:spacing w:before="0" w:after="0" w:line="260" w:lineRule="exact"/>
              <w:ind w:left="5240" w:firstLine="284"/>
              <w:jc w:val="left"/>
              <w:rPr>
                <w:sz w:val="20"/>
                <w:szCs w:val="20"/>
              </w:rPr>
            </w:pPr>
          </w:p>
        </w:tc>
      </w:tr>
    </w:tbl>
    <w:p w14:paraId="7508D763" w14:textId="77777777" w:rsidR="006A3E2B" w:rsidRDefault="006A3E2B" w:rsidP="006A3E2B">
      <w:pPr>
        <w:overflowPunct w:val="0"/>
        <w:autoSpaceDE w:val="0"/>
        <w:autoSpaceDN w:val="0"/>
        <w:adjustRightInd w:val="0"/>
        <w:spacing w:before="120" w:after="160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14:paraId="6F3BF822" w14:textId="77777777" w:rsidR="006A3E2B" w:rsidRDefault="006A3E2B" w:rsidP="006A3E2B">
      <w:pPr>
        <w:overflowPunct w:val="0"/>
        <w:autoSpaceDE w:val="0"/>
        <w:autoSpaceDN w:val="0"/>
        <w:adjustRightInd w:val="0"/>
        <w:spacing w:before="120" w:after="160"/>
        <w:textAlignment w:val="baseline"/>
        <w:rPr>
          <w:rFonts w:ascii="Arial" w:hAnsi="Arial" w:cs="Arial"/>
          <w:sz w:val="20"/>
          <w:szCs w:val="20"/>
          <w:lang w:eastAsia="sl-SI"/>
        </w:rPr>
      </w:pPr>
    </w:p>
    <w:p w14:paraId="6AAB2443" w14:textId="77777777" w:rsidR="006A3E2B" w:rsidRPr="00430F28" w:rsidRDefault="00CF5154" w:rsidP="006A3E2B">
      <w:pPr>
        <w:overflowPunct w:val="0"/>
        <w:autoSpaceDE w:val="0"/>
        <w:autoSpaceDN w:val="0"/>
        <w:adjustRightInd w:val="0"/>
        <w:spacing w:before="120" w:after="160"/>
        <w:textAlignment w:val="baseline"/>
        <w:rPr>
          <w:rFonts w:ascii="Arial" w:hAnsi="Arial" w:cs="Arial"/>
          <w:b/>
          <w:sz w:val="20"/>
          <w:szCs w:val="20"/>
          <w:lang w:eastAsia="sl-SI"/>
        </w:rPr>
      </w:pPr>
      <w:r w:rsidRPr="00430F28">
        <w:rPr>
          <w:rFonts w:ascii="Arial" w:hAnsi="Arial" w:cs="Arial"/>
          <w:b/>
          <w:sz w:val="20"/>
          <w:szCs w:val="20"/>
          <w:lang w:eastAsia="sl-SI"/>
        </w:rPr>
        <w:t>Priloge</w:t>
      </w:r>
      <w:r w:rsidR="006A3E2B" w:rsidRPr="00430F28">
        <w:rPr>
          <w:rFonts w:ascii="Arial" w:hAnsi="Arial" w:cs="Arial"/>
          <w:b/>
          <w:sz w:val="20"/>
          <w:szCs w:val="20"/>
          <w:lang w:eastAsia="sl-SI"/>
        </w:rPr>
        <w:t xml:space="preserve">: </w:t>
      </w:r>
    </w:p>
    <w:p w14:paraId="429B1E8B" w14:textId="77777777" w:rsidR="001D1700" w:rsidRDefault="001D1700" w:rsidP="006A3E2B">
      <w:pPr>
        <w:overflowPunct w:val="0"/>
        <w:autoSpaceDE w:val="0"/>
        <w:autoSpaceDN w:val="0"/>
        <w:adjustRightInd w:val="0"/>
        <w:spacing w:before="120" w:after="160"/>
        <w:textAlignment w:val="baseline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>- Priloga 1: Informacija o projektu</w:t>
      </w:r>
    </w:p>
    <w:p w14:paraId="53EF8C2B" w14:textId="77777777" w:rsidR="001D1700" w:rsidRPr="00407041" w:rsidRDefault="001D1700" w:rsidP="006A3E2B">
      <w:pPr>
        <w:overflowPunct w:val="0"/>
        <w:autoSpaceDE w:val="0"/>
        <w:autoSpaceDN w:val="0"/>
        <w:adjustRightInd w:val="0"/>
        <w:spacing w:before="120" w:after="160"/>
        <w:textAlignment w:val="baseline"/>
        <w:rPr>
          <w:rFonts w:ascii="Arial" w:hAnsi="Arial" w:cs="Arial"/>
          <w:sz w:val="20"/>
          <w:szCs w:val="20"/>
          <w:lang w:eastAsia="sl-SI"/>
        </w:rPr>
      </w:pPr>
      <w:r>
        <w:rPr>
          <w:rFonts w:ascii="Arial" w:hAnsi="Arial" w:cs="Arial"/>
          <w:sz w:val="20"/>
          <w:szCs w:val="20"/>
          <w:lang w:eastAsia="sl-SI"/>
        </w:rPr>
        <w:t xml:space="preserve">- </w:t>
      </w:r>
      <w:r w:rsidR="00755453">
        <w:rPr>
          <w:rFonts w:ascii="Arial" w:hAnsi="Arial" w:cs="Arial"/>
          <w:sz w:val="20"/>
          <w:szCs w:val="20"/>
          <w:lang w:eastAsia="sl-SI"/>
        </w:rPr>
        <w:t xml:space="preserve">Priloga 2: Obrazec 3 </w:t>
      </w:r>
    </w:p>
    <w:p w14:paraId="27E12703" w14:textId="77777777" w:rsidR="006A3E2B" w:rsidRDefault="006A3E2B" w:rsidP="00770CBF">
      <w:pPr>
        <w:widowControl w:val="0"/>
        <w:spacing w:line="240" w:lineRule="atLeast"/>
        <w:ind w:right="311"/>
        <w:jc w:val="both"/>
        <w:rPr>
          <w:rFonts w:ascii="Arial" w:hAnsi="Arial" w:cs="Arial"/>
          <w:b/>
          <w:sz w:val="20"/>
          <w:szCs w:val="20"/>
        </w:rPr>
      </w:pPr>
    </w:p>
    <w:p w14:paraId="03A26C52" w14:textId="77777777" w:rsidR="007E1325" w:rsidRPr="007825F5" w:rsidRDefault="007E1325" w:rsidP="007E1325">
      <w:pPr>
        <w:keepNext/>
        <w:pageBreakBefore/>
        <w:rPr>
          <w:rFonts w:ascii="Arial" w:hAnsi="Arial" w:cs="Arial"/>
          <w:b/>
          <w:sz w:val="20"/>
          <w:szCs w:val="20"/>
        </w:rPr>
      </w:pPr>
      <w:r w:rsidRPr="007825F5">
        <w:rPr>
          <w:rFonts w:ascii="Arial" w:hAnsi="Arial" w:cs="Arial"/>
          <w:b/>
          <w:sz w:val="20"/>
          <w:szCs w:val="20"/>
        </w:rPr>
        <w:lastRenderedPageBreak/>
        <w:t xml:space="preserve">PRILOGA 1 – </w:t>
      </w:r>
      <w:r>
        <w:rPr>
          <w:rFonts w:ascii="Arial" w:hAnsi="Arial" w:cs="Arial"/>
          <w:b/>
          <w:sz w:val="20"/>
          <w:szCs w:val="20"/>
        </w:rPr>
        <w:t>Informacija o projektu</w:t>
      </w:r>
    </w:p>
    <w:p w14:paraId="09222B2F" w14:textId="77777777" w:rsidR="007E1325" w:rsidRPr="00217FA3" w:rsidRDefault="007E1325" w:rsidP="007E1325">
      <w:pPr>
        <w:jc w:val="both"/>
        <w:rPr>
          <w:rFonts w:ascii="Arial" w:hAnsi="Arial" w:cs="Arial"/>
          <w:sz w:val="20"/>
          <w:szCs w:val="20"/>
          <w:u w:val="single"/>
          <w:lang w:eastAsia="en-US"/>
        </w:rPr>
      </w:pPr>
    </w:p>
    <w:p w14:paraId="7EDF4FAF" w14:textId="77777777" w:rsidR="00672C8E" w:rsidRDefault="00672C8E" w:rsidP="007E1325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5800F3D2" w14:textId="73FC21A1" w:rsidR="00607F56" w:rsidRPr="00916848" w:rsidRDefault="00607F56" w:rsidP="00607F5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uppressAutoHyphens w:val="0"/>
        <w:autoSpaceDE w:val="0"/>
        <w:autoSpaceDN w:val="0"/>
        <w:adjustRightInd w:val="0"/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Uredba (EU) št. 2021/1153 Evropskega parlamenta in Sveta z dne 7. julija o vzpostavitvi Instrumenta za povezovanje Evrope (Uredba IPE)  ter razveljavitvi Uredb (EU) št. 1316/2013 in (EU) št. 283/2014 predvideva tudi </w:t>
      </w:r>
      <w:proofErr w:type="spellStart"/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t.i</w:t>
      </w:r>
      <w:proofErr w:type="spellEnd"/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. ukrepe v obliki tehnične pomoči državam članicam. Tehnična pomoč se nanaša na </w:t>
      </w:r>
      <w:proofErr w:type="spellStart"/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t.i</w:t>
      </w:r>
      <w:proofErr w:type="spellEnd"/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. spremljevalne ukrepe podpore Unije za upravljanje in izvajanje programa IPE in sektorskih smernic. Tehnična pomoč se na podlagi delovnega programa nanaša na obdobje od 1.1.202</w:t>
      </w:r>
      <w:r w:rsidR="00322166" w:rsidRPr="00916848">
        <w:rPr>
          <w:rFonts w:ascii="Helv" w:hAnsi="Helv" w:cs="Helv"/>
          <w:color w:val="000000"/>
          <w:sz w:val="20"/>
          <w:szCs w:val="20"/>
          <w:lang w:eastAsia="sl-SI"/>
        </w:rPr>
        <w:t>5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do 31.12.202</w:t>
      </w:r>
      <w:r w:rsidR="00322166" w:rsidRPr="00916848">
        <w:rPr>
          <w:rFonts w:ascii="Helv" w:hAnsi="Helv" w:cs="Helv"/>
          <w:color w:val="000000"/>
          <w:sz w:val="20"/>
          <w:szCs w:val="20"/>
          <w:lang w:eastAsia="sl-SI"/>
        </w:rPr>
        <w:t>7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. Skupni najvišji znesek Unije za tehnično pomoč za vsa za sofinanciranje načrtovana področja (to je horizontalne aktivnosti kot npr. podpora programu CEF, železnice, notranje vode, pomorstvo, ceste in letalstvo) znaša </w:t>
      </w:r>
      <w:r w:rsidR="00972CDF" w:rsidRPr="00916848">
        <w:rPr>
          <w:rFonts w:ascii="Helv" w:hAnsi="Helv" w:cs="Helv"/>
          <w:color w:val="000000"/>
          <w:sz w:val="20"/>
          <w:szCs w:val="20"/>
          <w:lang w:eastAsia="sl-SI"/>
        </w:rPr>
        <w:t>185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,</w:t>
      </w:r>
      <w:r w:rsidR="00972CDF" w:rsidRPr="00916848">
        <w:rPr>
          <w:rFonts w:ascii="Helv" w:hAnsi="Helv" w:cs="Helv"/>
          <w:color w:val="000000"/>
          <w:sz w:val="20"/>
          <w:szCs w:val="20"/>
          <w:lang w:eastAsia="sl-SI"/>
        </w:rPr>
        <w:t>94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mio EUR EU sredstev, od tega v okviru splošne ovojnice 1</w:t>
      </w:r>
      <w:r w:rsidR="00972CDF" w:rsidRPr="00916848">
        <w:rPr>
          <w:rFonts w:ascii="Helv" w:hAnsi="Helv" w:cs="Helv"/>
          <w:color w:val="000000"/>
          <w:sz w:val="20"/>
          <w:szCs w:val="20"/>
          <w:lang w:eastAsia="sl-SI"/>
        </w:rPr>
        <w:t>4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4,</w:t>
      </w:r>
      <w:r w:rsidR="00972CDF" w:rsidRPr="00916848">
        <w:rPr>
          <w:rFonts w:ascii="Helv" w:hAnsi="Helv" w:cs="Helv"/>
          <w:color w:val="000000"/>
          <w:sz w:val="20"/>
          <w:szCs w:val="20"/>
          <w:lang w:eastAsia="sl-SI"/>
        </w:rPr>
        <w:t>36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mio EUR  in </w:t>
      </w:r>
      <w:r w:rsidR="00972CDF" w:rsidRPr="00916848">
        <w:rPr>
          <w:rFonts w:ascii="Helv" w:hAnsi="Helv" w:cs="Helv"/>
          <w:color w:val="000000"/>
          <w:sz w:val="20"/>
          <w:szCs w:val="20"/>
          <w:lang w:eastAsia="sl-SI"/>
        </w:rPr>
        <w:t>41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,</w:t>
      </w:r>
      <w:r w:rsidR="00972CDF" w:rsidRPr="00916848">
        <w:rPr>
          <w:rFonts w:ascii="Helv" w:hAnsi="Helv" w:cs="Helv"/>
          <w:color w:val="000000"/>
          <w:sz w:val="20"/>
          <w:szCs w:val="20"/>
          <w:lang w:eastAsia="sl-SI"/>
        </w:rPr>
        <w:t>5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8 mio EUR iz kohezijske ovojnice.  </w:t>
      </w:r>
    </w:p>
    <w:p w14:paraId="379693E2" w14:textId="77777777" w:rsidR="00607F56" w:rsidRPr="00916848" w:rsidRDefault="00607F56" w:rsidP="00607F56">
      <w:p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</w:p>
    <w:p w14:paraId="26B421B7" w14:textId="32AE531C" w:rsidR="00607F56" w:rsidRPr="00916848" w:rsidRDefault="00607F56" w:rsidP="00607F56">
      <w:p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Na podlagi </w:t>
      </w:r>
      <w:r w:rsidR="007351B3" w:rsidRPr="00916848">
        <w:rPr>
          <w:rFonts w:ascii="Helv" w:hAnsi="Helv" w:cs="Helv"/>
          <w:color w:val="000000"/>
          <w:sz w:val="20"/>
          <w:szCs w:val="20"/>
          <w:lang w:eastAsia="sl-SI"/>
        </w:rPr>
        <w:t>dopolnitve</w:t>
      </w:r>
      <w:r w:rsidR="005710BC"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delovnega programa je Evropska izvajalska </w:t>
      </w:r>
      <w:r w:rsidR="007351B3" w:rsidRPr="00916848">
        <w:rPr>
          <w:rFonts w:ascii="Helv" w:hAnsi="Helv" w:cs="Helv"/>
          <w:color w:val="000000"/>
          <w:sz w:val="20"/>
          <w:szCs w:val="20"/>
          <w:lang w:eastAsia="sl-SI"/>
        </w:rPr>
        <w:t>A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gencija za podnebje, infrastrukturo in okolje (CINEA), ki je s strani Evropske komisije pooblaščena za izvedbo programa IPE, pripravila razpis in države članice povabila k oddaji prijave za pridobitev evropskih sredstev iz naslova tehnične pomoči</w:t>
      </w:r>
      <w:r w:rsidR="007351B3"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za obdobje 2025-2027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, ki se nanaša na neposredno dodeljena nepovratna sredstva v obliki pavšalnih izplačil. Sredstva Unije so namenjena za krepitev institucionalne zmogljivo</w:t>
      </w:r>
      <w:r w:rsidR="00972CDF" w:rsidRPr="00916848">
        <w:rPr>
          <w:rFonts w:ascii="Helv" w:hAnsi="Helv" w:cs="Helv"/>
          <w:color w:val="000000"/>
          <w:sz w:val="20"/>
          <w:szCs w:val="20"/>
          <w:lang w:eastAsia="sl-SI"/>
        </w:rPr>
        <w:t>sti in učinkovitosti upravičencev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Ministrstva za infrastrukturo</w:t>
      </w:r>
      <w:r w:rsidR="00972CDF"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in Ministrstva za okolje, podnebje in energijo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pri izvajanju nalog v okviru programa IPE 2021-2027</w:t>
      </w:r>
      <w:r w:rsidR="00972CDF"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– promet (vključno s področjem alternativnih goriv)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, za uspešno zaključevanje nalog v okviru predhodnega programa IPE 2014-2020 in za izvedbo nalog v zvezi z izboljšanjem razumevanja in prepoznavnosti programa IPE s strani zaposlenih, potencialnih prijaviteljev ter strokovne in druge splošne javnosti.</w:t>
      </w:r>
    </w:p>
    <w:p w14:paraId="677E306F" w14:textId="77777777" w:rsidR="00607F56" w:rsidRPr="00916848" w:rsidRDefault="00607F56" w:rsidP="00607F56">
      <w:p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</w:p>
    <w:p w14:paraId="6F15130C" w14:textId="10105BF1" w:rsidR="00607F56" w:rsidRPr="00916848" w:rsidRDefault="00607F56" w:rsidP="00607F56">
      <w:p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Z dodelitvijo </w:t>
      </w:r>
      <w:r w:rsidR="00972CDF"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EU 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sredstev se pričakovanja Evropske komisije nanašajo na krepitev sodelovanja držav članic s službami Evropske komisije za uspešno izvajanje IPE ukrepov, za podporo pri pripravi </w:t>
      </w:r>
      <w:proofErr w:type="spellStart"/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koridorskih</w:t>
      </w:r>
      <w:proofErr w:type="spellEnd"/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delovnih načrtov na zadevnih koridorjih jedrnega omrežja in prispevku </w:t>
      </w:r>
      <w:r w:rsidR="00972CDF" w:rsidRPr="00916848">
        <w:rPr>
          <w:rFonts w:ascii="Helv" w:hAnsi="Helv" w:cs="Helv"/>
          <w:color w:val="000000"/>
          <w:sz w:val="20"/>
          <w:szCs w:val="20"/>
          <w:lang w:eastAsia="sl-SI"/>
        </w:rPr>
        <w:t>M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inistrstva</w:t>
      </w:r>
      <w:r w:rsidR="00972CDF"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za infrastrukturo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v okviru dela izvršilnih odborov železniških tovornih koridorjev za pripravo</w:t>
      </w:r>
      <w:r w:rsidR="00972CDF"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sektorskih smernic ter za pripravo celostnih prometnih strategij urbanih vozlišč na TEN-T omrežju. V Republiki Sloveniji sta na TEN-T kot urbani vozlišči opredeljeni Ljubljana in Maribor. Vsebinsko je za izvajanje nalog</w:t>
      </w:r>
      <w:r w:rsidR="007B34EB"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na </w:t>
      </w:r>
      <w:r w:rsidR="00972CDF" w:rsidRPr="00916848">
        <w:rPr>
          <w:rFonts w:ascii="Helv" w:hAnsi="Helv" w:cs="Helv"/>
          <w:color w:val="000000"/>
          <w:sz w:val="20"/>
          <w:szCs w:val="20"/>
          <w:lang w:eastAsia="sl-SI"/>
        </w:rPr>
        <w:t>področj</w:t>
      </w:r>
      <w:r w:rsidR="007B34EB" w:rsidRPr="00916848">
        <w:rPr>
          <w:rFonts w:ascii="Helv" w:hAnsi="Helv" w:cs="Helv"/>
          <w:color w:val="000000"/>
          <w:sz w:val="20"/>
          <w:szCs w:val="20"/>
          <w:lang w:eastAsia="sl-SI"/>
        </w:rPr>
        <w:t>u</w:t>
      </w:r>
      <w:r w:rsidR="00972CDF"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urbanih vozlišč v skladu z revidirano Uredbo TEN-T v Republiki Sloveniji pristojno Ministrstvo za okolje, podnebje in energijo</w:t>
      </w:r>
      <w:r w:rsidR="007B34EB" w:rsidRPr="00916848">
        <w:rPr>
          <w:rFonts w:ascii="Helv" w:hAnsi="Helv" w:cs="Helv"/>
          <w:color w:val="000000"/>
          <w:sz w:val="20"/>
          <w:szCs w:val="20"/>
          <w:lang w:eastAsia="sl-SI"/>
        </w:rPr>
        <w:t>.</w:t>
      </w:r>
    </w:p>
    <w:p w14:paraId="1688B5D0" w14:textId="77777777" w:rsidR="00607F56" w:rsidRPr="00916848" w:rsidRDefault="00607F56" w:rsidP="00607F56">
      <w:p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</w:p>
    <w:p w14:paraId="15B3A92F" w14:textId="409BA5F4" w:rsidR="00607F56" w:rsidRPr="00916848" w:rsidRDefault="007B34EB" w:rsidP="00607F56">
      <w:p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Ministrstvo za infrastrukturo </w:t>
      </w:r>
      <w:r w:rsidR="00A8541A"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in Ministrstvo za okolje, podnebje in energijo </w:t>
      </w:r>
      <w:r w:rsidR="00607F56"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v okviru projekta Tehnična pomoč IPE 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25-27 </w:t>
      </w:r>
      <w:r w:rsidR="00607F56" w:rsidRPr="00916848">
        <w:rPr>
          <w:rFonts w:ascii="Helv" w:hAnsi="Helv" w:cs="Helv"/>
          <w:color w:val="000000"/>
          <w:sz w:val="20"/>
          <w:szCs w:val="20"/>
          <w:lang w:eastAsia="sl-SI"/>
        </w:rPr>
        <w:t>načrtuje</w:t>
      </w:r>
      <w:r w:rsidR="00A8541A" w:rsidRPr="00916848">
        <w:rPr>
          <w:rFonts w:ascii="Helv" w:hAnsi="Helv" w:cs="Helv"/>
          <w:color w:val="000000"/>
          <w:sz w:val="20"/>
          <w:szCs w:val="20"/>
          <w:lang w:eastAsia="sl-SI"/>
        </w:rPr>
        <w:t>ta</w:t>
      </w:r>
      <w:r w:rsidR="00607F56"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</w:t>
      </w:r>
      <w:r w:rsidR="00A8541A"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zaposlitve </w:t>
      </w:r>
      <w:r w:rsidR="00607F56"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za izvajanje aktivnosti, ki so vključene v posamezne delovne pakete (ang. </w:t>
      </w:r>
      <w:proofErr w:type="spellStart"/>
      <w:r w:rsidR="00607F56" w:rsidRPr="00916848">
        <w:rPr>
          <w:rFonts w:ascii="Helv" w:hAnsi="Helv" w:cs="Helv"/>
          <w:color w:val="000000"/>
          <w:sz w:val="20"/>
          <w:szCs w:val="20"/>
          <w:lang w:eastAsia="sl-SI"/>
        </w:rPr>
        <w:t>Work</w:t>
      </w:r>
      <w:proofErr w:type="spellEnd"/>
      <w:r w:rsidR="00607F56"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</w:t>
      </w:r>
      <w:proofErr w:type="spellStart"/>
      <w:r w:rsidR="00607F56" w:rsidRPr="00916848">
        <w:rPr>
          <w:rFonts w:ascii="Helv" w:hAnsi="Helv" w:cs="Helv"/>
          <w:color w:val="000000"/>
          <w:sz w:val="20"/>
          <w:szCs w:val="20"/>
          <w:lang w:eastAsia="sl-SI"/>
        </w:rPr>
        <w:t>package</w:t>
      </w:r>
      <w:proofErr w:type="spellEnd"/>
      <w:r w:rsidR="00607F56"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– WP):</w:t>
      </w:r>
    </w:p>
    <w:p w14:paraId="18CA5E0D" w14:textId="77777777" w:rsidR="00607F56" w:rsidRPr="00916848" w:rsidRDefault="00607F56" w:rsidP="00607F56">
      <w:p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</w:p>
    <w:p w14:paraId="2686E72D" w14:textId="6506F6E1" w:rsidR="00607F56" w:rsidRPr="00916848" w:rsidRDefault="00607F56" w:rsidP="00607F56">
      <w:pPr>
        <w:pStyle w:val="Odstavekseznama"/>
        <w:numPr>
          <w:ilvl w:val="0"/>
          <w:numId w:val="25"/>
        </w:num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Delovni paket </w:t>
      </w:r>
      <w:r w:rsidR="006705A6" w:rsidRPr="00916848">
        <w:rPr>
          <w:rFonts w:ascii="Helv" w:hAnsi="Helv" w:cs="Helv"/>
          <w:color w:val="000000"/>
          <w:sz w:val="20"/>
          <w:szCs w:val="20"/>
          <w:lang w:eastAsia="sl-SI"/>
        </w:rPr>
        <w:t>1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(WP</w:t>
      </w:r>
      <w:r w:rsidR="006705A6" w:rsidRPr="00916848">
        <w:rPr>
          <w:rFonts w:ascii="Helv" w:hAnsi="Helv" w:cs="Helv"/>
          <w:color w:val="000000"/>
          <w:sz w:val="20"/>
          <w:szCs w:val="20"/>
          <w:lang w:eastAsia="sl-SI"/>
        </w:rPr>
        <w:t>1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) se nanaša na sodelo</w:t>
      </w:r>
      <w:r w:rsidR="00A8541A"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vanje </w:t>
      </w:r>
      <w:r w:rsidR="00EC358C"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obeh </w:t>
      </w:r>
      <w:r w:rsidR="00A8541A" w:rsidRPr="00916848">
        <w:rPr>
          <w:rFonts w:ascii="Helv" w:hAnsi="Helv" w:cs="Helv"/>
          <w:color w:val="000000"/>
          <w:sz w:val="20"/>
          <w:szCs w:val="20"/>
          <w:lang w:eastAsia="sl-SI"/>
        </w:rPr>
        <w:t>upravičencev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pri spremljanju in implementaciji</w:t>
      </w:r>
      <w:r w:rsidR="00A8541A"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evropskih prometnih 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koridorjev na TEN-T omrežju Republike Slovenije (</w:t>
      </w:r>
      <w:r w:rsidR="00B5129B"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Baltsko morje – Jadransko morje, 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Sredozemski koridor in </w:t>
      </w:r>
      <w:r w:rsidR="00B5129B"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Zahodno 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Bal</w:t>
      </w:r>
      <w:r w:rsidR="00B5129B" w:rsidRPr="00916848">
        <w:rPr>
          <w:rFonts w:ascii="Helv" w:hAnsi="Helv" w:cs="Helv"/>
          <w:color w:val="000000"/>
          <w:sz w:val="20"/>
          <w:szCs w:val="20"/>
          <w:lang w:eastAsia="sl-SI"/>
        </w:rPr>
        <w:t>kanski – Vzhodno sredozemski koridor)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:</w:t>
      </w:r>
    </w:p>
    <w:p w14:paraId="205F63A5" w14:textId="77777777" w:rsidR="00607F56" w:rsidRPr="00916848" w:rsidRDefault="00607F56" w:rsidP="00607F56">
      <w:pPr>
        <w:pStyle w:val="Odstavekseznama"/>
        <w:numPr>
          <w:ilvl w:val="0"/>
          <w:numId w:val="28"/>
        </w:num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aktivno sodelovanje na forumih in sestankih v okviru koridorjev, delovnih skupinah in konferencah,</w:t>
      </w:r>
    </w:p>
    <w:p w14:paraId="067E708F" w14:textId="77777777" w:rsidR="00607F56" w:rsidRPr="00916848" w:rsidRDefault="00607F56" w:rsidP="00607F56">
      <w:pPr>
        <w:pStyle w:val="Odstavekseznama"/>
        <w:numPr>
          <w:ilvl w:val="0"/>
          <w:numId w:val="28"/>
        </w:num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posvetovanje in sodelovanje pri pripravi ter potrjevanje </w:t>
      </w:r>
      <w:proofErr w:type="spellStart"/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koridorskih</w:t>
      </w:r>
      <w:proofErr w:type="spellEnd"/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delovnih načrtov,</w:t>
      </w:r>
    </w:p>
    <w:p w14:paraId="3BB0D998" w14:textId="088A81A7" w:rsidR="00607F56" w:rsidRPr="00916848" w:rsidRDefault="00607F56" w:rsidP="00607F56">
      <w:pPr>
        <w:pStyle w:val="Odstavekseznama"/>
        <w:numPr>
          <w:ilvl w:val="0"/>
          <w:numId w:val="28"/>
        </w:num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sodelovanje z evropskimi koordinatorji, nacionalnimi deležniki in drugimi državami članicami v zvezi z aktivnostmi zadevnih koridorjev.</w:t>
      </w:r>
    </w:p>
    <w:p w14:paraId="221C9B92" w14:textId="655788EA" w:rsidR="00EC358C" w:rsidRPr="00916848" w:rsidRDefault="00EC358C" w:rsidP="00EC358C">
      <w:p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</w:p>
    <w:p w14:paraId="10195591" w14:textId="4A0CDBDF" w:rsidR="00EC358C" w:rsidRPr="00916848" w:rsidRDefault="00EC358C" w:rsidP="00EC358C">
      <w:pPr>
        <w:pStyle w:val="Odstavekseznama"/>
        <w:numPr>
          <w:ilvl w:val="0"/>
          <w:numId w:val="25"/>
        </w:num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Delovni paket 2 (WP2) se nanaša na aktivnosti Ministrstva za okolje, podnebje in energijo pri pripravi smernic </w:t>
      </w:r>
      <w:r w:rsidR="00297C90"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za celostne prometne strategije in podpori 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urbanim vozliščem na TEN-T omrežju pri pripravi in pravočasnem sprejetju celostnih prometnih strategij v skladu z zahtevami Uredbe TEN-T in</w:t>
      </w:r>
      <w:r w:rsidR="00B26E68"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podpori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</w:t>
      </w:r>
      <w:r w:rsidR="00297C90" w:rsidRPr="00916848">
        <w:rPr>
          <w:rFonts w:ascii="Helv" w:hAnsi="Helv" w:cs="Helv"/>
          <w:color w:val="000000"/>
          <w:sz w:val="20"/>
          <w:szCs w:val="20"/>
          <w:lang w:eastAsia="sl-SI"/>
        </w:rPr>
        <w:t>za učinkovito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zbiranje in </w:t>
      </w:r>
      <w:r w:rsidR="00297C90"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pravočasno 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posredovanje podatkov glede mobilnosti v urbanih vozliščih v Republiki Sloveniji službam Evropske komisije:</w:t>
      </w:r>
    </w:p>
    <w:p w14:paraId="6420D09E" w14:textId="4CE80256" w:rsidR="00EC358C" w:rsidRPr="00916848" w:rsidRDefault="00284E6C" w:rsidP="00284E6C">
      <w:pPr>
        <w:pStyle w:val="Odstavekseznama"/>
        <w:numPr>
          <w:ilvl w:val="0"/>
          <w:numId w:val="25"/>
        </w:num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Sprejetje nacionalnega programa za načrt za trajnostno mobilnost v mestih,</w:t>
      </w:r>
    </w:p>
    <w:p w14:paraId="63FF205A" w14:textId="16966E8D" w:rsidR="00EC358C" w:rsidRPr="00916848" w:rsidRDefault="00284E6C" w:rsidP="00284E6C">
      <w:pPr>
        <w:pStyle w:val="Odstavekseznama"/>
        <w:numPr>
          <w:ilvl w:val="0"/>
          <w:numId w:val="25"/>
        </w:num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Vzpostavitev nacionalne kontaktne točke za načrt za trajnostno mobilnost v mestih,</w:t>
      </w:r>
    </w:p>
    <w:p w14:paraId="5CE13346" w14:textId="2F2892BA" w:rsidR="00EC358C" w:rsidRPr="00916848" w:rsidRDefault="00284E6C" w:rsidP="004F172C">
      <w:pPr>
        <w:pStyle w:val="Odstavekseznama"/>
        <w:numPr>
          <w:ilvl w:val="0"/>
          <w:numId w:val="25"/>
        </w:num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Priprava nacionalnih smernic za urbana vozlišča</w:t>
      </w:r>
    </w:p>
    <w:p w14:paraId="4291C7D5" w14:textId="75B35D4C" w:rsidR="00284E6C" w:rsidRPr="00916848" w:rsidRDefault="00284E6C" w:rsidP="004F172C">
      <w:pPr>
        <w:pStyle w:val="Odstavekseznama"/>
        <w:numPr>
          <w:ilvl w:val="0"/>
          <w:numId w:val="25"/>
        </w:num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Ocenjevanje pripravljenosti urbanih vozlišč in skladnosti njihovih prometnih strategij z zahtevami revidiranje Uredbe TEN-T,</w:t>
      </w:r>
    </w:p>
    <w:p w14:paraId="59728453" w14:textId="4D9AEF12" w:rsidR="00284E6C" w:rsidRPr="00916848" w:rsidRDefault="00284E6C" w:rsidP="004F172C">
      <w:pPr>
        <w:pStyle w:val="Odstavekseznama"/>
        <w:numPr>
          <w:ilvl w:val="0"/>
          <w:numId w:val="25"/>
        </w:num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Zagotavljanje strokovne pomoči urbanih vozliščem,</w:t>
      </w:r>
    </w:p>
    <w:p w14:paraId="55F87548" w14:textId="1ED79ADB" w:rsidR="00284E6C" w:rsidRPr="00916848" w:rsidRDefault="00284E6C" w:rsidP="004F172C">
      <w:pPr>
        <w:pStyle w:val="Odstavekseznama"/>
        <w:numPr>
          <w:ilvl w:val="0"/>
          <w:numId w:val="25"/>
        </w:num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Analiza razpoložljivosti podatkov,</w:t>
      </w:r>
    </w:p>
    <w:p w14:paraId="505C7802" w14:textId="3E0CEEBE" w:rsidR="00284E6C" w:rsidRPr="00916848" w:rsidRDefault="00284E6C" w:rsidP="004F172C">
      <w:pPr>
        <w:pStyle w:val="Odstavekseznama"/>
        <w:numPr>
          <w:ilvl w:val="0"/>
          <w:numId w:val="25"/>
        </w:num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Izvajanje načrta za pridobivanje podatkov.</w:t>
      </w:r>
    </w:p>
    <w:p w14:paraId="1CFD4214" w14:textId="60F59D77" w:rsidR="00284E6C" w:rsidRPr="00916848" w:rsidRDefault="00284E6C" w:rsidP="00284E6C">
      <w:p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</w:p>
    <w:p w14:paraId="3A4816A9" w14:textId="61FAE750" w:rsidR="00EC358C" w:rsidRPr="00916848" w:rsidRDefault="00EC358C" w:rsidP="00284E6C">
      <w:p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Revidirana uredba TEN-T, sprejeta v juniju 2024, za zagotovitev učinkovitega delovanja celotnega vseevropskega prometnega omrežja brez ozkih grl pri razvoju tega omrežja v urbanih vozliščih prinaša nove zahteve za pripravo nacionalnih programov podpore ter celostnih prometnih strategij za urbana vozlišča. Status urbanega vozlišča imata v Republiki Sloveniji Ljubljana in Maribor.</w:t>
      </w:r>
    </w:p>
    <w:p w14:paraId="379D0F9A" w14:textId="7FAD8B92" w:rsidR="00EC358C" w:rsidRPr="00EC358C" w:rsidRDefault="00EC358C" w:rsidP="00EC358C">
      <w:pPr>
        <w:jc w:val="both"/>
        <w:rPr>
          <w:rFonts w:ascii="Helv" w:hAnsi="Helv" w:cs="Helv"/>
          <w:color w:val="000000"/>
          <w:sz w:val="20"/>
          <w:szCs w:val="20"/>
          <w:highlight w:val="yellow"/>
          <w:lang w:eastAsia="sl-SI"/>
        </w:rPr>
      </w:pPr>
    </w:p>
    <w:p w14:paraId="0A98662D" w14:textId="77777777" w:rsidR="00607F56" w:rsidRPr="005D4F67" w:rsidRDefault="00607F56" w:rsidP="00607F56">
      <w:pPr>
        <w:jc w:val="both"/>
        <w:rPr>
          <w:rFonts w:ascii="Helv" w:hAnsi="Helv" w:cs="Helv"/>
          <w:color w:val="000000"/>
          <w:sz w:val="20"/>
          <w:szCs w:val="20"/>
          <w:highlight w:val="yellow"/>
          <w:lang w:eastAsia="sl-SI"/>
        </w:rPr>
      </w:pPr>
    </w:p>
    <w:p w14:paraId="13948A8B" w14:textId="7FF34980" w:rsidR="00607F56" w:rsidRPr="00916848" w:rsidRDefault="00607F56" w:rsidP="00607F56">
      <w:pPr>
        <w:pStyle w:val="Odstavekseznama"/>
        <w:numPr>
          <w:ilvl w:val="0"/>
          <w:numId w:val="25"/>
        </w:num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Delovni paket </w:t>
      </w:r>
      <w:r w:rsidR="006705A6" w:rsidRPr="00916848">
        <w:rPr>
          <w:rFonts w:ascii="Helv" w:hAnsi="Helv" w:cs="Helv"/>
          <w:color w:val="000000"/>
          <w:sz w:val="20"/>
          <w:szCs w:val="20"/>
          <w:lang w:eastAsia="sl-SI"/>
        </w:rPr>
        <w:t>3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(WP</w:t>
      </w:r>
      <w:r w:rsidR="006705A6" w:rsidRPr="00916848">
        <w:rPr>
          <w:rFonts w:ascii="Helv" w:hAnsi="Helv" w:cs="Helv"/>
          <w:color w:val="000000"/>
          <w:sz w:val="20"/>
          <w:szCs w:val="20"/>
          <w:lang w:eastAsia="sl-SI"/>
        </w:rPr>
        <w:t>3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) se nanaša na sodelovanje </w:t>
      </w:r>
      <w:r w:rsidR="006705A6"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predstavnikov Ministrstva za infrastrukturo 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z izvršilnimi odbori pri razvoju železniških tovornih koridorjev, ki potekajo po ozemlju Republike Slovenije (Mediteranski, Baltsko-Jadranski, Alpsko-Zahodno Balkanski, Jantarni):</w:t>
      </w:r>
    </w:p>
    <w:p w14:paraId="4493A0D5" w14:textId="77777777" w:rsidR="00607F56" w:rsidRPr="00916848" w:rsidRDefault="00607F56" w:rsidP="00607F56">
      <w:pPr>
        <w:pStyle w:val="Odstavekseznama"/>
        <w:numPr>
          <w:ilvl w:val="0"/>
          <w:numId w:val="27"/>
        </w:num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spremljanje implementacije železniških koridorjev, priprava in aktivno sodelovanje na sestankih z udeleženci v okviru železniških tovornih koridorjev in razširjenih sestankih z udeleženci zadevnih jedrnih koridorjev,</w:t>
      </w:r>
    </w:p>
    <w:p w14:paraId="6E8DD6E7" w14:textId="77777777" w:rsidR="00607F56" w:rsidRPr="00916848" w:rsidRDefault="00607F56" w:rsidP="00607F56">
      <w:pPr>
        <w:pStyle w:val="Odstavekseznama"/>
        <w:numPr>
          <w:ilvl w:val="0"/>
          <w:numId w:val="27"/>
        </w:num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priprava in aktivno sodelovanje na sestankih za koordiniranje zadevnih železniških tovornih koridorjev oziroma vseh železniških tovornih koridorjev,</w:t>
      </w:r>
    </w:p>
    <w:p w14:paraId="527A5FB7" w14:textId="77777777" w:rsidR="00607F56" w:rsidRPr="00916848" w:rsidRDefault="00607F56" w:rsidP="00607F56">
      <w:pPr>
        <w:pStyle w:val="Odstavekseznama"/>
        <w:numPr>
          <w:ilvl w:val="0"/>
          <w:numId w:val="27"/>
        </w:num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koordiniranje aktivnosti med zadevnimi državami članicami, upravljalci železniške infrastrukture in drugimi relevantnimi deležniki na lokalni in regionalni ravni,</w:t>
      </w:r>
    </w:p>
    <w:p w14:paraId="3BB6DCCD" w14:textId="77777777" w:rsidR="00607F56" w:rsidRPr="00916848" w:rsidRDefault="00607F56" w:rsidP="00607F56">
      <w:pPr>
        <w:pStyle w:val="Odstavekseznama"/>
        <w:numPr>
          <w:ilvl w:val="0"/>
          <w:numId w:val="27"/>
        </w:num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priprava poročil za namen spremljanje napredka pri razvoju koridorjev, kot je predvideno z 22. členom Uredbe IPE</w:t>
      </w:r>
    </w:p>
    <w:p w14:paraId="71417ED5" w14:textId="77777777" w:rsidR="00607F56" w:rsidRPr="00916848" w:rsidRDefault="00607F56" w:rsidP="00607F56">
      <w:p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</w:p>
    <w:p w14:paraId="7D8F7A96" w14:textId="0B8C940F" w:rsidR="006705A6" w:rsidRPr="00916848" w:rsidRDefault="006705A6" w:rsidP="006705A6">
      <w:pPr>
        <w:pStyle w:val="Odstavekseznama"/>
        <w:numPr>
          <w:ilvl w:val="0"/>
          <w:numId w:val="25"/>
        </w:num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Delovni paket 4 (WP4) se nanaša na komunikacijske aktivnosti, pregled projektnih predlogov in tehnični nadzor nad izvedbo projektov, sofinanciranih v obdobju 2021-2027. Specifične naloge</w:t>
      </w:r>
      <w:r w:rsidR="00297C90"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obeh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</w:t>
      </w:r>
      <w:r w:rsidR="00297C90"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upravičencev 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v okviru WP4 so:</w:t>
      </w:r>
    </w:p>
    <w:p w14:paraId="045EB9D1" w14:textId="7D6995E1" w:rsidR="006705A6" w:rsidRPr="00916848" w:rsidRDefault="006705A6" w:rsidP="006705A6">
      <w:pPr>
        <w:pStyle w:val="Odstavekseznama"/>
        <w:numPr>
          <w:ilvl w:val="0"/>
          <w:numId w:val="23"/>
        </w:num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Komunikacija s strokovno in splošno javnostjo glede programa IPE, projektov in njihovih rezultatov skozi različne komunikacijske kanale, med drugim tudi z organizacijo dogodkov v obliki </w:t>
      </w:r>
      <w:proofErr w:type="spellStart"/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t.i</w:t>
      </w:r>
      <w:proofErr w:type="spellEnd"/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. </w:t>
      </w:r>
      <w:proofErr w:type="spellStart"/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Info</w:t>
      </w:r>
      <w:proofErr w:type="spellEnd"/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</w:t>
      </w:r>
      <w:proofErr w:type="spellStart"/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dnevov</w:t>
      </w:r>
      <w:proofErr w:type="spellEnd"/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, obveščanjem preko spleta na za ta namen vzpostavljenih uradnih spletnih straneh s povezavo na evropske spletne strani in preko drugih socialnih medijev, idr.. V okviru naloge načrtujeta MZI in MOPE ob objavi posameznega razpisa IPE ločeno organizacijo enodnevnih dogodkov za potencialne slovenske prijavitelje, razširjanje informacij o programu IPE, objavljenih razpisih in drugih informacij s pomočjo različnih socialnih medijev, ki jih uporabljata (spletne strani, X, </w:t>
      </w:r>
      <w:proofErr w:type="spellStart"/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facebook</w:t>
      </w:r>
      <w:proofErr w:type="spellEnd"/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, idr.).</w:t>
      </w:r>
    </w:p>
    <w:p w14:paraId="410B3B00" w14:textId="50EADCB9" w:rsidR="006705A6" w:rsidRPr="00916848" w:rsidRDefault="006705A6" w:rsidP="006705A6">
      <w:pPr>
        <w:pStyle w:val="Odstavekseznama"/>
        <w:numPr>
          <w:ilvl w:val="0"/>
          <w:numId w:val="23"/>
        </w:num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Pregled projektnih predlogov, ki kandidirajo za evropska sredstva v okviru razpisov IPE, objavljenih v letih 2024, 2025 in 2026 in 2027, pri čemer se naloge nanašajo na preveritev skladnosti vlog z zahtevami posameznega razpisa (infrastruktura in/ali alternativna goriva) in nacionalnimi prioritetami ter njihovo potrditev z izdajo soglasja države članice (</w:t>
      </w:r>
      <w:proofErr w:type="spellStart"/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t.j</w:t>
      </w:r>
      <w:proofErr w:type="spellEnd"/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. Ministrstva za infrastrukturo) oz. Ministrstva za okolje, podnebje in energijo v primeru projektnih vlog iz področja alternativnih goriv) k vlogi. </w:t>
      </w:r>
    </w:p>
    <w:p w14:paraId="66E3520E" w14:textId="77777777" w:rsidR="006705A6" w:rsidRPr="00916848" w:rsidRDefault="006705A6" w:rsidP="006705A6">
      <w:pPr>
        <w:pStyle w:val="Odstavekseznama"/>
        <w:numPr>
          <w:ilvl w:val="0"/>
          <w:numId w:val="23"/>
        </w:num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Tehnični nadzor nad projekti v izvajanju z namenom zagotavljanja maksimalne porabe sredstev v okviru nacionalne kohezijske ovojnice.</w:t>
      </w:r>
    </w:p>
    <w:p w14:paraId="39CFC1DF" w14:textId="77777777" w:rsidR="006705A6" w:rsidRPr="00916848" w:rsidRDefault="006705A6" w:rsidP="006705A6">
      <w:p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</w:p>
    <w:p w14:paraId="724D593B" w14:textId="6814841C" w:rsidR="006705A6" w:rsidRPr="00916848" w:rsidRDefault="006705A6" w:rsidP="006705A6">
      <w:pPr>
        <w:pStyle w:val="Odstavekseznama"/>
        <w:numPr>
          <w:ilvl w:val="0"/>
          <w:numId w:val="25"/>
        </w:num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Delovni paket 5 (WP5) se nanaša na tehnični in finančni nadzor </w:t>
      </w:r>
      <w:r w:rsidR="00297C90"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obeh upravičencev 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nad projekti IPE 14-20. Specifične naloge so spremljanje tehničnega napredka in finančna kontrola projektov, izbranih za sofinanciranje v obdobju 2014-2020 v tesnem sodelovanju s Komisijo. V zaključevanju (ki se nanaša na pripravo in oddajo končnega poročila za EK) je trenutno 8 projektov, od katerih je 6 projektov izvajalo MZI, po enega pa zunanja upravičenca Luka Koper in Petrol s partnerji. 7 projektov se nanaša na področje prometa, 1 projekt na področje alternativnih goriv.</w:t>
      </w:r>
    </w:p>
    <w:p w14:paraId="2459CDC2" w14:textId="5D33CCE1" w:rsidR="00EC358C" w:rsidRPr="00916848" w:rsidRDefault="00EC358C" w:rsidP="00EC358C">
      <w:pPr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</w:p>
    <w:p w14:paraId="272E309B" w14:textId="21932B56" w:rsidR="002131B0" w:rsidRDefault="00EC358C" w:rsidP="001C03BF">
      <w:pPr>
        <w:suppressAutoHyphens w:val="0"/>
        <w:autoSpaceDE w:val="0"/>
        <w:autoSpaceDN w:val="0"/>
        <w:adjustRightInd w:val="0"/>
        <w:jc w:val="both"/>
        <w:rPr>
          <w:rFonts w:ascii="Helv" w:hAnsi="Helv" w:cs="Helv"/>
          <w:color w:val="000000"/>
          <w:sz w:val="20"/>
          <w:szCs w:val="20"/>
          <w:lang w:eastAsia="sl-SI"/>
        </w:rPr>
      </w:pP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Skupno je bilo v okviru dosedanjih razpisov IPE</w:t>
      </w:r>
      <w:r w:rsidR="00297C90"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2021-2027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odobrenih 26 projektov iz Republike Slovenije, od tega 7 na področju alternativnih goriv. Rezultati zadnjega razpisa IPE promet 2024 bodo znani predvidoma v juniju 2025. Za izvajanje podpore programu IPE, je bil 10.4.2025 s Komisijo podpisan Sporazum o dodelitvi nepovratnih sredstev za izvedbo horizontalnih podpornih aktivnosti na projektu v obdobju 1.1.2025 do 31.12.2027. Stopnja sofinanciranja upravičenih stroškov je 100 %. Zagotavljanje lastne udeležbe je potrebno za kritje neupravičenega</w:t>
      </w:r>
      <w:r w:rsidR="00916848"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dela stroškov (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>DDV</w:t>
      </w:r>
      <w:r w:rsidR="00916848" w:rsidRPr="00916848">
        <w:rPr>
          <w:rFonts w:ascii="Helv" w:hAnsi="Helv" w:cs="Helv"/>
          <w:color w:val="000000"/>
          <w:sz w:val="20"/>
          <w:szCs w:val="20"/>
          <w:lang w:eastAsia="sl-SI"/>
        </w:rPr>
        <w:t>)</w:t>
      </w:r>
      <w:r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. </w:t>
      </w:r>
      <w:r w:rsidR="00607F56" w:rsidRPr="00916848">
        <w:rPr>
          <w:rFonts w:ascii="Helv" w:hAnsi="Helv" w:cs="Helv"/>
          <w:color w:val="000000"/>
          <w:sz w:val="20"/>
          <w:szCs w:val="20"/>
          <w:lang w:eastAsia="sl-SI"/>
        </w:rPr>
        <w:t>Za izvedbo zgoraj navedenih aktivnosti projekta so upravičeni stroški dela zaposlenih na Ministrstvu za infrastrukturo</w:t>
      </w:r>
      <w:r w:rsidR="00B26E68"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in Ministrstvu za okolje, podnebje in energijo ter</w:t>
      </w:r>
      <w:r w:rsidR="00607F56" w:rsidRPr="00916848">
        <w:rPr>
          <w:rFonts w:ascii="Helv" w:hAnsi="Helv" w:cs="Helv"/>
          <w:color w:val="000000"/>
          <w:sz w:val="20"/>
          <w:szCs w:val="20"/>
          <w:lang w:eastAsia="sl-SI"/>
        </w:rPr>
        <w:t xml:space="preserve"> stroški zunanjih izvajalcev in stroški potovanj.</w:t>
      </w:r>
    </w:p>
    <w:p w14:paraId="320B5EE9" w14:textId="77777777" w:rsidR="007E1325" w:rsidRDefault="007E1325" w:rsidP="007E1325">
      <w:pPr>
        <w:jc w:val="both"/>
        <w:rPr>
          <w:rFonts w:ascii="Arial" w:hAnsi="Arial" w:cs="Arial"/>
          <w:sz w:val="20"/>
          <w:szCs w:val="20"/>
        </w:rPr>
      </w:pPr>
    </w:p>
    <w:p w14:paraId="7B2261A7" w14:textId="77777777" w:rsidR="00607F56" w:rsidRDefault="00607F56" w:rsidP="006A3E2B">
      <w:pPr>
        <w:widowControl w:val="0"/>
        <w:tabs>
          <w:tab w:val="left" w:pos="9326"/>
        </w:tabs>
        <w:ind w:right="311"/>
        <w:jc w:val="both"/>
        <w:rPr>
          <w:rFonts w:ascii="Arial" w:hAnsi="Arial" w:cs="Arial"/>
          <w:sz w:val="20"/>
          <w:szCs w:val="20"/>
        </w:rPr>
      </w:pPr>
    </w:p>
    <w:p w14:paraId="71094E35" w14:textId="77777777" w:rsidR="00607F56" w:rsidRDefault="00607F56" w:rsidP="006A3E2B">
      <w:pPr>
        <w:widowControl w:val="0"/>
        <w:tabs>
          <w:tab w:val="left" w:pos="9326"/>
        </w:tabs>
        <w:ind w:right="311"/>
        <w:jc w:val="both"/>
        <w:rPr>
          <w:rFonts w:ascii="Arial" w:hAnsi="Arial" w:cs="Arial"/>
          <w:sz w:val="20"/>
          <w:szCs w:val="20"/>
        </w:rPr>
      </w:pPr>
    </w:p>
    <w:p w14:paraId="0D0A41EA" w14:textId="5F6B2DF0" w:rsidR="00607F56" w:rsidRDefault="00607F56" w:rsidP="006A3E2B">
      <w:pPr>
        <w:widowControl w:val="0"/>
        <w:tabs>
          <w:tab w:val="left" w:pos="9326"/>
        </w:tabs>
        <w:ind w:right="311"/>
        <w:jc w:val="both"/>
        <w:rPr>
          <w:rFonts w:ascii="Arial" w:hAnsi="Arial" w:cs="Arial"/>
          <w:sz w:val="20"/>
          <w:szCs w:val="20"/>
        </w:rPr>
      </w:pPr>
    </w:p>
    <w:p w14:paraId="2DCE290E" w14:textId="6673D3F6" w:rsidR="00916848" w:rsidRDefault="00916848" w:rsidP="006A3E2B">
      <w:pPr>
        <w:widowControl w:val="0"/>
        <w:tabs>
          <w:tab w:val="left" w:pos="9326"/>
        </w:tabs>
        <w:ind w:right="311"/>
        <w:jc w:val="both"/>
        <w:rPr>
          <w:rFonts w:ascii="Arial" w:hAnsi="Arial" w:cs="Arial"/>
          <w:sz w:val="20"/>
          <w:szCs w:val="20"/>
        </w:rPr>
      </w:pPr>
    </w:p>
    <w:p w14:paraId="049764F4" w14:textId="75F81C9E" w:rsidR="00916848" w:rsidRDefault="00916848" w:rsidP="006A3E2B">
      <w:pPr>
        <w:widowControl w:val="0"/>
        <w:tabs>
          <w:tab w:val="left" w:pos="9326"/>
        </w:tabs>
        <w:ind w:right="311"/>
        <w:jc w:val="both"/>
        <w:rPr>
          <w:rFonts w:ascii="Arial" w:hAnsi="Arial" w:cs="Arial"/>
          <w:sz w:val="20"/>
          <w:szCs w:val="20"/>
        </w:rPr>
      </w:pPr>
    </w:p>
    <w:p w14:paraId="4A6ECF69" w14:textId="60560546" w:rsidR="00916848" w:rsidRDefault="00916848" w:rsidP="006A3E2B">
      <w:pPr>
        <w:widowControl w:val="0"/>
        <w:tabs>
          <w:tab w:val="left" w:pos="9326"/>
        </w:tabs>
        <w:ind w:right="311"/>
        <w:jc w:val="both"/>
        <w:rPr>
          <w:rFonts w:ascii="Arial" w:hAnsi="Arial" w:cs="Arial"/>
          <w:sz w:val="20"/>
          <w:szCs w:val="20"/>
        </w:rPr>
      </w:pPr>
    </w:p>
    <w:p w14:paraId="5F1533CE" w14:textId="6634E8D4" w:rsidR="00916848" w:rsidRDefault="00916848" w:rsidP="006A3E2B">
      <w:pPr>
        <w:widowControl w:val="0"/>
        <w:tabs>
          <w:tab w:val="left" w:pos="9326"/>
        </w:tabs>
        <w:ind w:right="311"/>
        <w:jc w:val="both"/>
        <w:rPr>
          <w:rFonts w:ascii="Arial" w:hAnsi="Arial" w:cs="Arial"/>
          <w:sz w:val="20"/>
          <w:szCs w:val="20"/>
        </w:rPr>
      </w:pPr>
    </w:p>
    <w:p w14:paraId="16D4FD09" w14:textId="3FA4D87A" w:rsidR="00916848" w:rsidRDefault="00916848" w:rsidP="006A3E2B">
      <w:pPr>
        <w:widowControl w:val="0"/>
        <w:tabs>
          <w:tab w:val="left" w:pos="9326"/>
        </w:tabs>
        <w:ind w:right="311"/>
        <w:jc w:val="both"/>
        <w:rPr>
          <w:rFonts w:ascii="Arial" w:hAnsi="Arial" w:cs="Arial"/>
          <w:sz w:val="20"/>
          <w:szCs w:val="20"/>
        </w:rPr>
      </w:pPr>
    </w:p>
    <w:p w14:paraId="32119AD6" w14:textId="77777777" w:rsidR="00916848" w:rsidRDefault="00916848" w:rsidP="006A3E2B">
      <w:pPr>
        <w:widowControl w:val="0"/>
        <w:tabs>
          <w:tab w:val="left" w:pos="9326"/>
        </w:tabs>
        <w:ind w:right="311"/>
        <w:jc w:val="both"/>
        <w:rPr>
          <w:rFonts w:ascii="Arial" w:hAnsi="Arial" w:cs="Arial"/>
          <w:sz w:val="20"/>
          <w:szCs w:val="20"/>
        </w:rPr>
      </w:pPr>
    </w:p>
    <w:p w14:paraId="5D8F6ED2" w14:textId="4FCDA9E8" w:rsidR="00607F56" w:rsidRDefault="00607F56" w:rsidP="006A3E2B">
      <w:pPr>
        <w:widowControl w:val="0"/>
        <w:tabs>
          <w:tab w:val="left" w:pos="9326"/>
        </w:tabs>
        <w:ind w:right="311"/>
        <w:jc w:val="both"/>
        <w:rPr>
          <w:rFonts w:ascii="Arial" w:hAnsi="Arial" w:cs="Arial"/>
          <w:sz w:val="20"/>
          <w:szCs w:val="20"/>
        </w:rPr>
      </w:pPr>
    </w:p>
    <w:p w14:paraId="1FFC15B4" w14:textId="672DB64A" w:rsidR="00916848" w:rsidRDefault="00916848" w:rsidP="006A3E2B">
      <w:pPr>
        <w:widowControl w:val="0"/>
        <w:tabs>
          <w:tab w:val="left" w:pos="9326"/>
        </w:tabs>
        <w:ind w:right="311"/>
        <w:jc w:val="both"/>
        <w:rPr>
          <w:rFonts w:ascii="Arial" w:hAnsi="Arial" w:cs="Arial"/>
          <w:sz w:val="20"/>
          <w:szCs w:val="20"/>
        </w:rPr>
      </w:pPr>
    </w:p>
    <w:p w14:paraId="5FB71DA2" w14:textId="17F3710D" w:rsidR="00916848" w:rsidRDefault="00916848" w:rsidP="006A3E2B">
      <w:pPr>
        <w:widowControl w:val="0"/>
        <w:tabs>
          <w:tab w:val="left" w:pos="9326"/>
        </w:tabs>
        <w:ind w:right="311"/>
        <w:jc w:val="both"/>
        <w:rPr>
          <w:rFonts w:ascii="Arial" w:hAnsi="Arial" w:cs="Arial"/>
          <w:sz w:val="20"/>
          <w:szCs w:val="20"/>
        </w:rPr>
      </w:pPr>
    </w:p>
    <w:p w14:paraId="7144C4A7" w14:textId="77777777" w:rsidR="00916848" w:rsidRDefault="00916848" w:rsidP="006A3E2B">
      <w:pPr>
        <w:widowControl w:val="0"/>
        <w:tabs>
          <w:tab w:val="left" w:pos="9326"/>
        </w:tabs>
        <w:ind w:right="311"/>
        <w:jc w:val="both"/>
        <w:rPr>
          <w:rFonts w:ascii="Arial" w:hAnsi="Arial" w:cs="Arial"/>
          <w:sz w:val="20"/>
          <w:szCs w:val="20"/>
        </w:rPr>
      </w:pPr>
    </w:p>
    <w:p w14:paraId="629B4CB2" w14:textId="77777777" w:rsidR="008F44D4" w:rsidRDefault="008F44D4" w:rsidP="006A3E2B">
      <w:pPr>
        <w:widowControl w:val="0"/>
        <w:tabs>
          <w:tab w:val="left" w:pos="9326"/>
        </w:tabs>
        <w:ind w:right="311"/>
        <w:jc w:val="both"/>
        <w:rPr>
          <w:rFonts w:ascii="Arial" w:hAnsi="Arial" w:cs="Arial"/>
          <w:sz w:val="20"/>
          <w:szCs w:val="20"/>
        </w:rPr>
      </w:pPr>
    </w:p>
    <w:p w14:paraId="7ADA43C5" w14:textId="77777777" w:rsidR="007E1325" w:rsidRDefault="007E1325" w:rsidP="006A3E2B">
      <w:pPr>
        <w:widowControl w:val="0"/>
        <w:tabs>
          <w:tab w:val="left" w:pos="9326"/>
        </w:tabs>
        <w:ind w:right="311"/>
        <w:jc w:val="both"/>
        <w:rPr>
          <w:rFonts w:ascii="Arial" w:hAnsi="Arial" w:cs="Arial"/>
          <w:sz w:val="20"/>
          <w:szCs w:val="20"/>
        </w:rPr>
      </w:pPr>
    </w:p>
    <w:p w14:paraId="2266C71E" w14:textId="77777777" w:rsidR="007E1325" w:rsidRPr="007E1325" w:rsidRDefault="00770CBF" w:rsidP="007E13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sl-SI"/>
        </w:rPr>
        <w:lastRenderedPageBreak/>
        <w:t>PRILOGA 2 – Obrazec 3</w:t>
      </w:r>
    </w:p>
    <w:p w14:paraId="5BF188C3" w14:textId="77777777" w:rsidR="007E1325" w:rsidRDefault="007E1325" w:rsidP="006A3E2B">
      <w:pPr>
        <w:widowControl w:val="0"/>
        <w:tabs>
          <w:tab w:val="left" w:pos="9326"/>
        </w:tabs>
        <w:ind w:right="311"/>
        <w:jc w:val="both"/>
        <w:rPr>
          <w:rFonts w:ascii="Arial" w:hAnsi="Arial" w:cs="Arial"/>
          <w:sz w:val="20"/>
          <w:szCs w:val="20"/>
        </w:rPr>
      </w:pPr>
    </w:p>
    <w:p w14:paraId="5C1889E3" w14:textId="77777777" w:rsidR="00077531" w:rsidRDefault="00077531" w:rsidP="006A3E2B">
      <w:pPr>
        <w:widowControl w:val="0"/>
        <w:tabs>
          <w:tab w:val="left" w:pos="9326"/>
        </w:tabs>
        <w:ind w:right="311"/>
        <w:jc w:val="both"/>
        <w:rPr>
          <w:rFonts w:ascii="Arial" w:hAnsi="Arial" w:cs="Arial"/>
          <w:sz w:val="20"/>
          <w:szCs w:val="20"/>
        </w:rPr>
      </w:pPr>
    </w:p>
    <w:p w14:paraId="346EBCA1" w14:textId="77777777" w:rsidR="00077531" w:rsidRDefault="00077531" w:rsidP="006A3E2B">
      <w:pPr>
        <w:widowControl w:val="0"/>
        <w:tabs>
          <w:tab w:val="left" w:pos="9326"/>
        </w:tabs>
        <w:ind w:right="311"/>
        <w:jc w:val="both"/>
        <w:rPr>
          <w:rFonts w:ascii="Arial" w:hAnsi="Arial" w:cs="Arial"/>
          <w:sz w:val="20"/>
          <w:szCs w:val="20"/>
        </w:rPr>
      </w:pPr>
    </w:p>
    <w:p w14:paraId="17474D4C" w14:textId="77777777" w:rsidR="00077531" w:rsidRDefault="00077531" w:rsidP="006A3E2B">
      <w:pPr>
        <w:widowControl w:val="0"/>
        <w:tabs>
          <w:tab w:val="left" w:pos="9326"/>
        </w:tabs>
        <w:ind w:right="311"/>
        <w:jc w:val="both"/>
        <w:rPr>
          <w:rFonts w:ascii="Arial" w:hAnsi="Arial" w:cs="Arial"/>
          <w:sz w:val="20"/>
          <w:szCs w:val="20"/>
        </w:rPr>
      </w:pPr>
    </w:p>
    <w:p w14:paraId="256D2A29" w14:textId="0E3A907E" w:rsidR="00077531" w:rsidRDefault="00916848" w:rsidP="006A3E2B">
      <w:pPr>
        <w:widowControl w:val="0"/>
        <w:tabs>
          <w:tab w:val="left" w:pos="9326"/>
        </w:tabs>
        <w:ind w:right="311"/>
        <w:jc w:val="both"/>
        <w:rPr>
          <w:rFonts w:ascii="Arial" w:hAnsi="Arial" w:cs="Arial"/>
          <w:sz w:val="20"/>
          <w:szCs w:val="20"/>
        </w:rPr>
      </w:pPr>
      <w:r>
        <w:rPr>
          <w:lang w:eastAsia="sl-SI"/>
        </w:rPr>
        <w:drawing>
          <wp:inline distT="0" distB="0" distL="0" distR="0" wp14:anchorId="77C5E206" wp14:editId="0D549D71">
            <wp:extent cx="8243704" cy="5676582"/>
            <wp:effectExtent l="7302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55806" cy="568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740A8" w14:textId="0293BCC8" w:rsidR="00077531" w:rsidRDefault="00077531" w:rsidP="006A3E2B">
      <w:pPr>
        <w:widowControl w:val="0"/>
        <w:tabs>
          <w:tab w:val="left" w:pos="9326"/>
        </w:tabs>
        <w:ind w:right="311"/>
        <w:jc w:val="both"/>
        <w:rPr>
          <w:rFonts w:ascii="Arial" w:hAnsi="Arial" w:cs="Arial"/>
          <w:sz w:val="20"/>
          <w:szCs w:val="20"/>
        </w:rPr>
      </w:pPr>
    </w:p>
    <w:p w14:paraId="78BDFB20" w14:textId="1E8D9BC3" w:rsidR="00916848" w:rsidRDefault="00916848" w:rsidP="006A3E2B">
      <w:pPr>
        <w:widowControl w:val="0"/>
        <w:tabs>
          <w:tab w:val="left" w:pos="9326"/>
        </w:tabs>
        <w:ind w:right="311"/>
        <w:jc w:val="both"/>
        <w:rPr>
          <w:rFonts w:ascii="Arial" w:hAnsi="Arial" w:cs="Arial"/>
          <w:sz w:val="20"/>
          <w:szCs w:val="20"/>
        </w:rPr>
      </w:pPr>
      <w:r>
        <w:rPr>
          <w:lang w:eastAsia="sl-SI"/>
        </w:rPr>
        <w:lastRenderedPageBreak/>
        <w:drawing>
          <wp:inline distT="0" distB="0" distL="0" distR="0" wp14:anchorId="399D583D" wp14:editId="19C6334A">
            <wp:extent cx="8742045" cy="6053301"/>
            <wp:effectExtent l="0" t="7937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48869" cy="605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9E04E8" w14:textId="0A487751" w:rsidR="00916848" w:rsidRDefault="00916848" w:rsidP="006A3E2B">
      <w:pPr>
        <w:widowControl w:val="0"/>
        <w:tabs>
          <w:tab w:val="left" w:pos="9326"/>
        </w:tabs>
        <w:ind w:right="311"/>
        <w:jc w:val="both"/>
        <w:rPr>
          <w:rFonts w:ascii="Arial" w:hAnsi="Arial" w:cs="Arial"/>
          <w:sz w:val="20"/>
          <w:szCs w:val="20"/>
        </w:rPr>
      </w:pPr>
    </w:p>
    <w:p w14:paraId="19162370" w14:textId="29558AD0" w:rsidR="00916848" w:rsidRDefault="00916848" w:rsidP="006A3E2B">
      <w:pPr>
        <w:widowControl w:val="0"/>
        <w:tabs>
          <w:tab w:val="left" w:pos="9326"/>
        </w:tabs>
        <w:ind w:right="311"/>
        <w:jc w:val="both"/>
        <w:rPr>
          <w:rFonts w:ascii="Arial" w:hAnsi="Arial" w:cs="Arial"/>
          <w:sz w:val="20"/>
          <w:szCs w:val="20"/>
        </w:rPr>
      </w:pPr>
    </w:p>
    <w:p w14:paraId="51BB2920" w14:textId="40DE6EBC" w:rsidR="00916848" w:rsidRDefault="00916848" w:rsidP="006A3E2B">
      <w:pPr>
        <w:widowControl w:val="0"/>
        <w:tabs>
          <w:tab w:val="left" w:pos="9326"/>
        </w:tabs>
        <w:ind w:right="311"/>
        <w:jc w:val="both"/>
        <w:rPr>
          <w:rFonts w:ascii="Arial" w:hAnsi="Arial" w:cs="Arial"/>
          <w:sz w:val="20"/>
          <w:szCs w:val="20"/>
        </w:rPr>
      </w:pPr>
    </w:p>
    <w:p w14:paraId="304AF35F" w14:textId="22CA602D" w:rsidR="00916848" w:rsidRDefault="00916848" w:rsidP="006A3E2B">
      <w:pPr>
        <w:widowControl w:val="0"/>
        <w:tabs>
          <w:tab w:val="left" w:pos="9326"/>
        </w:tabs>
        <w:ind w:right="311"/>
        <w:jc w:val="both"/>
        <w:rPr>
          <w:rFonts w:ascii="Arial" w:hAnsi="Arial" w:cs="Arial"/>
          <w:sz w:val="20"/>
          <w:szCs w:val="20"/>
        </w:rPr>
      </w:pPr>
      <w:r>
        <w:rPr>
          <w:lang w:eastAsia="sl-SI"/>
        </w:rPr>
        <w:lastRenderedPageBreak/>
        <w:drawing>
          <wp:inline distT="0" distB="0" distL="0" distR="0" wp14:anchorId="48D86947" wp14:editId="3198B3D4">
            <wp:extent cx="8808085" cy="6128277"/>
            <wp:effectExtent l="6668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818038" cy="6135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67BCA" w14:textId="6BB51231" w:rsidR="00916848" w:rsidRDefault="00916848" w:rsidP="006A3E2B">
      <w:pPr>
        <w:widowControl w:val="0"/>
        <w:tabs>
          <w:tab w:val="left" w:pos="9326"/>
        </w:tabs>
        <w:ind w:right="311"/>
        <w:jc w:val="both"/>
        <w:rPr>
          <w:rFonts w:ascii="Arial" w:hAnsi="Arial" w:cs="Arial"/>
          <w:sz w:val="20"/>
          <w:szCs w:val="20"/>
        </w:rPr>
      </w:pPr>
    </w:p>
    <w:p w14:paraId="43D51671" w14:textId="08542889" w:rsidR="00916848" w:rsidRDefault="00916848" w:rsidP="006A3E2B">
      <w:pPr>
        <w:widowControl w:val="0"/>
        <w:tabs>
          <w:tab w:val="left" w:pos="9326"/>
        </w:tabs>
        <w:ind w:right="311"/>
        <w:jc w:val="both"/>
        <w:rPr>
          <w:rFonts w:ascii="Arial" w:hAnsi="Arial" w:cs="Arial"/>
          <w:sz w:val="20"/>
          <w:szCs w:val="20"/>
        </w:rPr>
      </w:pPr>
    </w:p>
    <w:p w14:paraId="7E9730FE" w14:textId="7E8B208A" w:rsidR="00916848" w:rsidRDefault="00916848" w:rsidP="006A3E2B">
      <w:pPr>
        <w:widowControl w:val="0"/>
        <w:tabs>
          <w:tab w:val="left" w:pos="9326"/>
        </w:tabs>
        <w:ind w:right="311"/>
        <w:jc w:val="both"/>
        <w:rPr>
          <w:rFonts w:ascii="Arial" w:hAnsi="Arial" w:cs="Arial"/>
          <w:sz w:val="20"/>
          <w:szCs w:val="20"/>
        </w:rPr>
      </w:pPr>
    </w:p>
    <w:sectPr w:rsidR="00916848" w:rsidSect="00CF360B">
      <w:headerReference w:type="default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 w:code="9"/>
      <w:pgMar w:top="1134" w:right="1134" w:bottom="1134" w:left="1134" w:header="48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2C9C" w14:textId="77777777" w:rsidR="005D7AA1" w:rsidRDefault="005D7AA1">
      <w:r>
        <w:separator/>
      </w:r>
    </w:p>
  </w:endnote>
  <w:endnote w:type="continuationSeparator" w:id="0">
    <w:p w14:paraId="2C9EEA06" w14:textId="77777777" w:rsidR="005D7AA1" w:rsidRDefault="005D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B7C4F" w14:textId="76CDA066" w:rsidR="00CF360B" w:rsidRPr="008A57C5" w:rsidRDefault="00CF360B">
    <w:pPr>
      <w:pStyle w:val="Noga"/>
      <w:jc w:val="center"/>
      <w:rPr>
        <w:rFonts w:ascii="Arial" w:hAnsi="Arial" w:cs="Arial"/>
        <w:sz w:val="20"/>
        <w:szCs w:val="20"/>
      </w:rPr>
    </w:pPr>
    <w:r w:rsidRPr="008A57C5">
      <w:rPr>
        <w:rFonts w:ascii="Arial" w:hAnsi="Arial" w:cs="Arial"/>
        <w:sz w:val="20"/>
        <w:szCs w:val="20"/>
      </w:rPr>
      <w:t xml:space="preserve">Stran </w:t>
    </w:r>
    <w:r w:rsidRPr="008A57C5">
      <w:rPr>
        <w:rFonts w:ascii="Arial" w:hAnsi="Arial" w:cs="Arial"/>
        <w:bCs/>
        <w:sz w:val="20"/>
        <w:szCs w:val="20"/>
      </w:rPr>
      <w:fldChar w:fldCharType="begin"/>
    </w:r>
    <w:r w:rsidRPr="008A57C5">
      <w:rPr>
        <w:rFonts w:ascii="Arial" w:hAnsi="Arial" w:cs="Arial"/>
        <w:bCs/>
        <w:sz w:val="20"/>
        <w:szCs w:val="20"/>
      </w:rPr>
      <w:instrText>PAGE</w:instrText>
    </w:r>
    <w:r w:rsidRPr="008A57C5">
      <w:rPr>
        <w:rFonts w:ascii="Arial" w:hAnsi="Arial" w:cs="Arial"/>
        <w:bCs/>
        <w:sz w:val="20"/>
        <w:szCs w:val="20"/>
      </w:rPr>
      <w:fldChar w:fldCharType="separate"/>
    </w:r>
    <w:r w:rsidR="00A06E8C">
      <w:rPr>
        <w:rFonts w:ascii="Arial" w:hAnsi="Arial" w:cs="Arial"/>
        <w:bCs/>
        <w:sz w:val="20"/>
        <w:szCs w:val="20"/>
      </w:rPr>
      <w:t>10</w:t>
    </w:r>
    <w:r w:rsidRPr="008A57C5">
      <w:rPr>
        <w:rFonts w:ascii="Arial" w:hAnsi="Arial" w:cs="Arial"/>
        <w:bCs/>
        <w:sz w:val="20"/>
        <w:szCs w:val="20"/>
      </w:rPr>
      <w:fldChar w:fldCharType="end"/>
    </w:r>
    <w:r w:rsidRPr="008A57C5">
      <w:rPr>
        <w:rFonts w:ascii="Arial" w:hAnsi="Arial" w:cs="Arial"/>
        <w:sz w:val="20"/>
        <w:szCs w:val="20"/>
      </w:rPr>
      <w:t xml:space="preserve"> od </w:t>
    </w:r>
    <w:r w:rsidRPr="008A57C5">
      <w:rPr>
        <w:rFonts w:ascii="Arial" w:hAnsi="Arial" w:cs="Arial"/>
        <w:bCs/>
        <w:sz w:val="20"/>
        <w:szCs w:val="20"/>
      </w:rPr>
      <w:fldChar w:fldCharType="begin"/>
    </w:r>
    <w:r w:rsidRPr="008A57C5">
      <w:rPr>
        <w:rFonts w:ascii="Arial" w:hAnsi="Arial" w:cs="Arial"/>
        <w:bCs/>
        <w:sz w:val="20"/>
        <w:szCs w:val="20"/>
      </w:rPr>
      <w:instrText>NUMPAGES</w:instrText>
    </w:r>
    <w:r w:rsidRPr="008A57C5">
      <w:rPr>
        <w:rFonts w:ascii="Arial" w:hAnsi="Arial" w:cs="Arial"/>
        <w:bCs/>
        <w:sz w:val="20"/>
        <w:szCs w:val="20"/>
      </w:rPr>
      <w:fldChar w:fldCharType="separate"/>
    </w:r>
    <w:r w:rsidR="00A06E8C">
      <w:rPr>
        <w:rFonts w:ascii="Arial" w:hAnsi="Arial" w:cs="Arial"/>
        <w:bCs/>
        <w:sz w:val="20"/>
        <w:szCs w:val="20"/>
      </w:rPr>
      <w:t>10</w:t>
    </w:r>
    <w:r w:rsidRPr="008A57C5">
      <w:rPr>
        <w:rFonts w:ascii="Arial" w:hAnsi="Arial" w:cs="Arial"/>
        <w:bCs/>
        <w:sz w:val="20"/>
        <w:szCs w:val="20"/>
      </w:rPr>
      <w:fldChar w:fldCharType="end"/>
    </w:r>
  </w:p>
  <w:p w14:paraId="09CCCDA0" w14:textId="77777777" w:rsidR="00CF360B" w:rsidRDefault="00CF360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E1B2" w14:textId="77777777" w:rsidR="00CF360B" w:rsidRDefault="00CF360B" w:rsidP="00CF360B">
    <w:pPr>
      <w:pStyle w:val="Nog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6DA53" w14:textId="77777777" w:rsidR="005D7AA1" w:rsidRDefault="005D7AA1">
      <w:r>
        <w:separator/>
      </w:r>
    </w:p>
  </w:footnote>
  <w:footnote w:type="continuationSeparator" w:id="0">
    <w:p w14:paraId="4B9057EE" w14:textId="77777777" w:rsidR="005D7AA1" w:rsidRDefault="005D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8235C" w14:textId="77777777" w:rsidR="00CF360B" w:rsidRPr="001B1D79" w:rsidRDefault="00CF360B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A62B" w14:textId="77777777" w:rsidR="00CF360B" w:rsidRPr="00125A68" w:rsidRDefault="00CF360B" w:rsidP="00CF360B">
    <w:pPr>
      <w:spacing w:before="40"/>
      <w:ind w:right="-3"/>
      <w:rPr>
        <w:sz w:val="22"/>
        <w:szCs w:val="22"/>
      </w:rPr>
    </w:pPr>
    <w:r w:rsidRPr="00125A68">
      <w:rPr>
        <w:sz w:val="22"/>
        <w:szCs w:val="22"/>
        <w:lang w:eastAsia="sl-SI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9F4FD80" wp14:editId="16ADDDC9">
              <wp:simplePos x="0" y="0"/>
              <wp:positionH relativeFrom="column">
                <wp:posOffset>1493520</wp:posOffset>
              </wp:positionH>
              <wp:positionV relativeFrom="paragraph">
                <wp:posOffset>54610</wp:posOffset>
              </wp:positionV>
              <wp:extent cx="4702175" cy="394335"/>
              <wp:effectExtent l="3810" t="0" r="0" b="0"/>
              <wp:wrapSquare wrapText="bothSides"/>
              <wp:docPr id="3" name="Polje z besedilo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394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4C46A" w14:textId="77777777" w:rsidR="00CF360B" w:rsidRPr="00106C6A" w:rsidRDefault="00CF360B" w:rsidP="00CF360B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7"/>
                              <w:szCs w:val="17"/>
                              <w:lang w:val="en-US" w:eastAsia="sl-SI"/>
                            </w:rPr>
                          </w:pPr>
                        </w:p>
                        <w:p w14:paraId="69800FF7" w14:textId="77777777" w:rsidR="00CF360B" w:rsidRPr="00106C6A" w:rsidRDefault="00CF360B" w:rsidP="00CF360B">
                          <w:pPr>
                            <w:suppressAutoHyphens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Trajan Pro" w:hAnsi="Trajan Pro" w:cs="Trajan Pro"/>
                              <w:caps/>
                              <w:color w:val="CE0060"/>
                              <w:spacing w:val="-4"/>
                              <w:sz w:val="17"/>
                              <w:szCs w:val="17"/>
                              <w:lang w:val="en-US" w:eastAsia="sl-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F4FD80" id="_x0000_t202" coordsize="21600,21600" o:spt="202" path="m,l,21600r21600,l21600,xe">
              <v:stroke joinstyle="miter"/>
              <v:path gradientshapeok="t" o:connecttype="rect"/>
            </v:shapetype>
            <v:shape id="Polje z besedilom 3" o:spid="_x0000_s1027" type="#_x0000_t202" style="position:absolute;margin-left:117.6pt;margin-top:4.3pt;width:370.25pt;height:31.0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" filled="f" stroked="f">
              <v:textbox inset="0,0,0,0">
                <w:txbxContent>
                  <w:p w14:paraId="5CD4C46A" w14:textId="77777777" w:rsidR="00CF360B" w:rsidRPr="00106C6A" w:rsidRDefault="00CF360B" w:rsidP="00CF360B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7"/>
                        <w:szCs w:val="17"/>
                        <w:lang w:val="en-US" w:eastAsia="sl-SI"/>
                      </w:rPr>
                    </w:pPr>
                  </w:p>
                  <w:p w14:paraId="69800FF7" w14:textId="77777777" w:rsidR="00CF360B" w:rsidRPr="00106C6A" w:rsidRDefault="00CF360B" w:rsidP="00CF360B">
                    <w:pPr>
                      <w:suppressAutoHyphens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Trajan Pro" w:hAnsi="Trajan Pro" w:cs="Trajan Pro"/>
                        <w:caps/>
                        <w:color w:val="CE0060"/>
                        <w:spacing w:val="-4"/>
                        <w:sz w:val="17"/>
                        <w:szCs w:val="17"/>
                        <w:lang w:val="en-US" w:eastAsia="sl-SI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A19CB"/>
    <w:multiLevelType w:val="hybridMultilevel"/>
    <w:tmpl w:val="AA0AAE8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5237C"/>
    <w:multiLevelType w:val="hybridMultilevel"/>
    <w:tmpl w:val="867CB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534E5"/>
    <w:multiLevelType w:val="hybridMultilevel"/>
    <w:tmpl w:val="C9F8C4DE"/>
    <w:lvl w:ilvl="0" w:tplc="0424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8162D44"/>
    <w:multiLevelType w:val="hybridMultilevel"/>
    <w:tmpl w:val="AA0AAE8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C5682"/>
    <w:multiLevelType w:val="hybridMultilevel"/>
    <w:tmpl w:val="760C1568"/>
    <w:lvl w:ilvl="0" w:tplc="52DA0A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8379C"/>
    <w:multiLevelType w:val="hybridMultilevel"/>
    <w:tmpl w:val="C03C53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B62875"/>
    <w:multiLevelType w:val="hybridMultilevel"/>
    <w:tmpl w:val="A9D28E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8F3060B"/>
    <w:multiLevelType w:val="hybridMultilevel"/>
    <w:tmpl w:val="272056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55E89"/>
    <w:multiLevelType w:val="hybridMultilevel"/>
    <w:tmpl w:val="FC7CC7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54851"/>
    <w:multiLevelType w:val="hybridMultilevel"/>
    <w:tmpl w:val="7A9056EE"/>
    <w:lvl w:ilvl="0" w:tplc="75A4957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F5D242C"/>
    <w:multiLevelType w:val="hybridMultilevel"/>
    <w:tmpl w:val="D8943E2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7E1FDC"/>
    <w:multiLevelType w:val="hybridMultilevel"/>
    <w:tmpl w:val="2C96BD8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A0D5A"/>
    <w:multiLevelType w:val="hybridMultilevel"/>
    <w:tmpl w:val="E2509586"/>
    <w:lvl w:ilvl="0" w:tplc="E33AA7C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621793"/>
    <w:multiLevelType w:val="hybridMultilevel"/>
    <w:tmpl w:val="B66E23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93DE1"/>
    <w:multiLevelType w:val="hybridMultilevel"/>
    <w:tmpl w:val="3DCE92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6B010A"/>
    <w:multiLevelType w:val="hybridMultilevel"/>
    <w:tmpl w:val="0F9879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1F0C8E"/>
    <w:multiLevelType w:val="hybridMultilevel"/>
    <w:tmpl w:val="C14AEE6C"/>
    <w:lvl w:ilvl="0" w:tplc="9C2603B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DE4BBD"/>
    <w:multiLevelType w:val="hybridMultilevel"/>
    <w:tmpl w:val="BB32F1FA"/>
    <w:lvl w:ilvl="0" w:tplc="E33AA7C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6E877A8"/>
    <w:multiLevelType w:val="hybridMultilevel"/>
    <w:tmpl w:val="01D0EDA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E50AE1"/>
    <w:multiLevelType w:val="hybridMultilevel"/>
    <w:tmpl w:val="3DCE92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3A34CF"/>
    <w:multiLevelType w:val="hybridMultilevel"/>
    <w:tmpl w:val="5BA64B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A019D9"/>
    <w:multiLevelType w:val="hybridMultilevel"/>
    <w:tmpl w:val="B4141B9E"/>
    <w:lvl w:ilvl="0" w:tplc="0424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27" w15:restartNumberingAfterBreak="0">
    <w:nsid w:val="7F355915"/>
    <w:multiLevelType w:val="hybridMultilevel"/>
    <w:tmpl w:val="3DCE92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90DA8"/>
    <w:multiLevelType w:val="hybridMultilevel"/>
    <w:tmpl w:val="13A622EE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862172">
    <w:abstractNumId w:val="8"/>
  </w:num>
  <w:num w:numId="2" w16cid:durableId="208689640">
    <w:abstractNumId w:val="4"/>
  </w:num>
  <w:num w:numId="3" w16cid:durableId="348723876">
    <w:abstractNumId w:val="18"/>
  </w:num>
  <w:num w:numId="4" w16cid:durableId="283931010">
    <w:abstractNumId w:val="19"/>
  </w:num>
  <w:num w:numId="5" w16cid:durableId="1343631592">
    <w:abstractNumId w:val="28"/>
  </w:num>
  <w:num w:numId="6" w16cid:durableId="1029600841">
    <w:abstractNumId w:val="13"/>
  </w:num>
  <w:num w:numId="7" w16cid:durableId="1995141930">
    <w:abstractNumId w:val="6"/>
  </w:num>
  <w:num w:numId="8" w16cid:durableId="770861318">
    <w:abstractNumId w:val="2"/>
  </w:num>
  <w:num w:numId="9" w16cid:durableId="814251386">
    <w:abstractNumId w:val="10"/>
  </w:num>
  <w:num w:numId="10" w16cid:durableId="1588537564">
    <w:abstractNumId w:val="26"/>
  </w:num>
  <w:num w:numId="11" w16cid:durableId="124012185">
    <w:abstractNumId w:val="5"/>
  </w:num>
  <w:num w:numId="12" w16cid:durableId="2091193076">
    <w:abstractNumId w:val="1"/>
  </w:num>
  <w:num w:numId="13" w16cid:durableId="409541137">
    <w:abstractNumId w:val="17"/>
  </w:num>
  <w:num w:numId="14" w16cid:durableId="1148791293">
    <w:abstractNumId w:val="27"/>
  </w:num>
  <w:num w:numId="15" w16cid:durableId="1200240331">
    <w:abstractNumId w:val="24"/>
  </w:num>
  <w:num w:numId="16" w16cid:durableId="1603145793">
    <w:abstractNumId w:val="7"/>
  </w:num>
  <w:num w:numId="17" w16cid:durableId="1121727942">
    <w:abstractNumId w:val="21"/>
  </w:num>
  <w:num w:numId="18" w16cid:durableId="821432644">
    <w:abstractNumId w:val="22"/>
  </w:num>
  <w:num w:numId="19" w16cid:durableId="316112542">
    <w:abstractNumId w:val="15"/>
  </w:num>
  <w:num w:numId="20" w16cid:durableId="931934094">
    <w:abstractNumId w:val="25"/>
  </w:num>
  <w:num w:numId="21" w16cid:durableId="744034793">
    <w:abstractNumId w:val="20"/>
  </w:num>
  <w:num w:numId="22" w16cid:durableId="1421753463">
    <w:abstractNumId w:val="9"/>
  </w:num>
  <w:num w:numId="23" w16cid:durableId="812989931">
    <w:abstractNumId w:val="14"/>
  </w:num>
  <w:num w:numId="24" w16cid:durableId="1147936689">
    <w:abstractNumId w:val="0"/>
  </w:num>
  <w:num w:numId="25" w16cid:durableId="188641721">
    <w:abstractNumId w:val="23"/>
  </w:num>
  <w:num w:numId="26" w16cid:durableId="1512601087">
    <w:abstractNumId w:val="11"/>
  </w:num>
  <w:num w:numId="27" w16cid:durableId="1834642742">
    <w:abstractNumId w:val="12"/>
  </w:num>
  <w:num w:numId="28" w16cid:durableId="1576815463">
    <w:abstractNumId w:val="3"/>
  </w:num>
  <w:num w:numId="29" w16cid:durableId="12983386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E2B"/>
    <w:rsid w:val="00004820"/>
    <w:rsid w:val="000074F0"/>
    <w:rsid w:val="000150BA"/>
    <w:rsid w:val="000222CD"/>
    <w:rsid w:val="000233C7"/>
    <w:rsid w:val="00023875"/>
    <w:rsid w:val="00034853"/>
    <w:rsid w:val="00041EE7"/>
    <w:rsid w:val="00077531"/>
    <w:rsid w:val="0008655D"/>
    <w:rsid w:val="000937F2"/>
    <w:rsid w:val="000C6AE7"/>
    <w:rsid w:val="000D1229"/>
    <w:rsid w:val="000E2823"/>
    <w:rsid w:val="000E3B88"/>
    <w:rsid w:val="001047AE"/>
    <w:rsid w:val="00110078"/>
    <w:rsid w:val="00121D00"/>
    <w:rsid w:val="0015260C"/>
    <w:rsid w:val="001863C5"/>
    <w:rsid w:val="001B0042"/>
    <w:rsid w:val="001B0B7F"/>
    <w:rsid w:val="001B5D11"/>
    <w:rsid w:val="001C03BF"/>
    <w:rsid w:val="001C5C66"/>
    <w:rsid w:val="001C7793"/>
    <w:rsid w:val="001C7EB8"/>
    <w:rsid w:val="001D1700"/>
    <w:rsid w:val="001D6CE0"/>
    <w:rsid w:val="001E0591"/>
    <w:rsid w:val="001E38A5"/>
    <w:rsid w:val="001F1DCA"/>
    <w:rsid w:val="001F22C4"/>
    <w:rsid w:val="001F6F97"/>
    <w:rsid w:val="00212A6E"/>
    <w:rsid w:val="002131B0"/>
    <w:rsid w:val="00221532"/>
    <w:rsid w:val="002400FD"/>
    <w:rsid w:val="002650E2"/>
    <w:rsid w:val="00275449"/>
    <w:rsid w:val="00284E6C"/>
    <w:rsid w:val="00297C90"/>
    <w:rsid w:val="002B5AEF"/>
    <w:rsid w:val="002C3CD8"/>
    <w:rsid w:val="002C497E"/>
    <w:rsid w:val="002D5FA9"/>
    <w:rsid w:val="002E584F"/>
    <w:rsid w:val="00302254"/>
    <w:rsid w:val="00311F7D"/>
    <w:rsid w:val="00322166"/>
    <w:rsid w:val="00323141"/>
    <w:rsid w:val="003234EB"/>
    <w:rsid w:val="00364120"/>
    <w:rsid w:val="003A16CD"/>
    <w:rsid w:val="003A5BAF"/>
    <w:rsid w:val="003B6F99"/>
    <w:rsid w:val="003B7207"/>
    <w:rsid w:val="003D32C1"/>
    <w:rsid w:val="003F0457"/>
    <w:rsid w:val="003F2D8B"/>
    <w:rsid w:val="003F6F9A"/>
    <w:rsid w:val="0040518D"/>
    <w:rsid w:val="004102AF"/>
    <w:rsid w:val="00414C28"/>
    <w:rsid w:val="00430F28"/>
    <w:rsid w:val="004325C4"/>
    <w:rsid w:val="00436F76"/>
    <w:rsid w:val="00437533"/>
    <w:rsid w:val="0044559C"/>
    <w:rsid w:val="00474BD3"/>
    <w:rsid w:val="004A7276"/>
    <w:rsid w:val="004B121A"/>
    <w:rsid w:val="00520498"/>
    <w:rsid w:val="00534FAE"/>
    <w:rsid w:val="00545B3E"/>
    <w:rsid w:val="00546764"/>
    <w:rsid w:val="005710BC"/>
    <w:rsid w:val="0057153E"/>
    <w:rsid w:val="005878DF"/>
    <w:rsid w:val="005A0C78"/>
    <w:rsid w:val="005A6DA0"/>
    <w:rsid w:val="005A78BA"/>
    <w:rsid w:val="005C343F"/>
    <w:rsid w:val="005D4F67"/>
    <w:rsid w:val="005D7AA1"/>
    <w:rsid w:val="006066D2"/>
    <w:rsid w:val="00607F56"/>
    <w:rsid w:val="00613462"/>
    <w:rsid w:val="00624340"/>
    <w:rsid w:val="006454CC"/>
    <w:rsid w:val="006462E6"/>
    <w:rsid w:val="00656A18"/>
    <w:rsid w:val="00657897"/>
    <w:rsid w:val="006705A6"/>
    <w:rsid w:val="00672C8E"/>
    <w:rsid w:val="00691666"/>
    <w:rsid w:val="006955BC"/>
    <w:rsid w:val="006A06BE"/>
    <w:rsid w:val="006A3E2B"/>
    <w:rsid w:val="006A7704"/>
    <w:rsid w:val="006B7E78"/>
    <w:rsid w:val="006C010E"/>
    <w:rsid w:val="006C0AE0"/>
    <w:rsid w:val="006C36FD"/>
    <w:rsid w:val="006C709D"/>
    <w:rsid w:val="006C724B"/>
    <w:rsid w:val="006F52D8"/>
    <w:rsid w:val="00707167"/>
    <w:rsid w:val="00716CEA"/>
    <w:rsid w:val="007351B3"/>
    <w:rsid w:val="00741821"/>
    <w:rsid w:val="00744D7D"/>
    <w:rsid w:val="00745D36"/>
    <w:rsid w:val="00755453"/>
    <w:rsid w:val="00757994"/>
    <w:rsid w:val="00767626"/>
    <w:rsid w:val="00770CBF"/>
    <w:rsid w:val="00773128"/>
    <w:rsid w:val="0077463A"/>
    <w:rsid w:val="0079092B"/>
    <w:rsid w:val="007951DB"/>
    <w:rsid w:val="007A31A2"/>
    <w:rsid w:val="007B0A16"/>
    <w:rsid w:val="007B0DB8"/>
    <w:rsid w:val="007B34EB"/>
    <w:rsid w:val="007B6126"/>
    <w:rsid w:val="007C4F07"/>
    <w:rsid w:val="007C4F8B"/>
    <w:rsid w:val="007E1325"/>
    <w:rsid w:val="00800A84"/>
    <w:rsid w:val="00810FEA"/>
    <w:rsid w:val="0081659D"/>
    <w:rsid w:val="00835DCD"/>
    <w:rsid w:val="00836D81"/>
    <w:rsid w:val="00837BD0"/>
    <w:rsid w:val="00851B95"/>
    <w:rsid w:val="008537F6"/>
    <w:rsid w:val="0085499A"/>
    <w:rsid w:val="00867BED"/>
    <w:rsid w:val="008D3FA9"/>
    <w:rsid w:val="008E05FA"/>
    <w:rsid w:val="008E6358"/>
    <w:rsid w:val="008F44D4"/>
    <w:rsid w:val="00906603"/>
    <w:rsid w:val="00916503"/>
    <w:rsid w:val="00916848"/>
    <w:rsid w:val="00917149"/>
    <w:rsid w:val="00923D51"/>
    <w:rsid w:val="00941DAB"/>
    <w:rsid w:val="0094504B"/>
    <w:rsid w:val="00957D4B"/>
    <w:rsid w:val="00970378"/>
    <w:rsid w:val="00972764"/>
    <w:rsid w:val="00972A18"/>
    <w:rsid w:val="00972CDF"/>
    <w:rsid w:val="009A02C1"/>
    <w:rsid w:val="009B21DA"/>
    <w:rsid w:val="009C04EA"/>
    <w:rsid w:val="009C3052"/>
    <w:rsid w:val="009D3A15"/>
    <w:rsid w:val="009D6583"/>
    <w:rsid w:val="009E354A"/>
    <w:rsid w:val="009E45C0"/>
    <w:rsid w:val="009E66FE"/>
    <w:rsid w:val="009F2062"/>
    <w:rsid w:val="00A03EE0"/>
    <w:rsid w:val="00A0464E"/>
    <w:rsid w:val="00A06E8C"/>
    <w:rsid w:val="00A23BB2"/>
    <w:rsid w:val="00A35C08"/>
    <w:rsid w:val="00A44338"/>
    <w:rsid w:val="00A4586C"/>
    <w:rsid w:val="00A52C17"/>
    <w:rsid w:val="00A56EA6"/>
    <w:rsid w:val="00A70DE1"/>
    <w:rsid w:val="00A770F4"/>
    <w:rsid w:val="00A8541A"/>
    <w:rsid w:val="00AB17DC"/>
    <w:rsid w:val="00AB36FD"/>
    <w:rsid w:val="00AE08E3"/>
    <w:rsid w:val="00AE589C"/>
    <w:rsid w:val="00AE6B41"/>
    <w:rsid w:val="00AF3AC6"/>
    <w:rsid w:val="00AF4546"/>
    <w:rsid w:val="00AF608D"/>
    <w:rsid w:val="00B03587"/>
    <w:rsid w:val="00B04490"/>
    <w:rsid w:val="00B201D2"/>
    <w:rsid w:val="00B26E68"/>
    <w:rsid w:val="00B5129B"/>
    <w:rsid w:val="00B54693"/>
    <w:rsid w:val="00B658B5"/>
    <w:rsid w:val="00B6672D"/>
    <w:rsid w:val="00B75000"/>
    <w:rsid w:val="00B9123F"/>
    <w:rsid w:val="00BB11E2"/>
    <w:rsid w:val="00BB2B00"/>
    <w:rsid w:val="00C01E84"/>
    <w:rsid w:val="00C11575"/>
    <w:rsid w:val="00C16016"/>
    <w:rsid w:val="00C16FF2"/>
    <w:rsid w:val="00C357E8"/>
    <w:rsid w:val="00C4554E"/>
    <w:rsid w:val="00C66FF1"/>
    <w:rsid w:val="00CC3675"/>
    <w:rsid w:val="00CC7B33"/>
    <w:rsid w:val="00CF360B"/>
    <w:rsid w:val="00CF5154"/>
    <w:rsid w:val="00D4004A"/>
    <w:rsid w:val="00D40C9B"/>
    <w:rsid w:val="00D41681"/>
    <w:rsid w:val="00D4685B"/>
    <w:rsid w:val="00D616A3"/>
    <w:rsid w:val="00D72E23"/>
    <w:rsid w:val="00D76DA9"/>
    <w:rsid w:val="00D85ABC"/>
    <w:rsid w:val="00D94870"/>
    <w:rsid w:val="00DC020E"/>
    <w:rsid w:val="00DD2756"/>
    <w:rsid w:val="00DF3327"/>
    <w:rsid w:val="00DF72D2"/>
    <w:rsid w:val="00E05AD1"/>
    <w:rsid w:val="00E12363"/>
    <w:rsid w:val="00E25840"/>
    <w:rsid w:val="00E465AF"/>
    <w:rsid w:val="00E509C2"/>
    <w:rsid w:val="00E52298"/>
    <w:rsid w:val="00E52C6F"/>
    <w:rsid w:val="00E73E11"/>
    <w:rsid w:val="00E84694"/>
    <w:rsid w:val="00E8533A"/>
    <w:rsid w:val="00E87A9E"/>
    <w:rsid w:val="00E93C93"/>
    <w:rsid w:val="00EC358C"/>
    <w:rsid w:val="00ED2039"/>
    <w:rsid w:val="00EE1B56"/>
    <w:rsid w:val="00EE4011"/>
    <w:rsid w:val="00EE5F34"/>
    <w:rsid w:val="00F01A5B"/>
    <w:rsid w:val="00F15E9D"/>
    <w:rsid w:val="00F336A2"/>
    <w:rsid w:val="00F44884"/>
    <w:rsid w:val="00F56C7F"/>
    <w:rsid w:val="00F64BDB"/>
    <w:rsid w:val="00F660EA"/>
    <w:rsid w:val="00F76B99"/>
    <w:rsid w:val="00FB68E4"/>
    <w:rsid w:val="00FC2753"/>
    <w:rsid w:val="00FE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413C05"/>
  <w15:chartTrackingRefBased/>
  <w15:docId w15:val="{A84BD848-C21B-4609-96D3-8721061C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A3E2B"/>
    <w:pPr>
      <w:suppressAutoHyphens/>
    </w:pPr>
    <w:rPr>
      <w:sz w:val="24"/>
      <w:szCs w:val="24"/>
      <w:lang w:eastAsia="ar-SA"/>
    </w:rPr>
  </w:style>
  <w:style w:type="paragraph" w:styleId="Naslov1">
    <w:name w:val="heading 1"/>
    <w:aliases w:val="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6A3E2B"/>
    <w:pPr>
      <w:keepNext/>
      <w:suppressAutoHyphens w:val="0"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Heading 1 Char Znak,Heading 1 Char1 Char1 Znak,Heading 1 Char Char Char1 Znak,Heading 1 Char1 Char1 Char Char Znak,Heading 1 Char Char Char1 Char Char Znak,Heading 1 Char Char1 Znak,Heading 1 Char1 Char1 Char1 Znak"/>
    <w:basedOn w:val="Privzetapisavaodstavka"/>
    <w:link w:val="Naslov1"/>
    <w:rsid w:val="006A3E2B"/>
    <w:rPr>
      <w:rFonts w:ascii="Arial" w:hAnsi="Arial" w:cs="Arial"/>
      <w:b/>
      <w:bCs/>
      <w:noProof/>
      <w:kern w:val="32"/>
      <w:sz w:val="32"/>
      <w:szCs w:val="32"/>
      <w:lang w:eastAsia="en-US"/>
    </w:rPr>
  </w:style>
  <w:style w:type="character" w:styleId="Hiperpovezava">
    <w:name w:val="Hyperlink"/>
    <w:rsid w:val="006A3E2B"/>
    <w:rPr>
      <w:color w:val="000080"/>
      <w:u w:val="single"/>
    </w:rPr>
  </w:style>
  <w:style w:type="paragraph" w:styleId="Noga">
    <w:name w:val="footer"/>
    <w:basedOn w:val="Navaden"/>
    <w:link w:val="NogaZnak"/>
    <w:uiPriority w:val="99"/>
    <w:rsid w:val="006A3E2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A3E2B"/>
    <w:rPr>
      <w:noProof/>
      <w:sz w:val="24"/>
      <w:szCs w:val="24"/>
      <w:lang w:eastAsia="ar-SA"/>
    </w:rPr>
  </w:style>
  <w:style w:type="paragraph" w:customStyle="1" w:styleId="Vrstapredpisa">
    <w:name w:val="Vrsta predpisa"/>
    <w:basedOn w:val="Navaden"/>
    <w:link w:val="VrstapredpisaZnak"/>
    <w:qFormat/>
    <w:rsid w:val="006A3E2B"/>
    <w:pPr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hAnsi="Arial" w:cs="Arial"/>
      <w:b/>
      <w:bCs/>
      <w:color w:val="000000"/>
      <w:spacing w:val="40"/>
      <w:sz w:val="22"/>
      <w:szCs w:val="22"/>
      <w:lang w:eastAsia="sl-SI"/>
    </w:rPr>
  </w:style>
  <w:style w:type="character" w:customStyle="1" w:styleId="VrstapredpisaZnak">
    <w:name w:val="Vrsta predpisa Znak"/>
    <w:link w:val="Vrstapredpisa"/>
    <w:rsid w:val="006A3E2B"/>
    <w:rPr>
      <w:rFonts w:ascii="Arial" w:hAnsi="Arial" w:cs="Arial"/>
      <w:b/>
      <w:bCs/>
      <w:noProof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6A3E2B"/>
    <w:pPr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 w:cs="Arial"/>
      <w:b/>
      <w:sz w:val="22"/>
      <w:szCs w:val="22"/>
      <w:lang w:eastAsia="sl-SI"/>
    </w:rPr>
  </w:style>
  <w:style w:type="character" w:customStyle="1" w:styleId="NaslovpredpisaZnak">
    <w:name w:val="Naslov_predpisa Znak"/>
    <w:link w:val="Naslovpredpisa"/>
    <w:rsid w:val="006A3E2B"/>
    <w:rPr>
      <w:rFonts w:ascii="Arial" w:hAnsi="Arial" w:cs="Arial"/>
      <w:b/>
      <w:noProof/>
      <w:sz w:val="22"/>
      <w:szCs w:val="22"/>
    </w:rPr>
  </w:style>
  <w:style w:type="paragraph" w:customStyle="1" w:styleId="Poglavje">
    <w:name w:val="Poglavje"/>
    <w:basedOn w:val="Navaden"/>
    <w:qFormat/>
    <w:rsid w:val="006A3E2B"/>
    <w:pPr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6A3E2B"/>
    <w:pPr>
      <w:suppressAutoHyphens w:val="0"/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6A3E2B"/>
    <w:rPr>
      <w:rFonts w:ascii="Arial" w:hAnsi="Arial" w:cs="Arial"/>
      <w:noProof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6A3E2B"/>
    <w:pPr>
      <w:numPr>
        <w:numId w:val="1"/>
      </w:numPr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  <w:lang w:eastAsia="sl-SI"/>
    </w:rPr>
  </w:style>
  <w:style w:type="character" w:customStyle="1" w:styleId="OddelekZnak1">
    <w:name w:val="Oddelek Znak1"/>
    <w:link w:val="Oddelek"/>
    <w:rsid w:val="006A3E2B"/>
    <w:rPr>
      <w:rFonts w:ascii="Arial" w:hAnsi="Arial" w:cs="Arial"/>
      <w:b/>
      <w:noProof/>
      <w:sz w:val="22"/>
      <w:szCs w:val="22"/>
    </w:rPr>
  </w:style>
  <w:style w:type="paragraph" w:styleId="Glava">
    <w:name w:val="header"/>
    <w:basedOn w:val="Navaden"/>
    <w:link w:val="GlavaZnak"/>
    <w:rsid w:val="006A3E2B"/>
    <w:pPr>
      <w:tabs>
        <w:tab w:val="center" w:pos="4320"/>
        <w:tab w:val="right" w:pos="8640"/>
      </w:tabs>
      <w:suppressAutoHyphens w:val="0"/>
      <w:spacing w:line="260" w:lineRule="atLeast"/>
    </w:pPr>
    <w:rPr>
      <w:rFonts w:ascii="Arial" w:hAnsi="Arial"/>
      <w:sz w:val="20"/>
      <w:lang w:val="en-US" w:eastAsia="en-US"/>
    </w:rPr>
  </w:style>
  <w:style w:type="character" w:customStyle="1" w:styleId="GlavaZnak">
    <w:name w:val="Glava Znak"/>
    <w:basedOn w:val="Privzetapisavaodstavka"/>
    <w:link w:val="Glava"/>
    <w:rsid w:val="006A3E2B"/>
    <w:rPr>
      <w:rFonts w:ascii="Arial" w:hAnsi="Arial"/>
      <w:noProof/>
      <w:szCs w:val="24"/>
      <w:lang w:val="en-US" w:eastAsia="en-US"/>
    </w:rPr>
  </w:style>
  <w:style w:type="paragraph" w:customStyle="1" w:styleId="Style4">
    <w:name w:val="Style4"/>
    <w:basedOn w:val="Navaden"/>
    <w:uiPriority w:val="99"/>
    <w:rsid w:val="006A3E2B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Microsoft Sans Serif" w:hAnsi="Microsoft Sans Serif" w:cs="Microsoft Sans Serif"/>
      <w:lang w:eastAsia="sl-SI"/>
    </w:rPr>
  </w:style>
  <w:style w:type="paragraph" w:styleId="Odstavekseznama">
    <w:name w:val="List Paragraph"/>
    <w:basedOn w:val="Navaden"/>
    <w:uiPriority w:val="34"/>
    <w:qFormat/>
    <w:rsid w:val="006A3E2B"/>
    <w:pPr>
      <w:ind w:left="720"/>
      <w:contextualSpacing/>
    </w:pPr>
  </w:style>
  <w:style w:type="paragraph" w:customStyle="1" w:styleId="podpisi">
    <w:name w:val="podpisi"/>
    <w:basedOn w:val="Navaden"/>
    <w:qFormat/>
    <w:rsid w:val="006A3E2B"/>
    <w:pPr>
      <w:tabs>
        <w:tab w:val="left" w:pos="3402"/>
      </w:tabs>
      <w:suppressAutoHyphens w:val="0"/>
      <w:spacing w:line="260" w:lineRule="atLeast"/>
    </w:pPr>
    <w:rPr>
      <w:rFonts w:ascii="Arial" w:hAnsi="Arial"/>
      <w:sz w:val="20"/>
      <w:lang w:val="it-IT" w:eastAsia="en-US"/>
    </w:rPr>
  </w:style>
  <w:style w:type="paragraph" w:styleId="Besedilooblaka">
    <w:name w:val="Balloon Text"/>
    <w:basedOn w:val="Navaden"/>
    <w:link w:val="BesedilooblakaZnak"/>
    <w:rsid w:val="00DD275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DD2756"/>
    <w:rPr>
      <w:rFonts w:ascii="Segoe UI" w:hAnsi="Segoe UI" w:cs="Segoe UI"/>
      <w:noProof/>
      <w:sz w:val="18"/>
      <w:szCs w:val="18"/>
      <w:lang w:eastAsia="ar-SA"/>
    </w:rPr>
  </w:style>
  <w:style w:type="paragraph" w:customStyle="1" w:styleId="doc-ti">
    <w:name w:val="doc-ti"/>
    <w:basedOn w:val="Navaden"/>
    <w:rsid w:val="007E1325"/>
    <w:pPr>
      <w:suppressAutoHyphens w:val="0"/>
      <w:spacing w:before="100" w:beforeAutospacing="1" w:after="100" w:afterAutospacing="1"/>
    </w:pPr>
    <w:rPr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077531"/>
    <w:pPr>
      <w:suppressAutoHyphens w:val="0"/>
      <w:autoSpaceDE w:val="0"/>
      <w:autoSpaceDN w:val="0"/>
      <w:adjustRightInd w:val="0"/>
    </w:pPr>
    <w:rPr>
      <w:rFonts w:ascii="Gill Sans MT" w:hAnsi="Gill Sans MT" w:cs="Gill Sans MT"/>
      <w:sz w:val="14"/>
      <w:szCs w:val="14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77531"/>
    <w:rPr>
      <w:rFonts w:ascii="Gill Sans MT" w:hAnsi="Gill Sans MT" w:cs="Gill Sans MT"/>
      <w:sz w:val="14"/>
      <w:szCs w:val="14"/>
    </w:rPr>
  </w:style>
  <w:style w:type="paragraph" w:customStyle="1" w:styleId="TableParagraph">
    <w:name w:val="Table Paragraph"/>
    <w:basedOn w:val="Navaden"/>
    <w:uiPriority w:val="1"/>
    <w:qFormat/>
    <w:rsid w:val="00077531"/>
    <w:pPr>
      <w:suppressAutoHyphens w:val="0"/>
      <w:autoSpaceDE w:val="0"/>
      <w:autoSpaceDN w:val="0"/>
      <w:adjustRightInd w:val="0"/>
      <w:spacing w:before="13" w:line="178" w:lineRule="exact"/>
    </w:pPr>
    <w:rPr>
      <w:rFonts w:ascii="Gill Sans MT" w:hAnsi="Gill Sans MT" w:cs="Gill Sans MT"/>
      <w:lang w:eastAsia="sl-SI"/>
    </w:rPr>
  </w:style>
  <w:style w:type="table" w:styleId="Tabelamrea">
    <w:name w:val="Table Grid"/>
    <w:basedOn w:val="Navadnatabela"/>
    <w:rsid w:val="0000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rsid w:val="00212A6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212A6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212A6E"/>
    <w:rPr>
      <w:noProof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rsid w:val="00212A6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212A6E"/>
    <w:rPr>
      <w:b/>
      <w:bCs/>
      <w:noProof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5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zi.gov.si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Gp.gs@gov.s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10</Pages>
  <Words>2679</Words>
  <Characters>15274</Characters>
  <Application>Microsoft Office Word</Application>
  <DocSecurity>0</DocSecurity>
  <Lines>127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MZP-SC</Company>
  <LinksUpToDate>false</LinksUpToDate>
  <CharactersWithSpaces>17918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Poljak</dc:creator>
  <cp:keywords/>
  <dc:description/>
  <cp:lastModifiedBy>Vladi Adriano Horvat</cp:lastModifiedBy>
  <cp:revision>14</cp:revision>
  <cp:lastPrinted>2022-10-14T07:32:00Z</cp:lastPrinted>
  <dcterms:created xsi:type="dcterms:W3CDTF">2025-05-06T11:51:00Z</dcterms:created>
  <dcterms:modified xsi:type="dcterms:W3CDTF">2025-05-26T11:16:00Z</dcterms:modified>
</cp:coreProperties>
</file>