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9E10A8" w:rsidRPr="00131B28" w:rsidP="00CB7264" w14:paraId="13AF0792" w14:textId="77777777">
      <w:pPr>
        <w:pStyle w:val="Odstavekseznama1"/>
        <w:spacing w:line="260" w:lineRule="exact"/>
        <w:ind w:left="0"/>
        <w:rPr>
          <w:rFonts w:ascii="Arial" w:hAnsi="Arial" w:cs="Arial"/>
          <w:b/>
          <w:sz w:val="20"/>
          <w:szCs w:val="20"/>
        </w:rPr>
      </w:pPr>
    </w:p>
    <w:tbl>
      <w:tblPr>
        <w:tblW w:w="9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8"/>
        <w:gridCol w:w="4088"/>
        <w:gridCol w:w="2618"/>
        <w:gridCol w:w="494"/>
      </w:tblGrid>
      <w:tr w14:paraId="7E84D985" w14:textId="77777777" w:rsidTr="00D3052E">
        <w:tblPrEx>
          <w:tblW w:w="92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112" w:type="dxa"/>
        </w:trPr>
        <w:tc>
          <w:tcPr>
            <w:tcW w:w="6096" w:type="dxa"/>
            <w:gridSpan w:val="2"/>
          </w:tcPr>
          <w:p w:rsidR="009F1E59" w:rsidRPr="00131B28" w:rsidP="00AB65D9" w14:paraId="3CC22150" w14:textId="77777777">
            <w:pPr>
              <w:pStyle w:val="datumtevilka"/>
            </w:pPr>
            <w:r w:rsidRPr="00131B28">
              <w:t xml:space="preserve">Številka: </w:t>
            </w:r>
            <w:bookmarkStart w:id="0" w:name="Klasifikacija"/>
            <w:r w:rsidRPr="00131B28">
              <w:t>012-4/2025-15</w:t>
            </w:r>
            <w:bookmarkEnd w:id="0"/>
          </w:p>
        </w:tc>
      </w:tr>
      <w:tr w14:paraId="278A7E1F" w14:textId="77777777" w:rsidTr="00D3052E">
        <w:tblPrEx>
          <w:tblW w:w="9208" w:type="dxa"/>
          <w:tblInd w:w="108" w:type="dxa"/>
          <w:tblLook w:val="04A0"/>
        </w:tblPrEx>
        <w:trPr>
          <w:gridAfter w:val="2"/>
          <w:wAfter w:w="3112" w:type="dxa"/>
        </w:trPr>
        <w:tc>
          <w:tcPr>
            <w:tcW w:w="6096" w:type="dxa"/>
            <w:gridSpan w:val="2"/>
          </w:tcPr>
          <w:p w:rsidR="009F1E59" w:rsidRPr="00131B28" w:rsidP="00AB65D9" w14:paraId="4999ACE4" w14:textId="77777777">
            <w:pPr>
              <w:pStyle w:val="datumtevilka"/>
            </w:pPr>
            <w:r w:rsidRPr="00131B28">
              <w:t xml:space="preserve">Ljubljana, dne </w:t>
            </w:r>
            <w:bookmarkStart w:id="1" w:name="DatumDokumenta"/>
            <w:r w:rsidRPr="00131B28">
              <w:t>14. 04. 2025</w:t>
            </w:r>
            <w:bookmarkEnd w:id="1"/>
          </w:p>
        </w:tc>
      </w:tr>
      <w:tr w14:paraId="53CCC1DA" w14:textId="77777777" w:rsidTr="00D3052E">
        <w:tblPrEx>
          <w:tblW w:w="9208" w:type="dxa"/>
          <w:tblInd w:w="108" w:type="dxa"/>
          <w:tblLook w:val="04A0"/>
        </w:tblPrEx>
        <w:trPr>
          <w:gridAfter w:val="2"/>
          <w:wAfter w:w="3112" w:type="dxa"/>
        </w:trPr>
        <w:tc>
          <w:tcPr>
            <w:tcW w:w="6096" w:type="dxa"/>
            <w:gridSpan w:val="2"/>
          </w:tcPr>
          <w:p w:rsidR="00FB3C81" w:rsidRPr="00131B28" w:rsidP="002C278B" w14:paraId="07153632" w14:textId="77777777">
            <w:pPr>
              <w:pStyle w:val="Neotevilenodstavek"/>
              <w:spacing w:before="0" w:after="0" w:line="260" w:lineRule="exact"/>
              <w:jc w:val="left"/>
              <w:rPr>
                <w:sz w:val="20"/>
                <w:szCs w:val="20"/>
              </w:rPr>
            </w:pPr>
            <w:r w:rsidRPr="00131B28">
              <w:rPr>
                <w:iCs/>
                <w:sz w:val="20"/>
                <w:szCs w:val="20"/>
              </w:rPr>
              <w:t>EVA (če se akt objavi v Uradnem listu RS)</w:t>
            </w:r>
          </w:p>
        </w:tc>
      </w:tr>
      <w:tr w14:paraId="04B2F2F1" w14:textId="77777777" w:rsidTr="00D3052E">
        <w:tblPrEx>
          <w:tblW w:w="9208" w:type="dxa"/>
          <w:tblInd w:w="108" w:type="dxa"/>
          <w:tblLook w:val="04A0"/>
        </w:tblPrEx>
        <w:trPr>
          <w:gridAfter w:val="2"/>
          <w:wAfter w:w="3112" w:type="dxa"/>
        </w:trPr>
        <w:tc>
          <w:tcPr>
            <w:tcW w:w="6096" w:type="dxa"/>
            <w:gridSpan w:val="2"/>
          </w:tcPr>
          <w:p w:rsidR="00FB3C81" w:rsidRPr="00131B28" w:rsidP="002C278B" w14:paraId="7135B00B" w14:textId="77777777">
            <w:pPr>
              <w:spacing w:after="0" w:line="260" w:lineRule="exact"/>
              <w:rPr>
                <w:rFonts w:ascii="Arial" w:hAnsi="Arial" w:cs="Arial"/>
                <w:sz w:val="20"/>
                <w:szCs w:val="20"/>
              </w:rPr>
            </w:pPr>
          </w:p>
          <w:p w:rsidR="00FB3C81" w:rsidRPr="00131B28" w:rsidP="002C278B" w14:paraId="33AF8CC2" w14:textId="77777777">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rsidR="00FB3C81" w:rsidRPr="00131B28" w:rsidP="002C278B" w14:paraId="70B7C491" w14:textId="77777777">
            <w:pPr>
              <w:spacing w:after="0" w:line="260" w:lineRule="exact"/>
              <w:rPr>
                <w:rFonts w:ascii="Arial" w:hAnsi="Arial" w:cs="Arial"/>
                <w:b/>
                <w:sz w:val="20"/>
                <w:szCs w:val="20"/>
              </w:rPr>
            </w:pPr>
            <w:hyperlink r:id="rId5" w:history="1">
              <w:r w:rsidRPr="00131B28" w:rsidR="00EC1D65">
                <w:rPr>
                  <w:rStyle w:val="Hyperlink"/>
                  <w:rFonts w:ascii="Arial" w:hAnsi="Arial" w:cs="Arial"/>
                  <w:b/>
                  <w:sz w:val="20"/>
                  <w:szCs w:val="20"/>
                </w:rPr>
                <w:t>gp.gs@gov.si</w:t>
              </w:r>
            </w:hyperlink>
          </w:p>
          <w:p w:rsidR="00FB3C81" w:rsidRPr="00131B28" w:rsidP="002C278B" w14:paraId="54FCE390" w14:textId="77777777">
            <w:pPr>
              <w:spacing w:after="0" w:line="260" w:lineRule="exact"/>
              <w:rPr>
                <w:rFonts w:ascii="Arial" w:hAnsi="Arial" w:cs="Arial"/>
                <w:sz w:val="20"/>
                <w:szCs w:val="20"/>
              </w:rPr>
            </w:pPr>
          </w:p>
        </w:tc>
      </w:tr>
      <w:tr w14:paraId="18A16B3D" w14:textId="77777777" w:rsidTr="00D3052E">
        <w:tblPrEx>
          <w:tblW w:w="9208" w:type="dxa"/>
          <w:tblInd w:w="108" w:type="dxa"/>
          <w:tblLook w:val="04A0"/>
        </w:tblPrEx>
        <w:tc>
          <w:tcPr>
            <w:tcW w:w="9208" w:type="dxa"/>
            <w:gridSpan w:val="4"/>
          </w:tcPr>
          <w:p w:rsidR="00D3052E" w:rsidRPr="00131B28" w:rsidP="00A25444" w14:paraId="0B5D62BC" w14:textId="77777777">
            <w:pPr>
              <w:pStyle w:val="Naslovpredpisa"/>
              <w:spacing w:before="0" w:after="0" w:line="260" w:lineRule="exact"/>
              <w:jc w:val="both"/>
              <w:rPr>
                <w:sz w:val="20"/>
                <w:szCs w:val="20"/>
              </w:rPr>
            </w:pPr>
            <w:r w:rsidRPr="00131B28">
              <w:rPr>
                <w:sz w:val="20"/>
                <w:szCs w:val="20"/>
              </w:rPr>
              <w:t xml:space="preserve">ZADEVA: </w:t>
            </w:r>
            <w:r>
              <w:rPr>
                <w:sz w:val="20"/>
                <w:szCs w:val="20"/>
              </w:rPr>
              <w:t xml:space="preserve">Program </w:t>
            </w:r>
            <w:r w:rsidRPr="005F6562">
              <w:rPr>
                <w:sz w:val="20"/>
                <w:szCs w:val="20"/>
              </w:rPr>
              <w:t xml:space="preserve">dela Komisije Vlade Republike Slovenije za reševanje vprašanj prikritih </w:t>
            </w:r>
            <w:r>
              <w:rPr>
                <w:sz w:val="20"/>
                <w:szCs w:val="20"/>
              </w:rPr>
              <w:t>grobišč za leto 2025 in f</w:t>
            </w:r>
            <w:r w:rsidRPr="00013EE0">
              <w:rPr>
                <w:sz w:val="20"/>
                <w:szCs w:val="20"/>
              </w:rPr>
              <w:t>inančni načrt za leto 202</w:t>
            </w:r>
            <w:r>
              <w:rPr>
                <w:sz w:val="20"/>
                <w:szCs w:val="20"/>
              </w:rPr>
              <w:t>5</w:t>
            </w:r>
            <w:r w:rsidRPr="00013EE0">
              <w:rPr>
                <w:sz w:val="20"/>
                <w:szCs w:val="20"/>
              </w:rPr>
              <w:t xml:space="preserve"> – predlog za obravnavo</w:t>
            </w:r>
          </w:p>
        </w:tc>
      </w:tr>
      <w:tr w14:paraId="0AE2188D" w14:textId="77777777" w:rsidTr="00D3052E">
        <w:tblPrEx>
          <w:tblW w:w="9208" w:type="dxa"/>
          <w:tblInd w:w="108" w:type="dxa"/>
          <w:tblLook w:val="04A0"/>
        </w:tblPrEx>
        <w:tc>
          <w:tcPr>
            <w:tcW w:w="9208" w:type="dxa"/>
            <w:gridSpan w:val="4"/>
          </w:tcPr>
          <w:p w:rsidR="00D3052E" w:rsidRPr="00131B28" w:rsidP="00A25444" w14:paraId="039BCBB2" w14:textId="77777777">
            <w:pPr>
              <w:pStyle w:val="Poglavje"/>
              <w:spacing w:before="0" w:after="0" w:line="260" w:lineRule="exact"/>
              <w:jc w:val="left"/>
              <w:rPr>
                <w:sz w:val="20"/>
                <w:szCs w:val="20"/>
              </w:rPr>
            </w:pPr>
            <w:r w:rsidRPr="00131B28">
              <w:rPr>
                <w:sz w:val="20"/>
                <w:szCs w:val="20"/>
              </w:rPr>
              <w:t>1. Predlog sklepov vlade:</w:t>
            </w:r>
          </w:p>
        </w:tc>
      </w:tr>
      <w:tr w14:paraId="417FDBFB" w14:textId="77777777" w:rsidTr="00D3052E">
        <w:tblPrEx>
          <w:tblW w:w="9208" w:type="dxa"/>
          <w:tblInd w:w="108" w:type="dxa"/>
          <w:tblLook w:val="04A0"/>
        </w:tblPrEx>
        <w:tc>
          <w:tcPr>
            <w:tcW w:w="9208" w:type="dxa"/>
            <w:gridSpan w:val="4"/>
            <w:tcBorders>
              <w:top w:val="single" w:sz="4" w:space="0" w:color="000000"/>
              <w:left w:val="single" w:sz="4" w:space="0" w:color="000000"/>
              <w:bottom w:val="nil"/>
              <w:right w:val="single" w:sz="4" w:space="0" w:color="000000"/>
            </w:tcBorders>
          </w:tcPr>
          <w:p w:rsidR="00D3052E" w:rsidP="00A25444" w14:paraId="1ED48522" w14:textId="77777777">
            <w:pPr>
              <w:jc w:val="both"/>
              <w:rPr>
                <w:rFonts w:ascii="Arial" w:hAnsi="Arial" w:cs="Arial"/>
                <w:sz w:val="20"/>
                <w:szCs w:val="20"/>
              </w:rPr>
            </w:pPr>
            <w:r w:rsidRPr="005F6562">
              <w:rPr>
                <w:rFonts w:ascii="Arial" w:hAnsi="Arial" w:cs="Arial"/>
                <w:sz w:val="20"/>
                <w:szCs w:val="20"/>
              </w:rPr>
              <w:t xml:space="preserve">Na podlagi šestega odstavka 21. člena Zakona o Vladi Republike Slovenije (Uradni list RS, št. 24/05 – uradno prečiščeno besedilo, 109/08, 38/10 – ZUKN, 8/12, 21/13, 47/13 – ZDU-1G, 65/14, 55/17 in 163/22) in </w:t>
            </w:r>
            <w:r>
              <w:rPr>
                <w:rFonts w:ascii="Arial" w:hAnsi="Arial" w:cs="Arial"/>
                <w:sz w:val="20"/>
                <w:szCs w:val="20"/>
              </w:rPr>
              <w:t xml:space="preserve">prve ter druge alineje </w:t>
            </w:r>
            <w:r w:rsidRPr="005F6562">
              <w:rPr>
                <w:rFonts w:ascii="Arial" w:hAnsi="Arial" w:cs="Arial"/>
                <w:sz w:val="20"/>
                <w:szCs w:val="20"/>
              </w:rPr>
              <w:t xml:space="preserve">tretjega odstavka 4. člena Zakona o prikritih vojnih grobiščih in pokopu </w:t>
            </w:r>
            <w:r>
              <w:rPr>
                <w:rFonts w:ascii="Arial" w:hAnsi="Arial" w:cs="Arial"/>
                <w:sz w:val="20"/>
                <w:szCs w:val="20"/>
              </w:rPr>
              <w:t xml:space="preserve">žrtev </w:t>
            </w:r>
            <w:r w:rsidRPr="005F6562">
              <w:rPr>
                <w:rFonts w:ascii="Arial" w:hAnsi="Arial" w:cs="Arial"/>
                <w:sz w:val="20"/>
                <w:szCs w:val="20"/>
              </w:rPr>
              <w:t xml:space="preserve">(Uradni list RS, št. 55/15 in 92/21) je Vlada Republike Slovenije dne ......... sprejela naslednji </w:t>
            </w:r>
          </w:p>
          <w:p w:rsidR="00D3052E" w:rsidRPr="00CA7D81" w:rsidP="00A25444" w14:paraId="5A042DC3" w14:textId="77777777">
            <w:pPr>
              <w:jc w:val="center"/>
              <w:rPr>
                <w:rFonts w:ascii="Arial" w:hAnsi="Arial" w:cs="Arial"/>
                <w:sz w:val="20"/>
                <w:szCs w:val="20"/>
              </w:rPr>
            </w:pPr>
            <w:r w:rsidRPr="005F6562">
              <w:rPr>
                <w:rFonts w:ascii="Arial" w:hAnsi="Arial" w:cs="Arial"/>
                <w:sz w:val="20"/>
                <w:szCs w:val="20"/>
              </w:rPr>
              <w:t>SKLEP</w:t>
            </w:r>
          </w:p>
          <w:p w:rsidR="00D3052E" w:rsidP="00A25444" w14:paraId="6D5C6575" w14:textId="77777777">
            <w:pPr>
              <w:pStyle w:val="ListParagraph"/>
              <w:numPr>
                <w:ilvl w:val="0"/>
                <w:numId w:val="32"/>
              </w:numPr>
              <w:spacing w:line="276" w:lineRule="auto"/>
              <w:ind w:left="349" w:hanging="349"/>
              <w:rPr>
                <w:rFonts w:ascii="Arial" w:hAnsi="Arial" w:cs="Arial"/>
                <w:sz w:val="20"/>
                <w:szCs w:val="20"/>
              </w:rPr>
            </w:pPr>
            <w:r w:rsidRPr="00223DB7">
              <w:rPr>
                <w:rFonts w:ascii="Arial" w:hAnsi="Arial" w:cs="Arial"/>
                <w:sz w:val="20"/>
                <w:szCs w:val="20"/>
              </w:rPr>
              <w:t xml:space="preserve">Vlada Republike Slovenije je potrdila Program dela Komisije Vlade Republike Slovenije za reševanje vprašanj prikritih </w:t>
            </w:r>
            <w:r>
              <w:rPr>
                <w:rFonts w:ascii="Arial" w:hAnsi="Arial" w:cs="Arial"/>
                <w:sz w:val="20"/>
                <w:szCs w:val="20"/>
              </w:rPr>
              <w:t>grobišč za leto 2025.</w:t>
            </w:r>
          </w:p>
          <w:p w:rsidR="00D3052E" w:rsidP="00A25444" w14:paraId="0CAD2E9F" w14:textId="77777777">
            <w:pPr>
              <w:pStyle w:val="ListParagraph"/>
              <w:spacing w:line="276" w:lineRule="auto"/>
              <w:ind w:left="349" w:hanging="349"/>
              <w:rPr>
                <w:rFonts w:ascii="Arial" w:hAnsi="Arial" w:cs="Arial"/>
                <w:sz w:val="20"/>
                <w:szCs w:val="20"/>
              </w:rPr>
            </w:pPr>
          </w:p>
          <w:p w:rsidR="00D3052E" w:rsidRPr="00223DB7" w:rsidP="00A25444" w14:paraId="6AE239A3" w14:textId="77777777">
            <w:pPr>
              <w:pStyle w:val="ListParagraph"/>
              <w:numPr>
                <w:ilvl w:val="0"/>
                <w:numId w:val="32"/>
              </w:numPr>
              <w:spacing w:line="276" w:lineRule="auto"/>
              <w:ind w:left="349" w:hanging="349"/>
              <w:rPr>
                <w:rFonts w:ascii="Arial" w:hAnsi="Arial" w:cs="Arial"/>
                <w:sz w:val="20"/>
                <w:szCs w:val="20"/>
              </w:rPr>
            </w:pPr>
            <w:r>
              <w:rPr>
                <w:rFonts w:ascii="Arial" w:hAnsi="Arial" w:cs="Arial"/>
                <w:sz w:val="20"/>
                <w:szCs w:val="20"/>
              </w:rPr>
              <w:t xml:space="preserve">Vlada Republike Slovenije </w:t>
            </w:r>
            <w:r w:rsidRPr="00223DB7">
              <w:rPr>
                <w:rFonts w:ascii="Arial" w:hAnsi="Arial" w:cs="Arial"/>
                <w:sz w:val="20"/>
                <w:szCs w:val="20"/>
              </w:rPr>
              <w:t>sprejela Finančni načrt dela Komisije Vlade Republike Slovenije za reševanje vprašanj prikritih grobišč za leto 202</w:t>
            </w:r>
            <w:r>
              <w:rPr>
                <w:rFonts w:ascii="Arial" w:hAnsi="Arial" w:cs="Arial"/>
                <w:sz w:val="20"/>
                <w:szCs w:val="20"/>
              </w:rPr>
              <w:t>5</w:t>
            </w:r>
            <w:r w:rsidRPr="00223DB7">
              <w:rPr>
                <w:rFonts w:ascii="Arial" w:hAnsi="Arial" w:cs="Arial"/>
                <w:sz w:val="20"/>
                <w:szCs w:val="20"/>
              </w:rPr>
              <w:t>.</w:t>
            </w:r>
          </w:p>
          <w:p w:rsidR="00D3052E" w:rsidRPr="005F6562" w:rsidP="00A25444" w14:paraId="03CA250B" w14:textId="77777777">
            <w:pPr>
              <w:spacing w:after="0"/>
              <w:rPr>
                <w:rFonts w:ascii="Arial" w:hAnsi="Arial" w:cs="Arial"/>
                <w:sz w:val="20"/>
                <w:szCs w:val="20"/>
              </w:rPr>
            </w:pPr>
          </w:p>
          <w:p w:rsidR="00D3052E" w:rsidRPr="002849B9" w:rsidP="00A25444" w14:paraId="7CFBD02A" w14:textId="77777777">
            <w:pPr>
              <w:spacing w:after="0"/>
              <w:ind w:left="4712"/>
              <w:rPr>
                <w:rFonts w:ascii="Arial" w:hAnsi="Arial" w:cs="Arial"/>
                <w:sz w:val="20"/>
                <w:szCs w:val="20"/>
              </w:rPr>
            </w:pPr>
            <w:r w:rsidRPr="005F6562">
              <w:rPr>
                <w:rFonts w:ascii="Arial" w:hAnsi="Arial" w:cs="Arial"/>
                <w:sz w:val="20"/>
                <w:szCs w:val="20"/>
              </w:rPr>
              <w:t xml:space="preserve">        </w:t>
            </w:r>
            <w:r>
              <w:rPr>
                <w:rFonts w:ascii="Arial" w:hAnsi="Arial" w:cs="Arial"/>
                <w:sz w:val="20"/>
                <w:szCs w:val="20"/>
              </w:rPr>
              <w:t xml:space="preserve">          </w:t>
            </w:r>
            <w:r w:rsidRPr="002849B9">
              <w:rPr>
                <w:rFonts w:ascii="Arial" w:hAnsi="Arial" w:cs="Arial"/>
                <w:sz w:val="20"/>
                <w:szCs w:val="20"/>
              </w:rPr>
              <w:t xml:space="preserve">Barbara Kolenko </w:t>
            </w:r>
            <w:r w:rsidRPr="002849B9">
              <w:rPr>
                <w:rFonts w:ascii="Arial" w:hAnsi="Arial" w:cs="Arial"/>
                <w:sz w:val="20"/>
                <w:szCs w:val="20"/>
              </w:rPr>
              <w:t>Helbl</w:t>
            </w:r>
          </w:p>
          <w:p w:rsidR="00D3052E" w:rsidRPr="005F6562" w:rsidP="00A25444" w14:paraId="636DCBCC" w14:textId="77777777">
            <w:pPr>
              <w:spacing w:after="0"/>
              <w:ind w:left="4712"/>
              <w:rPr>
                <w:rFonts w:ascii="Arial" w:hAnsi="Arial" w:cs="Arial"/>
                <w:sz w:val="20"/>
                <w:szCs w:val="20"/>
              </w:rPr>
            </w:pPr>
            <w:r w:rsidRPr="002849B9">
              <w:rPr>
                <w:rFonts w:ascii="Arial" w:hAnsi="Arial" w:cs="Arial"/>
                <w:sz w:val="20"/>
                <w:szCs w:val="20"/>
              </w:rPr>
              <w:t xml:space="preserve">                   generalna sekretarka</w:t>
            </w:r>
          </w:p>
          <w:p w:rsidR="00D3052E" w:rsidRPr="005F6562" w:rsidP="00A25444" w14:paraId="06304AB9" w14:textId="77777777">
            <w:pPr>
              <w:spacing w:after="0"/>
              <w:ind w:left="4712"/>
              <w:rPr>
                <w:rFonts w:ascii="Arial" w:hAnsi="Arial" w:cs="Arial"/>
                <w:sz w:val="20"/>
                <w:szCs w:val="20"/>
              </w:rPr>
            </w:pPr>
          </w:p>
          <w:p w:rsidR="00D3052E" w:rsidRPr="005F6562" w:rsidP="00A25444" w14:paraId="05AF471E" w14:textId="77777777">
            <w:pPr>
              <w:spacing w:after="0"/>
              <w:rPr>
                <w:rFonts w:ascii="Arial" w:hAnsi="Arial" w:cs="Arial"/>
                <w:sz w:val="20"/>
                <w:szCs w:val="20"/>
              </w:rPr>
            </w:pPr>
          </w:p>
          <w:p w:rsidR="00D3052E" w:rsidRPr="005F6562" w:rsidP="00A25444" w14:paraId="30480E4F" w14:textId="77777777">
            <w:pPr>
              <w:spacing w:after="0"/>
              <w:jc w:val="both"/>
              <w:rPr>
                <w:rFonts w:ascii="Arial" w:hAnsi="Arial" w:cs="Arial"/>
                <w:sz w:val="20"/>
                <w:szCs w:val="20"/>
              </w:rPr>
            </w:pPr>
            <w:r w:rsidRPr="005F6562">
              <w:rPr>
                <w:rFonts w:ascii="Arial" w:hAnsi="Arial" w:cs="Arial"/>
                <w:sz w:val="20"/>
                <w:szCs w:val="20"/>
              </w:rPr>
              <w:t>Prilog</w:t>
            </w:r>
            <w:r>
              <w:rPr>
                <w:rFonts w:ascii="Arial" w:hAnsi="Arial" w:cs="Arial"/>
                <w:sz w:val="20"/>
                <w:szCs w:val="20"/>
              </w:rPr>
              <w:t>e</w:t>
            </w:r>
            <w:r w:rsidRPr="005F6562">
              <w:rPr>
                <w:rFonts w:ascii="Arial" w:hAnsi="Arial" w:cs="Arial"/>
                <w:sz w:val="20"/>
                <w:szCs w:val="20"/>
              </w:rPr>
              <w:t xml:space="preserve">: </w:t>
            </w:r>
          </w:p>
          <w:p w:rsidR="00D3052E" w:rsidRPr="005F6562" w:rsidP="00A25444" w14:paraId="5759C051" w14:textId="77777777">
            <w:pPr>
              <w:pStyle w:val="ListParagraph"/>
              <w:numPr>
                <w:ilvl w:val="0"/>
                <w:numId w:val="31"/>
              </w:numPr>
              <w:spacing w:after="0" w:line="276" w:lineRule="auto"/>
              <w:ind w:left="349" w:hanging="349"/>
              <w:jc w:val="both"/>
              <w:rPr>
                <w:rFonts w:ascii="Arial" w:hAnsi="Arial" w:cs="Arial"/>
                <w:sz w:val="20"/>
                <w:szCs w:val="20"/>
              </w:rPr>
            </w:pPr>
            <w:r w:rsidRPr="005F6562">
              <w:rPr>
                <w:rFonts w:ascii="Arial" w:hAnsi="Arial" w:cs="Arial"/>
                <w:sz w:val="20"/>
                <w:szCs w:val="20"/>
              </w:rPr>
              <w:t xml:space="preserve">Program dela Komisije Vlade Republike Slovenije za reševanje vprašanj prikritih </w:t>
            </w:r>
            <w:r w:rsidRPr="005F6562">
              <w:rPr>
                <w:rFonts w:ascii="Arial" w:hAnsi="Arial" w:cs="Arial"/>
                <w:sz w:val="20"/>
                <w:szCs w:val="20"/>
              </w:rPr>
              <w:br/>
              <w:t>grobišč za leto 202</w:t>
            </w:r>
            <w:r>
              <w:rPr>
                <w:rFonts w:ascii="Arial" w:hAnsi="Arial" w:cs="Arial"/>
                <w:sz w:val="20"/>
                <w:szCs w:val="20"/>
              </w:rPr>
              <w:t>5</w:t>
            </w:r>
            <w:r w:rsidRPr="005F6562">
              <w:rPr>
                <w:rFonts w:ascii="Arial" w:hAnsi="Arial" w:cs="Arial"/>
                <w:sz w:val="20"/>
                <w:szCs w:val="20"/>
              </w:rPr>
              <w:t>,</w:t>
            </w:r>
          </w:p>
          <w:p w:rsidR="00D3052E" w:rsidRPr="005F6562" w:rsidP="00A25444" w14:paraId="2933D88A" w14:textId="77777777">
            <w:pPr>
              <w:pStyle w:val="ListParagraph"/>
              <w:numPr>
                <w:ilvl w:val="0"/>
                <w:numId w:val="31"/>
              </w:numPr>
              <w:spacing w:after="0" w:line="276" w:lineRule="auto"/>
              <w:ind w:left="349" w:hanging="349"/>
              <w:jc w:val="both"/>
              <w:rPr>
                <w:rFonts w:ascii="Arial" w:hAnsi="Arial" w:cs="Arial"/>
                <w:sz w:val="20"/>
                <w:szCs w:val="20"/>
              </w:rPr>
            </w:pPr>
            <w:r w:rsidRPr="005F6562">
              <w:rPr>
                <w:rFonts w:ascii="Arial" w:hAnsi="Arial" w:cs="Arial"/>
                <w:sz w:val="20"/>
                <w:szCs w:val="20"/>
              </w:rPr>
              <w:t>Finančni načrt dela Komisije Vlade Republike Slovenije za reševanje vprašanj prikritih grobišč za leto 202</w:t>
            </w:r>
            <w:r>
              <w:rPr>
                <w:rFonts w:ascii="Arial" w:hAnsi="Arial" w:cs="Arial"/>
                <w:sz w:val="20"/>
                <w:szCs w:val="20"/>
              </w:rPr>
              <w:t>5</w:t>
            </w:r>
            <w:r w:rsidRPr="005F6562">
              <w:rPr>
                <w:rFonts w:ascii="Arial" w:hAnsi="Arial" w:cs="Arial"/>
                <w:sz w:val="20"/>
                <w:szCs w:val="20"/>
              </w:rPr>
              <w:t>.</w:t>
            </w:r>
          </w:p>
          <w:p w:rsidR="00D3052E" w:rsidRPr="005F6562" w:rsidP="00A25444" w14:paraId="4506FC4D" w14:textId="77777777">
            <w:pPr>
              <w:pStyle w:val="Neotevilenodstavek"/>
              <w:spacing w:before="0" w:after="0" w:line="276" w:lineRule="auto"/>
              <w:rPr>
                <w:iCs/>
                <w:sz w:val="20"/>
                <w:szCs w:val="20"/>
              </w:rPr>
            </w:pPr>
          </w:p>
          <w:p w:rsidR="00D3052E" w:rsidRPr="005F6562" w:rsidP="00A25444" w14:paraId="3809EB77" w14:textId="77777777">
            <w:pPr>
              <w:pStyle w:val="Neotevilenodstavek"/>
              <w:spacing w:before="0" w:after="0" w:line="276" w:lineRule="auto"/>
              <w:rPr>
                <w:iCs/>
                <w:sz w:val="20"/>
                <w:szCs w:val="20"/>
              </w:rPr>
            </w:pPr>
            <w:r w:rsidRPr="005F6562">
              <w:rPr>
                <w:iCs/>
                <w:sz w:val="20"/>
                <w:szCs w:val="20"/>
              </w:rPr>
              <w:t>Prejmejo:</w:t>
            </w:r>
          </w:p>
          <w:p w:rsidR="00D3052E" w:rsidRPr="005F6562" w:rsidP="00A25444" w14:paraId="6F9B17BC" w14:textId="77777777">
            <w:pPr>
              <w:pStyle w:val="Neotevilenodstavek"/>
              <w:numPr>
                <w:ilvl w:val="0"/>
                <w:numId w:val="31"/>
              </w:numPr>
              <w:spacing w:before="0" w:after="0" w:line="276" w:lineRule="auto"/>
              <w:textAlignment w:val="auto"/>
              <w:rPr>
                <w:iCs/>
                <w:sz w:val="20"/>
                <w:szCs w:val="20"/>
              </w:rPr>
            </w:pPr>
            <w:r w:rsidRPr="005F6562">
              <w:rPr>
                <w:sz w:val="20"/>
                <w:szCs w:val="20"/>
              </w:rPr>
              <w:t>Komisija Vlade Republike Slovenije za reševanje vprašanj prikritih grobišč</w:t>
            </w:r>
            <w:r>
              <w:rPr>
                <w:sz w:val="20"/>
                <w:szCs w:val="20"/>
              </w:rPr>
              <w:t>,</w:t>
            </w:r>
          </w:p>
          <w:p w:rsidR="00D3052E" w:rsidRPr="00223DB7" w:rsidP="00A25444" w14:paraId="2BEA6988" w14:textId="77777777">
            <w:pPr>
              <w:pStyle w:val="Neotevilenodstavek"/>
              <w:numPr>
                <w:ilvl w:val="0"/>
                <w:numId w:val="31"/>
              </w:numPr>
              <w:spacing w:before="0" w:after="0" w:line="276" w:lineRule="auto"/>
              <w:textAlignment w:val="auto"/>
              <w:rPr>
                <w:iCs/>
                <w:sz w:val="20"/>
                <w:szCs w:val="20"/>
              </w:rPr>
            </w:pPr>
            <w:r w:rsidRPr="005F6562">
              <w:rPr>
                <w:iCs/>
                <w:sz w:val="20"/>
                <w:szCs w:val="20"/>
              </w:rPr>
              <w:t>Ministrstvo za obrambo</w:t>
            </w:r>
            <w:r>
              <w:rPr>
                <w:iCs/>
                <w:sz w:val="20"/>
                <w:szCs w:val="20"/>
              </w:rPr>
              <w:t xml:space="preserve"> </w:t>
            </w:r>
            <w:r w:rsidRPr="005F6562">
              <w:rPr>
                <w:sz w:val="20"/>
                <w:szCs w:val="20"/>
              </w:rPr>
              <w:t>Republike Slovenije</w:t>
            </w:r>
            <w:r>
              <w:rPr>
                <w:sz w:val="20"/>
                <w:szCs w:val="20"/>
              </w:rPr>
              <w:t>.</w:t>
            </w:r>
          </w:p>
          <w:p w:rsidR="00D3052E" w:rsidRPr="00131B28" w:rsidP="00A25444" w14:paraId="5ADF3EFA" w14:textId="77777777">
            <w:pPr>
              <w:pStyle w:val="Neotevilenodstavek"/>
              <w:spacing w:before="0" w:after="0" w:line="260" w:lineRule="exact"/>
              <w:rPr>
                <w:iCs/>
                <w:sz w:val="20"/>
                <w:szCs w:val="20"/>
              </w:rPr>
            </w:pPr>
          </w:p>
        </w:tc>
      </w:tr>
      <w:tr w14:paraId="2F4D3ACE" w14:textId="77777777" w:rsidTr="00D3052E">
        <w:tblPrEx>
          <w:tblW w:w="9208" w:type="dxa"/>
          <w:tblInd w:w="108" w:type="dxa"/>
          <w:tblLook w:val="04A0"/>
        </w:tblPrEx>
        <w:tc>
          <w:tcPr>
            <w:tcW w:w="9208" w:type="dxa"/>
            <w:gridSpan w:val="4"/>
          </w:tcPr>
          <w:p w:rsidR="00D3052E" w:rsidRPr="00131B28" w:rsidP="00A25444" w14:paraId="6126F9E2" w14:textId="77777777">
            <w:pPr>
              <w:pStyle w:val="Neotevilenodstavek"/>
              <w:spacing w:before="0" w:after="0" w:line="260" w:lineRule="exact"/>
              <w:rPr>
                <w:b/>
                <w:iCs/>
                <w:sz w:val="20"/>
                <w:szCs w:val="20"/>
              </w:rPr>
            </w:pPr>
            <w:r w:rsidRPr="00131B28">
              <w:rPr>
                <w:b/>
                <w:sz w:val="20"/>
                <w:szCs w:val="20"/>
              </w:rPr>
              <w:t>2. Predlog za obravnavo predloga zakona po nujnem ali skrajšanem postopku v državnem zboru z obrazložitvijo razlogov:</w:t>
            </w:r>
          </w:p>
        </w:tc>
      </w:tr>
      <w:tr w14:paraId="614C48DE" w14:textId="77777777" w:rsidTr="00D3052E">
        <w:tblPrEx>
          <w:tblW w:w="9208" w:type="dxa"/>
          <w:tblInd w:w="108" w:type="dxa"/>
          <w:tblLook w:val="04A0"/>
        </w:tblPrEx>
        <w:tc>
          <w:tcPr>
            <w:tcW w:w="9208" w:type="dxa"/>
            <w:gridSpan w:val="4"/>
          </w:tcPr>
          <w:p w:rsidR="00D3052E" w:rsidRPr="00131B28" w:rsidP="00A25444" w14:paraId="40D5B34C" w14:textId="77777777">
            <w:pPr>
              <w:pStyle w:val="Neotevilenodstavek"/>
              <w:spacing w:before="0" w:after="0" w:line="260" w:lineRule="exact"/>
              <w:rPr>
                <w:iCs/>
                <w:sz w:val="20"/>
                <w:szCs w:val="20"/>
              </w:rPr>
            </w:pPr>
            <w:r>
              <w:rPr>
                <w:iCs/>
                <w:sz w:val="20"/>
                <w:szCs w:val="20"/>
              </w:rPr>
              <w:t>/</w:t>
            </w:r>
          </w:p>
        </w:tc>
      </w:tr>
      <w:tr w14:paraId="444699B7" w14:textId="77777777" w:rsidTr="00D3052E">
        <w:tblPrEx>
          <w:tblW w:w="9208" w:type="dxa"/>
          <w:tblInd w:w="108" w:type="dxa"/>
          <w:tblLook w:val="04A0"/>
        </w:tblPrEx>
        <w:tc>
          <w:tcPr>
            <w:tcW w:w="9208" w:type="dxa"/>
            <w:gridSpan w:val="4"/>
          </w:tcPr>
          <w:p w:rsidR="00D3052E" w:rsidRPr="00131B28" w:rsidP="00A25444" w14:paraId="469459D2" w14:textId="77777777">
            <w:pPr>
              <w:pStyle w:val="Neotevilenodstavek"/>
              <w:spacing w:before="0" w:after="0" w:line="260" w:lineRule="exact"/>
              <w:rPr>
                <w:b/>
                <w:iCs/>
                <w:sz w:val="20"/>
                <w:szCs w:val="20"/>
              </w:rPr>
            </w:pPr>
            <w:r w:rsidRPr="00131B28">
              <w:rPr>
                <w:b/>
                <w:sz w:val="20"/>
                <w:szCs w:val="20"/>
              </w:rPr>
              <w:t>3.a Osebe, odgovorne za strokovno pripravo in usklajenost gradiva:</w:t>
            </w:r>
          </w:p>
        </w:tc>
      </w:tr>
      <w:tr w14:paraId="5614185B" w14:textId="77777777" w:rsidTr="00D3052E">
        <w:tblPrEx>
          <w:tblW w:w="9208" w:type="dxa"/>
          <w:tblInd w:w="108" w:type="dxa"/>
          <w:tblLook w:val="04A0"/>
        </w:tblPrEx>
        <w:tc>
          <w:tcPr>
            <w:tcW w:w="9208" w:type="dxa"/>
            <w:gridSpan w:val="4"/>
          </w:tcPr>
          <w:p w:rsidR="00D3052E" w:rsidRPr="00131B28" w:rsidP="00A25444" w14:paraId="6383E5CF" w14:textId="77777777">
            <w:pPr>
              <w:pStyle w:val="Neotevilenodstavek"/>
              <w:spacing w:before="0" w:after="0" w:line="260" w:lineRule="exact"/>
              <w:rPr>
                <w:iCs/>
                <w:sz w:val="20"/>
                <w:szCs w:val="20"/>
              </w:rPr>
            </w:pPr>
            <w:r w:rsidRPr="005F6562">
              <w:rPr>
                <w:iCs/>
                <w:sz w:val="20"/>
                <w:szCs w:val="20"/>
              </w:rPr>
              <w:t xml:space="preserve">Mag. Matjaž Ravbar, direktor, </w:t>
            </w:r>
            <w:r>
              <w:rPr>
                <w:iCs/>
                <w:sz w:val="20"/>
                <w:szCs w:val="20"/>
              </w:rPr>
              <w:t xml:space="preserve">Direktorat </w:t>
            </w:r>
            <w:r w:rsidRPr="005F6562">
              <w:rPr>
                <w:iCs/>
                <w:sz w:val="20"/>
                <w:szCs w:val="20"/>
              </w:rPr>
              <w:t xml:space="preserve">za </w:t>
            </w:r>
            <w:r>
              <w:rPr>
                <w:iCs/>
                <w:sz w:val="20"/>
                <w:szCs w:val="20"/>
              </w:rPr>
              <w:t xml:space="preserve">vojne veterane in </w:t>
            </w:r>
            <w:r w:rsidRPr="005F6562">
              <w:rPr>
                <w:iCs/>
                <w:sz w:val="20"/>
                <w:szCs w:val="20"/>
              </w:rPr>
              <w:t>vojaško dediščino</w:t>
            </w:r>
            <w:r>
              <w:rPr>
                <w:iCs/>
                <w:sz w:val="20"/>
                <w:szCs w:val="20"/>
              </w:rPr>
              <w:t xml:space="preserve">, </w:t>
            </w:r>
            <w:r w:rsidRPr="005F6562">
              <w:rPr>
                <w:iCs/>
                <w:sz w:val="20"/>
                <w:szCs w:val="20"/>
              </w:rPr>
              <w:t>Ministrstvo za obrambo</w:t>
            </w:r>
            <w:r>
              <w:rPr>
                <w:iCs/>
                <w:sz w:val="20"/>
                <w:szCs w:val="20"/>
              </w:rPr>
              <w:t xml:space="preserve"> </w:t>
            </w:r>
            <w:r w:rsidRPr="005F6562">
              <w:rPr>
                <w:sz w:val="20"/>
                <w:szCs w:val="20"/>
              </w:rPr>
              <w:t>Republike Slovenije</w:t>
            </w:r>
            <w:r>
              <w:rPr>
                <w:sz w:val="20"/>
                <w:szCs w:val="20"/>
              </w:rPr>
              <w:t>.</w:t>
            </w:r>
          </w:p>
        </w:tc>
      </w:tr>
      <w:tr w14:paraId="356A7097" w14:textId="77777777" w:rsidTr="00D3052E">
        <w:tblPrEx>
          <w:tblW w:w="9208" w:type="dxa"/>
          <w:tblInd w:w="108" w:type="dxa"/>
          <w:tblLook w:val="04A0"/>
        </w:tblPrEx>
        <w:tc>
          <w:tcPr>
            <w:tcW w:w="9208" w:type="dxa"/>
            <w:gridSpan w:val="4"/>
          </w:tcPr>
          <w:p w:rsidR="00D3052E" w:rsidRPr="00131B28" w:rsidP="00A25444" w14:paraId="5BF732F3" w14:textId="77777777">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14:paraId="4F26CED2" w14:textId="77777777" w:rsidTr="00D3052E">
        <w:tblPrEx>
          <w:tblW w:w="9208" w:type="dxa"/>
          <w:tblInd w:w="108" w:type="dxa"/>
          <w:tblLook w:val="04A0"/>
        </w:tblPrEx>
        <w:tc>
          <w:tcPr>
            <w:tcW w:w="9208" w:type="dxa"/>
            <w:gridSpan w:val="4"/>
          </w:tcPr>
          <w:p w:rsidR="00D3052E" w:rsidRPr="00131B28" w:rsidP="00A25444" w14:paraId="4F6E224D" w14:textId="77777777">
            <w:pPr>
              <w:pStyle w:val="Neotevilenodstavek"/>
              <w:spacing w:before="0" w:after="0" w:line="260" w:lineRule="exact"/>
              <w:rPr>
                <w:iCs/>
                <w:sz w:val="20"/>
                <w:szCs w:val="20"/>
              </w:rPr>
            </w:pPr>
            <w:r>
              <w:rPr>
                <w:iCs/>
                <w:sz w:val="20"/>
                <w:szCs w:val="20"/>
              </w:rPr>
              <w:t>/</w:t>
            </w:r>
          </w:p>
        </w:tc>
      </w:tr>
      <w:tr w14:paraId="0C020A5F" w14:textId="77777777" w:rsidTr="00D3052E">
        <w:tblPrEx>
          <w:tblW w:w="9208" w:type="dxa"/>
          <w:tblInd w:w="108" w:type="dxa"/>
          <w:tblLook w:val="04A0"/>
        </w:tblPrEx>
        <w:tc>
          <w:tcPr>
            <w:tcW w:w="9208" w:type="dxa"/>
            <w:gridSpan w:val="4"/>
          </w:tcPr>
          <w:p w:rsidR="00D3052E" w:rsidRPr="00131B28" w:rsidP="00A25444" w14:paraId="1ED928E1" w14:textId="77777777">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14:paraId="57F2EE45" w14:textId="77777777" w:rsidTr="00D3052E">
        <w:tblPrEx>
          <w:tblW w:w="9208" w:type="dxa"/>
          <w:tblInd w:w="108" w:type="dxa"/>
          <w:tblLook w:val="04A0"/>
        </w:tblPrEx>
        <w:tc>
          <w:tcPr>
            <w:tcW w:w="9208" w:type="dxa"/>
            <w:gridSpan w:val="4"/>
          </w:tcPr>
          <w:p w:rsidR="00D3052E" w:rsidRPr="00131B28" w:rsidP="00A25444" w14:paraId="45548EB1" w14:textId="77777777">
            <w:pPr>
              <w:pStyle w:val="Neotevilenodstavek"/>
              <w:spacing w:before="0" w:after="0" w:line="260" w:lineRule="exact"/>
              <w:rPr>
                <w:b/>
                <w:sz w:val="20"/>
                <w:szCs w:val="20"/>
              </w:rPr>
            </w:pPr>
            <w:r>
              <w:rPr>
                <w:iCs/>
                <w:sz w:val="20"/>
                <w:szCs w:val="20"/>
              </w:rPr>
              <w:t>/</w:t>
            </w:r>
          </w:p>
        </w:tc>
      </w:tr>
      <w:tr w14:paraId="614AF49E" w14:textId="77777777" w:rsidTr="00D3052E">
        <w:tblPrEx>
          <w:tblW w:w="9208" w:type="dxa"/>
          <w:tblInd w:w="108" w:type="dxa"/>
          <w:tblLook w:val="04A0"/>
        </w:tblPrEx>
        <w:tc>
          <w:tcPr>
            <w:tcW w:w="9208" w:type="dxa"/>
            <w:gridSpan w:val="4"/>
          </w:tcPr>
          <w:p w:rsidR="00D3052E" w:rsidRPr="00131B28" w:rsidP="00A25444" w14:paraId="1DABC255" w14:textId="77777777">
            <w:pPr>
              <w:pStyle w:val="Oddelek"/>
              <w:numPr>
                <w:ilvl w:val="0"/>
                <w:numId w:val="0"/>
              </w:numPr>
              <w:spacing w:before="0" w:after="0" w:line="260" w:lineRule="exact"/>
              <w:jc w:val="left"/>
              <w:rPr>
                <w:sz w:val="20"/>
                <w:szCs w:val="20"/>
              </w:rPr>
            </w:pPr>
            <w:r w:rsidRPr="00131B28">
              <w:rPr>
                <w:sz w:val="20"/>
                <w:szCs w:val="20"/>
              </w:rPr>
              <w:t>5. Kratek povzetek gradiva:</w:t>
            </w:r>
          </w:p>
        </w:tc>
      </w:tr>
      <w:tr w14:paraId="2D3F6858" w14:textId="77777777" w:rsidTr="00D3052E">
        <w:tblPrEx>
          <w:tblW w:w="9208" w:type="dxa"/>
          <w:tblInd w:w="108" w:type="dxa"/>
          <w:tblLook w:val="04A0"/>
        </w:tblPrEx>
        <w:tc>
          <w:tcPr>
            <w:tcW w:w="9208" w:type="dxa"/>
            <w:gridSpan w:val="4"/>
          </w:tcPr>
          <w:p w:rsidR="00D3052E" w:rsidRPr="00131B28" w:rsidP="00A25444" w14:paraId="13974504" w14:textId="77777777">
            <w:pPr>
              <w:pStyle w:val="Neotevilenodstavek"/>
              <w:spacing w:before="0" w:after="0" w:line="260" w:lineRule="exact"/>
              <w:rPr>
                <w:iCs/>
                <w:sz w:val="20"/>
                <w:szCs w:val="20"/>
              </w:rPr>
            </w:pPr>
            <w:r>
              <w:rPr>
                <w:iCs/>
                <w:sz w:val="20"/>
                <w:szCs w:val="20"/>
              </w:rPr>
              <w:t>/</w:t>
            </w:r>
          </w:p>
        </w:tc>
      </w:tr>
      <w:tr w14:paraId="3FBB818B" w14:textId="77777777" w:rsidTr="00D3052E">
        <w:tblPrEx>
          <w:tblW w:w="9208" w:type="dxa"/>
          <w:tblInd w:w="108" w:type="dxa"/>
          <w:tblLook w:val="04A0"/>
        </w:tblPrEx>
        <w:tc>
          <w:tcPr>
            <w:tcW w:w="9208" w:type="dxa"/>
            <w:gridSpan w:val="4"/>
          </w:tcPr>
          <w:p w:rsidR="00D3052E" w:rsidRPr="00131B28" w:rsidP="00A25444" w14:paraId="7492D327" w14:textId="77777777">
            <w:pPr>
              <w:pStyle w:val="Oddelek"/>
              <w:numPr>
                <w:ilvl w:val="0"/>
                <w:numId w:val="0"/>
              </w:numPr>
              <w:spacing w:before="0" w:after="0" w:line="260" w:lineRule="exact"/>
              <w:jc w:val="left"/>
              <w:rPr>
                <w:sz w:val="20"/>
                <w:szCs w:val="20"/>
              </w:rPr>
            </w:pPr>
            <w:r w:rsidRPr="00131B28">
              <w:rPr>
                <w:sz w:val="20"/>
                <w:szCs w:val="20"/>
              </w:rPr>
              <w:t>6. Presoja posledic za:</w:t>
            </w:r>
          </w:p>
        </w:tc>
      </w:tr>
      <w:tr w14:paraId="5C3EE9F5" w14:textId="77777777" w:rsidTr="00D3052E">
        <w:tblPrEx>
          <w:tblW w:w="9208" w:type="dxa"/>
          <w:tblInd w:w="108" w:type="dxa"/>
          <w:tblLook w:val="04A0"/>
        </w:tblPrEx>
        <w:tc>
          <w:tcPr>
            <w:tcW w:w="2008" w:type="dxa"/>
          </w:tcPr>
          <w:p w:rsidR="00D3052E" w:rsidRPr="00131B28" w:rsidP="00A845BB" w14:paraId="17658D70" w14:textId="77777777">
            <w:pPr>
              <w:pStyle w:val="Neotevilenodstavek"/>
              <w:spacing w:before="0" w:after="0" w:line="360" w:lineRule="auto"/>
              <w:ind w:left="360"/>
              <w:rPr>
                <w:iCs/>
                <w:sz w:val="20"/>
                <w:szCs w:val="20"/>
              </w:rPr>
            </w:pPr>
            <w:r w:rsidRPr="00131B28">
              <w:rPr>
                <w:iCs/>
                <w:sz w:val="20"/>
                <w:szCs w:val="20"/>
              </w:rPr>
              <w:t>a)</w:t>
            </w:r>
          </w:p>
        </w:tc>
        <w:tc>
          <w:tcPr>
            <w:tcW w:w="6706" w:type="dxa"/>
            <w:gridSpan w:val="2"/>
          </w:tcPr>
          <w:p w:rsidR="00D3052E" w:rsidRPr="00131B28" w:rsidP="00A845BB" w14:paraId="2DEFB04B" w14:textId="77777777">
            <w:pPr>
              <w:pStyle w:val="Neotevilenodstavek"/>
              <w:spacing w:before="0" w:after="0" w:line="360" w:lineRule="auto"/>
              <w:rPr>
                <w:sz w:val="20"/>
                <w:szCs w:val="20"/>
              </w:rPr>
            </w:pPr>
            <w:r w:rsidRPr="00131B28">
              <w:rPr>
                <w:sz w:val="20"/>
                <w:szCs w:val="20"/>
              </w:rPr>
              <w:t>javnofinančna sredstva nad 40.000 EUR v tekočem in naslednjih treh letih</w:t>
            </w:r>
          </w:p>
        </w:tc>
        <w:tc>
          <w:tcPr>
            <w:tcW w:w="494" w:type="dxa"/>
            <w:vAlign w:val="center"/>
          </w:tcPr>
          <w:p w:rsidR="00D3052E" w:rsidRPr="00131B28" w:rsidP="00A845BB" w14:paraId="5F4B0656" w14:textId="77777777">
            <w:pPr>
              <w:pStyle w:val="Neotevilenodstavek"/>
              <w:spacing w:before="0" w:after="0" w:line="360" w:lineRule="auto"/>
              <w:jc w:val="center"/>
              <w:rPr>
                <w:iCs/>
                <w:sz w:val="20"/>
                <w:szCs w:val="20"/>
              </w:rPr>
            </w:pPr>
            <w:r w:rsidRPr="00131B28">
              <w:rPr>
                <w:sz w:val="20"/>
                <w:szCs w:val="20"/>
              </w:rPr>
              <w:t>DA</w:t>
            </w:r>
          </w:p>
        </w:tc>
      </w:tr>
      <w:tr w14:paraId="4200CF0D" w14:textId="77777777" w:rsidTr="00D3052E">
        <w:tblPrEx>
          <w:tblW w:w="9208" w:type="dxa"/>
          <w:tblInd w:w="108" w:type="dxa"/>
          <w:tblLook w:val="04A0"/>
        </w:tblPrEx>
        <w:tc>
          <w:tcPr>
            <w:tcW w:w="2008" w:type="dxa"/>
          </w:tcPr>
          <w:p w:rsidR="00D3052E" w:rsidRPr="00131B28" w:rsidP="00A845BB" w14:paraId="74A2383D" w14:textId="77777777">
            <w:pPr>
              <w:pStyle w:val="Neotevilenodstavek"/>
              <w:spacing w:before="0" w:after="0" w:line="360" w:lineRule="auto"/>
              <w:ind w:left="360"/>
              <w:rPr>
                <w:iCs/>
                <w:sz w:val="20"/>
                <w:szCs w:val="20"/>
              </w:rPr>
            </w:pPr>
            <w:r w:rsidRPr="00131B28">
              <w:rPr>
                <w:iCs/>
                <w:sz w:val="20"/>
                <w:szCs w:val="20"/>
              </w:rPr>
              <w:t>b)</w:t>
            </w:r>
          </w:p>
        </w:tc>
        <w:tc>
          <w:tcPr>
            <w:tcW w:w="6706" w:type="dxa"/>
            <w:gridSpan w:val="2"/>
          </w:tcPr>
          <w:p w:rsidR="00D3052E" w:rsidRPr="00131B28" w:rsidP="00A845BB" w14:paraId="0E546D01" w14:textId="77777777">
            <w:pPr>
              <w:pStyle w:val="Neotevilenodstavek"/>
              <w:spacing w:before="0" w:after="0" w:line="360" w:lineRule="auto"/>
              <w:rPr>
                <w:iCs/>
                <w:sz w:val="20"/>
                <w:szCs w:val="20"/>
              </w:rPr>
            </w:pPr>
            <w:r w:rsidRPr="00131B28">
              <w:rPr>
                <w:bCs/>
                <w:sz w:val="20"/>
                <w:szCs w:val="20"/>
              </w:rPr>
              <w:t>usklajenost slovenskega pravnega reda s pravnim redom Evropske unije</w:t>
            </w:r>
          </w:p>
        </w:tc>
        <w:tc>
          <w:tcPr>
            <w:tcW w:w="494" w:type="dxa"/>
            <w:vAlign w:val="center"/>
          </w:tcPr>
          <w:p w:rsidR="00D3052E" w:rsidRPr="00131B28" w:rsidP="00A845BB" w14:paraId="57E6881E" w14:textId="77777777">
            <w:pPr>
              <w:pStyle w:val="Neotevilenodstavek"/>
              <w:spacing w:before="0" w:after="0" w:line="360" w:lineRule="auto"/>
              <w:jc w:val="center"/>
              <w:rPr>
                <w:iCs/>
                <w:sz w:val="20"/>
                <w:szCs w:val="20"/>
              </w:rPr>
            </w:pPr>
            <w:r w:rsidRPr="00131B28">
              <w:rPr>
                <w:sz w:val="20"/>
                <w:szCs w:val="20"/>
              </w:rPr>
              <w:t>NE</w:t>
            </w:r>
          </w:p>
        </w:tc>
      </w:tr>
      <w:tr w14:paraId="709E638D" w14:textId="77777777" w:rsidTr="00D3052E">
        <w:tblPrEx>
          <w:tblW w:w="9208" w:type="dxa"/>
          <w:tblInd w:w="108" w:type="dxa"/>
          <w:tblLook w:val="04A0"/>
        </w:tblPrEx>
        <w:tc>
          <w:tcPr>
            <w:tcW w:w="2008" w:type="dxa"/>
          </w:tcPr>
          <w:p w:rsidR="00D3052E" w:rsidRPr="00131B28" w:rsidP="00A845BB" w14:paraId="3413EBA2" w14:textId="77777777">
            <w:pPr>
              <w:pStyle w:val="Neotevilenodstavek"/>
              <w:spacing w:before="0" w:after="0" w:line="360" w:lineRule="auto"/>
              <w:ind w:left="360"/>
              <w:rPr>
                <w:iCs/>
                <w:sz w:val="20"/>
                <w:szCs w:val="20"/>
              </w:rPr>
            </w:pPr>
            <w:r w:rsidRPr="00131B28">
              <w:rPr>
                <w:iCs/>
                <w:sz w:val="20"/>
                <w:szCs w:val="20"/>
              </w:rPr>
              <w:t>c)</w:t>
            </w:r>
          </w:p>
        </w:tc>
        <w:tc>
          <w:tcPr>
            <w:tcW w:w="6706" w:type="dxa"/>
            <w:gridSpan w:val="2"/>
          </w:tcPr>
          <w:p w:rsidR="00D3052E" w:rsidRPr="00131B28" w:rsidP="00A845BB" w14:paraId="7B436B62" w14:textId="77777777">
            <w:pPr>
              <w:pStyle w:val="Neotevilenodstavek"/>
              <w:spacing w:before="0" w:after="0" w:line="360" w:lineRule="auto"/>
              <w:rPr>
                <w:iCs/>
                <w:sz w:val="20"/>
                <w:szCs w:val="20"/>
              </w:rPr>
            </w:pPr>
            <w:r w:rsidRPr="00131B28">
              <w:rPr>
                <w:sz w:val="20"/>
                <w:szCs w:val="20"/>
              </w:rPr>
              <w:t>administrativne posledice</w:t>
            </w:r>
          </w:p>
        </w:tc>
        <w:tc>
          <w:tcPr>
            <w:tcW w:w="494" w:type="dxa"/>
            <w:vAlign w:val="center"/>
          </w:tcPr>
          <w:p w:rsidR="00D3052E" w:rsidRPr="00131B28" w:rsidP="00A845BB" w14:paraId="647B7E05" w14:textId="77777777">
            <w:pPr>
              <w:pStyle w:val="Neotevilenodstavek"/>
              <w:spacing w:before="0" w:after="0" w:line="360" w:lineRule="auto"/>
              <w:jc w:val="center"/>
              <w:rPr>
                <w:sz w:val="20"/>
                <w:szCs w:val="20"/>
              </w:rPr>
            </w:pPr>
            <w:r w:rsidRPr="00131B28">
              <w:rPr>
                <w:sz w:val="20"/>
                <w:szCs w:val="20"/>
              </w:rPr>
              <w:t>NE</w:t>
            </w:r>
          </w:p>
        </w:tc>
      </w:tr>
      <w:tr w14:paraId="085591D4" w14:textId="77777777" w:rsidTr="00D3052E">
        <w:tblPrEx>
          <w:tblW w:w="9208" w:type="dxa"/>
          <w:tblInd w:w="108" w:type="dxa"/>
          <w:tblLook w:val="04A0"/>
        </w:tblPrEx>
        <w:tc>
          <w:tcPr>
            <w:tcW w:w="2008" w:type="dxa"/>
          </w:tcPr>
          <w:p w:rsidR="00D3052E" w:rsidRPr="00131B28" w:rsidP="00A845BB" w14:paraId="075DFAFB" w14:textId="77777777">
            <w:pPr>
              <w:pStyle w:val="Neotevilenodstavek"/>
              <w:spacing w:before="0" w:after="0" w:line="360" w:lineRule="auto"/>
              <w:ind w:left="360"/>
              <w:rPr>
                <w:iCs/>
                <w:sz w:val="20"/>
                <w:szCs w:val="20"/>
              </w:rPr>
            </w:pPr>
            <w:r w:rsidRPr="00131B28">
              <w:rPr>
                <w:iCs/>
                <w:sz w:val="20"/>
                <w:szCs w:val="20"/>
              </w:rPr>
              <w:t>č)</w:t>
            </w:r>
          </w:p>
        </w:tc>
        <w:tc>
          <w:tcPr>
            <w:tcW w:w="6706" w:type="dxa"/>
            <w:gridSpan w:val="2"/>
          </w:tcPr>
          <w:p w:rsidR="00D3052E" w:rsidRPr="00131B28" w:rsidP="00A845BB" w14:paraId="3B72323F" w14:textId="77777777">
            <w:pPr>
              <w:pStyle w:val="Neotevilenodstavek"/>
              <w:spacing w:before="0" w:after="0" w:line="360" w:lineRule="auto"/>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494" w:type="dxa"/>
            <w:vAlign w:val="center"/>
          </w:tcPr>
          <w:p w:rsidR="00D3052E" w:rsidRPr="00131B28" w:rsidP="00A845BB" w14:paraId="26FE642B" w14:textId="77777777">
            <w:pPr>
              <w:pStyle w:val="Neotevilenodstavek"/>
              <w:spacing w:before="0" w:after="0" w:line="360" w:lineRule="auto"/>
              <w:jc w:val="center"/>
              <w:rPr>
                <w:iCs/>
                <w:sz w:val="20"/>
                <w:szCs w:val="20"/>
              </w:rPr>
            </w:pPr>
            <w:r w:rsidRPr="00131B28">
              <w:rPr>
                <w:sz w:val="20"/>
                <w:szCs w:val="20"/>
              </w:rPr>
              <w:t>NE</w:t>
            </w:r>
          </w:p>
        </w:tc>
      </w:tr>
      <w:tr w14:paraId="64CADB06" w14:textId="77777777" w:rsidTr="00D3052E">
        <w:tblPrEx>
          <w:tblW w:w="9208" w:type="dxa"/>
          <w:tblInd w:w="108" w:type="dxa"/>
          <w:tblLook w:val="04A0"/>
        </w:tblPrEx>
        <w:tc>
          <w:tcPr>
            <w:tcW w:w="2008" w:type="dxa"/>
          </w:tcPr>
          <w:p w:rsidR="00D3052E" w:rsidRPr="00131B28" w:rsidP="00A845BB" w14:paraId="55C81B13" w14:textId="77777777">
            <w:pPr>
              <w:pStyle w:val="Neotevilenodstavek"/>
              <w:spacing w:before="0" w:after="0" w:line="360" w:lineRule="auto"/>
              <w:ind w:left="360"/>
              <w:rPr>
                <w:iCs/>
                <w:sz w:val="20"/>
                <w:szCs w:val="20"/>
              </w:rPr>
            </w:pPr>
            <w:r w:rsidRPr="00131B28">
              <w:rPr>
                <w:iCs/>
                <w:sz w:val="20"/>
                <w:szCs w:val="20"/>
              </w:rPr>
              <w:t>d)</w:t>
            </w:r>
          </w:p>
        </w:tc>
        <w:tc>
          <w:tcPr>
            <w:tcW w:w="6706" w:type="dxa"/>
            <w:gridSpan w:val="2"/>
          </w:tcPr>
          <w:p w:rsidR="00D3052E" w:rsidRPr="00131B28" w:rsidP="00A845BB" w14:paraId="78C3966B" w14:textId="77777777">
            <w:pPr>
              <w:pStyle w:val="Neotevilenodstavek"/>
              <w:spacing w:before="0" w:after="0" w:line="360" w:lineRule="auto"/>
              <w:rPr>
                <w:bCs/>
                <w:sz w:val="20"/>
                <w:szCs w:val="20"/>
              </w:rPr>
            </w:pPr>
            <w:r w:rsidRPr="00131B28">
              <w:rPr>
                <w:bCs/>
                <w:sz w:val="20"/>
                <w:szCs w:val="20"/>
              </w:rPr>
              <w:t>okolje, vključno s prostorskimi in varstvenimi vidiki</w:t>
            </w:r>
          </w:p>
        </w:tc>
        <w:tc>
          <w:tcPr>
            <w:tcW w:w="494" w:type="dxa"/>
            <w:vAlign w:val="center"/>
          </w:tcPr>
          <w:p w:rsidR="00D3052E" w:rsidRPr="00131B28" w:rsidP="00A845BB" w14:paraId="026E8401" w14:textId="77777777">
            <w:pPr>
              <w:pStyle w:val="Neotevilenodstavek"/>
              <w:spacing w:before="0" w:after="0" w:line="360" w:lineRule="auto"/>
              <w:jc w:val="center"/>
              <w:rPr>
                <w:iCs/>
                <w:sz w:val="20"/>
                <w:szCs w:val="20"/>
              </w:rPr>
            </w:pPr>
            <w:r w:rsidRPr="00131B28">
              <w:rPr>
                <w:sz w:val="20"/>
                <w:szCs w:val="20"/>
              </w:rPr>
              <w:t>NE</w:t>
            </w:r>
          </w:p>
        </w:tc>
      </w:tr>
      <w:tr w14:paraId="1E1CE99B" w14:textId="77777777" w:rsidTr="00D3052E">
        <w:tblPrEx>
          <w:tblW w:w="9208" w:type="dxa"/>
          <w:tblInd w:w="108" w:type="dxa"/>
          <w:tblLook w:val="04A0"/>
        </w:tblPrEx>
        <w:tc>
          <w:tcPr>
            <w:tcW w:w="2008" w:type="dxa"/>
          </w:tcPr>
          <w:p w:rsidR="00D3052E" w:rsidRPr="00131B28" w:rsidP="00A845BB" w14:paraId="55416C04" w14:textId="77777777">
            <w:pPr>
              <w:pStyle w:val="Neotevilenodstavek"/>
              <w:spacing w:before="0" w:after="0" w:line="360" w:lineRule="auto"/>
              <w:ind w:left="360"/>
              <w:rPr>
                <w:iCs/>
                <w:sz w:val="20"/>
                <w:szCs w:val="20"/>
              </w:rPr>
            </w:pPr>
            <w:r w:rsidRPr="00131B28">
              <w:rPr>
                <w:iCs/>
                <w:sz w:val="20"/>
                <w:szCs w:val="20"/>
              </w:rPr>
              <w:t>e)</w:t>
            </w:r>
          </w:p>
        </w:tc>
        <w:tc>
          <w:tcPr>
            <w:tcW w:w="6706" w:type="dxa"/>
            <w:gridSpan w:val="2"/>
          </w:tcPr>
          <w:p w:rsidR="00D3052E" w:rsidRPr="00131B28" w:rsidP="00A845BB" w14:paraId="49D9C971" w14:textId="77777777">
            <w:pPr>
              <w:pStyle w:val="Neotevilenodstavek"/>
              <w:spacing w:before="0" w:after="0" w:line="360" w:lineRule="auto"/>
              <w:rPr>
                <w:bCs/>
                <w:sz w:val="20"/>
                <w:szCs w:val="20"/>
              </w:rPr>
            </w:pPr>
            <w:r w:rsidRPr="00131B28">
              <w:rPr>
                <w:bCs/>
                <w:sz w:val="20"/>
                <w:szCs w:val="20"/>
              </w:rPr>
              <w:t>socialno področje</w:t>
            </w:r>
          </w:p>
        </w:tc>
        <w:tc>
          <w:tcPr>
            <w:tcW w:w="494" w:type="dxa"/>
            <w:vAlign w:val="center"/>
          </w:tcPr>
          <w:p w:rsidR="00D3052E" w:rsidRPr="00131B28" w:rsidP="00A845BB" w14:paraId="4311D4C9" w14:textId="77777777">
            <w:pPr>
              <w:pStyle w:val="Neotevilenodstavek"/>
              <w:spacing w:before="0" w:after="0" w:line="360" w:lineRule="auto"/>
              <w:jc w:val="center"/>
              <w:rPr>
                <w:iCs/>
                <w:sz w:val="20"/>
                <w:szCs w:val="20"/>
              </w:rPr>
            </w:pPr>
            <w:r w:rsidRPr="00131B28">
              <w:rPr>
                <w:sz w:val="20"/>
                <w:szCs w:val="20"/>
              </w:rPr>
              <w:t>NE</w:t>
            </w:r>
          </w:p>
        </w:tc>
      </w:tr>
      <w:tr w14:paraId="702909FE" w14:textId="77777777" w:rsidTr="00D3052E">
        <w:tblPrEx>
          <w:tblW w:w="9208" w:type="dxa"/>
          <w:tblInd w:w="108" w:type="dxa"/>
          <w:tblLook w:val="04A0"/>
        </w:tblPrEx>
        <w:tc>
          <w:tcPr>
            <w:tcW w:w="2008" w:type="dxa"/>
            <w:tcBorders>
              <w:bottom w:val="single" w:sz="4" w:space="0" w:color="auto"/>
            </w:tcBorders>
          </w:tcPr>
          <w:p w:rsidR="00D3052E" w:rsidRPr="00131B28" w:rsidP="00A845BB" w14:paraId="563A96D4" w14:textId="77777777">
            <w:pPr>
              <w:pStyle w:val="Neotevilenodstavek"/>
              <w:spacing w:before="0" w:after="0" w:line="360" w:lineRule="auto"/>
              <w:ind w:left="360"/>
              <w:rPr>
                <w:iCs/>
                <w:sz w:val="20"/>
                <w:szCs w:val="20"/>
              </w:rPr>
            </w:pPr>
            <w:r w:rsidRPr="00131B28">
              <w:rPr>
                <w:iCs/>
                <w:sz w:val="20"/>
                <w:szCs w:val="20"/>
              </w:rPr>
              <w:t>f)</w:t>
            </w:r>
          </w:p>
        </w:tc>
        <w:tc>
          <w:tcPr>
            <w:tcW w:w="6706" w:type="dxa"/>
            <w:gridSpan w:val="2"/>
            <w:tcBorders>
              <w:bottom w:val="single" w:sz="4" w:space="0" w:color="auto"/>
            </w:tcBorders>
          </w:tcPr>
          <w:p w:rsidR="00D3052E" w:rsidRPr="00131B28" w:rsidP="00A845BB" w14:paraId="20B933B6" w14:textId="77777777">
            <w:pPr>
              <w:pStyle w:val="Neotevilenodstavek"/>
              <w:spacing w:before="0" w:after="0" w:line="360" w:lineRule="auto"/>
              <w:rPr>
                <w:bCs/>
                <w:sz w:val="20"/>
                <w:szCs w:val="20"/>
              </w:rPr>
            </w:pPr>
            <w:r w:rsidRPr="00131B28">
              <w:rPr>
                <w:bCs/>
                <w:sz w:val="20"/>
                <w:szCs w:val="20"/>
              </w:rPr>
              <w:t>dokumente razvojnega načrtovanja:</w:t>
            </w:r>
          </w:p>
          <w:p w:rsidR="00D3052E" w:rsidRPr="00131B28" w:rsidP="00A845BB" w14:paraId="7C0187C8" w14:textId="77777777">
            <w:pPr>
              <w:pStyle w:val="Neotevilenodstavek"/>
              <w:numPr>
                <w:ilvl w:val="0"/>
                <w:numId w:val="17"/>
              </w:numPr>
              <w:spacing w:before="0" w:after="0" w:line="360" w:lineRule="auto"/>
              <w:rPr>
                <w:bCs/>
                <w:sz w:val="20"/>
                <w:szCs w:val="20"/>
              </w:rPr>
            </w:pPr>
            <w:r w:rsidRPr="00131B28">
              <w:rPr>
                <w:bCs/>
                <w:sz w:val="20"/>
                <w:szCs w:val="20"/>
              </w:rPr>
              <w:t>nacionalne dokumente razvojnega načrtovanja</w:t>
            </w:r>
          </w:p>
          <w:p w:rsidR="00D3052E" w:rsidRPr="00131B28" w:rsidP="00A845BB" w14:paraId="61C30C79" w14:textId="77777777">
            <w:pPr>
              <w:pStyle w:val="Neotevilenodstavek"/>
              <w:numPr>
                <w:ilvl w:val="0"/>
                <w:numId w:val="17"/>
              </w:numPr>
              <w:spacing w:before="0" w:after="0" w:line="360" w:lineRule="auto"/>
              <w:rPr>
                <w:bCs/>
                <w:sz w:val="20"/>
                <w:szCs w:val="20"/>
              </w:rPr>
            </w:pPr>
            <w:r w:rsidRPr="00131B28">
              <w:rPr>
                <w:bCs/>
                <w:sz w:val="20"/>
                <w:szCs w:val="20"/>
              </w:rPr>
              <w:t>razvojne politike na ravni programov po strukturi razvojne klasifikacije programskega proračuna</w:t>
            </w:r>
          </w:p>
          <w:p w:rsidR="00D3052E" w:rsidRPr="00131B28" w:rsidP="00A845BB" w14:paraId="12C271E0" w14:textId="77777777">
            <w:pPr>
              <w:pStyle w:val="Neotevilenodstavek"/>
              <w:numPr>
                <w:ilvl w:val="0"/>
                <w:numId w:val="17"/>
              </w:numPr>
              <w:spacing w:before="0" w:after="0" w:line="360" w:lineRule="auto"/>
              <w:rPr>
                <w:bCs/>
                <w:sz w:val="20"/>
                <w:szCs w:val="20"/>
              </w:rPr>
            </w:pPr>
            <w:r w:rsidRPr="00131B28">
              <w:rPr>
                <w:bCs/>
                <w:sz w:val="20"/>
                <w:szCs w:val="20"/>
              </w:rPr>
              <w:t>razvojne dokumente Evropske unije in mednarodnih organizacij</w:t>
            </w:r>
          </w:p>
        </w:tc>
        <w:tc>
          <w:tcPr>
            <w:tcW w:w="494" w:type="dxa"/>
            <w:tcBorders>
              <w:bottom w:val="single" w:sz="4" w:space="0" w:color="auto"/>
            </w:tcBorders>
            <w:vAlign w:val="center"/>
          </w:tcPr>
          <w:p w:rsidR="00D3052E" w:rsidRPr="00131B28" w:rsidP="00A845BB" w14:paraId="489751C7" w14:textId="77777777">
            <w:pPr>
              <w:pStyle w:val="Neotevilenodstavek"/>
              <w:spacing w:before="0" w:after="0" w:line="360" w:lineRule="auto"/>
              <w:jc w:val="center"/>
              <w:rPr>
                <w:iCs/>
                <w:sz w:val="20"/>
                <w:szCs w:val="20"/>
              </w:rPr>
            </w:pPr>
            <w:r w:rsidRPr="00131B28">
              <w:rPr>
                <w:sz w:val="20"/>
                <w:szCs w:val="20"/>
              </w:rPr>
              <w:t>NE</w:t>
            </w:r>
          </w:p>
        </w:tc>
      </w:tr>
      <w:tr w14:paraId="576C0061" w14:textId="77777777" w:rsidTr="00D3052E">
        <w:tblPrEx>
          <w:tblW w:w="9208" w:type="dxa"/>
          <w:tblInd w:w="108" w:type="dxa"/>
          <w:tblLook w:val="04A0"/>
        </w:tblPrEx>
        <w:tc>
          <w:tcPr>
            <w:tcW w:w="9208" w:type="dxa"/>
            <w:gridSpan w:val="4"/>
            <w:tcBorders>
              <w:top w:val="single" w:sz="4" w:space="0" w:color="auto"/>
              <w:left w:val="single" w:sz="4" w:space="0" w:color="auto"/>
              <w:bottom w:val="single" w:sz="4" w:space="0" w:color="auto"/>
              <w:right w:val="single" w:sz="4" w:space="0" w:color="auto"/>
            </w:tcBorders>
          </w:tcPr>
          <w:p w:rsidR="00D3052E" w:rsidRPr="00131B28" w:rsidP="00A25444" w14:paraId="71715925" w14:textId="77777777">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rsidR="00D3052E" w:rsidRPr="00131B28" w:rsidP="00A25444" w14:paraId="2475D4A8" w14:textId="77777777">
            <w:pPr>
              <w:pStyle w:val="Oddelek"/>
              <w:widowControl w:val="0"/>
              <w:numPr>
                <w:ilvl w:val="0"/>
                <w:numId w:val="0"/>
              </w:numPr>
              <w:spacing w:before="0" w:after="0" w:line="260" w:lineRule="exact"/>
              <w:jc w:val="left"/>
              <w:rPr>
                <w:b w:val="0"/>
                <w:sz w:val="20"/>
                <w:szCs w:val="20"/>
              </w:rPr>
            </w:pPr>
            <w:r w:rsidRPr="005F6562">
              <w:rPr>
                <w:b w:val="0"/>
                <w:sz w:val="20"/>
                <w:szCs w:val="20"/>
              </w:rPr>
              <w:t xml:space="preserve">Sredstva so zagotovljena v proračunu proračunskega uporabnika </w:t>
            </w:r>
            <w:r w:rsidRPr="007A0F33">
              <w:rPr>
                <w:b w:val="0"/>
                <w:sz w:val="20"/>
                <w:szCs w:val="20"/>
              </w:rPr>
              <w:t>1911</w:t>
            </w:r>
            <w:r w:rsidRPr="005F6562">
              <w:rPr>
                <w:b w:val="0"/>
                <w:sz w:val="20"/>
                <w:szCs w:val="20"/>
              </w:rPr>
              <w:t xml:space="preserve"> </w:t>
            </w:r>
            <w:r w:rsidRPr="00773AEC">
              <w:rPr>
                <w:b w:val="0"/>
                <w:bCs/>
                <w:sz w:val="20"/>
                <w:szCs w:val="20"/>
              </w:rPr>
              <w:t>Ministrstvo za obrambo R</w:t>
            </w:r>
            <w:r>
              <w:rPr>
                <w:b w:val="0"/>
                <w:bCs/>
                <w:sz w:val="20"/>
                <w:szCs w:val="20"/>
              </w:rPr>
              <w:t>epublike Slovenije.</w:t>
            </w:r>
          </w:p>
        </w:tc>
      </w:tr>
    </w:tbl>
    <w:p w:rsidR="00D3052E" w:rsidRPr="00131B28" w:rsidP="00D3052E" w14:paraId="655770CA" w14:textId="77777777">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832"/>
        <w:gridCol w:w="1378"/>
        <w:gridCol w:w="486"/>
        <w:gridCol w:w="1248"/>
        <w:gridCol w:w="440"/>
        <w:gridCol w:w="448"/>
        <w:gridCol w:w="329"/>
        <w:gridCol w:w="2017"/>
      </w:tblGrid>
      <w:tr w14:paraId="0FD8CD92" w14:textId="77777777" w:rsidTr="00A25444">
        <w:tblPrEx>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D3052E" w:rsidRPr="00131B28" w:rsidP="00A25444" w14:paraId="668ED045" w14:textId="77777777">
            <w:pPr>
              <w:pStyle w:val="Heading1"/>
              <w:keepNext w:val="0"/>
              <w:pageBreakBefore/>
              <w:widowControl w:val="0"/>
              <w:tabs>
                <w:tab w:val="left" w:pos="2340"/>
              </w:tabs>
              <w:spacing w:before="0" w:after="0"/>
              <w:ind w:left="142" w:hanging="142"/>
              <w:rPr>
                <w:rFonts w:cs="Arial"/>
                <w:sz w:val="20"/>
                <w:szCs w:val="20"/>
              </w:rPr>
            </w:pPr>
            <w:r w:rsidRPr="00131B28">
              <w:rPr>
                <w:rFonts w:cs="Arial"/>
                <w:sz w:val="20"/>
                <w:szCs w:val="20"/>
              </w:rPr>
              <w:t>I. Ocena finančnih posledic, ki niso načrtovane v sprejetem proračunu</w:t>
            </w:r>
          </w:p>
        </w:tc>
      </w:tr>
      <w:tr w14:paraId="2DF53915" w14:textId="77777777" w:rsidTr="00A25444">
        <w:tblPrEx>
          <w:tblW w:w="9200" w:type="dxa"/>
          <w:tblInd w:w="8" w:type="dxa"/>
          <w:tblLook w:val="0000"/>
        </w:tblPrEx>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B53201A" w14:textId="77777777">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F03328E" w14:textId="77777777">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127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08B73267"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77155176"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07E316FA"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14:paraId="0B28BA24" w14:textId="77777777" w:rsidTr="00A2544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39BA050"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7461F40D" w14:textId="77777777">
            <w:pPr>
              <w:pStyle w:val="Heading1"/>
              <w:keepNext w:val="0"/>
              <w:widowControl w:val="0"/>
              <w:tabs>
                <w:tab w:val="left" w:pos="360"/>
              </w:tabs>
              <w:spacing w:before="0" w:after="0"/>
              <w:jc w:val="center"/>
              <w:rPr>
                <w:rFonts w:cs="Arial"/>
                <w:b w:val="0"/>
                <w:bCs/>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6CDC9280" w14:textId="77777777">
            <w:pPr>
              <w:pStyle w:val="Heading1"/>
              <w:keepNext w:val="0"/>
              <w:widowControl w:val="0"/>
              <w:tabs>
                <w:tab w:val="left" w:pos="360"/>
              </w:tabs>
              <w:spacing w:before="0" w:after="0"/>
              <w:jc w:val="center"/>
              <w:rPr>
                <w:rFonts w:cs="Arial"/>
                <w:b w:val="0"/>
                <w:bCs/>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64ED3B66"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7C0C9E7A" w14:textId="77777777">
            <w:pPr>
              <w:pStyle w:val="Heading1"/>
              <w:keepNext w:val="0"/>
              <w:widowControl w:val="0"/>
              <w:tabs>
                <w:tab w:val="left" w:pos="360"/>
              </w:tabs>
              <w:spacing w:before="0" w:after="0"/>
              <w:jc w:val="center"/>
              <w:rPr>
                <w:rFonts w:cs="Arial"/>
                <w:b w:val="0"/>
                <w:sz w:val="20"/>
                <w:szCs w:val="20"/>
              </w:rPr>
            </w:pPr>
          </w:p>
        </w:tc>
      </w:tr>
      <w:tr w14:paraId="5A93D115" w14:textId="77777777" w:rsidTr="00A2544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479A875"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A405EE1" w14:textId="77777777">
            <w:pPr>
              <w:pStyle w:val="Heading1"/>
              <w:keepNext w:val="0"/>
              <w:widowControl w:val="0"/>
              <w:tabs>
                <w:tab w:val="left" w:pos="360"/>
              </w:tabs>
              <w:spacing w:before="0" w:after="0"/>
              <w:jc w:val="center"/>
              <w:rPr>
                <w:rFonts w:cs="Arial"/>
                <w:b w:val="0"/>
                <w:bCs/>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5284B76D" w14:textId="77777777">
            <w:pPr>
              <w:pStyle w:val="Heading1"/>
              <w:keepNext w:val="0"/>
              <w:widowControl w:val="0"/>
              <w:tabs>
                <w:tab w:val="left" w:pos="360"/>
              </w:tabs>
              <w:spacing w:before="0" w:after="0"/>
              <w:jc w:val="center"/>
              <w:rPr>
                <w:rFonts w:cs="Arial"/>
                <w:b w:val="0"/>
                <w:bCs/>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487DBAB2"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1A70204C" w14:textId="77777777">
            <w:pPr>
              <w:pStyle w:val="Heading1"/>
              <w:keepNext w:val="0"/>
              <w:widowControl w:val="0"/>
              <w:tabs>
                <w:tab w:val="left" w:pos="360"/>
              </w:tabs>
              <w:spacing w:before="0" w:after="0"/>
              <w:jc w:val="center"/>
              <w:rPr>
                <w:rFonts w:cs="Arial"/>
                <w:b w:val="0"/>
                <w:sz w:val="20"/>
                <w:szCs w:val="20"/>
              </w:rPr>
            </w:pPr>
          </w:p>
        </w:tc>
      </w:tr>
      <w:tr w14:paraId="0802B74B" w14:textId="77777777" w:rsidTr="00A2544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73C90BC9"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2D61336" w14:textId="77777777">
            <w:pPr>
              <w:widowControl w:val="0"/>
              <w:spacing w:after="0" w:line="260" w:lineRule="exact"/>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69ABB563" w14:textId="77777777">
            <w:pPr>
              <w:widowControl w:val="0"/>
              <w:spacing w:after="0" w:line="260" w:lineRule="exact"/>
              <w:jc w:val="center"/>
              <w:rPr>
                <w:rFonts w:ascii="Arial" w:hAnsi="Arial" w:cs="Arial"/>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7B5A8EB3"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5C2163E9" w14:textId="77777777">
            <w:pPr>
              <w:widowControl w:val="0"/>
              <w:spacing w:after="0" w:line="260" w:lineRule="exact"/>
              <w:jc w:val="center"/>
              <w:rPr>
                <w:rFonts w:ascii="Arial" w:hAnsi="Arial" w:cs="Arial"/>
                <w:sz w:val="20"/>
                <w:szCs w:val="20"/>
              </w:rPr>
            </w:pPr>
          </w:p>
        </w:tc>
      </w:tr>
      <w:tr w14:paraId="7A9A5EE8" w14:textId="77777777" w:rsidTr="00A25444">
        <w:tblPrEx>
          <w:tblW w:w="9200" w:type="dxa"/>
          <w:tblInd w:w="8" w:type="dxa"/>
          <w:tblLook w:val="0000"/>
        </w:tblPrEx>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6B3E5CF5"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5281235B" w14:textId="77777777">
            <w:pPr>
              <w:widowControl w:val="0"/>
              <w:spacing w:after="0" w:line="260" w:lineRule="exact"/>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3F3639BE" w14:textId="77777777">
            <w:pPr>
              <w:widowControl w:val="0"/>
              <w:spacing w:after="0" w:line="260" w:lineRule="exact"/>
              <w:jc w:val="center"/>
              <w:rPr>
                <w:rFonts w:ascii="Arial" w:hAnsi="Arial" w:cs="Arial"/>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1E520624"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4BC25DEE" w14:textId="77777777">
            <w:pPr>
              <w:widowControl w:val="0"/>
              <w:spacing w:after="0" w:line="260" w:lineRule="exact"/>
              <w:jc w:val="center"/>
              <w:rPr>
                <w:rFonts w:ascii="Arial" w:hAnsi="Arial" w:cs="Arial"/>
                <w:sz w:val="20"/>
                <w:szCs w:val="20"/>
              </w:rPr>
            </w:pPr>
          </w:p>
        </w:tc>
      </w:tr>
      <w:tr w14:paraId="0B61606F" w14:textId="77777777" w:rsidTr="00A2544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F37D642"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6C234BB6" w14:textId="77777777">
            <w:pPr>
              <w:pStyle w:val="Heading1"/>
              <w:keepNext w:val="0"/>
              <w:widowControl w:val="0"/>
              <w:tabs>
                <w:tab w:val="left" w:pos="360"/>
              </w:tabs>
              <w:spacing w:before="0" w:after="0"/>
              <w:jc w:val="center"/>
              <w:rPr>
                <w:rFonts w:cs="Arial"/>
                <w:b w:val="0"/>
                <w:bCs/>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211C65A1" w14:textId="77777777">
            <w:pPr>
              <w:pStyle w:val="Heading1"/>
              <w:keepNext w:val="0"/>
              <w:widowControl w:val="0"/>
              <w:tabs>
                <w:tab w:val="left" w:pos="360"/>
              </w:tabs>
              <w:spacing w:before="0" w:after="0"/>
              <w:jc w:val="center"/>
              <w:rPr>
                <w:rFonts w:cs="Arial"/>
                <w:b w:val="0"/>
                <w:bCs/>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5973832A"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3F7BCC82" w14:textId="77777777">
            <w:pPr>
              <w:pStyle w:val="Heading1"/>
              <w:keepNext w:val="0"/>
              <w:widowControl w:val="0"/>
              <w:tabs>
                <w:tab w:val="left" w:pos="360"/>
              </w:tabs>
              <w:spacing w:before="0" w:after="0"/>
              <w:jc w:val="center"/>
              <w:rPr>
                <w:rFonts w:cs="Arial"/>
                <w:b w:val="0"/>
                <w:sz w:val="20"/>
                <w:szCs w:val="20"/>
              </w:rPr>
            </w:pPr>
          </w:p>
        </w:tc>
      </w:tr>
      <w:tr w14:paraId="456F0C7F" w14:textId="77777777" w:rsidTr="00A25444">
        <w:tblPrEx>
          <w:tblW w:w="9200" w:type="dxa"/>
          <w:tblInd w:w="8" w:type="dxa"/>
          <w:tblLook w:val="000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3052E" w:rsidRPr="00131B28" w:rsidP="00A25444" w14:paraId="31BD478F" w14:textId="77777777">
            <w:pPr>
              <w:pStyle w:val="Heading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14:paraId="2284B0A9" w14:textId="77777777" w:rsidTr="00A25444">
        <w:tblPrEx>
          <w:tblW w:w="9200" w:type="dxa"/>
          <w:tblInd w:w="8" w:type="dxa"/>
          <w:tblLook w:val="000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3052E" w:rsidRPr="00131B28" w:rsidP="00A25444" w14:paraId="503F2BEB" w14:textId="77777777">
            <w:pPr>
              <w:pStyle w:val="Heading1"/>
              <w:keepNext w:val="0"/>
              <w:widowControl w:val="0"/>
              <w:tabs>
                <w:tab w:val="left" w:pos="2340"/>
              </w:tabs>
              <w:spacing w:before="0" w:after="0"/>
              <w:ind w:left="142" w:hanging="142"/>
              <w:rPr>
                <w:rFonts w:cs="Arial"/>
                <w:sz w:val="20"/>
                <w:szCs w:val="20"/>
              </w:rPr>
            </w:pPr>
            <w:r w:rsidRPr="00131B28">
              <w:rPr>
                <w:rFonts w:cs="Arial"/>
                <w:sz w:val="20"/>
                <w:szCs w:val="20"/>
              </w:rPr>
              <w:t>II.a</w:t>
            </w:r>
            <w:r w:rsidRPr="00131B28">
              <w:rPr>
                <w:rFonts w:cs="Arial"/>
                <w:sz w:val="20"/>
                <w:szCs w:val="20"/>
              </w:rPr>
              <w:t xml:space="preserve"> Pravice porabe za izvedbo predlaganih rešitev so zagotovljene:</w:t>
            </w:r>
          </w:p>
        </w:tc>
      </w:tr>
      <w:tr w14:paraId="53F0BAC2" w14:textId="77777777" w:rsidTr="00A25444">
        <w:tblPrEx>
          <w:tblW w:w="9200" w:type="dxa"/>
          <w:tblInd w:w="8" w:type="dxa"/>
          <w:tblLook w:val="0000"/>
        </w:tblPrEx>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577A1883"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20B409F"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4BABDE0"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proračunske postavke</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0B12F101"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70B4676D"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14:paraId="16E39768" w14:textId="77777777" w:rsidTr="00A25444">
        <w:tblPrEx>
          <w:tblW w:w="9200" w:type="dxa"/>
          <w:tblInd w:w="8" w:type="dxa"/>
          <w:tblLook w:val="0000"/>
        </w:tblPrEx>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rsidR="00D3052E" w:rsidRPr="00773AEC" w:rsidP="00A25444" w14:paraId="553988A8" w14:textId="77777777">
            <w:pPr>
              <w:pStyle w:val="Heading1"/>
              <w:keepNext w:val="0"/>
              <w:widowControl w:val="0"/>
              <w:tabs>
                <w:tab w:val="left" w:pos="360"/>
              </w:tabs>
              <w:spacing w:before="0" w:after="0"/>
              <w:rPr>
                <w:rFonts w:cs="Arial"/>
                <w:b w:val="0"/>
                <w:bCs/>
                <w:sz w:val="20"/>
                <w:szCs w:val="20"/>
              </w:rPr>
            </w:pPr>
            <w:r w:rsidRPr="00773AEC">
              <w:rPr>
                <w:rFonts w:cs="Arial"/>
                <w:b w:val="0"/>
                <w:bCs/>
                <w:sz w:val="20"/>
                <w:szCs w:val="20"/>
              </w:rPr>
              <w:t>1911- Ministrstvo za obrambo R</w:t>
            </w:r>
            <w:r>
              <w:rPr>
                <w:rFonts w:cs="Arial"/>
                <w:b w:val="0"/>
                <w:bCs/>
                <w:sz w:val="20"/>
                <w:szCs w:val="20"/>
              </w:rPr>
              <w:t>epublike Slovenije</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052E" w:rsidRPr="00773AEC" w:rsidP="00A25444" w14:paraId="1B3C6941" w14:textId="77777777">
            <w:pPr>
              <w:pStyle w:val="Heading1"/>
              <w:keepNext w:val="0"/>
              <w:widowControl w:val="0"/>
              <w:tabs>
                <w:tab w:val="left" w:pos="360"/>
              </w:tabs>
              <w:spacing w:before="0" w:after="0"/>
              <w:rPr>
                <w:rFonts w:cs="Arial"/>
                <w:b w:val="0"/>
                <w:bCs/>
                <w:sz w:val="20"/>
                <w:szCs w:val="20"/>
              </w:rPr>
            </w:pPr>
            <w:bookmarkStart w:id="2" w:name="_Hlk187666789"/>
            <w:r w:rsidRPr="00773AEC">
              <w:rPr>
                <w:rFonts w:cs="Arial"/>
                <w:b w:val="0"/>
                <w:bCs/>
                <w:sz w:val="20"/>
                <w:szCs w:val="20"/>
              </w:rPr>
              <w:t>1911-25-0010</w:t>
            </w:r>
            <w:r w:rsidRPr="00773AEC">
              <w:t xml:space="preserve"> </w:t>
            </w:r>
            <w:bookmarkEnd w:id="2"/>
            <w:r w:rsidRPr="00773AEC">
              <w:rPr>
                <w:rFonts w:cs="Arial"/>
                <w:b w:val="0"/>
                <w:bCs/>
                <w:sz w:val="20"/>
                <w:szCs w:val="20"/>
              </w:rPr>
              <w:t>Odkrivanje in označevanje prikritih vojnih grobišč</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D3052E" w:rsidP="00A25444" w14:paraId="779E9C61" w14:textId="77777777">
            <w:pPr>
              <w:pStyle w:val="Heading1"/>
              <w:keepNext w:val="0"/>
              <w:widowControl w:val="0"/>
              <w:tabs>
                <w:tab w:val="left" w:pos="360"/>
              </w:tabs>
              <w:spacing w:before="0" w:after="0"/>
              <w:rPr>
                <w:rFonts w:cs="Arial"/>
                <w:b w:val="0"/>
                <w:bCs/>
                <w:sz w:val="20"/>
                <w:szCs w:val="20"/>
              </w:rPr>
            </w:pPr>
          </w:p>
          <w:p w:rsidR="00D3052E" w:rsidRPr="00773AEC" w:rsidP="00A25444" w14:paraId="1AE2372B" w14:textId="77777777">
            <w:pPr>
              <w:pStyle w:val="Heading1"/>
              <w:keepNext w:val="0"/>
              <w:widowControl w:val="0"/>
              <w:tabs>
                <w:tab w:val="left" w:pos="360"/>
              </w:tabs>
              <w:spacing w:before="0" w:after="0"/>
              <w:rPr>
                <w:rFonts w:cs="Arial"/>
                <w:b w:val="0"/>
                <w:bCs/>
                <w:sz w:val="20"/>
                <w:szCs w:val="20"/>
                <w:highlight w:val="yellow"/>
              </w:rPr>
            </w:pPr>
            <w:r w:rsidRPr="00773AEC">
              <w:rPr>
                <w:rFonts w:cs="Arial"/>
                <w:b w:val="0"/>
                <w:bCs/>
                <w:sz w:val="20"/>
                <w:szCs w:val="20"/>
              </w:rPr>
              <w:t>230548</w:t>
            </w:r>
            <w:r w:rsidRPr="005F6562">
              <w:rPr>
                <w:rFonts w:cs="Arial"/>
                <w:sz w:val="20"/>
                <w:szCs w:val="20"/>
              </w:rPr>
              <w:t xml:space="preserve"> </w:t>
            </w:r>
            <w:r w:rsidRPr="00773AEC">
              <w:rPr>
                <w:rFonts w:cs="Arial"/>
                <w:b w:val="0"/>
                <w:bCs/>
                <w:sz w:val="20"/>
                <w:szCs w:val="20"/>
              </w:rPr>
              <w:t>Odkrivanje in označevanje prikritih vojnih grobišč</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773AEC" w:rsidP="00A25444" w14:paraId="736B1EE5" w14:textId="77777777">
            <w:pPr>
              <w:pStyle w:val="Heading1"/>
              <w:keepNext w:val="0"/>
              <w:widowControl w:val="0"/>
              <w:tabs>
                <w:tab w:val="left" w:pos="360"/>
              </w:tabs>
              <w:spacing w:before="0" w:after="0"/>
              <w:rPr>
                <w:rFonts w:cs="Arial"/>
                <w:b w:val="0"/>
                <w:bCs/>
                <w:sz w:val="20"/>
                <w:szCs w:val="20"/>
                <w:highlight w:val="yellow"/>
              </w:rPr>
            </w:pPr>
            <w:r w:rsidRPr="00F732AF">
              <w:rPr>
                <w:rFonts w:cs="Arial"/>
                <w:b w:val="0"/>
                <w:bCs/>
                <w:sz w:val="20"/>
                <w:szCs w:val="20"/>
              </w:rPr>
              <w:t>877.128,00</w:t>
            </w: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6F8D32D2" w14:textId="77777777">
            <w:pPr>
              <w:pStyle w:val="Heading1"/>
              <w:keepNext w:val="0"/>
              <w:widowControl w:val="0"/>
              <w:tabs>
                <w:tab w:val="left" w:pos="360"/>
              </w:tabs>
              <w:spacing w:before="0" w:after="0"/>
              <w:rPr>
                <w:rFonts w:cs="Arial"/>
                <w:b w:val="0"/>
                <w:bCs/>
                <w:sz w:val="20"/>
                <w:szCs w:val="20"/>
              </w:rPr>
            </w:pPr>
          </w:p>
        </w:tc>
      </w:tr>
      <w:tr w14:paraId="4FF172AC" w14:textId="77777777" w:rsidTr="00A2544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343420A9"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4ED5CFDB" w14:textId="77777777">
            <w:pPr>
              <w:pStyle w:val="Heading1"/>
              <w:keepNext w:val="0"/>
              <w:widowControl w:val="0"/>
              <w:tabs>
                <w:tab w:val="left" w:pos="360"/>
              </w:tabs>
              <w:spacing w:before="0" w:after="0"/>
              <w:rPr>
                <w:rFonts w:cs="Arial"/>
                <w:b w:val="0"/>
                <w:bCs/>
                <w:sz w:val="20"/>
                <w:szCs w:val="20"/>
              </w:rPr>
            </w:pP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7B93E3F0" w14:textId="77777777">
            <w:pPr>
              <w:pStyle w:val="Heading1"/>
              <w:keepNext w:val="0"/>
              <w:widowControl w:val="0"/>
              <w:tabs>
                <w:tab w:val="left" w:pos="360"/>
              </w:tabs>
              <w:spacing w:before="0" w:after="0"/>
              <w:rPr>
                <w:rFonts w:cs="Arial"/>
                <w:b w:val="0"/>
                <w:bCs/>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739C7727"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549414DE" w14:textId="77777777">
            <w:pPr>
              <w:pStyle w:val="Heading1"/>
              <w:keepNext w:val="0"/>
              <w:widowControl w:val="0"/>
              <w:tabs>
                <w:tab w:val="left" w:pos="360"/>
              </w:tabs>
              <w:spacing w:before="0" w:after="0"/>
              <w:rPr>
                <w:rFonts w:cs="Arial"/>
                <w:b w:val="0"/>
                <w:bCs/>
                <w:sz w:val="20"/>
                <w:szCs w:val="20"/>
              </w:rPr>
            </w:pPr>
          </w:p>
        </w:tc>
      </w:tr>
      <w:tr w14:paraId="60DE9952" w14:textId="77777777" w:rsidTr="00A25444">
        <w:tblPrEx>
          <w:tblW w:w="9200" w:type="dxa"/>
          <w:tblInd w:w="8" w:type="dxa"/>
          <w:tblLook w:val="0000"/>
        </w:tblPrEx>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rsidR="00D3052E" w:rsidRPr="00131B28" w:rsidP="00A25444" w14:paraId="7CC90B25"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2E1080" w:rsidP="00A25444" w14:paraId="47BD8267" w14:textId="77777777">
            <w:pPr>
              <w:widowControl w:val="0"/>
              <w:spacing w:after="0" w:line="260" w:lineRule="exact"/>
              <w:jc w:val="center"/>
              <w:rPr>
                <w:rFonts w:ascii="Arial" w:hAnsi="Arial" w:cs="Arial"/>
                <w:b/>
                <w:sz w:val="20"/>
                <w:szCs w:val="20"/>
              </w:rPr>
            </w:pPr>
            <w:r w:rsidRPr="002E1080">
              <w:rPr>
                <w:rFonts w:ascii="Arial" w:eastAsia="Times New Roman" w:hAnsi="Arial" w:cs="Arial"/>
                <w:b/>
                <w:kern w:val="32"/>
                <w:sz w:val="20"/>
                <w:szCs w:val="20"/>
                <w:lang w:eastAsia="sl-SI"/>
              </w:rPr>
              <w:t>877.128,00</w:t>
            </w: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4C407BEA" w14:textId="77777777">
            <w:pPr>
              <w:pStyle w:val="Heading1"/>
              <w:keepNext w:val="0"/>
              <w:widowControl w:val="0"/>
              <w:tabs>
                <w:tab w:val="left" w:pos="360"/>
              </w:tabs>
              <w:spacing w:before="0" w:after="0"/>
              <w:rPr>
                <w:rFonts w:cs="Arial"/>
                <w:sz w:val="20"/>
                <w:szCs w:val="20"/>
              </w:rPr>
            </w:pPr>
          </w:p>
        </w:tc>
      </w:tr>
      <w:tr w14:paraId="3E2AA805" w14:textId="77777777" w:rsidTr="00A25444">
        <w:tblPrEx>
          <w:tblW w:w="9200" w:type="dxa"/>
          <w:tblInd w:w="8" w:type="dxa"/>
          <w:tblLook w:val="000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D3052E" w:rsidRPr="00131B28" w:rsidP="00A25444" w14:paraId="56ACCC68" w14:textId="77777777">
            <w:pPr>
              <w:pStyle w:val="Heading1"/>
              <w:keepNext w:val="0"/>
              <w:widowControl w:val="0"/>
              <w:tabs>
                <w:tab w:val="left" w:pos="2340"/>
              </w:tabs>
              <w:spacing w:before="0" w:after="0"/>
              <w:rPr>
                <w:rFonts w:cs="Arial"/>
                <w:sz w:val="20"/>
                <w:szCs w:val="20"/>
              </w:rPr>
            </w:pPr>
            <w:r w:rsidRPr="00131B28">
              <w:rPr>
                <w:rFonts w:cs="Arial"/>
                <w:sz w:val="20"/>
                <w:szCs w:val="20"/>
              </w:rPr>
              <w:t>II.b</w:t>
            </w:r>
            <w:r w:rsidRPr="00131B28">
              <w:rPr>
                <w:rFonts w:cs="Arial"/>
                <w:sz w:val="20"/>
                <w:szCs w:val="20"/>
              </w:rPr>
              <w:t xml:space="preserve"> Manjkajoče pravice porabe bodo zagotovljene s prerazporeditvijo:</w:t>
            </w:r>
          </w:p>
        </w:tc>
      </w:tr>
      <w:tr w14:paraId="44BF5563" w14:textId="77777777" w:rsidTr="00A25444">
        <w:tblPrEx>
          <w:tblW w:w="9200" w:type="dxa"/>
          <w:tblInd w:w="8" w:type="dxa"/>
          <w:tblLook w:val="0000"/>
        </w:tblPrEx>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057C936C"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17305447"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41DEA8E"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7ABC1D5A"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1DBF08BF"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14:paraId="29225EB6" w14:textId="77777777" w:rsidTr="00A2544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7B3B942C"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7B05AB0" w14:textId="77777777">
            <w:pPr>
              <w:pStyle w:val="Heading1"/>
              <w:keepNext w:val="0"/>
              <w:widowControl w:val="0"/>
              <w:tabs>
                <w:tab w:val="left" w:pos="360"/>
              </w:tabs>
              <w:spacing w:before="0" w:after="0"/>
              <w:rPr>
                <w:rFonts w:cs="Arial"/>
                <w:b w:val="0"/>
                <w:bCs/>
                <w:sz w:val="20"/>
                <w:szCs w:val="20"/>
              </w:rPr>
            </w:pP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0393F1C6" w14:textId="77777777">
            <w:pPr>
              <w:pStyle w:val="Heading1"/>
              <w:keepNext w:val="0"/>
              <w:widowControl w:val="0"/>
              <w:tabs>
                <w:tab w:val="left" w:pos="360"/>
              </w:tabs>
              <w:spacing w:before="0" w:after="0"/>
              <w:rPr>
                <w:rFonts w:cs="Arial"/>
                <w:b w:val="0"/>
                <w:bCs/>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5DAEF89E"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1C84AE60" w14:textId="77777777">
            <w:pPr>
              <w:pStyle w:val="Heading1"/>
              <w:keepNext w:val="0"/>
              <w:widowControl w:val="0"/>
              <w:tabs>
                <w:tab w:val="left" w:pos="360"/>
              </w:tabs>
              <w:spacing w:before="0" w:after="0"/>
              <w:rPr>
                <w:rFonts w:cs="Arial"/>
                <w:b w:val="0"/>
                <w:bCs/>
                <w:sz w:val="20"/>
                <w:szCs w:val="20"/>
              </w:rPr>
            </w:pPr>
          </w:p>
        </w:tc>
      </w:tr>
      <w:tr w14:paraId="3BD382E1" w14:textId="77777777" w:rsidTr="00A2544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26982AAF"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6AA48C0" w14:textId="77777777">
            <w:pPr>
              <w:pStyle w:val="Heading1"/>
              <w:keepNext w:val="0"/>
              <w:widowControl w:val="0"/>
              <w:tabs>
                <w:tab w:val="left" w:pos="360"/>
              </w:tabs>
              <w:spacing w:before="0" w:after="0"/>
              <w:rPr>
                <w:rFonts w:cs="Arial"/>
                <w:b w:val="0"/>
                <w:bCs/>
                <w:sz w:val="20"/>
                <w:szCs w:val="20"/>
              </w:rPr>
            </w:pPr>
          </w:p>
        </w:tc>
        <w:tc>
          <w:tcPr>
            <w:tcW w:w="1761" w:type="dxa"/>
            <w:gridSpan w:val="2"/>
            <w:tcBorders>
              <w:top w:val="single" w:sz="4" w:space="0" w:color="auto"/>
              <w:left w:val="single" w:sz="4" w:space="0" w:color="auto"/>
              <w:bottom w:val="single" w:sz="4" w:space="0" w:color="auto"/>
              <w:right w:val="single" w:sz="4" w:space="0" w:color="auto"/>
            </w:tcBorders>
            <w:vAlign w:val="center"/>
          </w:tcPr>
          <w:p w:rsidR="00D3052E" w:rsidRPr="00131B28" w:rsidP="00A25444" w14:paraId="3DB5CB09" w14:textId="77777777">
            <w:pPr>
              <w:pStyle w:val="Heading1"/>
              <w:keepNext w:val="0"/>
              <w:widowControl w:val="0"/>
              <w:tabs>
                <w:tab w:val="left" w:pos="360"/>
              </w:tabs>
              <w:spacing w:before="0" w:after="0"/>
              <w:rPr>
                <w:rFonts w:cs="Arial"/>
                <w:b w:val="0"/>
                <w:bCs/>
                <w:sz w:val="20"/>
                <w:szCs w:val="20"/>
              </w:rPr>
            </w:pP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023AF795"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2B38C468" w14:textId="77777777">
            <w:pPr>
              <w:pStyle w:val="Heading1"/>
              <w:keepNext w:val="0"/>
              <w:widowControl w:val="0"/>
              <w:tabs>
                <w:tab w:val="left" w:pos="360"/>
              </w:tabs>
              <w:spacing w:before="0" w:after="0"/>
              <w:rPr>
                <w:rFonts w:cs="Arial"/>
                <w:b w:val="0"/>
                <w:bCs/>
                <w:sz w:val="20"/>
                <w:szCs w:val="20"/>
              </w:rPr>
            </w:pPr>
          </w:p>
        </w:tc>
      </w:tr>
      <w:tr w14:paraId="6E466681" w14:textId="77777777" w:rsidTr="00A25444">
        <w:tblPrEx>
          <w:tblW w:w="9200" w:type="dxa"/>
          <w:tblInd w:w="8" w:type="dxa"/>
          <w:tblLook w:val="0000"/>
        </w:tblPrEx>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rsidR="00D3052E" w:rsidRPr="00131B28" w:rsidP="00A25444" w14:paraId="3C50CBF4"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102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02AD1DCB" w14:textId="77777777">
            <w:pPr>
              <w:pStyle w:val="Heading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D3052E" w:rsidRPr="00131B28" w:rsidP="00A25444" w14:paraId="465CB988" w14:textId="77777777">
            <w:pPr>
              <w:pStyle w:val="Heading1"/>
              <w:keepNext w:val="0"/>
              <w:widowControl w:val="0"/>
              <w:tabs>
                <w:tab w:val="left" w:pos="360"/>
              </w:tabs>
              <w:spacing w:before="0" w:after="0"/>
              <w:rPr>
                <w:rFonts w:cs="Arial"/>
                <w:sz w:val="20"/>
                <w:szCs w:val="20"/>
              </w:rPr>
            </w:pPr>
          </w:p>
        </w:tc>
      </w:tr>
      <w:tr w14:paraId="69B2E3EC" w14:textId="77777777" w:rsidTr="00A25444">
        <w:tblPrEx>
          <w:tblW w:w="9200" w:type="dxa"/>
          <w:tblInd w:w="8" w:type="dxa"/>
          <w:tblLook w:val="000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D3052E" w:rsidRPr="00131B28" w:rsidP="00A25444" w14:paraId="1DD75A60" w14:textId="77777777">
            <w:pPr>
              <w:pStyle w:val="Heading1"/>
              <w:keepNext w:val="0"/>
              <w:widowControl w:val="0"/>
              <w:tabs>
                <w:tab w:val="left" w:pos="2340"/>
              </w:tabs>
              <w:spacing w:before="0" w:after="0"/>
              <w:rPr>
                <w:rFonts w:cs="Arial"/>
                <w:sz w:val="20"/>
                <w:szCs w:val="20"/>
              </w:rPr>
            </w:pPr>
            <w:r w:rsidRPr="00131B28">
              <w:rPr>
                <w:rFonts w:cs="Arial"/>
                <w:sz w:val="20"/>
                <w:szCs w:val="20"/>
              </w:rPr>
              <w:t>II.c</w:t>
            </w:r>
            <w:r w:rsidRPr="00131B28">
              <w:rPr>
                <w:rFonts w:cs="Arial"/>
                <w:sz w:val="20"/>
                <w:szCs w:val="20"/>
              </w:rPr>
              <w:t xml:space="preserve"> Načrtovana nadomestitev zmanjšanih prihodkov in povečanih odhodkov proračuna:</w:t>
            </w:r>
          </w:p>
        </w:tc>
      </w:tr>
      <w:tr w14:paraId="095BADF8" w14:textId="77777777" w:rsidTr="00A25444">
        <w:tblPrEx>
          <w:tblW w:w="9200" w:type="dxa"/>
          <w:tblInd w:w="8" w:type="dxa"/>
          <w:tblLook w:val="0000"/>
        </w:tblPrEx>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0EDEC6C7"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137C854E"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2B12BFFA"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14:paraId="535B0AA0" w14:textId="77777777" w:rsidTr="00A2544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1D2DB5E6"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7DA7F1DF"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2EF6F67E" w14:textId="77777777">
            <w:pPr>
              <w:pStyle w:val="Heading1"/>
              <w:keepNext w:val="0"/>
              <w:widowControl w:val="0"/>
              <w:tabs>
                <w:tab w:val="left" w:pos="360"/>
              </w:tabs>
              <w:spacing w:before="0" w:after="0"/>
              <w:rPr>
                <w:rFonts w:cs="Arial"/>
                <w:b w:val="0"/>
                <w:bCs/>
                <w:sz w:val="20"/>
                <w:szCs w:val="20"/>
              </w:rPr>
            </w:pPr>
          </w:p>
        </w:tc>
      </w:tr>
      <w:tr w14:paraId="617A2113" w14:textId="77777777" w:rsidTr="00A2544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66B38792"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1064D804"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07BFBB1E" w14:textId="77777777">
            <w:pPr>
              <w:pStyle w:val="Heading1"/>
              <w:keepNext w:val="0"/>
              <w:widowControl w:val="0"/>
              <w:tabs>
                <w:tab w:val="left" w:pos="360"/>
              </w:tabs>
              <w:spacing w:before="0" w:after="0"/>
              <w:rPr>
                <w:rFonts w:cs="Arial"/>
                <w:b w:val="0"/>
                <w:bCs/>
                <w:sz w:val="20"/>
                <w:szCs w:val="20"/>
              </w:rPr>
            </w:pPr>
          </w:p>
        </w:tc>
      </w:tr>
      <w:tr w14:paraId="19F3D099" w14:textId="77777777" w:rsidTr="00A2544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2553B211"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16E2F9B0"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1C91A1AB" w14:textId="77777777">
            <w:pPr>
              <w:pStyle w:val="Heading1"/>
              <w:keepNext w:val="0"/>
              <w:widowControl w:val="0"/>
              <w:tabs>
                <w:tab w:val="left" w:pos="360"/>
              </w:tabs>
              <w:spacing w:before="0" w:after="0"/>
              <w:rPr>
                <w:rFonts w:cs="Arial"/>
                <w:b w:val="0"/>
                <w:bCs/>
                <w:sz w:val="20"/>
                <w:szCs w:val="20"/>
              </w:rPr>
            </w:pPr>
          </w:p>
        </w:tc>
      </w:tr>
      <w:tr w14:paraId="20EF2A9C" w14:textId="77777777" w:rsidTr="00A2544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39964F41"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566B4A00" w14:textId="77777777">
            <w:pPr>
              <w:pStyle w:val="Heading1"/>
              <w:keepNext w:val="0"/>
              <w:widowControl w:val="0"/>
              <w:tabs>
                <w:tab w:val="left" w:pos="360"/>
              </w:tabs>
              <w:spacing w:before="0" w:after="0"/>
              <w:rPr>
                <w:rFonts w:cs="Arial"/>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D3052E" w:rsidRPr="00131B28" w:rsidP="00A25444" w14:paraId="6D02D696" w14:textId="77777777">
            <w:pPr>
              <w:pStyle w:val="Heading1"/>
              <w:keepNext w:val="0"/>
              <w:widowControl w:val="0"/>
              <w:tabs>
                <w:tab w:val="left" w:pos="360"/>
              </w:tabs>
              <w:spacing w:before="0" w:after="0"/>
              <w:rPr>
                <w:rFonts w:cs="Arial"/>
                <w:sz w:val="20"/>
                <w:szCs w:val="20"/>
              </w:rPr>
            </w:pPr>
          </w:p>
        </w:tc>
      </w:tr>
      <w:tr w14:paraId="7415EAD8"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D3052E" w:rsidRPr="00131B28" w:rsidP="00A25444" w14:paraId="12426EBA" w14:textId="77777777">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rsidR="00D3052E" w:rsidRPr="00131B28" w:rsidP="00A25444" w14:paraId="199E970F" w14:textId="77777777">
            <w:pPr>
              <w:pStyle w:val="Oddelek"/>
              <w:widowControl w:val="0"/>
              <w:numPr>
                <w:ilvl w:val="0"/>
                <w:numId w:val="0"/>
              </w:numPr>
              <w:spacing w:before="0" w:after="0" w:line="260" w:lineRule="exact"/>
              <w:jc w:val="left"/>
              <w:rPr>
                <w:b w:val="0"/>
                <w:sz w:val="20"/>
                <w:szCs w:val="20"/>
              </w:rPr>
            </w:pPr>
            <w:r>
              <w:rPr>
                <w:b w:val="0"/>
                <w:sz w:val="20"/>
                <w:szCs w:val="20"/>
              </w:rPr>
              <w:t>/</w:t>
            </w:r>
          </w:p>
        </w:tc>
      </w:tr>
      <w:tr w14:paraId="1EF9DEC1"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D3052E" w:rsidRPr="00131B28" w:rsidP="00A25444" w14:paraId="07DF5CDA" w14:textId="77777777">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8. Predstavitev sodelovanja z združenji občin:</w:t>
            </w:r>
          </w:p>
        </w:tc>
      </w:tr>
      <w:tr w14:paraId="7702C046"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26" w:type="dxa"/>
            <w:gridSpan w:val="6"/>
          </w:tcPr>
          <w:p w:rsidR="00D3052E" w:rsidRPr="00131B28" w:rsidP="00A25444" w14:paraId="72E3577E" w14:textId="77777777">
            <w:pPr>
              <w:pStyle w:val="Neotevilenodstavek"/>
              <w:widowControl w:val="0"/>
              <w:spacing w:before="0" w:after="0" w:line="260" w:lineRule="exact"/>
              <w:rPr>
                <w:iCs/>
                <w:sz w:val="20"/>
                <w:szCs w:val="20"/>
              </w:rPr>
            </w:pPr>
            <w:r w:rsidRPr="00131B28">
              <w:rPr>
                <w:iCs/>
                <w:sz w:val="20"/>
                <w:szCs w:val="20"/>
              </w:rPr>
              <w:t>Vsebina predloženega gradiva (predpisa) vpliva na:</w:t>
            </w:r>
          </w:p>
          <w:p w:rsidR="00D3052E" w:rsidRPr="00131B28" w:rsidP="00A25444" w14:paraId="16A0849F" w14:textId="77777777">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rsidR="00D3052E" w:rsidRPr="00131B28" w:rsidP="00A25444" w14:paraId="270C8761" w14:textId="77777777">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rsidR="00D3052E" w:rsidRPr="00131B28" w:rsidP="00A25444" w14:paraId="26B24FE2" w14:textId="77777777">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p w:rsidR="00D3052E" w:rsidRPr="00131B28" w:rsidP="00A25444" w14:paraId="21AF5B0F" w14:textId="77777777">
            <w:pPr>
              <w:pStyle w:val="Neotevilenodstavek"/>
              <w:widowControl w:val="0"/>
              <w:spacing w:before="0" w:after="0" w:line="260" w:lineRule="exact"/>
              <w:ind w:left="1440"/>
              <w:rPr>
                <w:iCs/>
                <w:sz w:val="20"/>
                <w:szCs w:val="20"/>
              </w:rPr>
            </w:pPr>
          </w:p>
        </w:tc>
        <w:tc>
          <w:tcPr>
            <w:tcW w:w="2774" w:type="dxa"/>
            <w:gridSpan w:val="3"/>
          </w:tcPr>
          <w:p w:rsidR="00D3052E" w:rsidRPr="00131B28" w:rsidP="00A25444" w14:paraId="5F450CA3" w14:textId="77777777">
            <w:pPr>
              <w:pStyle w:val="Neotevilenodstavek"/>
              <w:widowControl w:val="0"/>
              <w:spacing w:before="0" w:after="0" w:line="260" w:lineRule="exact"/>
              <w:jc w:val="center"/>
              <w:rPr>
                <w:sz w:val="20"/>
                <w:szCs w:val="20"/>
              </w:rPr>
            </w:pPr>
            <w:r w:rsidRPr="00131B28">
              <w:rPr>
                <w:sz w:val="20"/>
                <w:szCs w:val="20"/>
              </w:rPr>
              <w:t>NE</w:t>
            </w:r>
          </w:p>
        </w:tc>
      </w:tr>
      <w:tr w14:paraId="4B9E9EC2"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D3052E" w:rsidRPr="00131B28" w:rsidP="00A25444" w14:paraId="3F972F52" w14:textId="77777777">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rsidR="00D3052E" w:rsidRPr="00131B28" w:rsidP="00A25444" w14:paraId="25FF3A3A" w14:textId="77777777">
            <w:pPr>
              <w:pStyle w:val="Neotevilenodstavek"/>
              <w:widowControl w:val="0"/>
              <w:numPr>
                <w:ilvl w:val="0"/>
                <w:numId w:val="20"/>
              </w:numPr>
              <w:spacing w:before="0" w:after="0" w:line="260" w:lineRule="exact"/>
              <w:rPr>
                <w:iCs/>
                <w:sz w:val="20"/>
                <w:szCs w:val="20"/>
              </w:rPr>
            </w:pPr>
            <w:r w:rsidRPr="00131B28">
              <w:rPr>
                <w:iCs/>
                <w:sz w:val="20"/>
                <w:szCs w:val="20"/>
              </w:rPr>
              <w:t>Skupnosti občin Slovenije SOS: NE</w:t>
            </w:r>
          </w:p>
          <w:p w:rsidR="00D3052E" w:rsidRPr="00131B28" w:rsidP="00A25444" w14:paraId="4B6989F4" w14:textId="77777777">
            <w:pPr>
              <w:pStyle w:val="Neotevilenodstavek"/>
              <w:widowControl w:val="0"/>
              <w:numPr>
                <w:ilvl w:val="0"/>
                <w:numId w:val="20"/>
              </w:numPr>
              <w:spacing w:before="0" w:after="0" w:line="260" w:lineRule="exact"/>
              <w:rPr>
                <w:iCs/>
                <w:sz w:val="20"/>
                <w:szCs w:val="20"/>
              </w:rPr>
            </w:pPr>
            <w:r w:rsidRPr="00131B28">
              <w:rPr>
                <w:iCs/>
                <w:sz w:val="20"/>
                <w:szCs w:val="20"/>
              </w:rPr>
              <w:t>Združenju občin Slovenije ZOS: NE</w:t>
            </w:r>
          </w:p>
          <w:p w:rsidR="00D3052E" w:rsidRPr="00131B28" w:rsidP="00A25444" w14:paraId="2ADE290A" w14:textId="77777777">
            <w:pPr>
              <w:pStyle w:val="Neotevilenodstavek"/>
              <w:widowControl w:val="0"/>
              <w:numPr>
                <w:ilvl w:val="0"/>
                <w:numId w:val="20"/>
              </w:numPr>
              <w:spacing w:before="0" w:after="0" w:line="260" w:lineRule="exact"/>
              <w:rPr>
                <w:iCs/>
                <w:sz w:val="20"/>
                <w:szCs w:val="20"/>
              </w:rPr>
            </w:pPr>
            <w:r w:rsidRPr="00131B28">
              <w:rPr>
                <w:iCs/>
                <w:sz w:val="20"/>
                <w:szCs w:val="20"/>
              </w:rPr>
              <w:t>Združenju mestnih občin Slovenije ZMOS: NE</w:t>
            </w:r>
          </w:p>
          <w:p w:rsidR="00D3052E" w:rsidRPr="00131B28" w:rsidP="00A25444" w14:paraId="27D91E7B" w14:textId="77777777">
            <w:pPr>
              <w:pStyle w:val="Neotevilenodstavek"/>
              <w:widowControl w:val="0"/>
              <w:spacing w:before="0" w:after="0" w:line="260" w:lineRule="exact"/>
              <w:rPr>
                <w:iCs/>
                <w:sz w:val="20"/>
                <w:szCs w:val="20"/>
              </w:rPr>
            </w:pPr>
          </w:p>
          <w:p w:rsidR="00D3052E" w:rsidRPr="00131B28" w:rsidP="00A25444" w14:paraId="4F7310DA" w14:textId="77777777">
            <w:pPr>
              <w:pStyle w:val="Neotevilenodstavek"/>
              <w:widowControl w:val="0"/>
              <w:spacing w:before="0" w:after="0" w:line="260" w:lineRule="exact"/>
              <w:rPr>
                <w:iCs/>
                <w:sz w:val="20"/>
                <w:szCs w:val="20"/>
              </w:rPr>
            </w:pPr>
            <w:r w:rsidRPr="00131B28">
              <w:rPr>
                <w:iCs/>
                <w:sz w:val="20"/>
                <w:szCs w:val="20"/>
              </w:rPr>
              <w:t>Predlogi in pripombe združenj so bili upoštevani:</w:t>
            </w:r>
          </w:p>
          <w:p w:rsidR="00D3052E" w:rsidRPr="00131B28" w:rsidP="00A25444" w14:paraId="0C5A4F91" w14:textId="77777777">
            <w:pPr>
              <w:pStyle w:val="Neotevilenodstavek"/>
              <w:widowControl w:val="0"/>
              <w:numPr>
                <w:ilvl w:val="0"/>
                <w:numId w:val="21"/>
              </w:numPr>
              <w:spacing w:before="0" w:after="0" w:line="260" w:lineRule="exact"/>
              <w:rPr>
                <w:iCs/>
                <w:sz w:val="20"/>
                <w:szCs w:val="20"/>
              </w:rPr>
            </w:pPr>
            <w:r w:rsidRPr="00131B28">
              <w:rPr>
                <w:iCs/>
                <w:sz w:val="20"/>
                <w:szCs w:val="20"/>
              </w:rPr>
              <w:t>v celoti,</w:t>
            </w:r>
          </w:p>
          <w:p w:rsidR="00D3052E" w:rsidRPr="00131B28" w:rsidP="00A25444" w14:paraId="7FAB3561" w14:textId="77777777">
            <w:pPr>
              <w:pStyle w:val="Neotevilenodstavek"/>
              <w:widowControl w:val="0"/>
              <w:numPr>
                <w:ilvl w:val="0"/>
                <w:numId w:val="21"/>
              </w:numPr>
              <w:spacing w:before="0" w:after="0" w:line="260" w:lineRule="exact"/>
              <w:rPr>
                <w:iCs/>
                <w:sz w:val="20"/>
                <w:szCs w:val="20"/>
              </w:rPr>
            </w:pPr>
            <w:r w:rsidRPr="00131B28">
              <w:rPr>
                <w:iCs/>
                <w:sz w:val="20"/>
                <w:szCs w:val="20"/>
              </w:rPr>
              <w:t>večinoma,</w:t>
            </w:r>
          </w:p>
          <w:p w:rsidR="00D3052E" w:rsidRPr="00131B28" w:rsidP="00A25444" w14:paraId="662BC3EB" w14:textId="77777777">
            <w:pPr>
              <w:pStyle w:val="Neotevilenodstavek"/>
              <w:widowControl w:val="0"/>
              <w:numPr>
                <w:ilvl w:val="0"/>
                <w:numId w:val="21"/>
              </w:numPr>
              <w:spacing w:before="0" w:after="0" w:line="260" w:lineRule="exact"/>
              <w:rPr>
                <w:iCs/>
                <w:sz w:val="20"/>
                <w:szCs w:val="20"/>
              </w:rPr>
            </w:pPr>
            <w:r w:rsidRPr="00131B28">
              <w:rPr>
                <w:iCs/>
                <w:sz w:val="20"/>
                <w:szCs w:val="20"/>
              </w:rPr>
              <w:t>delno,</w:t>
            </w:r>
          </w:p>
          <w:p w:rsidR="00D3052E" w:rsidRPr="00131B28" w:rsidP="00A25444" w14:paraId="38080DFA" w14:textId="77777777">
            <w:pPr>
              <w:pStyle w:val="Neotevilenodstavek"/>
              <w:widowControl w:val="0"/>
              <w:numPr>
                <w:ilvl w:val="0"/>
                <w:numId w:val="21"/>
              </w:numPr>
              <w:spacing w:before="0" w:after="0" w:line="260" w:lineRule="exact"/>
              <w:rPr>
                <w:iCs/>
                <w:sz w:val="20"/>
                <w:szCs w:val="20"/>
              </w:rPr>
            </w:pPr>
            <w:r w:rsidRPr="00131B28">
              <w:rPr>
                <w:iCs/>
                <w:sz w:val="20"/>
                <w:szCs w:val="20"/>
              </w:rPr>
              <w:t>niso bili upoštevani.</w:t>
            </w:r>
          </w:p>
          <w:p w:rsidR="00D3052E" w:rsidRPr="00131B28" w:rsidP="00A25444" w14:paraId="280CF01C" w14:textId="77777777">
            <w:pPr>
              <w:pStyle w:val="Neotevilenodstavek"/>
              <w:widowControl w:val="0"/>
              <w:spacing w:before="0" w:after="0" w:line="260" w:lineRule="exact"/>
              <w:ind w:left="360"/>
              <w:rPr>
                <w:iCs/>
                <w:sz w:val="20"/>
                <w:szCs w:val="20"/>
              </w:rPr>
            </w:pPr>
          </w:p>
          <w:p w:rsidR="00D3052E" w:rsidRPr="00131B28" w:rsidP="00A25444" w14:paraId="1364362B" w14:textId="77777777">
            <w:pPr>
              <w:pStyle w:val="Neotevilenodstavek"/>
              <w:widowControl w:val="0"/>
              <w:spacing w:before="0" w:after="0" w:line="260" w:lineRule="exact"/>
              <w:rPr>
                <w:iCs/>
                <w:sz w:val="20"/>
                <w:szCs w:val="20"/>
              </w:rPr>
            </w:pPr>
            <w:r w:rsidRPr="00131B28">
              <w:rPr>
                <w:iCs/>
                <w:sz w:val="20"/>
                <w:szCs w:val="20"/>
              </w:rPr>
              <w:t>Bistveni predlogi in pripombe, ki niso bili upoštevani.</w:t>
            </w:r>
          </w:p>
          <w:p w:rsidR="00D3052E" w:rsidRPr="00131B28" w:rsidP="00A25444" w14:paraId="067EDADA" w14:textId="77777777">
            <w:pPr>
              <w:pStyle w:val="Neotevilenodstavek"/>
              <w:widowControl w:val="0"/>
              <w:spacing w:before="0" w:after="0" w:line="260" w:lineRule="exact"/>
              <w:rPr>
                <w:iCs/>
                <w:sz w:val="20"/>
                <w:szCs w:val="20"/>
              </w:rPr>
            </w:pPr>
          </w:p>
        </w:tc>
      </w:tr>
      <w:tr w14:paraId="0E2CE35E"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D3052E" w:rsidRPr="00131B28" w:rsidP="00A25444" w14:paraId="1F3D4FD8" w14:textId="77777777">
            <w:pPr>
              <w:pStyle w:val="Oddelek"/>
              <w:widowControl w:val="0"/>
              <w:numPr>
                <w:ilvl w:val="0"/>
                <w:numId w:val="0"/>
              </w:numPr>
              <w:spacing w:before="0" w:after="0" w:line="260" w:lineRule="exact"/>
              <w:jc w:val="left"/>
              <w:rPr>
                <w:sz w:val="20"/>
                <w:szCs w:val="20"/>
              </w:rPr>
            </w:pPr>
            <w:r w:rsidRPr="00131B28">
              <w:rPr>
                <w:sz w:val="20"/>
                <w:szCs w:val="20"/>
              </w:rPr>
              <w:t>9. Predstavitev sodelovanja javnosti:</w:t>
            </w:r>
          </w:p>
        </w:tc>
      </w:tr>
      <w:tr w14:paraId="7D6756B9"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tcPr>
          <w:p w:rsidR="00D3052E" w:rsidRPr="00131B28" w:rsidP="00A25444" w14:paraId="6B1B5514" w14:textId="77777777">
            <w:pPr>
              <w:pStyle w:val="Neotevilenodstavek"/>
              <w:widowControl w:val="0"/>
              <w:spacing w:before="0" w:after="0" w:line="260" w:lineRule="exact"/>
              <w:rPr>
                <w:sz w:val="20"/>
                <w:szCs w:val="20"/>
              </w:rPr>
            </w:pPr>
            <w:r w:rsidRPr="00131B28">
              <w:rPr>
                <w:iCs/>
                <w:sz w:val="20"/>
                <w:szCs w:val="20"/>
              </w:rPr>
              <w:t>Gradivo je bilo predhodno objavljeno na spletni strani predlagatelja:</w:t>
            </w:r>
          </w:p>
        </w:tc>
        <w:tc>
          <w:tcPr>
            <w:tcW w:w="2393" w:type="dxa"/>
            <w:gridSpan w:val="2"/>
          </w:tcPr>
          <w:p w:rsidR="00D3052E" w:rsidRPr="00131B28" w:rsidP="00A25444" w14:paraId="129BC87E" w14:textId="77777777">
            <w:pPr>
              <w:pStyle w:val="Neotevilenodstavek"/>
              <w:widowControl w:val="0"/>
              <w:spacing w:before="0" w:after="0" w:line="260" w:lineRule="exact"/>
              <w:jc w:val="center"/>
              <w:rPr>
                <w:iCs/>
                <w:sz w:val="20"/>
                <w:szCs w:val="20"/>
              </w:rPr>
            </w:pPr>
            <w:r w:rsidRPr="00131B28">
              <w:rPr>
                <w:sz w:val="20"/>
                <w:szCs w:val="20"/>
              </w:rPr>
              <w:t>NE</w:t>
            </w:r>
          </w:p>
        </w:tc>
      </w:tr>
      <w:tr w14:paraId="6C608719"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00" w:type="dxa"/>
            <w:gridSpan w:val="9"/>
          </w:tcPr>
          <w:p w:rsidR="00D3052E" w:rsidRPr="00131B28" w:rsidP="00A845BB" w14:paraId="0076E5F5" w14:textId="11BFAD07">
            <w:pPr>
              <w:pStyle w:val="Neotevilenodstavek"/>
              <w:widowControl w:val="0"/>
              <w:spacing w:before="0" w:after="0" w:line="260" w:lineRule="exact"/>
              <w:rPr>
                <w:iCs/>
                <w:sz w:val="20"/>
                <w:szCs w:val="20"/>
              </w:rPr>
            </w:pPr>
            <w:r w:rsidRPr="007642E3">
              <w:rPr>
                <w:sz w:val="20"/>
                <w:szCs w:val="20"/>
              </w:rPr>
              <w:t>V skladu s sedmim odstavkom 9. člena Poslovnika Vlade RS (Uradni list RS, št. 43/01, 23/02 – popravek, 54/03, 103/03, 114/04, 26/06, 21/07, 32/10, 73/10, 95/11, 64/12, 10/14, 164/20, 35/21, 51/21 in 114/21) se javnosti ni povabilo k sodelovanju, ker gre za predlog sklepa vlade.</w:t>
            </w:r>
            <w:r>
              <w:rPr>
                <w:sz w:val="20"/>
                <w:szCs w:val="20"/>
              </w:rPr>
              <w:t xml:space="preserve"> </w:t>
            </w:r>
            <w:bookmarkStart w:id="3" w:name="_GoBack"/>
            <w:bookmarkEnd w:id="3"/>
          </w:p>
        </w:tc>
      </w:tr>
      <w:tr w14:paraId="588ED1EF"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vAlign w:val="center"/>
          </w:tcPr>
          <w:p w:rsidR="00D3052E" w:rsidRPr="00131B28" w:rsidP="00A25444" w14:paraId="4E2BB288" w14:textId="77777777">
            <w:pPr>
              <w:pStyle w:val="Neotevilenodstavek"/>
              <w:widowControl w:val="0"/>
              <w:spacing w:before="0" w:after="0" w:line="260" w:lineRule="exact"/>
              <w:jc w:val="left"/>
              <w:rPr>
                <w:sz w:val="20"/>
                <w:szCs w:val="20"/>
              </w:rPr>
            </w:pPr>
            <w:r w:rsidRPr="00131B28">
              <w:rPr>
                <w:b/>
                <w:sz w:val="20"/>
                <w:szCs w:val="20"/>
              </w:rPr>
              <w:t>10. Pri pripravi gradiva so bile upoštevane zahteve iz Resolucije o normativni dejavnosti:</w:t>
            </w:r>
          </w:p>
        </w:tc>
        <w:tc>
          <w:tcPr>
            <w:tcW w:w="2393" w:type="dxa"/>
            <w:gridSpan w:val="2"/>
            <w:vAlign w:val="center"/>
          </w:tcPr>
          <w:p w:rsidR="00D3052E" w:rsidRPr="00131B28" w:rsidP="00A25444" w14:paraId="7D6CF8B9" w14:textId="77777777">
            <w:pPr>
              <w:pStyle w:val="Neotevilenodstavek"/>
              <w:widowControl w:val="0"/>
              <w:spacing w:before="0" w:after="0" w:line="260" w:lineRule="exact"/>
              <w:jc w:val="center"/>
              <w:rPr>
                <w:iCs/>
                <w:sz w:val="20"/>
                <w:szCs w:val="20"/>
              </w:rPr>
            </w:pPr>
            <w:r w:rsidRPr="00131B28">
              <w:rPr>
                <w:sz w:val="20"/>
                <w:szCs w:val="20"/>
              </w:rPr>
              <w:t>NE</w:t>
            </w:r>
          </w:p>
        </w:tc>
      </w:tr>
      <w:tr w14:paraId="1DBF6001"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vAlign w:val="center"/>
          </w:tcPr>
          <w:p w:rsidR="00D3052E" w:rsidRPr="00131B28" w:rsidP="00A25444" w14:paraId="7A189A0F" w14:textId="77777777">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93" w:type="dxa"/>
            <w:gridSpan w:val="2"/>
            <w:vAlign w:val="center"/>
          </w:tcPr>
          <w:p w:rsidR="00D3052E" w:rsidRPr="00131B28" w:rsidP="00A25444" w14:paraId="1CDB224B" w14:textId="77777777">
            <w:pPr>
              <w:pStyle w:val="Neotevilenodstavek"/>
              <w:widowControl w:val="0"/>
              <w:spacing w:before="0" w:after="0" w:line="260" w:lineRule="exact"/>
              <w:jc w:val="center"/>
              <w:rPr>
                <w:sz w:val="20"/>
                <w:szCs w:val="20"/>
              </w:rPr>
            </w:pPr>
            <w:r w:rsidRPr="00131B28">
              <w:rPr>
                <w:sz w:val="20"/>
                <w:szCs w:val="20"/>
              </w:rPr>
              <w:t>NE</w:t>
            </w:r>
          </w:p>
        </w:tc>
      </w:tr>
      <w:tr w14:paraId="768437B3" w14:textId="77777777" w:rsidTr="00A2544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Borders>
              <w:top w:val="single" w:sz="4" w:space="0" w:color="000000"/>
              <w:left w:val="single" w:sz="4" w:space="0" w:color="000000"/>
              <w:bottom w:val="single" w:sz="4" w:space="0" w:color="000000"/>
              <w:right w:val="single" w:sz="4" w:space="0" w:color="000000"/>
            </w:tcBorders>
          </w:tcPr>
          <w:p w:rsidR="00D3052E" w:rsidRPr="00131B28" w:rsidP="00A25444" w14:paraId="51D2C826" w14:textId="77777777">
            <w:pPr>
              <w:pStyle w:val="Poglavje"/>
              <w:widowControl w:val="0"/>
              <w:spacing w:before="0" w:after="0" w:line="260" w:lineRule="exact"/>
              <w:ind w:left="3400"/>
              <w:jc w:val="left"/>
              <w:rPr>
                <w:sz w:val="20"/>
                <w:szCs w:val="20"/>
              </w:rPr>
            </w:pPr>
          </w:p>
          <w:p w:rsidR="00D3052E" w:rsidP="00A25444" w14:paraId="1E554614" w14:textId="77777777">
            <w:pPr>
              <w:pStyle w:val="Poglavje"/>
              <w:widowControl w:val="0"/>
              <w:spacing w:before="0" w:after="0" w:line="260" w:lineRule="exact"/>
              <w:ind w:left="3400"/>
              <w:jc w:val="left"/>
              <w:rPr>
                <w:sz w:val="20"/>
                <w:szCs w:val="20"/>
              </w:rPr>
            </w:pPr>
            <w:r w:rsidRPr="00131B28">
              <w:rPr>
                <w:sz w:val="20"/>
                <w:szCs w:val="20"/>
              </w:rPr>
              <w:t xml:space="preserve">                                    </w:t>
            </w:r>
            <w:r>
              <w:rPr>
                <w:sz w:val="20"/>
                <w:szCs w:val="20"/>
              </w:rPr>
              <w:t>Mag. Borut Sajovic</w:t>
            </w:r>
          </w:p>
          <w:p w:rsidR="00D3052E" w:rsidRPr="00131B28" w:rsidP="00A25444" w14:paraId="486E32CD" w14:textId="77777777">
            <w:pPr>
              <w:pStyle w:val="Poglavje"/>
              <w:widowControl w:val="0"/>
              <w:spacing w:before="0" w:after="0" w:line="260" w:lineRule="exact"/>
              <w:ind w:left="3400"/>
              <w:jc w:val="left"/>
              <w:rPr>
                <w:sz w:val="20"/>
                <w:szCs w:val="20"/>
              </w:rPr>
            </w:pPr>
            <w:r>
              <w:rPr>
                <w:sz w:val="20"/>
                <w:szCs w:val="20"/>
              </w:rPr>
              <w:t xml:space="preserve">                                            minister</w:t>
            </w:r>
          </w:p>
          <w:p w:rsidR="00D3052E" w:rsidRPr="00131B28" w:rsidP="00A25444" w14:paraId="469FAB87" w14:textId="77777777">
            <w:pPr>
              <w:pStyle w:val="Poglavje"/>
              <w:widowControl w:val="0"/>
              <w:spacing w:before="0" w:after="0" w:line="260" w:lineRule="exact"/>
              <w:ind w:left="3400"/>
              <w:jc w:val="left"/>
              <w:rPr>
                <w:sz w:val="20"/>
                <w:szCs w:val="20"/>
              </w:rPr>
            </w:pPr>
          </w:p>
        </w:tc>
      </w:tr>
    </w:tbl>
    <w:p w:rsidR="00D3052E" w:rsidRPr="00131B28" w:rsidP="00D3052E" w14:paraId="4959D02D" w14:textId="77777777">
      <w:pPr>
        <w:pStyle w:val="podpisi"/>
        <w:tabs>
          <w:tab w:val="clear" w:pos="3402"/>
        </w:tabs>
        <w:rPr>
          <w:rFonts w:cs="Arial"/>
          <w:b/>
          <w:szCs w:val="20"/>
          <w:lang w:val="sl-SI"/>
        </w:rPr>
      </w:pPr>
    </w:p>
    <w:p w:rsidR="00D3052E" w:rsidRPr="005F6562" w:rsidP="00D3052E" w14:paraId="15943BD2" w14:textId="77777777">
      <w:pPr>
        <w:pStyle w:val="podpisi"/>
        <w:tabs>
          <w:tab w:val="left" w:pos="708"/>
        </w:tabs>
        <w:rPr>
          <w:rFonts w:cs="Arial"/>
          <w:szCs w:val="20"/>
          <w:lang w:val="sl-SI"/>
        </w:rPr>
      </w:pPr>
      <w:r w:rsidRPr="005F6562">
        <w:rPr>
          <w:rFonts w:cs="Arial"/>
          <w:szCs w:val="20"/>
          <w:lang w:val="sl-SI"/>
        </w:rPr>
        <w:t>Poslano:</w:t>
      </w:r>
    </w:p>
    <w:p w:rsidR="00D3052E" w:rsidRPr="005F6562" w:rsidP="00D3052E" w14:paraId="72C7A939" w14:textId="77777777">
      <w:pPr>
        <w:pStyle w:val="podpisi"/>
        <w:numPr>
          <w:ilvl w:val="0"/>
          <w:numId w:val="33"/>
        </w:numPr>
        <w:tabs>
          <w:tab w:val="left" w:pos="426"/>
        </w:tabs>
        <w:rPr>
          <w:rFonts w:cs="Arial"/>
          <w:szCs w:val="20"/>
          <w:lang w:val="sl-SI"/>
        </w:rPr>
      </w:pPr>
      <w:r w:rsidRPr="005F6562">
        <w:rPr>
          <w:rFonts w:cs="Arial"/>
          <w:szCs w:val="20"/>
          <w:lang w:val="sl-SI"/>
        </w:rPr>
        <w:t>naslovniku</w:t>
      </w:r>
      <w:r>
        <w:rPr>
          <w:rFonts w:cs="Arial"/>
          <w:szCs w:val="20"/>
          <w:lang w:val="sl-SI"/>
        </w:rPr>
        <w:t>,</w:t>
      </w:r>
    </w:p>
    <w:p w:rsidR="00D3052E" w:rsidRPr="005F6562" w:rsidP="00D3052E" w14:paraId="70B3E9EA" w14:textId="77777777">
      <w:pPr>
        <w:pStyle w:val="podpisi"/>
        <w:numPr>
          <w:ilvl w:val="0"/>
          <w:numId w:val="33"/>
        </w:numPr>
        <w:tabs>
          <w:tab w:val="left" w:pos="426"/>
        </w:tabs>
        <w:rPr>
          <w:rFonts w:cs="Arial"/>
          <w:szCs w:val="20"/>
          <w:lang w:val="sl-SI"/>
        </w:rPr>
      </w:pPr>
      <w:r>
        <w:rPr>
          <w:rFonts w:cs="Arial"/>
          <w:szCs w:val="20"/>
          <w:lang w:val="sl-SI"/>
        </w:rPr>
        <w:t>DVVVD.</w:t>
      </w:r>
    </w:p>
    <w:p w:rsidR="00D3052E" w:rsidRPr="005F6562" w:rsidP="00D3052E" w14:paraId="412199BD" w14:textId="77777777">
      <w:pPr>
        <w:pStyle w:val="podpisi"/>
        <w:tabs>
          <w:tab w:val="left" w:pos="708"/>
        </w:tabs>
        <w:ind w:left="360"/>
        <w:rPr>
          <w:rFonts w:cs="Arial"/>
          <w:szCs w:val="20"/>
          <w:lang w:val="sl-SI"/>
        </w:rPr>
      </w:pPr>
    </w:p>
    <w:p w:rsidR="00D3052E" w:rsidRPr="005F6562" w:rsidP="00D3052E" w14:paraId="4113B882" w14:textId="77777777">
      <w:pPr>
        <w:spacing w:after="0"/>
        <w:jc w:val="both"/>
        <w:rPr>
          <w:rFonts w:ascii="Arial" w:hAnsi="Arial" w:cs="Arial"/>
          <w:sz w:val="20"/>
          <w:szCs w:val="20"/>
        </w:rPr>
      </w:pPr>
      <w:r w:rsidRPr="005F6562">
        <w:rPr>
          <w:rFonts w:ascii="Arial" w:hAnsi="Arial" w:cs="Arial"/>
          <w:sz w:val="20"/>
          <w:szCs w:val="20"/>
        </w:rPr>
        <w:t>Prilog</w:t>
      </w:r>
      <w:r>
        <w:rPr>
          <w:rFonts w:ascii="Arial" w:hAnsi="Arial" w:cs="Arial"/>
          <w:sz w:val="20"/>
          <w:szCs w:val="20"/>
        </w:rPr>
        <w:t>e</w:t>
      </w:r>
      <w:r w:rsidRPr="005F6562">
        <w:rPr>
          <w:rFonts w:ascii="Arial" w:hAnsi="Arial" w:cs="Arial"/>
          <w:sz w:val="20"/>
          <w:szCs w:val="20"/>
        </w:rPr>
        <w:t xml:space="preserve">: </w:t>
      </w:r>
    </w:p>
    <w:p w:rsidR="00D3052E" w:rsidRPr="005F6562" w:rsidP="00D3052E" w14:paraId="2C9A2CB1" w14:textId="77777777">
      <w:pPr>
        <w:pStyle w:val="ListParagraph"/>
        <w:numPr>
          <w:ilvl w:val="0"/>
          <w:numId w:val="31"/>
        </w:numPr>
        <w:spacing w:after="0" w:line="254" w:lineRule="auto"/>
        <w:jc w:val="both"/>
        <w:rPr>
          <w:rFonts w:ascii="Arial" w:hAnsi="Arial" w:cs="Arial"/>
          <w:sz w:val="20"/>
          <w:szCs w:val="20"/>
        </w:rPr>
      </w:pPr>
      <w:r w:rsidRPr="005F6562">
        <w:rPr>
          <w:rFonts w:ascii="Arial" w:hAnsi="Arial" w:cs="Arial"/>
          <w:sz w:val="20"/>
          <w:szCs w:val="20"/>
        </w:rPr>
        <w:t xml:space="preserve">Program dela Komisije Vlade Republike Slovenije za reševanje vprašanj prikritih </w:t>
      </w:r>
      <w:r w:rsidRPr="005F6562">
        <w:rPr>
          <w:rFonts w:ascii="Arial" w:hAnsi="Arial" w:cs="Arial"/>
          <w:sz w:val="20"/>
          <w:szCs w:val="20"/>
        </w:rPr>
        <w:br/>
        <w:t>grobišč za leto 202</w:t>
      </w:r>
      <w:r>
        <w:rPr>
          <w:rFonts w:ascii="Arial" w:hAnsi="Arial" w:cs="Arial"/>
          <w:sz w:val="20"/>
          <w:szCs w:val="20"/>
        </w:rPr>
        <w:t>5</w:t>
      </w:r>
      <w:r w:rsidRPr="005F6562">
        <w:rPr>
          <w:rFonts w:ascii="Arial" w:hAnsi="Arial" w:cs="Arial"/>
          <w:sz w:val="20"/>
          <w:szCs w:val="20"/>
        </w:rPr>
        <w:t>,</w:t>
      </w:r>
    </w:p>
    <w:p w:rsidR="00D3052E" w:rsidRPr="005F6562" w:rsidP="00D3052E" w14:paraId="31B1577F" w14:textId="77777777">
      <w:pPr>
        <w:pStyle w:val="ListParagraph"/>
        <w:numPr>
          <w:ilvl w:val="0"/>
          <w:numId w:val="31"/>
        </w:numPr>
        <w:spacing w:after="0" w:line="254" w:lineRule="auto"/>
        <w:jc w:val="both"/>
        <w:rPr>
          <w:rFonts w:ascii="Arial" w:hAnsi="Arial" w:cs="Arial"/>
          <w:sz w:val="20"/>
          <w:szCs w:val="20"/>
        </w:rPr>
      </w:pPr>
      <w:r w:rsidRPr="005F6562">
        <w:rPr>
          <w:rFonts w:ascii="Arial" w:hAnsi="Arial" w:cs="Arial"/>
          <w:sz w:val="20"/>
          <w:szCs w:val="20"/>
        </w:rPr>
        <w:t>Finančni načrt dela Komisije Vlade Republike Slovenije za reševanje vprašanj prikritih grobišč za leto 202</w:t>
      </w:r>
      <w:r>
        <w:rPr>
          <w:rFonts w:ascii="Arial" w:hAnsi="Arial" w:cs="Arial"/>
          <w:sz w:val="20"/>
          <w:szCs w:val="20"/>
        </w:rPr>
        <w:t>5</w:t>
      </w:r>
      <w:r w:rsidRPr="005F6562">
        <w:rPr>
          <w:rFonts w:ascii="Arial" w:hAnsi="Arial" w:cs="Arial"/>
          <w:sz w:val="20"/>
          <w:szCs w:val="20"/>
        </w:rPr>
        <w:t>.</w:t>
      </w:r>
    </w:p>
    <w:p w:rsidR="00D3052E" w:rsidRPr="00131B28" w:rsidP="00D3052E" w14:paraId="7B766AC4" w14:textId="77777777">
      <w:pPr>
        <w:pStyle w:val="Naslovpredpisa"/>
        <w:spacing w:before="0" w:after="0" w:line="260" w:lineRule="exact"/>
        <w:jc w:val="both"/>
        <w:rPr>
          <w:sz w:val="20"/>
          <w:szCs w:val="20"/>
        </w:rPr>
      </w:pPr>
    </w:p>
    <w:p w:rsidR="00D3052E" w:rsidRPr="00131B28" w:rsidP="00D3052E" w14:paraId="08EAD3EC" w14:textId="77777777">
      <w:pPr>
        <w:pStyle w:val="Naslovpredpisa"/>
        <w:spacing w:before="0" w:after="0" w:line="260" w:lineRule="exact"/>
        <w:jc w:val="both"/>
        <w:rPr>
          <w:sz w:val="20"/>
          <w:szCs w:val="20"/>
        </w:rPr>
      </w:pPr>
    </w:p>
    <w:p w:rsidR="00D3052E" w:rsidRPr="00131B28" w:rsidP="00D3052E" w14:paraId="33D0BBCF" w14:textId="77777777">
      <w:pPr>
        <w:pStyle w:val="Naslovpredpisa"/>
        <w:spacing w:before="0" w:after="0" w:line="260" w:lineRule="exact"/>
        <w:jc w:val="both"/>
        <w:rPr>
          <w:sz w:val="20"/>
          <w:szCs w:val="20"/>
        </w:rPr>
      </w:pPr>
    </w:p>
    <w:p w:rsidR="00D3052E" w:rsidRPr="00131B28" w:rsidP="00D3052E" w14:paraId="69C1BB14" w14:textId="77777777">
      <w:pPr>
        <w:pStyle w:val="Naslovpredpisa"/>
        <w:spacing w:before="0" w:after="0" w:line="260" w:lineRule="exact"/>
        <w:jc w:val="both"/>
        <w:rPr>
          <w:sz w:val="20"/>
          <w:szCs w:val="20"/>
        </w:rPr>
      </w:pPr>
    </w:p>
    <w:p w:rsidR="00D3052E" w:rsidRPr="00131B28" w:rsidP="00D3052E" w14:paraId="4832E806" w14:textId="77777777">
      <w:pPr>
        <w:pStyle w:val="Naslovpredpisa"/>
        <w:spacing w:before="0" w:after="0" w:line="260" w:lineRule="exact"/>
        <w:jc w:val="both"/>
        <w:rPr>
          <w:sz w:val="20"/>
          <w:szCs w:val="20"/>
        </w:rPr>
      </w:pPr>
    </w:p>
    <w:p w:rsidR="00D3052E" w:rsidRPr="00131B28" w:rsidP="00D3052E" w14:paraId="63FC0E63" w14:textId="77777777">
      <w:pPr>
        <w:pStyle w:val="Naslovpredpisa"/>
        <w:spacing w:before="0" w:after="0" w:line="260" w:lineRule="exact"/>
        <w:jc w:val="both"/>
        <w:rPr>
          <w:sz w:val="20"/>
          <w:szCs w:val="20"/>
        </w:rPr>
      </w:pPr>
    </w:p>
    <w:p w:rsidR="00D3052E" w:rsidRPr="00131B28" w:rsidP="00D3052E" w14:paraId="57C0CE7F" w14:textId="77777777">
      <w:pPr>
        <w:tabs>
          <w:tab w:val="left" w:pos="708"/>
        </w:tabs>
        <w:spacing w:after="0" w:line="260" w:lineRule="exact"/>
        <w:rPr>
          <w:rFonts w:ascii="Arial" w:hAnsi="Arial" w:cs="Arial"/>
          <w:b/>
          <w:sz w:val="20"/>
          <w:szCs w:val="20"/>
        </w:rPr>
      </w:pPr>
    </w:p>
    <w:p w:rsidR="00D3052E" w:rsidP="00D3052E" w14:paraId="1ABEB282" w14:textId="77777777">
      <w:pPr>
        <w:tabs>
          <w:tab w:val="left" w:pos="708"/>
        </w:tabs>
        <w:spacing w:after="0" w:line="260" w:lineRule="exact"/>
        <w:rPr>
          <w:rFonts w:ascii="Arial" w:hAnsi="Arial" w:cs="Arial"/>
          <w:b/>
          <w:sz w:val="20"/>
          <w:szCs w:val="20"/>
        </w:rPr>
      </w:pPr>
    </w:p>
    <w:p w:rsidR="00D3052E" w:rsidP="00D3052E" w14:paraId="20D2ECEF" w14:textId="77777777">
      <w:pPr>
        <w:tabs>
          <w:tab w:val="left" w:pos="708"/>
        </w:tabs>
        <w:spacing w:after="0" w:line="260" w:lineRule="exact"/>
        <w:rPr>
          <w:rFonts w:ascii="Arial" w:hAnsi="Arial" w:cs="Arial"/>
          <w:b/>
          <w:sz w:val="20"/>
          <w:szCs w:val="20"/>
        </w:rPr>
      </w:pPr>
    </w:p>
    <w:p w:rsidR="00D3052E" w:rsidP="00D3052E" w14:paraId="56D86025" w14:textId="77777777">
      <w:pPr>
        <w:tabs>
          <w:tab w:val="left" w:pos="708"/>
        </w:tabs>
        <w:spacing w:after="0" w:line="260" w:lineRule="exact"/>
        <w:rPr>
          <w:rFonts w:ascii="Arial" w:hAnsi="Arial" w:cs="Arial"/>
          <w:b/>
          <w:sz w:val="20"/>
          <w:szCs w:val="20"/>
        </w:rPr>
      </w:pPr>
    </w:p>
    <w:p w:rsidR="00D3052E" w:rsidP="00D3052E" w14:paraId="45ED44AE" w14:textId="77777777">
      <w:pPr>
        <w:tabs>
          <w:tab w:val="left" w:pos="708"/>
        </w:tabs>
        <w:spacing w:after="0" w:line="260" w:lineRule="exact"/>
        <w:rPr>
          <w:rFonts w:ascii="Arial" w:hAnsi="Arial" w:cs="Arial"/>
          <w:b/>
          <w:sz w:val="20"/>
          <w:szCs w:val="20"/>
        </w:rPr>
      </w:pPr>
    </w:p>
    <w:p w:rsidR="00D3052E" w:rsidP="00D3052E" w14:paraId="3A70ADDD" w14:textId="77777777">
      <w:pPr>
        <w:tabs>
          <w:tab w:val="left" w:pos="708"/>
        </w:tabs>
        <w:spacing w:after="0" w:line="260" w:lineRule="exact"/>
        <w:rPr>
          <w:rFonts w:ascii="Arial" w:hAnsi="Arial" w:cs="Arial"/>
          <w:b/>
          <w:sz w:val="20"/>
          <w:szCs w:val="20"/>
        </w:rPr>
      </w:pPr>
    </w:p>
    <w:p w:rsidR="00D3052E" w:rsidP="00D3052E" w14:paraId="0FCACB48" w14:textId="77777777">
      <w:pPr>
        <w:tabs>
          <w:tab w:val="left" w:pos="708"/>
        </w:tabs>
        <w:spacing w:after="0" w:line="260" w:lineRule="exact"/>
        <w:rPr>
          <w:rFonts w:ascii="Arial" w:hAnsi="Arial" w:cs="Arial"/>
          <w:b/>
          <w:sz w:val="20"/>
          <w:szCs w:val="20"/>
        </w:rPr>
      </w:pPr>
    </w:p>
    <w:p w:rsidR="00D3052E" w:rsidP="00D3052E" w14:paraId="71E55462" w14:textId="77777777">
      <w:pPr>
        <w:tabs>
          <w:tab w:val="left" w:pos="708"/>
        </w:tabs>
        <w:spacing w:after="0" w:line="260" w:lineRule="exact"/>
        <w:rPr>
          <w:rFonts w:ascii="Arial" w:hAnsi="Arial" w:cs="Arial"/>
          <w:b/>
          <w:sz w:val="20"/>
          <w:szCs w:val="20"/>
        </w:rPr>
      </w:pPr>
    </w:p>
    <w:p w:rsidR="00D3052E" w:rsidP="00D3052E" w14:paraId="05E31B88" w14:textId="77777777">
      <w:pPr>
        <w:tabs>
          <w:tab w:val="left" w:pos="708"/>
        </w:tabs>
        <w:spacing w:after="0" w:line="260" w:lineRule="exact"/>
        <w:rPr>
          <w:rFonts w:ascii="Arial" w:hAnsi="Arial" w:cs="Arial"/>
          <w:b/>
          <w:sz w:val="20"/>
          <w:szCs w:val="20"/>
        </w:rPr>
      </w:pPr>
    </w:p>
    <w:p w:rsidR="00D3052E" w:rsidP="00D3052E" w14:paraId="74A3E17B" w14:textId="77777777">
      <w:pPr>
        <w:tabs>
          <w:tab w:val="left" w:pos="708"/>
        </w:tabs>
        <w:spacing w:after="0" w:line="260" w:lineRule="exact"/>
        <w:rPr>
          <w:rFonts w:ascii="Arial" w:hAnsi="Arial" w:cs="Arial"/>
          <w:b/>
          <w:sz w:val="20"/>
          <w:szCs w:val="20"/>
        </w:rPr>
      </w:pPr>
    </w:p>
    <w:p w:rsidR="00D3052E" w:rsidP="00D3052E" w14:paraId="4E0E2AE9" w14:textId="77777777">
      <w:pPr>
        <w:tabs>
          <w:tab w:val="left" w:pos="708"/>
        </w:tabs>
        <w:spacing w:after="0" w:line="260" w:lineRule="exact"/>
        <w:rPr>
          <w:rFonts w:ascii="Arial" w:hAnsi="Arial" w:cs="Arial"/>
          <w:b/>
          <w:sz w:val="20"/>
          <w:szCs w:val="20"/>
        </w:rPr>
      </w:pPr>
    </w:p>
    <w:p w:rsidR="00D3052E" w:rsidP="00D3052E" w14:paraId="109116F9" w14:textId="77777777">
      <w:pPr>
        <w:tabs>
          <w:tab w:val="left" w:pos="708"/>
        </w:tabs>
        <w:spacing w:after="0" w:line="260" w:lineRule="exact"/>
        <w:rPr>
          <w:rFonts w:ascii="Arial" w:hAnsi="Arial" w:cs="Arial"/>
          <w:b/>
          <w:sz w:val="20"/>
          <w:szCs w:val="20"/>
        </w:rPr>
      </w:pPr>
    </w:p>
    <w:p w:rsidR="00D3052E" w:rsidRPr="005F6562" w:rsidP="00D3052E" w14:paraId="292AF845" w14:textId="77777777">
      <w:pPr>
        <w:spacing w:after="0" w:line="260" w:lineRule="exact"/>
        <w:rPr>
          <w:rFonts w:ascii="Arial" w:hAnsi="Arial" w:cs="Arial"/>
          <w:sz w:val="20"/>
          <w:szCs w:val="20"/>
        </w:rPr>
      </w:pPr>
      <w:r w:rsidRPr="005F6562">
        <w:rPr>
          <w:rFonts w:ascii="Arial" w:hAnsi="Arial" w:cs="Arial"/>
          <w:sz w:val="20"/>
          <w:szCs w:val="20"/>
        </w:rPr>
        <w:t>OBRAZLOŽITEV</w:t>
      </w:r>
    </w:p>
    <w:p w:rsidR="00D3052E" w:rsidRPr="005F6562" w:rsidP="00D3052E" w14:paraId="7083302D" w14:textId="77777777">
      <w:pPr>
        <w:spacing w:after="0"/>
        <w:jc w:val="both"/>
        <w:rPr>
          <w:rFonts w:ascii="Arial" w:hAnsi="Arial" w:cs="Arial"/>
          <w:sz w:val="20"/>
          <w:szCs w:val="20"/>
        </w:rPr>
      </w:pPr>
    </w:p>
    <w:p w:rsidR="00D3052E" w:rsidRPr="00033FEB" w:rsidP="00D3052E" w14:paraId="73DC28A1" w14:textId="77777777">
      <w:pPr>
        <w:spacing w:after="0"/>
        <w:jc w:val="both"/>
        <w:rPr>
          <w:rFonts w:ascii="Arial" w:eastAsia="Times New Roman" w:hAnsi="Arial" w:cs="Arial"/>
          <w:sz w:val="20"/>
          <w:szCs w:val="20"/>
          <w:lang w:eastAsia="sl-SI"/>
        </w:rPr>
      </w:pPr>
      <w:r w:rsidRPr="00033FEB">
        <w:rPr>
          <w:rFonts w:ascii="Arial" w:hAnsi="Arial" w:cs="Arial"/>
          <w:iCs/>
          <w:sz w:val="20"/>
          <w:szCs w:val="20"/>
        </w:rPr>
        <w:t>Varstvo vojnih grobišč in varstvo prikritih vojnih grobišč je v Republiki Sloveniji urejeno z Zakonom o vojnih grobiščih (Uradni list RS, št. 65/03, 72/09 in 32/17; v nadaljnjem besedilu: ZVG) in z Zakonom o prikritih vojnih grobiščih in pokopu žrtev (Uradni list RS, št. 55/15 in 92/21; v nadaljnjem besedilu: ZPVGPŽ). Varstvo vojnih grobišč in varstvo prikritih vojnih grobišč je v pristojnosti Republike Slovenije.</w:t>
      </w:r>
      <w:r w:rsidRPr="00033FEB">
        <w:rPr>
          <w:rFonts w:ascii="Arial" w:eastAsia="Times New Roman" w:hAnsi="Arial" w:cs="Arial"/>
          <w:sz w:val="20"/>
          <w:szCs w:val="20"/>
          <w:lang w:eastAsia="sl-SI"/>
        </w:rPr>
        <w:t xml:space="preserve"> ZPVGPŽ v 3. členu določa, da je za varstvo prikritih vojnih grobišč pristojno ministrstvo, ki je pristojno za vojna grobišča, torej </w:t>
      </w:r>
      <w:r>
        <w:rPr>
          <w:rFonts w:ascii="Arial" w:eastAsia="Times New Roman" w:hAnsi="Arial" w:cs="Arial"/>
          <w:sz w:val="20"/>
          <w:szCs w:val="20"/>
          <w:lang w:eastAsia="sl-SI"/>
        </w:rPr>
        <w:t>M</w:t>
      </w:r>
      <w:r w:rsidRPr="00033FEB">
        <w:rPr>
          <w:rFonts w:ascii="Arial" w:eastAsia="Times New Roman" w:hAnsi="Arial" w:cs="Arial"/>
          <w:sz w:val="20"/>
          <w:szCs w:val="20"/>
          <w:lang w:eastAsia="sl-SI"/>
        </w:rPr>
        <w:t xml:space="preserve">inistrstvo za obrambo. Zakon o državni upravi (Uradni list RS, št. </w:t>
      </w:r>
      <w:hyperlink r:id="rId6" w:tgtFrame="_blank" w:tooltip="Zakon o državni upravi (uradno prečiščeno besedilo)" w:history="1">
        <w:r w:rsidRPr="00033FEB">
          <w:rPr>
            <w:rFonts w:ascii="Arial" w:eastAsia="Times New Roman" w:hAnsi="Arial" w:cs="Arial"/>
            <w:sz w:val="20"/>
            <w:szCs w:val="20"/>
            <w:lang w:eastAsia="sl-SI"/>
          </w:rPr>
          <w:t>113/05</w:t>
        </w:r>
      </w:hyperlink>
      <w:r w:rsidRPr="00033FEB">
        <w:rPr>
          <w:rFonts w:ascii="Arial" w:eastAsia="Times New Roman" w:hAnsi="Arial" w:cs="Arial"/>
          <w:sz w:val="20"/>
          <w:szCs w:val="20"/>
          <w:lang w:eastAsia="sl-SI"/>
        </w:rPr>
        <w:t xml:space="preserve"> – uradno prečiščeno besedilo, </w:t>
      </w:r>
      <w:hyperlink r:id="rId7" w:tgtFrame="_blank" w:tooltip="Odločba o razveljavitvi 2. člena Zakona o spremembah in dopolnitvah Zakona o državni upravi" w:history="1">
        <w:r w:rsidRPr="00033FEB">
          <w:rPr>
            <w:rFonts w:ascii="Arial" w:eastAsia="Times New Roman" w:hAnsi="Arial" w:cs="Arial"/>
            <w:sz w:val="20"/>
            <w:szCs w:val="20"/>
            <w:lang w:eastAsia="sl-SI"/>
          </w:rPr>
          <w:t>89/07</w:t>
        </w:r>
      </w:hyperlink>
      <w:r w:rsidRPr="00033FEB">
        <w:rPr>
          <w:rFonts w:ascii="Arial" w:eastAsia="Times New Roman" w:hAnsi="Arial" w:cs="Arial"/>
          <w:sz w:val="20"/>
          <w:szCs w:val="20"/>
          <w:lang w:eastAsia="sl-SI"/>
        </w:rPr>
        <w:t xml:space="preserve"> – </w:t>
      </w:r>
      <w:r w:rsidRPr="00033FEB">
        <w:rPr>
          <w:rFonts w:ascii="Arial" w:eastAsia="Times New Roman" w:hAnsi="Arial" w:cs="Arial"/>
          <w:sz w:val="20"/>
          <w:szCs w:val="20"/>
          <w:lang w:eastAsia="sl-SI"/>
        </w:rPr>
        <w:t>odl</w:t>
      </w:r>
      <w:r w:rsidRPr="00033FEB">
        <w:rPr>
          <w:rFonts w:ascii="Arial" w:eastAsia="Times New Roman" w:hAnsi="Arial" w:cs="Arial"/>
          <w:sz w:val="20"/>
          <w:szCs w:val="20"/>
          <w:lang w:eastAsia="sl-SI"/>
        </w:rPr>
        <w:t xml:space="preserve">. US, </w:t>
      </w:r>
      <w:hyperlink r:id="rId8" w:tgtFrame="_blank" w:tooltip="Zakon o spremembah in dopolnitvah Zakona o splošnem upravnem postopku" w:history="1">
        <w:r w:rsidRPr="00033FEB">
          <w:rPr>
            <w:rFonts w:ascii="Arial" w:eastAsia="Times New Roman" w:hAnsi="Arial" w:cs="Arial"/>
            <w:sz w:val="20"/>
            <w:szCs w:val="20"/>
            <w:lang w:eastAsia="sl-SI"/>
          </w:rPr>
          <w:t>126/07</w:t>
        </w:r>
      </w:hyperlink>
      <w:r w:rsidRPr="00033FEB">
        <w:rPr>
          <w:rFonts w:ascii="Arial" w:eastAsia="Times New Roman" w:hAnsi="Arial" w:cs="Arial"/>
          <w:sz w:val="20"/>
          <w:szCs w:val="20"/>
          <w:lang w:eastAsia="sl-SI"/>
        </w:rPr>
        <w:t xml:space="preserve"> – ZUP-E, </w:t>
      </w:r>
      <w:hyperlink r:id="rId9" w:tgtFrame="_blank" w:tooltip="Zakon o spremembah in dopolnitvah Zakona o državni upravi" w:history="1">
        <w:r w:rsidRPr="00033FEB">
          <w:rPr>
            <w:rFonts w:ascii="Arial" w:eastAsia="Times New Roman" w:hAnsi="Arial" w:cs="Arial"/>
            <w:sz w:val="20"/>
            <w:szCs w:val="20"/>
            <w:lang w:eastAsia="sl-SI"/>
          </w:rPr>
          <w:t>48/09</w:t>
        </w:r>
      </w:hyperlink>
      <w:r w:rsidRPr="00033FEB">
        <w:rPr>
          <w:rFonts w:ascii="Arial" w:eastAsia="Times New Roman" w:hAnsi="Arial" w:cs="Arial"/>
          <w:sz w:val="20"/>
          <w:szCs w:val="20"/>
          <w:lang w:eastAsia="sl-SI"/>
        </w:rPr>
        <w:t xml:space="preserve">, </w:t>
      </w:r>
      <w:hyperlink r:id="rId10" w:tgtFrame="_blank" w:tooltip="Zakon o spremembah in dopolnitvah Zakona o splošnem upravnem postopku" w:history="1">
        <w:r w:rsidRPr="00033FEB">
          <w:rPr>
            <w:rFonts w:ascii="Arial" w:eastAsia="Times New Roman" w:hAnsi="Arial" w:cs="Arial"/>
            <w:sz w:val="20"/>
            <w:szCs w:val="20"/>
            <w:lang w:eastAsia="sl-SI"/>
          </w:rPr>
          <w:t>8/10</w:t>
        </w:r>
      </w:hyperlink>
      <w:r w:rsidRPr="00033FEB">
        <w:rPr>
          <w:rFonts w:ascii="Arial" w:eastAsia="Times New Roman" w:hAnsi="Arial" w:cs="Arial"/>
          <w:sz w:val="20"/>
          <w:szCs w:val="20"/>
          <w:lang w:eastAsia="sl-SI"/>
        </w:rPr>
        <w:t xml:space="preserve"> – ZUP-G, </w:t>
      </w:r>
      <w:hyperlink r:id="rId11" w:tgtFrame="_blank" w:tooltip="Zakon o spremembah in dopolnitvah Zakona o Vladi Republike Slovenije" w:history="1">
        <w:r w:rsidRPr="00033FEB">
          <w:rPr>
            <w:rFonts w:ascii="Arial" w:eastAsia="Times New Roman" w:hAnsi="Arial" w:cs="Arial"/>
            <w:sz w:val="20"/>
            <w:szCs w:val="20"/>
            <w:lang w:eastAsia="sl-SI"/>
          </w:rPr>
          <w:t>8/12</w:t>
        </w:r>
      </w:hyperlink>
      <w:r w:rsidRPr="00033FEB">
        <w:rPr>
          <w:rFonts w:ascii="Arial" w:eastAsia="Times New Roman" w:hAnsi="Arial" w:cs="Arial"/>
          <w:sz w:val="20"/>
          <w:szCs w:val="20"/>
          <w:lang w:eastAsia="sl-SI"/>
        </w:rPr>
        <w:t xml:space="preserve"> – ZVRS-F, </w:t>
      </w:r>
      <w:hyperlink r:id="rId12" w:tgtFrame="_blank" w:tooltip="Zakon o spremembah in dopolnitvah Zakona o državni upravi" w:history="1">
        <w:r w:rsidRPr="00033FEB">
          <w:rPr>
            <w:rFonts w:ascii="Arial" w:eastAsia="Times New Roman" w:hAnsi="Arial" w:cs="Arial"/>
            <w:sz w:val="20"/>
            <w:szCs w:val="20"/>
            <w:lang w:eastAsia="sl-SI"/>
          </w:rPr>
          <w:t>21/12</w:t>
        </w:r>
      </w:hyperlink>
      <w:r w:rsidRPr="00033FEB">
        <w:rPr>
          <w:rFonts w:ascii="Arial" w:eastAsia="Times New Roman" w:hAnsi="Arial" w:cs="Arial"/>
          <w:sz w:val="20"/>
          <w:szCs w:val="20"/>
          <w:lang w:eastAsia="sl-SI"/>
        </w:rPr>
        <w:t xml:space="preserve">, </w:t>
      </w:r>
      <w:hyperlink r:id="rId13" w:tgtFrame="_blank" w:tooltip="Zakon o spremembah in dopolnitvah Zakona o državni upravi" w:history="1">
        <w:r w:rsidRPr="00033FEB">
          <w:rPr>
            <w:rFonts w:ascii="Arial" w:eastAsia="Times New Roman" w:hAnsi="Arial" w:cs="Arial"/>
            <w:sz w:val="20"/>
            <w:szCs w:val="20"/>
            <w:lang w:eastAsia="sl-SI"/>
          </w:rPr>
          <w:t>47/13</w:t>
        </w:r>
      </w:hyperlink>
      <w:r w:rsidRPr="00033FEB">
        <w:rPr>
          <w:rFonts w:ascii="Arial" w:eastAsia="Times New Roman" w:hAnsi="Arial" w:cs="Arial"/>
          <w:sz w:val="20"/>
          <w:szCs w:val="20"/>
          <w:lang w:eastAsia="sl-SI"/>
        </w:rPr>
        <w:t xml:space="preserve">, </w:t>
      </w:r>
      <w:hyperlink r:id="rId14" w:tgtFrame="_blank" w:tooltip="Zakon o spremembi Zakona o državni upravi" w:history="1">
        <w:r w:rsidRPr="00033FEB">
          <w:rPr>
            <w:rFonts w:ascii="Arial" w:eastAsia="Times New Roman" w:hAnsi="Arial" w:cs="Arial"/>
            <w:sz w:val="20"/>
            <w:szCs w:val="20"/>
            <w:lang w:eastAsia="sl-SI"/>
          </w:rPr>
          <w:t>12/14</w:t>
        </w:r>
      </w:hyperlink>
      <w:r w:rsidRPr="00033FEB">
        <w:rPr>
          <w:rFonts w:ascii="Arial" w:eastAsia="Times New Roman" w:hAnsi="Arial" w:cs="Arial"/>
          <w:sz w:val="20"/>
          <w:szCs w:val="20"/>
          <w:lang w:eastAsia="sl-SI"/>
        </w:rPr>
        <w:t xml:space="preserve">, </w:t>
      </w:r>
      <w:hyperlink r:id="rId15" w:tgtFrame="_blank" w:tooltip="Zakon o spremembah in dopolnitvah Zakona o državni upravi" w:history="1">
        <w:r w:rsidRPr="00033FEB">
          <w:rPr>
            <w:rFonts w:ascii="Arial" w:eastAsia="Times New Roman" w:hAnsi="Arial" w:cs="Arial"/>
            <w:sz w:val="20"/>
            <w:szCs w:val="20"/>
            <w:lang w:eastAsia="sl-SI"/>
          </w:rPr>
          <w:t>90/14</w:t>
        </w:r>
      </w:hyperlink>
      <w:r w:rsidRPr="00033FEB">
        <w:rPr>
          <w:rFonts w:ascii="Arial" w:eastAsia="Times New Roman" w:hAnsi="Arial" w:cs="Arial"/>
          <w:sz w:val="20"/>
          <w:szCs w:val="20"/>
          <w:lang w:eastAsia="sl-SI"/>
        </w:rPr>
        <w:t xml:space="preserve">, </w:t>
      </w:r>
      <w:hyperlink r:id="rId16" w:tgtFrame="_blank" w:tooltip="Zakon o spremembah in dopolnitvah Zakona o državni upravi" w:history="1">
        <w:r w:rsidRPr="00033FEB">
          <w:rPr>
            <w:rFonts w:ascii="Arial" w:eastAsia="Times New Roman" w:hAnsi="Arial" w:cs="Arial"/>
            <w:sz w:val="20"/>
            <w:szCs w:val="20"/>
            <w:lang w:eastAsia="sl-SI"/>
          </w:rPr>
          <w:t>51/16</w:t>
        </w:r>
      </w:hyperlink>
      <w:r w:rsidRPr="00033FEB">
        <w:rPr>
          <w:rFonts w:ascii="Arial" w:eastAsia="Times New Roman" w:hAnsi="Arial" w:cs="Arial"/>
          <w:sz w:val="20"/>
          <w:szCs w:val="20"/>
          <w:lang w:eastAsia="sl-SI"/>
        </w:rPr>
        <w:t xml:space="preserve">, </w:t>
      </w:r>
      <w:hyperlink r:id="rId17" w:tgtFrame="_blank" w:tooltip="Zakon o spremembah in dopolnitvi Zakona o državni upravi" w:history="1">
        <w:r w:rsidRPr="00033FEB">
          <w:rPr>
            <w:rFonts w:ascii="Arial" w:eastAsia="Times New Roman" w:hAnsi="Arial" w:cs="Arial"/>
            <w:sz w:val="20"/>
            <w:szCs w:val="20"/>
            <w:lang w:eastAsia="sl-SI"/>
          </w:rPr>
          <w:t>36/21</w:t>
        </w:r>
      </w:hyperlink>
      <w:r w:rsidRPr="00033FEB">
        <w:rPr>
          <w:rFonts w:ascii="Arial" w:eastAsia="Times New Roman" w:hAnsi="Arial" w:cs="Arial"/>
          <w:sz w:val="20"/>
          <w:szCs w:val="20"/>
          <w:lang w:eastAsia="sl-SI"/>
        </w:rPr>
        <w:t xml:space="preserve">, </w:t>
      </w:r>
      <w:hyperlink r:id="rId18" w:tgtFrame="_blank" w:tooltip="Zakon o spremembi in dopolnitvi Zakona o državni upravi" w:history="1">
        <w:r w:rsidRPr="00033FEB">
          <w:rPr>
            <w:rFonts w:ascii="Arial" w:eastAsia="Times New Roman" w:hAnsi="Arial" w:cs="Arial"/>
            <w:sz w:val="20"/>
            <w:szCs w:val="20"/>
            <w:lang w:eastAsia="sl-SI"/>
          </w:rPr>
          <w:t>82/21</w:t>
        </w:r>
      </w:hyperlink>
      <w:r w:rsidRPr="00033FEB">
        <w:rPr>
          <w:rFonts w:ascii="Arial" w:eastAsia="Times New Roman" w:hAnsi="Arial" w:cs="Arial"/>
          <w:sz w:val="20"/>
          <w:szCs w:val="20"/>
          <w:lang w:eastAsia="sl-SI"/>
        </w:rPr>
        <w:t xml:space="preserve"> in </w:t>
      </w:r>
      <w:hyperlink r:id="rId19" w:tgtFrame="_blank" w:tooltip="Zakon o spremembah Zakona o državni upravi" w:history="1">
        <w:r w:rsidRPr="00033FEB">
          <w:rPr>
            <w:rFonts w:ascii="Arial" w:eastAsia="Times New Roman" w:hAnsi="Arial" w:cs="Arial"/>
            <w:sz w:val="20"/>
            <w:szCs w:val="20"/>
            <w:lang w:eastAsia="sl-SI"/>
          </w:rPr>
          <w:t>189/21</w:t>
        </w:r>
      </w:hyperlink>
      <w:r w:rsidRPr="00033FEB">
        <w:rPr>
          <w:rFonts w:ascii="Arial" w:eastAsia="Times New Roman" w:hAnsi="Arial" w:cs="Arial"/>
          <w:sz w:val="20"/>
          <w:szCs w:val="20"/>
          <w:lang w:eastAsia="sl-SI"/>
        </w:rPr>
        <w:t>) v 35. členu določa, da Ministrstvo za obrambo opravlja naloge na področjih obrambnega sistema, sistema varstva pred naravnimi in drugimi nesrečami, vojnih invalidov, vojnih veteranov in žrtev vojnega nasilja ter vojnih grobišč).</w:t>
      </w:r>
    </w:p>
    <w:p w:rsidR="00D3052E" w:rsidRPr="00033FEB" w:rsidP="00D3052E" w14:paraId="600F931C" w14:textId="77777777">
      <w:pPr>
        <w:spacing w:after="0"/>
        <w:jc w:val="both"/>
        <w:rPr>
          <w:rFonts w:ascii="Arial" w:eastAsia="Times New Roman" w:hAnsi="Arial" w:cs="Arial"/>
          <w:sz w:val="20"/>
          <w:szCs w:val="20"/>
          <w:lang w:eastAsia="sl-SI"/>
        </w:rPr>
      </w:pPr>
    </w:p>
    <w:p w:rsidR="00D3052E" w:rsidRPr="00033FEB" w:rsidP="00D3052E" w14:paraId="508B854B" w14:textId="77777777">
      <w:pPr>
        <w:spacing w:after="0"/>
        <w:jc w:val="both"/>
        <w:rPr>
          <w:rFonts w:ascii="Arial" w:eastAsia="Times New Roman" w:hAnsi="Arial" w:cs="Arial"/>
          <w:color w:val="000000"/>
          <w:sz w:val="20"/>
          <w:szCs w:val="20"/>
          <w:lang w:eastAsia="sl-SI"/>
        </w:rPr>
      </w:pPr>
      <w:r w:rsidRPr="00AF2DF0">
        <w:rPr>
          <w:rFonts w:ascii="Arial" w:eastAsia="Times New Roman" w:hAnsi="Arial" w:cs="Arial"/>
          <w:color w:val="000000"/>
          <w:sz w:val="20"/>
          <w:szCs w:val="20"/>
          <w:lang w:eastAsia="sl-SI"/>
        </w:rPr>
        <w:t>Za vodenje aktivnosti pri postopku odkrivanja prikritih vojnih grobišč, v skladu z ZPVGPŽ in ZVG je Vlada Republike Slovenije dne 10. 5. 2022</w:t>
      </w:r>
      <w:r>
        <w:rPr>
          <w:rFonts w:ascii="Arial" w:eastAsia="Times New Roman" w:hAnsi="Arial" w:cs="Arial"/>
          <w:color w:val="000000"/>
          <w:sz w:val="20"/>
          <w:szCs w:val="20"/>
          <w:lang w:eastAsia="sl-SI"/>
        </w:rPr>
        <w:t xml:space="preserve"> </w:t>
      </w:r>
      <w:r w:rsidRPr="00AF2DF0">
        <w:rPr>
          <w:rFonts w:ascii="Arial" w:eastAsia="Times New Roman" w:hAnsi="Arial" w:cs="Arial"/>
          <w:color w:val="000000"/>
          <w:sz w:val="20"/>
          <w:szCs w:val="20"/>
          <w:lang w:eastAsia="sl-SI"/>
        </w:rPr>
        <w:t xml:space="preserve">(sklep Vlade RS št. 01201-3/2022/6) imenovala člane Komisije Vlade Republike Slovenije za reševanje vprašanj prikritih grobišč.  Mandat komisije se je začel 15. 5. 2022 in traja pet let. Člane komisije je predlagalo Ministrstvo za obrambo. Komisijo sestavljajo dr. Jože Dežman, predsednik; dr. Mitja Ferenc, član; dr. Anton Velušček, član; dr. Maksimiljan Sagadin, član; dr. Jožef Možina, član; dr. Renato </w:t>
      </w:r>
      <w:r w:rsidRPr="00AF2DF0">
        <w:rPr>
          <w:rFonts w:ascii="Arial" w:eastAsia="Times New Roman" w:hAnsi="Arial" w:cs="Arial"/>
          <w:color w:val="000000"/>
          <w:sz w:val="20"/>
          <w:szCs w:val="20"/>
          <w:lang w:eastAsia="sl-SI"/>
        </w:rPr>
        <w:t>Podbersič</w:t>
      </w:r>
      <w:r w:rsidRPr="00AF2DF0">
        <w:rPr>
          <w:rFonts w:ascii="Arial" w:eastAsia="Times New Roman" w:hAnsi="Arial" w:cs="Arial"/>
          <w:color w:val="000000"/>
          <w:sz w:val="20"/>
          <w:szCs w:val="20"/>
          <w:lang w:eastAsia="sl-SI"/>
        </w:rPr>
        <w:t xml:space="preserve">, </w:t>
      </w:r>
      <w:r w:rsidRPr="00C600C0">
        <w:rPr>
          <w:rFonts w:ascii="Arial" w:eastAsia="Times New Roman" w:hAnsi="Arial" w:cs="Arial"/>
          <w:color w:val="000000"/>
          <w:sz w:val="20"/>
          <w:szCs w:val="20"/>
          <w:lang w:eastAsia="sl-SI"/>
        </w:rPr>
        <w:t>član; Breda Gačnik,</w:t>
      </w:r>
      <w:r w:rsidRPr="00AF2DF0">
        <w:rPr>
          <w:rFonts w:ascii="Arial" w:eastAsia="Times New Roman" w:hAnsi="Arial" w:cs="Arial"/>
          <w:color w:val="000000"/>
          <w:sz w:val="20"/>
          <w:szCs w:val="20"/>
          <w:lang w:eastAsia="sl-SI"/>
        </w:rPr>
        <w:t xml:space="preserve"> članica; dr. Tomaž </w:t>
      </w:r>
      <w:r w:rsidRPr="00AF2DF0">
        <w:rPr>
          <w:rFonts w:ascii="Arial" w:eastAsia="Times New Roman" w:hAnsi="Arial" w:cs="Arial"/>
          <w:color w:val="000000"/>
          <w:sz w:val="20"/>
          <w:szCs w:val="20"/>
          <w:lang w:eastAsia="sl-SI"/>
        </w:rPr>
        <w:t>Ivešić</w:t>
      </w:r>
      <w:r w:rsidRPr="00AF2DF0">
        <w:rPr>
          <w:rFonts w:ascii="Arial" w:eastAsia="Times New Roman" w:hAnsi="Arial" w:cs="Arial"/>
          <w:color w:val="000000"/>
          <w:sz w:val="20"/>
          <w:szCs w:val="20"/>
          <w:lang w:eastAsia="sl-SI"/>
        </w:rPr>
        <w:t xml:space="preserve">, član in Peter Sušnik, član. </w:t>
      </w:r>
      <w:r w:rsidRPr="00033FEB">
        <w:rPr>
          <w:rFonts w:ascii="Arial" w:eastAsia="Times New Roman" w:hAnsi="Arial" w:cs="Arial"/>
          <w:color w:val="000000"/>
          <w:sz w:val="20"/>
          <w:szCs w:val="20"/>
          <w:lang w:eastAsia="sl-SI"/>
        </w:rPr>
        <w:t xml:space="preserve"> </w:t>
      </w:r>
    </w:p>
    <w:p w:rsidR="00D3052E" w:rsidP="00D3052E" w14:paraId="13856C36" w14:textId="77777777">
      <w:pPr>
        <w:spacing w:after="0"/>
        <w:jc w:val="both"/>
        <w:rPr>
          <w:rFonts w:ascii="Arial" w:hAnsi="Arial" w:cs="Arial"/>
          <w:iCs/>
          <w:sz w:val="20"/>
          <w:szCs w:val="20"/>
        </w:rPr>
      </w:pPr>
    </w:p>
    <w:p w:rsidR="00D3052E" w:rsidRPr="00033FEB" w:rsidP="00D3052E" w14:paraId="0094FE8E" w14:textId="77777777">
      <w:pPr>
        <w:spacing w:after="0"/>
        <w:jc w:val="both"/>
        <w:rPr>
          <w:rFonts w:ascii="Arial" w:hAnsi="Arial" w:cs="Arial"/>
          <w:sz w:val="20"/>
          <w:szCs w:val="20"/>
        </w:rPr>
      </w:pPr>
      <w:r w:rsidRPr="00033FEB">
        <w:rPr>
          <w:rFonts w:ascii="Arial" w:hAnsi="Arial" w:cs="Arial"/>
          <w:sz w:val="20"/>
          <w:szCs w:val="20"/>
        </w:rPr>
        <w:t xml:space="preserve">Zakon o prikritih vojnih grobiščih in pokopu žrtev (Uradni list RS, št. 55/15 in 92/21) v tretjem odstavku 4. člena določa, da </w:t>
      </w:r>
      <w:r>
        <w:rPr>
          <w:rFonts w:ascii="Arial" w:hAnsi="Arial" w:cs="Arial"/>
          <w:sz w:val="20"/>
          <w:szCs w:val="20"/>
        </w:rPr>
        <w:t>k</w:t>
      </w:r>
      <w:r w:rsidRPr="00033FEB">
        <w:rPr>
          <w:rFonts w:ascii="Arial" w:hAnsi="Arial" w:cs="Arial"/>
          <w:sz w:val="20"/>
          <w:szCs w:val="20"/>
        </w:rPr>
        <w:t xml:space="preserve">omisija </w:t>
      </w:r>
      <w:r>
        <w:rPr>
          <w:rFonts w:ascii="Arial" w:hAnsi="Arial" w:cs="Arial"/>
          <w:sz w:val="20"/>
          <w:szCs w:val="20"/>
        </w:rPr>
        <w:t xml:space="preserve">sprejme letni program dela in ga predloži vladi v potrditev, ter pripravi predlog letnega finančnega načrta dela in ga predloži vladi v potrditev. </w:t>
      </w:r>
    </w:p>
    <w:p w:rsidR="00D3052E" w:rsidRPr="00033FEB" w:rsidP="00D3052E" w14:paraId="6EF64422" w14:textId="77777777">
      <w:pPr>
        <w:spacing w:after="0"/>
        <w:jc w:val="both"/>
        <w:rPr>
          <w:rFonts w:ascii="Arial" w:eastAsia="Times New Roman" w:hAnsi="Arial" w:cs="Arial"/>
          <w:color w:val="000000"/>
          <w:sz w:val="20"/>
          <w:szCs w:val="20"/>
          <w:lang w:eastAsia="sl-SI"/>
        </w:rPr>
      </w:pPr>
    </w:p>
    <w:p w:rsidR="00D3052E" w:rsidRPr="005F6562" w:rsidP="00D3052E" w14:paraId="78A0AF2E" w14:textId="77777777">
      <w:pPr>
        <w:spacing w:after="0"/>
        <w:jc w:val="both"/>
        <w:rPr>
          <w:rFonts w:ascii="Arial" w:hAnsi="Arial" w:cs="Arial"/>
          <w:iCs/>
          <w:sz w:val="20"/>
          <w:szCs w:val="20"/>
        </w:rPr>
      </w:pPr>
      <w:r w:rsidRPr="005F6562">
        <w:rPr>
          <w:rFonts w:ascii="Arial" w:hAnsi="Arial" w:cs="Arial"/>
          <w:iCs/>
          <w:sz w:val="20"/>
          <w:szCs w:val="20"/>
        </w:rPr>
        <w:t>Skladno s programom dela komisi</w:t>
      </w:r>
      <w:r>
        <w:rPr>
          <w:rFonts w:ascii="Arial" w:hAnsi="Arial" w:cs="Arial"/>
          <w:iCs/>
          <w:sz w:val="20"/>
          <w:szCs w:val="20"/>
        </w:rPr>
        <w:t xml:space="preserve">je za leto 2025 so proračunska </w:t>
      </w:r>
      <w:r w:rsidRPr="005F6562">
        <w:rPr>
          <w:rFonts w:ascii="Arial" w:hAnsi="Arial" w:cs="Arial"/>
          <w:iCs/>
          <w:sz w:val="20"/>
          <w:szCs w:val="20"/>
        </w:rPr>
        <w:t xml:space="preserve">sredstva predvidena za vse stopnje postopka odkrivanja prikritih vojnih grobišč. Večina sredstev je namenjena dokončanju prekopa posmrtnih ostankov iz prikritega vojnega grobišča Macesnova Gorica. </w:t>
      </w:r>
    </w:p>
    <w:p w:rsidR="00D3052E" w:rsidRPr="00033FEB" w:rsidP="00D3052E" w14:paraId="476D7391" w14:textId="77777777">
      <w:pPr>
        <w:spacing w:after="0"/>
        <w:jc w:val="both"/>
        <w:rPr>
          <w:rFonts w:ascii="Arial" w:eastAsia="Times New Roman" w:hAnsi="Arial" w:cs="Arial"/>
          <w:sz w:val="20"/>
          <w:szCs w:val="20"/>
        </w:rPr>
      </w:pPr>
    </w:p>
    <w:p w:rsidR="00D3052E" w:rsidP="00D3052E" w14:paraId="4CF76541" w14:textId="77777777">
      <w:pPr>
        <w:spacing w:after="0"/>
        <w:jc w:val="both"/>
        <w:rPr>
          <w:rFonts w:ascii="Arial" w:eastAsia="Times New Roman" w:hAnsi="Arial" w:cs="Arial"/>
          <w:sz w:val="20"/>
          <w:szCs w:val="20"/>
          <w:lang w:eastAsia="sl-SI"/>
        </w:rPr>
      </w:pPr>
      <w:r w:rsidRPr="005F6562">
        <w:rPr>
          <w:rFonts w:ascii="Arial" w:hAnsi="Arial" w:cs="Arial"/>
          <w:sz w:val="20"/>
          <w:szCs w:val="20"/>
        </w:rPr>
        <w:t>Sredstva za delo Komisije Vlade RS za reševanje vprašanj prikritih grobišč so zagotovljena v Proračunu Republike Slovenije za leto 202</w:t>
      </w:r>
      <w:r>
        <w:rPr>
          <w:rFonts w:ascii="Arial" w:hAnsi="Arial" w:cs="Arial"/>
          <w:sz w:val="20"/>
          <w:szCs w:val="20"/>
        </w:rPr>
        <w:t>5</w:t>
      </w:r>
      <w:r w:rsidRPr="005F6562">
        <w:rPr>
          <w:rFonts w:ascii="Arial" w:hAnsi="Arial" w:cs="Arial"/>
          <w:sz w:val="20"/>
          <w:szCs w:val="20"/>
        </w:rPr>
        <w:t xml:space="preserve">, </w:t>
      </w:r>
      <w:r>
        <w:rPr>
          <w:rFonts w:ascii="Arial" w:hAnsi="Arial" w:cs="Arial"/>
          <w:sz w:val="20"/>
          <w:szCs w:val="20"/>
        </w:rPr>
        <w:t>Direktorat za vojne veterane in vojaško dediščino</w:t>
      </w:r>
      <w:r w:rsidRPr="005F6562">
        <w:rPr>
          <w:rFonts w:ascii="Arial" w:hAnsi="Arial" w:cs="Arial"/>
          <w:sz w:val="20"/>
          <w:szCs w:val="20"/>
        </w:rPr>
        <w:t>, Ministrstvo za obrambo (</w:t>
      </w:r>
      <w:r w:rsidRPr="005F6562">
        <w:rPr>
          <w:rFonts w:ascii="Arial" w:eastAsia="Times New Roman" w:hAnsi="Arial" w:cs="Arial"/>
          <w:bCs/>
          <w:sz w:val="20"/>
          <w:szCs w:val="20"/>
          <w:lang w:eastAsia="sl-SI"/>
        </w:rPr>
        <w:t>Proračunska postavka</w:t>
      </w:r>
      <w:r w:rsidRPr="005F6562">
        <w:rPr>
          <w:rFonts w:ascii="Arial" w:eastAsia="Times New Roman" w:hAnsi="Arial" w:cs="Arial"/>
          <w:sz w:val="20"/>
          <w:szCs w:val="20"/>
          <w:lang w:eastAsia="sl-SI"/>
        </w:rPr>
        <w:t xml:space="preserve">: </w:t>
      </w:r>
      <w:r w:rsidRPr="00C64A20">
        <w:rPr>
          <w:rFonts w:ascii="Arial" w:hAnsi="Arial" w:cs="Arial"/>
          <w:sz w:val="20"/>
          <w:szCs w:val="20"/>
        </w:rPr>
        <w:t>230548</w:t>
      </w:r>
      <w:r>
        <w:rPr>
          <w:rFonts w:ascii="Arial" w:eastAsia="Times New Roman" w:hAnsi="Arial" w:cs="Arial"/>
          <w:sz w:val="20"/>
          <w:szCs w:val="20"/>
          <w:lang w:eastAsia="sl-SI"/>
        </w:rPr>
        <w:t xml:space="preserve"> </w:t>
      </w:r>
      <w:r w:rsidRPr="005F6562">
        <w:rPr>
          <w:rFonts w:ascii="Arial" w:eastAsia="Times New Roman" w:hAnsi="Arial" w:cs="Arial"/>
          <w:sz w:val="20"/>
          <w:szCs w:val="20"/>
          <w:lang w:eastAsia="sl-SI"/>
        </w:rPr>
        <w:t xml:space="preserve">– Odkrivanje in označevanje prikritih vojnih grobišč, ukrep/NRP: </w:t>
      </w:r>
      <w:r w:rsidRPr="00C64A20">
        <w:rPr>
          <w:rFonts w:ascii="Arial" w:hAnsi="Arial" w:cs="Arial"/>
          <w:sz w:val="20"/>
          <w:szCs w:val="20"/>
        </w:rPr>
        <w:t>1911-25-0010</w:t>
      </w:r>
      <w:r w:rsidRPr="005F6562">
        <w:rPr>
          <w:rFonts w:ascii="Arial" w:eastAsia="Times New Roman" w:hAnsi="Arial" w:cs="Arial"/>
          <w:sz w:val="20"/>
          <w:szCs w:val="20"/>
          <w:lang w:eastAsia="sl-SI"/>
        </w:rPr>
        <w:t xml:space="preserve"> Odkrivanje in označevanje prikritih grobišč</w:t>
      </w:r>
      <w:r w:rsidRPr="00927E2C">
        <w:rPr>
          <w:rFonts w:ascii="Arial" w:hAnsi="Arial" w:cs="Arial"/>
          <w:sz w:val="20"/>
          <w:szCs w:val="20"/>
        </w:rPr>
        <w:t xml:space="preserve">), v </w:t>
      </w:r>
      <w:r w:rsidRPr="005F6562">
        <w:rPr>
          <w:rFonts w:ascii="Arial" w:hAnsi="Arial" w:cs="Arial"/>
          <w:sz w:val="20"/>
          <w:szCs w:val="20"/>
        </w:rPr>
        <w:t>višini</w:t>
      </w:r>
      <w:r>
        <w:rPr>
          <w:rFonts w:ascii="Arial" w:hAnsi="Arial" w:cs="Arial"/>
          <w:sz w:val="20"/>
          <w:szCs w:val="20"/>
        </w:rPr>
        <w:t xml:space="preserve"> </w:t>
      </w:r>
      <w:r w:rsidRPr="009B4986">
        <w:rPr>
          <w:rFonts w:ascii="Arial" w:hAnsi="Arial" w:cs="Arial"/>
          <w:sz w:val="20"/>
          <w:szCs w:val="20"/>
        </w:rPr>
        <w:t>877.128,00</w:t>
      </w:r>
      <w:r>
        <w:rPr>
          <w:rFonts w:ascii="Arial" w:hAnsi="Arial" w:cs="Arial"/>
          <w:sz w:val="20"/>
          <w:szCs w:val="20"/>
        </w:rPr>
        <w:t xml:space="preserve"> </w:t>
      </w:r>
      <w:r w:rsidRPr="005F6562">
        <w:rPr>
          <w:rFonts w:ascii="Arial" w:hAnsi="Arial" w:cs="Arial"/>
          <w:sz w:val="20"/>
          <w:szCs w:val="20"/>
        </w:rPr>
        <w:t>EUR.</w:t>
      </w:r>
      <w:r w:rsidRPr="005F6562">
        <w:rPr>
          <w:rFonts w:ascii="Arial" w:eastAsia="Times New Roman" w:hAnsi="Arial" w:cs="Arial"/>
          <w:sz w:val="20"/>
          <w:szCs w:val="20"/>
          <w:lang w:eastAsia="sl-SI"/>
        </w:rPr>
        <w:t xml:space="preserve"> </w:t>
      </w:r>
    </w:p>
    <w:p w:rsidR="00D3052E" w:rsidRPr="005F6562" w:rsidP="00D3052E" w14:paraId="49F457D0" w14:textId="77777777">
      <w:pPr>
        <w:spacing w:after="0"/>
        <w:jc w:val="both"/>
        <w:rPr>
          <w:rFonts w:ascii="Arial" w:hAnsi="Arial" w:cs="Arial"/>
          <w:sz w:val="20"/>
          <w:szCs w:val="20"/>
        </w:rPr>
      </w:pPr>
    </w:p>
    <w:p w:rsidR="00D3052E" w:rsidRPr="005F6562" w:rsidP="00D3052E" w14:paraId="3DD9A14D" w14:textId="77777777">
      <w:pPr>
        <w:spacing w:after="0"/>
        <w:jc w:val="both"/>
        <w:rPr>
          <w:rFonts w:ascii="Arial" w:hAnsi="Arial" w:cs="Arial"/>
          <w:sz w:val="20"/>
          <w:szCs w:val="20"/>
        </w:rPr>
      </w:pPr>
    </w:p>
    <w:p w:rsidR="00D3052E" w:rsidRPr="005F6562" w:rsidP="00D3052E" w14:paraId="610DDF89" w14:textId="77777777">
      <w:pPr>
        <w:spacing w:after="0"/>
        <w:jc w:val="both"/>
        <w:rPr>
          <w:rFonts w:ascii="Arial" w:hAnsi="Arial" w:cs="Arial"/>
          <w:sz w:val="20"/>
          <w:szCs w:val="20"/>
        </w:rPr>
      </w:pPr>
      <w:r w:rsidRPr="005F6562">
        <w:rPr>
          <w:rFonts w:ascii="Arial" w:hAnsi="Arial" w:cs="Arial"/>
          <w:sz w:val="20"/>
          <w:szCs w:val="20"/>
        </w:rPr>
        <w:t xml:space="preserve">                                                                                             MINISTRSTVO ZA OBRAMBO</w:t>
      </w:r>
    </w:p>
    <w:p w:rsidR="00D3052E" w:rsidRPr="00623933" w:rsidP="00D3052E" w14:paraId="6C457F6E" w14:textId="77777777">
      <w:pPr>
        <w:tabs>
          <w:tab w:val="left" w:pos="708"/>
        </w:tabs>
        <w:spacing w:after="0" w:line="260" w:lineRule="exact"/>
        <w:rPr>
          <w:rFonts w:ascii="Arial" w:hAnsi="Arial" w:cs="Arial"/>
          <w:b/>
          <w:sz w:val="20"/>
          <w:szCs w:val="20"/>
        </w:rPr>
      </w:pPr>
    </w:p>
    <w:p w:rsidR="00723116" w:rsidRPr="00131B28" w14:paraId="196DF000" w14:textId="77777777">
      <w:pPr>
        <w:rPr>
          <w:rFonts w:ascii="Arial" w:hAnsi="Arial" w:cs="Arial"/>
          <w:sz w:val="20"/>
          <w:szCs w:val="20"/>
        </w:rPr>
      </w:pPr>
    </w:p>
    <w:sectPr w:rsidSect="009E10A8">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1DA572CC">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845BB">
      <w:rPr>
        <w:rFonts w:ascii="Arial" w:hAnsi="Arial" w:cs="Arial"/>
        <w:noProof/>
      </w:rPr>
      <w:t>5</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845BB">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373D40D3">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845BB">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845BB">
      <w:rPr>
        <w:rFonts w:ascii="Arial" w:hAnsi="Arial" w:cs="Arial"/>
        <w:noProof/>
      </w:rPr>
      <w:t>5</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03A3532"/>
    <w:multiLevelType w:val="hybridMultilevel"/>
    <w:tmpl w:val="33EE92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8D2245"/>
    <w:multiLevelType w:val="hybridMultilevel"/>
    <w:tmpl w:val="F88CD9B2"/>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2">
    <w:nsid w:val="26507788"/>
    <w:multiLevelType w:val="hybridMultilevel"/>
    <w:tmpl w:val="BA1C3A30"/>
    <w:lvl w:ilvl="0">
      <w:start w:val="49"/>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6">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5">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25"/>
  </w:num>
  <w:num w:numId="5">
    <w:abstractNumId w:val="1"/>
  </w:num>
  <w:num w:numId="6">
    <w:abstractNumId w:val="10"/>
  </w:num>
  <w:num w:numId="7">
    <w:abstractNumId w:val="0"/>
  </w:num>
  <w:num w:numId="8">
    <w:abstractNumId w:val="22"/>
  </w:num>
  <w:num w:numId="9">
    <w:abstractNumId w:val="27"/>
  </w:num>
  <w:num w:numId="10">
    <w:abstractNumId w:val="16"/>
    <w:lvlOverride w:ilvl="0">
      <w:startOverride w:val="1"/>
    </w:lvlOverride>
  </w:num>
  <w:num w:numId="11">
    <w:abstractNumId w:val="17"/>
  </w:num>
  <w:num w:numId="12">
    <w:abstractNumId w:val="11"/>
  </w:num>
  <w:num w:numId="13">
    <w:abstractNumId w:val="23"/>
  </w:num>
  <w:num w:numId="14">
    <w:abstractNumId w:val="5"/>
  </w:num>
  <w:num w:numId="15">
    <w:abstractNumId w:val="19"/>
  </w:num>
  <w:num w:numId="16">
    <w:abstractNumId w:val="29"/>
  </w:num>
  <w:num w:numId="17">
    <w:abstractNumId w:val="26"/>
  </w:num>
  <w:num w:numId="18">
    <w:abstractNumId w:val="30"/>
  </w:num>
  <w:num w:numId="19">
    <w:abstractNumId w:val="31"/>
  </w:num>
  <w:num w:numId="20">
    <w:abstractNumId w:val="18"/>
  </w:num>
  <w:num w:numId="21">
    <w:abstractNumId w:val="13"/>
  </w:num>
  <w:num w:numId="22">
    <w:abstractNumId w:val="21"/>
  </w:num>
  <w:num w:numId="23">
    <w:abstractNumId w:val="7"/>
  </w:num>
  <w:num w:numId="24">
    <w:abstractNumId w:val="28"/>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13EE0"/>
    <w:rsid w:val="00033FEB"/>
    <w:rsid w:val="000A4BA7"/>
    <w:rsid w:val="000C0B87"/>
    <w:rsid w:val="000F18DE"/>
    <w:rsid w:val="00131B28"/>
    <w:rsid w:val="001D4854"/>
    <w:rsid w:val="00220B63"/>
    <w:rsid w:val="00223DB7"/>
    <w:rsid w:val="002849B9"/>
    <w:rsid w:val="002C278B"/>
    <w:rsid w:val="002E081E"/>
    <w:rsid w:val="002E1080"/>
    <w:rsid w:val="002F78E3"/>
    <w:rsid w:val="00305C84"/>
    <w:rsid w:val="003A3B1D"/>
    <w:rsid w:val="003D556F"/>
    <w:rsid w:val="003E035F"/>
    <w:rsid w:val="00464982"/>
    <w:rsid w:val="004B08C2"/>
    <w:rsid w:val="004E293C"/>
    <w:rsid w:val="004F6962"/>
    <w:rsid w:val="00580548"/>
    <w:rsid w:val="00597C12"/>
    <w:rsid w:val="005E6A88"/>
    <w:rsid w:val="005F6562"/>
    <w:rsid w:val="00623933"/>
    <w:rsid w:val="00623F16"/>
    <w:rsid w:val="00695AEF"/>
    <w:rsid w:val="006E30C0"/>
    <w:rsid w:val="007123B4"/>
    <w:rsid w:val="00715D72"/>
    <w:rsid w:val="00723116"/>
    <w:rsid w:val="007578AE"/>
    <w:rsid w:val="007642E3"/>
    <w:rsid w:val="00773AEC"/>
    <w:rsid w:val="007851AF"/>
    <w:rsid w:val="007A0F33"/>
    <w:rsid w:val="007B1642"/>
    <w:rsid w:val="007B4C47"/>
    <w:rsid w:val="00821419"/>
    <w:rsid w:val="008941CD"/>
    <w:rsid w:val="008B4243"/>
    <w:rsid w:val="008B734D"/>
    <w:rsid w:val="00913E94"/>
    <w:rsid w:val="00927E2C"/>
    <w:rsid w:val="00950971"/>
    <w:rsid w:val="009B4986"/>
    <w:rsid w:val="009E10A8"/>
    <w:rsid w:val="009F1E59"/>
    <w:rsid w:val="009F77C7"/>
    <w:rsid w:val="00A25444"/>
    <w:rsid w:val="00A452FF"/>
    <w:rsid w:val="00A701F9"/>
    <w:rsid w:val="00A845BB"/>
    <w:rsid w:val="00AB65D9"/>
    <w:rsid w:val="00AD5292"/>
    <w:rsid w:val="00AE3A35"/>
    <w:rsid w:val="00AF2DF0"/>
    <w:rsid w:val="00B27A2C"/>
    <w:rsid w:val="00B35734"/>
    <w:rsid w:val="00BA4D8C"/>
    <w:rsid w:val="00C10360"/>
    <w:rsid w:val="00C14725"/>
    <w:rsid w:val="00C57CFB"/>
    <w:rsid w:val="00C600C0"/>
    <w:rsid w:val="00C64A20"/>
    <w:rsid w:val="00CA7D81"/>
    <w:rsid w:val="00CB7264"/>
    <w:rsid w:val="00D3052E"/>
    <w:rsid w:val="00D61DC2"/>
    <w:rsid w:val="00D86976"/>
    <w:rsid w:val="00DF18E9"/>
    <w:rsid w:val="00E50831"/>
    <w:rsid w:val="00EA539F"/>
    <w:rsid w:val="00EC1D65"/>
    <w:rsid w:val="00F732AF"/>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uradni-list.si/1/objava.jsp?sop=2010-01-0251" TargetMode="External" /><Relationship Id="rId11" Type="http://schemas.openxmlformats.org/officeDocument/2006/relationships/hyperlink" Target="http://www.uradni-list.si/1/objava.jsp?sop=2012-01-0268" TargetMode="External" /><Relationship Id="rId12" Type="http://schemas.openxmlformats.org/officeDocument/2006/relationships/hyperlink" Target="http://www.uradni-list.si/1/objava.jsp?sop=2012-01-0815" TargetMode="External" /><Relationship Id="rId13" Type="http://schemas.openxmlformats.org/officeDocument/2006/relationships/hyperlink" Target="http://www.uradni-list.si/1/objava.jsp?sop=2013-01-1783" TargetMode="External" /><Relationship Id="rId14" Type="http://schemas.openxmlformats.org/officeDocument/2006/relationships/hyperlink" Target="http://www.uradni-list.si/1/objava.jsp?sop=2014-01-0304" TargetMode="External" /><Relationship Id="rId15" Type="http://schemas.openxmlformats.org/officeDocument/2006/relationships/hyperlink" Target="http://www.uradni-list.si/1/objava.jsp?sop=2014-01-3646" TargetMode="External" /><Relationship Id="rId16" Type="http://schemas.openxmlformats.org/officeDocument/2006/relationships/hyperlink" Target="http://www.uradni-list.si/1/objava.jsp?sop=2016-01-2246" TargetMode="External" /><Relationship Id="rId17" Type="http://schemas.openxmlformats.org/officeDocument/2006/relationships/hyperlink" Target="http://www.uradni-list.si/1/objava.jsp?sop=2021-01-0716" TargetMode="External" /><Relationship Id="rId18" Type="http://schemas.openxmlformats.org/officeDocument/2006/relationships/hyperlink" Target="http://www.uradni-list.si/1/objava.jsp?sop=2021-01-1758" TargetMode="External" /><Relationship Id="rId19" Type="http://schemas.openxmlformats.org/officeDocument/2006/relationships/hyperlink" Target="http://www.uradni-list.si/1/objava.jsp?sop=2021-01-3724"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header" Target="header1.xm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hyperlink" Target="http://www.uradni-list.si/1/objava.jsp?sop=2005-01-5007" TargetMode="External" /><Relationship Id="rId7" Type="http://schemas.openxmlformats.org/officeDocument/2006/relationships/hyperlink" Target="http://www.uradni-list.si/1/objava.jsp?sop=2007-01-4388" TargetMode="External" /><Relationship Id="rId8" Type="http://schemas.openxmlformats.org/officeDocument/2006/relationships/hyperlink" Target="http://www.uradni-list.si/1/objava.jsp?sop=2007-01-6415" TargetMode="External" /><Relationship Id="rId9" Type="http://schemas.openxmlformats.org/officeDocument/2006/relationships/hyperlink" Target="http://www.uradni-list.si/1/objava.jsp?sop=2009-01-2380"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FF11-E591-47AC-A1EA-1E7718F9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1168</Words>
  <Characters>9407</Characters>
  <Application>Microsoft Office Word</Application>
  <DocSecurity>0</DocSecurity>
  <Lines>78</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5</cp:revision>
  <dcterms:created xsi:type="dcterms:W3CDTF">2024-11-29T10:46:00Z</dcterms:created>
  <dcterms:modified xsi:type="dcterms:W3CDTF">2025-04-14T11:39:00Z</dcterms:modified>
</cp:coreProperties>
</file>